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1DB627" w14:textId="09F5D603" w:rsidR="00872E8F" w:rsidRPr="0058745A" w:rsidRDefault="00D24EF4" w:rsidP="00B40C01">
      <w:pPr>
        <w:pStyle w:val="1MainTitle"/>
        <w:jc w:val="left"/>
      </w:pPr>
      <w:r w:rsidRPr="0058745A">
        <w:t>5.28</w:t>
      </w:r>
      <w:r w:rsidR="00872E8F" w:rsidRPr="0058745A">
        <w:tab/>
      </w:r>
      <w:bookmarkStart w:id="0" w:name="_Hlk81486079"/>
      <w:r w:rsidRPr="0058745A">
        <w:t>TRASTUZUMAB</w:t>
      </w:r>
      <w:bookmarkEnd w:id="0"/>
      <w:r w:rsidR="00872E8F" w:rsidRPr="0058745A">
        <w:t xml:space="preserve">, </w:t>
      </w:r>
      <w:r w:rsidR="00872E8F" w:rsidRPr="0058745A">
        <w:br/>
      </w:r>
      <w:bookmarkStart w:id="1" w:name="_Hlk81913417"/>
      <w:r w:rsidRPr="0058745A">
        <w:t>Powder for I.V. infusion 440 mg</w:t>
      </w:r>
      <w:bookmarkEnd w:id="1"/>
      <w:r w:rsidR="00872E8F" w:rsidRPr="0058745A">
        <w:t>,</w:t>
      </w:r>
      <w:r w:rsidR="00872E8F" w:rsidRPr="0058745A">
        <w:br/>
      </w:r>
      <w:r w:rsidRPr="0058745A">
        <w:t>Herzuma</w:t>
      </w:r>
      <w:r w:rsidR="00872E8F" w:rsidRPr="0058745A">
        <w:t>®,</w:t>
      </w:r>
      <w:r w:rsidR="00872E8F" w:rsidRPr="0058745A">
        <w:br/>
      </w:r>
      <w:r w:rsidRPr="0058745A">
        <w:t>Celltrion Healthcare Australia Pty Ltd</w:t>
      </w:r>
    </w:p>
    <w:p w14:paraId="116D01C0" w14:textId="77777777" w:rsidR="006C6C10" w:rsidRPr="00EF4580" w:rsidRDefault="006C6C10" w:rsidP="003F044F">
      <w:pPr>
        <w:pStyle w:val="1MainTitle"/>
        <w:jc w:val="left"/>
        <w:outlineLvl w:val="9"/>
        <w:rPr>
          <w:rFonts w:eastAsia="Calibri" w:cstheme="minorHAnsi"/>
          <w:sz w:val="24"/>
          <w:szCs w:val="24"/>
          <w:lang w:eastAsia="en-US"/>
        </w:rPr>
      </w:pPr>
    </w:p>
    <w:p w14:paraId="558669C4" w14:textId="77777777" w:rsidR="008B1198" w:rsidRPr="008B1198" w:rsidRDefault="008B1198" w:rsidP="008B1198">
      <w:pPr>
        <w:pStyle w:val="2-SectionHeading"/>
        <w:jc w:val="both"/>
      </w:pPr>
      <w:r w:rsidRPr="008B1198">
        <w:t xml:space="preserve">Purpose of Submission </w:t>
      </w:r>
    </w:p>
    <w:p w14:paraId="20945CC5" w14:textId="709203A8" w:rsidR="008B1198" w:rsidRDefault="008B1198" w:rsidP="008B1198">
      <w:pPr>
        <w:pStyle w:val="3Bodytext"/>
        <w:jc w:val="both"/>
      </w:pPr>
      <w:bookmarkStart w:id="2" w:name="_Hlk84419570"/>
      <w:r w:rsidRPr="008B1198">
        <w:t xml:space="preserve">The </w:t>
      </w:r>
      <w:bookmarkStart w:id="3" w:name="_Hlk82422919"/>
      <w:r w:rsidRPr="008B1198">
        <w:t xml:space="preserve">Committee Secretariat submission </w:t>
      </w:r>
      <w:bookmarkEnd w:id="3"/>
      <w:r w:rsidRPr="008B1198">
        <w:t>sought Section 100 Efficient Funding of Chemotherapy</w:t>
      </w:r>
      <w:r w:rsidR="002038D0">
        <w:t xml:space="preserve"> </w:t>
      </w:r>
      <w:bookmarkStart w:id="4" w:name="_Hlk87428842"/>
      <w:r w:rsidR="005C3031">
        <w:t>(</w:t>
      </w:r>
      <w:r w:rsidR="0065648C">
        <w:t xml:space="preserve">S100 </w:t>
      </w:r>
      <w:r w:rsidR="005C3031">
        <w:t>EFC)</w:t>
      </w:r>
      <w:r w:rsidR="00227EDD">
        <w:t xml:space="preserve"> </w:t>
      </w:r>
      <w:r w:rsidRPr="008B1198">
        <w:t xml:space="preserve">Authority Required (STREAMLINED) </w:t>
      </w:r>
      <w:bookmarkEnd w:id="4"/>
      <w:r w:rsidRPr="008B1198">
        <w:t xml:space="preserve">listing of </w:t>
      </w:r>
      <w:r w:rsidR="00EC15F4">
        <w:t xml:space="preserve">a </w:t>
      </w:r>
      <w:r w:rsidR="00671228">
        <w:t xml:space="preserve">new </w:t>
      </w:r>
      <w:r w:rsidR="003918ED">
        <w:t>vial size containing 440 mg trastuzumab</w:t>
      </w:r>
      <w:r w:rsidR="00C0127E">
        <w:t>,</w:t>
      </w:r>
      <w:r w:rsidR="003918ED">
        <w:t xml:space="preserve"> </w:t>
      </w:r>
      <w:bookmarkStart w:id="5" w:name="_Hlk81914127"/>
      <w:r w:rsidR="00671228" w:rsidRPr="00671228">
        <w:t>Herzuma</w:t>
      </w:r>
      <w:bookmarkEnd w:id="5"/>
      <w:r w:rsidR="0079056F" w:rsidRPr="0079056F">
        <w:t>®</w:t>
      </w:r>
      <w:r w:rsidR="00C0127E">
        <w:t xml:space="preserve"> </w:t>
      </w:r>
      <w:bookmarkStart w:id="6" w:name="_Hlk84420016"/>
      <w:r w:rsidR="0079056F" w:rsidRPr="0079056F">
        <w:t>(herein referred to as Herzuma</w:t>
      </w:r>
      <w:r w:rsidR="0079056F">
        <w:t xml:space="preserve"> 440</w:t>
      </w:r>
      <w:r w:rsidR="008B0C14">
        <w:t> </w:t>
      </w:r>
      <w:r w:rsidR="0079056F">
        <w:t>mg</w:t>
      </w:r>
      <w:r w:rsidR="0079056F" w:rsidRPr="0079056F">
        <w:t xml:space="preserve">) </w:t>
      </w:r>
      <w:bookmarkEnd w:id="6"/>
      <w:r w:rsidRPr="008B1198">
        <w:t xml:space="preserve">under the same </w:t>
      </w:r>
      <w:r w:rsidR="00425A4B">
        <w:t>circumstances</w:t>
      </w:r>
      <w:r w:rsidR="00425A4B" w:rsidRPr="008B1198">
        <w:t xml:space="preserve"> </w:t>
      </w:r>
      <w:r w:rsidRPr="008B1198">
        <w:t xml:space="preserve">as the </w:t>
      </w:r>
      <w:r w:rsidR="00425A4B">
        <w:t xml:space="preserve">current </w:t>
      </w:r>
      <w:bookmarkStart w:id="7" w:name="_Hlk87427522"/>
      <w:r w:rsidR="00425A4B">
        <w:t>trastuzumab</w:t>
      </w:r>
      <w:r w:rsidR="00EC15F4">
        <w:t xml:space="preserve"> 60 mg, 150 mg and 420 mg</w:t>
      </w:r>
      <w:r w:rsidR="00425A4B">
        <w:t xml:space="preserve"> listings</w:t>
      </w:r>
      <w:bookmarkEnd w:id="7"/>
      <w:r w:rsidR="00EC15F4">
        <w:t xml:space="preserve">. </w:t>
      </w:r>
    </w:p>
    <w:bookmarkEnd w:id="2"/>
    <w:p w14:paraId="3D1D4320" w14:textId="04A4D434" w:rsidR="007E490F" w:rsidRPr="00FD6D8E" w:rsidRDefault="007E490F" w:rsidP="00F13FF7">
      <w:pPr>
        <w:pStyle w:val="2-SectionHeading"/>
        <w:jc w:val="both"/>
      </w:pPr>
      <w:r w:rsidRPr="009E2E8E">
        <w:t>Background</w:t>
      </w:r>
      <w:r>
        <w:t xml:space="preserve"> </w:t>
      </w:r>
    </w:p>
    <w:p w14:paraId="1F35A3D3" w14:textId="314AA1EF" w:rsidR="003C60BC" w:rsidRPr="002E37BF" w:rsidRDefault="000E7BE2" w:rsidP="00EB40E6">
      <w:pPr>
        <w:pStyle w:val="3Bodytext"/>
        <w:jc w:val="both"/>
        <w:rPr>
          <w:rFonts w:ascii="Calibri" w:hAnsi="Calibri" w:cs="Times New Roman"/>
          <w:i/>
          <w:szCs w:val="24"/>
        </w:rPr>
      </w:pPr>
      <w:bookmarkStart w:id="8" w:name="_Hlk81486303"/>
      <w:r>
        <w:rPr>
          <w:lang w:eastAsia="en-US"/>
        </w:rPr>
        <w:t>Herzuma</w:t>
      </w:r>
      <w:bookmarkEnd w:id="8"/>
      <w:r w:rsidR="00C04898">
        <w:rPr>
          <w:lang w:eastAsia="en-US"/>
        </w:rPr>
        <w:t xml:space="preserve"> </w:t>
      </w:r>
      <w:r w:rsidR="0079056F">
        <w:rPr>
          <w:lang w:eastAsia="en-US"/>
        </w:rPr>
        <w:t xml:space="preserve">440 mg </w:t>
      </w:r>
      <w:r>
        <w:t xml:space="preserve">was TGA approved on </w:t>
      </w:r>
      <w:r w:rsidR="001E7E38">
        <w:t xml:space="preserve">20 </w:t>
      </w:r>
      <w:r>
        <w:t xml:space="preserve">April 2020 </w:t>
      </w:r>
      <w:r w:rsidR="009C7F5D">
        <w:t>as</w:t>
      </w:r>
      <w:r>
        <w:t xml:space="preserve"> a biosimilar </w:t>
      </w:r>
      <w:r w:rsidR="00DD668F">
        <w:t>trastuzumab product, with identical</w:t>
      </w:r>
      <w:r w:rsidR="00E36599" w:rsidRPr="00E36599">
        <w:t xml:space="preserve"> indications </w:t>
      </w:r>
      <w:r w:rsidR="00DD668F">
        <w:t>to</w:t>
      </w:r>
      <w:r w:rsidR="00A6573B">
        <w:t xml:space="preserve"> the PBS-listed</w:t>
      </w:r>
      <w:r w:rsidR="00CA3F9C">
        <w:t xml:space="preserve"> Herzuma 150 mg</w:t>
      </w:r>
      <w:r w:rsidR="00194BF6">
        <w:t xml:space="preserve"> injection</w:t>
      </w:r>
      <w:r w:rsidR="00567993">
        <w:t>.</w:t>
      </w:r>
      <w:r>
        <w:t xml:space="preserve"> </w:t>
      </w:r>
    </w:p>
    <w:p w14:paraId="08E7B998" w14:textId="5E600F60" w:rsidR="00467B0A" w:rsidRPr="002E37BF" w:rsidRDefault="00886871" w:rsidP="00EB40E6">
      <w:pPr>
        <w:pStyle w:val="3Bodytext"/>
        <w:jc w:val="both"/>
        <w:rPr>
          <w:rFonts w:ascii="Calibri" w:hAnsi="Calibri" w:cs="Times New Roman"/>
          <w:i/>
          <w:szCs w:val="24"/>
        </w:rPr>
      </w:pPr>
      <w:bookmarkStart w:id="9" w:name="_Hlk84419744"/>
      <w:bookmarkStart w:id="10" w:name="_Hlk87427172"/>
      <w:r>
        <w:t xml:space="preserve">The reference biologic, </w:t>
      </w:r>
      <w:r w:rsidR="00467B0A">
        <w:t>Herceptin®</w:t>
      </w:r>
      <w:r>
        <w:t>,</w:t>
      </w:r>
      <w:r w:rsidR="00467B0A">
        <w:t xml:space="preserve"> was delisted from the PBS</w:t>
      </w:r>
      <w:r w:rsidR="00D629D3">
        <w:t xml:space="preserve"> on 1 October 2021</w:t>
      </w:r>
      <w:bookmarkEnd w:id="9"/>
      <w:r w:rsidR="00D629D3">
        <w:t xml:space="preserve">. </w:t>
      </w:r>
    </w:p>
    <w:bookmarkEnd w:id="10"/>
    <w:p w14:paraId="2BBDB70C" w14:textId="52A699C9" w:rsidR="002C2231" w:rsidRPr="002E37BF" w:rsidRDefault="00AA720B" w:rsidP="00EB40E6">
      <w:pPr>
        <w:pStyle w:val="3Bodytext"/>
        <w:jc w:val="both"/>
        <w:rPr>
          <w:rFonts w:ascii="Calibri" w:hAnsi="Calibri" w:cs="Times New Roman"/>
          <w:i/>
          <w:szCs w:val="24"/>
        </w:rPr>
      </w:pPr>
      <w:r>
        <w:t>Trastuzumab</w:t>
      </w:r>
      <w:r w:rsidR="002C2231">
        <w:t xml:space="preserve"> </w:t>
      </w:r>
      <w:r>
        <w:t>is</w:t>
      </w:r>
      <w:r w:rsidR="002C2231">
        <w:t xml:space="preserve"> listed on the PBS</w:t>
      </w:r>
      <w:r>
        <w:t xml:space="preserve"> </w:t>
      </w:r>
      <w:r w:rsidR="002C2231">
        <w:rPr>
          <w:lang w:eastAsia="en-US"/>
        </w:rPr>
        <w:t>for the treatment of:</w:t>
      </w:r>
    </w:p>
    <w:p w14:paraId="726AF681" w14:textId="77777777" w:rsidR="002C2231" w:rsidRPr="00D10172" w:rsidRDefault="002C2231" w:rsidP="002C2231">
      <w:pPr>
        <w:pStyle w:val="3Bodytext"/>
        <w:numPr>
          <w:ilvl w:val="0"/>
          <w:numId w:val="32"/>
        </w:numPr>
        <w:jc w:val="both"/>
      </w:pPr>
      <w:r w:rsidRPr="00D10172">
        <w:t>metastatic (Stage IV) HER2 positive breast cancer</w:t>
      </w:r>
    </w:p>
    <w:p w14:paraId="0C7FA881" w14:textId="77777777" w:rsidR="002C2231" w:rsidRPr="00D10172" w:rsidRDefault="002C2231" w:rsidP="002C2231">
      <w:pPr>
        <w:pStyle w:val="3Bodytext"/>
        <w:numPr>
          <w:ilvl w:val="0"/>
          <w:numId w:val="32"/>
        </w:numPr>
        <w:jc w:val="both"/>
      </w:pPr>
      <w:r w:rsidRPr="00D10172">
        <w:t xml:space="preserve">metastatic (Stage IV) HER2 positive adenocarcinoma of the stomach or gastro-oesophageal junction </w:t>
      </w:r>
    </w:p>
    <w:p w14:paraId="1870173C" w14:textId="77777777" w:rsidR="002C2231" w:rsidRPr="00D10172" w:rsidRDefault="002C2231" w:rsidP="002C2231">
      <w:pPr>
        <w:pStyle w:val="3Bodytext"/>
        <w:numPr>
          <w:ilvl w:val="0"/>
          <w:numId w:val="32"/>
        </w:numPr>
        <w:jc w:val="both"/>
      </w:pPr>
      <w:r w:rsidRPr="00D10172">
        <w:t xml:space="preserve">Early HER2 positive breast cancer </w:t>
      </w:r>
    </w:p>
    <w:p w14:paraId="1F381F62" w14:textId="77777777" w:rsidR="002C2231" w:rsidRPr="003B436C" w:rsidRDefault="002C2231" w:rsidP="002C2231">
      <w:pPr>
        <w:pStyle w:val="3Bodytext"/>
        <w:numPr>
          <w:ilvl w:val="0"/>
          <w:numId w:val="32"/>
        </w:numPr>
        <w:jc w:val="both"/>
      </w:pPr>
      <w:r w:rsidRPr="00D10172">
        <w:t>Locally advanced HER2 positive breast cancer</w:t>
      </w:r>
      <w:r>
        <w:t xml:space="preserve">. </w:t>
      </w:r>
    </w:p>
    <w:p w14:paraId="1D8EB51F" w14:textId="738C2242" w:rsidR="00AA720B" w:rsidRDefault="00AA720B" w:rsidP="00F5324C">
      <w:pPr>
        <w:pStyle w:val="3Bodytext"/>
        <w:jc w:val="both"/>
      </w:pPr>
      <w:r>
        <w:t xml:space="preserve">Trastuzumab 60 mg and 150 mg are available in various brands, including Herzuma, </w:t>
      </w:r>
      <w:r w:rsidRPr="003B2410">
        <w:rPr>
          <w:lang w:eastAsia="en-US"/>
        </w:rPr>
        <w:t>Ogivri®, Ontruzant® and</w:t>
      </w:r>
      <w:r>
        <w:rPr>
          <w:lang w:eastAsia="en-US"/>
        </w:rPr>
        <w:t xml:space="preserve"> Trazimera</w:t>
      </w:r>
      <w:r w:rsidRPr="003B2410">
        <w:rPr>
          <w:lang w:eastAsia="en-US"/>
        </w:rPr>
        <w:t>®</w:t>
      </w:r>
      <w:r>
        <w:rPr>
          <w:lang w:eastAsia="en-US"/>
        </w:rPr>
        <w:t>. Trastuzumab 420 mg is available in one brand only (</w:t>
      </w:r>
      <w:r w:rsidRPr="003B2410">
        <w:rPr>
          <w:lang w:eastAsia="en-US"/>
        </w:rPr>
        <w:t>Kanjinti®</w:t>
      </w:r>
      <w:r>
        <w:rPr>
          <w:lang w:eastAsia="en-US"/>
        </w:rPr>
        <w:t xml:space="preserve">). </w:t>
      </w:r>
    </w:p>
    <w:p w14:paraId="21BA33E3" w14:textId="0004B676" w:rsidR="00F5324C" w:rsidRDefault="002B0031" w:rsidP="00F5324C">
      <w:pPr>
        <w:pStyle w:val="3Bodytext"/>
        <w:jc w:val="both"/>
      </w:pPr>
      <w:bookmarkStart w:id="11" w:name="_Hlk84403835"/>
      <w:r w:rsidRPr="002B0031">
        <w:t xml:space="preserve">The PBAC noted </w:t>
      </w:r>
      <w:r w:rsidR="00F5324C" w:rsidRPr="003B436C">
        <w:t xml:space="preserve">EFC medicines are governed by the </w:t>
      </w:r>
      <w:r w:rsidR="00F5324C" w:rsidRPr="007B57B7">
        <w:rPr>
          <w:i/>
        </w:rPr>
        <w:t>National Health (Efficient Funding of Chemotherapy) Special Arrangement 2011</w:t>
      </w:r>
      <w:r w:rsidR="00F5324C" w:rsidRPr="003B436C">
        <w:t xml:space="preserve"> and subsection 33(2) allows substitution of brands with the same chemotherapy drug</w:t>
      </w:r>
      <w:r w:rsidR="00F5324C">
        <w:t xml:space="preserve">. </w:t>
      </w:r>
    </w:p>
    <w:p w14:paraId="52E7083D" w14:textId="5E9A0E78" w:rsidR="002B115A" w:rsidRPr="003C685C" w:rsidRDefault="002B115A" w:rsidP="002B115A">
      <w:pPr>
        <w:pStyle w:val="3Bodytext"/>
        <w:numPr>
          <w:ilvl w:val="0"/>
          <w:numId w:val="0"/>
        </w:numPr>
        <w:ind w:left="720"/>
        <w:jc w:val="both"/>
        <w:rPr>
          <w:i/>
          <w:iCs/>
        </w:rPr>
      </w:pPr>
      <w:r w:rsidRPr="003C685C">
        <w:rPr>
          <w:i/>
          <w:iCs/>
        </w:rPr>
        <w:t>For more detail on PBAC’s view, see section 7 PBAC outcome.</w:t>
      </w:r>
    </w:p>
    <w:bookmarkEnd w:id="11"/>
    <w:p w14:paraId="1B8790B6" w14:textId="1209DB7A" w:rsidR="00964A9F" w:rsidRDefault="00964A9F" w:rsidP="00EB40E6">
      <w:pPr>
        <w:pStyle w:val="2-SectionHeading"/>
        <w:jc w:val="both"/>
      </w:pPr>
      <w:r w:rsidRPr="009D507A">
        <w:lastRenderedPageBreak/>
        <w:t xml:space="preserve">Requested listing </w:t>
      </w:r>
    </w:p>
    <w:p w14:paraId="0F9E4287" w14:textId="36C9B289" w:rsidR="00FD78EB" w:rsidRPr="009639EE" w:rsidRDefault="002C2231" w:rsidP="00FD78EB">
      <w:pPr>
        <w:pStyle w:val="3-BodyText"/>
        <w:numPr>
          <w:ilvl w:val="1"/>
          <w:numId w:val="2"/>
        </w:numPr>
        <w:rPr>
          <w:lang w:eastAsia="en-US"/>
        </w:rPr>
      </w:pPr>
      <w:r w:rsidRPr="003B436C">
        <w:t>The submission request</w:t>
      </w:r>
      <w:r>
        <w:t>ed</w:t>
      </w:r>
      <w:r w:rsidRPr="003B436C">
        <w:t xml:space="preserve"> listing</w:t>
      </w:r>
      <w:r>
        <w:t xml:space="preserve"> of</w:t>
      </w:r>
      <w:r w:rsidRPr="003B436C">
        <w:t xml:space="preserve"> </w:t>
      </w:r>
      <w:r w:rsidR="003918ED">
        <w:t xml:space="preserve">Herzuma </w:t>
      </w:r>
      <w:r>
        <w:t>440 mg</w:t>
      </w:r>
      <w:r w:rsidRPr="003B436C">
        <w:t xml:space="preserve"> injection under the same circumstances as </w:t>
      </w:r>
      <w:r>
        <w:t xml:space="preserve">trastuzumab 60 mg, 150 mg and 420 mg. </w:t>
      </w:r>
      <w:r w:rsidR="00BD3CB8">
        <w:t xml:space="preserve">The submission proposed no changes to the existing restriction. </w:t>
      </w:r>
    </w:p>
    <w:p w14:paraId="1298DFA8" w14:textId="4B1A8D0A" w:rsidR="0060464A" w:rsidRPr="003B436C" w:rsidRDefault="00FD78EB" w:rsidP="002E37BF">
      <w:pPr>
        <w:pStyle w:val="3-BodyText"/>
        <w:numPr>
          <w:ilvl w:val="1"/>
          <w:numId w:val="2"/>
        </w:numPr>
      </w:pPr>
      <w:r>
        <w:t xml:space="preserve">The submission requested a new trade product </w:t>
      </w:r>
      <w:r w:rsidR="0012522B">
        <w:t xml:space="preserve">pack </w:t>
      </w:r>
      <w:r>
        <w:t>of Herzuma 440 mg injection</w:t>
      </w:r>
      <w:r w:rsidR="00886871">
        <w:t xml:space="preserve"> (1</w:t>
      </w:r>
      <w:r w:rsidR="008B0C14">
        <w:t> </w:t>
      </w:r>
      <w:r w:rsidR="00886871">
        <w:t>vial)</w:t>
      </w:r>
      <w:r>
        <w:t xml:space="preserve"> be added </w:t>
      </w:r>
      <w:bookmarkStart w:id="12" w:name="_Hlk87433244"/>
      <w:r>
        <w:t>to the existing PBS item codes:</w:t>
      </w:r>
      <w:r w:rsidR="00C0127E">
        <w:t xml:space="preserve"> </w:t>
      </w:r>
      <w:bookmarkStart w:id="13" w:name="_Hlk88128015"/>
      <w:r w:rsidRPr="00FD78EB">
        <w:t>4632T; 4639E; 4650R; 4703M; 7264H; 7265J; 7266K; 7267L;</w:t>
      </w:r>
      <w:r>
        <w:t xml:space="preserve"> </w:t>
      </w:r>
      <w:r w:rsidRPr="00FD78EB">
        <w:t>10383L;</w:t>
      </w:r>
      <w:r>
        <w:t xml:space="preserve"> </w:t>
      </w:r>
      <w:r w:rsidRPr="00FD78EB">
        <w:t>10391X;</w:t>
      </w:r>
      <w:r>
        <w:t xml:space="preserve"> </w:t>
      </w:r>
      <w:r w:rsidRPr="00FD78EB">
        <w:t>10401K;</w:t>
      </w:r>
      <w:r>
        <w:t xml:space="preserve"> </w:t>
      </w:r>
      <w:r w:rsidRPr="00FD78EB">
        <w:t>10402L;</w:t>
      </w:r>
      <w:r>
        <w:t xml:space="preserve"> </w:t>
      </w:r>
      <w:r w:rsidRPr="00FD78EB">
        <w:t>10581X;</w:t>
      </w:r>
      <w:r>
        <w:t xml:space="preserve"> </w:t>
      </w:r>
      <w:r w:rsidRPr="00FD78EB">
        <w:t>10588G;</w:t>
      </w:r>
      <w:r>
        <w:t xml:space="preserve"> </w:t>
      </w:r>
      <w:r w:rsidRPr="00FD78EB">
        <w:t>10589H and 10597R</w:t>
      </w:r>
      <w:r>
        <w:t>.</w:t>
      </w:r>
    </w:p>
    <w:p w14:paraId="738DAEAB" w14:textId="5729EDAE" w:rsidR="003639B1" w:rsidRDefault="0012522B" w:rsidP="003639B1">
      <w:pPr>
        <w:pStyle w:val="3Bodytext"/>
        <w:rPr>
          <w:iCs/>
        </w:rPr>
      </w:pPr>
      <w:bookmarkStart w:id="14" w:name="_Hlk84406400"/>
      <w:bookmarkEnd w:id="12"/>
      <w:bookmarkEnd w:id="13"/>
      <w:r w:rsidRPr="000250AA">
        <w:rPr>
          <w:iCs/>
        </w:rPr>
        <w:t>T</w:t>
      </w:r>
      <w:r w:rsidR="003639B1" w:rsidRPr="000250AA">
        <w:rPr>
          <w:iCs/>
        </w:rPr>
        <w:t>he restrictions have not been reproduced</w:t>
      </w:r>
      <w:r w:rsidRPr="000250AA">
        <w:rPr>
          <w:iCs/>
        </w:rPr>
        <w:t xml:space="preserve"> due to their length</w:t>
      </w:r>
      <w:r w:rsidR="003639B1" w:rsidRPr="000250AA">
        <w:rPr>
          <w:iCs/>
        </w:rPr>
        <w:t>. The sponsor requested restriction details and wording that is identical to the</w:t>
      </w:r>
      <w:r w:rsidRPr="000250AA">
        <w:rPr>
          <w:iCs/>
        </w:rPr>
        <w:t xml:space="preserve"> existing trastuzumab</w:t>
      </w:r>
      <w:r w:rsidR="003639B1" w:rsidRPr="000250AA">
        <w:rPr>
          <w:iCs/>
        </w:rPr>
        <w:t xml:space="preserve"> listings.</w:t>
      </w:r>
    </w:p>
    <w:p w14:paraId="7E900F1D" w14:textId="7E665932" w:rsidR="002B115A" w:rsidRPr="003C685C" w:rsidRDefault="002B115A" w:rsidP="002B115A">
      <w:pPr>
        <w:pStyle w:val="3Bodytext"/>
        <w:numPr>
          <w:ilvl w:val="0"/>
          <w:numId w:val="0"/>
        </w:numPr>
        <w:ind w:left="720"/>
        <w:rPr>
          <w:i/>
        </w:rPr>
      </w:pPr>
      <w:r w:rsidRPr="003C685C">
        <w:rPr>
          <w:i/>
        </w:rPr>
        <w:t>For more detail on PBAC’s view, see section 7 PBAC outcome.</w:t>
      </w:r>
    </w:p>
    <w:bookmarkEnd w:id="14"/>
    <w:p w14:paraId="29A96004" w14:textId="77777777" w:rsidR="00C27C1C" w:rsidRPr="00980B0E" w:rsidRDefault="00C27C1C" w:rsidP="00F13FF7">
      <w:pPr>
        <w:pStyle w:val="2-SectionHeading"/>
        <w:rPr>
          <w:color w:val="FF0000"/>
        </w:rPr>
      </w:pPr>
      <w:r w:rsidRPr="003C2FB5">
        <w:t>Comparator</w:t>
      </w:r>
      <w:r>
        <w:t xml:space="preserve"> </w:t>
      </w:r>
    </w:p>
    <w:p w14:paraId="5A35AD53" w14:textId="151F808E" w:rsidR="00C27C1C" w:rsidRPr="002B115A" w:rsidRDefault="00C27C1C" w:rsidP="00EB40E6">
      <w:pPr>
        <w:pStyle w:val="3Bodytext"/>
        <w:jc w:val="both"/>
        <w:rPr>
          <w:i/>
        </w:rPr>
      </w:pPr>
      <w:bookmarkStart w:id="15" w:name="_Hlk87427393"/>
      <w:r w:rsidRPr="00F02EBE">
        <w:t xml:space="preserve">The </w:t>
      </w:r>
      <w:bookmarkStart w:id="16" w:name="_Hlk84339619"/>
      <w:r w:rsidRPr="00F02EBE">
        <w:t xml:space="preserve">submission </w:t>
      </w:r>
      <w:r w:rsidR="00F873D1" w:rsidRPr="00F873D1">
        <w:t xml:space="preserve">nominated </w:t>
      </w:r>
      <w:r w:rsidR="005C3128">
        <w:t>Herzuma 150 mg vial</w:t>
      </w:r>
      <w:bookmarkEnd w:id="16"/>
      <w:r w:rsidR="005C3128">
        <w:t xml:space="preserve">, </w:t>
      </w:r>
      <w:r w:rsidR="00F873D1" w:rsidRPr="00F873D1">
        <w:rPr>
          <w:iCs/>
        </w:rPr>
        <w:t>Herceptin</w:t>
      </w:r>
      <w:r w:rsidR="005C3128">
        <w:t xml:space="preserve"> and other trastuzumab biosimilars</w:t>
      </w:r>
      <w:r w:rsidR="00A66088">
        <w:t xml:space="preserve"> </w:t>
      </w:r>
      <w:r w:rsidR="00F873D1" w:rsidRPr="00F873D1">
        <w:t xml:space="preserve">as </w:t>
      </w:r>
      <w:r w:rsidR="00E60B83">
        <w:t xml:space="preserve">the </w:t>
      </w:r>
      <w:r w:rsidR="005C3128">
        <w:t>c</w:t>
      </w:r>
      <w:r w:rsidR="00F873D1" w:rsidRPr="00F873D1">
        <w:t>omparator</w:t>
      </w:r>
      <w:r w:rsidR="005C3128">
        <w:t>s</w:t>
      </w:r>
      <w:r w:rsidR="00F873D1" w:rsidRPr="00F873D1">
        <w:t>.</w:t>
      </w:r>
      <w:r w:rsidR="005B24A4">
        <w:t xml:space="preserve"> </w:t>
      </w:r>
      <w:bookmarkEnd w:id="15"/>
      <w:r w:rsidR="005B24A4" w:rsidRPr="000250AA">
        <w:t>Th</w:t>
      </w:r>
      <w:r w:rsidR="00114610">
        <w:t xml:space="preserve">e PBAC considered this </w:t>
      </w:r>
      <w:r w:rsidR="005B24A4" w:rsidRPr="000250AA">
        <w:t>was appropriate.</w:t>
      </w:r>
      <w:r w:rsidR="00F873D1" w:rsidRPr="00F873D1">
        <w:t xml:space="preserve"> </w:t>
      </w:r>
    </w:p>
    <w:p w14:paraId="3062F98E" w14:textId="0C1AE9E5" w:rsidR="002B115A" w:rsidRPr="00E929D2" w:rsidRDefault="002B115A" w:rsidP="002B115A">
      <w:pPr>
        <w:pStyle w:val="3Bodytext"/>
        <w:numPr>
          <w:ilvl w:val="0"/>
          <w:numId w:val="0"/>
        </w:numPr>
        <w:ind w:left="720"/>
        <w:jc w:val="both"/>
        <w:rPr>
          <w:i/>
        </w:rPr>
      </w:pPr>
      <w:r w:rsidRPr="00E929D2">
        <w:rPr>
          <w:i/>
        </w:rPr>
        <w:t>For more detail on PBAC’s view, see section 7 PBAC outcome.</w:t>
      </w:r>
    </w:p>
    <w:p w14:paraId="313E55A0" w14:textId="78300099" w:rsidR="00C27C1C" w:rsidRPr="008A29BE" w:rsidRDefault="00C27C1C" w:rsidP="00F13FF7">
      <w:pPr>
        <w:pStyle w:val="Heading1"/>
        <w:keepLines/>
        <w:numPr>
          <w:ilvl w:val="0"/>
          <w:numId w:val="2"/>
        </w:numPr>
        <w:spacing w:before="240"/>
        <w:ind w:left="709" w:hanging="709"/>
        <w:rPr>
          <w:sz w:val="32"/>
          <w:szCs w:val="32"/>
        </w:rPr>
      </w:pPr>
      <w:r w:rsidRPr="003C2FB5">
        <w:rPr>
          <w:sz w:val="32"/>
          <w:szCs w:val="32"/>
        </w:rPr>
        <w:t>Consideration of the evidence</w:t>
      </w:r>
    </w:p>
    <w:p w14:paraId="213A6BCB" w14:textId="71D82021" w:rsidR="002B115A" w:rsidRDefault="002B115A" w:rsidP="00C27C1C">
      <w:pPr>
        <w:pStyle w:val="4-SubsectionHeading"/>
        <w:rPr>
          <w:lang w:eastAsia="en-US"/>
        </w:rPr>
      </w:pPr>
      <w:r>
        <w:rPr>
          <w:lang w:eastAsia="en-US"/>
        </w:rPr>
        <w:t>Sponsor hearing</w:t>
      </w:r>
    </w:p>
    <w:p w14:paraId="0B557DF7" w14:textId="5DE6F862" w:rsidR="002B115A" w:rsidRPr="002B115A" w:rsidRDefault="002B115A" w:rsidP="002B115A">
      <w:pPr>
        <w:pStyle w:val="3Bodytext"/>
        <w:rPr>
          <w:lang w:eastAsia="en-US"/>
        </w:rPr>
      </w:pPr>
      <w:r>
        <w:rPr>
          <w:lang w:eastAsia="en-US"/>
        </w:rPr>
        <w:t>There was no hearing for this item.</w:t>
      </w:r>
    </w:p>
    <w:p w14:paraId="5457E187" w14:textId="5A1EFCB5" w:rsidR="002B115A" w:rsidRDefault="002B115A" w:rsidP="00C27C1C">
      <w:pPr>
        <w:pStyle w:val="4-SubsectionHeading"/>
        <w:rPr>
          <w:lang w:eastAsia="en-US"/>
        </w:rPr>
      </w:pPr>
      <w:r>
        <w:rPr>
          <w:lang w:eastAsia="en-US"/>
        </w:rPr>
        <w:t>Consumer comments</w:t>
      </w:r>
    </w:p>
    <w:p w14:paraId="71D184EA" w14:textId="5A2DE09E" w:rsidR="002B115A" w:rsidRPr="002B115A" w:rsidRDefault="000C73FD" w:rsidP="002B115A">
      <w:pPr>
        <w:pStyle w:val="3Bodytext"/>
        <w:rPr>
          <w:lang w:eastAsia="en-US"/>
        </w:rPr>
      </w:pPr>
      <w:r>
        <w:rPr>
          <w:lang w:eastAsia="en-US"/>
        </w:rPr>
        <w:t>The PBAC noted that no consumer comments were received for this item.</w:t>
      </w:r>
    </w:p>
    <w:p w14:paraId="213E20BE" w14:textId="00D3B1C7" w:rsidR="00DF30AF" w:rsidRDefault="00DF30AF" w:rsidP="00C27C1C">
      <w:pPr>
        <w:pStyle w:val="4-SubsectionHeading"/>
        <w:rPr>
          <w:lang w:eastAsia="en-US"/>
        </w:rPr>
      </w:pPr>
      <w:r w:rsidRPr="003C2FB5">
        <w:rPr>
          <w:lang w:eastAsia="en-US"/>
        </w:rPr>
        <w:t xml:space="preserve">Clinical </w:t>
      </w:r>
      <w:r w:rsidR="00E60B83">
        <w:rPr>
          <w:lang w:eastAsia="en-US"/>
        </w:rPr>
        <w:t>studies</w:t>
      </w:r>
      <w:r>
        <w:rPr>
          <w:lang w:eastAsia="en-US"/>
        </w:rPr>
        <w:t xml:space="preserve"> </w:t>
      </w:r>
    </w:p>
    <w:p w14:paraId="37777157" w14:textId="7DF823D7" w:rsidR="003918ED" w:rsidRPr="00F23A6B" w:rsidRDefault="008A1D30" w:rsidP="003918ED">
      <w:pPr>
        <w:pStyle w:val="3Bodytext"/>
        <w:rPr>
          <w:i/>
          <w:iCs/>
          <w:lang w:eastAsia="en-US"/>
        </w:rPr>
      </w:pPr>
      <w:r>
        <w:rPr>
          <w:lang w:eastAsia="en-US"/>
        </w:rPr>
        <w:t xml:space="preserve">The </w:t>
      </w:r>
      <w:r w:rsidR="00DF30AF" w:rsidRPr="00DF30AF">
        <w:rPr>
          <w:lang w:eastAsia="en-US"/>
        </w:rPr>
        <w:t xml:space="preserve">submission presented </w:t>
      </w:r>
      <w:r w:rsidR="00E60B83">
        <w:rPr>
          <w:lang w:eastAsia="en-US"/>
        </w:rPr>
        <w:t xml:space="preserve">a </w:t>
      </w:r>
      <w:r w:rsidR="007B109A">
        <w:rPr>
          <w:lang w:eastAsia="en-US"/>
        </w:rPr>
        <w:t xml:space="preserve">phase </w:t>
      </w:r>
      <w:r w:rsidR="00E60B83">
        <w:rPr>
          <w:lang w:eastAsia="en-US"/>
        </w:rPr>
        <w:t>3, double-blind, randomised, parallel-group, active controlled study</w:t>
      </w:r>
      <w:r w:rsidR="00427D46" w:rsidRPr="003918ED">
        <w:rPr>
          <w:bCs/>
          <w:lang w:eastAsia="en-US"/>
        </w:rPr>
        <w:t xml:space="preserve">. </w:t>
      </w:r>
      <w:r w:rsidR="003049CC">
        <w:rPr>
          <w:lang w:eastAsia="en-US"/>
        </w:rPr>
        <w:t xml:space="preserve">The submission claimed that this study provides pivotal evidence supporting the claim of non-inferior efficacy </w:t>
      </w:r>
      <w:r w:rsidR="003918ED">
        <w:rPr>
          <w:lang w:eastAsia="en-US"/>
        </w:rPr>
        <w:t xml:space="preserve">and safety </w:t>
      </w:r>
      <w:r w:rsidR="003049CC">
        <w:rPr>
          <w:lang w:eastAsia="en-US"/>
        </w:rPr>
        <w:t xml:space="preserve">of Herzuma </w:t>
      </w:r>
      <w:r w:rsidR="00484811">
        <w:rPr>
          <w:lang w:eastAsia="en-US"/>
        </w:rPr>
        <w:t xml:space="preserve">440 </w:t>
      </w:r>
      <w:r w:rsidR="00F23A6B">
        <w:rPr>
          <w:lang w:eastAsia="en-US"/>
        </w:rPr>
        <w:t xml:space="preserve">mg </w:t>
      </w:r>
      <w:r w:rsidR="003049CC">
        <w:rPr>
          <w:lang w:eastAsia="en-US"/>
        </w:rPr>
        <w:t xml:space="preserve">compared to Herceptin in patients with HER2 positive early breast cancer. </w:t>
      </w:r>
    </w:p>
    <w:p w14:paraId="415369A4" w14:textId="4858048F" w:rsidR="003918ED" w:rsidRPr="000250AA" w:rsidRDefault="003918ED">
      <w:pPr>
        <w:pStyle w:val="3Bodytext"/>
        <w:rPr>
          <w:lang w:eastAsia="en-US"/>
        </w:rPr>
      </w:pPr>
      <w:r w:rsidRPr="000250AA">
        <w:rPr>
          <w:lang w:eastAsia="en-US"/>
        </w:rPr>
        <w:t xml:space="preserve">The submission did not provide any other evidence to support its claim of non-inferior efficacy and safety of Herzuma </w:t>
      </w:r>
      <w:r w:rsidR="00A1362B" w:rsidRPr="00A1362B">
        <w:rPr>
          <w:lang w:eastAsia="en-US"/>
        </w:rPr>
        <w:t xml:space="preserve">440 mg </w:t>
      </w:r>
      <w:r w:rsidRPr="000250AA">
        <w:rPr>
          <w:lang w:eastAsia="en-US"/>
        </w:rPr>
        <w:t xml:space="preserve">compared to Herceptin in treatment of </w:t>
      </w:r>
      <w:r w:rsidR="00E35C7A">
        <w:rPr>
          <w:lang w:eastAsia="en-US"/>
        </w:rPr>
        <w:t xml:space="preserve">locally advanced (Stage IIIB) or </w:t>
      </w:r>
      <w:r w:rsidRPr="000250AA">
        <w:rPr>
          <w:lang w:eastAsia="en-US"/>
        </w:rPr>
        <w:t>metastatic (Stage IV) HER2 positive breast cancer,</w:t>
      </w:r>
      <w:r w:rsidR="00E35C7A">
        <w:rPr>
          <w:lang w:eastAsia="en-US"/>
        </w:rPr>
        <w:t xml:space="preserve"> or</w:t>
      </w:r>
      <w:r w:rsidRPr="000250AA">
        <w:rPr>
          <w:lang w:eastAsia="en-US"/>
        </w:rPr>
        <w:t xml:space="preserve"> metastatic (Stage IV) HER2 positive adenocarcinoma of the stomach or gastro-oesophageal junction. </w:t>
      </w:r>
    </w:p>
    <w:p w14:paraId="6C57BC98" w14:textId="77777777" w:rsidR="001C3533" w:rsidRDefault="001C3533">
      <w:pPr>
        <w:jc w:val="left"/>
        <w:rPr>
          <w:rFonts w:ascii="Arial Narrow" w:hAnsi="Arial Narrow"/>
          <w:b/>
          <w:sz w:val="20"/>
          <w:szCs w:val="22"/>
        </w:rPr>
      </w:pPr>
      <w:bookmarkStart w:id="17" w:name="_Hlk82004445"/>
      <w:r>
        <w:br w:type="page"/>
      </w:r>
    </w:p>
    <w:p w14:paraId="1C73F719" w14:textId="776B598F" w:rsidR="00CE7669" w:rsidRDefault="00CE7669" w:rsidP="00CE7669">
      <w:pPr>
        <w:pStyle w:val="Tabletitles"/>
      </w:pPr>
      <w:r>
        <w:lastRenderedPageBreak/>
        <w:t>Table</w:t>
      </w:r>
      <w:r>
        <w:rPr>
          <w:rFonts w:eastAsiaTheme="majorEastAsia"/>
        </w:rPr>
        <w:t xml:space="preserve"> 1</w:t>
      </w:r>
      <w:r w:rsidRPr="00C5151E">
        <w:rPr>
          <w:rFonts w:eastAsiaTheme="majorEastAsia"/>
        </w:rPr>
        <w:t xml:space="preserve">: </w:t>
      </w:r>
      <w:r w:rsidR="000A01F1">
        <w:t>Study</w:t>
      </w:r>
      <w:r w:rsidR="000A01F1" w:rsidRPr="00100D45">
        <w:t xml:space="preserve"> </w:t>
      </w:r>
      <w:r>
        <w:t xml:space="preserve">presented in the </w:t>
      </w:r>
      <w:r w:rsidRPr="00100D45">
        <w:t>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able 1: Study presented in the submission"/>
      </w:tblPr>
      <w:tblGrid>
        <w:gridCol w:w="1436"/>
        <w:gridCol w:w="5458"/>
        <w:gridCol w:w="2122"/>
      </w:tblGrid>
      <w:tr w:rsidR="00CE7669" w:rsidRPr="00F36CCB" w14:paraId="2FBF98FF" w14:textId="77777777" w:rsidTr="003C5759">
        <w:trPr>
          <w:cantSplit/>
          <w:trHeight w:val="539"/>
          <w:tblHeader/>
        </w:trPr>
        <w:tc>
          <w:tcPr>
            <w:tcW w:w="796" w:type="pct"/>
          </w:tcPr>
          <w:bookmarkEnd w:id="17"/>
          <w:p w14:paraId="27DB283D" w14:textId="77777777" w:rsidR="00CE7669" w:rsidRPr="00917D69" w:rsidRDefault="00CE7669" w:rsidP="003C5759">
            <w:pPr>
              <w:pStyle w:val="TableText0"/>
              <w:rPr>
                <w:b/>
              </w:rPr>
            </w:pPr>
            <w:r w:rsidRPr="00917D69">
              <w:rPr>
                <w:b/>
              </w:rPr>
              <w:t>Trial ID/First Author</w:t>
            </w:r>
          </w:p>
        </w:tc>
        <w:tc>
          <w:tcPr>
            <w:tcW w:w="3027" w:type="pct"/>
          </w:tcPr>
          <w:p w14:paraId="1DA381CE" w14:textId="77777777" w:rsidR="00CE7669" w:rsidRPr="00917D69" w:rsidRDefault="00CE7669" w:rsidP="003C5759">
            <w:pPr>
              <w:pStyle w:val="TableText0"/>
              <w:rPr>
                <w:b/>
              </w:rPr>
            </w:pPr>
            <w:r w:rsidRPr="00917D69">
              <w:rPr>
                <w:b/>
              </w:rPr>
              <w:t>Protocol title/ Publication title</w:t>
            </w:r>
          </w:p>
        </w:tc>
        <w:tc>
          <w:tcPr>
            <w:tcW w:w="1177" w:type="pct"/>
          </w:tcPr>
          <w:p w14:paraId="24B786EB" w14:textId="77777777" w:rsidR="00CE7669" w:rsidRPr="00917D69" w:rsidRDefault="00CE7669" w:rsidP="003C5759">
            <w:pPr>
              <w:pStyle w:val="TableText0"/>
              <w:rPr>
                <w:b/>
              </w:rPr>
            </w:pPr>
            <w:r w:rsidRPr="00917D69">
              <w:rPr>
                <w:b/>
              </w:rPr>
              <w:t>Publication citation</w:t>
            </w:r>
          </w:p>
        </w:tc>
      </w:tr>
      <w:tr w:rsidR="00CE7669" w:rsidRPr="00F36CCB" w14:paraId="4C9FC5BF" w14:textId="77777777" w:rsidTr="003C5759">
        <w:trPr>
          <w:cantSplit/>
          <w:trHeight w:val="317"/>
        </w:trPr>
        <w:tc>
          <w:tcPr>
            <w:tcW w:w="796" w:type="pct"/>
          </w:tcPr>
          <w:p w14:paraId="62D29492" w14:textId="77777777" w:rsidR="00CE7669" w:rsidRPr="00CE7669" w:rsidRDefault="00CE7669" w:rsidP="00CE7669">
            <w:pPr>
              <w:pStyle w:val="TableText1"/>
              <w:jc w:val="left"/>
              <w:rPr>
                <w:rFonts w:ascii="Arial Narrow" w:hAnsi="Arial Narrow"/>
                <w:sz w:val="20"/>
                <w:szCs w:val="20"/>
              </w:rPr>
            </w:pPr>
            <w:r w:rsidRPr="00CE7669">
              <w:rPr>
                <w:rFonts w:ascii="Arial Narrow" w:hAnsi="Arial Narrow"/>
                <w:sz w:val="20"/>
                <w:szCs w:val="20"/>
              </w:rPr>
              <w:t>CT-P6 3.2</w:t>
            </w:r>
          </w:p>
          <w:p w14:paraId="21C8603F" w14:textId="3748887B" w:rsidR="00CE7669" w:rsidRPr="00207C41" w:rsidRDefault="00CE7669" w:rsidP="00CE7669">
            <w:pPr>
              <w:pStyle w:val="TableText0"/>
              <w:jc w:val="both"/>
              <w:rPr>
                <w:szCs w:val="20"/>
              </w:rPr>
            </w:pPr>
            <w:r>
              <w:rPr>
                <w:szCs w:val="20"/>
              </w:rPr>
              <w:t>(</w:t>
            </w:r>
            <w:r w:rsidRPr="00CE7669">
              <w:rPr>
                <w:szCs w:val="20"/>
              </w:rPr>
              <w:t>NCT02162667</w:t>
            </w:r>
            <w:r>
              <w:rPr>
                <w:szCs w:val="20"/>
              </w:rPr>
              <w:t>)</w:t>
            </w:r>
          </w:p>
        </w:tc>
        <w:tc>
          <w:tcPr>
            <w:tcW w:w="3027" w:type="pct"/>
          </w:tcPr>
          <w:p w14:paraId="1F211599" w14:textId="53E097EE" w:rsidR="00CE7669" w:rsidRPr="00207C41" w:rsidRDefault="00CE7669" w:rsidP="00CE7669">
            <w:pPr>
              <w:pStyle w:val="TableText0"/>
              <w:rPr>
                <w:szCs w:val="20"/>
              </w:rPr>
            </w:pPr>
            <w:r w:rsidRPr="00CE7669">
              <w:rPr>
                <w:szCs w:val="20"/>
              </w:rPr>
              <w:t xml:space="preserve">Phase 3, </w:t>
            </w:r>
            <w:bookmarkStart w:id="18" w:name="_Hlk82436965"/>
            <w:r w:rsidRPr="00CE7669">
              <w:rPr>
                <w:szCs w:val="20"/>
              </w:rPr>
              <w:t>Double-Blind</w:t>
            </w:r>
            <w:bookmarkEnd w:id="18"/>
            <w:r w:rsidRPr="00CE7669">
              <w:rPr>
                <w:szCs w:val="20"/>
              </w:rPr>
              <w:t>, Randomized, Parallel-Group, Active-Controlled Study to</w:t>
            </w:r>
            <w:r>
              <w:rPr>
                <w:szCs w:val="20"/>
              </w:rPr>
              <w:t xml:space="preserve"> </w:t>
            </w:r>
            <w:r w:rsidRPr="00CE7669">
              <w:rPr>
                <w:szCs w:val="20"/>
              </w:rPr>
              <w:t>Compare the Efficacy and Safety of CT-P6 and Herceptin as Neoadjuvant and Adjuvant Treatment in</w:t>
            </w:r>
            <w:r>
              <w:rPr>
                <w:szCs w:val="20"/>
              </w:rPr>
              <w:t xml:space="preserve"> </w:t>
            </w:r>
            <w:r w:rsidRPr="00CE7669">
              <w:rPr>
                <w:szCs w:val="20"/>
              </w:rPr>
              <w:t>Patients with HER2-Positive Early Breast Cancer</w:t>
            </w:r>
          </w:p>
        </w:tc>
        <w:tc>
          <w:tcPr>
            <w:tcW w:w="1177" w:type="pct"/>
          </w:tcPr>
          <w:p w14:paraId="534657B6" w14:textId="1A0ECC76" w:rsidR="00CE7669" w:rsidRPr="00207C41" w:rsidRDefault="00CE7669" w:rsidP="003C5759">
            <w:pPr>
              <w:pStyle w:val="TableText0"/>
              <w:jc w:val="both"/>
              <w:rPr>
                <w:szCs w:val="20"/>
              </w:rPr>
            </w:pPr>
            <w:r w:rsidRPr="00CE7669">
              <w:rPr>
                <w:szCs w:val="20"/>
              </w:rPr>
              <w:t>Stebbing J, Baranau Y, Baryash V, Manikhas A, Moiseyenko V, Dzagnidze G, et al.</w:t>
            </w:r>
            <w:r>
              <w:rPr>
                <w:szCs w:val="20"/>
              </w:rPr>
              <w:t xml:space="preserve"> </w:t>
            </w:r>
            <w:r w:rsidRPr="00CE7669">
              <w:rPr>
                <w:szCs w:val="20"/>
              </w:rPr>
              <w:t>Lancet Oncol. 2017;18(7):917-928</w:t>
            </w:r>
          </w:p>
        </w:tc>
      </w:tr>
    </w:tbl>
    <w:p w14:paraId="2E5E26AC" w14:textId="5014557C" w:rsidR="00DF30AF" w:rsidRDefault="00C87CF9" w:rsidP="00C2566D">
      <w:pPr>
        <w:pStyle w:val="3Bodytext"/>
        <w:numPr>
          <w:ilvl w:val="0"/>
          <w:numId w:val="0"/>
        </w:numPr>
        <w:ind w:left="720" w:hanging="720"/>
        <w:rPr>
          <w:lang w:eastAsia="en-US"/>
        </w:rPr>
      </w:pPr>
      <w:r>
        <w:rPr>
          <w:rFonts w:ascii="Arial Narrow" w:hAnsi="Arial Narrow"/>
          <w:sz w:val="18"/>
          <w:szCs w:val="18"/>
        </w:rPr>
        <w:t>Source: Table 2.3, page 31 of submission</w:t>
      </w:r>
    </w:p>
    <w:p w14:paraId="47C71E56" w14:textId="41722940" w:rsidR="003204C1" w:rsidRPr="000250AA" w:rsidRDefault="003204C1" w:rsidP="003204C1">
      <w:pPr>
        <w:pStyle w:val="3-BodyText"/>
        <w:numPr>
          <w:ilvl w:val="1"/>
          <w:numId w:val="2"/>
        </w:numPr>
        <w:rPr>
          <w:iCs/>
        </w:rPr>
      </w:pPr>
      <w:r w:rsidRPr="000250AA">
        <w:rPr>
          <w:iCs/>
          <w:lang w:eastAsia="en-US"/>
        </w:rPr>
        <w:t>As a Committee Secretariat submission, no evaluation of the clinical evidence was undertaken</w:t>
      </w:r>
      <w:r w:rsidRPr="000250AA">
        <w:rPr>
          <w:iCs/>
        </w:rPr>
        <w:t>.</w:t>
      </w:r>
    </w:p>
    <w:p w14:paraId="2CDF3682" w14:textId="6DB62D11" w:rsidR="00C27C1C" w:rsidRPr="008306F3" w:rsidRDefault="00C27C1C" w:rsidP="005D171D">
      <w:pPr>
        <w:pStyle w:val="4-SubsectionHeading"/>
        <w:rPr>
          <w:lang w:eastAsia="en-US"/>
        </w:rPr>
      </w:pPr>
      <w:r w:rsidRPr="003C2FB5">
        <w:rPr>
          <w:lang w:eastAsia="en-US"/>
        </w:rPr>
        <w:t>Clinical claim</w:t>
      </w:r>
    </w:p>
    <w:p w14:paraId="1C68B9D6" w14:textId="223E2CBD" w:rsidR="00E23FF5" w:rsidRDefault="00C27C1C" w:rsidP="00D528F0">
      <w:pPr>
        <w:pStyle w:val="3Bodytext"/>
      </w:pPr>
      <w:bookmarkStart w:id="19" w:name="_Hlk84419969"/>
      <w:bookmarkStart w:id="20" w:name="_Hlk84419872"/>
      <w:r w:rsidRPr="003C2FB5">
        <w:t>The submission claimed</w:t>
      </w:r>
      <w:r w:rsidR="002D2D47">
        <w:t xml:space="preserve"> </w:t>
      </w:r>
      <w:r w:rsidR="00162DC3">
        <w:t xml:space="preserve">that </w:t>
      </w:r>
      <w:r w:rsidR="00162DC3" w:rsidRPr="00162DC3">
        <w:t>Herzuma</w:t>
      </w:r>
      <w:r w:rsidR="005B24A4">
        <w:t xml:space="preserve"> 440 mg</w:t>
      </w:r>
      <w:r w:rsidR="00162DC3" w:rsidRPr="00162DC3">
        <w:t xml:space="preserve"> was biosimilar to</w:t>
      </w:r>
      <w:r w:rsidR="005250E3">
        <w:t xml:space="preserve"> Herceptin</w:t>
      </w:r>
      <w:r w:rsidRPr="002D2D47">
        <w:t>.</w:t>
      </w:r>
      <w:r w:rsidR="00E23FF5">
        <w:t xml:space="preserve"> </w:t>
      </w:r>
      <w:bookmarkStart w:id="21" w:name="_Hlk86823448"/>
      <w:r w:rsidR="00D528F0" w:rsidRPr="00D528F0">
        <w:t xml:space="preserve">The PBAC considered that </w:t>
      </w:r>
      <w:r w:rsidR="00D528F0" w:rsidRPr="00162DC3">
        <w:t>Herzuma</w:t>
      </w:r>
      <w:r w:rsidR="00D528F0">
        <w:t xml:space="preserve"> 440 mg</w:t>
      </w:r>
      <w:r w:rsidR="00D528F0" w:rsidRPr="00162DC3">
        <w:t xml:space="preserve"> </w:t>
      </w:r>
      <w:r w:rsidR="00D528F0" w:rsidRPr="00D528F0">
        <w:t xml:space="preserve">was biosimilar to </w:t>
      </w:r>
      <w:r w:rsidR="00D528F0">
        <w:t>Herceptin</w:t>
      </w:r>
      <w:r w:rsidR="00D528F0" w:rsidRPr="00D528F0">
        <w:t xml:space="preserve"> based on </w:t>
      </w:r>
      <w:bookmarkEnd w:id="21"/>
      <w:r w:rsidR="00E23FF5">
        <w:t>the TGA approved Product Information</w:t>
      </w:r>
      <w:bookmarkEnd w:id="19"/>
      <w:r w:rsidR="00E23FF5">
        <w:t>.</w:t>
      </w:r>
      <w:r w:rsidRPr="002D2D47">
        <w:t xml:space="preserve"> </w:t>
      </w:r>
    </w:p>
    <w:bookmarkEnd w:id="20"/>
    <w:p w14:paraId="42EDF9BB" w14:textId="77777777" w:rsidR="00E23FF5" w:rsidRDefault="003E7503" w:rsidP="004953A9">
      <w:pPr>
        <w:pStyle w:val="3Bodytext"/>
      </w:pPr>
      <w:r>
        <w:t xml:space="preserve">The submission claimed that on a mg for mg basis Herzuma 440 mg is non-inferior to </w:t>
      </w:r>
      <w:bookmarkStart w:id="22" w:name="_Hlk87430454"/>
      <w:r>
        <w:t xml:space="preserve">trastuzumab 60 mg, 150 mg and 420 mg </w:t>
      </w:r>
      <w:bookmarkEnd w:id="22"/>
      <w:r>
        <w:t xml:space="preserve">in terms of both clinical efficacy and safety. </w:t>
      </w:r>
    </w:p>
    <w:p w14:paraId="0436CFE0" w14:textId="2D0EF939" w:rsidR="00C27C1C" w:rsidRDefault="002C2B14" w:rsidP="004953A9">
      <w:pPr>
        <w:pStyle w:val="3Bodytext"/>
      </w:pPr>
      <w:bookmarkStart w:id="23" w:name="_Hlk87428387"/>
      <w:r>
        <w:t>The submission claimed that the equi-effective doses is that 1 mg of trastuzumab in Herzuma 440</w:t>
      </w:r>
      <w:r w:rsidR="00AA11A2">
        <w:t xml:space="preserve"> </w:t>
      </w:r>
      <w:r>
        <w:t>mg is equivalent to 1 mg of trastuzumab in any other trastuzumab presentation.</w:t>
      </w:r>
    </w:p>
    <w:bookmarkEnd w:id="23"/>
    <w:p w14:paraId="2486713B" w14:textId="7BAF8F19" w:rsidR="001D2E7D" w:rsidRDefault="001D2E7D" w:rsidP="002E37BF">
      <w:pPr>
        <w:pStyle w:val="4-SubsectionHeading"/>
      </w:pPr>
      <w:r w:rsidRPr="003C2FB5">
        <w:rPr>
          <w:lang w:eastAsia="en-US"/>
        </w:rPr>
        <w:t xml:space="preserve">Clinical </w:t>
      </w:r>
      <w:r>
        <w:rPr>
          <w:lang w:eastAsia="en-US"/>
        </w:rPr>
        <w:t>need</w:t>
      </w:r>
    </w:p>
    <w:p w14:paraId="1DE3FE64" w14:textId="5A60894E" w:rsidR="00B473EC" w:rsidRPr="009B3BA7" w:rsidRDefault="001D2E7D" w:rsidP="00B473EC">
      <w:pPr>
        <w:pStyle w:val="3Bodytext"/>
        <w:jc w:val="both"/>
        <w:rPr>
          <w:i/>
          <w:iCs/>
        </w:rPr>
      </w:pPr>
      <w:bookmarkStart w:id="24" w:name="_Hlk84420180"/>
      <w:r>
        <w:t xml:space="preserve">The submission stated that </w:t>
      </w:r>
      <w:bookmarkStart w:id="25" w:name="_Hlk87432939"/>
      <w:r w:rsidRPr="008B1603">
        <w:t>Herzuma 440 mg provide</w:t>
      </w:r>
      <w:r>
        <w:t>s</w:t>
      </w:r>
      <w:r w:rsidRPr="008B1603">
        <w:t xml:space="preserve"> alternative large vial size</w:t>
      </w:r>
      <w:r>
        <w:t xml:space="preserve"> to </w:t>
      </w:r>
      <w:r w:rsidRPr="008B1603">
        <w:t>trastuzumab 420 mg vial (Kanjinti®)</w:t>
      </w:r>
      <w:bookmarkEnd w:id="25"/>
      <w:r w:rsidR="00B473EC">
        <w:t>, which is useful when preparing higher dose infusions, for example the 8 mg/kg loading dose</w:t>
      </w:r>
      <w:bookmarkEnd w:id="24"/>
      <w:r w:rsidR="00B473EC">
        <w:t>.</w:t>
      </w:r>
      <w:bookmarkStart w:id="26" w:name="_Hlk84421452"/>
    </w:p>
    <w:bookmarkEnd w:id="26"/>
    <w:p w14:paraId="4F26BD61" w14:textId="73B3C47A" w:rsidR="001D2E7D" w:rsidRDefault="00B473EC" w:rsidP="002E37BF">
      <w:pPr>
        <w:pStyle w:val="3Bodytext"/>
        <w:jc w:val="both"/>
        <w:rPr>
          <w:i/>
          <w:iCs/>
        </w:rPr>
      </w:pPr>
      <w:r>
        <w:t xml:space="preserve">The submission claimed that Herzuma 440 mg </w:t>
      </w:r>
      <w:r w:rsidR="001D2E7D">
        <w:t>is</w:t>
      </w:r>
      <w:r>
        <w:t xml:space="preserve"> the only</w:t>
      </w:r>
      <w:r w:rsidR="001D2E7D">
        <w:t xml:space="preserve"> multiuse vial that is stable after reconstitution for up to 28</w:t>
      </w:r>
      <w:r w:rsidR="00E35C7A">
        <w:t xml:space="preserve"> </w:t>
      </w:r>
      <w:r w:rsidR="001D2E7D">
        <w:t>day</w:t>
      </w:r>
      <w:r w:rsidR="00E35C7A">
        <w:t>s</w:t>
      </w:r>
      <w:r w:rsidR="001D2E7D">
        <w:t xml:space="preserve"> when stored refrigerated at 2 </w:t>
      </w:r>
      <w:r w:rsidR="001D2E7D" w:rsidRPr="002E37BF">
        <w:rPr>
          <w:vertAlign w:val="superscript"/>
        </w:rPr>
        <w:t>o</w:t>
      </w:r>
      <w:r w:rsidR="001D2E7D">
        <w:t xml:space="preserve">C to 8 </w:t>
      </w:r>
      <w:r w:rsidR="001D2E7D" w:rsidRPr="00B473EC">
        <w:rPr>
          <w:vertAlign w:val="superscript"/>
        </w:rPr>
        <w:t>o</w:t>
      </w:r>
      <w:r w:rsidR="001D2E7D">
        <w:t>C because it contains preservative</w:t>
      </w:r>
      <w:r>
        <w:t>. In addition, the submission claimed that</w:t>
      </w:r>
      <w:r w:rsidR="009046B4">
        <w:t xml:space="preserve"> the 440 mg strength will reduce waste, improve efficiency in dose preparation and reduce risk of contamination and dosing error. </w:t>
      </w:r>
      <w:r w:rsidR="00C54F91">
        <w:t>The PBAC considered this could</w:t>
      </w:r>
      <w:r w:rsidR="002E37BF" w:rsidRPr="000250AA">
        <w:t xml:space="preserve"> also be achieved by the existing PBS-listed trastuzumab 420 mg.</w:t>
      </w:r>
      <w:r w:rsidR="002E37BF" w:rsidRPr="002E37BF">
        <w:rPr>
          <w:i/>
          <w:iCs/>
        </w:rPr>
        <w:t xml:space="preserve"> </w:t>
      </w:r>
    </w:p>
    <w:p w14:paraId="0CCCD89E" w14:textId="2BD3C1C0" w:rsidR="002B115A" w:rsidRPr="005413F8" w:rsidRDefault="002B115A" w:rsidP="002B115A">
      <w:pPr>
        <w:pStyle w:val="3Bodytext"/>
        <w:numPr>
          <w:ilvl w:val="0"/>
          <w:numId w:val="0"/>
        </w:numPr>
        <w:ind w:left="720"/>
        <w:jc w:val="both"/>
        <w:rPr>
          <w:i/>
          <w:iCs/>
        </w:rPr>
      </w:pPr>
      <w:r w:rsidRPr="005413F8">
        <w:rPr>
          <w:i/>
          <w:iCs/>
        </w:rPr>
        <w:t>For more detail on PBAC’s view, see section 7 PBAC outcome.</w:t>
      </w:r>
    </w:p>
    <w:p w14:paraId="7E79A895" w14:textId="77777777" w:rsidR="001409D6" w:rsidRPr="006B24AF" w:rsidRDefault="001409D6" w:rsidP="006B24AF">
      <w:pPr>
        <w:pStyle w:val="Heading1"/>
        <w:keepLines/>
        <w:numPr>
          <w:ilvl w:val="0"/>
          <w:numId w:val="2"/>
        </w:numPr>
        <w:spacing w:before="240"/>
        <w:ind w:left="709" w:hanging="709"/>
        <w:rPr>
          <w:sz w:val="32"/>
          <w:szCs w:val="32"/>
        </w:rPr>
      </w:pPr>
      <w:bookmarkStart w:id="27" w:name="_Hlk84402135"/>
      <w:r w:rsidRPr="006B24AF">
        <w:rPr>
          <w:sz w:val="32"/>
          <w:szCs w:val="32"/>
        </w:rPr>
        <w:t>Estimated PBS utilisation and financial implications</w:t>
      </w:r>
    </w:p>
    <w:bookmarkEnd w:id="27"/>
    <w:p w14:paraId="4D908606" w14:textId="36544BC8" w:rsidR="00EF6BE4" w:rsidRDefault="00023FBF" w:rsidP="00BD4648">
      <w:pPr>
        <w:pStyle w:val="3Bodytext"/>
        <w:jc w:val="both"/>
      </w:pPr>
      <w:r w:rsidRPr="00023FBF">
        <w:t>The submission used a market share approach to estimate the usage of Herzuma 440</w:t>
      </w:r>
      <w:r w:rsidR="00AA11A2">
        <w:t> </w:t>
      </w:r>
      <w:r w:rsidRPr="00023FBF">
        <w:t xml:space="preserve">mg. </w:t>
      </w:r>
      <w:bookmarkStart w:id="28" w:name="_Hlk84420853"/>
      <w:r w:rsidR="00032AA1" w:rsidRPr="00032AA1">
        <w:t>The submission considered current growth of the market is not expected to change with a PBS listing of Herzuma 440 mg</w:t>
      </w:r>
      <w:r w:rsidR="004F7D77">
        <w:t xml:space="preserve">, assuming that the replacement of trastuzumab with Herzuma 440 mg will be on a 1:1 basis in terms of script volume. </w:t>
      </w:r>
      <w:bookmarkEnd w:id="28"/>
    </w:p>
    <w:p w14:paraId="4E0E9E28" w14:textId="77777777" w:rsidR="00AE41A6" w:rsidRDefault="00AE41A6" w:rsidP="00AE41A6">
      <w:pPr>
        <w:pStyle w:val="3Bodytext"/>
      </w:pPr>
      <w:r>
        <w:rPr>
          <w:lang w:eastAsia="en-US"/>
        </w:rPr>
        <w:t xml:space="preserve">The proposed approved ex-manufacturer price (AEMP) for Herzuma 440 mg was based on the AEMP of Herzuma 150 mg in June 2021. </w:t>
      </w:r>
      <w:bookmarkStart w:id="29" w:name="_Hlk87434047"/>
      <w:r>
        <w:rPr>
          <w:lang w:eastAsia="en-US"/>
        </w:rPr>
        <w:t>The submission stated that the proposed AEMP for Herzuma 440 mg has been calculated based on the same price per mg of trastuzumab.</w:t>
      </w:r>
    </w:p>
    <w:bookmarkEnd w:id="29"/>
    <w:p w14:paraId="21D6547A" w14:textId="77777777" w:rsidR="00AE41A6" w:rsidRDefault="00AE41A6" w:rsidP="00AE41A6">
      <w:pPr>
        <w:pStyle w:val="3Bodytext"/>
      </w:pPr>
      <w:r>
        <w:t xml:space="preserve">The submission acknowledged that there would be a price reduction to trastuzumab effective from 1 October 2021. Prior to 1 October 2021, the AEMP for Herzuma 150 mg was $375.39, which provided a price of $2.5026 per mg. Based on this price, the proposed AEMP for Herzuma 440 mg was $1101.14. </w:t>
      </w:r>
    </w:p>
    <w:p w14:paraId="36738E09" w14:textId="5285770D" w:rsidR="00AE41A6" w:rsidRDefault="00AE41A6" w:rsidP="00AE41A6">
      <w:pPr>
        <w:pStyle w:val="3Bodytext"/>
      </w:pPr>
      <w:r>
        <w:t xml:space="preserve">From 1 October 2021, the AEMP of trastuzumab 150 mg reduced to $315.26 ($2.1017 per mg). Based on this, the AEMP for Herzuma 440 mg would be $924.76. </w:t>
      </w:r>
    </w:p>
    <w:p w14:paraId="0A1CAE37" w14:textId="5B8F3FA0" w:rsidR="00AE41A6" w:rsidRPr="00335F71" w:rsidRDefault="00AE41A6" w:rsidP="00AE41A6">
      <w:pPr>
        <w:pStyle w:val="3Bodytext"/>
        <w:rPr>
          <w:i/>
          <w:iCs/>
        </w:rPr>
      </w:pPr>
      <w:r>
        <w:t xml:space="preserve">The submission claimed that the </w:t>
      </w:r>
      <w:r w:rsidR="00E35C7A">
        <w:t xml:space="preserve">dispensed price </w:t>
      </w:r>
      <w:r>
        <w:t>for maximum amount</w:t>
      </w:r>
      <w:r w:rsidR="00E35C7A">
        <w:t xml:space="preserve"> (DPMA)</w:t>
      </w:r>
      <w:r>
        <w:t xml:space="preserve"> of 500 mg and 1000 mg are expected to reduce because there is a reduction in wastage. </w:t>
      </w:r>
      <w:r w:rsidRPr="000250AA">
        <w:t xml:space="preserve">This claim is inappropriate because the DPMA is determined by a range of factors which do not include the reduction in wastage. </w:t>
      </w:r>
    </w:p>
    <w:p w14:paraId="0C4B4B90" w14:textId="1801EF53" w:rsidR="00D305FF" w:rsidRDefault="00D305FF" w:rsidP="00D305FF">
      <w:pPr>
        <w:pStyle w:val="3Bodytext"/>
      </w:pPr>
      <w:r>
        <w:t xml:space="preserve">The submission claimed that the listing of Herzuma 440 mg will be cost neutral, because the proposed price is based on an equivalent price per mg, compared with Herzuma 150 mg. </w:t>
      </w:r>
    </w:p>
    <w:p w14:paraId="2F90FDF0" w14:textId="06EE2642" w:rsidR="00314C22" w:rsidRDefault="00C924D7" w:rsidP="0039336D">
      <w:pPr>
        <w:pStyle w:val="3Bodytext"/>
      </w:pPr>
      <w:r>
        <w:t xml:space="preserve">The submission indicated that </w:t>
      </w:r>
      <w:r w:rsidR="00AA11A2">
        <w:t xml:space="preserve">the </w:t>
      </w:r>
      <w:r>
        <w:t xml:space="preserve">alignment of the Herzuma 440 mg </w:t>
      </w:r>
      <w:r w:rsidR="00D305FF">
        <w:t xml:space="preserve">price with </w:t>
      </w:r>
      <w:r>
        <w:t>other trastuzumab vials/brands means that any change in the relative market share of trastuzumab</w:t>
      </w:r>
      <w:r w:rsidR="00D305FF">
        <w:t xml:space="preserve"> forms</w:t>
      </w:r>
      <w:r>
        <w:t xml:space="preserve"> will not </w:t>
      </w:r>
      <w:r w:rsidR="00D305FF">
        <w:t>affect</w:t>
      </w:r>
      <w:r>
        <w:t xml:space="preserve"> the net financial impact.</w:t>
      </w:r>
    </w:p>
    <w:p w14:paraId="5E660791" w14:textId="2481213C" w:rsidR="00AE41A6" w:rsidRDefault="00AE41A6" w:rsidP="00541AAD">
      <w:pPr>
        <w:pStyle w:val="3Bodytext"/>
      </w:pPr>
      <w:bookmarkStart w:id="30" w:name="_Hlk84421029"/>
      <w:r>
        <w:t xml:space="preserve">The </w:t>
      </w:r>
      <w:r w:rsidRPr="00FA2209">
        <w:t xml:space="preserve">submission stated that the </w:t>
      </w:r>
      <w:r>
        <w:t xml:space="preserve">proposed </w:t>
      </w:r>
      <w:r w:rsidRPr="00BD4648">
        <w:t>listing of Herzuma</w:t>
      </w:r>
      <w:r>
        <w:t xml:space="preserve"> 440 mg </w:t>
      </w:r>
      <w:r w:rsidRPr="00BD4648">
        <w:t xml:space="preserve">is estimated to save the PBS/RPBS </w:t>
      </w:r>
      <w:r w:rsidR="00541AAD" w:rsidRPr="00541AAD">
        <w:t>$0 to &lt; $10 million</w:t>
      </w:r>
      <w:r w:rsidR="00541AAD">
        <w:t xml:space="preserve"> </w:t>
      </w:r>
      <w:r>
        <w:t>in Year</w:t>
      </w:r>
      <w:r w:rsidRPr="00BD4648">
        <w:t xml:space="preserve"> 1, increasing to </w:t>
      </w:r>
      <w:r w:rsidR="00541AAD" w:rsidRPr="00541AAD">
        <w:t>$0 to &lt; $10 million</w:t>
      </w:r>
      <w:r w:rsidR="00541AAD">
        <w:t xml:space="preserve"> </w:t>
      </w:r>
      <w:r w:rsidRPr="00BD4648">
        <w:t xml:space="preserve">in Year 6. </w:t>
      </w:r>
      <w:r w:rsidRPr="0043760D">
        <w:t>The submission claimed that these estimates did not account for the anticipated price disclosure reductions effective from 1 October 2021.</w:t>
      </w:r>
      <w:r w:rsidRPr="000250AA">
        <w:rPr>
          <w:iCs/>
        </w:rPr>
        <w:t xml:space="preserve"> </w:t>
      </w:r>
      <w:bookmarkStart w:id="31" w:name="_Hlk88722535"/>
    </w:p>
    <w:bookmarkEnd w:id="30"/>
    <w:bookmarkEnd w:id="31"/>
    <w:p w14:paraId="35D9356B" w14:textId="4EA19284" w:rsidR="003639B1" w:rsidRDefault="003639B1" w:rsidP="003639B1">
      <w:pPr>
        <w:pStyle w:val="ListParagraph"/>
        <w:numPr>
          <w:ilvl w:val="1"/>
          <w:numId w:val="2"/>
        </w:numPr>
        <w:jc w:val="both"/>
        <w:rPr>
          <w:iCs/>
        </w:rPr>
      </w:pPr>
      <w:r w:rsidRPr="000250AA">
        <w:rPr>
          <w:iCs/>
        </w:rPr>
        <w:t>As a Committee Secretariat submission, the financial estimates have not been independently evaluated.</w:t>
      </w:r>
    </w:p>
    <w:p w14:paraId="277EB922" w14:textId="17988E6F" w:rsidR="002B115A" w:rsidRPr="005413F8" w:rsidRDefault="002B115A" w:rsidP="002B115A">
      <w:pPr>
        <w:pStyle w:val="ListBullet"/>
        <w:numPr>
          <w:ilvl w:val="0"/>
          <w:numId w:val="0"/>
        </w:numPr>
        <w:ind w:left="720"/>
        <w:rPr>
          <w:i/>
          <w:iCs/>
        </w:rPr>
      </w:pPr>
      <w:r w:rsidRPr="005413F8">
        <w:rPr>
          <w:i/>
          <w:iCs/>
        </w:rPr>
        <w:t>For more detail on PBAC’s view, see section 7 PBAC outcome.</w:t>
      </w:r>
    </w:p>
    <w:p w14:paraId="150202A9" w14:textId="24AC9829" w:rsidR="000C73FD" w:rsidRDefault="000C73FD" w:rsidP="000C73FD">
      <w:pPr>
        <w:pStyle w:val="2-SectionHeading"/>
        <w:rPr>
          <w:lang w:eastAsia="en-US"/>
        </w:rPr>
      </w:pPr>
      <w:r>
        <w:rPr>
          <w:lang w:eastAsia="en-US"/>
        </w:rPr>
        <w:t>PBAC Outcome</w:t>
      </w:r>
    </w:p>
    <w:p w14:paraId="10F9291F" w14:textId="381E2E8B" w:rsidR="00A553CA" w:rsidRPr="00FC6762" w:rsidRDefault="00A553CA" w:rsidP="00FC6762">
      <w:pPr>
        <w:pStyle w:val="3Bodytext"/>
        <w:numPr>
          <w:ilvl w:val="1"/>
          <w:numId w:val="42"/>
        </w:numPr>
        <w:rPr>
          <w:snapToGrid w:val="0"/>
          <w:lang w:val="en-GB"/>
        </w:rPr>
      </w:pPr>
      <w:bookmarkStart w:id="32" w:name="_Hlk88144647"/>
      <w:bookmarkStart w:id="33" w:name="_Hlk87441516"/>
      <w:bookmarkStart w:id="34" w:name="_Hlk87431228"/>
      <w:r w:rsidRPr="00FC6762">
        <w:rPr>
          <w:snapToGrid w:val="0"/>
          <w:lang w:val="en-GB"/>
        </w:rPr>
        <w:t xml:space="preserve">The PBAC recommended the listing of </w:t>
      </w:r>
      <w:r w:rsidR="0065648C" w:rsidRPr="008B1198">
        <w:t xml:space="preserve">of </w:t>
      </w:r>
      <w:r w:rsidR="0065648C">
        <w:t xml:space="preserve">a new vial size </w:t>
      </w:r>
      <w:r w:rsidR="007B620B">
        <w:t xml:space="preserve">of </w:t>
      </w:r>
      <w:r w:rsidR="0065648C">
        <w:t>440 mg trastuzumab</w:t>
      </w:r>
      <w:r w:rsidR="00A1362B">
        <w:t xml:space="preserve"> (</w:t>
      </w:r>
      <w:r w:rsidR="00A1362B" w:rsidRPr="00A1362B">
        <w:t>Herzuma 4</w:t>
      </w:r>
      <w:r w:rsidR="003C685C">
        <w:t>4</w:t>
      </w:r>
      <w:r w:rsidR="00A1362B" w:rsidRPr="00A1362B">
        <w:t>0</w:t>
      </w:r>
      <w:r w:rsidR="00D8128A">
        <w:t> </w:t>
      </w:r>
      <w:r w:rsidR="00A1362B" w:rsidRPr="00A1362B">
        <w:t>mg</w:t>
      </w:r>
      <w:r w:rsidR="00A1362B">
        <w:t>)</w:t>
      </w:r>
      <w:r w:rsidR="0065648C">
        <w:t xml:space="preserve"> </w:t>
      </w:r>
      <w:r w:rsidR="007B620B">
        <w:t xml:space="preserve">as </w:t>
      </w:r>
      <w:r w:rsidR="0065648C">
        <w:t xml:space="preserve">S100 EFC </w:t>
      </w:r>
      <w:r w:rsidR="0065648C" w:rsidRPr="008B1198">
        <w:t>Authority Required (STREAMLINED)</w:t>
      </w:r>
      <w:r w:rsidR="007B620B">
        <w:t xml:space="preserve"> </w:t>
      </w:r>
      <w:r w:rsidRPr="00FC6762">
        <w:rPr>
          <w:snapToGrid w:val="0"/>
          <w:lang w:val="en-GB"/>
        </w:rPr>
        <w:t xml:space="preserve">under the same </w:t>
      </w:r>
      <w:r w:rsidR="00CA4B9F">
        <w:rPr>
          <w:snapToGrid w:val="0"/>
          <w:lang w:val="en-GB"/>
        </w:rPr>
        <w:t>conditions</w:t>
      </w:r>
      <w:r w:rsidR="00CA4B9F" w:rsidRPr="00FC6762">
        <w:rPr>
          <w:snapToGrid w:val="0"/>
          <w:lang w:val="en-GB"/>
        </w:rPr>
        <w:t xml:space="preserve"> </w:t>
      </w:r>
      <w:r w:rsidRPr="00FC6762">
        <w:rPr>
          <w:snapToGrid w:val="0"/>
          <w:lang w:val="en-GB"/>
        </w:rPr>
        <w:t>as the current</w:t>
      </w:r>
      <w:r w:rsidR="00E132EC" w:rsidRPr="00FC6762">
        <w:rPr>
          <w:snapToGrid w:val="0"/>
          <w:lang w:val="en-GB"/>
        </w:rPr>
        <w:t>ly</w:t>
      </w:r>
      <w:r w:rsidRPr="00FC6762">
        <w:rPr>
          <w:snapToGrid w:val="0"/>
          <w:lang w:val="en-GB"/>
        </w:rPr>
        <w:t xml:space="preserve"> trastuzumab 60 mg, 150 mg and 420 mg listings</w:t>
      </w:r>
      <w:bookmarkEnd w:id="32"/>
      <w:r w:rsidRPr="00FC6762">
        <w:rPr>
          <w:snapToGrid w:val="0"/>
          <w:lang w:val="en-GB"/>
        </w:rPr>
        <w:t>.</w:t>
      </w:r>
      <w:r w:rsidR="0065648C" w:rsidRPr="00FC6762">
        <w:rPr>
          <w:rFonts w:ascii="Calibri" w:eastAsia="Times New Roman" w:hAnsi="Calibri" w:cs="Times New Roman"/>
          <w:szCs w:val="24"/>
        </w:rPr>
        <w:t xml:space="preserve"> </w:t>
      </w:r>
      <w:r w:rsidR="0065648C" w:rsidRPr="00FC6762">
        <w:rPr>
          <w:snapToGrid w:val="0"/>
        </w:rPr>
        <w:t xml:space="preserve">The PBAC’s recommendation for listing was based on, among other matters, its assessment that the cost-effectiveness of </w:t>
      </w:r>
      <w:r w:rsidR="00353575" w:rsidRPr="00671228">
        <w:t>Herzuma</w:t>
      </w:r>
      <w:r w:rsidR="00353575">
        <w:t xml:space="preserve"> </w:t>
      </w:r>
      <w:r w:rsidR="003C685C">
        <w:t>440 </w:t>
      </w:r>
      <w:r w:rsidR="00353575">
        <w:t>mg</w:t>
      </w:r>
      <w:r w:rsidR="0065648C" w:rsidRPr="00FC6762">
        <w:rPr>
          <w:snapToGrid w:val="0"/>
        </w:rPr>
        <w:t xml:space="preserve"> would be acceptable if it </w:t>
      </w:r>
      <w:r w:rsidR="00FC6762" w:rsidRPr="00FC6762">
        <w:rPr>
          <w:snapToGrid w:val="0"/>
        </w:rPr>
        <w:t xml:space="preserve">was </w:t>
      </w:r>
      <w:r w:rsidR="0065648C" w:rsidRPr="00FC6762">
        <w:rPr>
          <w:snapToGrid w:val="0"/>
        </w:rPr>
        <w:t xml:space="preserve">cost-minimised to </w:t>
      </w:r>
      <w:r w:rsidR="00353575" w:rsidRPr="00FC6762">
        <w:rPr>
          <w:snapToGrid w:val="0"/>
          <w:lang w:val="en-GB"/>
        </w:rPr>
        <w:t xml:space="preserve">trastuzumab 60 mg, 150 mg and 420 mg </w:t>
      </w:r>
      <w:bookmarkEnd w:id="33"/>
      <w:r w:rsidR="00FC6762" w:rsidRPr="00FC6762">
        <w:rPr>
          <w:bCs/>
          <w:snapToGrid w:val="0"/>
        </w:rPr>
        <w:t>for the indication</w:t>
      </w:r>
      <w:r w:rsidR="007B109A">
        <w:rPr>
          <w:bCs/>
          <w:snapToGrid w:val="0"/>
        </w:rPr>
        <w:t>s</w:t>
      </w:r>
      <w:r w:rsidR="00FC6762" w:rsidRPr="00FC6762">
        <w:rPr>
          <w:bCs/>
          <w:snapToGrid w:val="0"/>
        </w:rPr>
        <w:t xml:space="preserve"> listed under the following PBS codes:</w:t>
      </w:r>
      <w:r w:rsidR="00FC6762" w:rsidRPr="00FC6762">
        <w:t xml:space="preserve"> </w:t>
      </w:r>
      <w:r w:rsidR="00FC6762" w:rsidRPr="00FD78EB">
        <w:t>4632T; 4639E; 4650R; 4703M; 7264H; 7265J; 7266K; 7267L;</w:t>
      </w:r>
      <w:r w:rsidR="00FC6762">
        <w:t xml:space="preserve"> </w:t>
      </w:r>
      <w:r w:rsidR="00FC6762" w:rsidRPr="00FD78EB">
        <w:t>10383L;</w:t>
      </w:r>
      <w:r w:rsidR="00FC6762">
        <w:t xml:space="preserve"> </w:t>
      </w:r>
      <w:r w:rsidR="00FC6762" w:rsidRPr="00FD78EB">
        <w:t>10391X;</w:t>
      </w:r>
      <w:r w:rsidR="00FC6762">
        <w:t xml:space="preserve"> </w:t>
      </w:r>
      <w:r w:rsidR="00FC6762" w:rsidRPr="00FD78EB">
        <w:t>10401K;</w:t>
      </w:r>
      <w:r w:rsidR="00FC6762">
        <w:t xml:space="preserve"> </w:t>
      </w:r>
      <w:r w:rsidR="00FC6762" w:rsidRPr="00FD78EB">
        <w:t>10402L;</w:t>
      </w:r>
      <w:r w:rsidR="00FC6762">
        <w:t xml:space="preserve"> </w:t>
      </w:r>
      <w:r w:rsidR="00FC6762" w:rsidRPr="00FD78EB">
        <w:t>10581X;</w:t>
      </w:r>
      <w:r w:rsidR="00FC6762">
        <w:t xml:space="preserve"> </w:t>
      </w:r>
      <w:r w:rsidR="00FC6762" w:rsidRPr="00FD78EB">
        <w:t>10588G;</w:t>
      </w:r>
      <w:r w:rsidR="00FC6762">
        <w:t xml:space="preserve"> </w:t>
      </w:r>
      <w:r w:rsidR="00FC6762" w:rsidRPr="00FD78EB">
        <w:t>10589H and 10597R</w:t>
      </w:r>
      <w:r w:rsidR="00FC6762">
        <w:t>.</w:t>
      </w:r>
      <w:r w:rsidR="0065648C" w:rsidRPr="00FC6762">
        <w:rPr>
          <w:snapToGrid w:val="0"/>
          <w:lang w:val="en-GB"/>
        </w:rPr>
        <w:t xml:space="preserve"> </w:t>
      </w:r>
    </w:p>
    <w:bookmarkEnd w:id="34"/>
    <w:p w14:paraId="7B4351BB" w14:textId="5BED1F54" w:rsidR="00D528F0" w:rsidRDefault="00D528F0" w:rsidP="00D528F0">
      <w:pPr>
        <w:pStyle w:val="3Bodytext"/>
      </w:pPr>
      <w:r>
        <w:t xml:space="preserve">The PBAC </w:t>
      </w:r>
      <w:r w:rsidR="00140F4A">
        <w:t xml:space="preserve">accepted </w:t>
      </w:r>
      <w:r>
        <w:t>that 1 mg of trastuzumab in Herzuma 440 mg is equivalent to 1 mg of trastuzumab in any other trastuzumab presentation.</w:t>
      </w:r>
    </w:p>
    <w:p w14:paraId="7238F002" w14:textId="32D7BB26" w:rsidR="00A553CA" w:rsidRPr="00C54F91" w:rsidRDefault="00A553CA" w:rsidP="000C73FD">
      <w:pPr>
        <w:pStyle w:val="3Bodytext"/>
        <w:rPr>
          <w:snapToGrid w:val="0"/>
          <w:lang w:val="en-GB"/>
        </w:rPr>
      </w:pPr>
      <w:r>
        <w:rPr>
          <w:snapToGrid w:val="0"/>
          <w:lang w:val="en-GB"/>
        </w:rPr>
        <w:t>The PBAC considered that</w:t>
      </w:r>
      <w:r w:rsidR="006567D5" w:rsidRPr="006567D5">
        <w:rPr>
          <w:rFonts w:ascii="Calibri" w:eastAsia="Times New Roman" w:hAnsi="Calibri" w:cs="Times New Roman"/>
          <w:snapToGrid w:val="0"/>
          <w:szCs w:val="24"/>
          <w:lang w:val="en-GB"/>
        </w:rPr>
        <w:t xml:space="preserve"> </w:t>
      </w:r>
      <w:r w:rsidR="006567D5" w:rsidRPr="006567D5">
        <w:rPr>
          <w:snapToGrid w:val="0"/>
          <w:lang w:val="en-GB"/>
        </w:rPr>
        <w:t>the clinical claim of</w:t>
      </w:r>
      <w:r>
        <w:rPr>
          <w:snapToGrid w:val="0"/>
          <w:lang w:val="en-GB"/>
        </w:rPr>
        <w:t xml:space="preserve"> </w:t>
      </w:r>
      <w:r w:rsidR="006567D5" w:rsidRPr="006567D5">
        <w:rPr>
          <w:snapToGrid w:val="0"/>
        </w:rPr>
        <w:t xml:space="preserve">non-inferior comparative effectiveness </w:t>
      </w:r>
      <w:r w:rsidR="006567D5">
        <w:rPr>
          <w:snapToGrid w:val="0"/>
        </w:rPr>
        <w:t xml:space="preserve">and </w:t>
      </w:r>
      <w:r w:rsidR="006567D5" w:rsidRPr="006567D5">
        <w:rPr>
          <w:snapToGrid w:val="0"/>
        </w:rPr>
        <w:t>non-inferior comparative safety</w:t>
      </w:r>
      <w:r w:rsidR="006567D5">
        <w:rPr>
          <w:snapToGrid w:val="0"/>
        </w:rPr>
        <w:t xml:space="preserve"> between</w:t>
      </w:r>
      <w:r w:rsidR="006567D5" w:rsidRPr="006567D5">
        <w:rPr>
          <w:snapToGrid w:val="0"/>
        </w:rPr>
        <w:t xml:space="preserve"> </w:t>
      </w:r>
      <w:bookmarkStart w:id="35" w:name="_Hlk87430678"/>
      <w:r>
        <w:rPr>
          <w:snapToGrid w:val="0"/>
          <w:lang w:val="en-GB"/>
        </w:rPr>
        <w:t>Herzuma</w:t>
      </w:r>
      <w:r w:rsidR="006567D5">
        <w:rPr>
          <w:snapToGrid w:val="0"/>
          <w:lang w:val="en-GB"/>
        </w:rPr>
        <w:t xml:space="preserve"> 4</w:t>
      </w:r>
      <w:r w:rsidR="003C685C">
        <w:rPr>
          <w:snapToGrid w:val="0"/>
          <w:lang w:val="en-GB"/>
        </w:rPr>
        <w:t>4</w:t>
      </w:r>
      <w:r w:rsidR="006567D5">
        <w:rPr>
          <w:snapToGrid w:val="0"/>
          <w:lang w:val="en-GB"/>
        </w:rPr>
        <w:t>0 mg</w:t>
      </w:r>
      <w:r>
        <w:rPr>
          <w:snapToGrid w:val="0"/>
          <w:lang w:val="en-GB"/>
        </w:rPr>
        <w:t xml:space="preserve"> </w:t>
      </w:r>
      <w:bookmarkEnd w:id="35"/>
      <w:r>
        <w:rPr>
          <w:snapToGrid w:val="0"/>
          <w:lang w:val="en-GB"/>
        </w:rPr>
        <w:t xml:space="preserve">trastuzumab </w:t>
      </w:r>
      <w:r w:rsidR="006567D5" w:rsidRPr="006567D5">
        <w:rPr>
          <w:snapToGrid w:val="0"/>
        </w:rPr>
        <w:t xml:space="preserve">60 mg, 150 mg and </w:t>
      </w:r>
      <w:r>
        <w:rPr>
          <w:snapToGrid w:val="0"/>
          <w:lang w:val="en-GB"/>
        </w:rPr>
        <w:t xml:space="preserve">420 mg </w:t>
      </w:r>
      <w:r w:rsidR="006567D5">
        <w:rPr>
          <w:rFonts w:cstheme="minorHAnsi"/>
          <w:snapToGrid w:val="0"/>
          <w:lang w:val="en-GB"/>
        </w:rPr>
        <w:t xml:space="preserve">were </w:t>
      </w:r>
      <w:r w:rsidR="0036318A" w:rsidRPr="0036318A">
        <w:rPr>
          <w:rFonts w:cstheme="minorHAnsi"/>
          <w:snapToGrid w:val="0"/>
          <w:lang w:val="en-GB"/>
        </w:rPr>
        <w:t>reasonable</w:t>
      </w:r>
      <w:r w:rsidR="00781DC9">
        <w:rPr>
          <w:rFonts w:cstheme="minorHAnsi"/>
          <w:snapToGrid w:val="0"/>
          <w:lang w:val="en-GB"/>
        </w:rPr>
        <w:t>.</w:t>
      </w:r>
    </w:p>
    <w:p w14:paraId="38401471" w14:textId="238DFD15" w:rsidR="00C54F91" w:rsidRPr="0093331E" w:rsidRDefault="00C54F91" w:rsidP="000C73FD">
      <w:pPr>
        <w:pStyle w:val="3Bodytext"/>
        <w:rPr>
          <w:snapToGrid w:val="0"/>
          <w:lang w:val="en-GB"/>
        </w:rPr>
      </w:pPr>
      <w:r>
        <w:rPr>
          <w:snapToGrid w:val="0"/>
        </w:rPr>
        <w:t xml:space="preserve">The PBAC considered </w:t>
      </w:r>
      <w:r w:rsidRPr="00C54F91">
        <w:rPr>
          <w:snapToGrid w:val="0"/>
        </w:rPr>
        <w:t xml:space="preserve">Herzuma 440 mg </w:t>
      </w:r>
      <w:r w:rsidR="00A30B84">
        <w:rPr>
          <w:snapToGrid w:val="0"/>
        </w:rPr>
        <w:t xml:space="preserve">would </w:t>
      </w:r>
      <w:r w:rsidRPr="00C54F91">
        <w:rPr>
          <w:snapToGrid w:val="0"/>
        </w:rPr>
        <w:t xml:space="preserve">provide </w:t>
      </w:r>
      <w:r w:rsidR="00D8128A">
        <w:rPr>
          <w:snapToGrid w:val="0"/>
        </w:rPr>
        <w:t xml:space="preserve">an </w:t>
      </w:r>
      <w:r w:rsidRPr="00C54F91">
        <w:rPr>
          <w:snapToGrid w:val="0"/>
        </w:rPr>
        <w:t>alternative large vial size to trastuzumab 420 mg vial (Kanjinti)</w:t>
      </w:r>
      <w:r w:rsidR="0031656B">
        <w:rPr>
          <w:snapToGrid w:val="0"/>
        </w:rPr>
        <w:t>.</w:t>
      </w:r>
    </w:p>
    <w:p w14:paraId="0649D630" w14:textId="2379E77B" w:rsidR="0031656B" w:rsidRDefault="0031656B" w:rsidP="0031656B">
      <w:pPr>
        <w:pStyle w:val="3Bodytext"/>
      </w:pPr>
      <w:r>
        <w:rPr>
          <w:snapToGrid w:val="0"/>
        </w:rPr>
        <w:t xml:space="preserve">The PBAC </w:t>
      </w:r>
      <w:r w:rsidRPr="0033199B">
        <w:rPr>
          <w:snapToGrid w:val="0"/>
        </w:rPr>
        <w:t xml:space="preserve">considered the proposed price of </w:t>
      </w:r>
      <w:r>
        <w:rPr>
          <w:lang w:eastAsia="en-US"/>
        </w:rPr>
        <w:t>Herzuma 440 mg</w:t>
      </w:r>
      <w:r w:rsidRPr="0033199B">
        <w:rPr>
          <w:snapToGrid w:val="0"/>
        </w:rPr>
        <w:t xml:space="preserve">, which was </w:t>
      </w:r>
      <w:r>
        <w:rPr>
          <w:snapToGrid w:val="0"/>
        </w:rPr>
        <w:t>based on the same price per mg as</w:t>
      </w:r>
      <w:r w:rsidRPr="0033199B">
        <w:rPr>
          <w:snapToGrid w:val="0"/>
        </w:rPr>
        <w:t xml:space="preserve"> the currently listed 1</w:t>
      </w:r>
      <w:r>
        <w:rPr>
          <w:snapToGrid w:val="0"/>
        </w:rPr>
        <w:t xml:space="preserve">50 </w:t>
      </w:r>
      <w:r w:rsidRPr="0033199B">
        <w:rPr>
          <w:snapToGrid w:val="0"/>
        </w:rPr>
        <w:t>mg</w:t>
      </w:r>
      <w:r w:rsidR="00D8128A">
        <w:rPr>
          <w:snapToGrid w:val="0"/>
        </w:rPr>
        <w:t>,</w:t>
      </w:r>
      <w:r w:rsidRPr="0033199B">
        <w:rPr>
          <w:snapToGrid w:val="0"/>
        </w:rPr>
        <w:t xml:space="preserve"> was appropriate</w:t>
      </w:r>
      <w:r>
        <w:rPr>
          <w:lang w:eastAsia="en-US"/>
        </w:rPr>
        <w:t>.</w:t>
      </w:r>
    </w:p>
    <w:p w14:paraId="247F978D" w14:textId="695F51CC" w:rsidR="003C685C" w:rsidRPr="003C685C" w:rsidRDefault="003C685C" w:rsidP="00A962D9">
      <w:pPr>
        <w:pStyle w:val="3Bodytext"/>
        <w:rPr>
          <w:snapToGrid w:val="0"/>
          <w:lang w:val="en-GB"/>
        </w:rPr>
      </w:pPr>
      <w:r w:rsidRPr="003C685C">
        <w:rPr>
          <w:rFonts w:cstheme="minorHAnsi"/>
          <w:szCs w:val="24"/>
        </w:rPr>
        <w:t>The PBAC considered the financial estimates model presented in the submission to support its claim of a cost save is inaccurate.</w:t>
      </w:r>
      <w:r w:rsidRPr="003C685C">
        <w:rPr>
          <w:rFonts w:eastAsiaTheme="minorEastAsia" w:cstheme="minorHAnsi"/>
          <w:szCs w:val="24"/>
        </w:rPr>
        <w:t xml:space="preserve"> </w:t>
      </w:r>
    </w:p>
    <w:p w14:paraId="7812707A" w14:textId="73152A76" w:rsidR="00781DC9" w:rsidRPr="0036318A" w:rsidRDefault="00781DC9" w:rsidP="000C73FD">
      <w:pPr>
        <w:pStyle w:val="3Bodytext"/>
        <w:rPr>
          <w:snapToGrid w:val="0"/>
          <w:lang w:val="en-GB"/>
        </w:rPr>
      </w:pPr>
      <w:r>
        <w:rPr>
          <w:rFonts w:cstheme="minorHAnsi"/>
          <w:snapToGrid w:val="0"/>
          <w:lang w:val="en-GB"/>
        </w:rPr>
        <w:t xml:space="preserve">The PBAC </w:t>
      </w:r>
      <w:r w:rsidR="00114610">
        <w:rPr>
          <w:rFonts w:cstheme="minorHAnsi"/>
          <w:snapToGrid w:val="0"/>
          <w:lang w:val="en-GB"/>
        </w:rPr>
        <w:t xml:space="preserve">noted </w:t>
      </w:r>
      <w:r>
        <w:rPr>
          <w:rFonts w:cstheme="minorHAnsi"/>
          <w:snapToGrid w:val="0"/>
          <w:lang w:val="en-GB"/>
        </w:rPr>
        <w:t xml:space="preserve">the listing of Herzuma </w:t>
      </w:r>
      <w:r w:rsidR="007B109A" w:rsidRPr="007B109A">
        <w:rPr>
          <w:rFonts w:cstheme="minorHAnsi"/>
          <w:snapToGrid w:val="0"/>
          <w:lang w:val="en-GB"/>
        </w:rPr>
        <w:t xml:space="preserve">440 mg </w:t>
      </w:r>
      <w:r>
        <w:rPr>
          <w:rFonts w:cstheme="minorHAnsi"/>
          <w:snapToGrid w:val="0"/>
          <w:lang w:val="en-GB"/>
        </w:rPr>
        <w:t>would be cost neutral</w:t>
      </w:r>
      <w:r w:rsidR="00114610" w:rsidRPr="00114610">
        <w:rPr>
          <w:rFonts w:ascii="Calibri" w:eastAsia="Times New Roman" w:hAnsi="Calibri" w:cs="Arial"/>
          <w:bCs/>
          <w:snapToGrid w:val="0"/>
          <w:szCs w:val="24"/>
        </w:rPr>
        <w:t xml:space="preserve"> </w:t>
      </w:r>
      <w:r w:rsidR="00114610" w:rsidRPr="00114610">
        <w:rPr>
          <w:rFonts w:cstheme="minorHAnsi"/>
          <w:bCs/>
          <w:snapToGrid w:val="0"/>
        </w:rPr>
        <w:t>to the government</w:t>
      </w:r>
      <w:r>
        <w:rPr>
          <w:rFonts w:cstheme="minorHAnsi"/>
          <w:snapToGrid w:val="0"/>
          <w:lang w:val="en-GB"/>
        </w:rPr>
        <w:t>.</w:t>
      </w:r>
    </w:p>
    <w:p w14:paraId="029BBC4C" w14:textId="658BF89C" w:rsidR="0036318A" w:rsidRPr="004C6340" w:rsidRDefault="0036318A" w:rsidP="0036318A">
      <w:pPr>
        <w:pStyle w:val="3Bodytext"/>
        <w:jc w:val="both"/>
        <w:rPr>
          <w:rFonts w:cs="Arial"/>
          <w:bCs/>
          <w:snapToGrid w:val="0"/>
        </w:rPr>
      </w:pPr>
      <w:r w:rsidRPr="00A033A3">
        <w:t xml:space="preserve">The PBAC noted that its recommendation was on a cost-minimisation basis and advised that, because </w:t>
      </w:r>
      <w:r w:rsidRPr="0036318A">
        <w:rPr>
          <w:rFonts w:eastAsia="Calibri"/>
          <w:lang w:val="en-GB" w:eastAsia="en-US"/>
        </w:rPr>
        <w:t xml:space="preserve">Herzuma </w:t>
      </w:r>
      <w:bookmarkStart w:id="36" w:name="_Hlk88150027"/>
      <w:r w:rsidR="007B109A" w:rsidRPr="0036318A">
        <w:rPr>
          <w:rFonts w:eastAsia="Calibri"/>
          <w:lang w:val="en-GB" w:eastAsia="en-US"/>
        </w:rPr>
        <w:t>4</w:t>
      </w:r>
      <w:r w:rsidR="007B109A">
        <w:rPr>
          <w:rFonts w:eastAsia="Calibri"/>
          <w:lang w:val="en-GB" w:eastAsia="en-US"/>
        </w:rPr>
        <w:t>4</w:t>
      </w:r>
      <w:r w:rsidR="007B109A" w:rsidRPr="0036318A">
        <w:rPr>
          <w:rFonts w:eastAsia="Calibri"/>
          <w:lang w:val="en-GB" w:eastAsia="en-US"/>
        </w:rPr>
        <w:t xml:space="preserve">0 </w:t>
      </w:r>
      <w:r w:rsidRPr="0036318A">
        <w:rPr>
          <w:rFonts w:eastAsia="Calibri"/>
          <w:lang w:val="en-GB" w:eastAsia="en-US"/>
        </w:rPr>
        <w:t xml:space="preserve">mg </w:t>
      </w:r>
      <w:bookmarkEnd w:id="36"/>
      <w:r w:rsidRPr="00462013">
        <w:t xml:space="preserve">is not expected to provide a substantial and clinically relevant improvement in efficacy, or reduction of toxicity over </w:t>
      </w:r>
      <w:r>
        <w:t>curren</w:t>
      </w:r>
      <w:r w:rsidR="00C54F91">
        <w:t>tly</w:t>
      </w:r>
      <w:r>
        <w:t xml:space="preserve"> </w:t>
      </w:r>
      <w:r w:rsidRPr="0036318A">
        <w:rPr>
          <w:lang w:val="en-GB" w:eastAsia="en-US"/>
        </w:rPr>
        <w:t xml:space="preserve">trastuzumab </w:t>
      </w:r>
      <w:r>
        <w:rPr>
          <w:lang w:eastAsia="en-US"/>
        </w:rPr>
        <w:t>listings</w:t>
      </w:r>
      <w:r w:rsidRPr="00A033A3">
        <w:t xml:space="preserve">, or not expected to address a high and urgent unmet clinical need given the presence of an alternative therapy, the criteria prescribed by the </w:t>
      </w:r>
      <w:r w:rsidRPr="00A033A3">
        <w:rPr>
          <w:i/>
        </w:rPr>
        <w:t>National Health (Pharmaceuticals and Vaccines – Cost Recovery) Regulations 2009</w:t>
      </w:r>
      <w:r w:rsidRPr="00A033A3">
        <w:t xml:space="preserve"> for Pricing </w:t>
      </w:r>
      <w:r w:rsidRPr="004C6340">
        <w:rPr>
          <w:rFonts w:cs="Arial"/>
          <w:bCs/>
          <w:snapToGrid w:val="0"/>
        </w:rPr>
        <w:t>Pathway A were not met.</w:t>
      </w:r>
    </w:p>
    <w:p w14:paraId="4A67AA29" w14:textId="357BC63A" w:rsidR="00BE6466" w:rsidRDefault="00BE6466" w:rsidP="000C73FD">
      <w:pPr>
        <w:pStyle w:val="3Bodytext"/>
        <w:rPr>
          <w:snapToGrid w:val="0"/>
          <w:lang w:val="en-GB"/>
        </w:rPr>
      </w:pPr>
      <w:bookmarkStart w:id="37" w:name="_Hlk87277806"/>
      <w:r>
        <w:rPr>
          <w:rFonts w:cstheme="minorHAnsi"/>
          <w:snapToGrid w:val="0"/>
          <w:lang w:val="en-GB"/>
        </w:rPr>
        <w:t>The PBAC noted that this submission is not eligible for an Independent Review as it received a positive recommendation.</w:t>
      </w:r>
    </w:p>
    <w:bookmarkEnd w:id="37"/>
    <w:p w14:paraId="0C5625F4" w14:textId="7A49EB31" w:rsidR="000C73FD" w:rsidRDefault="002C32C9" w:rsidP="002C32C9">
      <w:pPr>
        <w:pStyle w:val="3Bodytext"/>
        <w:numPr>
          <w:ilvl w:val="0"/>
          <w:numId w:val="0"/>
        </w:numPr>
        <w:rPr>
          <w:b/>
          <w:bCs/>
          <w:lang w:eastAsia="en-US"/>
        </w:rPr>
      </w:pPr>
      <w:r>
        <w:rPr>
          <w:b/>
          <w:bCs/>
          <w:lang w:eastAsia="en-US"/>
        </w:rPr>
        <w:t>Outcome:</w:t>
      </w:r>
    </w:p>
    <w:p w14:paraId="00D0BF06" w14:textId="2AD9A627" w:rsidR="002C32C9" w:rsidRDefault="002C32C9" w:rsidP="002C32C9">
      <w:pPr>
        <w:pStyle w:val="3Bodytext"/>
        <w:numPr>
          <w:ilvl w:val="0"/>
          <w:numId w:val="0"/>
        </w:numPr>
        <w:rPr>
          <w:lang w:eastAsia="en-US"/>
        </w:rPr>
      </w:pPr>
      <w:r>
        <w:rPr>
          <w:lang w:eastAsia="en-US"/>
        </w:rPr>
        <w:t>Recommended</w:t>
      </w:r>
    </w:p>
    <w:p w14:paraId="5D54AE74" w14:textId="1EFEFF97" w:rsidR="002C32C9" w:rsidRDefault="002C32C9" w:rsidP="002C32C9">
      <w:pPr>
        <w:pStyle w:val="2-SectionHeading"/>
        <w:rPr>
          <w:lang w:eastAsia="en-US"/>
        </w:rPr>
      </w:pPr>
      <w:r>
        <w:rPr>
          <w:lang w:eastAsia="en-US"/>
        </w:rPr>
        <w:t>Recommended listing</w:t>
      </w:r>
    </w:p>
    <w:p w14:paraId="7B391995" w14:textId="21149D9B" w:rsidR="00A30B84" w:rsidRPr="003B436C" w:rsidRDefault="002C32C9" w:rsidP="00A30B84">
      <w:pPr>
        <w:pStyle w:val="3Bodytext"/>
      </w:pPr>
      <w:r>
        <w:rPr>
          <w:lang w:eastAsia="en-US"/>
        </w:rPr>
        <w:t xml:space="preserve">Add </w:t>
      </w:r>
      <w:r w:rsidR="00ED4024">
        <w:rPr>
          <w:lang w:eastAsia="en-US"/>
        </w:rPr>
        <w:t xml:space="preserve">new </w:t>
      </w:r>
      <w:r w:rsidR="003B4F41">
        <w:rPr>
          <w:lang w:eastAsia="en-US"/>
        </w:rPr>
        <w:t>medicinal pack</w:t>
      </w:r>
      <w:r w:rsidR="00097C59">
        <w:rPr>
          <w:lang w:eastAsia="en-US"/>
        </w:rPr>
        <w:t xml:space="preserve">, </w:t>
      </w:r>
      <w:r w:rsidR="003B4F41">
        <w:rPr>
          <w:lang w:eastAsia="en-US"/>
        </w:rPr>
        <w:t>(t</w:t>
      </w:r>
      <w:r w:rsidR="003B4F41" w:rsidRPr="003B4F41">
        <w:rPr>
          <w:lang w:eastAsia="en-US"/>
        </w:rPr>
        <w:t xml:space="preserve">rastuzumab </w:t>
      </w:r>
      <w:r w:rsidR="003B4F41">
        <w:rPr>
          <w:lang w:eastAsia="en-US"/>
        </w:rPr>
        <w:t>p</w:t>
      </w:r>
      <w:r w:rsidR="003B4F41" w:rsidRPr="003B4F41">
        <w:rPr>
          <w:lang w:eastAsia="en-US"/>
        </w:rPr>
        <w:t>owder for I.V. infusion 440 mg</w:t>
      </w:r>
      <w:r w:rsidR="009516A2">
        <w:rPr>
          <w:lang w:eastAsia="en-US"/>
        </w:rPr>
        <w:t xml:space="preserve"> under the same circumstances as the current trastuzumab 60 mg, 150 mg and 420 mg listings</w:t>
      </w:r>
      <w:r w:rsidR="003B4F41">
        <w:t xml:space="preserve"> as follows:</w:t>
      </w:r>
    </w:p>
    <w:tbl>
      <w:tblPr>
        <w:tblStyle w:val="TableGrid"/>
        <w:tblW w:w="0" w:type="auto"/>
        <w:tblLook w:val="04A0" w:firstRow="1" w:lastRow="0" w:firstColumn="1" w:lastColumn="0" w:noHBand="0" w:noVBand="1"/>
      </w:tblPr>
      <w:tblGrid>
        <w:gridCol w:w="3005"/>
        <w:gridCol w:w="3005"/>
        <w:gridCol w:w="3006"/>
      </w:tblGrid>
      <w:tr w:rsidR="00EC3C91" w14:paraId="6F9A8CA4" w14:textId="77777777" w:rsidTr="00B535EA">
        <w:trPr>
          <w:tblHeader/>
        </w:trPr>
        <w:tc>
          <w:tcPr>
            <w:tcW w:w="3005" w:type="dxa"/>
          </w:tcPr>
          <w:p w14:paraId="7D17E6EF" w14:textId="77777777" w:rsidR="00EC3C91" w:rsidRPr="00EC3C91" w:rsidRDefault="00EC3C91" w:rsidP="00EC3C91">
            <w:pPr>
              <w:pStyle w:val="TableText0"/>
              <w:rPr>
                <w:rStyle w:val="SmallBold"/>
                <w:rFonts w:ascii="Arial Narrow" w:hAnsi="Arial Narrow"/>
                <w:szCs w:val="20"/>
              </w:rPr>
            </w:pPr>
            <w:bookmarkStart w:id="38" w:name="_GoBack" w:colFirst="0" w:colLast="3"/>
            <w:r w:rsidRPr="00EC3C91">
              <w:rPr>
                <w:rStyle w:val="SmallBold"/>
                <w:rFonts w:ascii="Arial Narrow" w:hAnsi="Arial Narrow"/>
                <w:szCs w:val="20"/>
              </w:rPr>
              <w:t>MEDICINAL PRODUCT</w:t>
            </w:r>
          </w:p>
          <w:p w14:paraId="1988F489" w14:textId="19035D3B" w:rsidR="00EC3C91" w:rsidRPr="00EC3C91" w:rsidRDefault="00EC3C91" w:rsidP="00EC3C91">
            <w:pPr>
              <w:pStyle w:val="3Bodytext"/>
              <w:numPr>
                <w:ilvl w:val="0"/>
                <w:numId w:val="0"/>
              </w:numPr>
              <w:rPr>
                <w:rFonts w:ascii="Arial Narrow" w:hAnsi="Arial Narrow"/>
                <w:sz w:val="20"/>
                <w:szCs w:val="20"/>
                <w:lang w:eastAsia="en-US"/>
              </w:rPr>
            </w:pPr>
            <w:r w:rsidRPr="00EC3C91">
              <w:rPr>
                <w:rStyle w:val="SmallBold"/>
                <w:rFonts w:ascii="Arial Narrow" w:hAnsi="Arial Narrow"/>
                <w:szCs w:val="20"/>
              </w:rPr>
              <w:t>medicinal product pack</w:t>
            </w:r>
          </w:p>
        </w:tc>
        <w:tc>
          <w:tcPr>
            <w:tcW w:w="3005" w:type="dxa"/>
          </w:tcPr>
          <w:p w14:paraId="3619F0DB" w14:textId="64CC1C73" w:rsidR="00EC3C91" w:rsidRPr="00EC3C91" w:rsidRDefault="00EC3C91" w:rsidP="00EC3C91">
            <w:pPr>
              <w:pStyle w:val="3Bodytext"/>
              <w:numPr>
                <w:ilvl w:val="0"/>
                <w:numId w:val="0"/>
              </w:numPr>
              <w:rPr>
                <w:rFonts w:ascii="Arial Narrow" w:hAnsi="Arial Narrow"/>
                <w:sz w:val="20"/>
                <w:szCs w:val="20"/>
                <w:lang w:eastAsia="en-US"/>
              </w:rPr>
            </w:pPr>
            <w:r w:rsidRPr="00EC3C91">
              <w:rPr>
                <w:rFonts w:ascii="Arial Narrow" w:hAnsi="Arial Narrow" w:cs="Arial"/>
                <w:b/>
                <w:sz w:val="20"/>
                <w:szCs w:val="20"/>
              </w:rPr>
              <w:t>PBS item code</w:t>
            </w:r>
          </w:p>
        </w:tc>
        <w:tc>
          <w:tcPr>
            <w:tcW w:w="3006" w:type="dxa"/>
          </w:tcPr>
          <w:p w14:paraId="1C39C72B" w14:textId="273EC82F" w:rsidR="00EC3C91" w:rsidRPr="00EC3C91" w:rsidRDefault="00EC3C91" w:rsidP="00EC3C91">
            <w:pPr>
              <w:pStyle w:val="3Bodytext"/>
              <w:numPr>
                <w:ilvl w:val="0"/>
                <w:numId w:val="0"/>
              </w:numPr>
              <w:rPr>
                <w:rFonts w:ascii="Arial Narrow" w:hAnsi="Arial Narrow"/>
                <w:sz w:val="20"/>
                <w:szCs w:val="20"/>
                <w:lang w:eastAsia="en-US"/>
              </w:rPr>
            </w:pPr>
            <w:r w:rsidRPr="00EC3C91">
              <w:rPr>
                <w:rStyle w:val="SmallBold"/>
                <w:rFonts w:ascii="Arial Narrow" w:hAnsi="Arial Narrow"/>
                <w:szCs w:val="20"/>
              </w:rPr>
              <w:t>Proprietary Name, Manufacturer</w:t>
            </w:r>
          </w:p>
        </w:tc>
      </w:tr>
      <w:bookmarkEnd w:id="38"/>
      <w:tr w:rsidR="00EC3C91" w14:paraId="13CAD397" w14:textId="77777777" w:rsidTr="00EC3C91">
        <w:tc>
          <w:tcPr>
            <w:tcW w:w="3005" w:type="dxa"/>
          </w:tcPr>
          <w:p w14:paraId="57E8D3C2" w14:textId="77777777" w:rsidR="00EC3C91" w:rsidRPr="00EC3C91" w:rsidRDefault="00EC3C91" w:rsidP="00EC3C91">
            <w:pPr>
              <w:pStyle w:val="TableText0"/>
              <w:rPr>
                <w:szCs w:val="20"/>
              </w:rPr>
            </w:pPr>
            <w:r w:rsidRPr="00EC3C91">
              <w:rPr>
                <w:szCs w:val="20"/>
              </w:rPr>
              <w:t>TRASTUZUMAB</w:t>
            </w:r>
          </w:p>
          <w:p w14:paraId="17126F7C" w14:textId="1A10A41A" w:rsidR="00EC3C91" w:rsidRPr="00EC3C91" w:rsidRDefault="00EC3C91" w:rsidP="00EC3C91">
            <w:pPr>
              <w:pStyle w:val="3Bodytext"/>
              <w:numPr>
                <w:ilvl w:val="0"/>
                <w:numId w:val="0"/>
              </w:numPr>
              <w:rPr>
                <w:rFonts w:ascii="Arial Narrow" w:hAnsi="Arial Narrow"/>
                <w:sz w:val="20"/>
                <w:szCs w:val="20"/>
                <w:lang w:eastAsia="en-US"/>
              </w:rPr>
            </w:pPr>
            <w:r w:rsidRPr="00EC3C91">
              <w:rPr>
                <w:rFonts w:ascii="Arial Narrow" w:hAnsi="Arial Narrow"/>
                <w:sz w:val="20"/>
                <w:szCs w:val="20"/>
              </w:rPr>
              <w:t>Trastuzumab powder for I.V. infusion 440 mg</w:t>
            </w:r>
          </w:p>
        </w:tc>
        <w:tc>
          <w:tcPr>
            <w:tcW w:w="3005" w:type="dxa"/>
          </w:tcPr>
          <w:p w14:paraId="394B9DEC" w14:textId="175F9768" w:rsidR="00EC3C91" w:rsidRPr="00EC3C91" w:rsidRDefault="00EC3C91" w:rsidP="00EC3C91">
            <w:pPr>
              <w:pStyle w:val="3Bodytext"/>
              <w:numPr>
                <w:ilvl w:val="0"/>
                <w:numId w:val="0"/>
              </w:numPr>
              <w:rPr>
                <w:rFonts w:ascii="Arial Narrow" w:hAnsi="Arial Narrow"/>
                <w:sz w:val="20"/>
                <w:szCs w:val="20"/>
                <w:lang w:eastAsia="en-US"/>
              </w:rPr>
            </w:pPr>
            <w:r w:rsidRPr="00EC3C91">
              <w:rPr>
                <w:rFonts w:ascii="Arial Narrow" w:hAnsi="Arial Narrow"/>
                <w:sz w:val="20"/>
                <w:szCs w:val="20"/>
              </w:rPr>
              <w:t>4632T; 4639E; 4650R; 4703M; 7264H; 7265J; 7266K; 7267L; 10383L; 10391X; 10401K; 10402L; 10581X; 10588G; 10589H and 10597R</w:t>
            </w:r>
          </w:p>
        </w:tc>
        <w:tc>
          <w:tcPr>
            <w:tcW w:w="3006" w:type="dxa"/>
          </w:tcPr>
          <w:p w14:paraId="5249FD9D" w14:textId="20622F0E" w:rsidR="00EC3C91" w:rsidRPr="00EC3C91" w:rsidRDefault="00EC3C91" w:rsidP="00EC3C91">
            <w:pPr>
              <w:pStyle w:val="3Bodytext"/>
              <w:numPr>
                <w:ilvl w:val="0"/>
                <w:numId w:val="0"/>
              </w:numPr>
              <w:rPr>
                <w:rFonts w:ascii="Arial Narrow" w:eastAsia="Calibri" w:hAnsi="Arial Narrow"/>
                <w:sz w:val="20"/>
                <w:szCs w:val="20"/>
                <w:lang w:eastAsia="en-US"/>
              </w:rPr>
            </w:pPr>
            <w:r w:rsidRPr="00EC3C91">
              <w:rPr>
                <w:rFonts w:ascii="Arial Narrow" w:eastAsia="Calibri" w:hAnsi="Arial Narrow"/>
                <w:sz w:val="20"/>
                <w:szCs w:val="20"/>
                <w:lang w:eastAsia="en-US"/>
              </w:rPr>
              <w:t xml:space="preserve">Herzuma </w:t>
            </w:r>
          </w:p>
          <w:p w14:paraId="24F63137" w14:textId="7B9348AC" w:rsidR="00EC3C91" w:rsidRPr="00EC3C91" w:rsidRDefault="00EC3C91" w:rsidP="00EC3C91">
            <w:pPr>
              <w:pStyle w:val="3Bodytext"/>
              <w:numPr>
                <w:ilvl w:val="0"/>
                <w:numId w:val="0"/>
              </w:numPr>
              <w:rPr>
                <w:rFonts w:ascii="Arial Narrow" w:hAnsi="Arial Narrow"/>
                <w:sz w:val="20"/>
                <w:szCs w:val="20"/>
                <w:lang w:eastAsia="en-US"/>
              </w:rPr>
            </w:pPr>
            <w:r w:rsidRPr="00EC3C91">
              <w:rPr>
                <w:rFonts w:ascii="Arial Narrow" w:eastAsia="Calibri" w:hAnsi="Arial Narrow"/>
                <w:sz w:val="20"/>
                <w:szCs w:val="20"/>
                <w:lang w:eastAsia="en-US"/>
              </w:rPr>
              <w:t>Celltrion Healthcare Australia Pty Ltd</w:t>
            </w:r>
          </w:p>
        </w:tc>
      </w:tr>
    </w:tbl>
    <w:p w14:paraId="5A787BB7" w14:textId="6E58122D" w:rsidR="002C32C9" w:rsidRDefault="002C32C9" w:rsidP="002C32C9">
      <w:pPr>
        <w:rPr>
          <w:lang w:eastAsia="en-US"/>
        </w:rPr>
      </w:pPr>
    </w:p>
    <w:p w14:paraId="5667D3E5" w14:textId="2849D7D5" w:rsidR="003F0B04" w:rsidRDefault="003F0B04" w:rsidP="003F0B04">
      <w:pPr>
        <w:rPr>
          <w:rFonts w:asciiTheme="minorHAnsi" w:hAnsiTheme="minorHAnsi" w:cstheme="minorHAnsi"/>
          <w:b/>
          <w:i/>
        </w:rPr>
      </w:pPr>
      <w:r w:rsidRPr="00A033A3">
        <w:rPr>
          <w:rFonts w:asciiTheme="minorHAnsi" w:hAnsiTheme="minorHAnsi" w:cstheme="minorHAnsi"/>
          <w:b/>
          <w:i/>
        </w:rPr>
        <w:t>This restriction may be subject to further review. Should there be any changes made to the restriction the Sponsor will be informed.</w:t>
      </w:r>
    </w:p>
    <w:p w14:paraId="33E9D50E" w14:textId="77777777" w:rsidR="003F0B04" w:rsidRDefault="003F0B04" w:rsidP="003F0B04">
      <w:pPr>
        <w:rPr>
          <w:rFonts w:asciiTheme="minorHAnsi" w:hAnsiTheme="minorHAnsi" w:cstheme="minorHAnsi"/>
          <w:b/>
          <w:i/>
        </w:rPr>
      </w:pPr>
    </w:p>
    <w:p w14:paraId="2DA84205" w14:textId="3497CFBE" w:rsidR="004A1A6C" w:rsidRPr="001C3533" w:rsidRDefault="004A1A6C" w:rsidP="001C3533">
      <w:pPr>
        <w:pStyle w:val="2-SectionHeading"/>
        <w:rPr>
          <w:lang w:eastAsia="en-US"/>
        </w:rPr>
      </w:pPr>
      <w:r w:rsidRPr="001C3533">
        <w:rPr>
          <w:lang w:eastAsia="en-US"/>
        </w:rPr>
        <w:t>Context for Decision</w:t>
      </w:r>
    </w:p>
    <w:p w14:paraId="2AF986C5" w14:textId="77777777" w:rsidR="004A1A6C" w:rsidRPr="007129F2" w:rsidRDefault="004A1A6C" w:rsidP="001C3533">
      <w:pPr>
        <w:spacing w:after="120"/>
        <w:ind w:left="720"/>
        <w:rPr>
          <w:rFonts w:cs="Arial"/>
          <w:bCs/>
          <w:lang w:val="en-GB"/>
        </w:rPr>
      </w:pPr>
      <w:r w:rsidRPr="007129F2">
        <w:rPr>
          <w:rFonts w:cs="Arial"/>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41B3FBF3" w14:textId="54CEE4BA" w:rsidR="004A1A6C" w:rsidRPr="001C3533" w:rsidRDefault="004A1A6C" w:rsidP="001C3533">
      <w:pPr>
        <w:pStyle w:val="2-SectionHeading"/>
        <w:rPr>
          <w:b w:val="0"/>
          <w:lang w:eastAsia="en-US"/>
        </w:rPr>
      </w:pPr>
      <w:r>
        <w:rPr>
          <w:lang w:eastAsia="en-US"/>
        </w:rPr>
        <w:t>Sponsor’s Comment</w:t>
      </w:r>
    </w:p>
    <w:p w14:paraId="049A7B02" w14:textId="2A3D39B8" w:rsidR="004A1A6C" w:rsidRPr="001179AC" w:rsidRDefault="00EC2E98" w:rsidP="001C3533">
      <w:pPr>
        <w:spacing w:after="120"/>
        <w:ind w:left="720"/>
        <w:rPr>
          <w:rFonts w:cs="Arial"/>
          <w:bCs/>
        </w:rPr>
      </w:pPr>
      <w:r>
        <w:rPr>
          <w:rFonts w:cs="Arial"/>
          <w:bCs/>
        </w:rPr>
        <w:t>The Sponsor thanks the PBAC for its deliberations.</w:t>
      </w:r>
    </w:p>
    <w:p w14:paraId="43BE3B10" w14:textId="77777777" w:rsidR="003F0B04" w:rsidRDefault="003F0B04" w:rsidP="002C32C9">
      <w:pPr>
        <w:rPr>
          <w:lang w:eastAsia="en-US"/>
        </w:rPr>
      </w:pPr>
    </w:p>
    <w:p w14:paraId="3D9C1B7C" w14:textId="77777777" w:rsidR="002C32C9" w:rsidRPr="002C32C9" w:rsidRDefault="002C32C9" w:rsidP="002C32C9">
      <w:pPr>
        <w:rPr>
          <w:lang w:eastAsia="en-US"/>
        </w:rPr>
      </w:pPr>
    </w:p>
    <w:sectPr w:rsidR="002C32C9" w:rsidRPr="002C32C9" w:rsidSect="00C27B58">
      <w:headerReference w:type="even" r:id="rId8"/>
      <w:headerReference w:type="default" r:id="rId9"/>
      <w:footerReference w:type="even" r:id="rId10"/>
      <w:footerReference w:type="default" r:id="rId11"/>
      <w:footerReference w:type="first" r:id="rId12"/>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C8C2E7" w14:textId="77777777" w:rsidR="004928B2" w:rsidRDefault="004928B2">
      <w:r>
        <w:separator/>
      </w:r>
    </w:p>
    <w:p w14:paraId="50E9D3DC" w14:textId="77777777" w:rsidR="004928B2" w:rsidRDefault="004928B2"/>
  </w:endnote>
  <w:endnote w:type="continuationSeparator" w:id="0">
    <w:p w14:paraId="5EFE8DD1" w14:textId="77777777" w:rsidR="004928B2" w:rsidRDefault="004928B2">
      <w:r>
        <w:continuationSeparator/>
      </w:r>
    </w:p>
    <w:p w14:paraId="6693837C" w14:textId="77777777" w:rsidR="004928B2" w:rsidRDefault="004928B2"/>
  </w:endnote>
  <w:endnote w:type="continuationNotice" w:id="1">
    <w:p w14:paraId="4FF4F5F0" w14:textId="77777777" w:rsidR="004928B2" w:rsidRDefault="004928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rial Bold">
    <w:altName w:val="Arial"/>
    <w:panose1 w:val="020B07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1278EB" w14:paraId="4075D3FE" w14:textId="77777777" w:rsidTr="005A3173">
      <w:trPr>
        <w:trHeight w:val="151"/>
      </w:trPr>
      <w:tc>
        <w:tcPr>
          <w:tcW w:w="2250" w:type="pct"/>
          <w:tcBorders>
            <w:top w:val="nil"/>
            <w:left w:val="nil"/>
            <w:bottom w:val="single" w:sz="4" w:space="0" w:color="4F81BD"/>
            <w:right w:val="nil"/>
          </w:tcBorders>
        </w:tcPr>
        <w:p w14:paraId="096D0DDE" w14:textId="77777777" w:rsidR="001278EB" w:rsidRPr="005A3173" w:rsidRDefault="001278EB" w:rsidP="005A3173">
          <w:pPr>
            <w:pStyle w:val="Header"/>
            <w:spacing w:line="276" w:lineRule="auto"/>
            <w:rPr>
              <w:rFonts w:eastAsia="MS Gothic"/>
              <w:b/>
              <w:bCs/>
              <w:color w:val="4F81BD"/>
            </w:rPr>
          </w:pPr>
        </w:p>
      </w:tc>
      <w:tc>
        <w:tcPr>
          <w:tcW w:w="500" w:type="pct"/>
          <w:vMerge w:val="restart"/>
          <w:noWrap/>
          <w:vAlign w:val="center"/>
          <w:hideMark/>
        </w:tcPr>
        <w:p w14:paraId="37B9A2BD" w14:textId="77777777" w:rsidR="001278EB" w:rsidRPr="005A3173" w:rsidRDefault="001278EB"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67A50320" w14:textId="77777777" w:rsidR="001278EB" w:rsidRPr="005A3173" w:rsidRDefault="001278EB" w:rsidP="005A3173">
          <w:pPr>
            <w:pStyle w:val="Header"/>
            <w:spacing w:line="276" w:lineRule="auto"/>
            <w:rPr>
              <w:rFonts w:eastAsia="MS Gothic"/>
              <w:b/>
              <w:bCs/>
              <w:color w:val="4F81BD"/>
            </w:rPr>
          </w:pPr>
        </w:p>
      </w:tc>
    </w:tr>
    <w:tr w:rsidR="001278EB" w14:paraId="32EF4DB8" w14:textId="77777777" w:rsidTr="005A3173">
      <w:trPr>
        <w:trHeight w:val="150"/>
      </w:trPr>
      <w:tc>
        <w:tcPr>
          <w:tcW w:w="2250" w:type="pct"/>
          <w:tcBorders>
            <w:top w:val="single" w:sz="4" w:space="0" w:color="4F81BD"/>
            <w:left w:val="nil"/>
            <w:bottom w:val="nil"/>
            <w:right w:val="nil"/>
          </w:tcBorders>
        </w:tcPr>
        <w:p w14:paraId="03528A4C" w14:textId="77777777" w:rsidR="001278EB" w:rsidRPr="005A3173" w:rsidRDefault="001278EB" w:rsidP="005A3173">
          <w:pPr>
            <w:pStyle w:val="Header"/>
            <w:spacing w:line="276" w:lineRule="auto"/>
            <w:rPr>
              <w:rFonts w:eastAsia="MS Gothic"/>
              <w:b/>
              <w:bCs/>
              <w:color w:val="4F81BD"/>
            </w:rPr>
          </w:pPr>
        </w:p>
      </w:tc>
      <w:tc>
        <w:tcPr>
          <w:tcW w:w="0" w:type="auto"/>
          <w:vMerge/>
          <w:vAlign w:val="center"/>
          <w:hideMark/>
        </w:tcPr>
        <w:p w14:paraId="109042FB" w14:textId="77777777" w:rsidR="001278EB" w:rsidRPr="005A3173" w:rsidRDefault="001278EB" w:rsidP="005A3173">
          <w:pPr>
            <w:rPr>
              <w:color w:val="365F91"/>
              <w:sz w:val="22"/>
              <w:szCs w:val="22"/>
            </w:rPr>
          </w:pPr>
        </w:p>
      </w:tc>
      <w:tc>
        <w:tcPr>
          <w:tcW w:w="2250" w:type="pct"/>
          <w:tcBorders>
            <w:top w:val="single" w:sz="4" w:space="0" w:color="4F81BD"/>
            <w:left w:val="nil"/>
            <w:bottom w:val="nil"/>
            <w:right w:val="nil"/>
          </w:tcBorders>
        </w:tcPr>
        <w:p w14:paraId="09664199" w14:textId="77777777" w:rsidR="001278EB" w:rsidRPr="005A3173" w:rsidRDefault="001278EB" w:rsidP="005A3173">
          <w:pPr>
            <w:pStyle w:val="Header"/>
            <w:spacing w:line="276" w:lineRule="auto"/>
            <w:rPr>
              <w:rFonts w:eastAsia="MS Gothic"/>
              <w:b/>
              <w:bCs/>
              <w:color w:val="4F81BD"/>
            </w:rPr>
          </w:pPr>
        </w:p>
      </w:tc>
    </w:tr>
  </w:tbl>
  <w:p w14:paraId="21855C18" w14:textId="77777777" w:rsidR="001278EB" w:rsidRDefault="001278EB"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42ACCCE" w14:textId="77777777" w:rsidR="001278EB" w:rsidRDefault="001278EB">
    <w:pPr>
      <w:pStyle w:val="Footer"/>
    </w:pPr>
  </w:p>
  <w:p w14:paraId="48FFA445" w14:textId="77777777" w:rsidR="001278EB" w:rsidRDefault="001278EB"/>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8324527"/>
      <w:docPartObj>
        <w:docPartGallery w:val="Page Numbers (Bottom of Page)"/>
        <w:docPartUnique/>
      </w:docPartObj>
    </w:sdtPr>
    <w:sdtEndPr>
      <w:rPr>
        <w:b/>
        <w:bCs/>
        <w:noProof/>
      </w:rPr>
    </w:sdtEndPr>
    <w:sdtContent>
      <w:p w14:paraId="14E11FF3" w14:textId="77777777" w:rsidR="000250AA" w:rsidRDefault="000250AA">
        <w:pPr>
          <w:pStyle w:val="Footer"/>
          <w:jc w:val="center"/>
        </w:pPr>
      </w:p>
      <w:p w14:paraId="740D0648" w14:textId="406BBC8E" w:rsidR="000250AA" w:rsidRPr="000250AA" w:rsidRDefault="000250AA">
        <w:pPr>
          <w:pStyle w:val="Footer"/>
          <w:jc w:val="center"/>
          <w:rPr>
            <w:b/>
            <w:bCs/>
          </w:rPr>
        </w:pPr>
        <w:r w:rsidRPr="000250AA">
          <w:rPr>
            <w:b/>
            <w:bCs/>
          </w:rPr>
          <w:fldChar w:fldCharType="begin"/>
        </w:r>
        <w:r w:rsidRPr="000250AA">
          <w:rPr>
            <w:b/>
            <w:bCs/>
          </w:rPr>
          <w:instrText xml:space="preserve"> PAGE   \* MERGEFORMAT </w:instrText>
        </w:r>
        <w:r w:rsidRPr="000250AA">
          <w:rPr>
            <w:b/>
            <w:bCs/>
          </w:rPr>
          <w:fldChar w:fldCharType="separate"/>
        </w:r>
        <w:r w:rsidR="00B535EA">
          <w:rPr>
            <w:b/>
            <w:bCs/>
            <w:noProof/>
          </w:rPr>
          <w:t>6</w:t>
        </w:r>
        <w:r w:rsidRPr="000250AA">
          <w:rPr>
            <w:b/>
            <w:bCs/>
            <w:noProof/>
          </w:rPr>
          <w:fldChar w:fldCharType="end"/>
        </w:r>
      </w:p>
    </w:sdtContent>
  </w:sdt>
  <w:p w14:paraId="355827FE" w14:textId="79ABC94B" w:rsidR="001278EB" w:rsidRPr="00D429EC" w:rsidRDefault="001278EB" w:rsidP="00A510E4">
    <w:pPr>
      <w:pStyle w:val="PBACFooter"/>
      <w:rPr>
        <w:rFonts w:asciiTheme="minorHAnsi" w:hAnsiTheme="minorHAnsi" w:cstheme="minorHAnsi"/>
        <w:sz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3887"/>
      <w:gridCol w:w="1252"/>
      <w:gridCol w:w="3887"/>
    </w:tblGrid>
    <w:tr w:rsidR="001278EB" w14:paraId="1B1A9BFB" w14:textId="77777777" w:rsidTr="005A3173">
      <w:trPr>
        <w:trHeight w:val="151"/>
      </w:trPr>
      <w:tc>
        <w:tcPr>
          <w:tcW w:w="2250" w:type="pct"/>
          <w:tcBorders>
            <w:top w:val="nil"/>
            <w:left w:val="nil"/>
            <w:bottom w:val="single" w:sz="4" w:space="0" w:color="4F81BD"/>
            <w:right w:val="nil"/>
          </w:tcBorders>
        </w:tcPr>
        <w:p w14:paraId="1AEC0F9B" w14:textId="77777777" w:rsidR="001278EB" w:rsidRPr="005A3173" w:rsidRDefault="001278EB" w:rsidP="005A3173">
          <w:pPr>
            <w:pStyle w:val="Header"/>
            <w:spacing w:line="276" w:lineRule="auto"/>
            <w:rPr>
              <w:rFonts w:eastAsia="MS Gothic"/>
              <w:b/>
              <w:bCs/>
              <w:color w:val="4F81BD"/>
            </w:rPr>
          </w:pPr>
        </w:p>
      </w:tc>
      <w:tc>
        <w:tcPr>
          <w:tcW w:w="500" w:type="pct"/>
          <w:vMerge w:val="restart"/>
          <w:noWrap/>
          <w:vAlign w:val="center"/>
          <w:hideMark/>
        </w:tcPr>
        <w:p w14:paraId="6D1F795C" w14:textId="77777777" w:rsidR="001278EB" w:rsidRPr="005A3173" w:rsidRDefault="001278EB"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6B7FA645" w14:textId="77777777" w:rsidR="001278EB" w:rsidRPr="005A3173" w:rsidRDefault="001278EB" w:rsidP="005A3173">
          <w:pPr>
            <w:pStyle w:val="Header"/>
            <w:spacing w:line="276" w:lineRule="auto"/>
            <w:rPr>
              <w:rFonts w:eastAsia="MS Gothic"/>
              <w:b/>
              <w:bCs/>
              <w:color w:val="4F81BD"/>
            </w:rPr>
          </w:pPr>
        </w:p>
      </w:tc>
    </w:tr>
    <w:tr w:rsidR="001278EB" w14:paraId="0A17FD7B" w14:textId="77777777" w:rsidTr="005A3173">
      <w:trPr>
        <w:trHeight w:val="150"/>
      </w:trPr>
      <w:tc>
        <w:tcPr>
          <w:tcW w:w="2250" w:type="pct"/>
          <w:tcBorders>
            <w:top w:val="single" w:sz="4" w:space="0" w:color="4F81BD"/>
            <w:left w:val="nil"/>
            <w:bottom w:val="nil"/>
            <w:right w:val="nil"/>
          </w:tcBorders>
        </w:tcPr>
        <w:p w14:paraId="66DEA9D9" w14:textId="77777777" w:rsidR="001278EB" w:rsidRPr="005A3173" w:rsidRDefault="001278EB" w:rsidP="005A3173">
          <w:pPr>
            <w:pStyle w:val="Header"/>
            <w:spacing w:line="276" w:lineRule="auto"/>
            <w:rPr>
              <w:rFonts w:eastAsia="MS Gothic"/>
              <w:b/>
              <w:bCs/>
              <w:color w:val="4F81BD"/>
            </w:rPr>
          </w:pPr>
        </w:p>
      </w:tc>
      <w:tc>
        <w:tcPr>
          <w:tcW w:w="0" w:type="auto"/>
          <w:vMerge/>
          <w:vAlign w:val="center"/>
          <w:hideMark/>
        </w:tcPr>
        <w:p w14:paraId="0726D67B" w14:textId="77777777" w:rsidR="001278EB" w:rsidRPr="005A3173" w:rsidRDefault="001278EB" w:rsidP="005A3173">
          <w:pPr>
            <w:rPr>
              <w:color w:val="365F91"/>
              <w:sz w:val="22"/>
              <w:szCs w:val="22"/>
            </w:rPr>
          </w:pPr>
        </w:p>
      </w:tc>
      <w:tc>
        <w:tcPr>
          <w:tcW w:w="2250" w:type="pct"/>
          <w:tcBorders>
            <w:top w:val="single" w:sz="4" w:space="0" w:color="4F81BD"/>
            <w:left w:val="nil"/>
            <w:bottom w:val="nil"/>
            <w:right w:val="nil"/>
          </w:tcBorders>
        </w:tcPr>
        <w:p w14:paraId="77FEEEB1" w14:textId="77777777" w:rsidR="001278EB" w:rsidRPr="005A3173" w:rsidRDefault="001278EB" w:rsidP="005A3173">
          <w:pPr>
            <w:pStyle w:val="Header"/>
            <w:spacing w:line="276" w:lineRule="auto"/>
            <w:rPr>
              <w:rFonts w:eastAsia="MS Gothic"/>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1278EB" w14:paraId="434C4AE3" w14:textId="77777777" w:rsidTr="005A3173">
      <w:trPr>
        <w:trHeight w:val="151"/>
      </w:trPr>
      <w:tc>
        <w:tcPr>
          <w:tcW w:w="2250" w:type="pct"/>
          <w:tcBorders>
            <w:top w:val="nil"/>
            <w:left w:val="nil"/>
            <w:bottom w:val="single" w:sz="4" w:space="0" w:color="4F81BD"/>
            <w:right w:val="nil"/>
          </w:tcBorders>
        </w:tcPr>
        <w:p w14:paraId="556410DA" w14:textId="77777777" w:rsidR="001278EB" w:rsidRPr="005A3173" w:rsidRDefault="001278EB" w:rsidP="005A3173">
          <w:pPr>
            <w:pStyle w:val="Header"/>
            <w:spacing w:line="276" w:lineRule="auto"/>
            <w:rPr>
              <w:rFonts w:eastAsia="MS Gothic"/>
              <w:b/>
              <w:bCs/>
              <w:color w:val="4F81BD"/>
            </w:rPr>
          </w:pPr>
        </w:p>
      </w:tc>
      <w:tc>
        <w:tcPr>
          <w:tcW w:w="500" w:type="pct"/>
          <w:vMerge w:val="restart"/>
          <w:noWrap/>
          <w:vAlign w:val="center"/>
          <w:hideMark/>
        </w:tcPr>
        <w:p w14:paraId="7AE76BBC" w14:textId="77777777" w:rsidR="001278EB" w:rsidRPr="005A3173" w:rsidRDefault="001278EB"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1B1D04C2" w14:textId="77777777" w:rsidR="001278EB" w:rsidRPr="005A3173" w:rsidRDefault="001278EB" w:rsidP="005A3173">
          <w:pPr>
            <w:pStyle w:val="Header"/>
            <w:spacing w:line="276" w:lineRule="auto"/>
            <w:rPr>
              <w:rFonts w:eastAsia="MS Gothic"/>
              <w:b/>
              <w:bCs/>
              <w:color w:val="4F81BD"/>
            </w:rPr>
          </w:pPr>
        </w:p>
      </w:tc>
    </w:tr>
    <w:tr w:rsidR="001278EB" w14:paraId="2F5EEC4C" w14:textId="77777777" w:rsidTr="005A3173">
      <w:trPr>
        <w:trHeight w:val="150"/>
      </w:trPr>
      <w:tc>
        <w:tcPr>
          <w:tcW w:w="2250" w:type="pct"/>
          <w:tcBorders>
            <w:top w:val="single" w:sz="4" w:space="0" w:color="4F81BD"/>
            <w:left w:val="nil"/>
            <w:bottom w:val="nil"/>
            <w:right w:val="nil"/>
          </w:tcBorders>
        </w:tcPr>
        <w:p w14:paraId="60E1BA15" w14:textId="77777777" w:rsidR="001278EB" w:rsidRPr="005A3173" w:rsidRDefault="001278EB" w:rsidP="005A3173">
          <w:pPr>
            <w:pStyle w:val="Header"/>
            <w:spacing w:line="276" w:lineRule="auto"/>
            <w:rPr>
              <w:rFonts w:eastAsia="MS Gothic"/>
              <w:b/>
              <w:bCs/>
              <w:color w:val="4F81BD"/>
            </w:rPr>
          </w:pPr>
        </w:p>
      </w:tc>
      <w:tc>
        <w:tcPr>
          <w:tcW w:w="0" w:type="auto"/>
          <w:vMerge/>
          <w:vAlign w:val="center"/>
          <w:hideMark/>
        </w:tcPr>
        <w:p w14:paraId="4EACACBE" w14:textId="77777777" w:rsidR="001278EB" w:rsidRPr="005A3173" w:rsidRDefault="001278EB" w:rsidP="005A3173">
          <w:pPr>
            <w:rPr>
              <w:color w:val="365F91"/>
              <w:sz w:val="22"/>
              <w:szCs w:val="22"/>
            </w:rPr>
          </w:pPr>
        </w:p>
      </w:tc>
      <w:tc>
        <w:tcPr>
          <w:tcW w:w="2250" w:type="pct"/>
          <w:tcBorders>
            <w:top w:val="single" w:sz="4" w:space="0" w:color="4F81BD"/>
            <w:left w:val="nil"/>
            <w:bottom w:val="nil"/>
            <w:right w:val="nil"/>
          </w:tcBorders>
        </w:tcPr>
        <w:p w14:paraId="516BCB31" w14:textId="77777777" w:rsidR="001278EB" w:rsidRPr="005A3173" w:rsidRDefault="001278EB" w:rsidP="005A3173">
          <w:pPr>
            <w:pStyle w:val="Header"/>
            <w:spacing w:line="276" w:lineRule="auto"/>
            <w:rPr>
              <w:rFonts w:eastAsia="MS Gothic"/>
              <w:b/>
              <w:bCs/>
              <w:color w:val="4F81BD"/>
            </w:rPr>
          </w:pPr>
        </w:p>
      </w:tc>
    </w:tr>
  </w:tbl>
  <w:p w14:paraId="679BDCC0" w14:textId="51B6CD3C" w:rsidR="001278EB" w:rsidRPr="007C0F57" w:rsidRDefault="001278EB"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sidR="004A1A6C">
      <w:rPr>
        <w:rStyle w:val="PageNumber"/>
        <w:noProof/>
      </w:rPr>
      <w:t>1</w:t>
    </w:r>
    <w:r>
      <w:rPr>
        <w:rStyle w:val="PageNumber"/>
      </w:rPr>
      <w:fldChar w:fldCharType="end"/>
    </w:r>
    <w:r w:rsidRPr="007C0F57">
      <w:rPr>
        <w:b/>
        <w:i/>
        <w:sz w:val="20"/>
        <w:szCs w:val="20"/>
      </w:rPr>
      <w:t>BAC Meeting</w:t>
    </w:r>
  </w:p>
  <w:p w14:paraId="617093FB" w14:textId="77777777" w:rsidR="001278EB" w:rsidRPr="007C0F57" w:rsidRDefault="001278EB" w:rsidP="007C0F57">
    <w:pPr>
      <w:pStyle w:val="Footer"/>
      <w:jc w:val="center"/>
      <w:rPr>
        <w:b/>
        <w:i/>
        <w:sz w:val="20"/>
        <w:szCs w:val="20"/>
      </w:rPr>
    </w:pPr>
    <w:r w:rsidRPr="007C0F57">
      <w:rPr>
        <w:b/>
        <w:i/>
        <w:sz w:val="20"/>
        <w:szCs w:val="20"/>
      </w:rPr>
      <w:t>Commercial-in-Confidence</w:t>
    </w:r>
  </w:p>
  <w:p w14:paraId="36E9E30B" w14:textId="77777777" w:rsidR="001278EB" w:rsidRDefault="001278E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3005DE" w14:textId="77777777" w:rsidR="004928B2" w:rsidRDefault="004928B2">
      <w:r>
        <w:separator/>
      </w:r>
    </w:p>
    <w:p w14:paraId="5A5E04FE" w14:textId="77777777" w:rsidR="004928B2" w:rsidRDefault="004928B2"/>
  </w:footnote>
  <w:footnote w:type="continuationSeparator" w:id="0">
    <w:p w14:paraId="639E5561" w14:textId="77777777" w:rsidR="004928B2" w:rsidRDefault="004928B2">
      <w:r>
        <w:continuationSeparator/>
      </w:r>
    </w:p>
    <w:p w14:paraId="4C3E4F04" w14:textId="77777777" w:rsidR="004928B2" w:rsidRDefault="004928B2"/>
  </w:footnote>
  <w:footnote w:type="continuationNotice" w:id="1">
    <w:p w14:paraId="3E0F289D" w14:textId="77777777" w:rsidR="004928B2" w:rsidRDefault="004928B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4937" w:type="pct"/>
      <w:tblLook w:val="04A0" w:firstRow="1" w:lastRow="0" w:firstColumn="1" w:lastColumn="0" w:noHBand="0" w:noVBand="1"/>
    </w:tblPr>
    <w:tblGrid>
      <w:gridCol w:w="3929"/>
      <w:gridCol w:w="1252"/>
      <w:gridCol w:w="3731"/>
    </w:tblGrid>
    <w:tr w:rsidR="001278EB" w:rsidRPr="008E0D90" w14:paraId="263B07EE" w14:textId="77777777" w:rsidTr="00A06225">
      <w:trPr>
        <w:trHeight w:val="151"/>
      </w:trPr>
      <w:tc>
        <w:tcPr>
          <w:tcW w:w="2389" w:type="pct"/>
          <w:tcBorders>
            <w:top w:val="nil"/>
            <w:left w:val="nil"/>
            <w:bottom w:val="single" w:sz="4" w:space="0" w:color="4F81BD"/>
            <w:right w:val="nil"/>
          </w:tcBorders>
        </w:tcPr>
        <w:p w14:paraId="4C63CCAF" w14:textId="77777777" w:rsidR="001278EB" w:rsidRPr="00A06225" w:rsidRDefault="001278EB">
          <w:pPr>
            <w:pStyle w:val="Header"/>
            <w:spacing w:line="276" w:lineRule="auto"/>
            <w:rPr>
              <w:rFonts w:ascii="Cambria" w:eastAsia="MS Gothic" w:hAnsi="Cambria"/>
              <w:b/>
              <w:bCs/>
              <w:color w:val="4F81BD"/>
            </w:rPr>
          </w:pPr>
        </w:p>
      </w:tc>
      <w:tc>
        <w:tcPr>
          <w:tcW w:w="333" w:type="pct"/>
          <w:vMerge w:val="restart"/>
          <w:noWrap/>
          <w:vAlign w:val="center"/>
          <w:hideMark/>
        </w:tcPr>
        <w:p w14:paraId="2BB03196" w14:textId="77777777" w:rsidR="001278EB" w:rsidRPr="00A06225" w:rsidRDefault="001278EB"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14:paraId="216B236E" w14:textId="77777777" w:rsidR="001278EB" w:rsidRPr="00A06225" w:rsidRDefault="001278EB">
          <w:pPr>
            <w:pStyle w:val="Header"/>
            <w:spacing w:line="276" w:lineRule="auto"/>
            <w:rPr>
              <w:rFonts w:ascii="Cambria" w:eastAsia="MS Gothic" w:hAnsi="Cambria"/>
              <w:b/>
              <w:bCs/>
              <w:color w:val="4F81BD"/>
            </w:rPr>
          </w:pPr>
        </w:p>
      </w:tc>
    </w:tr>
    <w:tr w:rsidR="001278EB" w:rsidRPr="008E0D90" w14:paraId="21F98E14" w14:textId="77777777" w:rsidTr="00A06225">
      <w:trPr>
        <w:trHeight w:val="150"/>
      </w:trPr>
      <w:tc>
        <w:tcPr>
          <w:tcW w:w="2389" w:type="pct"/>
          <w:tcBorders>
            <w:top w:val="single" w:sz="4" w:space="0" w:color="4F81BD"/>
            <w:left w:val="nil"/>
            <w:bottom w:val="nil"/>
            <w:right w:val="nil"/>
          </w:tcBorders>
        </w:tcPr>
        <w:p w14:paraId="41AC0E8D" w14:textId="77777777" w:rsidR="001278EB" w:rsidRPr="00A06225" w:rsidRDefault="001278EB">
          <w:pPr>
            <w:pStyle w:val="Header"/>
            <w:spacing w:line="276" w:lineRule="auto"/>
            <w:rPr>
              <w:rFonts w:ascii="Cambria" w:eastAsia="MS Gothic" w:hAnsi="Cambria"/>
              <w:b/>
              <w:bCs/>
              <w:color w:val="4F81BD"/>
            </w:rPr>
          </w:pPr>
        </w:p>
      </w:tc>
      <w:tc>
        <w:tcPr>
          <w:tcW w:w="0" w:type="auto"/>
          <w:vMerge/>
          <w:vAlign w:val="center"/>
          <w:hideMark/>
        </w:tcPr>
        <w:p w14:paraId="00B70FF1" w14:textId="77777777" w:rsidR="001278EB" w:rsidRPr="00A06225" w:rsidRDefault="001278EB">
          <w:pPr>
            <w:rPr>
              <w:rFonts w:ascii="Cambria" w:hAnsi="Cambria"/>
              <w:color w:val="4F81BD"/>
              <w:sz w:val="22"/>
              <w:szCs w:val="22"/>
            </w:rPr>
          </w:pPr>
        </w:p>
      </w:tc>
      <w:tc>
        <w:tcPr>
          <w:tcW w:w="2278" w:type="pct"/>
          <w:tcBorders>
            <w:top w:val="single" w:sz="4" w:space="0" w:color="4F81BD"/>
            <w:left w:val="nil"/>
            <w:bottom w:val="nil"/>
            <w:right w:val="nil"/>
          </w:tcBorders>
        </w:tcPr>
        <w:p w14:paraId="09EB466E" w14:textId="77777777" w:rsidR="001278EB" w:rsidRPr="00A06225" w:rsidRDefault="001278EB">
          <w:pPr>
            <w:pStyle w:val="Header"/>
            <w:spacing w:line="276" w:lineRule="auto"/>
            <w:rPr>
              <w:rFonts w:ascii="Cambria" w:eastAsia="MS Gothic" w:hAnsi="Cambria"/>
              <w:b/>
              <w:bCs/>
              <w:color w:val="4F81BD"/>
            </w:rPr>
          </w:pPr>
        </w:p>
      </w:tc>
    </w:tr>
  </w:tbl>
  <w:p w14:paraId="7DCC695F" w14:textId="77777777" w:rsidR="001278EB" w:rsidRDefault="001278EB">
    <w:pPr>
      <w:pStyle w:val="Header"/>
    </w:pPr>
  </w:p>
  <w:p w14:paraId="25F34A60" w14:textId="77777777" w:rsidR="001278EB" w:rsidRDefault="001278EB"/>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E1B9F5" w14:textId="5A5EA6C4" w:rsidR="001278EB" w:rsidRPr="00450C33" w:rsidRDefault="004A1A6C" w:rsidP="000250AA">
    <w:pPr>
      <w:pStyle w:val="NoSpacing"/>
      <w:jc w:val="center"/>
      <w:rPr>
        <w:rFonts w:asciiTheme="minorHAnsi" w:hAnsiTheme="minorHAnsi" w:cstheme="minorHAnsi"/>
        <w:i/>
        <w:iCs/>
        <w:sz w:val="24"/>
        <w:szCs w:val="24"/>
      </w:rPr>
    </w:pPr>
    <w:r w:rsidRPr="00450C33">
      <w:rPr>
        <w:rFonts w:asciiTheme="minorHAnsi" w:hAnsiTheme="minorHAnsi" w:cstheme="minorHAnsi"/>
        <w:i/>
        <w:sz w:val="24"/>
        <w:szCs w:val="24"/>
      </w:rPr>
      <w:t xml:space="preserve">Public Summary Document </w:t>
    </w:r>
    <w:r w:rsidR="000250AA" w:rsidRPr="00450C33">
      <w:rPr>
        <w:rFonts w:asciiTheme="minorHAnsi" w:hAnsiTheme="minorHAnsi" w:cstheme="minorHAnsi"/>
        <w:i/>
        <w:iCs/>
        <w:sz w:val="24"/>
        <w:szCs w:val="24"/>
      </w:rPr>
      <w:t>– November 2021 PBAC Meeting</w:t>
    </w:r>
  </w:p>
  <w:p w14:paraId="06DE3687" w14:textId="77777777" w:rsidR="000250AA" w:rsidRPr="000250AA" w:rsidRDefault="000250AA" w:rsidP="000250AA">
    <w:pPr>
      <w:pStyle w:val="NoSpacing"/>
      <w:jc w:val="center"/>
      <w:rPr>
        <w:rFonts w:asciiTheme="minorHAnsi" w:hAnsiTheme="minorHAnsi" w:cstheme="minorHAnsi"/>
        <w:i/>
        <w:i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EE52495A"/>
    <w:lvl w:ilvl="0">
      <w:start w:val="1"/>
      <w:numFmt w:val="decimal"/>
      <w:pStyle w:val="3-BodyText"/>
      <w:lvlText w:val="%1."/>
      <w:lvlJc w:val="left"/>
      <w:pPr>
        <w:tabs>
          <w:tab w:val="num" w:pos="360"/>
        </w:tabs>
        <w:ind w:left="360" w:hanging="360"/>
      </w:pPr>
    </w:lvl>
  </w:abstractNum>
  <w:abstractNum w:abstractNumId="1" w15:restartNumberingAfterBreak="0">
    <w:nsid w:val="FFFFFF89"/>
    <w:multiLevelType w:val="hybridMultilevel"/>
    <w:tmpl w:val="98E4CF80"/>
    <w:lvl w:ilvl="0" w:tplc="DBD660D0">
      <w:start w:val="1"/>
      <w:numFmt w:val="bullet"/>
      <w:pStyle w:val="ListBullet"/>
      <w:lvlText w:val=""/>
      <w:lvlJc w:val="left"/>
      <w:pPr>
        <w:tabs>
          <w:tab w:val="num" w:pos="1440"/>
        </w:tabs>
        <w:ind w:left="1440" w:hanging="360"/>
      </w:pPr>
      <w:rPr>
        <w:rFonts w:ascii="Symbol" w:hAnsi="Symbol" w:hint="default"/>
      </w:rPr>
    </w:lvl>
    <w:lvl w:ilvl="1" w:tplc="73E220B8">
      <w:numFmt w:val="decimal"/>
      <w:lvlText w:val=""/>
      <w:lvlJc w:val="left"/>
    </w:lvl>
    <w:lvl w:ilvl="2" w:tplc="83E2E2DA">
      <w:numFmt w:val="decimal"/>
      <w:lvlText w:val=""/>
      <w:lvlJc w:val="left"/>
    </w:lvl>
    <w:lvl w:ilvl="3" w:tplc="8B723C16">
      <w:numFmt w:val="decimal"/>
      <w:lvlText w:val=""/>
      <w:lvlJc w:val="left"/>
    </w:lvl>
    <w:lvl w:ilvl="4" w:tplc="AB960680">
      <w:numFmt w:val="decimal"/>
      <w:lvlText w:val=""/>
      <w:lvlJc w:val="left"/>
    </w:lvl>
    <w:lvl w:ilvl="5" w:tplc="E098C210">
      <w:numFmt w:val="decimal"/>
      <w:lvlText w:val=""/>
      <w:lvlJc w:val="left"/>
    </w:lvl>
    <w:lvl w:ilvl="6" w:tplc="6B18DA12">
      <w:numFmt w:val="decimal"/>
      <w:lvlText w:val=""/>
      <w:lvlJc w:val="left"/>
    </w:lvl>
    <w:lvl w:ilvl="7" w:tplc="A7D4E182">
      <w:numFmt w:val="decimal"/>
      <w:lvlText w:val=""/>
      <w:lvlJc w:val="left"/>
    </w:lvl>
    <w:lvl w:ilvl="8" w:tplc="E84689B2">
      <w:numFmt w:val="decimal"/>
      <w:lvlText w:val=""/>
      <w:lvlJc w:val="left"/>
    </w:lvl>
  </w:abstractNum>
  <w:abstractNum w:abstractNumId="2" w15:restartNumberingAfterBreak="0">
    <w:nsid w:val="01986395"/>
    <w:multiLevelType w:val="hybridMultilevel"/>
    <w:tmpl w:val="0DBAEC3C"/>
    <w:lvl w:ilvl="0" w:tplc="0C09000F">
      <w:start w:val="1"/>
      <w:numFmt w:val="decimal"/>
      <w:lvlText w:val="%1."/>
      <w:lvlJc w:val="left"/>
      <w:pPr>
        <w:ind w:left="1080" w:hanging="360"/>
      </w:pPr>
      <w:rPr>
        <w:rFonts w:hint="default"/>
      </w:rPr>
    </w:lvl>
    <w:lvl w:ilvl="1" w:tplc="442A8F9A">
      <w:start w:val="1"/>
      <w:numFmt w:val="lowerLetter"/>
      <w:lvlText w:val="%2."/>
      <w:lvlJc w:val="left"/>
      <w:pPr>
        <w:ind w:left="1800" w:hanging="360"/>
      </w:pPr>
    </w:lvl>
    <w:lvl w:ilvl="2" w:tplc="AE6252A8">
      <w:start w:val="1"/>
      <w:numFmt w:val="lowerRoman"/>
      <w:lvlText w:val="%3."/>
      <w:lvlJc w:val="right"/>
      <w:pPr>
        <w:ind w:left="2520" w:hanging="180"/>
      </w:pPr>
    </w:lvl>
    <w:lvl w:ilvl="3" w:tplc="827A251E">
      <w:start w:val="1"/>
      <w:numFmt w:val="decimal"/>
      <w:lvlText w:val="%4."/>
      <w:lvlJc w:val="left"/>
      <w:pPr>
        <w:ind w:left="3240" w:hanging="360"/>
      </w:pPr>
    </w:lvl>
    <w:lvl w:ilvl="4" w:tplc="6AA6B8AE">
      <w:start w:val="1"/>
      <w:numFmt w:val="lowerLetter"/>
      <w:lvlText w:val="%5."/>
      <w:lvlJc w:val="left"/>
      <w:pPr>
        <w:ind w:left="3960" w:hanging="360"/>
      </w:pPr>
    </w:lvl>
    <w:lvl w:ilvl="5" w:tplc="5FE8C990">
      <w:start w:val="1"/>
      <w:numFmt w:val="lowerRoman"/>
      <w:lvlText w:val="%6."/>
      <w:lvlJc w:val="right"/>
      <w:pPr>
        <w:ind w:left="4680" w:hanging="180"/>
      </w:pPr>
    </w:lvl>
    <w:lvl w:ilvl="6" w:tplc="2D5CA0F4">
      <w:start w:val="1"/>
      <w:numFmt w:val="decimal"/>
      <w:lvlText w:val="%7."/>
      <w:lvlJc w:val="left"/>
      <w:pPr>
        <w:ind w:left="5400" w:hanging="360"/>
      </w:pPr>
    </w:lvl>
    <w:lvl w:ilvl="7" w:tplc="17D46400">
      <w:start w:val="1"/>
      <w:numFmt w:val="lowerLetter"/>
      <w:lvlText w:val="%8."/>
      <w:lvlJc w:val="left"/>
      <w:pPr>
        <w:ind w:left="6120" w:hanging="360"/>
      </w:pPr>
    </w:lvl>
    <w:lvl w:ilvl="8" w:tplc="F3580F02">
      <w:start w:val="1"/>
      <w:numFmt w:val="lowerRoman"/>
      <w:lvlText w:val="%9."/>
      <w:lvlJc w:val="right"/>
      <w:pPr>
        <w:ind w:left="6840" w:hanging="180"/>
      </w:pPr>
    </w:lvl>
  </w:abstractNum>
  <w:abstractNum w:abstractNumId="3" w15:restartNumberingAfterBreak="0">
    <w:nsid w:val="1D847E96"/>
    <w:multiLevelType w:val="hybridMultilevel"/>
    <w:tmpl w:val="308013A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2BB16EB3"/>
    <w:multiLevelType w:val="hybridMultilevel"/>
    <w:tmpl w:val="0DBAEC3C"/>
    <w:lvl w:ilvl="0" w:tplc="0C09000F">
      <w:start w:val="1"/>
      <w:numFmt w:val="decimal"/>
      <w:lvlText w:val="%1."/>
      <w:lvlJc w:val="left"/>
      <w:pPr>
        <w:ind w:left="1080" w:hanging="360"/>
      </w:pPr>
      <w:rPr>
        <w:rFonts w:hint="default"/>
      </w:rPr>
    </w:lvl>
    <w:lvl w:ilvl="1" w:tplc="442A8F9A">
      <w:start w:val="1"/>
      <w:numFmt w:val="lowerLetter"/>
      <w:lvlText w:val="%2."/>
      <w:lvlJc w:val="left"/>
      <w:pPr>
        <w:ind w:left="1800" w:hanging="360"/>
      </w:pPr>
    </w:lvl>
    <w:lvl w:ilvl="2" w:tplc="AE6252A8">
      <w:start w:val="1"/>
      <w:numFmt w:val="lowerRoman"/>
      <w:lvlText w:val="%3."/>
      <w:lvlJc w:val="right"/>
      <w:pPr>
        <w:ind w:left="2520" w:hanging="180"/>
      </w:pPr>
    </w:lvl>
    <w:lvl w:ilvl="3" w:tplc="827A251E">
      <w:start w:val="1"/>
      <w:numFmt w:val="decimal"/>
      <w:lvlText w:val="%4."/>
      <w:lvlJc w:val="left"/>
      <w:pPr>
        <w:ind w:left="3240" w:hanging="360"/>
      </w:pPr>
    </w:lvl>
    <w:lvl w:ilvl="4" w:tplc="6AA6B8AE">
      <w:start w:val="1"/>
      <w:numFmt w:val="lowerLetter"/>
      <w:lvlText w:val="%5."/>
      <w:lvlJc w:val="left"/>
      <w:pPr>
        <w:ind w:left="3960" w:hanging="360"/>
      </w:pPr>
    </w:lvl>
    <w:lvl w:ilvl="5" w:tplc="5FE8C990">
      <w:start w:val="1"/>
      <w:numFmt w:val="lowerRoman"/>
      <w:lvlText w:val="%6."/>
      <w:lvlJc w:val="right"/>
      <w:pPr>
        <w:ind w:left="4680" w:hanging="180"/>
      </w:pPr>
    </w:lvl>
    <w:lvl w:ilvl="6" w:tplc="2D5CA0F4">
      <w:start w:val="1"/>
      <w:numFmt w:val="decimal"/>
      <w:lvlText w:val="%7."/>
      <w:lvlJc w:val="left"/>
      <w:pPr>
        <w:ind w:left="5400" w:hanging="360"/>
      </w:pPr>
    </w:lvl>
    <w:lvl w:ilvl="7" w:tplc="17D46400">
      <w:start w:val="1"/>
      <w:numFmt w:val="lowerLetter"/>
      <w:lvlText w:val="%8."/>
      <w:lvlJc w:val="left"/>
      <w:pPr>
        <w:ind w:left="6120" w:hanging="360"/>
      </w:pPr>
    </w:lvl>
    <w:lvl w:ilvl="8" w:tplc="F3580F02">
      <w:start w:val="1"/>
      <w:numFmt w:val="lowerRoman"/>
      <w:lvlText w:val="%9."/>
      <w:lvlJc w:val="right"/>
      <w:pPr>
        <w:ind w:left="6840" w:hanging="180"/>
      </w:pPr>
    </w:lvl>
  </w:abstractNum>
  <w:abstractNum w:abstractNumId="5" w15:restartNumberingAfterBreak="0">
    <w:nsid w:val="2E826466"/>
    <w:multiLevelType w:val="hybridMultilevel"/>
    <w:tmpl w:val="BB7E423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36244933"/>
    <w:multiLevelType w:val="hybridMultilevel"/>
    <w:tmpl w:val="32DEF9D8"/>
    <w:lvl w:ilvl="0" w:tplc="91EA4130">
      <w:start w:val="1"/>
      <w:numFmt w:val="upperLetter"/>
      <w:lvlText w:val="%1."/>
      <w:lvlJc w:val="left"/>
      <w:pPr>
        <w:ind w:left="360" w:hanging="360"/>
      </w:pPr>
      <w:rPr>
        <w:b w:val="0"/>
        <w:bCs w:val="0"/>
        <w:i w:val="0"/>
        <w:iCs w:val="0"/>
      </w:rPr>
    </w:lvl>
    <w:lvl w:ilvl="1" w:tplc="442A8F9A">
      <w:start w:val="1"/>
      <w:numFmt w:val="lowerLetter"/>
      <w:lvlText w:val="%2."/>
      <w:lvlJc w:val="left"/>
      <w:pPr>
        <w:ind w:left="1080" w:hanging="360"/>
      </w:pPr>
    </w:lvl>
    <w:lvl w:ilvl="2" w:tplc="AE6252A8">
      <w:start w:val="1"/>
      <w:numFmt w:val="lowerRoman"/>
      <w:lvlText w:val="%3."/>
      <w:lvlJc w:val="right"/>
      <w:pPr>
        <w:ind w:left="1800" w:hanging="180"/>
      </w:pPr>
    </w:lvl>
    <w:lvl w:ilvl="3" w:tplc="827A251E">
      <w:start w:val="1"/>
      <w:numFmt w:val="decimal"/>
      <w:lvlText w:val="%4."/>
      <w:lvlJc w:val="left"/>
      <w:pPr>
        <w:ind w:left="2520" w:hanging="360"/>
      </w:pPr>
    </w:lvl>
    <w:lvl w:ilvl="4" w:tplc="6AA6B8AE">
      <w:start w:val="1"/>
      <w:numFmt w:val="lowerLetter"/>
      <w:lvlText w:val="%5."/>
      <w:lvlJc w:val="left"/>
      <w:pPr>
        <w:ind w:left="3240" w:hanging="360"/>
      </w:pPr>
    </w:lvl>
    <w:lvl w:ilvl="5" w:tplc="5FE8C990">
      <w:start w:val="1"/>
      <w:numFmt w:val="lowerRoman"/>
      <w:lvlText w:val="%6."/>
      <w:lvlJc w:val="right"/>
      <w:pPr>
        <w:ind w:left="3960" w:hanging="180"/>
      </w:pPr>
    </w:lvl>
    <w:lvl w:ilvl="6" w:tplc="2D5CA0F4">
      <w:start w:val="1"/>
      <w:numFmt w:val="decimal"/>
      <w:lvlText w:val="%7."/>
      <w:lvlJc w:val="left"/>
      <w:pPr>
        <w:ind w:left="4680" w:hanging="360"/>
      </w:pPr>
    </w:lvl>
    <w:lvl w:ilvl="7" w:tplc="17D46400">
      <w:start w:val="1"/>
      <w:numFmt w:val="lowerLetter"/>
      <w:lvlText w:val="%8."/>
      <w:lvlJc w:val="left"/>
      <w:pPr>
        <w:ind w:left="5400" w:hanging="360"/>
      </w:pPr>
    </w:lvl>
    <w:lvl w:ilvl="8" w:tplc="F3580F02">
      <w:start w:val="1"/>
      <w:numFmt w:val="lowerRoman"/>
      <w:lvlText w:val="%9."/>
      <w:lvlJc w:val="right"/>
      <w:pPr>
        <w:ind w:left="6120" w:hanging="180"/>
      </w:pPr>
    </w:lvl>
  </w:abstractNum>
  <w:abstractNum w:abstractNumId="7" w15:restartNumberingAfterBreak="0">
    <w:nsid w:val="3E9B0E61"/>
    <w:multiLevelType w:val="hybridMultilevel"/>
    <w:tmpl w:val="58CAAE7C"/>
    <w:lvl w:ilvl="0" w:tplc="023293D0">
      <w:start w:val="1"/>
      <w:numFmt w:val="decimal"/>
      <w:pStyle w:val="ProcedureStep"/>
      <w:lvlText w:val="%1)"/>
      <w:lvlJc w:val="left"/>
      <w:pPr>
        <w:tabs>
          <w:tab w:val="num" w:pos="1134"/>
        </w:tabs>
        <w:ind w:left="1134" w:hanging="567"/>
      </w:pPr>
      <w:rPr>
        <w:rFonts w:hint="default"/>
      </w:rPr>
    </w:lvl>
    <w:lvl w:ilvl="1" w:tplc="FEF0FA2E">
      <w:numFmt w:val="decimal"/>
      <w:lvlText w:val=""/>
      <w:lvlJc w:val="left"/>
    </w:lvl>
    <w:lvl w:ilvl="2" w:tplc="4D60BAB6">
      <w:numFmt w:val="decimal"/>
      <w:lvlText w:val=""/>
      <w:lvlJc w:val="left"/>
    </w:lvl>
    <w:lvl w:ilvl="3" w:tplc="79345ED4">
      <w:numFmt w:val="decimal"/>
      <w:lvlText w:val=""/>
      <w:lvlJc w:val="left"/>
    </w:lvl>
    <w:lvl w:ilvl="4" w:tplc="4F1E9D76">
      <w:numFmt w:val="decimal"/>
      <w:lvlText w:val=""/>
      <w:lvlJc w:val="left"/>
    </w:lvl>
    <w:lvl w:ilvl="5" w:tplc="1DE660BE">
      <w:numFmt w:val="decimal"/>
      <w:lvlText w:val=""/>
      <w:lvlJc w:val="left"/>
    </w:lvl>
    <w:lvl w:ilvl="6" w:tplc="F39AEA7A">
      <w:numFmt w:val="decimal"/>
      <w:lvlText w:val=""/>
      <w:lvlJc w:val="left"/>
    </w:lvl>
    <w:lvl w:ilvl="7" w:tplc="C952D1F8">
      <w:numFmt w:val="decimal"/>
      <w:lvlText w:val=""/>
      <w:lvlJc w:val="left"/>
    </w:lvl>
    <w:lvl w:ilvl="8" w:tplc="C93A6AF8">
      <w:numFmt w:val="decimal"/>
      <w:lvlText w:val=""/>
      <w:lvlJc w:val="left"/>
    </w:lvl>
  </w:abstractNum>
  <w:abstractNum w:abstractNumId="8" w15:restartNumberingAfterBreak="0">
    <w:nsid w:val="46236B45"/>
    <w:multiLevelType w:val="multilevel"/>
    <w:tmpl w:val="18389682"/>
    <w:lvl w:ilvl="0">
      <w:start w:val="1"/>
      <w:numFmt w:val="decimal"/>
      <w:lvlText w:val="%1"/>
      <w:lvlJc w:val="left"/>
      <w:pPr>
        <w:ind w:left="720" w:hanging="720"/>
      </w:pPr>
      <w:rPr>
        <w:b/>
        <w:color w:val="auto"/>
      </w:rPr>
    </w:lvl>
    <w:lvl w:ilvl="1">
      <w:start w:val="1"/>
      <w:numFmt w:val="bullet"/>
      <w:lvlText w:val=""/>
      <w:lvlJc w:val="left"/>
      <w:pPr>
        <w:ind w:left="720" w:hanging="720"/>
      </w:pPr>
      <w:rPr>
        <w:rFonts w:ascii="Symbol" w:hAnsi="Symbol" w:hint="default"/>
        <w:b w:val="0"/>
        <w:i w:val="0"/>
        <w:color w:val="auto"/>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9" w15:restartNumberingAfterBreak="0">
    <w:nsid w:val="4A6D6C40"/>
    <w:multiLevelType w:val="hybridMultilevel"/>
    <w:tmpl w:val="3348ACD0"/>
    <w:lvl w:ilvl="0" w:tplc="0C09000F">
      <w:start w:val="1"/>
      <w:numFmt w:val="decimal"/>
      <w:lvlText w:val="%1."/>
      <w:lvlJc w:val="left"/>
      <w:pPr>
        <w:ind w:left="363" w:hanging="360"/>
      </w:pPr>
    </w:lvl>
    <w:lvl w:ilvl="1" w:tplc="0C090019" w:tentative="1">
      <w:start w:val="1"/>
      <w:numFmt w:val="lowerLetter"/>
      <w:lvlText w:val="%2."/>
      <w:lvlJc w:val="left"/>
      <w:pPr>
        <w:ind w:left="1083" w:hanging="360"/>
      </w:pPr>
    </w:lvl>
    <w:lvl w:ilvl="2" w:tplc="0C09001B" w:tentative="1">
      <w:start w:val="1"/>
      <w:numFmt w:val="lowerRoman"/>
      <w:lvlText w:val="%3."/>
      <w:lvlJc w:val="right"/>
      <w:pPr>
        <w:ind w:left="1803" w:hanging="180"/>
      </w:pPr>
    </w:lvl>
    <w:lvl w:ilvl="3" w:tplc="0C09000F" w:tentative="1">
      <w:start w:val="1"/>
      <w:numFmt w:val="decimal"/>
      <w:lvlText w:val="%4."/>
      <w:lvlJc w:val="left"/>
      <w:pPr>
        <w:ind w:left="2523" w:hanging="360"/>
      </w:pPr>
    </w:lvl>
    <w:lvl w:ilvl="4" w:tplc="0C090019" w:tentative="1">
      <w:start w:val="1"/>
      <w:numFmt w:val="lowerLetter"/>
      <w:lvlText w:val="%5."/>
      <w:lvlJc w:val="left"/>
      <w:pPr>
        <w:ind w:left="3243" w:hanging="360"/>
      </w:pPr>
    </w:lvl>
    <w:lvl w:ilvl="5" w:tplc="0C09001B" w:tentative="1">
      <w:start w:val="1"/>
      <w:numFmt w:val="lowerRoman"/>
      <w:lvlText w:val="%6."/>
      <w:lvlJc w:val="right"/>
      <w:pPr>
        <w:ind w:left="3963" w:hanging="180"/>
      </w:pPr>
    </w:lvl>
    <w:lvl w:ilvl="6" w:tplc="0C09000F" w:tentative="1">
      <w:start w:val="1"/>
      <w:numFmt w:val="decimal"/>
      <w:lvlText w:val="%7."/>
      <w:lvlJc w:val="left"/>
      <w:pPr>
        <w:ind w:left="4683" w:hanging="360"/>
      </w:pPr>
    </w:lvl>
    <w:lvl w:ilvl="7" w:tplc="0C090019" w:tentative="1">
      <w:start w:val="1"/>
      <w:numFmt w:val="lowerLetter"/>
      <w:lvlText w:val="%8."/>
      <w:lvlJc w:val="left"/>
      <w:pPr>
        <w:ind w:left="5403" w:hanging="360"/>
      </w:pPr>
    </w:lvl>
    <w:lvl w:ilvl="8" w:tplc="0C09001B" w:tentative="1">
      <w:start w:val="1"/>
      <w:numFmt w:val="lowerRoman"/>
      <w:lvlText w:val="%9."/>
      <w:lvlJc w:val="right"/>
      <w:pPr>
        <w:ind w:left="6123" w:hanging="180"/>
      </w:pPr>
    </w:lvl>
  </w:abstractNum>
  <w:abstractNum w:abstractNumId="10" w15:restartNumberingAfterBreak="0">
    <w:nsid w:val="4CE710A4"/>
    <w:multiLevelType w:val="hybridMultilevel"/>
    <w:tmpl w:val="9D4CF2C8"/>
    <w:lvl w:ilvl="0" w:tplc="4A96AD60">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12"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start w:val="1"/>
      <w:numFmt w:val="lowerLetter"/>
      <w:pStyle w:val="Lists"/>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3" w15:restartNumberingAfterBreak="0">
    <w:nsid w:val="60AA1899"/>
    <w:multiLevelType w:val="hybridMultilevel"/>
    <w:tmpl w:val="E99C8B60"/>
    <w:lvl w:ilvl="0" w:tplc="DB4EC788">
      <w:start w:val="1"/>
      <w:numFmt w:val="bullet"/>
      <w:pStyle w:val="KMC16-BulletLists"/>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6E10DF6A">
      <w:numFmt w:val="bullet"/>
      <w:lvlText w:val="•"/>
      <w:lvlJc w:val="left"/>
      <w:pPr>
        <w:ind w:left="2250" w:hanging="450"/>
      </w:pPr>
      <w:rPr>
        <w:rFonts w:ascii="Arial" w:eastAsiaTheme="minorHAnsi" w:hAnsi="Arial" w:cs="Aria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8EA1610"/>
    <w:multiLevelType w:val="hybridMultilevel"/>
    <w:tmpl w:val="3F20135E"/>
    <w:lvl w:ilvl="0" w:tplc="7CA06DB8">
      <w:start w:val="1"/>
      <w:numFmt w:val="lowerLetter"/>
      <w:lvlText w:val="(%1)"/>
      <w:lvlJc w:val="left"/>
      <w:pPr>
        <w:ind w:left="1080" w:hanging="360"/>
      </w:pPr>
      <w:rPr>
        <w:rFonts w:asciiTheme="minorHAnsi" w:eastAsia="Times New Roman" w:hAnsiTheme="minorHAnsi" w:cstheme="minorHAnsi" w:hint="default"/>
      </w:rPr>
    </w:lvl>
    <w:lvl w:ilvl="1" w:tplc="0C09001B">
      <w:start w:val="1"/>
      <w:numFmt w:val="lowerRoman"/>
      <w:lvlText w:val="%2."/>
      <w:lvlJc w:val="right"/>
      <w:pPr>
        <w:ind w:left="1800" w:hanging="360"/>
      </w:pPr>
    </w:lvl>
    <w:lvl w:ilvl="2" w:tplc="E67A9596">
      <w:start w:val="1"/>
      <w:numFmt w:val="decimal"/>
      <w:lvlText w:val="%3."/>
      <w:lvlJc w:val="left"/>
      <w:pPr>
        <w:ind w:left="2700" w:hanging="360"/>
      </w:pPr>
      <w:rPr>
        <w:rFonts w:hint="default"/>
      </w:r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5" w15:restartNumberingAfterBreak="0">
    <w:nsid w:val="6945511A"/>
    <w:multiLevelType w:val="hybridMultilevel"/>
    <w:tmpl w:val="4E94D3C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15:restartNumberingAfterBreak="0">
    <w:nsid w:val="6FEC02A8"/>
    <w:multiLevelType w:val="hybridMultilevel"/>
    <w:tmpl w:val="1EF642A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15:restartNumberingAfterBreak="0">
    <w:nsid w:val="745705D9"/>
    <w:multiLevelType w:val="hybridMultilevel"/>
    <w:tmpl w:val="093E12F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8" w15:restartNumberingAfterBreak="0">
    <w:nsid w:val="75080581"/>
    <w:multiLevelType w:val="hybridMultilevel"/>
    <w:tmpl w:val="A48641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84D033C"/>
    <w:multiLevelType w:val="multilevel"/>
    <w:tmpl w:val="213AF02C"/>
    <w:lvl w:ilvl="0">
      <w:start w:val="1"/>
      <w:numFmt w:val="decimal"/>
      <w:pStyle w:val="2-SectionHeading"/>
      <w:lvlText w:val="%1"/>
      <w:lvlJc w:val="left"/>
      <w:pPr>
        <w:ind w:left="720" w:hanging="720"/>
      </w:pPr>
      <w:rPr>
        <w:b/>
        <w:color w:val="auto"/>
      </w:rPr>
    </w:lvl>
    <w:lvl w:ilvl="1">
      <w:start w:val="1"/>
      <w:numFmt w:val="decimal"/>
      <w:pStyle w:val="3Bodytext"/>
      <w:lvlText w:val="%1.%2"/>
      <w:lvlJc w:val="left"/>
      <w:pPr>
        <w:ind w:left="720" w:hanging="720"/>
      </w:pPr>
      <w:rPr>
        <w:b w:val="0"/>
        <w:i w:val="0"/>
        <w:color w:val="auto"/>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0" w15:restartNumberingAfterBreak="0">
    <w:nsid w:val="7BBB7FF1"/>
    <w:multiLevelType w:val="hybridMultilevel"/>
    <w:tmpl w:val="13B4458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6"/>
  </w:num>
  <w:num w:numId="2">
    <w:abstractNumId w:val="19"/>
  </w:num>
  <w:num w:numId="3">
    <w:abstractNumId w:val="0"/>
  </w:num>
  <w:num w:numId="4">
    <w:abstractNumId w:val="12"/>
  </w:num>
  <w:num w:numId="5">
    <w:abstractNumId w:val="20"/>
  </w:num>
  <w:num w:numId="6">
    <w:abstractNumId w:val="16"/>
  </w:num>
  <w:num w:numId="7">
    <w:abstractNumId w:val="10"/>
  </w:num>
  <w:num w:numId="8">
    <w:abstractNumId w:val="7"/>
  </w:num>
  <w:num w:numId="9">
    <w:abstractNumId w:val="1"/>
  </w:num>
  <w:num w:numId="10">
    <w:abstractNumId w:val="19"/>
  </w:num>
  <w:num w:numId="11">
    <w:abstractNumId w:val="15"/>
  </w:num>
  <w:num w:numId="12">
    <w:abstractNumId w:val="5"/>
  </w:num>
  <w:num w:numId="13">
    <w:abstractNumId w:val="4"/>
  </w:num>
  <w:num w:numId="14">
    <w:abstractNumId w:val="2"/>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num>
  <w:num w:numId="17">
    <w:abstractNumId w:val="19"/>
  </w:num>
  <w:num w:numId="18">
    <w:abstractNumId w:val="19"/>
  </w:num>
  <w:num w:numId="19">
    <w:abstractNumId w:val="19"/>
  </w:num>
  <w:num w:numId="20">
    <w:abstractNumId w:val="17"/>
  </w:num>
  <w:num w:numId="21">
    <w:abstractNumId w:val="18"/>
  </w:num>
  <w:num w:numId="22">
    <w:abstractNumId w:val="19"/>
  </w:num>
  <w:num w:numId="23">
    <w:abstractNumId w:val="19"/>
  </w:num>
  <w:num w:numId="24">
    <w:abstractNumId w:val="19"/>
  </w:num>
  <w:num w:numId="25">
    <w:abstractNumId w:val="19"/>
  </w:num>
  <w:num w:numId="26">
    <w:abstractNumId w:val="19"/>
  </w:num>
  <w:num w:numId="27">
    <w:abstractNumId w:val="19"/>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num>
  <w:num w:numId="30">
    <w:abstractNumId w:val="13"/>
  </w:num>
  <w:num w:numId="31">
    <w:abstractNumId w:val="19"/>
  </w:num>
  <w:num w:numId="32">
    <w:abstractNumId w:val="3"/>
  </w:num>
  <w:num w:numId="33">
    <w:abstractNumId w:val="19"/>
  </w:num>
  <w:num w:numId="34">
    <w:abstractNumId w:val="8"/>
  </w:num>
  <w:num w:numId="35">
    <w:abstractNumId w:val="19"/>
  </w:num>
  <w:num w:numId="36">
    <w:abstractNumId w:val="19"/>
  </w:num>
  <w:num w:numId="37">
    <w:abstractNumId w:val="19"/>
  </w:num>
  <w:num w:numId="38">
    <w:abstractNumId w:val="19"/>
  </w:num>
  <w:num w:numId="39">
    <w:abstractNumId w:val="0"/>
  </w:num>
  <w:num w:numId="40">
    <w:abstractNumId w:val="11"/>
  </w:num>
  <w:num w:numId="41">
    <w:abstractNumId w:val="9"/>
  </w:num>
  <w:num w:numId="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9"/>
  </w:num>
  <w:num w:numId="44">
    <w:abstractNumId w:val="1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931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2BB"/>
    <w:rsid w:val="0000080A"/>
    <w:rsid w:val="00001663"/>
    <w:rsid w:val="000025AD"/>
    <w:rsid w:val="0000335D"/>
    <w:rsid w:val="00006782"/>
    <w:rsid w:val="00007483"/>
    <w:rsid w:val="00011A59"/>
    <w:rsid w:val="00014D69"/>
    <w:rsid w:val="00016A41"/>
    <w:rsid w:val="000214D1"/>
    <w:rsid w:val="00023FBF"/>
    <w:rsid w:val="0002464A"/>
    <w:rsid w:val="000250AA"/>
    <w:rsid w:val="00025A04"/>
    <w:rsid w:val="0002693D"/>
    <w:rsid w:val="000274E8"/>
    <w:rsid w:val="0003050E"/>
    <w:rsid w:val="0003106B"/>
    <w:rsid w:val="00032AA1"/>
    <w:rsid w:val="00034905"/>
    <w:rsid w:val="000421A1"/>
    <w:rsid w:val="0004240E"/>
    <w:rsid w:val="00042A60"/>
    <w:rsid w:val="00044EC4"/>
    <w:rsid w:val="00045E26"/>
    <w:rsid w:val="000514B5"/>
    <w:rsid w:val="0005322E"/>
    <w:rsid w:val="00054E2B"/>
    <w:rsid w:val="00060E64"/>
    <w:rsid w:val="00062E88"/>
    <w:rsid w:val="00066193"/>
    <w:rsid w:val="00066755"/>
    <w:rsid w:val="00071A5B"/>
    <w:rsid w:val="00072730"/>
    <w:rsid w:val="0007337F"/>
    <w:rsid w:val="0007348E"/>
    <w:rsid w:val="00074320"/>
    <w:rsid w:val="000763D5"/>
    <w:rsid w:val="00076C38"/>
    <w:rsid w:val="00077143"/>
    <w:rsid w:val="00077DF7"/>
    <w:rsid w:val="0008050C"/>
    <w:rsid w:val="00082169"/>
    <w:rsid w:val="000834BE"/>
    <w:rsid w:val="00083F01"/>
    <w:rsid w:val="00087C4C"/>
    <w:rsid w:val="000918CB"/>
    <w:rsid w:val="00091B06"/>
    <w:rsid w:val="00094B97"/>
    <w:rsid w:val="000951C4"/>
    <w:rsid w:val="00095ADA"/>
    <w:rsid w:val="00095E01"/>
    <w:rsid w:val="000969AD"/>
    <w:rsid w:val="000975FB"/>
    <w:rsid w:val="00097C59"/>
    <w:rsid w:val="000A01F1"/>
    <w:rsid w:val="000A02F8"/>
    <w:rsid w:val="000A3AA2"/>
    <w:rsid w:val="000A44B2"/>
    <w:rsid w:val="000A52F6"/>
    <w:rsid w:val="000B44C3"/>
    <w:rsid w:val="000B558D"/>
    <w:rsid w:val="000B5A89"/>
    <w:rsid w:val="000B65F6"/>
    <w:rsid w:val="000B7767"/>
    <w:rsid w:val="000B7A38"/>
    <w:rsid w:val="000C5F95"/>
    <w:rsid w:val="000C6996"/>
    <w:rsid w:val="000C73FD"/>
    <w:rsid w:val="000C77BE"/>
    <w:rsid w:val="000C7C46"/>
    <w:rsid w:val="000D09E9"/>
    <w:rsid w:val="000D113F"/>
    <w:rsid w:val="000D23BA"/>
    <w:rsid w:val="000D6323"/>
    <w:rsid w:val="000E0140"/>
    <w:rsid w:val="000E19B7"/>
    <w:rsid w:val="000E20FC"/>
    <w:rsid w:val="000E3DFB"/>
    <w:rsid w:val="000E5040"/>
    <w:rsid w:val="000E5EA1"/>
    <w:rsid w:val="000E681E"/>
    <w:rsid w:val="000E7BE2"/>
    <w:rsid w:val="000E7E52"/>
    <w:rsid w:val="000F0003"/>
    <w:rsid w:val="000F20C5"/>
    <w:rsid w:val="000F3384"/>
    <w:rsid w:val="000F4E6A"/>
    <w:rsid w:val="000F7354"/>
    <w:rsid w:val="00101ABE"/>
    <w:rsid w:val="00102202"/>
    <w:rsid w:val="00102700"/>
    <w:rsid w:val="00102A78"/>
    <w:rsid w:val="00103118"/>
    <w:rsid w:val="00104227"/>
    <w:rsid w:val="0010716F"/>
    <w:rsid w:val="001107BF"/>
    <w:rsid w:val="00111BD9"/>
    <w:rsid w:val="00111EAF"/>
    <w:rsid w:val="00113649"/>
    <w:rsid w:val="00113D5C"/>
    <w:rsid w:val="00114610"/>
    <w:rsid w:val="0012417C"/>
    <w:rsid w:val="00124BF2"/>
    <w:rsid w:val="0012522B"/>
    <w:rsid w:val="0012597F"/>
    <w:rsid w:val="0012749D"/>
    <w:rsid w:val="001278EB"/>
    <w:rsid w:val="001300E4"/>
    <w:rsid w:val="001306A5"/>
    <w:rsid w:val="00130918"/>
    <w:rsid w:val="001311AE"/>
    <w:rsid w:val="001409D6"/>
    <w:rsid w:val="00140B74"/>
    <w:rsid w:val="00140D94"/>
    <w:rsid w:val="00140F4A"/>
    <w:rsid w:val="00142395"/>
    <w:rsid w:val="00142714"/>
    <w:rsid w:val="00144D09"/>
    <w:rsid w:val="001452ED"/>
    <w:rsid w:val="00147D84"/>
    <w:rsid w:val="00150180"/>
    <w:rsid w:val="00151420"/>
    <w:rsid w:val="00152C16"/>
    <w:rsid w:val="001549C1"/>
    <w:rsid w:val="00156C8D"/>
    <w:rsid w:val="001572CD"/>
    <w:rsid w:val="00157492"/>
    <w:rsid w:val="00160F4D"/>
    <w:rsid w:val="00162BDD"/>
    <w:rsid w:val="00162D4E"/>
    <w:rsid w:val="00162DC3"/>
    <w:rsid w:val="00163329"/>
    <w:rsid w:val="00163B62"/>
    <w:rsid w:val="00164623"/>
    <w:rsid w:val="001652DE"/>
    <w:rsid w:val="00165B64"/>
    <w:rsid w:val="00165CEB"/>
    <w:rsid w:val="001679E2"/>
    <w:rsid w:val="00167C39"/>
    <w:rsid w:val="00176B9D"/>
    <w:rsid w:val="00180713"/>
    <w:rsid w:val="00180720"/>
    <w:rsid w:val="001830CE"/>
    <w:rsid w:val="001835FC"/>
    <w:rsid w:val="001836A1"/>
    <w:rsid w:val="001836E3"/>
    <w:rsid w:val="0018643B"/>
    <w:rsid w:val="00194BF6"/>
    <w:rsid w:val="0019529B"/>
    <w:rsid w:val="00196307"/>
    <w:rsid w:val="00197F03"/>
    <w:rsid w:val="001A0D10"/>
    <w:rsid w:val="001A33EA"/>
    <w:rsid w:val="001A4413"/>
    <w:rsid w:val="001A4C4F"/>
    <w:rsid w:val="001A5A2B"/>
    <w:rsid w:val="001A76FB"/>
    <w:rsid w:val="001B017F"/>
    <w:rsid w:val="001B0B79"/>
    <w:rsid w:val="001B150B"/>
    <w:rsid w:val="001B2BBC"/>
    <w:rsid w:val="001B2BCD"/>
    <w:rsid w:val="001B3A40"/>
    <w:rsid w:val="001B3FFE"/>
    <w:rsid w:val="001B5129"/>
    <w:rsid w:val="001B5F35"/>
    <w:rsid w:val="001C0B4C"/>
    <w:rsid w:val="001C0EC4"/>
    <w:rsid w:val="001C1195"/>
    <w:rsid w:val="001C12AE"/>
    <w:rsid w:val="001C1E84"/>
    <w:rsid w:val="001C2E42"/>
    <w:rsid w:val="001C3501"/>
    <w:rsid w:val="001C3533"/>
    <w:rsid w:val="001D1F5F"/>
    <w:rsid w:val="001D2E7D"/>
    <w:rsid w:val="001D7E48"/>
    <w:rsid w:val="001E06D2"/>
    <w:rsid w:val="001E17C4"/>
    <w:rsid w:val="001E5CDB"/>
    <w:rsid w:val="001E71BC"/>
    <w:rsid w:val="001E7244"/>
    <w:rsid w:val="001E7E38"/>
    <w:rsid w:val="001F005B"/>
    <w:rsid w:val="001F1850"/>
    <w:rsid w:val="001F1FBF"/>
    <w:rsid w:val="001F2B80"/>
    <w:rsid w:val="001F2F1C"/>
    <w:rsid w:val="001F3189"/>
    <w:rsid w:val="00201FB8"/>
    <w:rsid w:val="002038D0"/>
    <w:rsid w:val="00203FAC"/>
    <w:rsid w:val="00207ED7"/>
    <w:rsid w:val="00213CFB"/>
    <w:rsid w:val="0021553C"/>
    <w:rsid w:val="0021557B"/>
    <w:rsid w:val="00215908"/>
    <w:rsid w:val="00216B87"/>
    <w:rsid w:val="002174FD"/>
    <w:rsid w:val="00217BE1"/>
    <w:rsid w:val="002214B9"/>
    <w:rsid w:val="00223370"/>
    <w:rsid w:val="00227EDD"/>
    <w:rsid w:val="00230F63"/>
    <w:rsid w:val="00234252"/>
    <w:rsid w:val="0023466E"/>
    <w:rsid w:val="00237987"/>
    <w:rsid w:val="00237AC6"/>
    <w:rsid w:val="0024182A"/>
    <w:rsid w:val="00244139"/>
    <w:rsid w:val="00244490"/>
    <w:rsid w:val="00245B9C"/>
    <w:rsid w:val="00253499"/>
    <w:rsid w:val="002551A4"/>
    <w:rsid w:val="00257664"/>
    <w:rsid w:val="00260165"/>
    <w:rsid w:val="00264A48"/>
    <w:rsid w:val="00265151"/>
    <w:rsid w:val="00265C2C"/>
    <w:rsid w:val="00266509"/>
    <w:rsid w:val="00271BA1"/>
    <w:rsid w:val="00273AC5"/>
    <w:rsid w:val="002762FA"/>
    <w:rsid w:val="00277505"/>
    <w:rsid w:val="0028158C"/>
    <w:rsid w:val="002823B6"/>
    <w:rsid w:val="00290C03"/>
    <w:rsid w:val="00294274"/>
    <w:rsid w:val="0029458F"/>
    <w:rsid w:val="002A018F"/>
    <w:rsid w:val="002A0E04"/>
    <w:rsid w:val="002A104C"/>
    <w:rsid w:val="002A1EF7"/>
    <w:rsid w:val="002A2CE0"/>
    <w:rsid w:val="002A494D"/>
    <w:rsid w:val="002A4960"/>
    <w:rsid w:val="002A636A"/>
    <w:rsid w:val="002B0031"/>
    <w:rsid w:val="002B0AE0"/>
    <w:rsid w:val="002B115A"/>
    <w:rsid w:val="002B1AE6"/>
    <w:rsid w:val="002B1D51"/>
    <w:rsid w:val="002B2DE8"/>
    <w:rsid w:val="002B30F8"/>
    <w:rsid w:val="002B335E"/>
    <w:rsid w:val="002B388A"/>
    <w:rsid w:val="002B3C1A"/>
    <w:rsid w:val="002B46CB"/>
    <w:rsid w:val="002B5596"/>
    <w:rsid w:val="002B6FA3"/>
    <w:rsid w:val="002B77D7"/>
    <w:rsid w:val="002C212F"/>
    <w:rsid w:val="002C2231"/>
    <w:rsid w:val="002C2B14"/>
    <w:rsid w:val="002C2F35"/>
    <w:rsid w:val="002C32C9"/>
    <w:rsid w:val="002C6AA9"/>
    <w:rsid w:val="002C7485"/>
    <w:rsid w:val="002D2641"/>
    <w:rsid w:val="002D283A"/>
    <w:rsid w:val="002D2D47"/>
    <w:rsid w:val="002D4543"/>
    <w:rsid w:val="002E3153"/>
    <w:rsid w:val="002E37BF"/>
    <w:rsid w:val="002E42F8"/>
    <w:rsid w:val="002E4A02"/>
    <w:rsid w:val="002E4D3B"/>
    <w:rsid w:val="002E5292"/>
    <w:rsid w:val="002E72CA"/>
    <w:rsid w:val="002F1B6E"/>
    <w:rsid w:val="002F1D07"/>
    <w:rsid w:val="002F600D"/>
    <w:rsid w:val="002F6F0F"/>
    <w:rsid w:val="002F7E47"/>
    <w:rsid w:val="00300AD6"/>
    <w:rsid w:val="00300B1B"/>
    <w:rsid w:val="003019D0"/>
    <w:rsid w:val="003049CC"/>
    <w:rsid w:val="003064AF"/>
    <w:rsid w:val="00307DC6"/>
    <w:rsid w:val="00310A8B"/>
    <w:rsid w:val="00310B68"/>
    <w:rsid w:val="00314C22"/>
    <w:rsid w:val="003160D2"/>
    <w:rsid w:val="0031656B"/>
    <w:rsid w:val="003170ED"/>
    <w:rsid w:val="003173FC"/>
    <w:rsid w:val="003178A4"/>
    <w:rsid w:val="00317C6C"/>
    <w:rsid w:val="003204C1"/>
    <w:rsid w:val="00320B80"/>
    <w:rsid w:val="00320CD3"/>
    <w:rsid w:val="00324025"/>
    <w:rsid w:val="00326E79"/>
    <w:rsid w:val="00326F84"/>
    <w:rsid w:val="0032748A"/>
    <w:rsid w:val="003301B1"/>
    <w:rsid w:val="00331189"/>
    <w:rsid w:val="0033263D"/>
    <w:rsid w:val="00332826"/>
    <w:rsid w:val="00334E69"/>
    <w:rsid w:val="0033518A"/>
    <w:rsid w:val="00335535"/>
    <w:rsid w:val="00335F71"/>
    <w:rsid w:val="003367EF"/>
    <w:rsid w:val="00337E8D"/>
    <w:rsid w:val="00341AE4"/>
    <w:rsid w:val="00342684"/>
    <w:rsid w:val="003476EE"/>
    <w:rsid w:val="00353575"/>
    <w:rsid w:val="00354067"/>
    <w:rsid w:val="003541DD"/>
    <w:rsid w:val="0035420A"/>
    <w:rsid w:val="00356E5B"/>
    <w:rsid w:val="0036318A"/>
    <w:rsid w:val="003639B1"/>
    <w:rsid w:val="003736C9"/>
    <w:rsid w:val="00383B77"/>
    <w:rsid w:val="00384988"/>
    <w:rsid w:val="003872CF"/>
    <w:rsid w:val="003918ED"/>
    <w:rsid w:val="0039782C"/>
    <w:rsid w:val="003A13A6"/>
    <w:rsid w:val="003A2165"/>
    <w:rsid w:val="003A3AF3"/>
    <w:rsid w:val="003A5B4A"/>
    <w:rsid w:val="003A5D95"/>
    <w:rsid w:val="003A6EF0"/>
    <w:rsid w:val="003B0D3A"/>
    <w:rsid w:val="003B2302"/>
    <w:rsid w:val="003B23C5"/>
    <w:rsid w:val="003B2410"/>
    <w:rsid w:val="003B2A75"/>
    <w:rsid w:val="003B49B2"/>
    <w:rsid w:val="003B4F41"/>
    <w:rsid w:val="003B6124"/>
    <w:rsid w:val="003B7960"/>
    <w:rsid w:val="003C0908"/>
    <w:rsid w:val="003C093A"/>
    <w:rsid w:val="003C1ECF"/>
    <w:rsid w:val="003C2FB5"/>
    <w:rsid w:val="003C5759"/>
    <w:rsid w:val="003C60BC"/>
    <w:rsid w:val="003C685C"/>
    <w:rsid w:val="003D24C5"/>
    <w:rsid w:val="003D4594"/>
    <w:rsid w:val="003D4AC4"/>
    <w:rsid w:val="003D63B7"/>
    <w:rsid w:val="003D74C5"/>
    <w:rsid w:val="003E4374"/>
    <w:rsid w:val="003E468B"/>
    <w:rsid w:val="003E62BD"/>
    <w:rsid w:val="003E7503"/>
    <w:rsid w:val="003F044F"/>
    <w:rsid w:val="003F0B04"/>
    <w:rsid w:val="003F0C3A"/>
    <w:rsid w:val="003F0FDE"/>
    <w:rsid w:val="003F15F0"/>
    <w:rsid w:val="003F3228"/>
    <w:rsid w:val="003F5C8C"/>
    <w:rsid w:val="003F63CE"/>
    <w:rsid w:val="003F775A"/>
    <w:rsid w:val="00400E55"/>
    <w:rsid w:val="0040128E"/>
    <w:rsid w:val="0040216B"/>
    <w:rsid w:val="004049A8"/>
    <w:rsid w:val="0040590E"/>
    <w:rsid w:val="00407452"/>
    <w:rsid w:val="00413AAC"/>
    <w:rsid w:val="00414F0C"/>
    <w:rsid w:val="00420400"/>
    <w:rsid w:val="004252EC"/>
    <w:rsid w:val="00425A4B"/>
    <w:rsid w:val="004275A8"/>
    <w:rsid w:val="00427D46"/>
    <w:rsid w:val="00430D39"/>
    <w:rsid w:val="00436024"/>
    <w:rsid w:val="0043760D"/>
    <w:rsid w:val="00442C91"/>
    <w:rsid w:val="004465BD"/>
    <w:rsid w:val="00446938"/>
    <w:rsid w:val="00450C33"/>
    <w:rsid w:val="004528FA"/>
    <w:rsid w:val="00461A44"/>
    <w:rsid w:val="00462D26"/>
    <w:rsid w:val="0046385A"/>
    <w:rsid w:val="00464039"/>
    <w:rsid w:val="00466ADA"/>
    <w:rsid w:val="00467923"/>
    <w:rsid w:val="00467B0A"/>
    <w:rsid w:val="004702BB"/>
    <w:rsid w:val="00472F7C"/>
    <w:rsid w:val="00473857"/>
    <w:rsid w:val="0047494B"/>
    <w:rsid w:val="00476245"/>
    <w:rsid w:val="00477A9B"/>
    <w:rsid w:val="00483035"/>
    <w:rsid w:val="00484811"/>
    <w:rsid w:val="00485940"/>
    <w:rsid w:val="00486194"/>
    <w:rsid w:val="00486C95"/>
    <w:rsid w:val="004877C2"/>
    <w:rsid w:val="004904B9"/>
    <w:rsid w:val="004928B2"/>
    <w:rsid w:val="00496662"/>
    <w:rsid w:val="00497063"/>
    <w:rsid w:val="004A0F5A"/>
    <w:rsid w:val="004A1431"/>
    <w:rsid w:val="004A1A6C"/>
    <w:rsid w:val="004A2484"/>
    <w:rsid w:val="004A3002"/>
    <w:rsid w:val="004A5A85"/>
    <w:rsid w:val="004A71D1"/>
    <w:rsid w:val="004A7C5B"/>
    <w:rsid w:val="004B1845"/>
    <w:rsid w:val="004B2348"/>
    <w:rsid w:val="004B2E01"/>
    <w:rsid w:val="004B2E98"/>
    <w:rsid w:val="004B376A"/>
    <w:rsid w:val="004B5640"/>
    <w:rsid w:val="004B6084"/>
    <w:rsid w:val="004BCF29"/>
    <w:rsid w:val="004C0206"/>
    <w:rsid w:val="004C03D0"/>
    <w:rsid w:val="004C1BD7"/>
    <w:rsid w:val="004C239C"/>
    <w:rsid w:val="004C31FE"/>
    <w:rsid w:val="004C524C"/>
    <w:rsid w:val="004C5FFA"/>
    <w:rsid w:val="004C6064"/>
    <w:rsid w:val="004C691D"/>
    <w:rsid w:val="004C6C07"/>
    <w:rsid w:val="004C7E15"/>
    <w:rsid w:val="004D2CD1"/>
    <w:rsid w:val="004D4A68"/>
    <w:rsid w:val="004D4FF6"/>
    <w:rsid w:val="004D5ADD"/>
    <w:rsid w:val="004E4E9E"/>
    <w:rsid w:val="004E52B1"/>
    <w:rsid w:val="004E692D"/>
    <w:rsid w:val="004E6E4F"/>
    <w:rsid w:val="004E7230"/>
    <w:rsid w:val="004E7D87"/>
    <w:rsid w:val="004F2553"/>
    <w:rsid w:val="004F2D74"/>
    <w:rsid w:val="004F306A"/>
    <w:rsid w:val="004F3B6C"/>
    <w:rsid w:val="004F7D77"/>
    <w:rsid w:val="00500524"/>
    <w:rsid w:val="00501554"/>
    <w:rsid w:val="00502AFE"/>
    <w:rsid w:val="00502E64"/>
    <w:rsid w:val="00503AD7"/>
    <w:rsid w:val="00503E89"/>
    <w:rsid w:val="00504E0C"/>
    <w:rsid w:val="00504E13"/>
    <w:rsid w:val="00507D8F"/>
    <w:rsid w:val="00510525"/>
    <w:rsid w:val="005109D4"/>
    <w:rsid w:val="00514CD7"/>
    <w:rsid w:val="005167EC"/>
    <w:rsid w:val="005170DA"/>
    <w:rsid w:val="00520D6A"/>
    <w:rsid w:val="00522DB6"/>
    <w:rsid w:val="00523467"/>
    <w:rsid w:val="005250E3"/>
    <w:rsid w:val="005264A7"/>
    <w:rsid w:val="0052792D"/>
    <w:rsid w:val="005319B2"/>
    <w:rsid w:val="00532402"/>
    <w:rsid w:val="00532C74"/>
    <w:rsid w:val="005331F7"/>
    <w:rsid w:val="005343F1"/>
    <w:rsid w:val="00534E2E"/>
    <w:rsid w:val="00535133"/>
    <w:rsid w:val="0053780E"/>
    <w:rsid w:val="0054064C"/>
    <w:rsid w:val="005413F8"/>
    <w:rsid w:val="00541AAD"/>
    <w:rsid w:val="00544552"/>
    <w:rsid w:val="00545130"/>
    <w:rsid w:val="0055286A"/>
    <w:rsid w:val="00554B33"/>
    <w:rsid w:val="00555033"/>
    <w:rsid w:val="00555745"/>
    <w:rsid w:val="00556CAD"/>
    <w:rsid w:val="00556D17"/>
    <w:rsid w:val="00557D4F"/>
    <w:rsid w:val="0056122E"/>
    <w:rsid w:val="0056484E"/>
    <w:rsid w:val="00567993"/>
    <w:rsid w:val="00567D8A"/>
    <w:rsid w:val="005712A2"/>
    <w:rsid w:val="005764CD"/>
    <w:rsid w:val="00577C4D"/>
    <w:rsid w:val="00580532"/>
    <w:rsid w:val="00581932"/>
    <w:rsid w:val="0058745A"/>
    <w:rsid w:val="005963BB"/>
    <w:rsid w:val="005A15D2"/>
    <w:rsid w:val="005A3173"/>
    <w:rsid w:val="005A3223"/>
    <w:rsid w:val="005A3DA3"/>
    <w:rsid w:val="005A52C4"/>
    <w:rsid w:val="005A63A1"/>
    <w:rsid w:val="005B1473"/>
    <w:rsid w:val="005B24A4"/>
    <w:rsid w:val="005C3031"/>
    <w:rsid w:val="005C3128"/>
    <w:rsid w:val="005C4652"/>
    <w:rsid w:val="005C4F73"/>
    <w:rsid w:val="005D03AB"/>
    <w:rsid w:val="005D171D"/>
    <w:rsid w:val="005D401D"/>
    <w:rsid w:val="005D5017"/>
    <w:rsid w:val="005D63FA"/>
    <w:rsid w:val="005D73C7"/>
    <w:rsid w:val="005D799E"/>
    <w:rsid w:val="005E0C2D"/>
    <w:rsid w:val="005E0D82"/>
    <w:rsid w:val="005E0F59"/>
    <w:rsid w:val="005E1333"/>
    <w:rsid w:val="005E3136"/>
    <w:rsid w:val="005E507D"/>
    <w:rsid w:val="005E6E88"/>
    <w:rsid w:val="005F0AD0"/>
    <w:rsid w:val="00601A91"/>
    <w:rsid w:val="00602BA3"/>
    <w:rsid w:val="006042C4"/>
    <w:rsid w:val="0060464A"/>
    <w:rsid w:val="00604F4E"/>
    <w:rsid w:val="00605B63"/>
    <w:rsid w:val="00605F9A"/>
    <w:rsid w:val="00606442"/>
    <w:rsid w:val="00606EED"/>
    <w:rsid w:val="00612A95"/>
    <w:rsid w:val="00612E34"/>
    <w:rsid w:val="00614159"/>
    <w:rsid w:val="006157F4"/>
    <w:rsid w:val="006158A3"/>
    <w:rsid w:val="00616514"/>
    <w:rsid w:val="00616C5F"/>
    <w:rsid w:val="00616DAC"/>
    <w:rsid w:val="00617725"/>
    <w:rsid w:val="00617C00"/>
    <w:rsid w:val="006263BF"/>
    <w:rsid w:val="0062748A"/>
    <w:rsid w:val="00630546"/>
    <w:rsid w:val="00630A2C"/>
    <w:rsid w:val="00634A74"/>
    <w:rsid w:val="0063682E"/>
    <w:rsid w:val="00640088"/>
    <w:rsid w:val="00641C7A"/>
    <w:rsid w:val="006424B9"/>
    <w:rsid w:val="00642672"/>
    <w:rsid w:val="00642DA8"/>
    <w:rsid w:val="006436CD"/>
    <w:rsid w:val="00651169"/>
    <w:rsid w:val="00653D69"/>
    <w:rsid w:val="006552E6"/>
    <w:rsid w:val="00655794"/>
    <w:rsid w:val="0065648C"/>
    <w:rsid w:val="006567D5"/>
    <w:rsid w:val="00656F2F"/>
    <w:rsid w:val="00657C63"/>
    <w:rsid w:val="00661CBC"/>
    <w:rsid w:val="00662B85"/>
    <w:rsid w:val="0066549F"/>
    <w:rsid w:val="006670BE"/>
    <w:rsid w:val="00670A76"/>
    <w:rsid w:val="00670EBD"/>
    <w:rsid w:val="006711AA"/>
    <w:rsid w:val="00671228"/>
    <w:rsid w:val="00672B57"/>
    <w:rsid w:val="00673F1F"/>
    <w:rsid w:val="006746DA"/>
    <w:rsid w:val="00675622"/>
    <w:rsid w:val="0067747D"/>
    <w:rsid w:val="006818D5"/>
    <w:rsid w:val="00681CA4"/>
    <w:rsid w:val="0069039D"/>
    <w:rsid w:val="006906DB"/>
    <w:rsid w:val="00691900"/>
    <w:rsid w:val="00691E6C"/>
    <w:rsid w:val="0069342D"/>
    <w:rsid w:val="00693DFB"/>
    <w:rsid w:val="00694FD5"/>
    <w:rsid w:val="0069501D"/>
    <w:rsid w:val="00696129"/>
    <w:rsid w:val="00696618"/>
    <w:rsid w:val="00697CF2"/>
    <w:rsid w:val="006A12A5"/>
    <w:rsid w:val="006A22D5"/>
    <w:rsid w:val="006A2515"/>
    <w:rsid w:val="006A5473"/>
    <w:rsid w:val="006A5E20"/>
    <w:rsid w:val="006A6CEC"/>
    <w:rsid w:val="006B0D94"/>
    <w:rsid w:val="006B24AF"/>
    <w:rsid w:val="006B36BA"/>
    <w:rsid w:val="006B485D"/>
    <w:rsid w:val="006C0C45"/>
    <w:rsid w:val="006C2318"/>
    <w:rsid w:val="006C334C"/>
    <w:rsid w:val="006C6C10"/>
    <w:rsid w:val="006C708E"/>
    <w:rsid w:val="006D14E7"/>
    <w:rsid w:val="006D3FD3"/>
    <w:rsid w:val="006D4444"/>
    <w:rsid w:val="006D6493"/>
    <w:rsid w:val="006D6EC7"/>
    <w:rsid w:val="006E1BCD"/>
    <w:rsid w:val="006E2732"/>
    <w:rsid w:val="006E59CD"/>
    <w:rsid w:val="006F0A71"/>
    <w:rsid w:val="006F0DD5"/>
    <w:rsid w:val="006F11A9"/>
    <w:rsid w:val="006F1C6B"/>
    <w:rsid w:val="006F3481"/>
    <w:rsid w:val="006F40C2"/>
    <w:rsid w:val="006F5125"/>
    <w:rsid w:val="006F733D"/>
    <w:rsid w:val="00700765"/>
    <w:rsid w:val="00702959"/>
    <w:rsid w:val="00702B6F"/>
    <w:rsid w:val="00703DCF"/>
    <w:rsid w:val="00704069"/>
    <w:rsid w:val="00705513"/>
    <w:rsid w:val="00706A2F"/>
    <w:rsid w:val="0070718E"/>
    <w:rsid w:val="00707E52"/>
    <w:rsid w:val="00710259"/>
    <w:rsid w:val="0071031F"/>
    <w:rsid w:val="0071340B"/>
    <w:rsid w:val="00713BB4"/>
    <w:rsid w:val="0071436D"/>
    <w:rsid w:val="00715BBB"/>
    <w:rsid w:val="007174BB"/>
    <w:rsid w:val="0072025D"/>
    <w:rsid w:val="00723328"/>
    <w:rsid w:val="0073137C"/>
    <w:rsid w:val="007340B9"/>
    <w:rsid w:val="007353D3"/>
    <w:rsid w:val="00736850"/>
    <w:rsid w:val="007405F9"/>
    <w:rsid w:val="0074156B"/>
    <w:rsid w:val="00741619"/>
    <w:rsid w:val="00747092"/>
    <w:rsid w:val="007526E6"/>
    <w:rsid w:val="00754DF9"/>
    <w:rsid w:val="007555E8"/>
    <w:rsid w:val="00755CC5"/>
    <w:rsid w:val="0076420C"/>
    <w:rsid w:val="00767BCA"/>
    <w:rsid w:val="00771D07"/>
    <w:rsid w:val="0077276D"/>
    <w:rsid w:val="00773BE3"/>
    <w:rsid w:val="007743DD"/>
    <w:rsid w:val="00774E2C"/>
    <w:rsid w:val="0077518D"/>
    <w:rsid w:val="007753C2"/>
    <w:rsid w:val="00781DC9"/>
    <w:rsid w:val="007838B8"/>
    <w:rsid w:val="00784CD3"/>
    <w:rsid w:val="00784D30"/>
    <w:rsid w:val="00787FD8"/>
    <w:rsid w:val="0079056F"/>
    <w:rsid w:val="007915BA"/>
    <w:rsid w:val="00791844"/>
    <w:rsid w:val="007979BD"/>
    <w:rsid w:val="00797BD8"/>
    <w:rsid w:val="007A6A2F"/>
    <w:rsid w:val="007A76C0"/>
    <w:rsid w:val="007B024E"/>
    <w:rsid w:val="007B109A"/>
    <w:rsid w:val="007B3DDC"/>
    <w:rsid w:val="007B414D"/>
    <w:rsid w:val="007B620B"/>
    <w:rsid w:val="007B72A6"/>
    <w:rsid w:val="007C06D2"/>
    <w:rsid w:val="007C08E0"/>
    <w:rsid w:val="007C0F57"/>
    <w:rsid w:val="007C0F6E"/>
    <w:rsid w:val="007C40B6"/>
    <w:rsid w:val="007C6526"/>
    <w:rsid w:val="007C729F"/>
    <w:rsid w:val="007D39F5"/>
    <w:rsid w:val="007D503D"/>
    <w:rsid w:val="007D59E7"/>
    <w:rsid w:val="007D5F2A"/>
    <w:rsid w:val="007E1D28"/>
    <w:rsid w:val="007E490F"/>
    <w:rsid w:val="007E57F6"/>
    <w:rsid w:val="007F0021"/>
    <w:rsid w:val="007F2641"/>
    <w:rsid w:val="007F7C36"/>
    <w:rsid w:val="008055AF"/>
    <w:rsid w:val="008057CD"/>
    <w:rsid w:val="00806796"/>
    <w:rsid w:val="00810167"/>
    <w:rsid w:val="00810F1C"/>
    <w:rsid w:val="00811CC0"/>
    <w:rsid w:val="008151D6"/>
    <w:rsid w:val="00821527"/>
    <w:rsid w:val="00822696"/>
    <w:rsid w:val="00825A6C"/>
    <w:rsid w:val="0082617E"/>
    <w:rsid w:val="008268BB"/>
    <w:rsid w:val="00826F6D"/>
    <w:rsid w:val="008306F3"/>
    <w:rsid w:val="00830E40"/>
    <w:rsid w:val="00832D9A"/>
    <w:rsid w:val="008347C7"/>
    <w:rsid w:val="008352B6"/>
    <w:rsid w:val="00835C62"/>
    <w:rsid w:val="008368A1"/>
    <w:rsid w:val="00840EF7"/>
    <w:rsid w:val="00844C0A"/>
    <w:rsid w:val="00845D41"/>
    <w:rsid w:val="00846056"/>
    <w:rsid w:val="0084681F"/>
    <w:rsid w:val="00847EC0"/>
    <w:rsid w:val="00855FD6"/>
    <w:rsid w:val="00856DDD"/>
    <w:rsid w:val="00863E68"/>
    <w:rsid w:val="008647B5"/>
    <w:rsid w:val="00867D64"/>
    <w:rsid w:val="00872AFF"/>
    <w:rsid w:val="00872E8F"/>
    <w:rsid w:val="00875DCB"/>
    <w:rsid w:val="0087755A"/>
    <w:rsid w:val="00882085"/>
    <w:rsid w:val="00883188"/>
    <w:rsid w:val="00884A0C"/>
    <w:rsid w:val="00886871"/>
    <w:rsid w:val="00886ACA"/>
    <w:rsid w:val="0089031E"/>
    <w:rsid w:val="0089460B"/>
    <w:rsid w:val="00896347"/>
    <w:rsid w:val="00897D58"/>
    <w:rsid w:val="00897F22"/>
    <w:rsid w:val="008A0B39"/>
    <w:rsid w:val="008A17A3"/>
    <w:rsid w:val="008A1956"/>
    <w:rsid w:val="008A1D30"/>
    <w:rsid w:val="008A1E85"/>
    <w:rsid w:val="008A2419"/>
    <w:rsid w:val="008A29BE"/>
    <w:rsid w:val="008A4937"/>
    <w:rsid w:val="008A50F1"/>
    <w:rsid w:val="008A59D9"/>
    <w:rsid w:val="008A643E"/>
    <w:rsid w:val="008A6819"/>
    <w:rsid w:val="008B0C14"/>
    <w:rsid w:val="008B1198"/>
    <w:rsid w:val="008B1603"/>
    <w:rsid w:val="008B2EC0"/>
    <w:rsid w:val="008B3EBC"/>
    <w:rsid w:val="008B6DCF"/>
    <w:rsid w:val="008D0945"/>
    <w:rsid w:val="008D1409"/>
    <w:rsid w:val="008D15CC"/>
    <w:rsid w:val="008D1729"/>
    <w:rsid w:val="008D1B5C"/>
    <w:rsid w:val="008D2D7D"/>
    <w:rsid w:val="008D3C82"/>
    <w:rsid w:val="008D447E"/>
    <w:rsid w:val="008D6ACF"/>
    <w:rsid w:val="008D7A41"/>
    <w:rsid w:val="008E2C72"/>
    <w:rsid w:val="008E3680"/>
    <w:rsid w:val="008E5870"/>
    <w:rsid w:val="008E77E4"/>
    <w:rsid w:val="008F0213"/>
    <w:rsid w:val="008F07ED"/>
    <w:rsid w:val="008F11F8"/>
    <w:rsid w:val="008F1434"/>
    <w:rsid w:val="008F2BB9"/>
    <w:rsid w:val="008F301D"/>
    <w:rsid w:val="008F3D6A"/>
    <w:rsid w:val="008F54C3"/>
    <w:rsid w:val="008F7355"/>
    <w:rsid w:val="009023DC"/>
    <w:rsid w:val="009027C5"/>
    <w:rsid w:val="00904413"/>
    <w:rsid w:val="009046B4"/>
    <w:rsid w:val="009067B7"/>
    <w:rsid w:val="0090775A"/>
    <w:rsid w:val="00907DFD"/>
    <w:rsid w:val="00912FCD"/>
    <w:rsid w:val="00913C99"/>
    <w:rsid w:val="00916D33"/>
    <w:rsid w:val="00917B83"/>
    <w:rsid w:val="00917D69"/>
    <w:rsid w:val="00920B6D"/>
    <w:rsid w:val="00926560"/>
    <w:rsid w:val="00926B15"/>
    <w:rsid w:val="00930291"/>
    <w:rsid w:val="00930937"/>
    <w:rsid w:val="009324A6"/>
    <w:rsid w:val="0093331E"/>
    <w:rsid w:val="00933873"/>
    <w:rsid w:val="00933E6C"/>
    <w:rsid w:val="00935A6E"/>
    <w:rsid w:val="00937958"/>
    <w:rsid w:val="009406E5"/>
    <w:rsid w:val="00941602"/>
    <w:rsid w:val="00942160"/>
    <w:rsid w:val="00946921"/>
    <w:rsid w:val="00947343"/>
    <w:rsid w:val="0095146F"/>
    <w:rsid w:val="009516A2"/>
    <w:rsid w:val="009534C7"/>
    <w:rsid w:val="009538EF"/>
    <w:rsid w:val="00956289"/>
    <w:rsid w:val="00957944"/>
    <w:rsid w:val="009602C5"/>
    <w:rsid w:val="00962223"/>
    <w:rsid w:val="0096252B"/>
    <w:rsid w:val="00964A9F"/>
    <w:rsid w:val="00966D0D"/>
    <w:rsid w:val="00967732"/>
    <w:rsid w:val="009677D5"/>
    <w:rsid w:val="0096783C"/>
    <w:rsid w:val="009722B3"/>
    <w:rsid w:val="00972CCA"/>
    <w:rsid w:val="00973E24"/>
    <w:rsid w:val="00974C21"/>
    <w:rsid w:val="00975948"/>
    <w:rsid w:val="00977BF3"/>
    <w:rsid w:val="009803E4"/>
    <w:rsid w:val="00980B0E"/>
    <w:rsid w:val="00982B39"/>
    <w:rsid w:val="009836A3"/>
    <w:rsid w:val="00984C58"/>
    <w:rsid w:val="009850F9"/>
    <w:rsid w:val="009855A8"/>
    <w:rsid w:val="00985D1A"/>
    <w:rsid w:val="009913F4"/>
    <w:rsid w:val="00991782"/>
    <w:rsid w:val="009937F7"/>
    <w:rsid w:val="0099465B"/>
    <w:rsid w:val="009951A1"/>
    <w:rsid w:val="00997A44"/>
    <w:rsid w:val="009A0CDD"/>
    <w:rsid w:val="009A3168"/>
    <w:rsid w:val="009A4BDF"/>
    <w:rsid w:val="009A5D04"/>
    <w:rsid w:val="009A61CA"/>
    <w:rsid w:val="009A6CB5"/>
    <w:rsid w:val="009B0C64"/>
    <w:rsid w:val="009B0F67"/>
    <w:rsid w:val="009B2756"/>
    <w:rsid w:val="009B3BA7"/>
    <w:rsid w:val="009B3D56"/>
    <w:rsid w:val="009B3F8C"/>
    <w:rsid w:val="009B533B"/>
    <w:rsid w:val="009C703C"/>
    <w:rsid w:val="009C7F5D"/>
    <w:rsid w:val="009D0C29"/>
    <w:rsid w:val="009D0F85"/>
    <w:rsid w:val="009D206E"/>
    <w:rsid w:val="009D3CAA"/>
    <w:rsid w:val="009D507A"/>
    <w:rsid w:val="009D6532"/>
    <w:rsid w:val="009D71FD"/>
    <w:rsid w:val="009E10AD"/>
    <w:rsid w:val="009E2588"/>
    <w:rsid w:val="009E2E8E"/>
    <w:rsid w:val="009E40E1"/>
    <w:rsid w:val="009F0EFA"/>
    <w:rsid w:val="009F15F4"/>
    <w:rsid w:val="009F344E"/>
    <w:rsid w:val="009F4E46"/>
    <w:rsid w:val="009F5B65"/>
    <w:rsid w:val="009F5F2E"/>
    <w:rsid w:val="00A01432"/>
    <w:rsid w:val="00A06225"/>
    <w:rsid w:val="00A075C4"/>
    <w:rsid w:val="00A110D1"/>
    <w:rsid w:val="00A11E05"/>
    <w:rsid w:val="00A12587"/>
    <w:rsid w:val="00A128E6"/>
    <w:rsid w:val="00A1362B"/>
    <w:rsid w:val="00A144D3"/>
    <w:rsid w:val="00A22AC3"/>
    <w:rsid w:val="00A23F3F"/>
    <w:rsid w:val="00A24067"/>
    <w:rsid w:val="00A24A4B"/>
    <w:rsid w:val="00A2744D"/>
    <w:rsid w:val="00A30B84"/>
    <w:rsid w:val="00A30D16"/>
    <w:rsid w:val="00A339A1"/>
    <w:rsid w:val="00A34E6C"/>
    <w:rsid w:val="00A34FD0"/>
    <w:rsid w:val="00A36398"/>
    <w:rsid w:val="00A37C8D"/>
    <w:rsid w:val="00A4020E"/>
    <w:rsid w:val="00A408E8"/>
    <w:rsid w:val="00A40FB5"/>
    <w:rsid w:val="00A42826"/>
    <w:rsid w:val="00A429B3"/>
    <w:rsid w:val="00A43BAA"/>
    <w:rsid w:val="00A44EC1"/>
    <w:rsid w:val="00A510E4"/>
    <w:rsid w:val="00A5273B"/>
    <w:rsid w:val="00A53A9D"/>
    <w:rsid w:val="00A553CA"/>
    <w:rsid w:val="00A55FEE"/>
    <w:rsid w:val="00A57422"/>
    <w:rsid w:val="00A62C1A"/>
    <w:rsid w:val="00A6426D"/>
    <w:rsid w:val="00A6573B"/>
    <w:rsid w:val="00A66088"/>
    <w:rsid w:val="00A665C1"/>
    <w:rsid w:val="00A673A4"/>
    <w:rsid w:val="00A7001A"/>
    <w:rsid w:val="00A70622"/>
    <w:rsid w:val="00A70977"/>
    <w:rsid w:val="00A70D58"/>
    <w:rsid w:val="00A744F9"/>
    <w:rsid w:val="00A77613"/>
    <w:rsid w:val="00A77B87"/>
    <w:rsid w:val="00A81851"/>
    <w:rsid w:val="00A8390C"/>
    <w:rsid w:val="00A8642F"/>
    <w:rsid w:val="00A86AE0"/>
    <w:rsid w:val="00A91362"/>
    <w:rsid w:val="00A9151C"/>
    <w:rsid w:val="00A919C6"/>
    <w:rsid w:val="00A928BD"/>
    <w:rsid w:val="00A97DE9"/>
    <w:rsid w:val="00AA11A2"/>
    <w:rsid w:val="00AA12CD"/>
    <w:rsid w:val="00AA4D1C"/>
    <w:rsid w:val="00AA52FD"/>
    <w:rsid w:val="00AA7006"/>
    <w:rsid w:val="00AA720B"/>
    <w:rsid w:val="00AB1E00"/>
    <w:rsid w:val="00AB26B0"/>
    <w:rsid w:val="00AB4684"/>
    <w:rsid w:val="00AB5856"/>
    <w:rsid w:val="00AC081D"/>
    <w:rsid w:val="00AC193C"/>
    <w:rsid w:val="00AC1B9C"/>
    <w:rsid w:val="00AC30C1"/>
    <w:rsid w:val="00AC464D"/>
    <w:rsid w:val="00AC4DE5"/>
    <w:rsid w:val="00AC5206"/>
    <w:rsid w:val="00AC74C2"/>
    <w:rsid w:val="00AD3106"/>
    <w:rsid w:val="00AD4322"/>
    <w:rsid w:val="00AD696C"/>
    <w:rsid w:val="00AE11A5"/>
    <w:rsid w:val="00AE13E2"/>
    <w:rsid w:val="00AE22D3"/>
    <w:rsid w:val="00AE41A6"/>
    <w:rsid w:val="00AE5A49"/>
    <w:rsid w:val="00AF11D8"/>
    <w:rsid w:val="00AF2FA1"/>
    <w:rsid w:val="00AF3875"/>
    <w:rsid w:val="00AF5867"/>
    <w:rsid w:val="00AF62DF"/>
    <w:rsid w:val="00AF68CC"/>
    <w:rsid w:val="00AF70D7"/>
    <w:rsid w:val="00B00CD0"/>
    <w:rsid w:val="00B00E7F"/>
    <w:rsid w:val="00B01FF4"/>
    <w:rsid w:val="00B0326D"/>
    <w:rsid w:val="00B06478"/>
    <w:rsid w:val="00B07533"/>
    <w:rsid w:val="00B07CFB"/>
    <w:rsid w:val="00B1059E"/>
    <w:rsid w:val="00B11E6E"/>
    <w:rsid w:val="00B14A36"/>
    <w:rsid w:val="00B16273"/>
    <w:rsid w:val="00B170A5"/>
    <w:rsid w:val="00B1725F"/>
    <w:rsid w:val="00B176C8"/>
    <w:rsid w:val="00B1788C"/>
    <w:rsid w:val="00B17EE5"/>
    <w:rsid w:val="00B205AA"/>
    <w:rsid w:val="00B21B4B"/>
    <w:rsid w:val="00B22E84"/>
    <w:rsid w:val="00B233AD"/>
    <w:rsid w:val="00B23E25"/>
    <w:rsid w:val="00B2544D"/>
    <w:rsid w:val="00B25F75"/>
    <w:rsid w:val="00B26B3F"/>
    <w:rsid w:val="00B2778F"/>
    <w:rsid w:val="00B327E2"/>
    <w:rsid w:val="00B33635"/>
    <w:rsid w:val="00B37780"/>
    <w:rsid w:val="00B40C01"/>
    <w:rsid w:val="00B42A1C"/>
    <w:rsid w:val="00B42AF4"/>
    <w:rsid w:val="00B43E90"/>
    <w:rsid w:val="00B44308"/>
    <w:rsid w:val="00B45722"/>
    <w:rsid w:val="00B467DC"/>
    <w:rsid w:val="00B473EC"/>
    <w:rsid w:val="00B535EA"/>
    <w:rsid w:val="00B5392A"/>
    <w:rsid w:val="00B56118"/>
    <w:rsid w:val="00B566E1"/>
    <w:rsid w:val="00B600CE"/>
    <w:rsid w:val="00B602F6"/>
    <w:rsid w:val="00B634D3"/>
    <w:rsid w:val="00B6773F"/>
    <w:rsid w:val="00B70EB3"/>
    <w:rsid w:val="00B71ED9"/>
    <w:rsid w:val="00B72906"/>
    <w:rsid w:val="00B74F48"/>
    <w:rsid w:val="00B7525E"/>
    <w:rsid w:val="00B75A75"/>
    <w:rsid w:val="00B760FB"/>
    <w:rsid w:val="00B76765"/>
    <w:rsid w:val="00B767AB"/>
    <w:rsid w:val="00B801BA"/>
    <w:rsid w:val="00B80442"/>
    <w:rsid w:val="00B812D6"/>
    <w:rsid w:val="00B84D5C"/>
    <w:rsid w:val="00B85AF6"/>
    <w:rsid w:val="00B956ED"/>
    <w:rsid w:val="00BA2DA8"/>
    <w:rsid w:val="00BA347C"/>
    <w:rsid w:val="00BB298A"/>
    <w:rsid w:val="00BB3469"/>
    <w:rsid w:val="00BB5C49"/>
    <w:rsid w:val="00BB6240"/>
    <w:rsid w:val="00BB6285"/>
    <w:rsid w:val="00BB69F5"/>
    <w:rsid w:val="00BB7EC3"/>
    <w:rsid w:val="00BC04B1"/>
    <w:rsid w:val="00BC470E"/>
    <w:rsid w:val="00BC4B9A"/>
    <w:rsid w:val="00BD02C3"/>
    <w:rsid w:val="00BD3CB8"/>
    <w:rsid w:val="00BD4648"/>
    <w:rsid w:val="00BD7483"/>
    <w:rsid w:val="00BD784C"/>
    <w:rsid w:val="00BE020A"/>
    <w:rsid w:val="00BE13DF"/>
    <w:rsid w:val="00BE25D7"/>
    <w:rsid w:val="00BE6466"/>
    <w:rsid w:val="00BF092C"/>
    <w:rsid w:val="00BF27A0"/>
    <w:rsid w:val="00BF42F0"/>
    <w:rsid w:val="00BF4CB6"/>
    <w:rsid w:val="00BF537B"/>
    <w:rsid w:val="00BF6CBD"/>
    <w:rsid w:val="00C00DA7"/>
    <w:rsid w:val="00C0127E"/>
    <w:rsid w:val="00C013C4"/>
    <w:rsid w:val="00C01E90"/>
    <w:rsid w:val="00C04898"/>
    <w:rsid w:val="00C04CDE"/>
    <w:rsid w:val="00C068A6"/>
    <w:rsid w:val="00C12768"/>
    <w:rsid w:val="00C12D70"/>
    <w:rsid w:val="00C16724"/>
    <w:rsid w:val="00C21B09"/>
    <w:rsid w:val="00C2566D"/>
    <w:rsid w:val="00C2673A"/>
    <w:rsid w:val="00C27B58"/>
    <w:rsid w:val="00C27C1C"/>
    <w:rsid w:val="00C306EE"/>
    <w:rsid w:val="00C32351"/>
    <w:rsid w:val="00C32653"/>
    <w:rsid w:val="00C33186"/>
    <w:rsid w:val="00C35996"/>
    <w:rsid w:val="00C433D4"/>
    <w:rsid w:val="00C4747E"/>
    <w:rsid w:val="00C47666"/>
    <w:rsid w:val="00C5151E"/>
    <w:rsid w:val="00C5191C"/>
    <w:rsid w:val="00C5342C"/>
    <w:rsid w:val="00C53B2B"/>
    <w:rsid w:val="00C54F91"/>
    <w:rsid w:val="00C56F9C"/>
    <w:rsid w:val="00C57465"/>
    <w:rsid w:val="00C60272"/>
    <w:rsid w:val="00C603D4"/>
    <w:rsid w:val="00C6051D"/>
    <w:rsid w:val="00C6256A"/>
    <w:rsid w:val="00C64EBC"/>
    <w:rsid w:val="00C664D2"/>
    <w:rsid w:val="00C710E2"/>
    <w:rsid w:val="00C71C3F"/>
    <w:rsid w:val="00C727F9"/>
    <w:rsid w:val="00C7409E"/>
    <w:rsid w:val="00C74D6D"/>
    <w:rsid w:val="00C76E76"/>
    <w:rsid w:val="00C77891"/>
    <w:rsid w:val="00C829A9"/>
    <w:rsid w:val="00C86DC0"/>
    <w:rsid w:val="00C87B80"/>
    <w:rsid w:val="00C87CF9"/>
    <w:rsid w:val="00C90330"/>
    <w:rsid w:val="00C91449"/>
    <w:rsid w:val="00C924D7"/>
    <w:rsid w:val="00C92D10"/>
    <w:rsid w:val="00C9497F"/>
    <w:rsid w:val="00C96361"/>
    <w:rsid w:val="00C96EC0"/>
    <w:rsid w:val="00CA3F9C"/>
    <w:rsid w:val="00CA48D9"/>
    <w:rsid w:val="00CA4B9F"/>
    <w:rsid w:val="00CB0CE4"/>
    <w:rsid w:val="00CB1193"/>
    <w:rsid w:val="00CB35F6"/>
    <w:rsid w:val="00CB4767"/>
    <w:rsid w:val="00CB493D"/>
    <w:rsid w:val="00CB771B"/>
    <w:rsid w:val="00CC01A6"/>
    <w:rsid w:val="00CC3B97"/>
    <w:rsid w:val="00CD6257"/>
    <w:rsid w:val="00CD7C0B"/>
    <w:rsid w:val="00CE10C4"/>
    <w:rsid w:val="00CE2343"/>
    <w:rsid w:val="00CE27B5"/>
    <w:rsid w:val="00CE5EAD"/>
    <w:rsid w:val="00CE6DAF"/>
    <w:rsid w:val="00CE7669"/>
    <w:rsid w:val="00CF2C3A"/>
    <w:rsid w:val="00CF410A"/>
    <w:rsid w:val="00CF7528"/>
    <w:rsid w:val="00CF7FDE"/>
    <w:rsid w:val="00D0321E"/>
    <w:rsid w:val="00D069EB"/>
    <w:rsid w:val="00D07A8A"/>
    <w:rsid w:val="00D11199"/>
    <w:rsid w:val="00D1455A"/>
    <w:rsid w:val="00D14A70"/>
    <w:rsid w:val="00D1560C"/>
    <w:rsid w:val="00D17BD3"/>
    <w:rsid w:val="00D207EA"/>
    <w:rsid w:val="00D214D2"/>
    <w:rsid w:val="00D22093"/>
    <w:rsid w:val="00D24EF4"/>
    <w:rsid w:val="00D305FF"/>
    <w:rsid w:val="00D31150"/>
    <w:rsid w:val="00D3138B"/>
    <w:rsid w:val="00D31FCE"/>
    <w:rsid w:val="00D3280C"/>
    <w:rsid w:val="00D3406A"/>
    <w:rsid w:val="00D3667C"/>
    <w:rsid w:val="00D40B11"/>
    <w:rsid w:val="00D4195C"/>
    <w:rsid w:val="00D429EC"/>
    <w:rsid w:val="00D441F1"/>
    <w:rsid w:val="00D44737"/>
    <w:rsid w:val="00D4572C"/>
    <w:rsid w:val="00D469B2"/>
    <w:rsid w:val="00D47A52"/>
    <w:rsid w:val="00D528F0"/>
    <w:rsid w:val="00D52B24"/>
    <w:rsid w:val="00D5432B"/>
    <w:rsid w:val="00D54B09"/>
    <w:rsid w:val="00D55B66"/>
    <w:rsid w:val="00D6243E"/>
    <w:rsid w:val="00D629D3"/>
    <w:rsid w:val="00D65658"/>
    <w:rsid w:val="00D67EB2"/>
    <w:rsid w:val="00D70349"/>
    <w:rsid w:val="00D72B6F"/>
    <w:rsid w:val="00D741EB"/>
    <w:rsid w:val="00D7679C"/>
    <w:rsid w:val="00D80E46"/>
    <w:rsid w:val="00D8128A"/>
    <w:rsid w:val="00D820F3"/>
    <w:rsid w:val="00D83605"/>
    <w:rsid w:val="00D84934"/>
    <w:rsid w:val="00D866EB"/>
    <w:rsid w:val="00D87B73"/>
    <w:rsid w:val="00D87D1A"/>
    <w:rsid w:val="00D91271"/>
    <w:rsid w:val="00D919F5"/>
    <w:rsid w:val="00D945F6"/>
    <w:rsid w:val="00D94F03"/>
    <w:rsid w:val="00D95161"/>
    <w:rsid w:val="00DA0A82"/>
    <w:rsid w:val="00DA0AF1"/>
    <w:rsid w:val="00DA0D14"/>
    <w:rsid w:val="00DA1884"/>
    <w:rsid w:val="00DA1FC9"/>
    <w:rsid w:val="00DA2CB5"/>
    <w:rsid w:val="00DA4BAC"/>
    <w:rsid w:val="00DB0151"/>
    <w:rsid w:val="00DB039E"/>
    <w:rsid w:val="00DB04D7"/>
    <w:rsid w:val="00DB50E1"/>
    <w:rsid w:val="00DC0566"/>
    <w:rsid w:val="00DC05E1"/>
    <w:rsid w:val="00DC1499"/>
    <w:rsid w:val="00DC2C3E"/>
    <w:rsid w:val="00DC3137"/>
    <w:rsid w:val="00DC4880"/>
    <w:rsid w:val="00DD26F9"/>
    <w:rsid w:val="00DD42AB"/>
    <w:rsid w:val="00DD668F"/>
    <w:rsid w:val="00DE06AF"/>
    <w:rsid w:val="00DE6D27"/>
    <w:rsid w:val="00DE7B8C"/>
    <w:rsid w:val="00DF01F8"/>
    <w:rsid w:val="00DF021D"/>
    <w:rsid w:val="00DF14EE"/>
    <w:rsid w:val="00DF217D"/>
    <w:rsid w:val="00DF26A7"/>
    <w:rsid w:val="00DF30AF"/>
    <w:rsid w:val="00DF3277"/>
    <w:rsid w:val="00DF6A31"/>
    <w:rsid w:val="00DF77A1"/>
    <w:rsid w:val="00DF7919"/>
    <w:rsid w:val="00E0207E"/>
    <w:rsid w:val="00E02293"/>
    <w:rsid w:val="00E02AE6"/>
    <w:rsid w:val="00E03912"/>
    <w:rsid w:val="00E04748"/>
    <w:rsid w:val="00E078D9"/>
    <w:rsid w:val="00E10293"/>
    <w:rsid w:val="00E103A0"/>
    <w:rsid w:val="00E1043F"/>
    <w:rsid w:val="00E11F44"/>
    <w:rsid w:val="00E132EC"/>
    <w:rsid w:val="00E13E60"/>
    <w:rsid w:val="00E15627"/>
    <w:rsid w:val="00E164B3"/>
    <w:rsid w:val="00E16910"/>
    <w:rsid w:val="00E239E2"/>
    <w:rsid w:val="00E23FF5"/>
    <w:rsid w:val="00E24E09"/>
    <w:rsid w:val="00E27234"/>
    <w:rsid w:val="00E27325"/>
    <w:rsid w:val="00E3495C"/>
    <w:rsid w:val="00E35C7A"/>
    <w:rsid w:val="00E36599"/>
    <w:rsid w:val="00E42BDB"/>
    <w:rsid w:val="00E47A75"/>
    <w:rsid w:val="00E5726D"/>
    <w:rsid w:val="00E57EEB"/>
    <w:rsid w:val="00E60104"/>
    <w:rsid w:val="00E60B83"/>
    <w:rsid w:val="00E62D94"/>
    <w:rsid w:val="00E62ECC"/>
    <w:rsid w:val="00E64F37"/>
    <w:rsid w:val="00E65091"/>
    <w:rsid w:val="00E65E54"/>
    <w:rsid w:val="00E661C7"/>
    <w:rsid w:val="00E732C4"/>
    <w:rsid w:val="00E74E41"/>
    <w:rsid w:val="00E77299"/>
    <w:rsid w:val="00E80155"/>
    <w:rsid w:val="00E8134B"/>
    <w:rsid w:val="00E81E0D"/>
    <w:rsid w:val="00E81F28"/>
    <w:rsid w:val="00E8248A"/>
    <w:rsid w:val="00E848C0"/>
    <w:rsid w:val="00E84BB8"/>
    <w:rsid w:val="00E86F92"/>
    <w:rsid w:val="00E91B96"/>
    <w:rsid w:val="00E925F8"/>
    <w:rsid w:val="00E929D2"/>
    <w:rsid w:val="00E935DA"/>
    <w:rsid w:val="00E93D1E"/>
    <w:rsid w:val="00E941A1"/>
    <w:rsid w:val="00E95CE3"/>
    <w:rsid w:val="00E95F9A"/>
    <w:rsid w:val="00EA0856"/>
    <w:rsid w:val="00EA252F"/>
    <w:rsid w:val="00EA2825"/>
    <w:rsid w:val="00EA405E"/>
    <w:rsid w:val="00EA6518"/>
    <w:rsid w:val="00EA71A2"/>
    <w:rsid w:val="00EA7466"/>
    <w:rsid w:val="00EA7EDE"/>
    <w:rsid w:val="00EB0781"/>
    <w:rsid w:val="00EB0B63"/>
    <w:rsid w:val="00EB1936"/>
    <w:rsid w:val="00EB3545"/>
    <w:rsid w:val="00EB37BE"/>
    <w:rsid w:val="00EB3D78"/>
    <w:rsid w:val="00EB40E6"/>
    <w:rsid w:val="00EB4BAE"/>
    <w:rsid w:val="00EB5088"/>
    <w:rsid w:val="00EB5DB7"/>
    <w:rsid w:val="00EB7210"/>
    <w:rsid w:val="00EC15F4"/>
    <w:rsid w:val="00EC2726"/>
    <w:rsid w:val="00EC2E98"/>
    <w:rsid w:val="00EC3C91"/>
    <w:rsid w:val="00EC681C"/>
    <w:rsid w:val="00ED1644"/>
    <w:rsid w:val="00ED2593"/>
    <w:rsid w:val="00ED3709"/>
    <w:rsid w:val="00ED4024"/>
    <w:rsid w:val="00ED7D55"/>
    <w:rsid w:val="00ED7D9C"/>
    <w:rsid w:val="00EE31A2"/>
    <w:rsid w:val="00EE6AC2"/>
    <w:rsid w:val="00EF0069"/>
    <w:rsid w:val="00EF074C"/>
    <w:rsid w:val="00EF44A0"/>
    <w:rsid w:val="00EF4580"/>
    <w:rsid w:val="00EF4FED"/>
    <w:rsid w:val="00EF5F45"/>
    <w:rsid w:val="00EF6843"/>
    <w:rsid w:val="00EF6BE4"/>
    <w:rsid w:val="00EF6FB3"/>
    <w:rsid w:val="00F0068B"/>
    <w:rsid w:val="00F007C6"/>
    <w:rsid w:val="00F01263"/>
    <w:rsid w:val="00F0172E"/>
    <w:rsid w:val="00F02EBE"/>
    <w:rsid w:val="00F04328"/>
    <w:rsid w:val="00F050BD"/>
    <w:rsid w:val="00F05657"/>
    <w:rsid w:val="00F05AB0"/>
    <w:rsid w:val="00F12C74"/>
    <w:rsid w:val="00F13FF7"/>
    <w:rsid w:val="00F1559A"/>
    <w:rsid w:val="00F169C6"/>
    <w:rsid w:val="00F17ED6"/>
    <w:rsid w:val="00F20676"/>
    <w:rsid w:val="00F209E2"/>
    <w:rsid w:val="00F23A6B"/>
    <w:rsid w:val="00F24C23"/>
    <w:rsid w:val="00F24D3E"/>
    <w:rsid w:val="00F25578"/>
    <w:rsid w:val="00F258E5"/>
    <w:rsid w:val="00F25B9C"/>
    <w:rsid w:val="00F2675A"/>
    <w:rsid w:val="00F26CC6"/>
    <w:rsid w:val="00F300BC"/>
    <w:rsid w:val="00F3263C"/>
    <w:rsid w:val="00F3334E"/>
    <w:rsid w:val="00F36CCB"/>
    <w:rsid w:val="00F374E5"/>
    <w:rsid w:val="00F37B93"/>
    <w:rsid w:val="00F37BAD"/>
    <w:rsid w:val="00F37ECA"/>
    <w:rsid w:val="00F40A1C"/>
    <w:rsid w:val="00F43AF2"/>
    <w:rsid w:val="00F445C0"/>
    <w:rsid w:val="00F45216"/>
    <w:rsid w:val="00F5007E"/>
    <w:rsid w:val="00F50EC4"/>
    <w:rsid w:val="00F512AF"/>
    <w:rsid w:val="00F52232"/>
    <w:rsid w:val="00F52DC2"/>
    <w:rsid w:val="00F5324C"/>
    <w:rsid w:val="00F550CF"/>
    <w:rsid w:val="00F55205"/>
    <w:rsid w:val="00F553D2"/>
    <w:rsid w:val="00F55CC3"/>
    <w:rsid w:val="00F57A6D"/>
    <w:rsid w:val="00F6044B"/>
    <w:rsid w:val="00F62F19"/>
    <w:rsid w:val="00F638CC"/>
    <w:rsid w:val="00F64C9E"/>
    <w:rsid w:val="00F64CC1"/>
    <w:rsid w:val="00F72317"/>
    <w:rsid w:val="00F73DC1"/>
    <w:rsid w:val="00F755BB"/>
    <w:rsid w:val="00F75BB8"/>
    <w:rsid w:val="00F77714"/>
    <w:rsid w:val="00F80475"/>
    <w:rsid w:val="00F80E6E"/>
    <w:rsid w:val="00F81390"/>
    <w:rsid w:val="00F81F7A"/>
    <w:rsid w:val="00F8247A"/>
    <w:rsid w:val="00F82E5C"/>
    <w:rsid w:val="00F83F58"/>
    <w:rsid w:val="00F85206"/>
    <w:rsid w:val="00F873D1"/>
    <w:rsid w:val="00F87CEA"/>
    <w:rsid w:val="00F91DBF"/>
    <w:rsid w:val="00F9629A"/>
    <w:rsid w:val="00F97382"/>
    <w:rsid w:val="00F97EFC"/>
    <w:rsid w:val="00FA0B04"/>
    <w:rsid w:val="00FA0C7C"/>
    <w:rsid w:val="00FA1BDD"/>
    <w:rsid w:val="00FA2209"/>
    <w:rsid w:val="00FA305C"/>
    <w:rsid w:val="00FA4349"/>
    <w:rsid w:val="00FA462E"/>
    <w:rsid w:val="00FA4872"/>
    <w:rsid w:val="00FA4DD5"/>
    <w:rsid w:val="00FA5883"/>
    <w:rsid w:val="00FA6055"/>
    <w:rsid w:val="00FA67E7"/>
    <w:rsid w:val="00FB0A12"/>
    <w:rsid w:val="00FB0B39"/>
    <w:rsid w:val="00FB322F"/>
    <w:rsid w:val="00FB442F"/>
    <w:rsid w:val="00FB79F9"/>
    <w:rsid w:val="00FC118C"/>
    <w:rsid w:val="00FC1929"/>
    <w:rsid w:val="00FC5B46"/>
    <w:rsid w:val="00FC6762"/>
    <w:rsid w:val="00FD1D4F"/>
    <w:rsid w:val="00FD24BF"/>
    <w:rsid w:val="00FD3B6E"/>
    <w:rsid w:val="00FD57EB"/>
    <w:rsid w:val="00FD6D8E"/>
    <w:rsid w:val="00FD78EB"/>
    <w:rsid w:val="00FD7C5E"/>
    <w:rsid w:val="00FE0663"/>
    <w:rsid w:val="00FE0E94"/>
    <w:rsid w:val="00FE369C"/>
    <w:rsid w:val="00FE3CD9"/>
    <w:rsid w:val="00FF00BD"/>
    <w:rsid w:val="00FF0B13"/>
    <w:rsid w:val="00FF13BD"/>
    <w:rsid w:val="00FF1ED4"/>
    <w:rsid w:val="00FF26B4"/>
    <w:rsid w:val="00FF2801"/>
    <w:rsid w:val="00FF2B78"/>
    <w:rsid w:val="00FF799B"/>
    <w:rsid w:val="00FF7DEA"/>
    <w:rsid w:val="012A7082"/>
    <w:rsid w:val="0143FC8B"/>
    <w:rsid w:val="01BAC867"/>
    <w:rsid w:val="0254441C"/>
    <w:rsid w:val="02E816C3"/>
    <w:rsid w:val="032394EB"/>
    <w:rsid w:val="033B2F40"/>
    <w:rsid w:val="04A12F4E"/>
    <w:rsid w:val="04DBE9EA"/>
    <w:rsid w:val="05182518"/>
    <w:rsid w:val="051D99F9"/>
    <w:rsid w:val="05B612E3"/>
    <w:rsid w:val="0605216C"/>
    <w:rsid w:val="063EE9F7"/>
    <w:rsid w:val="069F379E"/>
    <w:rsid w:val="08185FB9"/>
    <w:rsid w:val="082A09EB"/>
    <w:rsid w:val="0A0C7AE1"/>
    <w:rsid w:val="0A663D94"/>
    <w:rsid w:val="0B1BF5E7"/>
    <w:rsid w:val="0CF130DF"/>
    <w:rsid w:val="0CFE1DFD"/>
    <w:rsid w:val="0D4FC7CF"/>
    <w:rsid w:val="0DC4E36E"/>
    <w:rsid w:val="0E5E506F"/>
    <w:rsid w:val="0F5CF529"/>
    <w:rsid w:val="0FC31246"/>
    <w:rsid w:val="1023E0F9"/>
    <w:rsid w:val="1272477B"/>
    <w:rsid w:val="12B95C68"/>
    <w:rsid w:val="15107A79"/>
    <w:rsid w:val="1559BAC6"/>
    <w:rsid w:val="162998A6"/>
    <w:rsid w:val="17FD5F39"/>
    <w:rsid w:val="18657CF4"/>
    <w:rsid w:val="19B44400"/>
    <w:rsid w:val="19F2311B"/>
    <w:rsid w:val="1A0D3C6A"/>
    <w:rsid w:val="1A2D1BE7"/>
    <w:rsid w:val="1A8A0C43"/>
    <w:rsid w:val="1B0BFFE7"/>
    <w:rsid w:val="1B4DABE9"/>
    <w:rsid w:val="1D4E7C25"/>
    <w:rsid w:val="1D6033D6"/>
    <w:rsid w:val="1DDBDA0D"/>
    <w:rsid w:val="1E382E8C"/>
    <w:rsid w:val="1E938E64"/>
    <w:rsid w:val="1F3EECBD"/>
    <w:rsid w:val="1FB6E350"/>
    <w:rsid w:val="1FF3162D"/>
    <w:rsid w:val="2009EB8A"/>
    <w:rsid w:val="210F5AF1"/>
    <w:rsid w:val="212CBC64"/>
    <w:rsid w:val="231C3354"/>
    <w:rsid w:val="238CC620"/>
    <w:rsid w:val="244B8CF8"/>
    <w:rsid w:val="24C0A041"/>
    <w:rsid w:val="24CA5046"/>
    <w:rsid w:val="24F49182"/>
    <w:rsid w:val="26615FE7"/>
    <w:rsid w:val="2678B15D"/>
    <w:rsid w:val="27394882"/>
    <w:rsid w:val="29365BD7"/>
    <w:rsid w:val="29882150"/>
    <w:rsid w:val="29E0E709"/>
    <w:rsid w:val="2AA490C3"/>
    <w:rsid w:val="2C4C1D68"/>
    <w:rsid w:val="2C7C3DFB"/>
    <w:rsid w:val="2D470254"/>
    <w:rsid w:val="2E4579D6"/>
    <w:rsid w:val="2EF0545B"/>
    <w:rsid w:val="2FC97F8A"/>
    <w:rsid w:val="300EDF22"/>
    <w:rsid w:val="3079EB0D"/>
    <w:rsid w:val="307D714D"/>
    <w:rsid w:val="3093AC95"/>
    <w:rsid w:val="31C1265F"/>
    <w:rsid w:val="321F658F"/>
    <w:rsid w:val="32FFC29C"/>
    <w:rsid w:val="3320F36F"/>
    <w:rsid w:val="340D0A3D"/>
    <w:rsid w:val="343A4F58"/>
    <w:rsid w:val="34E7EA92"/>
    <w:rsid w:val="363425FC"/>
    <w:rsid w:val="373C6128"/>
    <w:rsid w:val="37C1F8E8"/>
    <w:rsid w:val="3805C0E7"/>
    <w:rsid w:val="38168071"/>
    <w:rsid w:val="393376D2"/>
    <w:rsid w:val="395463D1"/>
    <w:rsid w:val="398863F1"/>
    <w:rsid w:val="3A20C143"/>
    <w:rsid w:val="3BA095AD"/>
    <w:rsid w:val="40771079"/>
    <w:rsid w:val="40930EF5"/>
    <w:rsid w:val="4110CDB4"/>
    <w:rsid w:val="42691D0F"/>
    <w:rsid w:val="4372D6C2"/>
    <w:rsid w:val="443448FB"/>
    <w:rsid w:val="44505BFC"/>
    <w:rsid w:val="450F5A46"/>
    <w:rsid w:val="456C4AA2"/>
    <w:rsid w:val="4641A0D0"/>
    <w:rsid w:val="4873567A"/>
    <w:rsid w:val="48F582C0"/>
    <w:rsid w:val="49B7B512"/>
    <w:rsid w:val="4AE86C22"/>
    <w:rsid w:val="4D21EA56"/>
    <w:rsid w:val="4DA14906"/>
    <w:rsid w:val="4DD74500"/>
    <w:rsid w:val="4EE3854C"/>
    <w:rsid w:val="4F28A562"/>
    <w:rsid w:val="5057B658"/>
    <w:rsid w:val="517C50E5"/>
    <w:rsid w:val="51A107A9"/>
    <w:rsid w:val="53229BC9"/>
    <w:rsid w:val="53B39A2E"/>
    <w:rsid w:val="54C17BA2"/>
    <w:rsid w:val="553311EF"/>
    <w:rsid w:val="55ACD1A0"/>
    <w:rsid w:val="56AFA43F"/>
    <w:rsid w:val="58963761"/>
    <w:rsid w:val="593F501C"/>
    <w:rsid w:val="5A05D725"/>
    <w:rsid w:val="5B9D8C93"/>
    <w:rsid w:val="5CB076C8"/>
    <w:rsid w:val="5D5832E9"/>
    <w:rsid w:val="5D80A09E"/>
    <w:rsid w:val="5DF2A876"/>
    <w:rsid w:val="5EBDDC85"/>
    <w:rsid w:val="5F8C18FC"/>
    <w:rsid w:val="600E03FD"/>
    <w:rsid w:val="62AD93BA"/>
    <w:rsid w:val="63555756"/>
    <w:rsid w:val="644E444D"/>
    <w:rsid w:val="65573E26"/>
    <w:rsid w:val="65AD35BA"/>
    <w:rsid w:val="65C2D45A"/>
    <w:rsid w:val="6657D135"/>
    <w:rsid w:val="66D9E62A"/>
    <w:rsid w:val="6728F4B3"/>
    <w:rsid w:val="673BE400"/>
    <w:rsid w:val="67B6BAF7"/>
    <w:rsid w:val="68E0347C"/>
    <w:rsid w:val="699B3EBB"/>
    <w:rsid w:val="6A2AAF49"/>
    <w:rsid w:val="6BAD574D"/>
    <w:rsid w:val="6CA77350"/>
    <w:rsid w:val="709A626A"/>
    <w:rsid w:val="716D6D8F"/>
    <w:rsid w:val="731BA24E"/>
    <w:rsid w:val="73E7CF48"/>
    <w:rsid w:val="764DA178"/>
    <w:rsid w:val="77B642A1"/>
    <w:rsid w:val="78063D85"/>
    <w:rsid w:val="78168F3E"/>
    <w:rsid w:val="78E271BD"/>
    <w:rsid w:val="78E93C4E"/>
    <w:rsid w:val="79E941EA"/>
    <w:rsid w:val="7A3DE86F"/>
    <w:rsid w:val="7AD6838E"/>
    <w:rsid w:val="7B180F93"/>
    <w:rsid w:val="7B1B6DA9"/>
    <w:rsid w:val="7B349606"/>
    <w:rsid w:val="7C63B7C1"/>
    <w:rsid w:val="7C73E7A8"/>
    <w:rsid w:val="7C7878ED"/>
    <w:rsid w:val="7CDEBC17"/>
    <w:rsid w:val="7D61AEBC"/>
    <w:rsid w:val="7D98DA3E"/>
    <w:rsid w:val="7DAC400C"/>
    <w:rsid w:val="7E3EF267"/>
    <w:rsid w:val="7E77EEEF"/>
    <w:rsid w:val="7E784689"/>
    <w:rsid w:val="7E9A54A9"/>
    <w:rsid w:val="7F47C472"/>
    <w:rsid w:val="7FA82C29"/>
    <w:rsid w:val="7FC154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3185"/>
    <o:shapelayout v:ext="edit">
      <o:idmap v:ext="edit" data="1"/>
    </o:shapelayout>
  </w:shapeDefaults>
  <w:decimalSymbol w:val="."/>
  <w:listSeparator w:val=","/>
  <w14:docId w14:val="24BD7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lsdException w:name="heading 2" w:uiPriority="1" w:qFormat="1"/>
    <w:lsdException w:name="heading 3" w:semiHidden="1" w:unhideWhenUsed="1"/>
    <w:lsdException w:name="heading 4"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14D2"/>
    <w:pPr>
      <w:jc w:val="both"/>
    </w:pPr>
    <w:rPr>
      <w:rFonts w:ascii="Calibri" w:hAnsi="Calibri"/>
      <w:sz w:val="24"/>
      <w:szCs w:val="24"/>
    </w:rPr>
  </w:style>
  <w:style w:type="paragraph" w:styleId="Heading1">
    <w:name w:val="heading 1"/>
    <w:basedOn w:val="ListParagraph"/>
    <w:next w:val="Normal"/>
    <w:link w:val="Heading1Char"/>
    <w:uiPriority w:val="1"/>
    <w:rsid w:val="00C603D4"/>
    <w:pPr>
      <w:ind w:left="0"/>
      <w:outlineLvl w:val="0"/>
    </w:pPr>
    <w:rPr>
      <w:b/>
      <w:szCs w:val="22"/>
    </w:rPr>
  </w:style>
  <w:style w:type="paragraph" w:styleId="Heading2">
    <w:name w:val="heading 2"/>
    <w:aliases w:val="Subsection Headings"/>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unhideWhenUsed/>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qFormat/>
    <w:rsid w:val="00446938"/>
    <w:pPr>
      <w:keepNext/>
      <w:tabs>
        <w:tab w:val="center" w:pos="4513"/>
        <w:tab w:val="right" w:pos="9026"/>
      </w:tabs>
      <w:jc w:val="center"/>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aliases w:val="Dossier table,Summary box,Table Gridbeth,CMA Table Template,ASD Table,new style,PBAC table,Header Table,NICE instructions,Source table_,HTAtableplain"/>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uiPriority w:val="2"/>
    <w:pPr>
      <w:spacing w:after="120"/>
    </w:pPr>
    <w:rPr>
      <w:rFonts w:ascii="Arial" w:hAnsi="Arial"/>
      <w:sz w:val="20"/>
      <w:szCs w:val="20"/>
      <w:lang w:eastAsia="en-US"/>
    </w:rPr>
  </w:style>
  <w:style w:type="paragraph" w:styleId="BodyText2">
    <w:name w:val="Body Text 2"/>
    <w:basedOn w:val="Normal"/>
    <w:link w:val="BodyText2Char"/>
    <w:pPr>
      <w:widowControl w:val="0"/>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rPr>
      <w:sz w:val="20"/>
      <w:szCs w:val="20"/>
      <w:lang w:eastAsia="en-US"/>
    </w:rPr>
  </w:style>
  <w:style w:type="character" w:customStyle="1" w:styleId="HeaderChar">
    <w:name w:val="Header Char"/>
    <w:aliases w:val="Page Header Char,Header title Char,he=header Char,cntr/bld Char"/>
    <w:basedOn w:val="DefaultParagraphFont"/>
    <w:link w:val="Header"/>
    <w:rsid w:val="00446938"/>
    <w:rPr>
      <w:rFonts w:ascii="Calibri" w:hAnsi="Calibri"/>
      <w:sz w:val="24"/>
      <w:szCs w:val="24"/>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Numbered para,Body Text Bullet Points,List Paragraph1,Bullet point,List Paragraph11,Recommendation,Section heading,Footnote,L,Bullet Point,Bulletr List Paragraph,Content descriptions,FooterText,List Bullet 1,List Paragraph2"/>
    <w:next w:val="ListBullet"/>
    <w:link w:val="ListParagraphChar"/>
    <w:uiPriority w:val="34"/>
    <w:qFormat/>
    <w:rsid w:val="00446938"/>
    <w:pPr>
      <w:spacing w:after="120"/>
      <w:ind w:left="1134" w:hanging="357"/>
    </w:pPr>
    <w:rPr>
      <w:rFonts w:asciiTheme="minorHAnsi" w:hAnsiTheme="minorHAnsi" w:cs="Arial"/>
      <w:snapToGrid w:val="0"/>
      <w:sz w:val="24"/>
      <w:szCs w:val="24"/>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link w:val="NoSpacingChar"/>
    <w:uiPriority w:val="1"/>
    <w:qFormat/>
    <w:rsid w:val="00C27B58"/>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tabs>
        <w:tab w:val="num" w:pos="360"/>
      </w:tabs>
      <w:ind w:left="360" w:hanging="360"/>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Numbered para Char,Body Text Bullet Points Char,List Paragraph1 Char,Bullet point Char,List Paragraph11 Char,Recommendation Char,Section heading Char,Footnote Char,L Char,Bullet Point Char,Content descriptions Char"/>
    <w:basedOn w:val="DefaultParagraphFont"/>
    <w:link w:val="ListParagraph"/>
    <w:uiPriority w:val="34"/>
    <w:qFormat/>
    <w:rsid w:val="00446938"/>
    <w:rPr>
      <w:rFonts w:asciiTheme="minorHAnsi" w:hAnsiTheme="minorHAnsi" w:cs="Arial"/>
      <w:snapToGrid w:val="0"/>
      <w:sz w:val="24"/>
      <w:szCs w:val="24"/>
    </w:rPr>
  </w:style>
  <w:style w:type="paragraph" w:customStyle="1" w:styleId="2Sections">
    <w:name w:val="2. Sections"/>
    <w:qFormat/>
    <w:rsid w:val="0033263D"/>
    <w:p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Theme="minorHAnsi" w:hAnsiTheme="minorHAnsi" w:cs="Arial"/>
      <w:b/>
      <w:snapToGrid w:val="0"/>
      <w:sz w:val="24"/>
      <w:szCs w:val="22"/>
    </w:rPr>
  </w:style>
  <w:style w:type="character" w:customStyle="1" w:styleId="Heading2Char">
    <w:name w:val="Heading 2 Char"/>
    <w:aliases w:val="Subsection Headings Char"/>
    <w:basedOn w:val="DefaultParagraphFont"/>
    <w:link w:val="Heading2"/>
    <w:uiPriority w:val="1"/>
    <w:rsid w:val="003C2FB5"/>
    <w:rPr>
      <w:rFonts w:ascii="Arial" w:hAnsi="Arial"/>
      <w:b/>
      <w:i/>
      <w:sz w:val="22"/>
      <w:szCs w:val="24"/>
    </w:rPr>
  </w:style>
  <w:style w:type="paragraph" w:customStyle="1" w:styleId="1MainTitle">
    <w:name w:val="1. Main Title"/>
    <w:basedOn w:val="Title"/>
    <w:link w:val="1MainTitleChar"/>
    <w:qFormat/>
    <w:rsid w:val="00706A2F"/>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qFormat/>
    <w:rsid w:val="00774E2C"/>
    <w:pPr>
      <w:spacing w:after="60"/>
    </w:pPr>
    <w:rPr>
      <w:rFonts w:ascii="Arial Narrow" w:hAnsi="Arial Narrow"/>
      <w:b/>
      <w:sz w:val="20"/>
    </w:rPr>
  </w:style>
  <w:style w:type="character" w:customStyle="1" w:styleId="MinorOVRHeaderChar">
    <w:name w:val="Minor OVR Header Char"/>
    <w:basedOn w:val="HeaderChar"/>
    <w:link w:val="MinorOVRHeader"/>
    <w:rsid w:val="00706A2F"/>
    <w:rPr>
      <w:rFonts w:asciiTheme="minorHAnsi" w:hAnsiTheme="minorHAnsi" w:cs="Arial"/>
      <w:sz w:val="24"/>
      <w:szCs w:val="24"/>
      <w:lang w:eastAsia="en-AU"/>
    </w:rPr>
  </w:style>
  <w:style w:type="character" w:customStyle="1" w:styleId="NoSpacingChar">
    <w:name w:val="No Spacing Char"/>
    <w:basedOn w:val="DefaultParagraphFont"/>
    <w:link w:val="NoSpacing"/>
    <w:uiPriority w:val="1"/>
    <w:rsid w:val="00774E2C"/>
    <w:rPr>
      <w:rFonts w:ascii="Arial" w:hAnsi="Arial"/>
      <w:sz w:val="22"/>
      <w:szCs w:val="22"/>
    </w:rPr>
  </w:style>
  <w:style w:type="character" w:customStyle="1" w:styleId="TabletitlesChar">
    <w:name w:val="Table titles Char"/>
    <w:basedOn w:val="NoSpacingChar"/>
    <w:link w:val="Tabletitles"/>
    <w:rsid w:val="00774E2C"/>
    <w:rPr>
      <w:rFonts w:ascii="Arial Narrow" w:hAnsi="Arial Narrow"/>
      <w:b/>
      <w:sz w:val="22"/>
      <w:szCs w:val="22"/>
    </w:rPr>
  </w:style>
  <w:style w:type="paragraph" w:customStyle="1" w:styleId="3Bodytext">
    <w:name w:val="3. Body text"/>
    <w:basedOn w:val="ListParagraph"/>
    <w:link w:val="3BodytextChar"/>
    <w:qFormat/>
    <w:rsid w:val="00A673A4"/>
    <w:pPr>
      <w:numPr>
        <w:ilvl w:val="1"/>
        <w:numId w:val="2"/>
      </w:numPr>
    </w:pPr>
    <w:rPr>
      <w:rFonts w:eastAsiaTheme="minorHAnsi" w:cstheme="minorBidi"/>
      <w:snapToGrid/>
      <w:szCs w:val="22"/>
    </w:rPr>
  </w:style>
  <w:style w:type="paragraph" w:customStyle="1" w:styleId="PBACFooter">
    <w:name w:val="PBAC Footer"/>
    <w:basedOn w:val="Footer"/>
    <w:link w:val="PBACFooterChar"/>
    <w:qFormat/>
    <w:rsid w:val="00E27234"/>
    <w:pPr>
      <w:jc w:val="center"/>
    </w:pPr>
    <w:rPr>
      <w:rFonts w:ascii="Arial" w:hAnsi="Arial" w:cs="Arial"/>
      <w:b/>
      <w:sz w:val="20"/>
      <w:szCs w:val="20"/>
    </w:rPr>
  </w:style>
  <w:style w:type="character" w:customStyle="1" w:styleId="3BodytextChar">
    <w:name w:val="3. Body text Char"/>
    <w:basedOn w:val="ListParagraphChar"/>
    <w:link w:val="3Bodytext"/>
    <w:rsid w:val="00A673A4"/>
    <w:rPr>
      <w:rFonts w:asciiTheme="minorHAnsi" w:eastAsiaTheme="minorHAnsi" w:hAnsiTheme="minorHAnsi" w:cstheme="minorBidi"/>
      <w:snapToGrid/>
      <w:sz w:val="24"/>
      <w:szCs w:val="22"/>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rsid w:val="00162D4E"/>
    <w:pPr>
      <w:ind w:left="720" w:hanging="720"/>
      <w:outlineLvl w:val="0"/>
    </w:pPr>
    <w:rPr>
      <w:rFonts w:ascii="Arial" w:hAnsi="Arial" w:cs="Arial"/>
      <w:b/>
      <w:snapToGrid w:val="0"/>
      <w:sz w:val="22"/>
      <w:szCs w:val="22"/>
      <w:lang w:eastAsia="en-US"/>
    </w:rPr>
  </w:style>
  <w:style w:type="paragraph" w:customStyle="1" w:styleId="TableText0">
    <w:name w:val="Table Text"/>
    <w:link w:val="TableTextChar0"/>
    <w:qFormat/>
    <w:rsid w:val="00446938"/>
    <w:pPr>
      <w:keepNext/>
    </w:pPr>
    <w:rPr>
      <w:rFonts w:ascii="Arial Narrow" w:eastAsiaTheme="majorEastAsia" w:hAnsi="Arial Narrow" w:cstheme="majorBidi"/>
      <w:bCs/>
      <w:szCs w:val="24"/>
    </w:rPr>
  </w:style>
  <w:style w:type="paragraph" w:customStyle="1" w:styleId="Lists">
    <w:name w:val="Lists"/>
    <w:basedOn w:val="3Bodytext"/>
    <w:link w:val="ListsChar"/>
    <w:rsid w:val="000A44B2"/>
    <w:pPr>
      <w:numPr>
        <w:numId w:val="4"/>
      </w:numPr>
    </w:pPr>
  </w:style>
  <w:style w:type="character" w:customStyle="1" w:styleId="TableTextChar0">
    <w:name w:val="Table Text Char"/>
    <w:basedOn w:val="DefaultParagraphFont"/>
    <w:link w:val="TableText0"/>
    <w:rsid w:val="00446938"/>
    <w:rPr>
      <w:rFonts w:ascii="Arial Narrow" w:eastAsiaTheme="majorEastAsia" w:hAnsi="Arial Narrow" w:cstheme="majorBidi"/>
      <w:bCs/>
      <w:szCs w:val="24"/>
    </w:rPr>
  </w:style>
  <w:style w:type="character" w:styleId="FollowedHyperlink">
    <w:name w:val="FollowedHyperlink"/>
    <w:basedOn w:val="DefaultParagraphFont"/>
    <w:semiHidden/>
    <w:unhideWhenUsed/>
    <w:rsid w:val="00FA4DD5"/>
    <w:rPr>
      <w:color w:val="800080" w:themeColor="followedHyperlink"/>
      <w:u w:val="single"/>
    </w:rPr>
  </w:style>
  <w:style w:type="character" w:customStyle="1" w:styleId="ListsChar">
    <w:name w:val="Lists Char"/>
    <w:basedOn w:val="3BodytextChar"/>
    <w:link w:val="Lists"/>
    <w:rsid w:val="000A44B2"/>
    <w:rPr>
      <w:rFonts w:asciiTheme="minorHAnsi" w:eastAsiaTheme="minorHAnsi" w:hAnsiTheme="minorHAnsi" w:cstheme="minorBidi"/>
      <w:snapToGrid/>
      <w:sz w:val="24"/>
      <w:szCs w:val="22"/>
    </w:rPr>
  </w:style>
  <w:style w:type="paragraph" w:customStyle="1" w:styleId="Bulletpoints">
    <w:name w:val="Bullet points"/>
    <w:basedOn w:val="ListParagraph"/>
    <w:qFormat/>
    <w:rsid w:val="00FA305C"/>
    <w:pPr>
      <w:ind w:left="720" w:hanging="360"/>
    </w:pPr>
    <w:rPr>
      <w:rFonts w:cstheme="minorHAnsi"/>
      <w:color w:val="000000" w:themeColor="text1"/>
    </w:rPr>
  </w:style>
  <w:style w:type="paragraph" w:customStyle="1" w:styleId="TableFooter">
    <w:name w:val="Table Footer"/>
    <w:basedOn w:val="Normal"/>
    <w:link w:val="TableFooterChar"/>
    <w:qFormat/>
    <w:rsid w:val="00C7409E"/>
    <w:pPr>
      <w:widowControl w:val="0"/>
    </w:pPr>
    <w:rPr>
      <w:rFonts w:ascii="Arial Narrow" w:hAnsi="Arial Narrow" w:cs="Arial"/>
      <w:snapToGrid w:val="0"/>
      <w:sz w:val="18"/>
      <w:szCs w:val="22"/>
      <w:lang w:eastAsia="en-US"/>
    </w:rPr>
  </w:style>
  <w:style w:type="character" w:customStyle="1" w:styleId="TableFooterChar">
    <w:name w:val="Table Footer Char"/>
    <w:link w:val="TableFooter"/>
    <w:rsid w:val="00C7409E"/>
    <w:rPr>
      <w:rFonts w:ascii="Arial Narrow" w:hAnsi="Arial Narrow" w:cs="Arial"/>
      <w:snapToGrid w:val="0"/>
      <w:sz w:val="18"/>
      <w:szCs w:val="22"/>
      <w:lang w:eastAsia="en-US"/>
    </w:rPr>
  </w:style>
  <w:style w:type="character" w:customStyle="1" w:styleId="TabletextChar">
    <w:name w:val="Table text Char"/>
    <w:link w:val="Tabletext"/>
    <w:uiPriority w:val="2"/>
    <w:rsid w:val="00C7409E"/>
    <w:rPr>
      <w:rFonts w:ascii="Arial" w:hAnsi="Arial"/>
      <w:lang w:eastAsia="en-US"/>
    </w:rPr>
  </w:style>
  <w:style w:type="paragraph" w:customStyle="1" w:styleId="Bodytextitalics">
    <w:name w:val="Body text italics"/>
    <w:basedOn w:val="BodyText"/>
    <w:qFormat/>
    <w:rsid w:val="00E03912"/>
    <w:rPr>
      <w:rFonts w:asciiTheme="minorHAnsi" w:eastAsiaTheme="minorHAnsi" w:hAnsiTheme="minorHAnsi" w:cstheme="minorBidi"/>
      <w:i/>
      <w:szCs w:val="22"/>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styleId="Caption">
    <w:name w:val="caption"/>
    <w:basedOn w:val="Normal"/>
    <w:next w:val="Normal"/>
    <w:unhideWhenUsed/>
    <w:qFormat/>
    <w:rsid w:val="00BF092C"/>
    <w:pPr>
      <w:spacing w:after="200"/>
    </w:pPr>
    <w:rPr>
      <w:i/>
      <w:iCs/>
      <w:color w:val="000000" w:themeColor="text1"/>
      <w:sz w:val="18"/>
      <w:szCs w:val="18"/>
    </w:rPr>
  </w:style>
  <w:style w:type="paragraph" w:customStyle="1" w:styleId="ProcedureStep">
    <w:name w:val="ProcedureStep"/>
    <w:basedOn w:val="Normal"/>
    <w:rsid w:val="00BF27A0"/>
    <w:pPr>
      <w:numPr>
        <w:numId w:val="8"/>
      </w:numPr>
      <w:spacing w:before="60" w:after="60" w:line="300" w:lineRule="atLeast"/>
      <w:ind w:right="567"/>
    </w:pPr>
    <w:rPr>
      <w:rFonts w:ascii="Tahoma" w:hAnsi="Tahoma"/>
      <w:sz w:val="22"/>
      <w:szCs w:val="20"/>
    </w:rPr>
  </w:style>
  <w:style w:type="paragraph" w:customStyle="1" w:styleId="GeneralHeading">
    <w:name w:val="General Heading"/>
    <w:qFormat/>
    <w:rsid w:val="00446938"/>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446938"/>
    <w:pPr>
      <w:keepNext/>
    </w:pPr>
    <w:rPr>
      <w:rFonts w:ascii="Arial Narrow" w:eastAsiaTheme="majorEastAsia" w:hAnsi="Arial Narrow"/>
      <w:b/>
      <w:szCs w:val="24"/>
      <w:lang w:val="en-US"/>
    </w:rPr>
  </w:style>
  <w:style w:type="paragraph" w:customStyle="1" w:styleId="2-SectionHeading">
    <w:name w:val="2-Section Heading"/>
    <w:qFormat/>
    <w:rsid w:val="00446938"/>
    <w:pPr>
      <w:keepNext/>
      <w:numPr>
        <w:numId w:val="2"/>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446938"/>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446938"/>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446938"/>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446938"/>
    <w:rPr>
      <w:rFonts w:ascii="Arial Narrow" w:eastAsiaTheme="majorEastAsia" w:hAnsi="Arial Narrow" w:cstheme="majorBidi"/>
      <w:b/>
      <w:bCs/>
      <w:szCs w:val="24"/>
    </w:rPr>
  </w:style>
  <w:style w:type="paragraph" w:customStyle="1" w:styleId="3-BodyText">
    <w:name w:val="3-Body Text"/>
    <w:link w:val="3-BodyTextChar"/>
    <w:qFormat/>
    <w:rsid w:val="00446938"/>
    <w:pPr>
      <w:numPr>
        <w:ilvl w:val="1"/>
        <w:numId w:val="3"/>
      </w:numPr>
      <w:spacing w:after="1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446938"/>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446938"/>
    <w:pPr>
      <w:keepNext/>
      <w:tabs>
        <w:tab w:val="center" w:pos="4153"/>
        <w:tab w:val="center" w:pos="4513"/>
        <w:tab w:val="right" w:pos="8306"/>
        <w:tab w:val="right" w:pos="9026"/>
      </w:tabs>
      <w:jc w:val="center"/>
    </w:pPr>
    <w:rPr>
      <w:rFonts w:cs="Arial"/>
      <w:b/>
    </w:rPr>
  </w:style>
  <w:style w:type="character" w:customStyle="1" w:styleId="PageFooterChar">
    <w:name w:val="Page Footer Char"/>
    <w:basedOn w:val="DefaultParagraphFont"/>
    <w:link w:val="PageFooter"/>
    <w:rsid w:val="00446938"/>
    <w:rPr>
      <w:rFonts w:ascii="Calibri" w:hAnsi="Calibri" w:cs="Arial"/>
      <w:b/>
      <w:sz w:val="24"/>
      <w:szCs w:val="24"/>
    </w:rPr>
  </w:style>
  <w:style w:type="paragraph" w:customStyle="1" w:styleId="TableFigureFooter">
    <w:name w:val="Table/Figure Footer"/>
    <w:basedOn w:val="Normal"/>
    <w:link w:val="TableFigureFooterChar"/>
    <w:qFormat/>
    <w:rsid w:val="00446938"/>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446938"/>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446938"/>
    <w:pPr>
      <w:spacing w:before="120" w:after="120"/>
    </w:pPr>
    <w:rPr>
      <w:rFonts w:asciiTheme="minorHAnsi" w:eastAsiaTheme="majorEastAsia" w:hAnsiTheme="minorHAnsi" w:cstheme="majorBidi"/>
      <w:spacing w:val="5"/>
      <w:kern w:val="28"/>
      <w:sz w:val="28"/>
      <w:szCs w:val="36"/>
    </w:rPr>
  </w:style>
  <w:style w:type="character" w:customStyle="1" w:styleId="4-SubsectionHeadingChar">
    <w:name w:val="4-Subsection Heading Char"/>
    <w:basedOn w:val="Heading2Char"/>
    <w:link w:val="4-SubsectionHeading"/>
    <w:rsid w:val="00446938"/>
    <w:rPr>
      <w:rFonts w:asciiTheme="minorHAnsi" w:eastAsiaTheme="majorEastAsia" w:hAnsiTheme="minorHAnsi" w:cstheme="majorBidi"/>
      <w:b/>
      <w:i/>
      <w:spacing w:val="5"/>
      <w:kern w:val="28"/>
      <w:sz w:val="28"/>
      <w:szCs w:val="36"/>
    </w:rPr>
  </w:style>
  <w:style w:type="paragraph" w:customStyle="1" w:styleId="5-SubsectionSubheading">
    <w:name w:val="5-Subsection Subheading"/>
    <w:basedOn w:val="Heading3"/>
    <w:next w:val="3-BodyText"/>
    <w:link w:val="5-SubsectionSubheadingChar"/>
    <w:qFormat/>
    <w:rsid w:val="00446938"/>
    <w:pPr>
      <w:spacing w:before="40"/>
    </w:pPr>
    <w:rPr>
      <w:rFonts w:asciiTheme="minorHAnsi" w:hAnsiTheme="minorHAnsi"/>
      <w:bCs w:val="0"/>
      <w:color w:val="000000" w:themeColor="text1"/>
    </w:rPr>
  </w:style>
  <w:style w:type="character" w:customStyle="1" w:styleId="5-SubsectionSubheadingChar">
    <w:name w:val="5-Subsection Subheading Char"/>
    <w:basedOn w:val="Heading3Char"/>
    <w:link w:val="5-SubsectionSubheading"/>
    <w:rsid w:val="00446938"/>
    <w:rPr>
      <w:rFonts w:asciiTheme="minorHAnsi" w:eastAsiaTheme="majorEastAsia" w:hAnsiTheme="minorHAnsi" w:cstheme="majorBidi"/>
      <w:b/>
      <w:bCs w:val="0"/>
      <w:color w:val="000000" w:themeColor="text1"/>
      <w:sz w:val="24"/>
      <w:szCs w:val="24"/>
    </w:rPr>
  </w:style>
  <w:style w:type="paragraph" w:styleId="ListBullet">
    <w:name w:val="List Bullet"/>
    <w:basedOn w:val="Normal"/>
    <w:unhideWhenUsed/>
    <w:rsid w:val="006F40C2"/>
    <w:pPr>
      <w:numPr>
        <w:numId w:val="9"/>
      </w:numPr>
      <w:contextualSpacing/>
    </w:pPr>
  </w:style>
  <w:style w:type="paragraph" w:styleId="Revision">
    <w:name w:val="Revision"/>
    <w:hidden/>
    <w:uiPriority w:val="71"/>
    <w:semiHidden/>
    <w:rsid w:val="00DF021D"/>
    <w:rPr>
      <w:rFonts w:ascii="Calibri" w:hAnsi="Calibri"/>
      <w:sz w:val="24"/>
      <w:szCs w:val="24"/>
    </w:rPr>
  </w:style>
  <w:style w:type="paragraph" w:customStyle="1" w:styleId="Default">
    <w:name w:val="Default"/>
    <w:rsid w:val="000B7767"/>
    <w:pPr>
      <w:autoSpaceDE w:val="0"/>
      <w:autoSpaceDN w:val="0"/>
      <w:adjustRightInd w:val="0"/>
    </w:pPr>
    <w:rPr>
      <w:rFonts w:ascii="Calibri" w:hAnsi="Calibri" w:cs="Calibri"/>
      <w:color w:val="000000"/>
      <w:sz w:val="24"/>
      <w:szCs w:val="24"/>
    </w:rPr>
  </w:style>
  <w:style w:type="paragraph" w:styleId="NormalWeb">
    <w:name w:val="Normal (Web)"/>
    <w:basedOn w:val="Normal"/>
    <w:uiPriority w:val="99"/>
    <w:semiHidden/>
    <w:unhideWhenUsed/>
    <w:rsid w:val="00872AFF"/>
    <w:pPr>
      <w:spacing w:before="100" w:beforeAutospacing="1" w:after="100" w:afterAutospacing="1"/>
      <w:jc w:val="left"/>
    </w:pPr>
    <w:rPr>
      <w:rFonts w:ascii="Times New Roman" w:hAnsi="Times New Roman"/>
    </w:rPr>
  </w:style>
  <w:style w:type="character" w:styleId="Strong">
    <w:name w:val="Strong"/>
    <w:basedOn w:val="DefaultParagraphFont"/>
    <w:uiPriority w:val="22"/>
    <w:qFormat/>
    <w:rsid w:val="00872AFF"/>
    <w:rPr>
      <w:b/>
      <w:bCs/>
    </w:rPr>
  </w:style>
  <w:style w:type="paragraph" w:customStyle="1" w:styleId="TableText1">
    <w:name w:val="TableText"/>
    <w:basedOn w:val="Normal"/>
    <w:link w:val="TableTextChar1"/>
    <w:qFormat/>
    <w:rsid w:val="00CE7669"/>
    <w:pPr>
      <w:keepNext/>
      <w:keepLines/>
      <w:widowControl w:val="0"/>
      <w:spacing w:after="60"/>
      <w:jc w:val="center"/>
    </w:pPr>
    <w:rPr>
      <w:color w:val="000000"/>
      <w:sz w:val="18"/>
      <w:szCs w:val="21"/>
    </w:rPr>
  </w:style>
  <w:style w:type="character" w:customStyle="1" w:styleId="TableTextChar1">
    <w:name w:val="TableText Char"/>
    <w:basedOn w:val="DefaultParagraphFont"/>
    <w:link w:val="TableText1"/>
    <w:rsid w:val="00CE7669"/>
    <w:rPr>
      <w:rFonts w:ascii="Calibri" w:hAnsi="Calibri"/>
      <w:color w:val="000000"/>
      <w:sz w:val="18"/>
      <w:szCs w:val="21"/>
    </w:rPr>
  </w:style>
  <w:style w:type="character" w:customStyle="1" w:styleId="SmallBold">
    <w:name w:val="Small Bold"/>
    <w:basedOn w:val="DefaultParagraphFont"/>
    <w:uiPriority w:val="4"/>
    <w:qFormat/>
    <w:rsid w:val="009A6CB5"/>
    <w:rPr>
      <w:rFonts w:ascii="Candara" w:hAnsi="Candara"/>
      <w:b/>
      <w:sz w:val="20"/>
      <w:lang w:val="en-AU"/>
    </w:rPr>
  </w:style>
  <w:style w:type="character" w:customStyle="1" w:styleId="UnresolvedMention1">
    <w:name w:val="Unresolved Mention1"/>
    <w:basedOn w:val="DefaultParagraphFont"/>
    <w:uiPriority w:val="99"/>
    <w:semiHidden/>
    <w:unhideWhenUsed/>
    <w:rsid w:val="00F755BB"/>
    <w:rPr>
      <w:color w:val="605E5C"/>
      <w:shd w:val="clear" w:color="auto" w:fill="E1DFDD"/>
    </w:rPr>
  </w:style>
  <w:style w:type="paragraph" w:customStyle="1" w:styleId="KMC16-TFNotes">
    <w:name w:val="KMC16 - TF Notes"/>
    <w:basedOn w:val="Normal"/>
    <w:qFormat/>
    <w:rsid w:val="00CB35F6"/>
    <w:pPr>
      <w:snapToGrid w:val="0"/>
      <w:spacing w:before="45" w:after="240"/>
      <w:contextualSpacing/>
      <w:jc w:val="left"/>
    </w:pPr>
    <w:rPr>
      <w:rFonts w:eastAsia="Batang" w:cstheme="minorBidi"/>
      <w:bCs/>
      <w:color w:val="000000" w:themeColor="text1"/>
      <w:sz w:val="16"/>
      <w:szCs w:val="22"/>
      <w:lang w:eastAsia="en-US"/>
    </w:rPr>
  </w:style>
  <w:style w:type="character" w:customStyle="1" w:styleId="KMC16-TablecontentChar">
    <w:name w:val="KMC16 - Table content Char"/>
    <w:basedOn w:val="DefaultParagraphFont"/>
    <w:link w:val="KMC16-Tablecontent"/>
    <w:locked/>
    <w:rsid w:val="00CB35F6"/>
    <w:rPr>
      <w:rFonts w:ascii="Arial Narrow" w:hAnsi="Arial Narrow" w:cs="Arial"/>
      <w:color w:val="000000"/>
      <w:lang w:val="en-GB"/>
    </w:rPr>
  </w:style>
  <w:style w:type="paragraph" w:customStyle="1" w:styleId="KMC16-Tablecontent">
    <w:name w:val="KMC16 - Table content"/>
    <w:basedOn w:val="Normal"/>
    <w:link w:val="KMC16-TablecontentChar"/>
    <w:qFormat/>
    <w:rsid w:val="00CB35F6"/>
    <w:pPr>
      <w:spacing w:before="40" w:after="40"/>
      <w:jc w:val="left"/>
    </w:pPr>
    <w:rPr>
      <w:rFonts w:ascii="Arial Narrow" w:hAnsi="Arial Narrow" w:cs="Arial"/>
      <w:color w:val="000000"/>
      <w:sz w:val="20"/>
      <w:szCs w:val="20"/>
      <w:lang w:val="en-GB"/>
    </w:rPr>
  </w:style>
  <w:style w:type="paragraph" w:customStyle="1" w:styleId="KMC16-TableHeading">
    <w:name w:val="KMC16 - Table Heading"/>
    <w:basedOn w:val="Normal"/>
    <w:qFormat/>
    <w:rsid w:val="00CB35F6"/>
    <w:pPr>
      <w:spacing w:before="40" w:after="40"/>
      <w:jc w:val="center"/>
    </w:pPr>
    <w:rPr>
      <w:rFonts w:ascii="Arial Narrow" w:hAnsi="Arial Narrow" w:cs="Arial"/>
      <w:b/>
      <w:color w:val="000000"/>
      <w:sz w:val="20"/>
      <w:szCs w:val="22"/>
      <w:lang w:eastAsia="en-US"/>
    </w:rPr>
  </w:style>
  <w:style w:type="table" w:customStyle="1" w:styleId="Summarybox1">
    <w:name w:val="Summary box1"/>
    <w:basedOn w:val="TableNormal"/>
    <w:uiPriority w:val="39"/>
    <w:rsid w:val="00CB35F6"/>
    <w:rPr>
      <w:rFonts w:ascii="Arial Narrow" w:eastAsiaTheme="majorEastAsia" w:hAnsi="Arial Narrow" w:cstheme="majorBidi"/>
      <w:szCs w:val="22"/>
      <w:lang w:val="en-US" w:eastAsia="en-US" w:bidi="en-US"/>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KMC16-BulletLists">
    <w:name w:val="KMC16 - Bullet Lists"/>
    <w:basedOn w:val="Normal"/>
    <w:link w:val="KMC16-BulletListsChar"/>
    <w:qFormat/>
    <w:rsid w:val="004C6064"/>
    <w:pPr>
      <w:numPr>
        <w:numId w:val="29"/>
      </w:numPr>
      <w:spacing w:before="120" w:after="240" w:line="360" w:lineRule="auto"/>
      <w:contextualSpacing/>
      <w:jc w:val="left"/>
    </w:pPr>
    <w:rPr>
      <w:rFonts w:ascii="Arial" w:eastAsia="Batang" w:hAnsi="Arial" w:cstheme="minorBidi"/>
      <w:sz w:val="22"/>
      <w:szCs w:val="22"/>
      <w:lang w:eastAsia="en-US"/>
    </w:rPr>
  </w:style>
  <w:style w:type="character" w:customStyle="1" w:styleId="KMC16-BulletListsChar">
    <w:name w:val="KMC16 - Bullet Lists Char"/>
    <w:basedOn w:val="DefaultParagraphFont"/>
    <w:link w:val="KMC16-BulletLists"/>
    <w:rsid w:val="004C6064"/>
    <w:rPr>
      <w:rFonts w:ascii="Arial" w:eastAsia="Batang" w:hAnsi="Arial" w:cstheme="minorBidi"/>
      <w:sz w:val="22"/>
      <w:szCs w:val="22"/>
      <w:lang w:eastAsia="en-US"/>
    </w:rPr>
  </w:style>
  <w:style w:type="paragraph" w:customStyle="1" w:styleId="KMC16-Text">
    <w:name w:val="KMC16 - Text"/>
    <w:basedOn w:val="Normal"/>
    <w:link w:val="KMC16-TextChar"/>
    <w:qFormat/>
    <w:rsid w:val="004C6064"/>
    <w:pPr>
      <w:spacing w:before="120" w:after="240" w:line="360" w:lineRule="auto"/>
    </w:pPr>
    <w:rPr>
      <w:rFonts w:ascii="Arial" w:eastAsia="Batang" w:hAnsi="Arial" w:cstheme="minorBidi"/>
      <w:color w:val="000000" w:themeColor="text1"/>
      <w:sz w:val="22"/>
      <w:szCs w:val="22"/>
      <w:lang w:eastAsia="en-US"/>
    </w:rPr>
  </w:style>
  <w:style w:type="character" w:customStyle="1" w:styleId="KMC16-TextChar">
    <w:name w:val="KMC16 - Text Char"/>
    <w:basedOn w:val="DefaultParagraphFont"/>
    <w:link w:val="KMC16-Text"/>
    <w:rsid w:val="004C6064"/>
    <w:rPr>
      <w:rFonts w:ascii="Arial" w:eastAsia="Batang" w:hAnsi="Arial" w:cstheme="minorBidi"/>
      <w:color w:val="000000" w:themeColor="text1"/>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119568898">
      <w:bodyDiv w:val="1"/>
      <w:marLeft w:val="0"/>
      <w:marRight w:val="0"/>
      <w:marTop w:val="0"/>
      <w:marBottom w:val="0"/>
      <w:divBdr>
        <w:top w:val="none" w:sz="0" w:space="0" w:color="auto"/>
        <w:left w:val="none" w:sz="0" w:space="0" w:color="auto"/>
        <w:bottom w:val="none" w:sz="0" w:space="0" w:color="auto"/>
        <w:right w:val="none" w:sz="0" w:space="0" w:color="auto"/>
      </w:divBdr>
    </w:div>
    <w:div w:id="143280535">
      <w:bodyDiv w:val="1"/>
      <w:marLeft w:val="0"/>
      <w:marRight w:val="0"/>
      <w:marTop w:val="0"/>
      <w:marBottom w:val="0"/>
      <w:divBdr>
        <w:top w:val="none" w:sz="0" w:space="0" w:color="auto"/>
        <w:left w:val="none" w:sz="0" w:space="0" w:color="auto"/>
        <w:bottom w:val="none" w:sz="0" w:space="0" w:color="auto"/>
        <w:right w:val="none" w:sz="0" w:space="0" w:color="auto"/>
      </w:divBdr>
    </w:div>
    <w:div w:id="384722831">
      <w:bodyDiv w:val="1"/>
      <w:marLeft w:val="0"/>
      <w:marRight w:val="0"/>
      <w:marTop w:val="0"/>
      <w:marBottom w:val="0"/>
      <w:divBdr>
        <w:top w:val="none" w:sz="0" w:space="0" w:color="auto"/>
        <w:left w:val="none" w:sz="0" w:space="0" w:color="auto"/>
        <w:bottom w:val="none" w:sz="0" w:space="0" w:color="auto"/>
        <w:right w:val="none" w:sz="0" w:space="0" w:color="auto"/>
      </w:divBdr>
      <w:divsChild>
        <w:div w:id="544681731">
          <w:marLeft w:val="0"/>
          <w:marRight w:val="0"/>
          <w:marTop w:val="0"/>
          <w:marBottom w:val="0"/>
          <w:divBdr>
            <w:top w:val="none" w:sz="0" w:space="0" w:color="auto"/>
            <w:left w:val="none" w:sz="0" w:space="0" w:color="auto"/>
            <w:bottom w:val="none" w:sz="0" w:space="0" w:color="auto"/>
            <w:right w:val="none" w:sz="0" w:space="0" w:color="auto"/>
          </w:divBdr>
          <w:divsChild>
            <w:div w:id="1741518413">
              <w:marLeft w:val="0"/>
              <w:marRight w:val="0"/>
              <w:marTop w:val="0"/>
              <w:marBottom w:val="0"/>
              <w:divBdr>
                <w:top w:val="none" w:sz="0" w:space="0" w:color="auto"/>
                <w:left w:val="none" w:sz="0" w:space="0" w:color="auto"/>
                <w:bottom w:val="none" w:sz="0" w:space="0" w:color="auto"/>
                <w:right w:val="none" w:sz="0" w:space="0" w:color="auto"/>
              </w:divBdr>
              <w:divsChild>
                <w:div w:id="164587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741890">
          <w:marLeft w:val="0"/>
          <w:marRight w:val="0"/>
          <w:marTop w:val="0"/>
          <w:marBottom w:val="0"/>
          <w:divBdr>
            <w:top w:val="none" w:sz="0" w:space="0" w:color="auto"/>
            <w:left w:val="none" w:sz="0" w:space="0" w:color="auto"/>
            <w:bottom w:val="none" w:sz="0" w:space="0" w:color="auto"/>
            <w:right w:val="none" w:sz="0" w:space="0" w:color="auto"/>
          </w:divBdr>
          <w:divsChild>
            <w:div w:id="395324540">
              <w:marLeft w:val="0"/>
              <w:marRight w:val="0"/>
              <w:marTop w:val="0"/>
              <w:marBottom w:val="0"/>
              <w:divBdr>
                <w:top w:val="none" w:sz="0" w:space="0" w:color="auto"/>
                <w:left w:val="none" w:sz="0" w:space="0" w:color="auto"/>
                <w:bottom w:val="none" w:sz="0" w:space="0" w:color="auto"/>
                <w:right w:val="none" w:sz="0" w:space="0" w:color="auto"/>
              </w:divBdr>
              <w:divsChild>
                <w:div w:id="145027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972208">
          <w:marLeft w:val="0"/>
          <w:marRight w:val="0"/>
          <w:marTop w:val="0"/>
          <w:marBottom w:val="0"/>
          <w:divBdr>
            <w:top w:val="none" w:sz="0" w:space="0" w:color="auto"/>
            <w:left w:val="none" w:sz="0" w:space="0" w:color="auto"/>
            <w:bottom w:val="none" w:sz="0" w:space="0" w:color="auto"/>
            <w:right w:val="none" w:sz="0" w:space="0" w:color="auto"/>
          </w:divBdr>
          <w:divsChild>
            <w:div w:id="671032607">
              <w:marLeft w:val="0"/>
              <w:marRight w:val="0"/>
              <w:marTop w:val="0"/>
              <w:marBottom w:val="0"/>
              <w:divBdr>
                <w:top w:val="none" w:sz="0" w:space="0" w:color="auto"/>
                <w:left w:val="none" w:sz="0" w:space="0" w:color="auto"/>
                <w:bottom w:val="none" w:sz="0" w:space="0" w:color="auto"/>
                <w:right w:val="none" w:sz="0" w:space="0" w:color="auto"/>
              </w:divBdr>
              <w:divsChild>
                <w:div w:id="82420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935742">
          <w:marLeft w:val="0"/>
          <w:marRight w:val="0"/>
          <w:marTop w:val="0"/>
          <w:marBottom w:val="0"/>
          <w:divBdr>
            <w:top w:val="none" w:sz="0" w:space="0" w:color="auto"/>
            <w:left w:val="none" w:sz="0" w:space="0" w:color="auto"/>
            <w:bottom w:val="none" w:sz="0" w:space="0" w:color="auto"/>
            <w:right w:val="none" w:sz="0" w:space="0" w:color="auto"/>
          </w:divBdr>
          <w:divsChild>
            <w:div w:id="75589739">
              <w:marLeft w:val="0"/>
              <w:marRight w:val="0"/>
              <w:marTop w:val="0"/>
              <w:marBottom w:val="0"/>
              <w:divBdr>
                <w:top w:val="none" w:sz="0" w:space="0" w:color="auto"/>
                <w:left w:val="none" w:sz="0" w:space="0" w:color="auto"/>
                <w:bottom w:val="none" w:sz="0" w:space="0" w:color="auto"/>
                <w:right w:val="none" w:sz="0" w:space="0" w:color="auto"/>
              </w:divBdr>
              <w:divsChild>
                <w:div w:id="884414906">
                  <w:marLeft w:val="0"/>
                  <w:marRight w:val="0"/>
                  <w:marTop w:val="0"/>
                  <w:marBottom w:val="0"/>
                  <w:divBdr>
                    <w:top w:val="none" w:sz="0" w:space="0" w:color="auto"/>
                    <w:left w:val="none" w:sz="0" w:space="0" w:color="auto"/>
                    <w:bottom w:val="none" w:sz="0" w:space="0" w:color="auto"/>
                    <w:right w:val="none" w:sz="0" w:space="0" w:color="auto"/>
                  </w:divBdr>
                </w:div>
              </w:divsChild>
            </w:div>
            <w:div w:id="281116332">
              <w:marLeft w:val="0"/>
              <w:marRight w:val="0"/>
              <w:marTop w:val="0"/>
              <w:marBottom w:val="0"/>
              <w:divBdr>
                <w:top w:val="none" w:sz="0" w:space="0" w:color="auto"/>
                <w:left w:val="none" w:sz="0" w:space="0" w:color="auto"/>
                <w:bottom w:val="none" w:sz="0" w:space="0" w:color="auto"/>
                <w:right w:val="none" w:sz="0" w:space="0" w:color="auto"/>
              </w:divBdr>
              <w:divsChild>
                <w:div w:id="203125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022250">
          <w:marLeft w:val="0"/>
          <w:marRight w:val="0"/>
          <w:marTop w:val="0"/>
          <w:marBottom w:val="0"/>
          <w:divBdr>
            <w:top w:val="none" w:sz="0" w:space="0" w:color="auto"/>
            <w:left w:val="none" w:sz="0" w:space="0" w:color="auto"/>
            <w:bottom w:val="none" w:sz="0" w:space="0" w:color="auto"/>
            <w:right w:val="none" w:sz="0" w:space="0" w:color="auto"/>
          </w:divBdr>
          <w:divsChild>
            <w:div w:id="1958373165">
              <w:marLeft w:val="0"/>
              <w:marRight w:val="0"/>
              <w:marTop w:val="0"/>
              <w:marBottom w:val="0"/>
              <w:divBdr>
                <w:top w:val="none" w:sz="0" w:space="0" w:color="auto"/>
                <w:left w:val="none" w:sz="0" w:space="0" w:color="auto"/>
                <w:bottom w:val="none" w:sz="0" w:space="0" w:color="auto"/>
                <w:right w:val="none" w:sz="0" w:space="0" w:color="auto"/>
              </w:divBdr>
              <w:divsChild>
                <w:div w:id="574779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111819">
          <w:marLeft w:val="0"/>
          <w:marRight w:val="0"/>
          <w:marTop w:val="0"/>
          <w:marBottom w:val="0"/>
          <w:divBdr>
            <w:top w:val="none" w:sz="0" w:space="0" w:color="auto"/>
            <w:left w:val="none" w:sz="0" w:space="0" w:color="auto"/>
            <w:bottom w:val="none" w:sz="0" w:space="0" w:color="auto"/>
            <w:right w:val="none" w:sz="0" w:space="0" w:color="auto"/>
          </w:divBdr>
          <w:divsChild>
            <w:div w:id="1029643672">
              <w:marLeft w:val="0"/>
              <w:marRight w:val="0"/>
              <w:marTop w:val="0"/>
              <w:marBottom w:val="0"/>
              <w:divBdr>
                <w:top w:val="none" w:sz="0" w:space="0" w:color="auto"/>
                <w:left w:val="none" w:sz="0" w:space="0" w:color="auto"/>
                <w:bottom w:val="none" w:sz="0" w:space="0" w:color="auto"/>
                <w:right w:val="none" w:sz="0" w:space="0" w:color="auto"/>
              </w:divBdr>
              <w:divsChild>
                <w:div w:id="2236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807076">
          <w:marLeft w:val="0"/>
          <w:marRight w:val="0"/>
          <w:marTop w:val="0"/>
          <w:marBottom w:val="0"/>
          <w:divBdr>
            <w:top w:val="none" w:sz="0" w:space="0" w:color="auto"/>
            <w:left w:val="none" w:sz="0" w:space="0" w:color="auto"/>
            <w:bottom w:val="none" w:sz="0" w:space="0" w:color="auto"/>
            <w:right w:val="none" w:sz="0" w:space="0" w:color="auto"/>
          </w:divBdr>
          <w:divsChild>
            <w:div w:id="681594334">
              <w:marLeft w:val="0"/>
              <w:marRight w:val="0"/>
              <w:marTop w:val="0"/>
              <w:marBottom w:val="0"/>
              <w:divBdr>
                <w:top w:val="none" w:sz="0" w:space="0" w:color="auto"/>
                <w:left w:val="none" w:sz="0" w:space="0" w:color="auto"/>
                <w:bottom w:val="none" w:sz="0" w:space="0" w:color="auto"/>
                <w:right w:val="none" w:sz="0" w:space="0" w:color="auto"/>
              </w:divBdr>
              <w:divsChild>
                <w:div w:id="82053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22545">
          <w:marLeft w:val="0"/>
          <w:marRight w:val="0"/>
          <w:marTop w:val="0"/>
          <w:marBottom w:val="0"/>
          <w:divBdr>
            <w:top w:val="none" w:sz="0" w:space="0" w:color="auto"/>
            <w:left w:val="none" w:sz="0" w:space="0" w:color="auto"/>
            <w:bottom w:val="none" w:sz="0" w:space="0" w:color="auto"/>
            <w:right w:val="none" w:sz="0" w:space="0" w:color="auto"/>
          </w:divBdr>
          <w:divsChild>
            <w:div w:id="1686126479">
              <w:marLeft w:val="0"/>
              <w:marRight w:val="0"/>
              <w:marTop w:val="0"/>
              <w:marBottom w:val="0"/>
              <w:divBdr>
                <w:top w:val="none" w:sz="0" w:space="0" w:color="auto"/>
                <w:left w:val="none" w:sz="0" w:space="0" w:color="auto"/>
                <w:bottom w:val="none" w:sz="0" w:space="0" w:color="auto"/>
                <w:right w:val="none" w:sz="0" w:space="0" w:color="auto"/>
              </w:divBdr>
              <w:divsChild>
                <w:div w:id="82975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100465">
          <w:marLeft w:val="0"/>
          <w:marRight w:val="0"/>
          <w:marTop w:val="0"/>
          <w:marBottom w:val="0"/>
          <w:divBdr>
            <w:top w:val="none" w:sz="0" w:space="0" w:color="auto"/>
            <w:left w:val="none" w:sz="0" w:space="0" w:color="auto"/>
            <w:bottom w:val="none" w:sz="0" w:space="0" w:color="auto"/>
            <w:right w:val="none" w:sz="0" w:space="0" w:color="auto"/>
          </w:divBdr>
          <w:divsChild>
            <w:div w:id="1466193962">
              <w:marLeft w:val="0"/>
              <w:marRight w:val="0"/>
              <w:marTop w:val="0"/>
              <w:marBottom w:val="0"/>
              <w:divBdr>
                <w:top w:val="none" w:sz="0" w:space="0" w:color="auto"/>
                <w:left w:val="none" w:sz="0" w:space="0" w:color="auto"/>
                <w:bottom w:val="none" w:sz="0" w:space="0" w:color="auto"/>
                <w:right w:val="none" w:sz="0" w:space="0" w:color="auto"/>
              </w:divBdr>
              <w:divsChild>
                <w:div w:id="61868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101693">
      <w:bodyDiv w:val="1"/>
      <w:marLeft w:val="0"/>
      <w:marRight w:val="0"/>
      <w:marTop w:val="0"/>
      <w:marBottom w:val="0"/>
      <w:divBdr>
        <w:top w:val="none" w:sz="0" w:space="0" w:color="auto"/>
        <w:left w:val="none" w:sz="0" w:space="0" w:color="auto"/>
        <w:bottom w:val="none" w:sz="0" w:space="0" w:color="auto"/>
        <w:right w:val="none" w:sz="0" w:space="0" w:color="auto"/>
      </w:divBdr>
    </w:div>
    <w:div w:id="548036357">
      <w:bodyDiv w:val="1"/>
      <w:marLeft w:val="0"/>
      <w:marRight w:val="0"/>
      <w:marTop w:val="0"/>
      <w:marBottom w:val="0"/>
      <w:divBdr>
        <w:top w:val="none" w:sz="0" w:space="0" w:color="auto"/>
        <w:left w:val="none" w:sz="0" w:space="0" w:color="auto"/>
        <w:bottom w:val="none" w:sz="0" w:space="0" w:color="auto"/>
        <w:right w:val="none" w:sz="0" w:space="0" w:color="auto"/>
      </w:divBdr>
    </w:div>
    <w:div w:id="753667543">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815802405">
      <w:bodyDiv w:val="1"/>
      <w:marLeft w:val="0"/>
      <w:marRight w:val="0"/>
      <w:marTop w:val="0"/>
      <w:marBottom w:val="0"/>
      <w:divBdr>
        <w:top w:val="none" w:sz="0" w:space="0" w:color="auto"/>
        <w:left w:val="none" w:sz="0" w:space="0" w:color="auto"/>
        <w:bottom w:val="none" w:sz="0" w:space="0" w:color="auto"/>
        <w:right w:val="none" w:sz="0" w:space="0" w:color="auto"/>
      </w:divBdr>
      <w:divsChild>
        <w:div w:id="154346517">
          <w:marLeft w:val="0"/>
          <w:marRight w:val="0"/>
          <w:marTop w:val="0"/>
          <w:marBottom w:val="0"/>
          <w:divBdr>
            <w:top w:val="none" w:sz="0" w:space="0" w:color="auto"/>
            <w:left w:val="none" w:sz="0" w:space="0" w:color="auto"/>
            <w:bottom w:val="none" w:sz="0" w:space="0" w:color="auto"/>
            <w:right w:val="none" w:sz="0" w:space="0" w:color="auto"/>
          </w:divBdr>
          <w:divsChild>
            <w:div w:id="697662780">
              <w:marLeft w:val="0"/>
              <w:marRight w:val="0"/>
              <w:marTop w:val="0"/>
              <w:marBottom w:val="0"/>
              <w:divBdr>
                <w:top w:val="none" w:sz="0" w:space="0" w:color="auto"/>
                <w:left w:val="none" w:sz="0" w:space="0" w:color="auto"/>
                <w:bottom w:val="none" w:sz="0" w:space="0" w:color="auto"/>
                <w:right w:val="none" w:sz="0" w:space="0" w:color="auto"/>
              </w:divBdr>
              <w:divsChild>
                <w:div w:id="514270712">
                  <w:marLeft w:val="0"/>
                  <w:marRight w:val="0"/>
                  <w:marTop w:val="0"/>
                  <w:marBottom w:val="0"/>
                  <w:divBdr>
                    <w:top w:val="none" w:sz="0" w:space="0" w:color="auto"/>
                    <w:left w:val="none" w:sz="0" w:space="0" w:color="auto"/>
                    <w:bottom w:val="none" w:sz="0" w:space="0" w:color="auto"/>
                    <w:right w:val="none" w:sz="0" w:space="0" w:color="auto"/>
                  </w:divBdr>
                </w:div>
              </w:divsChild>
            </w:div>
            <w:div w:id="876967258">
              <w:marLeft w:val="0"/>
              <w:marRight w:val="0"/>
              <w:marTop w:val="0"/>
              <w:marBottom w:val="0"/>
              <w:divBdr>
                <w:top w:val="none" w:sz="0" w:space="0" w:color="auto"/>
                <w:left w:val="none" w:sz="0" w:space="0" w:color="auto"/>
                <w:bottom w:val="none" w:sz="0" w:space="0" w:color="auto"/>
                <w:right w:val="none" w:sz="0" w:space="0" w:color="auto"/>
              </w:divBdr>
              <w:divsChild>
                <w:div w:id="86658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248943">
          <w:marLeft w:val="0"/>
          <w:marRight w:val="0"/>
          <w:marTop w:val="0"/>
          <w:marBottom w:val="0"/>
          <w:divBdr>
            <w:top w:val="none" w:sz="0" w:space="0" w:color="auto"/>
            <w:left w:val="none" w:sz="0" w:space="0" w:color="auto"/>
            <w:bottom w:val="none" w:sz="0" w:space="0" w:color="auto"/>
            <w:right w:val="none" w:sz="0" w:space="0" w:color="auto"/>
          </w:divBdr>
          <w:divsChild>
            <w:div w:id="484971632">
              <w:marLeft w:val="0"/>
              <w:marRight w:val="0"/>
              <w:marTop w:val="0"/>
              <w:marBottom w:val="0"/>
              <w:divBdr>
                <w:top w:val="none" w:sz="0" w:space="0" w:color="auto"/>
                <w:left w:val="none" w:sz="0" w:space="0" w:color="auto"/>
                <w:bottom w:val="none" w:sz="0" w:space="0" w:color="auto"/>
                <w:right w:val="none" w:sz="0" w:space="0" w:color="auto"/>
              </w:divBdr>
              <w:divsChild>
                <w:div w:id="1328052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529485">
          <w:marLeft w:val="0"/>
          <w:marRight w:val="0"/>
          <w:marTop w:val="0"/>
          <w:marBottom w:val="0"/>
          <w:divBdr>
            <w:top w:val="none" w:sz="0" w:space="0" w:color="auto"/>
            <w:left w:val="none" w:sz="0" w:space="0" w:color="auto"/>
            <w:bottom w:val="none" w:sz="0" w:space="0" w:color="auto"/>
            <w:right w:val="none" w:sz="0" w:space="0" w:color="auto"/>
          </w:divBdr>
          <w:divsChild>
            <w:div w:id="1130055830">
              <w:marLeft w:val="0"/>
              <w:marRight w:val="0"/>
              <w:marTop w:val="0"/>
              <w:marBottom w:val="0"/>
              <w:divBdr>
                <w:top w:val="none" w:sz="0" w:space="0" w:color="auto"/>
                <w:left w:val="none" w:sz="0" w:space="0" w:color="auto"/>
                <w:bottom w:val="none" w:sz="0" w:space="0" w:color="auto"/>
                <w:right w:val="none" w:sz="0" w:space="0" w:color="auto"/>
              </w:divBdr>
              <w:divsChild>
                <w:div w:id="141821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648251">
      <w:bodyDiv w:val="1"/>
      <w:marLeft w:val="0"/>
      <w:marRight w:val="0"/>
      <w:marTop w:val="0"/>
      <w:marBottom w:val="0"/>
      <w:divBdr>
        <w:top w:val="none" w:sz="0" w:space="0" w:color="auto"/>
        <w:left w:val="none" w:sz="0" w:space="0" w:color="auto"/>
        <w:bottom w:val="none" w:sz="0" w:space="0" w:color="auto"/>
        <w:right w:val="none" w:sz="0" w:space="0" w:color="auto"/>
      </w:divBdr>
      <w:divsChild>
        <w:div w:id="113208498">
          <w:marLeft w:val="0"/>
          <w:marRight w:val="0"/>
          <w:marTop w:val="0"/>
          <w:marBottom w:val="0"/>
          <w:divBdr>
            <w:top w:val="none" w:sz="0" w:space="0" w:color="auto"/>
            <w:left w:val="none" w:sz="0" w:space="0" w:color="auto"/>
            <w:bottom w:val="none" w:sz="0" w:space="0" w:color="auto"/>
            <w:right w:val="none" w:sz="0" w:space="0" w:color="auto"/>
          </w:divBdr>
          <w:divsChild>
            <w:div w:id="1396277080">
              <w:marLeft w:val="0"/>
              <w:marRight w:val="0"/>
              <w:marTop w:val="0"/>
              <w:marBottom w:val="0"/>
              <w:divBdr>
                <w:top w:val="none" w:sz="0" w:space="0" w:color="auto"/>
                <w:left w:val="none" w:sz="0" w:space="0" w:color="auto"/>
                <w:bottom w:val="none" w:sz="0" w:space="0" w:color="auto"/>
                <w:right w:val="none" w:sz="0" w:space="0" w:color="auto"/>
              </w:divBdr>
              <w:divsChild>
                <w:div w:id="127849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217807">
          <w:marLeft w:val="0"/>
          <w:marRight w:val="0"/>
          <w:marTop w:val="0"/>
          <w:marBottom w:val="0"/>
          <w:divBdr>
            <w:top w:val="none" w:sz="0" w:space="0" w:color="auto"/>
            <w:left w:val="none" w:sz="0" w:space="0" w:color="auto"/>
            <w:bottom w:val="none" w:sz="0" w:space="0" w:color="auto"/>
            <w:right w:val="none" w:sz="0" w:space="0" w:color="auto"/>
          </w:divBdr>
          <w:divsChild>
            <w:div w:id="942609060">
              <w:marLeft w:val="0"/>
              <w:marRight w:val="0"/>
              <w:marTop w:val="0"/>
              <w:marBottom w:val="0"/>
              <w:divBdr>
                <w:top w:val="none" w:sz="0" w:space="0" w:color="auto"/>
                <w:left w:val="none" w:sz="0" w:space="0" w:color="auto"/>
                <w:bottom w:val="none" w:sz="0" w:space="0" w:color="auto"/>
                <w:right w:val="none" w:sz="0" w:space="0" w:color="auto"/>
              </w:divBdr>
              <w:divsChild>
                <w:div w:id="1047799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442626">
          <w:marLeft w:val="0"/>
          <w:marRight w:val="0"/>
          <w:marTop w:val="0"/>
          <w:marBottom w:val="0"/>
          <w:divBdr>
            <w:top w:val="none" w:sz="0" w:space="0" w:color="auto"/>
            <w:left w:val="none" w:sz="0" w:space="0" w:color="auto"/>
            <w:bottom w:val="none" w:sz="0" w:space="0" w:color="auto"/>
            <w:right w:val="none" w:sz="0" w:space="0" w:color="auto"/>
          </w:divBdr>
          <w:divsChild>
            <w:div w:id="1660423450">
              <w:marLeft w:val="0"/>
              <w:marRight w:val="0"/>
              <w:marTop w:val="0"/>
              <w:marBottom w:val="0"/>
              <w:divBdr>
                <w:top w:val="none" w:sz="0" w:space="0" w:color="auto"/>
                <w:left w:val="none" w:sz="0" w:space="0" w:color="auto"/>
                <w:bottom w:val="none" w:sz="0" w:space="0" w:color="auto"/>
                <w:right w:val="none" w:sz="0" w:space="0" w:color="auto"/>
              </w:divBdr>
              <w:divsChild>
                <w:div w:id="78835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159660">
          <w:marLeft w:val="0"/>
          <w:marRight w:val="0"/>
          <w:marTop w:val="0"/>
          <w:marBottom w:val="0"/>
          <w:divBdr>
            <w:top w:val="none" w:sz="0" w:space="0" w:color="auto"/>
            <w:left w:val="none" w:sz="0" w:space="0" w:color="auto"/>
            <w:bottom w:val="none" w:sz="0" w:space="0" w:color="auto"/>
            <w:right w:val="none" w:sz="0" w:space="0" w:color="auto"/>
          </w:divBdr>
          <w:divsChild>
            <w:div w:id="1512833593">
              <w:marLeft w:val="0"/>
              <w:marRight w:val="0"/>
              <w:marTop w:val="0"/>
              <w:marBottom w:val="0"/>
              <w:divBdr>
                <w:top w:val="none" w:sz="0" w:space="0" w:color="auto"/>
                <w:left w:val="none" w:sz="0" w:space="0" w:color="auto"/>
                <w:bottom w:val="none" w:sz="0" w:space="0" w:color="auto"/>
                <w:right w:val="none" w:sz="0" w:space="0" w:color="auto"/>
              </w:divBdr>
              <w:divsChild>
                <w:div w:id="189847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362722">
          <w:marLeft w:val="0"/>
          <w:marRight w:val="0"/>
          <w:marTop w:val="0"/>
          <w:marBottom w:val="0"/>
          <w:divBdr>
            <w:top w:val="none" w:sz="0" w:space="0" w:color="auto"/>
            <w:left w:val="none" w:sz="0" w:space="0" w:color="auto"/>
            <w:bottom w:val="none" w:sz="0" w:space="0" w:color="auto"/>
            <w:right w:val="none" w:sz="0" w:space="0" w:color="auto"/>
          </w:divBdr>
          <w:divsChild>
            <w:div w:id="1443258083">
              <w:marLeft w:val="0"/>
              <w:marRight w:val="0"/>
              <w:marTop w:val="0"/>
              <w:marBottom w:val="0"/>
              <w:divBdr>
                <w:top w:val="none" w:sz="0" w:space="0" w:color="auto"/>
                <w:left w:val="none" w:sz="0" w:space="0" w:color="auto"/>
                <w:bottom w:val="none" w:sz="0" w:space="0" w:color="auto"/>
                <w:right w:val="none" w:sz="0" w:space="0" w:color="auto"/>
              </w:divBdr>
              <w:divsChild>
                <w:div w:id="1453939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361177">
          <w:marLeft w:val="0"/>
          <w:marRight w:val="0"/>
          <w:marTop w:val="0"/>
          <w:marBottom w:val="0"/>
          <w:divBdr>
            <w:top w:val="none" w:sz="0" w:space="0" w:color="auto"/>
            <w:left w:val="none" w:sz="0" w:space="0" w:color="auto"/>
            <w:bottom w:val="none" w:sz="0" w:space="0" w:color="auto"/>
            <w:right w:val="none" w:sz="0" w:space="0" w:color="auto"/>
          </w:divBdr>
          <w:divsChild>
            <w:div w:id="1167592421">
              <w:marLeft w:val="0"/>
              <w:marRight w:val="0"/>
              <w:marTop w:val="0"/>
              <w:marBottom w:val="0"/>
              <w:divBdr>
                <w:top w:val="none" w:sz="0" w:space="0" w:color="auto"/>
                <w:left w:val="none" w:sz="0" w:space="0" w:color="auto"/>
                <w:bottom w:val="none" w:sz="0" w:space="0" w:color="auto"/>
                <w:right w:val="none" w:sz="0" w:space="0" w:color="auto"/>
              </w:divBdr>
              <w:divsChild>
                <w:div w:id="1613441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711044">
          <w:marLeft w:val="0"/>
          <w:marRight w:val="0"/>
          <w:marTop w:val="0"/>
          <w:marBottom w:val="0"/>
          <w:divBdr>
            <w:top w:val="none" w:sz="0" w:space="0" w:color="auto"/>
            <w:left w:val="none" w:sz="0" w:space="0" w:color="auto"/>
            <w:bottom w:val="none" w:sz="0" w:space="0" w:color="auto"/>
            <w:right w:val="none" w:sz="0" w:space="0" w:color="auto"/>
          </w:divBdr>
          <w:divsChild>
            <w:div w:id="633175431">
              <w:marLeft w:val="0"/>
              <w:marRight w:val="0"/>
              <w:marTop w:val="0"/>
              <w:marBottom w:val="0"/>
              <w:divBdr>
                <w:top w:val="none" w:sz="0" w:space="0" w:color="auto"/>
                <w:left w:val="none" w:sz="0" w:space="0" w:color="auto"/>
                <w:bottom w:val="none" w:sz="0" w:space="0" w:color="auto"/>
                <w:right w:val="none" w:sz="0" w:space="0" w:color="auto"/>
              </w:divBdr>
              <w:divsChild>
                <w:div w:id="2078505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405212">
          <w:marLeft w:val="0"/>
          <w:marRight w:val="0"/>
          <w:marTop w:val="0"/>
          <w:marBottom w:val="0"/>
          <w:divBdr>
            <w:top w:val="none" w:sz="0" w:space="0" w:color="auto"/>
            <w:left w:val="none" w:sz="0" w:space="0" w:color="auto"/>
            <w:bottom w:val="none" w:sz="0" w:space="0" w:color="auto"/>
            <w:right w:val="none" w:sz="0" w:space="0" w:color="auto"/>
          </w:divBdr>
          <w:divsChild>
            <w:div w:id="246311263">
              <w:marLeft w:val="0"/>
              <w:marRight w:val="0"/>
              <w:marTop w:val="0"/>
              <w:marBottom w:val="0"/>
              <w:divBdr>
                <w:top w:val="none" w:sz="0" w:space="0" w:color="auto"/>
                <w:left w:val="none" w:sz="0" w:space="0" w:color="auto"/>
                <w:bottom w:val="none" w:sz="0" w:space="0" w:color="auto"/>
                <w:right w:val="none" w:sz="0" w:space="0" w:color="auto"/>
              </w:divBdr>
              <w:divsChild>
                <w:div w:id="201071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584398">
          <w:marLeft w:val="0"/>
          <w:marRight w:val="0"/>
          <w:marTop w:val="0"/>
          <w:marBottom w:val="0"/>
          <w:divBdr>
            <w:top w:val="none" w:sz="0" w:space="0" w:color="auto"/>
            <w:left w:val="none" w:sz="0" w:space="0" w:color="auto"/>
            <w:bottom w:val="none" w:sz="0" w:space="0" w:color="auto"/>
            <w:right w:val="none" w:sz="0" w:space="0" w:color="auto"/>
          </w:divBdr>
          <w:divsChild>
            <w:div w:id="596982202">
              <w:marLeft w:val="0"/>
              <w:marRight w:val="0"/>
              <w:marTop w:val="0"/>
              <w:marBottom w:val="0"/>
              <w:divBdr>
                <w:top w:val="none" w:sz="0" w:space="0" w:color="auto"/>
                <w:left w:val="none" w:sz="0" w:space="0" w:color="auto"/>
                <w:bottom w:val="none" w:sz="0" w:space="0" w:color="auto"/>
                <w:right w:val="none" w:sz="0" w:space="0" w:color="auto"/>
              </w:divBdr>
              <w:divsChild>
                <w:div w:id="499855604">
                  <w:marLeft w:val="0"/>
                  <w:marRight w:val="0"/>
                  <w:marTop w:val="0"/>
                  <w:marBottom w:val="0"/>
                  <w:divBdr>
                    <w:top w:val="none" w:sz="0" w:space="0" w:color="auto"/>
                    <w:left w:val="none" w:sz="0" w:space="0" w:color="auto"/>
                    <w:bottom w:val="none" w:sz="0" w:space="0" w:color="auto"/>
                    <w:right w:val="none" w:sz="0" w:space="0" w:color="auto"/>
                  </w:divBdr>
                </w:div>
              </w:divsChild>
            </w:div>
            <w:div w:id="734858594">
              <w:marLeft w:val="0"/>
              <w:marRight w:val="0"/>
              <w:marTop w:val="0"/>
              <w:marBottom w:val="0"/>
              <w:divBdr>
                <w:top w:val="none" w:sz="0" w:space="0" w:color="auto"/>
                <w:left w:val="none" w:sz="0" w:space="0" w:color="auto"/>
                <w:bottom w:val="none" w:sz="0" w:space="0" w:color="auto"/>
                <w:right w:val="none" w:sz="0" w:space="0" w:color="auto"/>
              </w:divBdr>
              <w:divsChild>
                <w:div w:id="1022785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997838">
      <w:bodyDiv w:val="1"/>
      <w:marLeft w:val="0"/>
      <w:marRight w:val="0"/>
      <w:marTop w:val="0"/>
      <w:marBottom w:val="0"/>
      <w:divBdr>
        <w:top w:val="none" w:sz="0" w:space="0" w:color="auto"/>
        <w:left w:val="none" w:sz="0" w:space="0" w:color="auto"/>
        <w:bottom w:val="none" w:sz="0" w:space="0" w:color="auto"/>
        <w:right w:val="none" w:sz="0" w:space="0" w:color="auto"/>
      </w:divBdr>
    </w:div>
    <w:div w:id="935868249">
      <w:bodyDiv w:val="1"/>
      <w:marLeft w:val="0"/>
      <w:marRight w:val="0"/>
      <w:marTop w:val="0"/>
      <w:marBottom w:val="0"/>
      <w:divBdr>
        <w:top w:val="none" w:sz="0" w:space="0" w:color="auto"/>
        <w:left w:val="none" w:sz="0" w:space="0" w:color="auto"/>
        <w:bottom w:val="none" w:sz="0" w:space="0" w:color="auto"/>
        <w:right w:val="none" w:sz="0" w:space="0" w:color="auto"/>
      </w:divBdr>
      <w:divsChild>
        <w:div w:id="567884955">
          <w:marLeft w:val="0"/>
          <w:marRight w:val="0"/>
          <w:marTop w:val="0"/>
          <w:marBottom w:val="0"/>
          <w:divBdr>
            <w:top w:val="none" w:sz="0" w:space="0" w:color="auto"/>
            <w:left w:val="none" w:sz="0" w:space="0" w:color="auto"/>
            <w:bottom w:val="none" w:sz="0" w:space="0" w:color="auto"/>
            <w:right w:val="none" w:sz="0" w:space="0" w:color="auto"/>
          </w:divBdr>
          <w:divsChild>
            <w:div w:id="827983653">
              <w:marLeft w:val="0"/>
              <w:marRight w:val="0"/>
              <w:marTop w:val="0"/>
              <w:marBottom w:val="0"/>
              <w:divBdr>
                <w:top w:val="none" w:sz="0" w:space="0" w:color="auto"/>
                <w:left w:val="none" w:sz="0" w:space="0" w:color="auto"/>
                <w:bottom w:val="none" w:sz="0" w:space="0" w:color="auto"/>
                <w:right w:val="none" w:sz="0" w:space="0" w:color="auto"/>
              </w:divBdr>
              <w:divsChild>
                <w:div w:id="214010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808331">
          <w:marLeft w:val="0"/>
          <w:marRight w:val="0"/>
          <w:marTop w:val="0"/>
          <w:marBottom w:val="0"/>
          <w:divBdr>
            <w:top w:val="none" w:sz="0" w:space="0" w:color="auto"/>
            <w:left w:val="none" w:sz="0" w:space="0" w:color="auto"/>
            <w:bottom w:val="none" w:sz="0" w:space="0" w:color="auto"/>
            <w:right w:val="none" w:sz="0" w:space="0" w:color="auto"/>
          </w:divBdr>
          <w:divsChild>
            <w:div w:id="179128062">
              <w:marLeft w:val="0"/>
              <w:marRight w:val="0"/>
              <w:marTop w:val="0"/>
              <w:marBottom w:val="0"/>
              <w:divBdr>
                <w:top w:val="none" w:sz="0" w:space="0" w:color="auto"/>
                <w:left w:val="none" w:sz="0" w:space="0" w:color="auto"/>
                <w:bottom w:val="none" w:sz="0" w:space="0" w:color="auto"/>
                <w:right w:val="none" w:sz="0" w:space="0" w:color="auto"/>
              </w:divBdr>
              <w:divsChild>
                <w:div w:id="26805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382875">
          <w:marLeft w:val="0"/>
          <w:marRight w:val="0"/>
          <w:marTop w:val="0"/>
          <w:marBottom w:val="0"/>
          <w:divBdr>
            <w:top w:val="none" w:sz="0" w:space="0" w:color="auto"/>
            <w:left w:val="none" w:sz="0" w:space="0" w:color="auto"/>
            <w:bottom w:val="none" w:sz="0" w:space="0" w:color="auto"/>
            <w:right w:val="none" w:sz="0" w:space="0" w:color="auto"/>
          </w:divBdr>
          <w:divsChild>
            <w:div w:id="1480919175">
              <w:marLeft w:val="0"/>
              <w:marRight w:val="0"/>
              <w:marTop w:val="0"/>
              <w:marBottom w:val="0"/>
              <w:divBdr>
                <w:top w:val="none" w:sz="0" w:space="0" w:color="auto"/>
                <w:left w:val="none" w:sz="0" w:space="0" w:color="auto"/>
                <w:bottom w:val="none" w:sz="0" w:space="0" w:color="auto"/>
                <w:right w:val="none" w:sz="0" w:space="0" w:color="auto"/>
              </w:divBdr>
              <w:divsChild>
                <w:div w:id="198616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466849">
          <w:marLeft w:val="0"/>
          <w:marRight w:val="0"/>
          <w:marTop w:val="0"/>
          <w:marBottom w:val="0"/>
          <w:divBdr>
            <w:top w:val="none" w:sz="0" w:space="0" w:color="auto"/>
            <w:left w:val="none" w:sz="0" w:space="0" w:color="auto"/>
            <w:bottom w:val="none" w:sz="0" w:space="0" w:color="auto"/>
            <w:right w:val="none" w:sz="0" w:space="0" w:color="auto"/>
          </w:divBdr>
          <w:divsChild>
            <w:div w:id="1659723457">
              <w:marLeft w:val="0"/>
              <w:marRight w:val="0"/>
              <w:marTop w:val="0"/>
              <w:marBottom w:val="0"/>
              <w:divBdr>
                <w:top w:val="none" w:sz="0" w:space="0" w:color="auto"/>
                <w:left w:val="none" w:sz="0" w:space="0" w:color="auto"/>
                <w:bottom w:val="none" w:sz="0" w:space="0" w:color="auto"/>
                <w:right w:val="none" w:sz="0" w:space="0" w:color="auto"/>
              </w:divBdr>
              <w:divsChild>
                <w:div w:id="1956012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481301">
          <w:marLeft w:val="0"/>
          <w:marRight w:val="0"/>
          <w:marTop w:val="0"/>
          <w:marBottom w:val="0"/>
          <w:divBdr>
            <w:top w:val="none" w:sz="0" w:space="0" w:color="auto"/>
            <w:left w:val="none" w:sz="0" w:space="0" w:color="auto"/>
            <w:bottom w:val="none" w:sz="0" w:space="0" w:color="auto"/>
            <w:right w:val="none" w:sz="0" w:space="0" w:color="auto"/>
          </w:divBdr>
          <w:divsChild>
            <w:div w:id="375542324">
              <w:marLeft w:val="0"/>
              <w:marRight w:val="0"/>
              <w:marTop w:val="0"/>
              <w:marBottom w:val="0"/>
              <w:divBdr>
                <w:top w:val="none" w:sz="0" w:space="0" w:color="auto"/>
                <w:left w:val="none" w:sz="0" w:space="0" w:color="auto"/>
                <w:bottom w:val="none" w:sz="0" w:space="0" w:color="auto"/>
                <w:right w:val="none" w:sz="0" w:space="0" w:color="auto"/>
              </w:divBdr>
              <w:divsChild>
                <w:div w:id="45810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079850">
          <w:marLeft w:val="0"/>
          <w:marRight w:val="0"/>
          <w:marTop w:val="0"/>
          <w:marBottom w:val="0"/>
          <w:divBdr>
            <w:top w:val="none" w:sz="0" w:space="0" w:color="auto"/>
            <w:left w:val="none" w:sz="0" w:space="0" w:color="auto"/>
            <w:bottom w:val="none" w:sz="0" w:space="0" w:color="auto"/>
            <w:right w:val="none" w:sz="0" w:space="0" w:color="auto"/>
          </w:divBdr>
          <w:divsChild>
            <w:div w:id="1842117112">
              <w:marLeft w:val="0"/>
              <w:marRight w:val="0"/>
              <w:marTop w:val="0"/>
              <w:marBottom w:val="0"/>
              <w:divBdr>
                <w:top w:val="none" w:sz="0" w:space="0" w:color="auto"/>
                <w:left w:val="none" w:sz="0" w:space="0" w:color="auto"/>
                <w:bottom w:val="none" w:sz="0" w:space="0" w:color="auto"/>
                <w:right w:val="none" w:sz="0" w:space="0" w:color="auto"/>
              </w:divBdr>
              <w:divsChild>
                <w:div w:id="33489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316304">
          <w:marLeft w:val="0"/>
          <w:marRight w:val="0"/>
          <w:marTop w:val="0"/>
          <w:marBottom w:val="0"/>
          <w:divBdr>
            <w:top w:val="none" w:sz="0" w:space="0" w:color="auto"/>
            <w:left w:val="none" w:sz="0" w:space="0" w:color="auto"/>
            <w:bottom w:val="none" w:sz="0" w:space="0" w:color="auto"/>
            <w:right w:val="none" w:sz="0" w:space="0" w:color="auto"/>
          </w:divBdr>
          <w:divsChild>
            <w:div w:id="1542472404">
              <w:marLeft w:val="0"/>
              <w:marRight w:val="0"/>
              <w:marTop w:val="0"/>
              <w:marBottom w:val="0"/>
              <w:divBdr>
                <w:top w:val="none" w:sz="0" w:space="0" w:color="auto"/>
                <w:left w:val="none" w:sz="0" w:space="0" w:color="auto"/>
                <w:bottom w:val="none" w:sz="0" w:space="0" w:color="auto"/>
                <w:right w:val="none" w:sz="0" w:space="0" w:color="auto"/>
              </w:divBdr>
              <w:divsChild>
                <w:div w:id="111151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901341">
          <w:marLeft w:val="0"/>
          <w:marRight w:val="0"/>
          <w:marTop w:val="0"/>
          <w:marBottom w:val="0"/>
          <w:divBdr>
            <w:top w:val="none" w:sz="0" w:space="0" w:color="auto"/>
            <w:left w:val="none" w:sz="0" w:space="0" w:color="auto"/>
            <w:bottom w:val="none" w:sz="0" w:space="0" w:color="auto"/>
            <w:right w:val="none" w:sz="0" w:space="0" w:color="auto"/>
          </w:divBdr>
          <w:divsChild>
            <w:div w:id="1956793515">
              <w:marLeft w:val="0"/>
              <w:marRight w:val="0"/>
              <w:marTop w:val="0"/>
              <w:marBottom w:val="0"/>
              <w:divBdr>
                <w:top w:val="none" w:sz="0" w:space="0" w:color="auto"/>
                <w:left w:val="none" w:sz="0" w:space="0" w:color="auto"/>
                <w:bottom w:val="none" w:sz="0" w:space="0" w:color="auto"/>
                <w:right w:val="none" w:sz="0" w:space="0" w:color="auto"/>
              </w:divBdr>
              <w:divsChild>
                <w:div w:id="156325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390870">
          <w:marLeft w:val="0"/>
          <w:marRight w:val="0"/>
          <w:marTop w:val="0"/>
          <w:marBottom w:val="0"/>
          <w:divBdr>
            <w:top w:val="none" w:sz="0" w:space="0" w:color="auto"/>
            <w:left w:val="none" w:sz="0" w:space="0" w:color="auto"/>
            <w:bottom w:val="none" w:sz="0" w:space="0" w:color="auto"/>
            <w:right w:val="none" w:sz="0" w:space="0" w:color="auto"/>
          </w:divBdr>
          <w:divsChild>
            <w:div w:id="461770025">
              <w:marLeft w:val="0"/>
              <w:marRight w:val="0"/>
              <w:marTop w:val="0"/>
              <w:marBottom w:val="0"/>
              <w:divBdr>
                <w:top w:val="none" w:sz="0" w:space="0" w:color="auto"/>
                <w:left w:val="none" w:sz="0" w:space="0" w:color="auto"/>
                <w:bottom w:val="none" w:sz="0" w:space="0" w:color="auto"/>
                <w:right w:val="none" w:sz="0" w:space="0" w:color="auto"/>
              </w:divBdr>
              <w:divsChild>
                <w:div w:id="1508715664">
                  <w:marLeft w:val="0"/>
                  <w:marRight w:val="0"/>
                  <w:marTop w:val="0"/>
                  <w:marBottom w:val="0"/>
                  <w:divBdr>
                    <w:top w:val="none" w:sz="0" w:space="0" w:color="auto"/>
                    <w:left w:val="none" w:sz="0" w:space="0" w:color="auto"/>
                    <w:bottom w:val="none" w:sz="0" w:space="0" w:color="auto"/>
                    <w:right w:val="none" w:sz="0" w:space="0" w:color="auto"/>
                  </w:divBdr>
                </w:div>
              </w:divsChild>
            </w:div>
            <w:div w:id="716124125">
              <w:marLeft w:val="0"/>
              <w:marRight w:val="0"/>
              <w:marTop w:val="0"/>
              <w:marBottom w:val="0"/>
              <w:divBdr>
                <w:top w:val="none" w:sz="0" w:space="0" w:color="auto"/>
                <w:left w:val="none" w:sz="0" w:space="0" w:color="auto"/>
                <w:bottom w:val="none" w:sz="0" w:space="0" w:color="auto"/>
                <w:right w:val="none" w:sz="0" w:space="0" w:color="auto"/>
              </w:divBdr>
              <w:divsChild>
                <w:div w:id="59922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998671">
      <w:bodyDiv w:val="1"/>
      <w:marLeft w:val="0"/>
      <w:marRight w:val="0"/>
      <w:marTop w:val="0"/>
      <w:marBottom w:val="0"/>
      <w:divBdr>
        <w:top w:val="none" w:sz="0" w:space="0" w:color="auto"/>
        <w:left w:val="none" w:sz="0" w:space="0" w:color="auto"/>
        <w:bottom w:val="none" w:sz="0" w:space="0" w:color="auto"/>
        <w:right w:val="none" w:sz="0" w:space="0" w:color="auto"/>
      </w:divBdr>
    </w:div>
    <w:div w:id="999231335">
      <w:bodyDiv w:val="1"/>
      <w:marLeft w:val="0"/>
      <w:marRight w:val="0"/>
      <w:marTop w:val="0"/>
      <w:marBottom w:val="0"/>
      <w:divBdr>
        <w:top w:val="none" w:sz="0" w:space="0" w:color="auto"/>
        <w:left w:val="none" w:sz="0" w:space="0" w:color="auto"/>
        <w:bottom w:val="none" w:sz="0" w:space="0" w:color="auto"/>
        <w:right w:val="none" w:sz="0" w:space="0" w:color="auto"/>
      </w:divBdr>
    </w:div>
    <w:div w:id="1155490458">
      <w:bodyDiv w:val="1"/>
      <w:marLeft w:val="0"/>
      <w:marRight w:val="0"/>
      <w:marTop w:val="0"/>
      <w:marBottom w:val="0"/>
      <w:divBdr>
        <w:top w:val="none" w:sz="0" w:space="0" w:color="auto"/>
        <w:left w:val="none" w:sz="0" w:space="0" w:color="auto"/>
        <w:bottom w:val="none" w:sz="0" w:space="0" w:color="auto"/>
        <w:right w:val="none" w:sz="0" w:space="0" w:color="auto"/>
      </w:divBdr>
    </w:div>
    <w:div w:id="1183588103">
      <w:bodyDiv w:val="1"/>
      <w:marLeft w:val="0"/>
      <w:marRight w:val="0"/>
      <w:marTop w:val="0"/>
      <w:marBottom w:val="0"/>
      <w:divBdr>
        <w:top w:val="none" w:sz="0" w:space="0" w:color="auto"/>
        <w:left w:val="none" w:sz="0" w:space="0" w:color="auto"/>
        <w:bottom w:val="none" w:sz="0" w:space="0" w:color="auto"/>
        <w:right w:val="none" w:sz="0" w:space="0" w:color="auto"/>
      </w:divBdr>
    </w:div>
    <w:div w:id="1190797785">
      <w:bodyDiv w:val="1"/>
      <w:marLeft w:val="0"/>
      <w:marRight w:val="0"/>
      <w:marTop w:val="0"/>
      <w:marBottom w:val="0"/>
      <w:divBdr>
        <w:top w:val="none" w:sz="0" w:space="0" w:color="auto"/>
        <w:left w:val="none" w:sz="0" w:space="0" w:color="auto"/>
        <w:bottom w:val="none" w:sz="0" w:space="0" w:color="auto"/>
        <w:right w:val="none" w:sz="0" w:space="0" w:color="auto"/>
      </w:divBdr>
      <w:divsChild>
        <w:div w:id="703333410">
          <w:marLeft w:val="0"/>
          <w:marRight w:val="0"/>
          <w:marTop w:val="0"/>
          <w:marBottom w:val="0"/>
          <w:divBdr>
            <w:top w:val="none" w:sz="0" w:space="0" w:color="auto"/>
            <w:left w:val="none" w:sz="0" w:space="0" w:color="auto"/>
            <w:bottom w:val="none" w:sz="0" w:space="0" w:color="auto"/>
            <w:right w:val="none" w:sz="0" w:space="0" w:color="auto"/>
          </w:divBdr>
          <w:divsChild>
            <w:div w:id="627049277">
              <w:marLeft w:val="0"/>
              <w:marRight w:val="0"/>
              <w:marTop w:val="0"/>
              <w:marBottom w:val="0"/>
              <w:divBdr>
                <w:top w:val="none" w:sz="0" w:space="0" w:color="auto"/>
                <w:left w:val="none" w:sz="0" w:space="0" w:color="auto"/>
                <w:bottom w:val="none" w:sz="0" w:space="0" w:color="auto"/>
                <w:right w:val="none" w:sz="0" w:space="0" w:color="auto"/>
              </w:divBdr>
              <w:divsChild>
                <w:div w:id="158885049">
                  <w:marLeft w:val="0"/>
                  <w:marRight w:val="0"/>
                  <w:marTop w:val="0"/>
                  <w:marBottom w:val="0"/>
                  <w:divBdr>
                    <w:top w:val="none" w:sz="0" w:space="0" w:color="auto"/>
                    <w:left w:val="none" w:sz="0" w:space="0" w:color="auto"/>
                    <w:bottom w:val="none" w:sz="0" w:space="0" w:color="auto"/>
                    <w:right w:val="none" w:sz="0" w:space="0" w:color="auto"/>
                  </w:divBdr>
                  <w:divsChild>
                    <w:div w:id="2060938461">
                      <w:marLeft w:val="0"/>
                      <w:marRight w:val="0"/>
                      <w:marTop w:val="0"/>
                      <w:marBottom w:val="0"/>
                      <w:divBdr>
                        <w:top w:val="none" w:sz="0" w:space="0" w:color="auto"/>
                        <w:left w:val="none" w:sz="0" w:space="0" w:color="auto"/>
                        <w:bottom w:val="none" w:sz="0" w:space="0" w:color="auto"/>
                        <w:right w:val="none" w:sz="0" w:space="0" w:color="auto"/>
                      </w:divBdr>
                      <w:divsChild>
                        <w:div w:id="1858612223">
                          <w:marLeft w:val="0"/>
                          <w:marRight w:val="0"/>
                          <w:marTop w:val="0"/>
                          <w:marBottom w:val="0"/>
                          <w:divBdr>
                            <w:top w:val="none" w:sz="0" w:space="0" w:color="auto"/>
                            <w:left w:val="none" w:sz="0" w:space="0" w:color="auto"/>
                            <w:bottom w:val="none" w:sz="0" w:space="0" w:color="auto"/>
                            <w:right w:val="none" w:sz="0" w:space="0" w:color="auto"/>
                          </w:divBdr>
                          <w:divsChild>
                            <w:div w:id="39278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613379">
              <w:marLeft w:val="0"/>
              <w:marRight w:val="0"/>
              <w:marTop w:val="0"/>
              <w:marBottom w:val="0"/>
              <w:divBdr>
                <w:top w:val="none" w:sz="0" w:space="0" w:color="auto"/>
                <w:left w:val="none" w:sz="0" w:space="0" w:color="auto"/>
                <w:bottom w:val="none" w:sz="0" w:space="0" w:color="auto"/>
                <w:right w:val="none" w:sz="0" w:space="0" w:color="auto"/>
              </w:divBdr>
              <w:divsChild>
                <w:div w:id="872690775">
                  <w:marLeft w:val="0"/>
                  <w:marRight w:val="0"/>
                  <w:marTop w:val="0"/>
                  <w:marBottom w:val="0"/>
                  <w:divBdr>
                    <w:top w:val="none" w:sz="0" w:space="0" w:color="auto"/>
                    <w:left w:val="none" w:sz="0" w:space="0" w:color="auto"/>
                    <w:bottom w:val="none" w:sz="0" w:space="0" w:color="auto"/>
                    <w:right w:val="none" w:sz="0" w:space="0" w:color="auto"/>
                  </w:divBdr>
                </w:div>
              </w:divsChild>
            </w:div>
            <w:div w:id="1816679517">
              <w:marLeft w:val="0"/>
              <w:marRight w:val="0"/>
              <w:marTop w:val="0"/>
              <w:marBottom w:val="0"/>
              <w:divBdr>
                <w:top w:val="none" w:sz="0" w:space="0" w:color="auto"/>
                <w:left w:val="none" w:sz="0" w:space="0" w:color="auto"/>
                <w:bottom w:val="none" w:sz="0" w:space="0" w:color="auto"/>
                <w:right w:val="none" w:sz="0" w:space="0" w:color="auto"/>
              </w:divBdr>
              <w:divsChild>
                <w:div w:id="166362407">
                  <w:marLeft w:val="0"/>
                  <w:marRight w:val="0"/>
                  <w:marTop w:val="0"/>
                  <w:marBottom w:val="0"/>
                  <w:divBdr>
                    <w:top w:val="none" w:sz="0" w:space="0" w:color="auto"/>
                    <w:left w:val="none" w:sz="0" w:space="0" w:color="auto"/>
                    <w:bottom w:val="none" w:sz="0" w:space="0" w:color="auto"/>
                    <w:right w:val="none" w:sz="0" w:space="0" w:color="auto"/>
                  </w:divBdr>
                </w:div>
              </w:divsChild>
            </w:div>
            <w:div w:id="1961572594">
              <w:marLeft w:val="0"/>
              <w:marRight w:val="0"/>
              <w:marTop w:val="0"/>
              <w:marBottom w:val="0"/>
              <w:divBdr>
                <w:top w:val="none" w:sz="0" w:space="0" w:color="auto"/>
                <w:left w:val="none" w:sz="0" w:space="0" w:color="auto"/>
                <w:bottom w:val="none" w:sz="0" w:space="0" w:color="auto"/>
                <w:right w:val="none" w:sz="0" w:space="0" w:color="auto"/>
              </w:divBdr>
              <w:divsChild>
                <w:div w:id="42194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719252">
          <w:marLeft w:val="0"/>
          <w:marRight w:val="0"/>
          <w:marTop w:val="0"/>
          <w:marBottom w:val="0"/>
          <w:divBdr>
            <w:top w:val="none" w:sz="0" w:space="0" w:color="auto"/>
            <w:left w:val="none" w:sz="0" w:space="0" w:color="auto"/>
            <w:bottom w:val="none" w:sz="0" w:space="0" w:color="auto"/>
            <w:right w:val="none" w:sz="0" w:space="0" w:color="auto"/>
          </w:divBdr>
          <w:divsChild>
            <w:div w:id="1899900633">
              <w:marLeft w:val="0"/>
              <w:marRight w:val="0"/>
              <w:marTop w:val="0"/>
              <w:marBottom w:val="0"/>
              <w:divBdr>
                <w:top w:val="none" w:sz="0" w:space="0" w:color="auto"/>
                <w:left w:val="none" w:sz="0" w:space="0" w:color="auto"/>
                <w:bottom w:val="none" w:sz="0" w:space="0" w:color="auto"/>
                <w:right w:val="none" w:sz="0" w:space="0" w:color="auto"/>
              </w:divBdr>
              <w:divsChild>
                <w:div w:id="788859848">
                  <w:marLeft w:val="0"/>
                  <w:marRight w:val="0"/>
                  <w:marTop w:val="0"/>
                  <w:marBottom w:val="0"/>
                  <w:divBdr>
                    <w:top w:val="none" w:sz="0" w:space="0" w:color="auto"/>
                    <w:left w:val="none" w:sz="0" w:space="0" w:color="auto"/>
                    <w:bottom w:val="none" w:sz="0" w:space="0" w:color="auto"/>
                    <w:right w:val="none" w:sz="0" w:space="0" w:color="auto"/>
                  </w:divBdr>
                  <w:divsChild>
                    <w:div w:id="1186796837">
                      <w:marLeft w:val="0"/>
                      <w:marRight w:val="0"/>
                      <w:marTop w:val="0"/>
                      <w:marBottom w:val="0"/>
                      <w:divBdr>
                        <w:top w:val="none" w:sz="0" w:space="0" w:color="auto"/>
                        <w:left w:val="none" w:sz="0" w:space="0" w:color="auto"/>
                        <w:bottom w:val="none" w:sz="0" w:space="0" w:color="auto"/>
                        <w:right w:val="none" w:sz="0" w:space="0" w:color="auto"/>
                      </w:divBdr>
                      <w:divsChild>
                        <w:div w:id="615059425">
                          <w:marLeft w:val="0"/>
                          <w:marRight w:val="0"/>
                          <w:marTop w:val="0"/>
                          <w:marBottom w:val="0"/>
                          <w:divBdr>
                            <w:top w:val="none" w:sz="0" w:space="0" w:color="auto"/>
                            <w:left w:val="none" w:sz="0" w:space="0" w:color="auto"/>
                            <w:bottom w:val="none" w:sz="0" w:space="0" w:color="auto"/>
                            <w:right w:val="none" w:sz="0" w:space="0" w:color="auto"/>
                          </w:divBdr>
                          <w:divsChild>
                            <w:div w:id="2112431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9975251">
              <w:marLeft w:val="0"/>
              <w:marRight w:val="0"/>
              <w:marTop w:val="0"/>
              <w:marBottom w:val="0"/>
              <w:divBdr>
                <w:top w:val="none" w:sz="0" w:space="0" w:color="auto"/>
                <w:left w:val="none" w:sz="0" w:space="0" w:color="auto"/>
                <w:bottom w:val="none" w:sz="0" w:space="0" w:color="auto"/>
                <w:right w:val="none" w:sz="0" w:space="0" w:color="auto"/>
              </w:divBdr>
              <w:divsChild>
                <w:div w:id="1281911748">
                  <w:marLeft w:val="0"/>
                  <w:marRight w:val="0"/>
                  <w:marTop w:val="0"/>
                  <w:marBottom w:val="0"/>
                  <w:divBdr>
                    <w:top w:val="none" w:sz="0" w:space="0" w:color="auto"/>
                    <w:left w:val="none" w:sz="0" w:space="0" w:color="auto"/>
                    <w:bottom w:val="none" w:sz="0" w:space="0" w:color="auto"/>
                    <w:right w:val="none" w:sz="0" w:space="0" w:color="auto"/>
                  </w:divBdr>
                </w:div>
              </w:divsChild>
            </w:div>
            <w:div w:id="2071270691">
              <w:marLeft w:val="0"/>
              <w:marRight w:val="0"/>
              <w:marTop w:val="0"/>
              <w:marBottom w:val="0"/>
              <w:divBdr>
                <w:top w:val="none" w:sz="0" w:space="0" w:color="auto"/>
                <w:left w:val="none" w:sz="0" w:space="0" w:color="auto"/>
                <w:bottom w:val="none" w:sz="0" w:space="0" w:color="auto"/>
                <w:right w:val="none" w:sz="0" w:space="0" w:color="auto"/>
              </w:divBdr>
              <w:divsChild>
                <w:div w:id="1118332141">
                  <w:marLeft w:val="0"/>
                  <w:marRight w:val="0"/>
                  <w:marTop w:val="0"/>
                  <w:marBottom w:val="0"/>
                  <w:divBdr>
                    <w:top w:val="none" w:sz="0" w:space="0" w:color="auto"/>
                    <w:left w:val="none" w:sz="0" w:space="0" w:color="auto"/>
                    <w:bottom w:val="none" w:sz="0" w:space="0" w:color="auto"/>
                    <w:right w:val="none" w:sz="0" w:space="0" w:color="auto"/>
                  </w:divBdr>
                </w:div>
              </w:divsChild>
            </w:div>
            <w:div w:id="1579440398">
              <w:marLeft w:val="0"/>
              <w:marRight w:val="0"/>
              <w:marTop w:val="0"/>
              <w:marBottom w:val="0"/>
              <w:divBdr>
                <w:top w:val="none" w:sz="0" w:space="0" w:color="auto"/>
                <w:left w:val="none" w:sz="0" w:space="0" w:color="auto"/>
                <w:bottom w:val="none" w:sz="0" w:space="0" w:color="auto"/>
                <w:right w:val="none" w:sz="0" w:space="0" w:color="auto"/>
              </w:divBdr>
              <w:divsChild>
                <w:div w:id="201151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342780">
          <w:marLeft w:val="0"/>
          <w:marRight w:val="0"/>
          <w:marTop w:val="0"/>
          <w:marBottom w:val="0"/>
          <w:divBdr>
            <w:top w:val="none" w:sz="0" w:space="0" w:color="auto"/>
            <w:left w:val="none" w:sz="0" w:space="0" w:color="auto"/>
            <w:bottom w:val="none" w:sz="0" w:space="0" w:color="auto"/>
            <w:right w:val="none" w:sz="0" w:space="0" w:color="auto"/>
          </w:divBdr>
          <w:divsChild>
            <w:div w:id="187063160">
              <w:marLeft w:val="0"/>
              <w:marRight w:val="0"/>
              <w:marTop w:val="0"/>
              <w:marBottom w:val="0"/>
              <w:divBdr>
                <w:top w:val="none" w:sz="0" w:space="0" w:color="auto"/>
                <w:left w:val="none" w:sz="0" w:space="0" w:color="auto"/>
                <w:bottom w:val="none" w:sz="0" w:space="0" w:color="auto"/>
                <w:right w:val="none" w:sz="0" w:space="0" w:color="auto"/>
              </w:divBdr>
              <w:divsChild>
                <w:div w:id="434710354">
                  <w:marLeft w:val="0"/>
                  <w:marRight w:val="0"/>
                  <w:marTop w:val="0"/>
                  <w:marBottom w:val="0"/>
                  <w:divBdr>
                    <w:top w:val="none" w:sz="0" w:space="0" w:color="auto"/>
                    <w:left w:val="none" w:sz="0" w:space="0" w:color="auto"/>
                    <w:bottom w:val="none" w:sz="0" w:space="0" w:color="auto"/>
                    <w:right w:val="none" w:sz="0" w:space="0" w:color="auto"/>
                  </w:divBdr>
                  <w:divsChild>
                    <w:div w:id="266239042">
                      <w:marLeft w:val="0"/>
                      <w:marRight w:val="0"/>
                      <w:marTop w:val="0"/>
                      <w:marBottom w:val="0"/>
                      <w:divBdr>
                        <w:top w:val="none" w:sz="0" w:space="0" w:color="auto"/>
                        <w:left w:val="none" w:sz="0" w:space="0" w:color="auto"/>
                        <w:bottom w:val="none" w:sz="0" w:space="0" w:color="auto"/>
                        <w:right w:val="none" w:sz="0" w:space="0" w:color="auto"/>
                      </w:divBdr>
                      <w:divsChild>
                        <w:div w:id="708991106">
                          <w:marLeft w:val="0"/>
                          <w:marRight w:val="0"/>
                          <w:marTop w:val="0"/>
                          <w:marBottom w:val="0"/>
                          <w:divBdr>
                            <w:top w:val="none" w:sz="0" w:space="0" w:color="auto"/>
                            <w:left w:val="none" w:sz="0" w:space="0" w:color="auto"/>
                            <w:bottom w:val="none" w:sz="0" w:space="0" w:color="auto"/>
                            <w:right w:val="none" w:sz="0" w:space="0" w:color="auto"/>
                          </w:divBdr>
                          <w:divsChild>
                            <w:div w:id="570892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9465821">
              <w:marLeft w:val="0"/>
              <w:marRight w:val="0"/>
              <w:marTop w:val="0"/>
              <w:marBottom w:val="0"/>
              <w:divBdr>
                <w:top w:val="none" w:sz="0" w:space="0" w:color="auto"/>
                <w:left w:val="none" w:sz="0" w:space="0" w:color="auto"/>
                <w:bottom w:val="none" w:sz="0" w:space="0" w:color="auto"/>
                <w:right w:val="none" w:sz="0" w:space="0" w:color="auto"/>
              </w:divBdr>
              <w:divsChild>
                <w:div w:id="924876628">
                  <w:marLeft w:val="0"/>
                  <w:marRight w:val="0"/>
                  <w:marTop w:val="0"/>
                  <w:marBottom w:val="0"/>
                  <w:divBdr>
                    <w:top w:val="none" w:sz="0" w:space="0" w:color="auto"/>
                    <w:left w:val="none" w:sz="0" w:space="0" w:color="auto"/>
                    <w:bottom w:val="none" w:sz="0" w:space="0" w:color="auto"/>
                    <w:right w:val="none" w:sz="0" w:space="0" w:color="auto"/>
                  </w:divBdr>
                </w:div>
              </w:divsChild>
            </w:div>
            <w:div w:id="1581062100">
              <w:marLeft w:val="0"/>
              <w:marRight w:val="0"/>
              <w:marTop w:val="0"/>
              <w:marBottom w:val="0"/>
              <w:divBdr>
                <w:top w:val="none" w:sz="0" w:space="0" w:color="auto"/>
                <w:left w:val="none" w:sz="0" w:space="0" w:color="auto"/>
                <w:bottom w:val="none" w:sz="0" w:space="0" w:color="auto"/>
                <w:right w:val="none" w:sz="0" w:space="0" w:color="auto"/>
              </w:divBdr>
              <w:divsChild>
                <w:div w:id="1479034684">
                  <w:marLeft w:val="0"/>
                  <w:marRight w:val="0"/>
                  <w:marTop w:val="0"/>
                  <w:marBottom w:val="0"/>
                  <w:divBdr>
                    <w:top w:val="none" w:sz="0" w:space="0" w:color="auto"/>
                    <w:left w:val="none" w:sz="0" w:space="0" w:color="auto"/>
                    <w:bottom w:val="none" w:sz="0" w:space="0" w:color="auto"/>
                    <w:right w:val="none" w:sz="0" w:space="0" w:color="auto"/>
                  </w:divBdr>
                </w:div>
              </w:divsChild>
            </w:div>
            <w:div w:id="176620102">
              <w:marLeft w:val="0"/>
              <w:marRight w:val="0"/>
              <w:marTop w:val="0"/>
              <w:marBottom w:val="0"/>
              <w:divBdr>
                <w:top w:val="none" w:sz="0" w:space="0" w:color="auto"/>
                <w:left w:val="none" w:sz="0" w:space="0" w:color="auto"/>
                <w:bottom w:val="none" w:sz="0" w:space="0" w:color="auto"/>
                <w:right w:val="none" w:sz="0" w:space="0" w:color="auto"/>
              </w:divBdr>
              <w:divsChild>
                <w:div w:id="66266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942680">
          <w:marLeft w:val="0"/>
          <w:marRight w:val="0"/>
          <w:marTop w:val="0"/>
          <w:marBottom w:val="0"/>
          <w:divBdr>
            <w:top w:val="none" w:sz="0" w:space="0" w:color="auto"/>
            <w:left w:val="none" w:sz="0" w:space="0" w:color="auto"/>
            <w:bottom w:val="none" w:sz="0" w:space="0" w:color="auto"/>
            <w:right w:val="none" w:sz="0" w:space="0" w:color="auto"/>
          </w:divBdr>
          <w:divsChild>
            <w:div w:id="380179317">
              <w:marLeft w:val="0"/>
              <w:marRight w:val="0"/>
              <w:marTop w:val="0"/>
              <w:marBottom w:val="0"/>
              <w:divBdr>
                <w:top w:val="none" w:sz="0" w:space="0" w:color="auto"/>
                <w:left w:val="none" w:sz="0" w:space="0" w:color="auto"/>
                <w:bottom w:val="none" w:sz="0" w:space="0" w:color="auto"/>
                <w:right w:val="none" w:sz="0" w:space="0" w:color="auto"/>
              </w:divBdr>
              <w:divsChild>
                <w:div w:id="878666823">
                  <w:marLeft w:val="0"/>
                  <w:marRight w:val="0"/>
                  <w:marTop w:val="0"/>
                  <w:marBottom w:val="0"/>
                  <w:divBdr>
                    <w:top w:val="none" w:sz="0" w:space="0" w:color="auto"/>
                    <w:left w:val="none" w:sz="0" w:space="0" w:color="auto"/>
                    <w:bottom w:val="none" w:sz="0" w:space="0" w:color="auto"/>
                    <w:right w:val="none" w:sz="0" w:space="0" w:color="auto"/>
                  </w:divBdr>
                  <w:divsChild>
                    <w:div w:id="2008746092">
                      <w:marLeft w:val="0"/>
                      <w:marRight w:val="0"/>
                      <w:marTop w:val="0"/>
                      <w:marBottom w:val="0"/>
                      <w:divBdr>
                        <w:top w:val="none" w:sz="0" w:space="0" w:color="auto"/>
                        <w:left w:val="none" w:sz="0" w:space="0" w:color="auto"/>
                        <w:bottom w:val="none" w:sz="0" w:space="0" w:color="auto"/>
                        <w:right w:val="none" w:sz="0" w:space="0" w:color="auto"/>
                      </w:divBdr>
                      <w:divsChild>
                        <w:div w:id="822280825">
                          <w:marLeft w:val="0"/>
                          <w:marRight w:val="0"/>
                          <w:marTop w:val="0"/>
                          <w:marBottom w:val="0"/>
                          <w:divBdr>
                            <w:top w:val="none" w:sz="0" w:space="0" w:color="auto"/>
                            <w:left w:val="none" w:sz="0" w:space="0" w:color="auto"/>
                            <w:bottom w:val="none" w:sz="0" w:space="0" w:color="auto"/>
                            <w:right w:val="none" w:sz="0" w:space="0" w:color="auto"/>
                          </w:divBdr>
                          <w:divsChild>
                            <w:div w:id="2091346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4228897">
              <w:marLeft w:val="0"/>
              <w:marRight w:val="0"/>
              <w:marTop w:val="0"/>
              <w:marBottom w:val="0"/>
              <w:divBdr>
                <w:top w:val="none" w:sz="0" w:space="0" w:color="auto"/>
                <w:left w:val="none" w:sz="0" w:space="0" w:color="auto"/>
                <w:bottom w:val="none" w:sz="0" w:space="0" w:color="auto"/>
                <w:right w:val="none" w:sz="0" w:space="0" w:color="auto"/>
              </w:divBdr>
              <w:divsChild>
                <w:div w:id="1880630160">
                  <w:marLeft w:val="0"/>
                  <w:marRight w:val="0"/>
                  <w:marTop w:val="0"/>
                  <w:marBottom w:val="0"/>
                  <w:divBdr>
                    <w:top w:val="none" w:sz="0" w:space="0" w:color="auto"/>
                    <w:left w:val="none" w:sz="0" w:space="0" w:color="auto"/>
                    <w:bottom w:val="none" w:sz="0" w:space="0" w:color="auto"/>
                    <w:right w:val="none" w:sz="0" w:space="0" w:color="auto"/>
                  </w:divBdr>
                </w:div>
              </w:divsChild>
            </w:div>
            <w:div w:id="346174014">
              <w:marLeft w:val="0"/>
              <w:marRight w:val="0"/>
              <w:marTop w:val="0"/>
              <w:marBottom w:val="0"/>
              <w:divBdr>
                <w:top w:val="none" w:sz="0" w:space="0" w:color="auto"/>
                <w:left w:val="none" w:sz="0" w:space="0" w:color="auto"/>
                <w:bottom w:val="none" w:sz="0" w:space="0" w:color="auto"/>
                <w:right w:val="none" w:sz="0" w:space="0" w:color="auto"/>
              </w:divBdr>
              <w:divsChild>
                <w:div w:id="194526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9756296">
      <w:bodyDiv w:val="1"/>
      <w:marLeft w:val="0"/>
      <w:marRight w:val="0"/>
      <w:marTop w:val="0"/>
      <w:marBottom w:val="0"/>
      <w:divBdr>
        <w:top w:val="none" w:sz="0" w:space="0" w:color="auto"/>
        <w:left w:val="none" w:sz="0" w:space="0" w:color="auto"/>
        <w:bottom w:val="none" w:sz="0" w:space="0" w:color="auto"/>
        <w:right w:val="none" w:sz="0" w:space="0" w:color="auto"/>
      </w:divBdr>
    </w:div>
    <w:div w:id="1306548319">
      <w:bodyDiv w:val="1"/>
      <w:marLeft w:val="0"/>
      <w:marRight w:val="0"/>
      <w:marTop w:val="0"/>
      <w:marBottom w:val="0"/>
      <w:divBdr>
        <w:top w:val="none" w:sz="0" w:space="0" w:color="auto"/>
        <w:left w:val="none" w:sz="0" w:space="0" w:color="auto"/>
        <w:bottom w:val="none" w:sz="0" w:space="0" w:color="auto"/>
        <w:right w:val="none" w:sz="0" w:space="0" w:color="auto"/>
      </w:divBdr>
    </w:div>
    <w:div w:id="1321151484">
      <w:bodyDiv w:val="1"/>
      <w:marLeft w:val="0"/>
      <w:marRight w:val="0"/>
      <w:marTop w:val="0"/>
      <w:marBottom w:val="0"/>
      <w:divBdr>
        <w:top w:val="none" w:sz="0" w:space="0" w:color="auto"/>
        <w:left w:val="none" w:sz="0" w:space="0" w:color="auto"/>
        <w:bottom w:val="none" w:sz="0" w:space="0" w:color="auto"/>
        <w:right w:val="none" w:sz="0" w:space="0" w:color="auto"/>
      </w:divBdr>
    </w:div>
    <w:div w:id="1323240718">
      <w:bodyDiv w:val="1"/>
      <w:marLeft w:val="0"/>
      <w:marRight w:val="0"/>
      <w:marTop w:val="0"/>
      <w:marBottom w:val="0"/>
      <w:divBdr>
        <w:top w:val="none" w:sz="0" w:space="0" w:color="auto"/>
        <w:left w:val="none" w:sz="0" w:space="0" w:color="auto"/>
        <w:bottom w:val="none" w:sz="0" w:space="0" w:color="auto"/>
        <w:right w:val="none" w:sz="0" w:space="0" w:color="auto"/>
      </w:divBdr>
    </w:div>
    <w:div w:id="1369647776">
      <w:bodyDiv w:val="1"/>
      <w:marLeft w:val="0"/>
      <w:marRight w:val="0"/>
      <w:marTop w:val="0"/>
      <w:marBottom w:val="0"/>
      <w:divBdr>
        <w:top w:val="none" w:sz="0" w:space="0" w:color="auto"/>
        <w:left w:val="none" w:sz="0" w:space="0" w:color="auto"/>
        <w:bottom w:val="none" w:sz="0" w:space="0" w:color="auto"/>
        <w:right w:val="none" w:sz="0" w:space="0" w:color="auto"/>
      </w:divBdr>
    </w:div>
    <w:div w:id="1390810677">
      <w:bodyDiv w:val="1"/>
      <w:marLeft w:val="0"/>
      <w:marRight w:val="0"/>
      <w:marTop w:val="0"/>
      <w:marBottom w:val="0"/>
      <w:divBdr>
        <w:top w:val="none" w:sz="0" w:space="0" w:color="auto"/>
        <w:left w:val="none" w:sz="0" w:space="0" w:color="auto"/>
        <w:bottom w:val="none" w:sz="0" w:space="0" w:color="auto"/>
        <w:right w:val="none" w:sz="0" w:space="0" w:color="auto"/>
      </w:divBdr>
    </w:div>
    <w:div w:id="1417635411">
      <w:bodyDiv w:val="1"/>
      <w:marLeft w:val="0"/>
      <w:marRight w:val="0"/>
      <w:marTop w:val="0"/>
      <w:marBottom w:val="0"/>
      <w:divBdr>
        <w:top w:val="none" w:sz="0" w:space="0" w:color="auto"/>
        <w:left w:val="none" w:sz="0" w:space="0" w:color="auto"/>
        <w:bottom w:val="none" w:sz="0" w:space="0" w:color="auto"/>
        <w:right w:val="none" w:sz="0" w:space="0" w:color="auto"/>
      </w:divBdr>
    </w:div>
    <w:div w:id="1434784553">
      <w:bodyDiv w:val="1"/>
      <w:marLeft w:val="0"/>
      <w:marRight w:val="0"/>
      <w:marTop w:val="0"/>
      <w:marBottom w:val="0"/>
      <w:divBdr>
        <w:top w:val="none" w:sz="0" w:space="0" w:color="auto"/>
        <w:left w:val="none" w:sz="0" w:space="0" w:color="auto"/>
        <w:bottom w:val="none" w:sz="0" w:space="0" w:color="auto"/>
        <w:right w:val="none" w:sz="0" w:space="0" w:color="auto"/>
      </w:divBdr>
    </w:div>
    <w:div w:id="1548684218">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42676564">
      <w:bodyDiv w:val="1"/>
      <w:marLeft w:val="0"/>
      <w:marRight w:val="0"/>
      <w:marTop w:val="0"/>
      <w:marBottom w:val="0"/>
      <w:divBdr>
        <w:top w:val="none" w:sz="0" w:space="0" w:color="auto"/>
        <w:left w:val="none" w:sz="0" w:space="0" w:color="auto"/>
        <w:bottom w:val="none" w:sz="0" w:space="0" w:color="auto"/>
        <w:right w:val="none" w:sz="0" w:space="0" w:color="auto"/>
      </w:divBdr>
    </w:div>
    <w:div w:id="1770657733">
      <w:bodyDiv w:val="1"/>
      <w:marLeft w:val="0"/>
      <w:marRight w:val="0"/>
      <w:marTop w:val="0"/>
      <w:marBottom w:val="0"/>
      <w:divBdr>
        <w:top w:val="none" w:sz="0" w:space="0" w:color="auto"/>
        <w:left w:val="none" w:sz="0" w:space="0" w:color="auto"/>
        <w:bottom w:val="none" w:sz="0" w:space="0" w:color="auto"/>
        <w:right w:val="none" w:sz="0" w:space="0" w:color="auto"/>
      </w:divBdr>
      <w:divsChild>
        <w:div w:id="330913399">
          <w:marLeft w:val="0"/>
          <w:marRight w:val="0"/>
          <w:marTop w:val="0"/>
          <w:marBottom w:val="0"/>
          <w:divBdr>
            <w:top w:val="none" w:sz="0" w:space="0" w:color="auto"/>
            <w:left w:val="none" w:sz="0" w:space="0" w:color="auto"/>
            <w:bottom w:val="none" w:sz="0" w:space="0" w:color="auto"/>
            <w:right w:val="none" w:sz="0" w:space="0" w:color="auto"/>
          </w:divBdr>
          <w:divsChild>
            <w:div w:id="1860852366">
              <w:marLeft w:val="0"/>
              <w:marRight w:val="0"/>
              <w:marTop w:val="0"/>
              <w:marBottom w:val="0"/>
              <w:divBdr>
                <w:top w:val="none" w:sz="0" w:space="0" w:color="auto"/>
                <w:left w:val="none" w:sz="0" w:space="0" w:color="auto"/>
                <w:bottom w:val="none" w:sz="0" w:space="0" w:color="auto"/>
                <w:right w:val="none" w:sz="0" w:space="0" w:color="auto"/>
              </w:divBdr>
              <w:divsChild>
                <w:div w:id="1688409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443534">
          <w:marLeft w:val="0"/>
          <w:marRight w:val="0"/>
          <w:marTop w:val="0"/>
          <w:marBottom w:val="0"/>
          <w:divBdr>
            <w:top w:val="none" w:sz="0" w:space="0" w:color="auto"/>
            <w:left w:val="none" w:sz="0" w:space="0" w:color="auto"/>
            <w:bottom w:val="none" w:sz="0" w:space="0" w:color="auto"/>
            <w:right w:val="none" w:sz="0" w:space="0" w:color="auto"/>
          </w:divBdr>
          <w:divsChild>
            <w:div w:id="1861316851">
              <w:marLeft w:val="0"/>
              <w:marRight w:val="0"/>
              <w:marTop w:val="0"/>
              <w:marBottom w:val="0"/>
              <w:divBdr>
                <w:top w:val="none" w:sz="0" w:space="0" w:color="auto"/>
                <w:left w:val="none" w:sz="0" w:space="0" w:color="auto"/>
                <w:bottom w:val="none" w:sz="0" w:space="0" w:color="auto"/>
                <w:right w:val="none" w:sz="0" w:space="0" w:color="auto"/>
              </w:divBdr>
              <w:divsChild>
                <w:div w:id="915896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258879">
          <w:marLeft w:val="0"/>
          <w:marRight w:val="0"/>
          <w:marTop w:val="0"/>
          <w:marBottom w:val="0"/>
          <w:divBdr>
            <w:top w:val="none" w:sz="0" w:space="0" w:color="auto"/>
            <w:left w:val="none" w:sz="0" w:space="0" w:color="auto"/>
            <w:bottom w:val="none" w:sz="0" w:space="0" w:color="auto"/>
            <w:right w:val="none" w:sz="0" w:space="0" w:color="auto"/>
          </w:divBdr>
          <w:divsChild>
            <w:div w:id="572619026">
              <w:marLeft w:val="0"/>
              <w:marRight w:val="0"/>
              <w:marTop w:val="0"/>
              <w:marBottom w:val="0"/>
              <w:divBdr>
                <w:top w:val="none" w:sz="0" w:space="0" w:color="auto"/>
                <w:left w:val="none" w:sz="0" w:space="0" w:color="auto"/>
                <w:bottom w:val="none" w:sz="0" w:space="0" w:color="auto"/>
                <w:right w:val="none" w:sz="0" w:space="0" w:color="auto"/>
              </w:divBdr>
              <w:divsChild>
                <w:div w:id="1244678247">
                  <w:marLeft w:val="0"/>
                  <w:marRight w:val="0"/>
                  <w:marTop w:val="0"/>
                  <w:marBottom w:val="0"/>
                  <w:divBdr>
                    <w:top w:val="none" w:sz="0" w:space="0" w:color="auto"/>
                    <w:left w:val="none" w:sz="0" w:space="0" w:color="auto"/>
                    <w:bottom w:val="none" w:sz="0" w:space="0" w:color="auto"/>
                    <w:right w:val="none" w:sz="0" w:space="0" w:color="auto"/>
                  </w:divBdr>
                </w:div>
              </w:divsChild>
            </w:div>
            <w:div w:id="1433016207">
              <w:marLeft w:val="0"/>
              <w:marRight w:val="0"/>
              <w:marTop w:val="0"/>
              <w:marBottom w:val="0"/>
              <w:divBdr>
                <w:top w:val="none" w:sz="0" w:space="0" w:color="auto"/>
                <w:left w:val="none" w:sz="0" w:space="0" w:color="auto"/>
                <w:bottom w:val="none" w:sz="0" w:space="0" w:color="auto"/>
                <w:right w:val="none" w:sz="0" w:space="0" w:color="auto"/>
              </w:divBdr>
              <w:divsChild>
                <w:div w:id="45575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020988">
          <w:marLeft w:val="0"/>
          <w:marRight w:val="0"/>
          <w:marTop w:val="0"/>
          <w:marBottom w:val="0"/>
          <w:divBdr>
            <w:top w:val="none" w:sz="0" w:space="0" w:color="auto"/>
            <w:left w:val="none" w:sz="0" w:space="0" w:color="auto"/>
            <w:bottom w:val="none" w:sz="0" w:space="0" w:color="auto"/>
            <w:right w:val="none" w:sz="0" w:space="0" w:color="auto"/>
          </w:divBdr>
          <w:divsChild>
            <w:div w:id="164827302">
              <w:marLeft w:val="0"/>
              <w:marRight w:val="0"/>
              <w:marTop w:val="0"/>
              <w:marBottom w:val="0"/>
              <w:divBdr>
                <w:top w:val="none" w:sz="0" w:space="0" w:color="auto"/>
                <w:left w:val="none" w:sz="0" w:space="0" w:color="auto"/>
                <w:bottom w:val="none" w:sz="0" w:space="0" w:color="auto"/>
                <w:right w:val="none" w:sz="0" w:space="0" w:color="auto"/>
              </w:divBdr>
              <w:divsChild>
                <w:div w:id="186097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627191">
          <w:marLeft w:val="0"/>
          <w:marRight w:val="0"/>
          <w:marTop w:val="0"/>
          <w:marBottom w:val="0"/>
          <w:divBdr>
            <w:top w:val="none" w:sz="0" w:space="0" w:color="auto"/>
            <w:left w:val="none" w:sz="0" w:space="0" w:color="auto"/>
            <w:bottom w:val="none" w:sz="0" w:space="0" w:color="auto"/>
            <w:right w:val="none" w:sz="0" w:space="0" w:color="auto"/>
          </w:divBdr>
          <w:divsChild>
            <w:div w:id="845557665">
              <w:marLeft w:val="0"/>
              <w:marRight w:val="0"/>
              <w:marTop w:val="0"/>
              <w:marBottom w:val="0"/>
              <w:divBdr>
                <w:top w:val="none" w:sz="0" w:space="0" w:color="auto"/>
                <w:left w:val="none" w:sz="0" w:space="0" w:color="auto"/>
                <w:bottom w:val="none" w:sz="0" w:space="0" w:color="auto"/>
                <w:right w:val="none" w:sz="0" w:space="0" w:color="auto"/>
              </w:divBdr>
              <w:divsChild>
                <w:div w:id="501044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463482">
          <w:marLeft w:val="0"/>
          <w:marRight w:val="0"/>
          <w:marTop w:val="0"/>
          <w:marBottom w:val="0"/>
          <w:divBdr>
            <w:top w:val="none" w:sz="0" w:space="0" w:color="auto"/>
            <w:left w:val="none" w:sz="0" w:space="0" w:color="auto"/>
            <w:bottom w:val="none" w:sz="0" w:space="0" w:color="auto"/>
            <w:right w:val="none" w:sz="0" w:space="0" w:color="auto"/>
          </w:divBdr>
          <w:divsChild>
            <w:div w:id="508761910">
              <w:marLeft w:val="0"/>
              <w:marRight w:val="0"/>
              <w:marTop w:val="0"/>
              <w:marBottom w:val="0"/>
              <w:divBdr>
                <w:top w:val="none" w:sz="0" w:space="0" w:color="auto"/>
                <w:left w:val="none" w:sz="0" w:space="0" w:color="auto"/>
                <w:bottom w:val="none" w:sz="0" w:space="0" w:color="auto"/>
                <w:right w:val="none" w:sz="0" w:space="0" w:color="auto"/>
              </w:divBdr>
              <w:divsChild>
                <w:div w:id="204724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046860">
          <w:marLeft w:val="0"/>
          <w:marRight w:val="0"/>
          <w:marTop w:val="0"/>
          <w:marBottom w:val="0"/>
          <w:divBdr>
            <w:top w:val="none" w:sz="0" w:space="0" w:color="auto"/>
            <w:left w:val="none" w:sz="0" w:space="0" w:color="auto"/>
            <w:bottom w:val="none" w:sz="0" w:space="0" w:color="auto"/>
            <w:right w:val="none" w:sz="0" w:space="0" w:color="auto"/>
          </w:divBdr>
          <w:divsChild>
            <w:div w:id="782043606">
              <w:marLeft w:val="0"/>
              <w:marRight w:val="0"/>
              <w:marTop w:val="0"/>
              <w:marBottom w:val="0"/>
              <w:divBdr>
                <w:top w:val="none" w:sz="0" w:space="0" w:color="auto"/>
                <w:left w:val="none" w:sz="0" w:space="0" w:color="auto"/>
                <w:bottom w:val="none" w:sz="0" w:space="0" w:color="auto"/>
                <w:right w:val="none" w:sz="0" w:space="0" w:color="auto"/>
              </w:divBdr>
              <w:divsChild>
                <w:div w:id="95128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752270">
          <w:marLeft w:val="0"/>
          <w:marRight w:val="0"/>
          <w:marTop w:val="0"/>
          <w:marBottom w:val="0"/>
          <w:divBdr>
            <w:top w:val="none" w:sz="0" w:space="0" w:color="auto"/>
            <w:left w:val="none" w:sz="0" w:space="0" w:color="auto"/>
            <w:bottom w:val="none" w:sz="0" w:space="0" w:color="auto"/>
            <w:right w:val="none" w:sz="0" w:space="0" w:color="auto"/>
          </w:divBdr>
          <w:divsChild>
            <w:div w:id="378359039">
              <w:marLeft w:val="0"/>
              <w:marRight w:val="0"/>
              <w:marTop w:val="0"/>
              <w:marBottom w:val="0"/>
              <w:divBdr>
                <w:top w:val="none" w:sz="0" w:space="0" w:color="auto"/>
                <w:left w:val="none" w:sz="0" w:space="0" w:color="auto"/>
                <w:bottom w:val="none" w:sz="0" w:space="0" w:color="auto"/>
                <w:right w:val="none" w:sz="0" w:space="0" w:color="auto"/>
              </w:divBdr>
              <w:divsChild>
                <w:div w:id="87138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074743">
          <w:marLeft w:val="0"/>
          <w:marRight w:val="0"/>
          <w:marTop w:val="0"/>
          <w:marBottom w:val="0"/>
          <w:divBdr>
            <w:top w:val="none" w:sz="0" w:space="0" w:color="auto"/>
            <w:left w:val="none" w:sz="0" w:space="0" w:color="auto"/>
            <w:bottom w:val="none" w:sz="0" w:space="0" w:color="auto"/>
            <w:right w:val="none" w:sz="0" w:space="0" w:color="auto"/>
          </w:divBdr>
          <w:divsChild>
            <w:div w:id="1436556490">
              <w:marLeft w:val="0"/>
              <w:marRight w:val="0"/>
              <w:marTop w:val="0"/>
              <w:marBottom w:val="0"/>
              <w:divBdr>
                <w:top w:val="none" w:sz="0" w:space="0" w:color="auto"/>
                <w:left w:val="none" w:sz="0" w:space="0" w:color="auto"/>
                <w:bottom w:val="none" w:sz="0" w:space="0" w:color="auto"/>
                <w:right w:val="none" w:sz="0" w:space="0" w:color="auto"/>
              </w:divBdr>
              <w:divsChild>
                <w:div w:id="979269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621738">
      <w:bodyDiv w:val="1"/>
      <w:marLeft w:val="0"/>
      <w:marRight w:val="0"/>
      <w:marTop w:val="0"/>
      <w:marBottom w:val="0"/>
      <w:divBdr>
        <w:top w:val="none" w:sz="0" w:space="0" w:color="auto"/>
        <w:left w:val="none" w:sz="0" w:space="0" w:color="auto"/>
        <w:bottom w:val="none" w:sz="0" w:space="0" w:color="auto"/>
        <w:right w:val="none" w:sz="0" w:space="0" w:color="auto"/>
      </w:divBdr>
    </w:div>
    <w:div w:id="1891531523">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78029779">
      <w:bodyDiv w:val="1"/>
      <w:marLeft w:val="0"/>
      <w:marRight w:val="0"/>
      <w:marTop w:val="0"/>
      <w:marBottom w:val="0"/>
      <w:divBdr>
        <w:top w:val="none" w:sz="0" w:space="0" w:color="auto"/>
        <w:left w:val="none" w:sz="0" w:space="0" w:color="auto"/>
        <w:bottom w:val="none" w:sz="0" w:space="0" w:color="auto"/>
        <w:right w:val="none" w:sz="0" w:space="0" w:color="auto"/>
      </w:divBdr>
    </w:div>
    <w:div w:id="1994600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A9376A-3F28-4184-AA7C-CB4F5C5C9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1752</Words>
  <Characters>9061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2022-02-22T23:33:00Z</dcterms:created>
  <dcterms:modified xsi:type="dcterms:W3CDTF">2022-03-02T03:31:00Z</dcterms:modified>
</cp:coreProperties>
</file>