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6A1" w:rsidRDefault="00BB36A1" w:rsidP="00BB36A1">
      <w:bookmarkStart w:id="0" w:name="_Toc318453372"/>
      <w:bookmarkStart w:id="1" w:name="_Toc341702083"/>
      <w:bookmarkStart w:id="2" w:name="_Toc22897678"/>
    </w:p>
    <w:p w:rsidR="00A93DB6" w:rsidRPr="00DB4015" w:rsidRDefault="00375358" w:rsidP="00A93DB6">
      <w:pPr>
        <w:pStyle w:val="1-MainHeading"/>
        <w:spacing w:before="0" w:after="0"/>
      </w:pPr>
      <w:bookmarkStart w:id="3" w:name="_Toc82600261"/>
      <w:r>
        <w:t>5.13</w:t>
      </w:r>
      <w:r w:rsidR="007578EC">
        <w:t xml:space="preserve"> </w:t>
      </w:r>
      <w:r w:rsidR="00BB36A1" w:rsidRPr="001F6298">
        <w:t>SECUKINUMAB</w:t>
      </w:r>
      <w:r w:rsidR="00BB36A1">
        <w:t>,</w:t>
      </w:r>
      <w:r w:rsidR="00BB36A1">
        <w:br/>
      </w:r>
      <w:r w:rsidR="00A93DB6" w:rsidRPr="00DB4015">
        <w:t>Injection 75 mg in 0.5 mL pre-filled syringe,</w:t>
      </w:r>
      <w:bookmarkEnd w:id="3"/>
      <w:r w:rsidR="00A93DB6" w:rsidRPr="00DB4015">
        <w:t xml:space="preserve"> </w:t>
      </w:r>
    </w:p>
    <w:p w:rsidR="00A93DB6" w:rsidRPr="00E729E4" w:rsidRDefault="00A93DB6" w:rsidP="00E729E4">
      <w:pPr>
        <w:ind w:left="720"/>
        <w:rPr>
          <w:b/>
          <w:sz w:val="36"/>
          <w:szCs w:val="36"/>
        </w:rPr>
      </w:pPr>
      <w:r w:rsidRPr="00E729E4">
        <w:rPr>
          <w:b/>
          <w:sz w:val="36"/>
          <w:szCs w:val="36"/>
        </w:rPr>
        <w:t xml:space="preserve">Injection 150 mg in 1 mL pre-filled pen, </w:t>
      </w:r>
    </w:p>
    <w:p w:rsidR="00A93DB6" w:rsidRPr="00E729E4" w:rsidRDefault="00A93DB6" w:rsidP="00E729E4">
      <w:pPr>
        <w:ind w:left="720"/>
        <w:rPr>
          <w:b/>
          <w:sz w:val="36"/>
          <w:szCs w:val="36"/>
        </w:rPr>
      </w:pPr>
      <w:r w:rsidRPr="00E729E4">
        <w:rPr>
          <w:b/>
          <w:sz w:val="36"/>
          <w:szCs w:val="36"/>
        </w:rPr>
        <w:t>Injection 300 mg in 2 mL pre-filled pen,</w:t>
      </w:r>
    </w:p>
    <w:p w:rsidR="00BB36A1" w:rsidRPr="004A6040" w:rsidRDefault="00A93DB6" w:rsidP="00A93DB6">
      <w:pPr>
        <w:pStyle w:val="1-MainHeading"/>
        <w:spacing w:before="0" w:after="0"/>
        <w:ind w:firstLine="0"/>
      </w:pPr>
      <w:bookmarkStart w:id="4" w:name="_Toc82600262"/>
      <w:r w:rsidRPr="00DB4015">
        <w:t>Injection 300 mg in 2 mL pre-filled syringe,</w:t>
      </w:r>
      <w:r w:rsidR="00BB36A1" w:rsidRPr="00DB4015">
        <w:br/>
      </w:r>
      <w:r w:rsidRPr="00DB4015">
        <w:t>Cosentyx</w:t>
      </w:r>
      <w:r w:rsidR="00BB36A1" w:rsidRPr="00DB4015">
        <w:t xml:space="preserve"> ®,</w:t>
      </w:r>
      <w:r w:rsidR="00BB36A1" w:rsidRPr="00DB4015">
        <w:br/>
      </w:r>
      <w:r w:rsidR="00BB36A1" w:rsidRPr="009250DC">
        <w:t>Novartis Pharmaceuticals</w:t>
      </w:r>
      <w:r>
        <w:t xml:space="preserve"> </w:t>
      </w:r>
      <w:r w:rsidRPr="00A93DB6">
        <w:t>Australia Pty Limited</w:t>
      </w:r>
      <w:bookmarkEnd w:id="4"/>
    </w:p>
    <w:p w:rsidR="00BB36A1" w:rsidRPr="00407F2D" w:rsidRDefault="00BB36A1" w:rsidP="00BB36A1">
      <w:pPr>
        <w:pStyle w:val="2-SectionHeading"/>
      </w:pPr>
      <w:bookmarkStart w:id="5" w:name="_Toc82600264"/>
      <w:r w:rsidRPr="00407F2D">
        <w:t xml:space="preserve">Purpose of </w:t>
      </w:r>
      <w:r>
        <w:t>submission</w:t>
      </w:r>
      <w:bookmarkEnd w:id="5"/>
    </w:p>
    <w:p w:rsidR="001F3F0A" w:rsidRPr="008B1757" w:rsidRDefault="00BB36A1" w:rsidP="001F3F0A">
      <w:pPr>
        <w:pStyle w:val="3-BodyText"/>
      </w:pPr>
      <w:r w:rsidRPr="001F3F0A">
        <w:t>The</w:t>
      </w:r>
      <w:r w:rsidR="00C54F2F" w:rsidRPr="001F3F0A">
        <w:t xml:space="preserve"> Category 2</w:t>
      </w:r>
      <w:r w:rsidRPr="001F3F0A">
        <w:t xml:space="preserve"> submission requested Authority Required listing for secukinumab for the treatment of </w:t>
      </w:r>
      <w:r w:rsidR="00C54F2F" w:rsidRPr="001F3F0A">
        <w:t>p</w:t>
      </w:r>
      <w:r w:rsidRPr="001F3F0A">
        <w:t>aediatric patients with severe chronic plaque psoriasis</w:t>
      </w:r>
      <w:r w:rsidR="00A82BB2" w:rsidRPr="001F3F0A">
        <w:t xml:space="preserve"> (CPP)</w:t>
      </w:r>
      <w:r w:rsidRPr="001F3F0A">
        <w:t xml:space="preserve">. </w:t>
      </w:r>
    </w:p>
    <w:p w:rsidR="00BB36A1" w:rsidRDefault="00BB36A1" w:rsidP="00BB36A1">
      <w:pPr>
        <w:pStyle w:val="3-BodyText"/>
      </w:pPr>
      <w:r>
        <w:t xml:space="preserve">Listing was requested on the basis of a cost-minimisation </w:t>
      </w:r>
      <w:r w:rsidR="008F03BA">
        <w:t>approach</w:t>
      </w:r>
      <w:r w:rsidR="002B0D6D">
        <w:t xml:space="preserve"> (CMA)</w:t>
      </w:r>
      <w:r>
        <w:t xml:space="preserve"> </w:t>
      </w:r>
      <w:r w:rsidR="00C33CAD">
        <w:t xml:space="preserve">comparing secukinumab and </w:t>
      </w:r>
      <w:r>
        <w:t>ustekinumab as the near-market secondary comparator</w:t>
      </w:r>
      <w:r w:rsidR="002B0D6D">
        <w:t xml:space="preserve"> (Table 1)</w:t>
      </w:r>
      <w:r>
        <w:t xml:space="preserve">. </w:t>
      </w:r>
      <w:r w:rsidRPr="159B995A">
        <w:rPr>
          <w:color w:val="0066FF"/>
        </w:rPr>
        <w:t xml:space="preserve"> </w:t>
      </w:r>
    </w:p>
    <w:p w:rsidR="00BB36A1" w:rsidRPr="004A6040" w:rsidRDefault="00BB36A1" w:rsidP="002564B8">
      <w:pPr>
        <w:pStyle w:val="TableFigureHeading"/>
        <w:keepLines/>
        <w:rPr>
          <w:rStyle w:val="CommentReference"/>
          <w:b/>
          <w:szCs w:val="24"/>
        </w:rPr>
      </w:pPr>
      <w:r w:rsidRPr="004A6040">
        <w:rPr>
          <w:rStyle w:val="CommentReference"/>
          <w:b/>
          <w:szCs w:val="24"/>
        </w:rPr>
        <w:t xml:space="preserve">Table </w:t>
      </w:r>
      <w:r w:rsidR="002E50D0">
        <w:rPr>
          <w:rStyle w:val="CommentReference"/>
          <w:b/>
          <w:szCs w:val="24"/>
        </w:rPr>
        <w:t>1</w:t>
      </w:r>
      <w:r w:rsidRPr="004A6040">
        <w:rPr>
          <w:rStyle w:val="CommentReference"/>
          <w:b/>
          <w:szCs w:val="24"/>
        </w:rPr>
        <w:t>: Key components of the clinical issue addressed by the submission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BB36A1" w:rsidRPr="00691913" w:rsidTr="1CB8166F">
        <w:trPr>
          <w:cantSplit/>
          <w:tblHeader/>
        </w:trPr>
        <w:tc>
          <w:tcPr>
            <w:tcW w:w="924" w:type="pct"/>
            <w:shd w:val="clear" w:color="auto" w:fill="auto"/>
          </w:tcPr>
          <w:p w:rsidR="00BB36A1" w:rsidRPr="008B1757" w:rsidRDefault="00BB36A1" w:rsidP="002564B8">
            <w:pPr>
              <w:pStyle w:val="In-tableHeading"/>
              <w:keepLines/>
              <w:rPr>
                <w:szCs w:val="20"/>
              </w:rPr>
            </w:pPr>
            <w:r w:rsidRPr="008B1757">
              <w:t>Component</w:t>
            </w:r>
          </w:p>
        </w:tc>
        <w:tc>
          <w:tcPr>
            <w:tcW w:w="4076" w:type="pct"/>
            <w:shd w:val="clear" w:color="auto" w:fill="auto"/>
          </w:tcPr>
          <w:p w:rsidR="00BB36A1" w:rsidRPr="008B1757" w:rsidRDefault="00BB36A1" w:rsidP="002564B8">
            <w:pPr>
              <w:pStyle w:val="In-tableHeading"/>
              <w:keepLines/>
            </w:pPr>
            <w:r w:rsidRPr="008B1757">
              <w:t>Description</w:t>
            </w:r>
          </w:p>
        </w:tc>
      </w:tr>
      <w:tr w:rsidR="00BB36A1" w:rsidRPr="00691913" w:rsidTr="1CB8166F">
        <w:trPr>
          <w:cantSplit/>
        </w:trPr>
        <w:tc>
          <w:tcPr>
            <w:tcW w:w="924" w:type="pct"/>
            <w:shd w:val="clear" w:color="auto" w:fill="auto"/>
          </w:tcPr>
          <w:p w:rsidR="00BB36A1" w:rsidRPr="00691913" w:rsidRDefault="00BB36A1" w:rsidP="002564B8">
            <w:pPr>
              <w:pStyle w:val="TableText0"/>
              <w:keepLines/>
            </w:pPr>
            <w:r w:rsidRPr="00691913">
              <w:t>Population</w:t>
            </w:r>
          </w:p>
        </w:tc>
        <w:tc>
          <w:tcPr>
            <w:tcW w:w="4076" w:type="pct"/>
            <w:shd w:val="clear" w:color="auto" w:fill="auto"/>
          </w:tcPr>
          <w:p w:rsidR="00BB36A1" w:rsidRPr="001E1E86" w:rsidRDefault="00BB36A1" w:rsidP="002564B8">
            <w:pPr>
              <w:pStyle w:val="TableText0"/>
              <w:keepLines/>
            </w:pPr>
            <w:r>
              <w:t>Paediatric patients with severe chronic plaque psoriasis</w:t>
            </w:r>
          </w:p>
        </w:tc>
      </w:tr>
      <w:tr w:rsidR="00BB36A1" w:rsidRPr="00691913" w:rsidTr="1CB8166F">
        <w:trPr>
          <w:cantSplit/>
        </w:trPr>
        <w:tc>
          <w:tcPr>
            <w:tcW w:w="924" w:type="pct"/>
            <w:shd w:val="clear" w:color="auto" w:fill="auto"/>
          </w:tcPr>
          <w:p w:rsidR="00BB36A1" w:rsidRPr="00691913" w:rsidRDefault="00BB36A1" w:rsidP="002564B8">
            <w:pPr>
              <w:pStyle w:val="TableText0"/>
              <w:keepLines/>
            </w:pPr>
            <w:r w:rsidRPr="00691913">
              <w:t>Intervention</w:t>
            </w:r>
          </w:p>
        </w:tc>
        <w:tc>
          <w:tcPr>
            <w:tcW w:w="4076" w:type="pct"/>
            <w:shd w:val="clear" w:color="auto" w:fill="auto"/>
          </w:tcPr>
          <w:p w:rsidR="00BB36A1" w:rsidRPr="00691913" w:rsidRDefault="00BB36A1" w:rsidP="002564B8">
            <w:pPr>
              <w:pStyle w:val="TableText0"/>
              <w:keepLines/>
            </w:pPr>
            <w:r w:rsidRPr="00CE3ABB">
              <w:rPr>
                <w:szCs w:val="20"/>
              </w:rPr>
              <w:t xml:space="preserve">Secukinumab (based on body weight, at </w:t>
            </w:r>
            <w:r w:rsidR="005E2EA8">
              <w:rPr>
                <w:szCs w:val="20"/>
              </w:rPr>
              <w:t>W</w:t>
            </w:r>
            <w:r w:rsidRPr="00CE3ABB">
              <w:rPr>
                <w:szCs w:val="20"/>
              </w:rPr>
              <w:t>eek 0,1,2,3 and 4 followed by same dose every month).</w:t>
            </w:r>
          </w:p>
        </w:tc>
      </w:tr>
      <w:tr w:rsidR="00BB36A1" w:rsidRPr="00691913" w:rsidTr="1CB8166F">
        <w:trPr>
          <w:cantSplit/>
        </w:trPr>
        <w:tc>
          <w:tcPr>
            <w:tcW w:w="924" w:type="pct"/>
            <w:shd w:val="clear" w:color="auto" w:fill="auto"/>
          </w:tcPr>
          <w:p w:rsidR="00BB36A1" w:rsidRPr="00691913" w:rsidRDefault="00BB36A1" w:rsidP="002564B8">
            <w:pPr>
              <w:pStyle w:val="TableText0"/>
              <w:keepLines/>
            </w:pPr>
            <w:r w:rsidRPr="00691913">
              <w:t>Comparator</w:t>
            </w:r>
          </w:p>
        </w:tc>
        <w:tc>
          <w:tcPr>
            <w:tcW w:w="4076" w:type="pct"/>
            <w:shd w:val="clear" w:color="auto" w:fill="auto"/>
          </w:tcPr>
          <w:p w:rsidR="00BB36A1" w:rsidRPr="00691913" w:rsidRDefault="3CAE4298" w:rsidP="002564B8">
            <w:pPr>
              <w:pStyle w:val="TableText0"/>
              <w:keepLines/>
            </w:pPr>
            <w:r>
              <w:t>Etanercept (0.8 mg/kg, up to max. of 50</w:t>
            </w:r>
            <w:r w:rsidR="51F066AD">
              <w:t xml:space="preserve"> </w:t>
            </w:r>
            <w:r>
              <w:t>mg every week)</w:t>
            </w:r>
            <w:r w:rsidR="017733D7">
              <w:t xml:space="preserve"> as the main comparator</w:t>
            </w:r>
            <w:r>
              <w:t xml:space="preserve"> and ustekinumab (</w:t>
            </w:r>
            <w:r w:rsidR="00541E1C">
              <w:t>weight-based</w:t>
            </w:r>
            <w:r>
              <w:t xml:space="preserve"> dosing at </w:t>
            </w:r>
            <w:r w:rsidR="00DD7C69">
              <w:t>W</w:t>
            </w:r>
            <w:r>
              <w:t>eek 0,</w:t>
            </w:r>
            <w:r w:rsidR="6BC4D888" w:rsidRPr="001A0D66">
              <w:rPr>
                <w:iCs/>
              </w:rPr>
              <w:t>4</w:t>
            </w:r>
            <w:r>
              <w:t xml:space="preserve"> then every 12 weeks)</w:t>
            </w:r>
            <w:r w:rsidR="56FD5A9F" w:rsidRPr="06D6F7F8">
              <w:rPr>
                <w:vertAlign w:val="superscript"/>
              </w:rPr>
              <w:t>a</w:t>
            </w:r>
            <w:r w:rsidR="017733D7">
              <w:t xml:space="preserve"> as the near market secondary comparator</w:t>
            </w:r>
            <w:r>
              <w:t>.</w:t>
            </w:r>
          </w:p>
        </w:tc>
      </w:tr>
      <w:tr w:rsidR="00BB36A1" w:rsidRPr="00691913" w:rsidTr="1CB8166F">
        <w:trPr>
          <w:cantSplit/>
        </w:trPr>
        <w:tc>
          <w:tcPr>
            <w:tcW w:w="924" w:type="pct"/>
            <w:shd w:val="clear" w:color="auto" w:fill="auto"/>
          </w:tcPr>
          <w:p w:rsidR="00BB36A1" w:rsidRPr="00691913" w:rsidRDefault="00BB36A1" w:rsidP="002564B8">
            <w:pPr>
              <w:pStyle w:val="TableText0"/>
              <w:keepLines/>
            </w:pPr>
            <w:r w:rsidRPr="00691913">
              <w:t>Outcomes</w:t>
            </w:r>
          </w:p>
        </w:tc>
        <w:tc>
          <w:tcPr>
            <w:tcW w:w="4076" w:type="pct"/>
            <w:shd w:val="clear" w:color="auto" w:fill="auto"/>
          </w:tcPr>
          <w:p w:rsidR="00BB36A1" w:rsidRPr="001E1E86" w:rsidRDefault="3CAE4298" w:rsidP="002564B8">
            <w:pPr>
              <w:pStyle w:val="TableText0"/>
              <w:keepLines/>
              <w:rPr>
                <w:rFonts w:eastAsia="Times New Roman" w:cs="Arial"/>
                <w:snapToGrid w:val="0"/>
                <w:color w:val="0066FF"/>
              </w:rPr>
            </w:pPr>
            <w:r>
              <w:t>Clinical response: proportion of patients meeting PASI response criteria (PASI</w:t>
            </w:r>
            <w:r w:rsidR="141AA0C7">
              <w:t xml:space="preserve"> </w:t>
            </w:r>
            <w:r>
              <w:t xml:space="preserve">75 and 90) and IGA 0/1 response; change in safety and tolerability. </w:t>
            </w:r>
          </w:p>
        </w:tc>
      </w:tr>
      <w:tr w:rsidR="00BB36A1" w:rsidRPr="00691913" w:rsidTr="1CB8166F">
        <w:trPr>
          <w:cantSplit/>
        </w:trPr>
        <w:tc>
          <w:tcPr>
            <w:tcW w:w="924" w:type="pct"/>
            <w:shd w:val="clear" w:color="auto" w:fill="auto"/>
          </w:tcPr>
          <w:p w:rsidR="00BB36A1" w:rsidRPr="00691913" w:rsidRDefault="00BB36A1" w:rsidP="002564B8">
            <w:pPr>
              <w:pStyle w:val="TableText0"/>
              <w:keepLines/>
            </w:pPr>
            <w:r w:rsidRPr="00691913">
              <w:t>Clinical claim</w:t>
            </w:r>
          </w:p>
        </w:tc>
        <w:tc>
          <w:tcPr>
            <w:tcW w:w="4076" w:type="pct"/>
            <w:shd w:val="clear" w:color="auto" w:fill="auto"/>
          </w:tcPr>
          <w:p w:rsidR="00BB36A1" w:rsidRPr="001E1E86" w:rsidRDefault="00BB36A1" w:rsidP="002564B8">
            <w:pPr>
              <w:pStyle w:val="TableText0"/>
              <w:keepLines/>
              <w:rPr>
                <w:rFonts w:eastAsia="Times New Roman" w:cs="Arial"/>
                <w:bCs w:val="0"/>
                <w:snapToGrid w:val="0"/>
                <w:color w:val="0066FF"/>
                <w:szCs w:val="20"/>
              </w:rPr>
            </w:pPr>
            <w:r w:rsidRPr="00CE3ABB">
              <w:rPr>
                <w:szCs w:val="20"/>
              </w:rPr>
              <w:t xml:space="preserve">In paediatric patients with severe psoriasis, secukinumab demonstrates superior effectiveness compared with etanercept as assessed by statistically significant improvements in PASI 75, PASI 90 and IGA 0/1. </w:t>
            </w:r>
          </w:p>
        </w:tc>
      </w:tr>
    </w:tbl>
    <w:p w:rsidR="004F71C9" w:rsidRDefault="00BB36A1" w:rsidP="002564B8">
      <w:pPr>
        <w:pStyle w:val="TableFigureFooter"/>
        <w:keepNext/>
        <w:keepLines/>
      </w:pPr>
      <w:r>
        <w:t xml:space="preserve">Source: </w:t>
      </w:r>
      <w:r w:rsidRPr="000A26A3">
        <w:t>Table 1.1, p.26 of the submission.</w:t>
      </w:r>
    </w:p>
    <w:p w:rsidR="00D97F2D" w:rsidRPr="004A6040" w:rsidRDefault="004F71C9" w:rsidP="002564B8">
      <w:pPr>
        <w:pStyle w:val="TableFigureFooter"/>
        <w:keepNext/>
        <w:keepLines/>
        <w:rPr>
          <w:sz w:val="20"/>
          <w:szCs w:val="20"/>
        </w:rPr>
      </w:pPr>
      <w:r>
        <w:t xml:space="preserve">IGA = </w:t>
      </w:r>
      <w:r w:rsidRPr="785E6AF6">
        <w:rPr>
          <w:rFonts w:eastAsia="Arial Narrow" w:cs="Arial Narrow"/>
          <w:color w:val="000000" w:themeColor="text1"/>
        </w:rPr>
        <w:t>Investigator’s Global Assessment;</w:t>
      </w:r>
      <w:r>
        <w:t xml:space="preserve"> PASI = </w:t>
      </w:r>
      <w:r w:rsidRPr="004F71C9">
        <w:t>Psoriasis Area and Severity Index</w:t>
      </w:r>
      <w:r>
        <w:t>.</w:t>
      </w:r>
      <w:r w:rsidR="00BB36A1" w:rsidRPr="000A26A3">
        <w:t xml:space="preserve"> </w:t>
      </w:r>
    </w:p>
    <w:p w:rsidR="20762C63" w:rsidRDefault="057DA0E3" w:rsidP="002564B8">
      <w:pPr>
        <w:pStyle w:val="TableFigureFooter"/>
        <w:keepNext/>
        <w:keepLines/>
        <w:rPr>
          <w:szCs w:val="18"/>
        </w:rPr>
      </w:pPr>
      <w:r w:rsidRPr="06D6F7F8">
        <w:rPr>
          <w:szCs w:val="18"/>
          <w:vertAlign w:val="superscript"/>
        </w:rPr>
        <w:t>a</w:t>
      </w:r>
      <w:r w:rsidR="484E1FDC" w:rsidRPr="0DA0CBF8">
        <w:rPr>
          <w:szCs w:val="18"/>
        </w:rPr>
        <w:t xml:space="preserve"> </w:t>
      </w:r>
      <w:r w:rsidR="00331B51">
        <w:rPr>
          <w:szCs w:val="18"/>
        </w:rPr>
        <w:t>T</w:t>
      </w:r>
      <w:r w:rsidR="484E1FDC" w:rsidRPr="0DA0CBF8">
        <w:rPr>
          <w:szCs w:val="18"/>
        </w:rPr>
        <w:t>here was an error in the submission which stated ustekinumab had do</w:t>
      </w:r>
      <w:r w:rsidR="24571DCC" w:rsidRPr="0DA0CBF8">
        <w:rPr>
          <w:szCs w:val="18"/>
        </w:rPr>
        <w:t>s</w:t>
      </w:r>
      <w:r w:rsidR="484E1FDC" w:rsidRPr="0DA0CBF8">
        <w:rPr>
          <w:szCs w:val="18"/>
        </w:rPr>
        <w:t xml:space="preserve">ing at </w:t>
      </w:r>
      <w:r w:rsidR="48C79D42" w:rsidRPr="0DA0CBF8">
        <w:rPr>
          <w:szCs w:val="18"/>
        </w:rPr>
        <w:t>week 0,2 then every 12 weeks.</w:t>
      </w:r>
    </w:p>
    <w:p w:rsidR="00BB36A1" w:rsidRPr="006B188D" w:rsidRDefault="00BB36A1" w:rsidP="00BB36A1">
      <w:pPr>
        <w:pStyle w:val="2-SectionHeading"/>
      </w:pPr>
      <w:bookmarkStart w:id="6" w:name="_Toc82600265"/>
      <w:r w:rsidRPr="006B188D">
        <w:t>Background</w:t>
      </w:r>
      <w:bookmarkEnd w:id="6"/>
    </w:p>
    <w:p w:rsidR="00BB36A1" w:rsidRPr="006B188D" w:rsidRDefault="00BB36A1" w:rsidP="00BB36A1">
      <w:pPr>
        <w:pStyle w:val="4-SubsectionHeading"/>
      </w:pPr>
      <w:bookmarkStart w:id="7" w:name="_Toc22897638"/>
      <w:bookmarkStart w:id="8" w:name="_Toc82600266"/>
      <w:r w:rsidRPr="006B188D">
        <w:t>Registration status</w:t>
      </w:r>
      <w:bookmarkEnd w:id="7"/>
      <w:bookmarkEnd w:id="8"/>
    </w:p>
    <w:p w:rsidR="00BB36A1" w:rsidRPr="0000305F" w:rsidRDefault="00833C9E" w:rsidP="002F7C4D">
      <w:pPr>
        <w:pStyle w:val="3-BodyText"/>
      </w:pPr>
      <w:r w:rsidRPr="00243D69">
        <w:rPr>
          <w:rFonts w:eastAsia="Calibri"/>
          <w:b/>
        </w:rPr>
        <w:t>TGA status at time of</w:t>
      </w:r>
      <w:r w:rsidR="00243D69" w:rsidRPr="00243D69">
        <w:rPr>
          <w:rFonts w:eastAsia="Calibri"/>
          <w:b/>
        </w:rPr>
        <w:t xml:space="preserve"> PBAC consideration</w:t>
      </w:r>
      <w:r w:rsidRPr="00243D69">
        <w:rPr>
          <w:rFonts w:eastAsia="Calibri"/>
          <w:b/>
        </w:rPr>
        <w:t xml:space="preserve">: </w:t>
      </w:r>
      <w:r w:rsidR="00BB36A1" w:rsidRPr="00243D69">
        <w:t>The</w:t>
      </w:r>
      <w:r w:rsidR="00BB36A1" w:rsidRPr="0000305F">
        <w:t xml:space="preserve"> submission was made under the TGA/PBAC Parallel Process</w:t>
      </w:r>
      <w:r w:rsidR="00B73924" w:rsidRPr="0000305F">
        <w:t>.</w:t>
      </w:r>
      <w:r w:rsidR="00BB36A1" w:rsidRPr="0000305F">
        <w:t xml:space="preserve"> </w:t>
      </w:r>
      <w:r w:rsidR="00B73924" w:rsidRPr="0000305F">
        <w:t xml:space="preserve">The </w:t>
      </w:r>
      <w:r w:rsidR="000E4205" w:rsidRPr="0000305F">
        <w:t>TGA application requested</w:t>
      </w:r>
      <w:r w:rsidR="00B73924" w:rsidRPr="0000305F">
        <w:t xml:space="preserve"> an </w:t>
      </w:r>
      <w:r w:rsidR="00BB36A1" w:rsidRPr="0000305F">
        <w:t>exten</w:t>
      </w:r>
      <w:r w:rsidR="00B73924" w:rsidRPr="0000305F">
        <w:t>sion of</w:t>
      </w:r>
      <w:r w:rsidR="00015E7F" w:rsidRPr="0000305F">
        <w:t xml:space="preserve"> the</w:t>
      </w:r>
      <w:r w:rsidR="00BB36A1" w:rsidRPr="0000305F">
        <w:t xml:space="preserve"> indication to moderate to severe paediatric plaque psoriasis, </w:t>
      </w:r>
      <w:r w:rsidR="002B0D6D" w:rsidRPr="0000305F">
        <w:t xml:space="preserve">and </w:t>
      </w:r>
      <w:r w:rsidR="00BB36A1" w:rsidRPr="0000305F">
        <w:t>also to register a new strength (75</w:t>
      </w:r>
      <w:r w:rsidR="002B0D6D" w:rsidRPr="0000305F">
        <w:t xml:space="preserve"> </w:t>
      </w:r>
      <w:r w:rsidR="00BB36A1" w:rsidRPr="0000305F">
        <w:t>mg/0.5</w:t>
      </w:r>
      <w:r w:rsidR="002B0D6D" w:rsidRPr="0000305F">
        <w:t xml:space="preserve"> </w:t>
      </w:r>
      <w:r w:rsidR="00962BBF" w:rsidRPr="0000305F">
        <w:t>m</w:t>
      </w:r>
      <w:r w:rsidR="00BB36A1" w:rsidRPr="0000305F">
        <w:t>L syringe)</w:t>
      </w:r>
      <w:r w:rsidR="00015E7F" w:rsidRPr="0000305F">
        <w:t>. A concurrent separate TGA application</w:t>
      </w:r>
      <w:r w:rsidR="008B23F4">
        <w:t xml:space="preserve"> was</w:t>
      </w:r>
      <w:r w:rsidR="00015E7F" w:rsidRPr="0000305F">
        <w:t xml:space="preserve"> made for an additional strength</w:t>
      </w:r>
      <w:r w:rsidR="00BB36A1" w:rsidRPr="0000305F">
        <w:t xml:space="preserve"> (300</w:t>
      </w:r>
      <w:r w:rsidR="002B0D6D" w:rsidRPr="0000305F">
        <w:t xml:space="preserve"> </w:t>
      </w:r>
      <w:r w:rsidR="00BB36A1" w:rsidRPr="0000305F">
        <w:t>mg/2</w:t>
      </w:r>
      <w:r w:rsidR="008A0D87" w:rsidRPr="0000305F">
        <w:t xml:space="preserve"> m</w:t>
      </w:r>
      <w:r w:rsidR="00BB36A1" w:rsidRPr="0000305F">
        <w:t>L</w:t>
      </w:r>
      <w:r w:rsidR="00015E7F" w:rsidRPr="0000305F">
        <w:t>) in 2 dosage forms</w:t>
      </w:r>
      <w:r w:rsidR="00BB36A1" w:rsidRPr="0000305F">
        <w:t xml:space="preserve"> </w:t>
      </w:r>
      <w:r w:rsidR="00015E7F" w:rsidRPr="0000305F">
        <w:t>(</w:t>
      </w:r>
      <w:r w:rsidR="00BB36A1" w:rsidRPr="0000305F">
        <w:t>syringe and pen device).</w:t>
      </w:r>
      <w:r w:rsidR="00B156CE">
        <w:t xml:space="preserve"> At the time of PBAC consideration, the Clinical Evaluation Report (</w:t>
      </w:r>
      <w:r w:rsidR="003318A6">
        <w:t xml:space="preserve">Second </w:t>
      </w:r>
      <w:r w:rsidR="00B156CE">
        <w:t xml:space="preserve">Round for </w:t>
      </w:r>
      <w:r w:rsidR="003318A6">
        <w:t xml:space="preserve">the </w:t>
      </w:r>
      <w:r w:rsidR="00B156CE">
        <w:t xml:space="preserve">paediatric psoriasis application, </w:t>
      </w:r>
      <w:r w:rsidR="003318A6">
        <w:t xml:space="preserve">First </w:t>
      </w:r>
      <w:r w:rsidR="00B156CE">
        <w:t xml:space="preserve">Round for </w:t>
      </w:r>
      <w:r w:rsidR="003318A6">
        <w:t xml:space="preserve">the </w:t>
      </w:r>
      <w:r w:rsidR="00B156CE">
        <w:t>additional strength application</w:t>
      </w:r>
      <w:r w:rsidR="00BA0200">
        <w:t xml:space="preserve">) was </w:t>
      </w:r>
      <w:r w:rsidR="00B156CE">
        <w:t xml:space="preserve">available for both applications.   </w:t>
      </w:r>
    </w:p>
    <w:p w:rsidR="00243D69" w:rsidRPr="008B23F4" w:rsidRDefault="00C74606" w:rsidP="000E4205">
      <w:pPr>
        <w:pStyle w:val="3-BodyText"/>
      </w:pPr>
      <w:r>
        <w:lastRenderedPageBreak/>
        <w:t xml:space="preserve">The </w:t>
      </w:r>
      <w:r w:rsidR="00B156CE">
        <w:t xml:space="preserve">TGA </w:t>
      </w:r>
      <w:r>
        <w:t xml:space="preserve">Delegate </w:t>
      </w:r>
      <w:r w:rsidR="00B156CE">
        <w:t xml:space="preserve">provided a file note prior to PBAC consideration confirming the applications would not be considered by the </w:t>
      </w:r>
      <w:r>
        <w:t xml:space="preserve">Advisory Committee on Medicines </w:t>
      </w:r>
      <w:r w:rsidR="00B156CE">
        <w:t>and</w:t>
      </w:r>
      <w:r w:rsidR="00D9348F">
        <w:t xml:space="preserve"> stated</w:t>
      </w:r>
      <w:r w:rsidR="00B156CE">
        <w:t xml:space="preserve"> </w:t>
      </w:r>
      <w:r w:rsidR="008B23F4">
        <w:t>“</w:t>
      </w:r>
      <w:r w:rsidR="008B23F4">
        <w:rPr>
          <w:color w:val="000000"/>
        </w:rPr>
        <w:t xml:space="preserve">no major issues or concerns are noted with the efficacy and safety data that the </w:t>
      </w:r>
      <w:r w:rsidR="004B42F9">
        <w:rPr>
          <w:color w:val="000000"/>
        </w:rPr>
        <w:t>S</w:t>
      </w:r>
      <w:r w:rsidR="008B23F4">
        <w:rPr>
          <w:color w:val="000000"/>
        </w:rPr>
        <w:t>ponsor has provided to support the extension of indication.” The Delegate stated:</w:t>
      </w:r>
    </w:p>
    <w:p w:rsidR="008B23F4" w:rsidRDefault="008B23F4" w:rsidP="008B23F4">
      <w:pPr>
        <w:pStyle w:val="3-BodyText"/>
        <w:numPr>
          <w:ilvl w:val="0"/>
          <w:numId w:val="0"/>
        </w:numPr>
        <w:ind w:left="1440"/>
      </w:pPr>
      <w:r>
        <w:rPr>
          <w:color w:val="000000"/>
        </w:rPr>
        <w:t xml:space="preserve">“The [TGA] evaluator has recommended the indication as </w:t>
      </w:r>
      <w:r w:rsidRPr="008B23F4">
        <w:rPr>
          <w:bCs/>
          <w:i/>
          <w:iCs/>
          <w:color w:val="000000"/>
        </w:rPr>
        <w:t>COSENTYX is indicated for the treatment of moderate to severe plaque psoriasis in patients 6 years and older who are candidates for systemic therapy or phototherapy.</w:t>
      </w:r>
      <w:r>
        <w:rPr>
          <w:b/>
          <w:bCs/>
          <w:i/>
          <w:iCs/>
          <w:color w:val="000000"/>
        </w:rPr>
        <w:t xml:space="preserve"> </w:t>
      </w:r>
      <w:r>
        <w:rPr>
          <w:color w:val="000000"/>
        </w:rPr>
        <w:t>At this stage</w:t>
      </w:r>
      <w:r>
        <w:rPr>
          <w:b/>
          <w:bCs/>
          <w:i/>
          <w:iCs/>
          <w:color w:val="000000"/>
        </w:rPr>
        <w:t xml:space="preserve">, </w:t>
      </w:r>
      <w:r>
        <w:rPr>
          <w:color w:val="000000"/>
        </w:rPr>
        <w:t>as the delegate for this submission, I agree with the evaluator’s recommendation.”</w:t>
      </w:r>
    </w:p>
    <w:p w:rsidR="00D4697F" w:rsidRDefault="00D4697F" w:rsidP="00D4697F">
      <w:pPr>
        <w:pStyle w:val="3-BodyText"/>
      </w:pPr>
      <w:r w:rsidRPr="00D4697F">
        <w:t xml:space="preserve">The PBAC noted that paediatric patients over 50 kg may </w:t>
      </w:r>
      <w:r w:rsidR="00427FC1">
        <w:t>require a</w:t>
      </w:r>
      <w:r w:rsidRPr="00D4697F">
        <w:t xml:space="preserve"> 300 mg</w:t>
      </w:r>
      <w:r w:rsidR="00427FC1">
        <w:t xml:space="preserve"> dose</w:t>
      </w:r>
      <w:r w:rsidRPr="00D4697F">
        <w:t>. The PBAC supported the PBS listing of the 300 mg strength for paediatric patients if the following wording is included in the paediatric psoriasis</w:t>
      </w:r>
      <w:r w:rsidR="00427FC1">
        <w:t xml:space="preserve"> dose section</w:t>
      </w:r>
      <w:r w:rsidRPr="00D4697F">
        <w:t xml:space="preserve"> in the final Product Information: "Each 300 mg dose is given as one subcutaneous injection of 300 mg or as two subcutaneous injections of 150 mg."</w:t>
      </w:r>
    </w:p>
    <w:p w:rsidR="00BB36A1" w:rsidRPr="0000305F" w:rsidRDefault="00B73924" w:rsidP="000E4205">
      <w:pPr>
        <w:pStyle w:val="3-BodyText"/>
      </w:pPr>
      <w:r w:rsidRPr="0000305F">
        <w:t xml:space="preserve">Secukinumab was TGA registered on 8 January 2015 for moderate to severe </w:t>
      </w:r>
      <w:r w:rsidR="00917D41" w:rsidRPr="0000305F">
        <w:t>plaque psoriasis</w:t>
      </w:r>
      <w:r w:rsidRPr="0000305F">
        <w:t xml:space="preserve"> in </w:t>
      </w:r>
      <w:r w:rsidR="00917D41" w:rsidRPr="0000305F">
        <w:t xml:space="preserve">adult </w:t>
      </w:r>
      <w:r w:rsidRPr="0000305F">
        <w:t>patients.</w:t>
      </w:r>
    </w:p>
    <w:p w:rsidR="008F4EC0" w:rsidRDefault="008F4EC0" w:rsidP="008F4EC0">
      <w:pPr>
        <w:pStyle w:val="4-SubsectionHeading"/>
      </w:pPr>
      <w:bookmarkStart w:id="9" w:name="_Toc82600267"/>
      <w:r>
        <w:t>Previous PBAC consideration</w:t>
      </w:r>
      <w:bookmarkEnd w:id="9"/>
    </w:p>
    <w:p w:rsidR="00263C85" w:rsidRPr="00041202" w:rsidRDefault="00B53434" w:rsidP="00D9348F">
      <w:pPr>
        <w:pStyle w:val="3-BodyText"/>
      </w:pPr>
      <w:r w:rsidRPr="00041202">
        <w:t>This is the first consideration of secukinumab by the PBAC for this indication. Secukinumab is currently listed on the PBS for the treatment of severe CPP, ankylosing spondylitis, severe psoriatic arthritis and non-radiographic axial spondyloarthritis in patients 18 years of age and over.</w:t>
      </w:r>
    </w:p>
    <w:p w:rsidR="00BB36A1" w:rsidRPr="00882085" w:rsidRDefault="00BB36A1" w:rsidP="00BB36A1">
      <w:pPr>
        <w:pStyle w:val="2-SectionHeading"/>
      </w:pPr>
      <w:bookmarkStart w:id="10" w:name="_Toc82600268"/>
      <w:r>
        <w:t>Requested listing</w:t>
      </w:r>
      <w:bookmarkEnd w:id="10"/>
    </w:p>
    <w:p w:rsidR="00BB36A1" w:rsidRPr="0000305F" w:rsidRDefault="00360C70" w:rsidP="00360C70">
      <w:pPr>
        <w:pStyle w:val="3-BodyText"/>
      </w:pPr>
      <w:r w:rsidRPr="0000305F">
        <w:t>The requested abridged listing for secukinumab is provided below (for initial phase patients with no prior biologic treatment, and for continuing phase treatment). The submission also requested a restriction for change or recommencement of treatment</w:t>
      </w:r>
      <w:r w:rsidR="006B5E1E" w:rsidRPr="0000305F">
        <w:t xml:space="preserve"> of &lt;5 years and &gt;5 years</w:t>
      </w:r>
      <w:r w:rsidRPr="0000305F">
        <w:t xml:space="preserve">, a balance of supply restriction for both initial treatment and continuing treatment, and a grandfathering provision for patients treated as part of the </w:t>
      </w:r>
      <w:r w:rsidR="00BF3057" w:rsidRPr="0000305F">
        <w:t>S</w:t>
      </w:r>
      <w:r w:rsidRPr="0000305F">
        <w:t xml:space="preserve">ponsor’s </w:t>
      </w:r>
      <w:r w:rsidR="00BF3057" w:rsidRPr="0000305F">
        <w:t xml:space="preserve">patient familiarisation and </w:t>
      </w:r>
      <w:r w:rsidRPr="0000305F">
        <w:t>compassionate access program</w:t>
      </w:r>
      <w:r w:rsidR="00BF3057" w:rsidRPr="0000305F">
        <w:t>s</w:t>
      </w:r>
      <w:r w:rsidRPr="0000305F">
        <w:t xml:space="preserve">. </w:t>
      </w:r>
      <w:r w:rsidR="006B5E1E" w:rsidRPr="0000305F">
        <w:t>While t</w:t>
      </w:r>
      <w:r w:rsidRPr="0000305F">
        <w:t xml:space="preserve">he submission </w:t>
      </w:r>
      <w:r w:rsidR="006B5E1E" w:rsidRPr="0000305F">
        <w:t>did not request</w:t>
      </w:r>
      <w:r w:rsidRPr="0000305F">
        <w:t xml:space="preserve"> a Special Pricing Arrangement</w:t>
      </w:r>
      <w:r w:rsidR="006B5E1E" w:rsidRPr="0000305F">
        <w:t xml:space="preserve"> (SPA), it is noted that</w:t>
      </w:r>
      <w:r w:rsidR="001F6F64" w:rsidRPr="0000305F">
        <w:t xml:space="preserve"> a SPA applies to</w:t>
      </w:r>
      <w:r w:rsidR="006B5E1E" w:rsidRPr="0000305F">
        <w:t xml:space="preserve"> the secukinumab listing</w:t>
      </w:r>
      <w:r w:rsidR="001F6F64" w:rsidRPr="0000305F">
        <w:t xml:space="preserve"> for adults in</w:t>
      </w:r>
      <w:r w:rsidR="006B5E1E" w:rsidRPr="0000305F">
        <w:t xml:space="preserve"> severe </w:t>
      </w:r>
      <w:r w:rsidR="001F6F64" w:rsidRPr="0000305F">
        <w:t>CPP</w:t>
      </w:r>
      <w:r w:rsidRPr="0000305F">
        <w:t>.</w:t>
      </w:r>
    </w:p>
    <w:p w:rsidR="00B56103" w:rsidRDefault="00B56103">
      <w:r>
        <w:br w:type="page"/>
      </w:r>
    </w:p>
    <w:tbl>
      <w:tblPr>
        <w:tblW w:w="9017" w:type="dxa"/>
        <w:tblInd w:w="15" w:type="dxa"/>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5"/>
        <w:gridCol w:w="345"/>
        <w:gridCol w:w="845"/>
        <w:gridCol w:w="1228"/>
        <w:gridCol w:w="1183"/>
        <w:gridCol w:w="1597"/>
        <w:gridCol w:w="1002"/>
        <w:gridCol w:w="1002"/>
      </w:tblGrid>
      <w:tr w:rsidR="54157377" w:rsidTr="00B535C8">
        <w:trPr>
          <w:trHeight w:val="450"/>
        </w:trPr>
        <w:tc>
          <w:tcPr>
            <w:tcW w:w="2160" w:type="dxa"/>
            <w:gridSpan w:val="2"/>
            <w:vAlign w:val="center"/>
          </w:tcPr>
          <w:p w:rsidR="54157377" w:rsidRDefault="54157377">
            <w:r w:rsidRPr="54157377">
              <w:rPr>
                <w:rFonts w:ascii="Arial Narrow" w:eastAsia="Arial Narrow" w:hAnsi="Arial Narrow" w:cs="Arial Narrow"/>
                <w:b/>
                <w:bCs/>
                <w:sz w:val="20"/>
                <w:szCs w:val="20"/>
              </w:rPr>
              <w:lastRenderedPageBreak/>
              <w:t>Name, Restriction,</w:t>
            </w:r>
            <w:r w:rsidRPr="54157377">
              <w:rPr>
                <w:rFonts w:ascii="Arial Narrow" w:eastAsia="Arial Narrow" w:hAnsi="Arial Narrow" w:cs="Arial Narrow"/>
                <w:sz w:val="20"/>
                <w:szCs w:val="20"/>
              </w:rPr>
              <w:t xml:space="preserve"> </w:t>
            </w:r>
          </w:p>
          <w:p w:rsidR="54157377" w:rsidRDefault="54157377">
            <w:r w:rsidRPr="54157377">
              <w:rPr>
                <w:rFonts w:ascii="Arial Narrow" w:eastAsia="Arial Narrow" w:hAnsi="Arial Narrow" w:cs="Arial Narrow"/>
                <w:b/>
                <w:bCs/>
                <w:sz w:val="20"/>
                <w:szCs w:val="20"/>
              </w:rPr>
              <w:t>Manner of administration and form</w:t>
            </w:r>
            <w:r w:rsidRPr="54157377">
              <w:rPr>
                <w:rFonts w:ascii="Arial Narrow" w:eastAsia="Arial Narrow" w:hAnsi="Arial Narrow" w:cs="Arial Narrow"/>
                <w:sz w:val="20"/>
                <w:szCs w:val="20"/>
              </w:rPr>
              <w:t xml:space="preserve"> </w:t>
            </w:r>
          </w:p>
        </w:tc>
        <w:tc>
          <w:tcPr>
            <w:tcW w:w="845" w:type="dxa"/>
            <w:vAlign w:val="center"/>
          </w:tcPr>
          <w:p w:rsidR="54157377" w:rsidRDefault="54157377" w:rsidP="54157377">
            <w:pPr>
              <w:jc w:val="center"/>
            </w:pPr>
            <w:r w:rsidRPr="54157377">
              <w:rPr>
                <w:rFonts w:ascii="Arial Narrow" w:eastAsia="Arial Narrow" w:hAnsi="Arial Narrow" w:cs="Arial Narrow"/>
                <w:b/>
                <w:bCs/>
                <w:sz w:val="20"/>
                <w:szCs w:val="20"/>
              </w:rPr>
              <w:t>Max.</w:t>
            </w:r>
            <w:r w:rsidRPr="54157377">
              <w:rPr>
                <w:rFonts w:ascii="Arial Narrow" w:eastAsia="Arial Narrow" w:hAnsi="Arial Narrow" w:cs="Arial Narrow"/>
                <w:sz w:val="20"/>
                <w:szCs w:val="20"/>
              </w:rPr>
              <w:t xml:space="preserve"> </w:t>
            </w:r>
          </w:p>
          <w:p w:rsidR="54157377" w:rsidRDefault="54157377" w:rsidP="54157377">
            <w:pPr>
              <w:jc w:val="center"/>
            </w:pPr>
            <w:r w:rsidRPr="54157377">
              <w:rPr>
                <w:rFonts w:ascii="Arial Narrow" w:eastAsia="Arial Narrow" w:hAnsi="Arial Narrow" w:cs="Arial Narrow"/>
                <w:b/>
                <w:bCs/>
                <w:sz w:val="20"/>
                <w:szCs w:val="20"/>
              </w:rPr>
              <w:t xml:space="preserve">Qty (units) </w:t>
            </w:r>
            <w:r w:rsidRPr="54157377">
              <w:rPr>
                <w:rFonts w:ascii="Arial Narrow" w:eastAsia="Arial Narrow" w:hAnsi="Arial Narrow" w:cs="Arial Narrow"/>
                <w:sz w:val="20"/>
                <w:szCs w:val="20"/>
              </w:rPr>
              <w:t xml:space="preserve"> </w:t>
            </w:r>
          </w:p>
        </w:tc>
        <w:tc>
          <w:tcPr>
            <w:tcW w:w="1228" w:type="dxa"/>
            <w:vAlign w:val="center"/>
          </w:tcPr>
          <w:p w:rsidR="54157377" w:rsidRDefault="54157377" w:rsidP="54157377">
            <w:pPr>
              <w:jc w:val="center"/>
            </w:pPr>
            <w:r w:rsidRPr="54157377">
              <w:rPr>
                <w:rFonts w:ascii="Arial Narrow" w:eastAsia="Arial Narrow" w:hAnsi="Arial Narrow" w:cs="Arial Narrow"/>
                <w:b/>
                <w:bCs/>
                <w:sz w:val="20"/>
                <w:szCs w:val="20"/>
              </w:rPr>
              <w:t>№.of</w:t>
            </w:r>
            <w:r w:rsidRPr="54157377">
              <w:rPr>
                <w:rFonts w:ascii="Arial Narrow" w:eastAsia="Arial Narrow" w:hAnsi="Arial Narrow" w:cs="Arial Narrow"/>
                <w:sz w:val="20"/>
                <w:szCs w:val="20"/>
              </w:rPr>
              <w:t xml:space="preserve"> </w:t>
            </w:r>
          </w:p>
          <w:p w:rsidR="54157377" w:rsidRDefault="54157377" w:rsidP="54157377">
            <w:pPr>
              <w:jc w:val="center"/>
            </w:pPr>
            <w:r w:rsidRPr="54157377">
              <w:rPr>
                <w:rFonts w:ascii="Arial Narrow" w:eastAsia="Arial Narrow" w:hAnsi="Arial Narrow" w:cs="Arial Narrow"/>
                <w:b/>
                <w:bCs/>
                <w:sz w:val="20"/>
                <w:szCs w:val="20"/>
              </w:rPr>
              <w:t>Rpts</w:t>
            </w:r>
            <w:r w:rsidRPr="54157377">
              <w:rPr>
                <w:rFonts w:ascii="Arial Narrow" w:eastAsia="Arial Narrow" w:hAnsi="Arial Narrow" w:cs="Arial Narrow"/>
                <w:sz w:val="20"/>
                <w:szCs w:val="20"/>
              </w:rPr>
              <w:t xml:space="preserve"> </w:t>
            </w:r>
          </w:p>
        </w:tc>
        <w:tc>
          <w:tcPr>
            <w:tcW w:w="2780" w:type="dxa"/>
            <w:gridSpan w:val="2"/>
            <w:vAlign w:val="center"/>
          </w:tcPr>
          <w:p w:rsidR="54157377" w:rsidRDefault="54157377" w:rsidP="54157377">
            <w:pPr>
              <w:jc w:val="center"/>
            </w:pPr>
            <w:r w:rsidRPr="54157377">
              <w:rPr>
                <w:rFonts w:ascii="Arial Narrow" w:eastAsia="Arial Narrow" w:hAnsi="Arial Narrow" w:cs="Arial Narrow"/>
                <w:b/>
                <w:bCs/>
                <w:sz w:val="20"/>
                <w:szCs w:val="20"/>
              </w:rPr>
              <w:t xml:space="preserve">Dispensed Price for Max. Qty </w:t>
            </w:r>
            <w:r w:rsidRPr="54157377">
              <w:rPr>
                <w:rFonts w:ascii="Arial Narrow" w:eastAsia="Arial Narrow" w:hAnsi="Arial Narrow" w:cs="Arial Narrow"/>
                <w:sz w:val="20"/>
                <w:szCs w:val="20"/>
              </w:rPr>
              <w:t xml:space="preserve"> </w:t>
            </w:r>
          </w:p>
        </w:tc>
        <w:tc>
          <w:tcPr>
            <w:tcW w:w="2004" w:type="dxa"/>
            <w:gridSpan w:val="2"/>
            <w:vAlign w:val="center"/>
          </w:tcPr>
          <w:p w:rsidR="54157377" w:rsidRDefault="54157377" w:rsidP="54157377">
            <w:pPr>
              <w:jc w:val="center"/>
            </w:pPr>
            <w:r w:rsidRPr="54157377">
              <w:rPr>
                <w:rFonts w:ascii="Arial Narrow" w:eastAsia="Arial Narrow" w:hAnsi="Arial Narrow" w:cs="Arial Narrow"/>
                <w:b/>
                <w:bCs/>
                <w:sz w:val="20"/>
                <w:szCs w:val="20"/>
              </w:rPr>
              <w:t>Proprietary Name and Manufacturer</w:t>
            </w:r>
            <w:r w:rsidRPr="54157377">
              <w:rPr>
                <w:rFonts w:ascii="Arial Narrow" w:eastAsia="Arial Narrow" w:hAnsi="Arial Narrow" w:cs="Arial Narrow"/>
                <w:sz w:val="20"/>
                <w:szCs w:val="20"/>
              </w:rPr>
              <w:t xml:space="preserve"> </w:t>
            </w:r>
          </w:p>
        </w:tc>
      </w:tr>
      <w:tr w:rsidR="008D31E3" w:rsidTr="00B535C8">
        <w:trPr>
          <w:trHeight w:val="555"/>
        </w:trPr>
        <w:tc>
          <w:tcPr>
            <w:tcW w:w="2160" w:type="dxa"/>
            <w:gridSpan w:val="2"/>
            <w:vAlign w:val="center"/>
          </w:tcPr>
          <w:p w:rsidR="54157377" w:rsidRDefault="54157377">
            <w:r w:rsidRPr="54157377">
              <w:rPr>
                <w:rFonts w:ascii="Arial Narrow" w:eastAsia="Arial Narrow" w:hAnsi="Arial Narrow" w:cs="Arial Narrow"/>
                <w:color w:val="000000" w:themeColor="text1"/>
                <w:sz w:val="20"/>
                <w:szCs w:val="20"/>
              </w:rPr>
              <w:t xml:space="preserve">Secukinumab </w:t>
            </w:r>
          </w:p>
          <w:p w:rsidR="54157377" w:rsidRDefault="54157377">
            <w:r w:rsidRPr="54157377">
              <w:rPr>
                <w:rFonts w:ascii="Arial Narrow" w:eastAsia="Arial Narrow" w:hAnsi="Arial Narrow" w:cs="Arial Narrow"/>
                <w:color w:val="000000" w:themeColor="text1"/>
                <w:sz w:val="19"/>
                <w:szCs w:val="19"/>
              </w:rPr>
              <w:t xml:space="preserve">Injection, 75mg/0.5mL, 150mg/1mL, 300mg/2mL </w:t>
            </w:r>
          </w:p>
        </w:tc>
        <w:tc>
          <w:tcPr>
            <w:tcW w:w="845" w:type="dxa"/>
            <w:vAlign w:val="center"/>
          </w:tcPr>
          <w:p w:rsidR="54157377" w:rsidRDefault="54157377" w:rsidP="54157377">
            <w:pPr>
              <w:jc w:val="center"/>
            </w:pPr>
            <w:r w:rsidRPr="54157377">
              <w:rPr>
                <w:rFonts w:ascii="Arial Narrow" w:eastAsia="Arial Narrow" w:hAnsi="Arial Narrow" w:cs="Arial Narrow"/>
                <w:sz w:val="20"/>
                <w:szCs w:val="20"/>
              </w:rPr>
              <w:t xml:space="preserve">1 </w:t>
            </w:r>
          </w:p>
        </w:tc>
        <w:tc>
          <w:tcPr>
            <w:tcW w:w="1228" w:type="dxa"/>
            <w:vAlign w:val="center"/>
          </w:tcPr>
          <w:p w:rsidR="54157377" w:rsidRDefault="54157377" w:rsidP="54157377">
            <w:pPr>
              <w:jc w:val="center"/>
            </w:pPr>
            <w:r w:rsidRPr="54157377">
              <w:rPr>
                <w:rFonts w:ascii="Arial Narrow" w:eastAsia="Arial Narrow" w:hAnsi="Arial Narrow" w:cs="Arial Narrow"/>
                <w:sz w:val="20"/>
                <w:szCs w:val="20"/>
              </w:rPr>
              <w:t xml:space="preserve">0 (initial) </w:t>
            </w:r>
          </w:p>
          <w:p w:rsidR="54157377" w:rsidRDefault="00F82240" w:rsidP="54157377">
            <w:pPr>
              <w:jc w:val="center"/>
            </w:pPr>
            <w:r>
              <w:rPr>
                <w:rFonts w:ascii="Arial Narrow" w:eastAsia="Arial Narrow" w:hAnsi="Arial Narrow" w:cs="Arial Narrow"/>
                <w:sz w:val="20"/>
                <w:szCs w:val="20"/>
              </w:rPr>
              <w:t>3</w:t>
            </w:r>
            <w:r w:rsidR="54157377" w:rsidRPr="54157377">
              <w:rPr>
                <w:rFonts w:ascii="Arial Narrow" w:eastAsia="Arial Narrow" w:hAnsi="Arial Narrow" w:cs="Arial Narrow"/>
                <w:sz w:val="20"/>
                <w:szCs w:val="20"/>
              </w:rPr>
              <w:t xml:space="preserve"> (initial) </w:t>
            </w:r>
          </w:p>
          <w:p w:rsidR="54157377" w:rsidRDefault="54157377" w:rsidP="54157377">
            <w:pPr>
              <w:jc w:val="center"/>
            </w:pPr>
            <w:r w:rsidRPr="54157377">
              <w:rPr>
                <w:rFonts w:ascii="Arial Narrow" w:eastAsia="Arial Narrow" w:hAnsi="Arial Narrow" w:cs="Arial Narrow"/>
                <w:sz w:val="20"/>
                <w:szCs w:val="20"/>
              </w:rPr>
              <w:t xml:space="preserve">5 (continuing) </w:t>
            </w:r>
          </w:p>
        </w:tc>
        <w:tc>
          <w:tcPr>
            <w:tcW w:w="2780" w:type="dxa"/>
            <w:gridSpan w:val="2"/>
            <w:vAlign w:val="center"/>
          </w:tcPr>
          <w:p w:rsidR="54157377" w:rsidRDefault="54157377" w:rsidP="54157377">
            <w:pPr>
              <w:jc w:val="center"/>
            </w:pPr>
            <w:r w:rsidRPr="54157377">
              <w:rPr>
                <w:rFonts w:ascii="Arial Narrow" w:eastAsia="Arial Narrow" w:hAnsi="Arial Narrow" w:cs="Arial Narrow"/>
                <w:sz w:val="20"/>
                <w:szCs w:val="20"/>
              </w:rPr>
              <w:t>$</w:t>
            </w:r>
            <w:r w:rsidR="00824E74">
              <w:rPr>
                <w:rFonts w:ascii="Arial Narrow" w:eastAsia="Arial Narrow" w:hAnsi="Arial Narrow" w:cs="Arial Narrow"/>
                <w:noProof/>
                <w:color w:val="000000"/>
                <w:sz w:val="20"/>
                <w:szCs w:val="20"/>
                <w:highlight w:val="black"/>
              </w:rPr>
              <w:t>'''''''''''''''''</w:t>
            </w:r>
            <w:r w:rsidRPr="54157377">
              <w:rPr>
                <w:rFonts w:ascii="Arial Narrow" w:eastAsia="Arial Narrow" w:hAnsi="Arial Narrow" w:cs="Arial Narrow"/>
                <w:sz w:val="20"/>
                <w:szCs w:val="20"/>
              </w:rPr>
              <w:t xml:space="preserve"> per </w:t>
            </w:r>
            <w:r w:rsidR="1BBA09C9" w:rsidRPr="1BBA09C9">
              <w:rPr>
                <w:rFonts w:ascii="Arial Narrow" w:eastAsia="Arial Narrow" w:hAnsi="Arial Narrow" w:cs="Arial Narrow"/>
                <w:sz w:val="20"/>
                <w:szCs w:val="20"/>
              </w:rPr>
              <w:t>pack</w:t>
            </w:r>
            <w:r w:rsidR="45C9768F" w:rsidRPr="1BBA09C9">
              <w:rPr>
                <w:rFonts w:ascii="Arial Narrow" w:eastAsia="Arial Narrow" w:hAnsi="Arial Narrow" w:cs="Arial Narrow"/>
                <w:sz w:val="20"/>
                <w:szCs w:val="20"/>
                <w:vertAlign w:val="superscript"/>
              </w:rPr>
              <w:t>a</w:t>
            </w:r>
          </w:p>
        </w:tc>
        <w:tc>
          <w:tcPr>
            <w:tcW w:w="1002" w:type="dxa"/>
            <w:vAlign w:val="center"/>
          </w:tcPr>
          <w:p w:rsidR="54157377" w:rsidRDefault="54157377" w:rsidP="54157377">
            <w:pPr>
              <w:jc w:val="center"/>
            </w:pPr>
            <w:r w:rsidRPr="54157377">
              <w:rPr>
                <w:rFonts w:ascii="Arial Narrow" w:eastAsia="Arial Narrow" w:hAnsi="Arial Narrow" w:cs="Arial Narrow"/>
                <w:color w:val="000000" w:themeColor="text1"/>
                <w:sz w:val="20"/>
                <w:szCs w:val="20"/>
              </w:rPr>
              <w:t>Cosentyx</w:t>
            </w:r>
            <w:r w:rsidRPr="54157377">
              <w:rPr>
                <w:rFonts w:ascii="News Gothic MT" w:eastAsia="News Gothic MT" w:hAnsi="News Gothic MT" w:cs="News Gothic MT"/>
                <w:color w:val="000000" w:themeColor="text1"/>
                <w:sz w:val="12"/>
                <w:szCs w:val="12"/>
                <w:vertAlign w:val="superscript"/>
                <w:lang w:val="en-US"/>
              </w:rPr>
              <w:t>®</w:t>
            </w:r>
            <w:r w:rsidRPr="54157377">
              <w:rPr>
                <w:rFonts w:ascii="News Gothic MT" w:eastAsia="News Gothic MT" w:hAnsi="News Gothic MT" w:cs="News Gothic MT"/>
                <w:color w:val="000000" w:themeColor="text1"/>
                <w:sz w:val="12"/>
                <w:szCs w:val="12"/>
              </w:rPr>
              <w:t xml:space="preserve"> </w:t>
            </w:r>
          </w:p>
        </w:tc>
        <w:tc>
          <w:tcPr>
            <w:tcW w:w="1002" w:type="dxa"/>
            <w:vAlign w:val="center"/>
          </w:tcPr>
          <w:p w:rsidR="54157377" w:rsidRDefault="54157377" w:rsidP="54157377">
            <w:pPr>
              <w:jc w:val="center"/>
            </w:pPr>
            <w:r w:rsidRPr="54157377">
              <w:rPr>
                <w:rFonts w:ascii="Arial Narrow" w:eastAsia="Arial Narrow" w:hAnsi="Arial Narrow" w:cs="Arial Narrow"/>
                <w:sz w:val="20"/>
                <w:szCs w:val="20"/>
              </w:rPr>
              <w:t xml:space="preserve">Novartis Pharmaceuticals </w:t>
            </w:r>
          </w:p>
        </w:tc>
      </w:tr>
      <w:tr w:rsidR="54157377" w:rsidTr="00AE16EF">
        <w:trPr>
          <w:trHeight w:val="300"/>
        </w:trPr>
        <w:tc>
          <w:tcPr>
            <w:tcW w:w="1815" w:type="dxa"/>
          </w:tcPr>
          <w:p w:rsidR="54157377" w:rsidRDefault="54157377">
            <w:r w:rsidRPr="54157377">
              <w:rPr>
                <w:rFonts w:ascii="Arial Narrow" w:eastAsia="Arial Narrow" w:hAnsi="Arial Narrow" w:cs="Arial Narrow"/>
                <w:sz w:val="20"/>
                <w:szCs w:val="20"/>
              </w:rPr>
              <w:t>Category/Program:</w:t>
            </w:r>
          </w:p>
        </w:tc>
        <w:tc>
          <w:tcPr>
            <w:tcW w:w="7202" w:type="dxa"/>
            <w:gridSpan w:val="7"/>
          </w:tcPr>
          <w:p w:rsidR="54157377" w:rsidRDefault="54157377">
            <w:r w:rsidRPr="54157377">
              <w:rPr>
                <w:rFonts w:ascii="Arial Narrow" w:eastAsia="Arial Narrow" w:hAnsi="Arial Narrow" w:cs="Arial Narrow"/>
                <w:color w:val="000000" w:themeColor="text1"/>
                <w:sz w:val="20"/>
                <w:szCs w:val="20"/>
              </w:rPr>
              <w:t>GENERAL – General Schedule (Code GE)</w:t>
            </w:r>
            <w:r w:rsidRPr="54157377">
              <w:rPr>
                <w:rFonts w:ascii="Arial" w:eastAsia="Arial" w:hAnsi="Arial" w:cs="Arial"/>
                <w:color w:val="000000" w:themeColor="text1"/>
                <w:sz w:val="20"/>
                <w:szCs w:val="20"/>
              </w:rPr>
              <w:t> </w:t>
            </w:r>
            <w:r w:rsidRPr="54157377">
              <w:rPr>
                <w:rFonts w:ascii="Arial Narrow" w:eastAsia="Arial Narrow" w:hAnsi="Arial Narrow" w:cs="Arial Narrow"/>
                <w:sz w:val="20"/>
                <w:szCs w:val="20"/>
              </w:rPr>
              <w:t xml:space="preserve"> </w:t>
            </w:r>
          </w:p>
        </w:tc>
      </w:tr>
      <w:tr w:rsidR="54157377" w:rsidTr="00AE16EF">
        <w:trPr>
          <w:trHeight w:val="300"/>
        </w:trPr>
        <w:tc>
          <w:tcPr>
            <w:tcW w:w="1815" w:type="dxa"/>
          </w:tcPr>
          <w:p w:rsidR="54157377" w:rsidRDefault="54157377">
            <w:r w:rsidRPr="54157377">
              <w:rPr>
                <w:rFonts w:ascii="Arial Narrow" w:eastAsia="Arial Narrow" w:hAnsi="Arial Narrow" w:cs="Arial Narrow"/>
                <w:sz w:val="20"/>
                <w:szCs w:val="20"/>
              </w:rPr>
              <w:t>PBS indication</w:t>
            </w:r>
          </w:p>
        </w:tc>
        <w:tc>
          <w:tcPr>
            <w:tcW w:w="7202" w:type="dxa"/>
            <w:gridSpan w:val="7"/>
          </w:tcPr>
          <w:p w:rsidR="54157377" w:rsidRDefault="54157377">
            <w:r w:rsidRPr="54157377">
              <w:rPr>
                <w:rFonts w:ascii="Arial Narrow" w:eastAsia="Arial Narrow" w:hAnsi="Arial Narrow" w:cs="Arial Narrow"/>
                <w:color w:val="000000" w:themeColor="text1"/>
                <w:sz w:val="20"/>
                <w:szCs w:val="20"/>
              </w:rPr>
              <w:t>Severe chronic plaque psoriasis</w:t>
            </w:r>
            <w:r w:rsidRPr="54157377">
              <w:rPr>
                <w:rFonts w:ascii="Arial" w:eastAsia="Arial" w:hAnsi="Arial" w:cs="Arial"/>
                <w:color w:val="000000" w:themeColor="text1"/>
                <w:sz w:val="20"/>
                <w:szCs w:val="20"/>
              </w:rPr>
              <w:t> </w:t>
            </w:r>
            <w:r w:rsidRPr="54157377">
              <w:rPr>
                <w:rFonts w:ascii="Arial Narrow" w:eastAsia="Arial Narrow" w:hAnsi="Arial Narrow" w:cs="Arial Narrow"/>
                <w:sz w:val="20"/>
                <w:szCs w:val="20"/>
              </w:rPr>
              <w:t xml:space="preserve"> </w:t>
            </w:r>
          </w:p>
        </w:tc>
      </w:tr>
      <w:tr w:rsidR="54157377" w:rsidTr="00AE16EF">
        <w:trPr>
          <w:trHeight w:val="300"/>
        </w:trPr>
        <w:tc>
          <w:tcPr>
            <w:tcW w:w="1815" w:type="dxa"/>
          </w:tcPr>
          <w:p w:rsidR="54157377" w:rsidRDefault="54157377">
            <w:r w:rsidRPr="54157377">
              <w:rPr>
                <w:rFonts w:ascii="Arial Narrow" w:eastAsia="Arial Narrow" w:hAnsi="Arial Narrow" w:cs="Arial Narrow"/>
                <w:sz w:val="20"/>
                <w:szCs w:val="20"/>
              </w:rPr>
              <w:t xml:space="preserve">Restriction: </w:t>
            </w:r>
          </w:p>
        </w:tc>
        <w:tc>
          <w:tcPr>
            <w:tcW w:w="7202" w:type="dxa"/>
            <w:gridSpan w:val="7"/>
          </w:tcPr>
          <w:p w:rsidR="54157377" w:rsidRDefault="54157377">
            <w:r w:rsidRPr="54157377">
              <w:rPr>
                <w:rFonts w:ascii="Arial Narrow" w:eastAsia="Arial Narrow" w:hAnsi="Arial Narrow" w:cs="Arial Narrow"/>
                <w:color w:val="000000" w:themeColor="text1"/>
                <w:sz w:val="20"/>
                <w:szCs w:val="20"/>
              </w:rPr>
              <w:t>Authority Required - In Writing/HPOS</w:t>
            </w:r>
            <w:r w:rsidRPr="54157377">
              <w:rPr>
                <w:rFonts w:ascii="Arial" w:eastAsia="Arial" w:hAnsi="Arial" w:cs="Arial"/>
                <w:sz w:val="20"/>
                <w:szCs w:val="20"/>
              </w:rPr>
              <w:t> </w:t>
            </w:r>
            <w:r w:rsidRPr="54157377">
              <w:rPr>
                <w:rFonts w:ascii="Arial Narrow" w:eastAsia="Arial Narrow" w:hAnsi="Arial Narrow" w:cs="Arial Narrow"/>
                <w:sz w:val="20"/>
                <w:szCs w:val="20"/>
              </w:rPr>
              <w:t xml:space="preserve"> </w:t>
            </w:r>
          </w:p>
        </w:tc>
      </w:tr>
      <w:tr w:rsidR="54157377" w:rsidTr="00AE16EF">
        <w:trPr>
          <w:trHeight w:val="300"/>
        </w:trPr>
        <w:tc>
          <w:tcPr>
            <w:tcW w:w="1815" w:type="dxa"/>
          </w:tcPr>
          <w:p w:rsidR="54157377" w:rsidRDefault="54157377">
            <w:r w:rsidRPr="54157377">
              <w:rPr>
                <w:rFonts w:ascii="Arial Narrow" w:eastAsia="Arial Narrow" w:hAnsi="Arial Narrow" w:cs="Arial Narrow"/>
                <w:sz w:val="20"/>
                <w:szCs w:val="20"/>
              </w:rPr>
              <w:t xml:space="preserve">Treatment criteria: </w:t>
            </w:r>
          </w:p>
        </w:tc>
        <w:tc>
          <w:tcPr>
            <w:tcW w:w="7202" w:type="dxa"/>
            <w:gridSpan w:val="7"/>
          </w:tcPr>
          <w:p w:rsidR="54157377" w:rsidRDefault="54157377">
            <w:r w:rsidRPr="54157377">
              <w:rPr>
                <w:rFonts w:ascii="Arial Narrow" w:eastAsia="Arial Narrow" w:hAnsi="Arial Narrow" w:cs="Arial Narrow"/>
                <w:color w:val="000000" w:themeColor="text1"/>
                <w:sz w:val="20"/>
                <w:szCs w:val="20"/>
              </w:rPr>
              <w:t>Must be treated by a dermatologist</w:t>
            </w:r>
            <w:r w:rsidRPr="54157377">
              <w:rPr>
                <w:rFonts w:ascii="Arial" w:eastAsia="Arial" w:hAnsi="Arial" w:cs="Arial"/>
                <w:color w:val="000000" w:themeColor="text1"/>
                <w:sz w:val="20"/>
                <w:szCs w:val="20"/>
              </w:rPr>
              <w:t> </w:t>
            </w:r>
            <w:r w:rsidRPr="54157377">
              <w:rPr>
                <w:rFonts w:ascii="Arial Narrow" w:eastAsia="Arial Narrow" w:hAnsi="Arial Narrow" w:cs="Arial Narrow"/>
                <w:sz w:val="20"/>
                <w:szCs w:val="20"/>
              </w:rPr>
              <w:t xml:space="preserve"> </w:t>
            </w:r>
          </w:p>
        </w:tc>
      </w:tr>
      <w:tr w:rsidR="54157377" w:rsidTr="00155700">
        <w:trPr>
          <w:trHeight w:val="300"/>
        </w:trPr>
        <w:tc>
          <w:tcPr>
            <w:tcW w:w="1815" w:type="dxa"/>
          </w:tcPr>
          <w:p w:rsidR="54157377" w:rsidRDefault="54157377">
            <w:r w:rsidRPr="54157377">
              <w:rPr>
                <w:rFonts w:ascii="Arial Narrow" w:eastAsia="Arial Narrow" w:hAnsi="Arial Narrow" w:cs="Arial Narrow"/>
                <w:sz w:val="20"/>
                <w:szCs w:val="20"/>
              </w:rPr>
              <w:t xml:space="preserve">Treatment phase:  </w:t>
            </w:r>
          </w:p>
        </w:tc>
        <w:tc>
          <w:tcPr>
            <w:tcW w:w="3601" w:type="dxa"/>
            <w:gridSpan w:val="4"/>
          </w:tcPr>
          <w:p w:rsidR="54157377" w:rsidRPr="00C226B3" w:rsidRDefault="54157377">
            <w:pPr>
              <w:rPr>
                <w:b/>
                <w:bCs/>
              </w:rPr>
            </w:pPr>
            <w:r w:rsidRPr="00C226B3">
              <w:rPr>
                <w:rFonts w:ascii="Arial Narrow" w:eastAsia="Arial Narrow" w:hAnsi="Arial Narrow" w:cs="Arial Narrow"/>
                <w:b/>
                <w:bCs/>
                <w:sz w:val="20"/>
                <w:szCs w:val="20"/>
              </w:rPr>
              <w:t xml:space="preserve">Initial treatment 1, Face, hand, foot (new patient) </w:t>
            </w:r>
          </w:p>
        </w:tc>
        <w:tc>
          <w:tcPr>
            <w:tcW w:w="3601" w:type="dxa"/>
            <w:gridSpan w:val="3"/>
          </w:tcPr>
          <w:p w:rsidR="54157377" w:rsidRPr="00C226B3" w:rsidRDefault="54157377">
            <w:pPr>
              <w:rPr>
                <w:b/>
                <w:bCs/>
              </w:rPr>
            </w:pPr>
            <w:r w:rsidRPr="00C226B3">
              <w:rPr>
                <w:rFonts w:ascii="Arial Narrow" w:eastAsia="Arial Narrow" w:hAnsi="Arial Narrow" w:cs="Arial Narrow"/>
                <w:b/>
                <w:bCs/>
                <w:sz w:val="20"/>
                <w:szCs w:val="20"/>
              </w:rPr>
              <w:t xml:space="preserve">Initial treatment 1, </w:t>
            </w:r>
            <w:r w:rsidR="00155700">
              <w:rPr>
                <w:rFonts w:ascii="Arial Narrow" w:eastAsia="Arial Narrow" w:hAnsi="Arial Narrow" w:cs="Arial Narrow"/>
                <w:b/>
                <w:bCs/>
                <w:sz w:val="20"/>
                <w:szCs w:val="20"/>
              </w:rPr>
              <w:t>W</w:t>
            </w:r>
            <w:r w:rsidRPr="00C226B3">
              <w:rPr>
                <w:rFonts w:ascii="Arial Narrow" w:eastAsia="Arial Narrow" w:hAnsi="Arial Narrow" w:cs="Arial Narrow"/>
                <w:b/>
                <w:bCs/>
                <w:sz w:val="20"/>
                <w:szCs w:val="20"/>
              </w:rPr>
              <w:t xml:space="preserve">hole body (new patient) </w:t>
            </w:r>
          </w:p>
        </w:tc>
      </w:tr>
      <w:tr w:rsidR="54157377" w:rsidTr="00AE16EF">
        <w:trPr>
          <w:trHeight w:val="300"/>
        </w:trPr>
        <w:tc>
          <w:tcPr>
            <w:tcW w:w="1815" w:type="dxa"/>
          </w:tcPr>
          <w:p w:rsidR="54157377" w:rsidRDefault="54157377">
            <w:r w:rsidRPr="54157377">
              <w:rPr>
                <w:rFonts w:ascii="Arial Narrow" w:eastAsia="Arial Narrow" w:hAnsi="Arial Narrow" w:cs="Arial Narrow"/>
                <w:sz w:val="20"/>
                <w:szCs w:val="20"/>
              </w:rPr>
              <w:t xml:space="preserve">Clinical criteria: </w:t>
            </w:r>
          </w:p>
        </w:tc>
        <w:tc>
          <w:tcPr>
            <w:tcW w:w="7202" w:type="dxa"/>
            <w:gridSpan w:val="7"/>
          </w:tcPr>
          <w:p w:rsidR="54157377" w:rsidRDefault="54157377" w:rsidP="005A0E10">
            <w:pPr>
              <w:pStyle w:val="ListParagraph"/>
              <w:numPr>
                <w:ilvl w:val="0"/>
                <w:numId w:val="16"/>
              </w:numPr>
              <w:ind w:left="186" w:hanging="186"/>
              <w:rPr>
                <w:rFonts w:eastAsiaTheme="minorEastAsia" w:cstheme="minorBidi"/>
                <w:color w:val="000000" w:themeColor="text1"/>
                <w:sz w:val="20"/>
                <w:szCs w:val="20"/>
              </w:rPr>
            </w:pPr>
            <w:r w:rsidRPr="54157377">
              <w:rPr>
                <w:rFonts w:ascii="Arial Narrow" w:eastAsia="Arial Narrow" w:hAnsi="Arial Narrow" w:cs="Arial Narrow"/>
                <w:color w:val="000000" w:themeColor="text1"/>
                <w:sz w:val="20"/>
                <w:szCs w:val="20"/>
              </w:rPr>
              <w:t xml:space="preserve">The treatment must be as systemic monotherapy; OR </w:t>
            </w:r>
          </w:p>
          <w:p w:rsidR="54157377" w:rsidRDefault="54157377" w:rsidP="005A0E10">
            <w:pPr>
              <w:pStyle w:val="ListParagraph"/>
              <w:numPr>
                <w:ilvl w:val="0"/>
                <w:numId w:val="16"/>
              </w:numPr>
              <w:ind w:left="186" w:hanging="186"/>
              <w:rPr>
                <w:rFonts w:eastAsiaTheme="minorEastAsia" w:cstheme="minorBidi"/>
                <w:color w:val="000000" w:themeColor="text1"/>
                <w:sz w:val="20"/>
                <w:szCs w:val="20"/>
              </w:rPr>
            </w:pPr>
            <w:r w:rsidRPr="54157377">
              <w:rPr>
                <w:rFonts w:ascii="Arial Narrow" w:eastAsia="Arial Narrow" w:hAnsi="Arial Narrow" w:cs="Arial Narrow"/>
                <w:color w:val="000000" w:themeColor="text1"/>
                <w:sz w:val="20"/>
                <w:szCs w:val="20"/>
              </w:rPr>
              <w:t xml:space="preserve">The treatment must be in combination with methotrexate, AND </w:t>
            </w:r>
          </w:p>
          <w:p w:rsidR="54157377" w:rsidRDefault="54157377" w:rsidP="005A0E10">
            <w:pPr>
              <w:pStyle w:val="ListParagraph"/>
              <w:numPr>
                <w:ilvl w:val="0"/>
                <w:numId w:val="16"/>
              </w:numPr>
              <w:ind w:left="186" w:hanging="186"/>
              <w:rPr>
                <w:rFonts w:eastAsiaTheme="minorEastAsia" w:cstheme="minorBidi"/>
                <w:color w:val="000000" w:themeColor="text1"/>
                <w:sz w:val="20"/>
                <w:szCs w:val="20"/>
              </w:rPr>
            </w:pPr>
            <w:r w:rsidRPr="54157377">
              <w:rPr>
                <w:rFonts w:ascii="Arial Narrow" w:eastAsia="Arial Narrow" w:hAnsi="Arial Narrow" w:cs="Arial Narrow"/>
                <w:color w:val="000000" w:themeColor="text1"/>
                <w:sz w:val="20"/>
                <w:szCs w:val="20"/>
              </w:rPr>
              <w:t xml:space="preserve">Patient must have lesions present for at least 6 months from the time of initial diagnosis, AND </w:t>
            </w:r>
          </w:p>
          <w:p w:rsidR="54157377" w:rsidRDefault="54157377" w:rsidP="005A0E10">
            <w:pPr>
              <w:pStyle w:val="ListParagraph"/>
              <w:numPr>
                <w:ilvl w:val="0"/>
                <w:numId w:val="16"/>
              </w:numPr>
              <w:ind w:left="186" w:hanging="186"/>
              <w:rPr>
                <w:rFonts w:eastAsiaTheme="minorEastAsia" w:cstheme="minorBidi"/>
                <w:color w:val="000000" w:themeColor="text1"/>
                <w:sz w:val="20"/>
                <w:szCs w:val="20"/>
              </w:rPr>
            </w:pPr>
            <w:r w:rsidRPr="54157377">
              <w:rPr>
                <w:rFonts w:ascii="Arial Narrow" w:eastAsia="Arial Narrow" w:hAnsi="Arial Narrow" w:cs="Arial Narrow"/>
                <w:color w:val="000000" w:themeColor="text1"/>
                <w:sz w:val="20"/>
                <w:szCs w:val="20"/>
              </w:rPr>
              <w:t xml:space="preserve">Patient must not have received any prior PBS-subsidised treatment with a biological medicine for this condition; OR </w:t>
            </w:r>
          </w:p>
          <w:p w:rsidR="54157377" w:rsidRDefault="54157377" w:rsidP="005A0E10">
            <w:pPr>
              <w:pStyle w:val="ListParagraph"/>
              <w:numPr>
                <w:ilvl w:val="0"/>
                <w:numId w:val="16"/>
              </w:numPr>
              <w:ind w:left="186" w:hanging="186"/>
              <w:rPr>
                <w:rFonts w:eastAsiaTheme="minorEastAsia" w:cstheme="minorBidi"/>
                <w:color w:val="000000" w:themeColor="text1"/>
                <w:sz w:val="20"/>
                <w:szCs w:val="20"/>
              </w:rPr>
            </w:pPr>
            <w:r w:rsidRPr="54157377">
              <w:rPr>
                <w:rFonts w:ascii="Arial Narrow" w:eastAsia="Arial Narrow" w:hAnsi="Arial Narrow" w:cs="Arial Narrow"/>
                <w:color w:val="000000" w:themeColor="text1"/>
                <w:sz w:val="20"/>
                <w:szCs w:val="20"/>
              </w:rPr>
              <w:t xml:space="preserve">Patient must not have received any PBS-subsidised treatment with a biological medicine for this condition for at least 5 years, AND </w:t>
            </w:r>
          </w:p>
          <w:p w:rsidR="00C071DD" w:rsidRPr="00C071DD" w:rsidRDefault="54157377" w:rsidP="005A0E10">
            <w:pPr>
              <w:pStyle w:val="ListParagraph"/>
              <w:numPr>
                <w:ilvl w:val="0"/>
                <w:numId w:val="16"/>
              </w:numPr>
              <w:spacing w:after="0"/>
              <w:ind w:left="187" w:hanging="187"/>
              <w:rPr>
                <w:rFonts w:eastAsiaTheme="minorEastAsia" w:cstheme="minorBidi"/>
                <w:color w:val="000000" w:themeColor="text1"/>
                <w:sz w:val="20"/>
                <w:szCs w:val="20"/>
              </w:rPr>
            </w:pPr>
            <w:r w:rsidRPr="54157377">
              <w:rPr>
                <w:rFonts w:ascii="Arial Narrow" w:eastAsia="Arial Narrow" w:hAnsi="Arial Narrow" w:cs="Arial Narrow"/>
                <w:color w:val="000000" w:themeColor="text1"/>
                <w:sz w:val="20"/>
                <w:szCs w:val="20"/>
              </w:rPr>
              <w:t>Patient must have failed to achieve an adequate response, as demonstrated by a Psoriasis Area and Severity Index (PASI) assessment, to at least 2 of the following 3 treatments:</w:t>
            </w:r>
            <w:r w:rsidR="00C071DD">
              <w:rPr>
                <w:rFonts w:ascii="Arial Narrow" w:eastAsia="Arial Narrow" w:hAnsi="Arial Narrow" w:cs="Arial Narrow"/>
                <w:color w:val="000000" w:themeColor="text1"/>
                <w:sz w:val="20"/>
                <w:szCs w:val="20"/>
              </w:rPr>
              <w:t xml:space="preserve"> </w:t>
            </w:r>
          </w:p>
          <w:p w:rsidR="00C071DD" w:rsidRDefault="54157377" w:rsidP="00C071DD">
            <w:pPr>
              <w:pStyle w:val="ListParagraph"/>
              <w:numPr>
                <w:ilvl w:val="0"/>
                <w:numId w:val="0"/>
              </w:numPr>
              <w:spacing w:after="0"/>
              <w:ind w:left="187"/>
              <w:rPr>
                <w:rFonts w:ascii="Arial Narrow" w:eastAsia="Arial Narrow" w:hAnsi="Arial Narrow" w:cs="Arial Narrow"/>
                <w:color w:val="000000" w:themeColor="text1"/>
                <w:sz w:val="20"/>
                <w:szCs w:val="20"/>
              </w:rPr>
            </w:pPr>
            <w:r w:rsidRPr="54157377">
              <w:rPr>
                <w:rFonts w:ascii="Arial Narrow" w:eastAsia="Arial Narrow" w:hAnsi="Arial Narrow" w:cs="Arial Narrow"/>
                <w:color w:val="000000" w:themeColor="text1"/>
                <w:sz w:val="20"/>
                <w:szCs w:val="20"/>
              </w:rPr>
              <w:t>(i) phototherapy (UVB or PUVA) for 3 treatments per week for at least 6 weeks; and/or</w:t>
            </w:r>
            <w:r w:rsidR="00C071DD">
              <w:rPr>
                <w:rFonts w:ascii="Arial Narrow" w:eastAsia="Arial Narrow" w:hAnsi="Arial Narrow" w:cs="Arial Narrow"/>
                <w:color w:val="000000" w:themeColor="text1"/>
                <w:sz w:val="20"/>
                <w:szCs w:val="20"/>
              </w:rPr>
              <w:t xml:space="preserve"> </w:t>
            </w:r>
          </w:p>
          <w:p w:rsidR="00C071DD" w:rsidRDefault="54157377" w:rsidP="00C071DD">
            <w:pPr>
              <w:pStyle w:val="ListParagraph"/>
              <w:numPr>
                <w:ilvl w:val="0"/>
                <w:numId w:val="0"/>
              </w:numPr>
              <w:spacing w:after="0"/>
              <w:ind w:left="187"/>
              <w:rPr>
                <w:rFonts w:ascii="Arial Narrow" w:eastAsia="Arial Narrow" w:hAnsi="Arial Narrow" w:cs="Arial Narrow"/>
                <w:color w:val="000000" w:themeColor="text1"/>
                <w:sz w:val="20"/>
                <w:szCs w:val="20"/>
              </w:rPr>
            </w:pPr>
            <w:r w:rsidRPr="54157377">
              <w:rPr>
                <w:rFonts w:ascii="Arial Narrow" w:eastAsia="Arial Narrow" w:hAnsi="Arial Narrow" w:cs="Arial Narrow"/>
                <w:color w:val="000000" w:themeColor="text1"/>
                <w:sz w:val="20"/>
                <w:szCs w:val="20"/>
              </w:rPr>
              <w:t xml:space="preserve">(ii) methotrexate at a dose of at least 10 mg or 10 mg per square metre weekly (whichever is lowest) for at least 6 weeks; and/or </w:t>
            </w:r>
          </w:p>
          <w:p w:rsidR="54157377" w:rsidRDefault="54157377" w:rsidP="00C071DD">
            <w:pPr>
              <w:pStyle w:val="ListParagraph"/>
              <w:numPr>
                <w:ilvl w:val="0"/>
                <w:numId w:val="0"/>
              </w:numPr>
              <w:ind w:left="186"/>
              <w:rPr>
                <w:rFonts w:eastAsiaTheme="minorEastAsia" w:cstheme="minorBidi"/>
                <w:color w:val="000000" w:themeColor="text1"/>
                <w:sz w:val="20"/>
                <w:szCs w:val="20"/>
              </w:rPr>
            </w:pPr>
            <w:r w:rsidRPr="54157377">
              <w:rPr>
                <w:rFonts w:ascii="Arial Narrow" w:eastAsia="Arial Narrow" w:hAnsi="Arial Narrow" w:cs="Arial Narrow"/>
                <w:color w:val="000000" w:themeColor="text1"/>
                <w:sz w:val="20"/>
                <w:szCs w:val="20"/>
              </w:rPr>
              <w:t xml:space="preserve">(iii) acitretin at a dose of at least 0.4mg per kg per day for at least 6 weeks, AND </w:t>
            </w:r>
          </w:p>
          <w:p w:rsidR="54157377" w:rsidRDefault="54157377" w:rsidP="005A0E10">
            <w:pPr>
              <w:pStyle w:val="ListParagraph"/>
              <w:numPr>
                <w:ilvl w:val="0"/>
                <w:numId w:val="16"/>
              </w:numPr>
              <w:ind w:left="186" w:hanging="186"/>
              <w:rPr>
                <w:rFonts w:eastAsiaTheme="minorEastAsia" w:cstheme="minorBidi"/>
                <w:color w:val="000000" w:themeColor="text1"/>
                <w:sz w:val="20"/>
                <w:szCs w:val="20"/>
              </w:rPr>
            </w:pPr>
            <w:r w:rsidRPr="54157377">
              <w:rPr>
                <w:rFonts w:ascii="Arial Narrow" w:eastAsia="Arial Narrow" w:hAnsi="Arial Narrow" w:cs="Arial Narrow"/>
                <w:color w:val="000000" w:themeColor="text1"/>
                <w:sz w:val="20"/>
                <w:szCs w:val="20"/>
              </w:rPr>
              <w:t xml:space="preserve">Patient must not receive more than 16 weeks of treatment with secukinumab under this restriction </w:t>
            </w:r>
          </w:p>
        </w:tc>
      </w:tr>
      <w:tr w:rsidR="54157377" w:rsidTr="00AE16EF">
        <w:trPr>
          <w:trHeight w:val="300"/>
        </w:trPr>
        <w:tc>
          <w:tcPr>
            <w:tcW w:w="1815" w:type="dxa"/>
          </w:tcPr>
          <w:p w:rsidR="54157377" w:rsidRDefault="54157377">
            <w:r w:rsidRPr="54157377">
              <w:rPr>
                <w:rFonts w:ascii="Arial Narrow" w:eastAsia="Arial Narrow" w:hAnsi="Arial Narrow" w:cs="Arial Narrow"/>
                <w:sz w:val="20"/>
                <w:szCs w:val="20"/>
              </w:rPr>
              <w:t xml:space="preserve">Population criteria: </w:t>
            </w:r>
          </w:p>
        </w:tc>
        <w:tc>
          <w:tcPr>
            <w:tcW w:w="7202" w:type="dxa"/>
            <w:gridSpan w:val="7"/>
          </w:tcPr>
          <w:p w:rsidR="54157377" w:rsidRDefault="54157377">
            <w:r w:rsidRPr="54157377">
              <w:rPr>
                <w:rFonts w:ascii="Arial Narrow" w:eastAsia="Arial Narrow" w:hAnsi="Arial Narrow" w:cs="Arial Narrow"/>
                <w:color w:val="000000" w:themeColor="text1"/>
                <w:sz w:val="20"/>
                <w:szCs w:val="20"/>
              </w:rPr>
              <w:t xml:space="preserve">Patient must be under 18 years of age and a parent or authorised guardian must have signed a patient acknowledgement. </w:t>
            </w:r>
          </w:p>
        </w:tc>
      </w:tr>
      <w:tr w:rsidR="54157377" w:rsidTr="00155700">
        <w:trPr>
          <w:trHeight w:val="300"/>
        </w:trPr>
        <w:tc>
          <w:tcPr>
            <w:tcW w:w="1815" w:type="dxa"/>
          </w:tcPr>
          <w:p w:rsidR="54157377" w:rsidRDefault="54157377">
            <w:r w:rsidRPr="54157377">
              <w:rPr>
                <w:rFonts w:ascii="Arial Narrow" w:eastAsia="Arial Narrow" w:hAnsi="Arial Narrow" w:cs="Arial Narrow"/>
                <w:sz w:val="20"/>
                <w:szCs w:val="20"/>
              </w:rPr>
              <w:t xml:space="preserve">Prescriber criteria: </w:t>
            </w:r>
          </w:p>
        </w:tc>
        <w:tc>
          <w:tcPr>
            <w:tcW w:w="3601" w:type="dxa"/>
            <w:gridSpan w:val="4"/>
          </w:tcPr>
          <w:p w:rsidR="54157377" w:rsidRDefault="54157377" w:rsidP="54157377">
            <w:pPr>
              <w:spacing w:line="257" w:lineRule="auto"/>
            </w:pPr>
            <w:r w:rsidRPr="54157377">
              <w:rPr>
                <w:rFonts w:ascii="Arial Narrow" w:eastAsia="Arial Narrow" w:hAnsi="Arial Narrow" w:cs="Arial Narrow"/>
                <w:sz w:val="20"/>
                <w:szCs w:val="20"/>
              </w:rPr>
              <w:t>The following criterion indicates failure to achieve an adequate response to prior treatment and must be demonstrated in the patient at the time of the application:</w:t>
            </w:r>
          </w:p>
          <w:p w:rsidR="54157377" w:rsidRDefault="54157377" w:rsidP="54157377">
            <w:pPr>
              <w:spacing w:line="257" w:lineRule="auto"/>
            </w:pPr>
            <w:r w:rsidRPr="54157377">
              <w:rPr>
                <w:rFonts w:ascii="Arial Narrow" w:eastAsia="Arial Narrow" w:hAnsi="Arial Narrow" w:cs="Arial Narrow"/>
                <w:sz w:val="20"/>
                <w:szCs w:val="20"/>
              </w:rPr>
              <w:t>(a) Chronic plaque psoriasis classified as severe due to a plaque or plaques on the face, palm of a hand or sole of a foot where:</w:t>
            </w:r>
          </w:p>
          <w:p w:rsidR="54157377" w:rsidRDefault="54157377" w:rsidP="54157377">
            <w:pPr>
              <w:spacing w:line="257" w:lineRule="auto"/>
            </w:pPr>
            <w:r w:rsidRPr="54157377">
              <w:rPr>
                <w:rFonts w:ascii="Arial Narrow" w:eastAsia="Arial Narrow" w:hAnsi="Arial Narrow" w:cs="Arial Narrow"/>
                <w:sz w:val="20"/>
                <w:szCs w:val="20"/>
              </w:rPr>
              <w:t>(i) at least 2 of the 3 Psoriasis Area and Severity Index (PASI) symptom subscores for erythema, thickness and scaling are rated as severe or very severe, as assessed, preferably whilst still on treatment, but no longer than 1 month following cessation of the most recent prior treatment; or</w:t>
            </w:r>
          </w:p>
          <w:p w:rsidR="54157377" w:rsidRDefault="54157377" w:rsidP="54157377">
            <w:pPr>
              <w:spacing w:line="257" w:lineRule="auto"/>
            </w:pPr>
            <w:r w:rsidRPr="54157377">
              <w:rPr>
                <w:rFonts w:ascii="Arial Narrow" w:eastAsia="Arial Narrow" w:hAnsi="Arial Narrow" w:cs="Arial Narrow"/>
                <w:sz w:val="20"/>
                <w:szCs w:val="20"/>
              </w:rPr>
              <w:t>(ii) the skin area affected is 30% or more of the face, palm of a hand or sole of a foot, as assessed, preferably whilst still on treatment, but no longer than 1 month following cessation of the most recent prior treatment;</w:t>
            </w:r>
          </w:p>
          <w:p w:rsidR="54157377" w:rsidRDefault="54157377" w:rsidP="54157377">
            <w:pPr>
              <w:spacing w:line="257" w:lineRule="auto"/>
            </w:pPr>
            <w:r w:rsidRPr="54157377">
              <w:rPr>
                <w:rFonts w:ascii="Arial Narrow" w:eastAsia="Arial Narrow" w:hAnsi="Arial Narrow" w:cs="Arial Narrow"/>
                <w:sz w:val="20"/>
                <w:szCs w:val="20"/>
              </w:rPr>
              <w:t>(b) A PASI assessment must be completed for each prior treatment course, preferably whilst still on treatment, but no longer than 1 month following cessation of each course of treatment.</w:t>
            </w:r>
          </w:p>
          <w:p w:rsidR="54157377" w:rsidRDefault="54157377">
            <w:r w:rsidRPr="54157377">
              <w:rPr>
                <w:rFonts w:ascii="Arial Narrow" w:eastAsia="Arial Narrow" w:hAnsi="Arial Narrow" w:cs="Arial Narrow"/>
                <w:sz w:val="20"/>
                <w:szCs w:val="20"/>
              </w:rPr>
              <w:t>(c) The most recent PASI assessment must be no more than 1 month old at the time of application.</w:t>
            </w:r>
          </w:p>
        </w:tc>
        <w:tc>
          <w:tcPr>
            <w:tcW w:w="3601" w:type="dxa"/>
            <w:gridSpan w:val="3"/>
          </w:tcPr>
          <w:p w:rsidR="54157377" w:rsidRDefault="54157377">
            <w:r w:rsidRPr="54157377">
              <w:rPr>
                <w:rFonts w:ascii="Arial Narrow" w:eastAsia="Arial Narrow" w:hAnsi="Arial Narrow" w:cs="Arial Narrow"/>
                <w:color w:val="000000" w:themeColor="text1"/>
                <w:sz w:val="20"/>
                <w:szCs w:val="20"/>
              </w:rPr>
              <w:t xml:space="preserve">The following criterion indicates failure to achieve an adequate response to prior treatment and must be demonstrated in the patient at the time of the application: </w:t>
            </w:r>
          </w:p>
          <w:p w:rsidR="54157377" w:rsidRDefault="54157377">
            <w:r w:rsidRPr="54157377">
              <w:rPr>
                <w:rFonts w:ascii="Arial Narrow" w:eastAsia="Arial Narrow" w:hAnsi="Arial Narrow" w:cs="Arial Narrow"/>
                <w:color w:val="000000" w:themeColor="text1"/>
                <w:sz w:val="20"/>
                <w:szCs w:val="20"/>
              </w:rPr>
              <w:t xml:space="preserve">(a) A current Psoriasis Area and Severity Index (PASI) score of greater than 15, as assessed, preferably whilst still on treatment, but no longer than 1 month following cessation of the most recent prior treatment. </w:t>
            </w:r>
          </w:p>
          <w:p w:rsidR="54157377" w:rsidRDefault="54157377">
            <w:r w:rsidRPr="54157377">
              <w:rPr>
                <w:rFonts w:ascii="Arial Narrow" w:eastAsia="Arial Narrow" w:hAnsi="Arial Narrow" w:cs="Arial Narrow"/>
                <w:color w:val="000000" w:themeColor="text1"/>
                <w:sz w:val="20"/>
                <w:szCs w:val="20"/>
              </w:rPr>
              <w:t xml:space="preserve">(b) A PASI assessment must be completed for each prior treatment course, preferably whilst still on treatment, but no longer than 1 month following cessation of each course of treatment. </w:t>
            </w:r>
          </w:p>
          <w:p w:rsidR="54157377" w:rsidRDefault="54157377">
            <w:r w:rsidRPr="54157377">
              <w:rPr>
                <w:rFonts w:ascii="Arial Narrow" w:eastAsia="Arial Narrow" w:hAnsi="Arial Narrow" w:cs="Arial Narrow"/>
                <w:color w:val="000000" w:themeColor="text1"/>
                <w:sz w:val="20"/>
                <w:szCs w:val="20"/>
              </w:rPr>
              <w:t xml:space="preserve">(c) The most recent PASI assessment must be no more than 1 month old at the time of application. </w:t>
            </w:r>
          </w:p>
        </w:tc>
      </w:tr>
      <w:tr w:rsidR="54157377" w:rsidTr="00AE16EF">
        <w:trPr>
          <w:trHeight w:val="300"/>
        </w:trPr>
        <w:tc>
          <w:tcPr>
            <w:tcW w:w="1815" w:type="dxa"/>
          </w:tcPr>
          <w:p w:rsidR="54157377" w:rsidRDefault="54157377">
            <w:r w:rsidRPr="54157377">
              <w:rPr>
                <w:rFonts w:ascii="Arial Narrow" w:eastAsia="Arial Narrow" w:hAnsi="Arial Narrow" w:cs="Arial Narrow"/>
                <w:sz w:val="20"/>
                <w:szCs w:val="20"/>
              </w:rPr>
              <w:t>Treatment phase</w:t>
            </w:r>
          </w:p>
        </w:tc>
        <w:tc>
          <w:tcPr>
            <w:tcW w:w="7202" w:type="dxa"/>
            <w:gridSpan w:val="7"/>
          </w:tcPr>
          <w:p w:rsidR="54157377" w:rsidRPr="00C226B3" w:rsidRDefault="54157377">
            <w:pPr>
              <w:rPr>
                <w:b/>
                <w:bCs/>
              </w:rPr>
            </w:pPr>
            <w:r w:rsidRPr="00C226B3">
              <w:rPr>
                <w:rFonts w:ascii="Arial Narrow" w:eastAsia="Arial Narrow" w:hAnsi="Arial Narrow" w:cs="Arial Narrow"/>
                <w:b/>
                <w:bCs/>
                <w:color w:val="000000" w:themeColor="text1"/>
                <w:sz w:val="20"/>
                <w:szCs w:val="20"/>
              </w:rPr>
              <w:t>Continuing treatment [</w:t>
            </w:r>
            <w:r w:rsidR="00155700">
              <w:rPr>
                <w:rFonts w:ascii="Arial Narrow" w:eastAsia="Arial Narrow" w:hAnsi="Arial Narrow" w:cs="Arial Narrow"/>
                <w:b/>
                <w:bCs/>
                <w:sz w:val="20"/>
                <w:szCs w:val="20"/>
              </w:rPr>
              <w:t>W</w:t>
            </w:r>
            <w:r w:rsidRPr="00C226B3">
              <w:rPr>
                <w:rFonts w:ascii="Arial Narrow" w:eastAsia="Arial Narrow" w:hAnsi="Arial Narrow" w:cs="Arial Narrow"/>
                <w:b/>
                <w:bCs/>
                <w:sz w:val="20"/>
                <w:szCs w:val="20"/>
              </w:rPr>
              <w:t xml:space="preserve">hole body or </w:t>
            </w:r>
            <w:r w:rsidRPr="00C226B3">
              <w:rPr>
                <w:rFonts w:ascii="Arial Narrow" w:eastAsia="Arial Narrow" w:hAnsi="Arial Narrow" w:cs="Arial Narrow"/>
                <w:b/>
                <w:bCs/>
                <w:color w:val="000000" w:themeColor="text1"/>
                <w:sz w:val="20"/>
                <w:szCs w:val="20"/>
              </w:rPr>
              <w:t>Face, hand, foot]</w:t>
            </w:r>
          </w:p>
        </w:tc>
      </w:tr>
      <w:tr w:rsidR="54157377" w:rsidTr="00AE16EF">
        <w:trPr>
          <w:trHeight w:val="300"/>
        </w:trPr>
        <w:tc>
          <w:tcPr>
            <w:tcW w:w="1815" w:type="dxa"/>
          </w:tcPr>
          <w:p w:rsidR="54157377" w:rsidRDefault="54157377">
            <w:r w:rsidRPr="54157377">
              <w:rPr>
                <w:rFonts w:ascii="Arial Narrow" w:eastAsia="Arial Narrow" w:hAnsi="Arial Narrow" w:cs="Arial Narrow"/>
                <w:sz w:val="20"/>
                <w:szCs w:val="20"/>
              </w:rPr>
              <w:t xml:space="preserve">Restriction: </w:t>
            </w:r>
          </w:p>
        </w:tc>
        <w:tc>
          <w:tcPr>
            <w:tcW w:w="7202" w:type="dxa"/>
            <w:gridSpan w:val="7"/>
          </w:tcPr>
          <w:p w:rsidR="54157377" w:rsidRDefault="54157377">
            <w:r w:rsidRPr="54157377">
              <w:rPr>
                <w:rFonts w:ascii="Arial Narrow" w:eastAsia="Arial Narrow" w:hAnsi="Arial Narrow" w:cs="Arial Narrow"/>
                <w:color w:val="000000" w:themeColor="text1"/>
                <w:sz w:val="20"/>
                <w:szCs w:val="20"/>
              </w:rPr>
              <w:t>Authority Required - In Writing/HPOS</w:t>
            </w:r>
            <w:r w:rsidRPr="54157377">
              <w:rPr>
                <w:rFonts w:ascii="Arial" w:eastAsia="Arial" w:hAnsi="Arial" w:cs="Arial"/>
                <w:sz w:val="20"/>
                <w:szCs w:val="20"/>
              </w:rPr>
              <w:t> </w:t>
            </w:r>
            <w:r w:rsidRPr="54157377">
              <w:rPr>
                <w:rFonts w:ascii="Arial Narrow" w:eastAsia="Arial Narrow" w:hAnsi="Arial Narrow" w:cs="Arial Narrow"/>
                <w:sz w:val="20"/>
                <w:szCs w:val="20"/>
              </w:rPr>
              <w:t xml:space="preserve"> </w:t>
            </w:r>
          </w:p>
        </w:tc>
      </w:tr>
      <w:tr w:rsidR="54157377" w:rsidTr="00AE16EF">
        <w:trPr>
          <w:trHeight w:val="300"/>
        </w:trPr>
        <w:tc>
          <w:tcPr>
            <w:tcW w:w="1815" w:type="dxa"/>
          </w:tcPr>
          <w:p w:rsidR="54157377" w:rsidRDefault="54157377">
            <w:r w:rsidRPr="54157377">
              <w:rPr>
                <w:rFonts w:ascii="Arial Narrow" w:eastAsia="Arial Narrow" w:hAnsi="Arial Narrow" w:cs="Arial Narrow"/>
                <w:sz w:val="20"/>
                <w:szCs w:val="20"/>
              </w:rPr>
              <w:t>Clinical Criteria</w:t>
            </w:r>
          </w:p>
        </w:tc>
        <w:tc>
          <w:tcPr>
            <w:tcW w:w="7202" w:type="dxa"/>
            <w:gridSpan w:val="7"/>
          </w:tcPr>
          <w:p w:rsidR="54157377" w:rsidRDefault="54157377" w:rsidP="005A0E10">
            <w:pPr>
              <w:pStyle w:val="ListParagraph"/>
              <w:numPr>
                <w:ilvl w:val="0"/>
                <w:numId w:val="15"/>
              </w:numPr>
              <w:ind w:left="186" w:hanging="186"/>
              <w:rPr>
                <w:rFonts w:eastAsiaTheme="minorEastAsia" w:cstheme="minorBidi"/>
                <w:sz w:val="20"/>
                <w:szCs w:val="20"/>
              </w:rPr>
            </w:pPr>
            <w:r w:rsidRPr="54157377">
              <w:rPr>
                <w:rFonts w:ascii="Arial Narrow" w:eastAsia="Arial Narrow" w:hAnsi="Arial Narrow" w:cs="Arial Narrow"/>
                <w:sz w:val="20"/>
                <w:szCs w:val="20"/>
              </w:rPr>
              <w:t>Patient must have previously received this drug as their most recent course of PBS-subsidised biologic medicine treatment with for this condition, AND</w:t>
            </w:r>
          </w:p>
          <w:p w:rsidR="54157377" w:rsidRDefault="54157377" w:rsidP="005A0E10">
            <w:pPr>
              <w:pStyle w:val="ListParagraph"/>
              <w:numPr>
                <w:ilvl w:val="0"/>
                <w:numId w:val="15"/>
              </w:numPr>
              <w:ind w:left="186" w:hanging="186"/>
              <w:rPr>
                <w:rFonts w:eastAsiaTheme="minorEastAsia" w:cstheme="minorBidi"/>
                <w:sz w:val="20"/>
                <w:szCs w:val="20"/>
              </w:rPr>
            </w:pPr>
            <w:r w:rsidRPr="54157377">
              <w:rPr>
                <w:rFonts w:ascii="Arial Narrow" w:eastAsia="Arial Narrow" w:hAnsi="Arial Narrow" w:cs="Arial Narrow"/>
                <w:sz w:val="20"/>
                <w:szCs w:val="20"/>
              </w:rPr>
              <w:t>Patient must have demonstrated an adequate response to treatment with this drug for this condition, AND</w:t>
            </w:r>
          </w:p>
          <w:p w:rsidR="54157377" w:rsidRDefault="54157377">
            <w:r w:rsidRPr="54157377">
              <w:rPr>
                <w:rFonts w:ascii="Arial Narrow" w:eastAsia="Arial Narrow" w:hAnsi="Arial Narrow" w:cs="Arial Narrow"/>
                <w:sz w:val="20"/>
                <w:szCs w:val="20"/>
              </w:rPr>
              <w:t>The treatment must not exceed a maximum of 24 weeks with this drug per authorised course under this restriction.</w:t>
            </w:r>
          </w:p>
        </w:tc>
      </w:tr>
      <w:tr w:rsidR="54157377" w:rsidTr="00AE16EF">
        <w:trPr>
          <w:trHeight w:val="300"/>
        </w:trPr>
        <w:tc>
          <w:tcPr>
            <w:tcW w:w="1815" w:type="dxa"/>
          </w:tcPr>
          <w:p w:rsidR="54157377" w:rsidRDefault="54157377">
            <w:r w:rsidRPr="54157377">
              <w:rPr>
                <w:rFonts w:ascii="Arial Narrow" w:eastAsia="Arial Narrow" w:hAnsi="Arial Narrow" w:cs="Arial Narrow"/>
                <w:sz w:val="20"/>
                <w:szCs w:val="20"/>
              </w:rPr>
              <w:t>Prescriber Instructions</w:t>
            </w:r>
          </w:p>
        </w:tc>
        <w:tc>
          <w:tcPr>
            <w:tcW w:w="7202" w:type="dxa"/>
            <w:gridSpan w:val="7"/>
          </w:tcPr>
          <w:p w:rsidR="54157377" w:rsidRDefault="54157377" w:rsidP="54157377">
            <w:pPr>
              <w:spacing w:line="257" w:lineRule="auto"/>
            </w:pPr>
            <w:r w:rsidRPr="54157377">
              <w:rPr>
                <w:rFonts w:ascii="Arial Narrow" w:eastAsia="Arial Narrow" w:hAnsi="Arial Narrow" w:cs="Arial Narrow"/>
                <w:sz w:val="20"/>
                <w:szCs w:val="20"/>
              </w:rPr>
              <w:t>An adequate response to treatment is defined as:</w:t>
            </w:r>
          </w:p>
          <w:p w:rsidR="54157377" w:rsidRDefault="54157377" w:rsidP="54157377">
            <w:pPr>
              <w:spacing w:line="257" w:lineRule="auto"/>
            </w:pPr>
            <w:r w:rsidRPr="54157377">
              <w:rPr>
                <w:rFonts w:ascii="Arial Narrow" w:eastAsia="Arial Narrow" w:hAnsi="Arial Narrow" w:cs="Arial Narrow"/>
                <w:sz w:val="20"/>
                <w:szCs w:val="20"/>
              </w:rPr>
              <w:t xml:space="preserve">For </w:t>
            </w:r>
            <w:r w:rsidR="009E3D16">
              <w:rPr>
                <w:rFonts w:ascii="Arial Narrow" w:eastAsia="Arial Narrow" w:hAnsi="Arial Narrow" w:cs="Arial Narrow"/>
                <w:sz w:val="20"/>
                <w:szCs w:val="20"/>
              </w:rPr>
              <w:t>W</w:t>
            </w:r>
            <w:r w:rsidRPr="54157377">
              <w:rPr>
                <w:rFonts w:ascii="Arial Narrow" w:eastAsia="Arial Narrow" w:hAnsi="Arial Narrow" w:cs="Arial Narrow"/>
                <w:sz w:val="20"/>
                <w:szCs w:val="20"/>
              </w:rPr>
              <w:t>hole body</w:t>
            </w:r>
          </w:p>
          <w:p w:rsidR="54157377" w:rsidRDefault="54157377" w:rsidP="54157377">
            <w:pPr>
              <w:spacing w:line="257" w:lineRule="auto"/>
            </w:pPr>
            <w:r w:rsidRPr="54157377">
              <w:rPr>
                <w:rFonts w:ascii="Arial Narrow" w:eastAsia="Arial Narrow" w:hAnsi="Arial Narrow" w:cs="Arial Narrow"/>
                <w:sz w:val="20"/>
                <w:szCs w:val="20"/>
              </w:rPr>
              <w:t>A Psoriasis Area and Severity Index (PASI) score which is reduced by 75% or more, or is sustained at this level, when compared with the baseline value for this treatment cycle.</w:t>
            </w:r>
          </w:p>
          <w:p w:rsidR="54157377" w:rsidRDefault="54157377" w:rsidP="54157377">
            <w:pPr>
              <w:spacing w:line="257" w:lineRule="auto"/>
            </w:pPr>
            <w:r w:rsidRPr="54157377">
              <w:rPr>
                <w:rFonts w:ascii="Arial Narrow" w:eastAsia="Arial Narrow" w:hAnsi="Arial Narrow" w:cs="Arial Narrow"/>
                <w:sz w:val="20"/>
                <w:szCs w:val="20"/>
              </w:rPr>
              <w:t>For Face, hand, foot</w:t>
            </w:r>
          </w:p>
          <w:p w:rsidR="54157377" w:rsidRDefault="54157377" w:rsidP="54157377">
            <w:pPr>
              <w:spacing w:line="257" w:lineRule="auto"/>
            </w:pPr>
            <w:r w:rsidRPr="54157377">
              <w:rPr>
                <w:rFonts w:ascii="Arial Narrow" w:eastAsia="Arial Narrow" w:hAnsi="Arial Narrow" w:cs="Arial Narrow"/>
                <w:sz w:val="20"/>
                <w:szCs w:val="20"/>
              </w:rPr>
              <w:t>(i) a reduction in the Psoriasis Area and Severity Index (PASI) symptom subscores for all 3 of erythema, thickness and scaling, to slight or better, or sustained at this level, as compared to the baseline values; or</w:t>
            </w:r>
          </w:p>
          <w:p w:rsidR="54157377" w:rsidRDefault="54157377">
            <w:r w:rsidRPr="54157377">
              <w:rPr>
                <w:rFonts w:ascii="Arial Narrow" w:eastAsia="Arial Narrow" w:hAnsi="Arial Narrow" w:cs="Arial Narrow"/>
                <w:sz w:val="20"/>
                <w:szCs w:val="20"/>
              </w:rPr>
              <w:t>(ii) a reduction by 75% or more in the skin area affected, or sustained at this level, as compared to the baseline value for this treatment cycle.</w:t>
            </w:r>
          </w:p>
        </w:tc>
      </w:tr>
    </w:tbl>
    <w:p w:rsidR="00BB36A1" w:rsidRPr="0000305F" w:rsidRDefault="2959EC96" w:rsidP="009E619B">
      <w:pPr>
        <w:spacing w:line="257" w:lineRule="auto"/>
        <w:jc w:val="both"/>
        <w:rPr>
          <w:rFonts w:ascii="Arial Narrow" w:eastAsia="Arial Narrow" w:hAnsi="Arial Narrow" w:cs="Arial Narrow"/>
          <w:sz w:val="18"/>
          <w:szCs w:val="18"/>
        </w:rPr>
      </w:pPr>
      <w:r w:rsidRPr="0000305F">
        <w:rPr>
          <w:rFonts w:ascii="Arial Narrow" w:eastAsia="Arial Narrow" w:hAnsi="Arial Narrow" w:cs="Arial Narrow"/>
          <w:sz w:val="18"/>
          <w:szCs w:val="18"/>
        </w:rPr>
        <w:t xml:space="preserve">Source: adapted from Table 1.8, p40-45. </w:t>
      </w:r>
      <w:r w:rsidR="2BB037FE" w:rsidRPr="0000305F">
        <w:rPr>
          <w:rFonts w:ascii="Arial Narrow" w:eastAsia="Arial Narrow" w:hAnsi="Arial Narrow" w:cs="Arial Narrow"/>
          <w:sz w:val="18"/>
          <w:szCs w:val="18"/>
        </w:rPr>
        <w:t xml:space="preserve"> </w:t>
      </w:r>
    </w:p>
    <w:p w:rsidR="00BB36A1" w:rsidRPr="0000305F" w:rsidRDefault="2BB037FE" w:rsidP="009E619B">
      <w:pPr>
        <w:spacing w:line="257" w:lineRule="auto"/>
        <w:jc w:val="both"/>
        <w:rPr>
          <w:rFonts w:ascii="Arial Narrow" w:eastAsia="Arial Narrow" w:hAnsi="Arial Narrow" w:cs="Arial Narrow"/>
          <w:sz w:val="18"/>
          <w:szCs w:val="18"/>
        </w:rPr>
      </w:pPr>
      <w:r w:rsidRPr="0000305F">
        <w:rPr>
          <w:rFonts w:ascii="Arial Narrow" w:eastAsia="Arial Narrow" w:hAnsi="Arial Narrow" w:cs="Arial Narrow"/>
          <w:sz w:val="18"/>
          <w:szCs w:val="18"/>
          <w:vertAlign w:val="superscript"/>
        </w:rPr>
        <w:t>a</w:t>
      </w:r>
      <w:r w:rsidRPr="0000305F">
        <w:rPr>
          <w:rFonts w:ascii="Arial Narrow" w:eastAsia="Arial Narrow" w:hAnsi="Arial Narrow" w:cs="Arial Narrow"/>
          <w:sz w:val="18"/>
          <w:szCs w:val="18"/>
        </w:rPr>
        <w:t xml:space="preserve">The submission used the pre 1 July dispensing fee ($7.74) </w:t>
      </w:r>
      <w:r w:rsidR="009E619B">
        <w:rPr>
          <w:rFonts w:ascii="Arial Narrow" w:eastAsia="Arial Narrow" w:hAnsi="Arial Narrow" w:cs="Arial Narrow"/>
          <w:sz w:val="18"/>
          <w:szCs w:val="18"/>
        </w:rPr>
        <w:t xml:space="preserve">instead of $7.78; </w:t>
      </w:r>
      <w:r w:rsidRPr="0000305F">
        <w:rPr>
          <w:rFonts w:ascii="Arial Narrow" w:eastAsia="Arial Narrow" w:hAnsi="Arial Narrow" w:cs="Arial Narrow"/>
          <w:sz w:val="18"/>
          <w:szCs w:val="18"/>
        </w:rPr>
        <w:t>the</w:t>
      </w:r>
      <w:r w:rsidR="00D33EC9">
        <w:rPr>
          <w:rFonts w:ascii="Arial Narrow" w:eastAsia="Arial Narrow" w:hAnsi="Arial Narrow" w:cs="Arial Narrow"/>
          <w:sz w:val="18"/>
          <w:szCs w:val="18"/>
        </w:rPr>
        <w:t xml:space="preserve"> effective</w:t>
      </w:r>
      <w:r w:rsidRPr="0000305F">
        <w:rPr>
          <w:rFonts w:ascii="Arial Narrow" w:eastAsia="Arial Narrow" w:hAnsi="Arial Narrow" w:cs="Arial Narrow"/>
          <w:sz w:val="18"/>
          <w:szCs w:val="18"/>
        </w:rPr>
        <w:t xml:space="preserve"> DPMQ should be $</w:t>
      </w:r>
      <w:r w:rsidR="00824E74">
        <w:rPr>
          <w:rFonts w:ascii="Arial Narrow" w:eastAsia="Arial Narrow" w:hAnsi="Arial Narrow" w:cs="Arial Narrow"/>
          <w:noProof/>
          <w:color w:val="000000"/>
          <w:sz w:val="18"/>
          <w:szCs w:val="18"/>
          <w:highlight w:val="black"/>
        </w:rPr>
        <w:t>'''''''''''''''''</w:t>
      </w:r>
      <w:r w:rsidRPr="0000305F">
        <w:rPr>
          <w:rFonts w:ascii="Arial Narrow" w:eastAsia="Arial Narrow" w:hAnsi="Arial Narrow" w:cs="Arial Narrow"/>
          <w:sz w:val="18"/>
          <w:szCs w:val="18"/>
        </w:rPr>
        <w:t xml:space="preserve"> for a</w:t>
      </w:r>
      <w:r w:rsidR="00D97F95">
        <w:rPr>
          <w:rFonts w:ascii="Arial Narrow" w:eastAsia="Arial Narrow" w:hAnsi="Arial Narrow" w:cs="Arial Narrow"/>
          <w:sz w:val="18"/>
          <w:szCs w:val="18"/>
        </w:rPr>
        <w:t>n</w:t>
      </w:r>
      <w:r w:rsidRPr="0000305F">
        <w:rPr>
          <w:rFonts w:ascii="Arial Narrow" w:eastAsia="Arial Narrow" w:hAnsi="Arial Narrow" w:cs="Arial Narrow"/>
          <w:sz w:val="18"/>
          <w:szCs w:val="18"/>
        </w:rPr>
        <w:t xml:space="preserve"> </w:t>
      </w:r>
      <w:r w:rsidR="00D97F95">
        <w:rPr>
          <w:rFonts w:ascii="Arial Narrow" w:eastAsia="Arial Narrow" w:hAnsi="Arial Narrow" w:cs="Arial Narrow"/>
          <w:sz w:val="18"/>
          <w:szCs w:val="18"/>
        </w:rPr>
        <w:t>ex-manufacturer price</w:t>
      </w:r>
      <w:r w:rsidRPr="0000305F">
        <w:rPr>
          <w:rFonts w:ascii="Arial Narrow" w:eastAsia="Arial Narrow" w:hAnsi="Arial Narrow" w:cs="Arial Narrow"/>
          <w:sz w:val="18"/>
          <w:szCs w:val="18"/>
        </w:rPr>
        <w:t xml:space="preserve"> of $</w:t>
      </w:r>
      <w:r w:rsidR="00824E74">
        <w:rPr>
          <w:rFonts w:ascii="Arial Narrow" w:eastAsia="Arial Narrow" w:hAnsi="Arial Narrow" w:cs="Arial Narrow"/>
          <w:noProof/>
          <w:color w:val="000000"/>
          <w:sz w:val="18"/>
          <w:szCs w:val="18"/>
          <w:highlight w:val="black"/>
        </w:rPr>
        <w:t>''''''''''</w:t>
      </w:r>
      <w:r w:rsidRPr="0000305F">
        <w:rPr>
          <w:rFonts w:ascii="Arial Narrow" w:eastAsia="Arial Narrow" w:hAnsi="Arial Narrow" w:cs="Arial Narrow"/>
          <w:sz w:val="18"/>
          <w:szCs w:val="18"/>
        </w:rPr>
        <w:t>.</w:t>
      </w:r>
    </w:p>
    <w:p w:rsidR="00BB36A1" w:rsidRPr="00882085" w:rsidRDefault="00BB36A1" w:rsidP="00BB36A1">
      <w:pPr>
        <w:rPr>
          <w:rFonts w:ascii="Calibri" w:hAnsi="Calibri"/>
        </w:rPr>
      </w:pPr>
    </w:p>
    <w:p w:rsidR="00DC394E" w:rsidRPr="0000305F" w:rsidRDefault="00DC394E" w:rsidP="00D97F95">
      <w:pPr>
        <w:pStyle w:val="3-BodyText"/>
      </w:pPr>
      <w:r w:rsidRPr="0000305F">
        <w:t>The submission proposed a</w:t>
      </w:r>
      <w:r w:rsidR="00D33EC9">
        <w:t>n effective</w:t>
      </w:r>
      <w:r w:rsidR="00D97F95">
        <w:t xml:space="preserve"> dispensed price for maximum quantity</w:t>
      </w:r>
      <w:r w:rsidRPr="0000305F">
        <w:t xml:space="preserve"> </w:t>
      </w:r>
      <w:r w:rsidR="00D97F95">
        <w:t>(</w:t>
      </w:r>
      <w:r w:rsidRPr="0000305F">
        <w:t>DPMQ</w:t>
      </w:r>
      <w:r w:rsidR="00D97F95">
        <w:t>)</w:t>
      </w:r>
      <w:r w:rsidRPr="0000305F">
        <w:t xml:space="preserve"> of $</w:t>
      </w:r>
      <w:r w:rsidR="00824E74">
        <w:rPr>
          <w:noProof/>
          <w:color w:val="000000"/>
          <w:highlight w:val="black"/>
        </w:rPr>
        <w:t>''''''''''''''</w:t>
      </w:r>
      <w:r w:rsidR="007C416F" w:rsidRPr="0000305F">
        <w:t xml:space="preserve"> for three</w:t>
      </w:r>
      <w:r w:rsidR="00D97F95">
        <w:t xml:space="preserve"> strengths (75 mg/0.5 mL, 150 mg/1 mL and 300 mg/2 mL)</w:t>
      </w:r>
      <w:r w:rsidR="00D33EC9">
        <w:t>.</w:t>
      </w:r>
    </w:p>
    <w:p w:rsidR="00BB36A1" w:rsidRPr="000A4C65" w:rsidRDefault="00BB36A1" w:rsidP="00BB36A1">
      <w:pPr>
        <w:pStyle w:val="3-BodyText"/>
        <w:rPr>
          <w:rFonts w:eastAsiaTheme="minorEastAsia" w:cstheme="minorBidi"/>
        </w:rPr>
      </w:pPr>
      <w:r w:rsidRPr="00E663C3">
        <w:rPr>
          <w:rFonts w:ascii="Calibri" w:eastAsia="Calibri" w:hAnsi="Calibri" w:cs="Calibri"/>
          <w:iCs/>
          <w:color w:val="000000" w:themeColor="text1"/>
        </w:rPr>
        <w:t>The</w:t>
      </w:r>
      <w:r w:rsidR="00100DF6" w:rsidRPr="00E663C3">
        <w:rPr>
          <w:rFonts w:ascii="Calibri" w:eastAsia="Calibri" w:hAnsi="Calibri" w:cs="Calibri"/>
          <w:iCs/>
          <w:color w:val="000000" w:themeColor="text1"/>
        </w:rPr>
        <w:t xml:space="preserve"> proposed</w:t>
      </w:r>
      <w:r w:rsidRPr="00E663C3">
        <w:rPr>
          <w:rFonts w:ascii="Calibri" w:eastAsia="Calibri" w:hAnsi="Calibri" w:cs="Calibri"/>
          <w:iCs/>
          <w:color w:val="000000" w:themeColor="text1"/>
        </w:rPr>
        <w:t xml:space="preserve"> restriction </w:t>
      </w:r>
      <w:r w:rsidR="00F25753" w:rsidRPr="00E663C3">
        <w:rPr>
          <w:rFonts w:ascii="Calibri" w:eastAsia="Calibri" w:hAnsi="Calibri" w:cs="Calibri"/>
          <w:iCs/>
          <w:color w:val="000000" w:themeColor="text1"/>
        </w:rPr>
        <w:t>is narrower than</w:t>
      </w:r>
      <w:r w:rsidRPr="00E663C3">
        <w:rPr>
          <w:rFonts w:ascii="Calibri" w:eastAsia="Calibri" w:hAnsi="Calibri" w:cs="Calibri"/>
          <w:iCs/>
          <w:color w:val="000000" w:themeColor="text1"/>
        </w:rPr>
        <w:t xml:space="preserve"> the proposed TGA indication</w:t>
      </w:r>
      <w:r w:rsidR="00100DF6" w:rsidRPr="00E663C3">
        <w:rPr>
          <w:rFonts w:ascii="Calibri" w:eastAsia="Calibri" w:hAnsi="Calibri" w:cs="Calibri"/>
          <w:iCs/>
          <w:color w:val="000000" w:themeColor="text1"/>
        </w:rPr>
        <w:t xml:space="preserve"> with respect to psoriasis severity</w:t>
      </w:r>
      <w:r w:rsidRPr="00E663C3">
        <w:rPr>
          <w:rFonts w:ascii="Calibri" w:eastAsia="Calibri" w:hAnsi="Calibri" w:cs="Calibri"/>
          <w:iCs/>
          <w:color w:val="000000" w:themeColor="text1"/>
        </w:rPr>
        <w:t>.</w:t>
      </w:r>
      <w:r w:rsidRPr="00E663C3">
        <w:rPr>
          <w:rFonts w:ascii="Calibri" w:eastAsia="Calibri" w:hAnsi="Calibri" w:cs="Calibri"/>
          <w:color w:val="000000" w:themeColor="text1"/>
        </w:rPr>
        <w:t xml:space="preserve"> </w:t>
      </w:r>
      <w:r w:rsidRPr="00E663C3">
        <w:rPr>
          <w:rFonts w:ascii="Calibri" w:eastAsia="Calibri" w:hAnsi="Calibri" w:cs="Calibri"/>
          <w:iCs/>
          <w:color w:val="000000" w:themeColor="text1"/>
        </w:rPr>
        <w:t xml:space="preserve">The restriction is for ‘severe chronic plaque </w:t>
      </w:r>
      <w:r w:rsidR="65AB3CC9" w:rsidRPr="00E663C3">
        <w:rPr>
          <w:rFonts w:ascii="Calibri" w:eastAsia="Calibri" w:hAnsi="Calibri" w:cs="Calibri"/>
          <w:iCs/>
          <w:color w:val="000000" w:themeColor="text1"/>
        </w:rPr>
        <w:t>psoriasis’</w:t>
      </w:r>
      <w:r w:rsidRPr="00E663C3">
        <w:rPr>
          <w:rFonts w:ascii="Calibri" w:eastAsia="Calibri" w:hAnsi="Calibri" w:cs="Calibri"/>
          <w:iCs/>
          <w:color w:val="000000" w:themeColor="text1"/>
        </w:rPr>
        <w:t xml:space="preserve"> while the TGA indication is ‘moderate to severe plaque psoriasis</w:t>
      </w:r>
      <w:r w:rsidR="00100DF6" w:rsidRPr="00E663C3">
        <w:rPr>
          <w:rFonts w:ascii="Calibri" w:eastAsia="Calibri" w:hAnsi="Calibri" w:cs="Calibri"/>
          <w:iCs/>
          <w:color w:val="000000" w:themeColor="text1"/>
        </w:rPr>
        <w:t>’</w:t>
      </w:r>
      <w:r w:rsidRPr="00E663C3">
        <w:rPr>
          <w:rFonts w:ascii="Calibri" w:eastAsia="Calibri" w:hAnsi="Calibri" w:cs="Calibri"/>
          <w:iCs/>
          <w:color w:val="000000" w:themeColor="text1"/>
        </w:rPr>
        <w:t>.</w:t>
      </w:r>
      <w:r w:rsidR="21FBB7B0" w:rsidRPr="00E663C3">
        <w:rPr>
          <w:rFonts w:ascii="Calibri" w:eastAsia="Calibri" w:hAnsi="Calibri" w:cs="Calibri"/>
          <w:iCs/>
          <w:color w:val="000000" w:themeColor="text1"/>
        </w:rPr>
        <w:t xml:space="preserve"> This </w:t>
      </w:r>
      <w:r w:rsidR="4B266EDE" w:rsidRPr="00E663C3">
        <w:rPr>
          <w:rFonts w:ascii="Calibri" w:eastAsia="Calibri" w:hAnsi="Calibri" w:cs="Calibri"/>
          <w:iCs/>
          <w:color w:val="000000" w:themeColor="text1"/>
        </w:rPr>
        <w:t>restriction</w:t>
      </w:r>
      <w:r w:rsidR="21FBB7B0" w:rsidRPr="00E663C3">
        <w:rPr>
          <w:rFonts w:ascii="Calibri" w:eastAsia="Calibri" w:hAnsi="Calibri" w:cs="Calibri"/>
          <w:iCs/>
          <w:color w:val="000000" w:themeColor="text1"/>
        </w:rPr>
        <w:t xml:space="preserve"> is consistent </w:t>
      </w:r>
      <w:r w:rsidR="21FBB7B0" w:rsidRPr="000A4C65">
        <w:rPr>
          <w:rFonts w:ascii="Calibri" w:eastAsia="Calibri" w:hAnsi="Calibri" w:cs="Calibri"/>
          <w:iCs/>
          <w:color w:val="000000" w:themeColor="text1"/>
        </w:rPr>
        <w:t xml:space="preserve">with </w:t>
      </w:r>
      <w:r w:rsidR="4A629F30" w:rsidRPr="000A4C65">
        <w:rPr>
          <w:rFonts w:ascii="Calibri" w:eastAsia="Calibri" w:hAnsi="Calibri" w:cs="Calibri"/>
          <w:iCs/>
          <w:color w:val="000000" w:themeColor="text1"/>
        </w:rPr>
        <w:t xml:space="preserve">the </w:t>
      </w:r>
      <w:r w:rsidR="21FBB7B0" w:rsidRPr="000A4C65">
        <w:rPr>
          <w:rFonts w:ascii="Calibri" w:eastAsia="Calibri" w:hAnsi="Calibri" w:cs="Calibri"/>
          <w:iCs/>
          <w:color w:val="000000" w:themeColor="text1"/>
        </w:rPr>
        <w:t>etanercept and ustekinumab listing.</w:t>
      </w:r>
    </w:p>
    <w:p w:rsidR="0069095C" w:rsidRPr="000A4C65" w:rsidRDefault="0069095C" w:rsidP="00BB36A1">
      <w:pPr>
        <w:pStyle w:val="3-BodyText"/>
        <w:rPr>
          <w:rFonts w:eastAsiaTheme="minorEastAsia" w:cstheme="minorBidi"/>
        </w:rPr>
      </w:pPr>
      <w:r w:rsidRPr="000A4C65">
        <w:t>The proposed PBS population was wider than the proposed TGA population with respect to patient age, as the PBS population is &lt;18 years, while the TGA indication limits treatment to patients aged ≥6 years. The</w:t>
      </w:r>
      <w:r w:rsidR="000A4C65" w:rsidRPr="000A4C65">
        <w:t xml:space="preserve"> same</w:t>
      </w:r>
      <w:r w:rsidRPr="000A4C65">
        <w:t xml:space="preserve"> respective PBS and TGA age limits also apply to ustekinumab. The age of the PBS population for etanercept is also &lt;18 years, while the TGA indication for etanercept limits treatment to patients aged ≥4 years.</w:t>
      </w:r>
      <w:r w:rsidR="008C7932">
        <w:t xml:space="preserve"> </w:t>
      </w:r>
    </w:p>
    <w:p w:rsidR="0E5215CD" w:rsidRPr="00E663C3" w:rsidRDefault="0E5215CD" w:rsidP="7E3EC3C7">
      <w:pPr>
        <w:pStyle w:val="3-BodyText"/>
        <w:rPr>
          <w:iCs/>
          <w:color w:val="000000" w:themeColor="text1"/>
        </w:rPr>
      </w:pPr>
      <w:r w:rsidRPr="00E663C3">
        <w:rPr>
          <w:rFonts w:ascii="Calibri" w:eastAsia="Calibri" w:hAnsi="Calibri" w:cs="Calibri"/>
          <w:iCs/>
        </w:rPr>
        <w:t>The proposed PBS population</w:t>
      </w:r>
      <w:r w:rsidR="000A4C97">
        <w:rPr>
          <w:rFonts w:ascii="Calibri" w:eastAsia="Calibri" w:hAnsi="Calibri" w:cs="Calibri"/>
          <w:iCs/>
        </w:rPr>
        <w:t xml:space="preserve"> and circumstances of use</w:t>
      </w:r>
      <w:r w:rsidRPr="00E663C3">
        <w:rPr>
          <w:rFonts w:ascii="Calibri" w:eastAsia="Calibri" w:hAnsi="Calibri" w:cs="Calibri"/>
          <w:iCs/>
        </w:rPr>
        <w:t xml:space="preserve"> for treatment with secukinumab is broadly consistent with </w:t>
      </w:r>
      <w:r w:rsidR="000A4C97">
        <w:rPr>
          <w:rFonts w:ascii="Calibri" w:eastAsia="Calibri" w:hAnsi="Calibri" w:cs="Calibri"/>
          <w:iCs/>
        </w:rPr>
        <w:t>th</w:t>
      </w:r>
      <w:r w:rsidR="002D2A3F">
        <w:rPr>
          <w:rFonts w:ascii="Calibri" w:eastAsia="Calibri" w:hAnsi="Calibri" w:cs="Calibri"/>
          <w:iCs/>
        </w:rPr>
        <w:t>ose</w:t>
      </w:r>
      <w:r w:rsidRPr="00E663C3">
        <w:rPr>
          <w:rFonts w:ascii="Calibri" w:eastAsia="Calibri" w:hAnsi="Calibri" w:cs="Calibri"/>
          <w:iCs/>
        </w:rPr>
        <w:t xml:space="preserve"> for ustekinumab and etanercept</w:t>
      </w:r>
      <w:r w:rsidR="000A4C97">
        <w:rPr>
          <w:rFonts w:ascii="Calibri" w:eastAsia="Calibri" w:hAnsi="Calibri" w:cs="Calibri"/>
          <w:iCs/>
        </w:rPr>
        <w:t>,</w:t>
      </w:r>
      <w:r w:rsidRPr="00E663C3">
        <w:rPr>
          <w:rFonts w:ascii="Calibri" w:eastAsia="Calibri" w:hAnsi="Calibri" w:cs="Calibri"/>
          <w:iCs/>
        </w:rPr>
        <w:t xml:space="preserve"> except for: </w:t>
      </w:r>
    </w:p>
    <w:p w:rsidR="0E5215CD" w:rsidRDefault="0E5215CD" w:rsidP="005A0E10">
      <w:pPr>
        <w:pStyle w:val="3-BodyText"/>
        <w:numPr>
          <w:ilvl w:val="0"/>
          <w:numId w:val="13"/>
        </w:numPr>
        <w:ind w:left="993" w:hanging="284"/>
        <w:rPr>
          <w:rFonts w:eastAsiaTheme="minorEastAsia" w:cstheme="minorBidi"/>
          <w:iCs/>
        </w:rPr>
      </w:pPr>
      <w:r w:rsidRPr="00E663C3">
        <w:rPr>
          <w:rFonts w:eastAsiaTheme="minorEastAsia" w:cstheme="minorBidi"/>
          <w:iCs/>
        </w:rPr>
        <w:t>Maximum duration of initial therapy</w:t>
      </w:r>
      <w:r w:rsidR="002D2A3F">
        <w:rPr>
          <w:rFonts w:eastAsiaTheme="minorEastAsia" w:cstheme="minorBidi"/>
          <w:iCs/>
        </w:rPr>
        <w:t>, which</w:t>
      </w:r>
      <w:r w:rsidRPr="00E663C3">
        <w:rPr>
          <w:rFonts w:eastAsiaTheme="minorEastAsia" w:cstheme="minorBidi"/>
          <w:iCs/>
        </w:rPr>
        <w:t xml:space="preserve"> is 16 weeks for secukinumab</w:t>
      </w:r>
      <w:r w:rsidR="000A4F74">
        <w:rPr>
          <w:rFonts w:eastAsiaTheme="minorEastAsia" w:cstheme="minorBidi"/>
          <w:iCs/>
        </w:rPr>
        <w:t xml:space="preserve"> and etanercept,</w:t>
      </w:r>
      <w:r w:rsidRPr="00E663C3">
        <w:rPr>
          <w:rFonts w:eastAsiaTheme="minorEastAsia" w:cstheme="minorBidi"/>
          <w:iCs/>
        </w:rPr>
        <w:t xml:space="preserve"> and 28 weeks for ustekinumab.</w:t>
      </w:r>
    </w:p>
    <w:p w:rsidR="000A4C97" w:rsidRPr="00E663C3" w:rsidRDefault="000A4C97" w:rsidP="005A0E10">
      <w:pPr>
        <w:pStyle w:val="3-BodyText"/>
        <w:numPr>
          <w:ilvl w:val="0"/>
          <w:numId w:val="13"/>
        </w:numPr>
        <w:ind w:left="993" w:hanging="284"/>
        <w:rPr>
          <w:rFonts w:eastAsiaTheme="minorEastAsia" w:cstheme="minorBidi"/>
          <w:iCs/>
        </w:rPr>
      </w:pPr>
      <w:r>
        <w:rPr>
          <w:rFonts w:ascii="Calibri" w:eastAsia="Calibri" w:hAnsi="Calibri" w:cs="Calibri"/>
          <w:iCs/>
          <w:color w:val="000000" w:themeColor="text1"/>
        </w:rPr>
        <w:t>Total maximum duration of therapy for etanercept</w:t>
      </w:r>
      <w:r w:rsidR="002D2A3F">
        <w:rPr>
          <w:rFonts w:ascii="Calibri" w:eastAsia="Calibri" w:hAnsi="Calibri" w:cs="Calibri"/>
          <w:iCs/>
          <w:color w:val="000000" w:themeColor="text1"/>
        </w:rPr>
        <w:t>, which</w:t>
      </w:r>
      <w:r w:rsidRPr="0000305F">
        <w:rPr>
          <w:rFonts w:ascii="Calibri" w:eastAsia="Calibri" w:hAnsi="Calibri" w:cs="Calibri"/>
          <w:iCs/>
          <w:color w:val="000000" w:themeColor="text1"/>
        </w:rPr>
        <w:t xml:space="preserve"> is limited to 24 weeks’ treatment due to its safety </w:t>
      </w:r>
      <w:r w:rsidRPr="0078489C">
        <w:rPr>
          <w:rFonts w:ascii="Calibri" w:eastAsia="Calibri" w:hAnsi="Calibri" w:cs="Calibri"/>
          <w:iCs/>
          <w:color w:val="000000" w:themeColor="text1"/>
        </w:rPr>
        <w:t xml:space="preserve">profile (see </w:t>
      </w:r>
      <w:r w:rsidR="0078489C" w:rsidRPr="0078489C">
        <w:rPr>
          <w:rFonts w:ascii="Calibri" w:eastAsia="Calibri" w:hAnsi="Calibri" w:cs="Calibri"/>
          <w:iCs/>
          <w:color w:val="000000" w:themeColor="text1"/>
        </w:rPr>
        <w:t>paragraph 6.33</w:t>
      </w:r>
      <w:r w:rsidRPr="0078489C">
        <w:rPr>
          <w:rFonts w:ascii="Calibri" w:eastAsia="Calibri" w:hAnsi="Calibri" w:cs="Calibri"/>
          <w:iCs/>
          <w:color w:val="000000" w:themeColor="text1"/>
        </w:rPr>
        <w:t>)</w:t>
      </w:r>
      <w:r w:rsidR="002D2A3F" w:rsidRPr="0078489C">
        <w:rPr>
          <w:rFonts w:ascii="Calibri" w:eastAsia="Calibri" w:hAnsi="Calibri" w:cs="Calibri"/>
          <w:iCs/>
          <w:color w:val="000000" w:themeColor="text1"/>
        </w:rPr>
        <w:t>; this</w:t>
      </w:r>
      <w:r w:rsidR="002D2A3F">
        <w:rPr>
          <w:rFonts w:ascii="Calibri" w:eastAsia="Calibri" w:hAnsi="Calibri" w:cs="Calibri"/>
          <w:iCs/>
          <w:color w:val="000000" w:themeColor="text1"/>
        </w:rPr>
        <w:t xml:space="preserve"> limit does not apply to ustekinumab or secukinumab.</w:t>
      </w:r>
    </w:p>
    <w:p w:rsidR="0E5215CD" w:rsidRPr="00E663C3" w:rsidRDefault="0E5215CD" w:rsidP="005A0E10">
      <w:pPr>
        <w:pStyle w:val="3-BodyText"/>
        <w:numPr>
          <w:ilvl w:val="0"/>
          <w:numId w:val="13"/>
        </w:numPr>
        <w:ind w:left="993" w:hanging="284"/>
        <w:rPr>
          <w:rFonts w:eastAsiaTheme="minorEastAsia" w:cstheme="minorBidi"/>
          <w:iCs/>
        </w:rPr>
      </w:pPr>
      <w:r w:rsidRPr="008A59FD">
        <w:rPr>
          <w:iCs/>
        </w:rPr>
        <w:t>Time of Psoriasis Area and Severity Index (PASI) response assessment</w:t>
      </w:r>
      <w:r w:rsidR="000A4F74" w:rsidRPr="008A59FD">
        <w:rPr>
          <w:iCs/>
        </w:rPr>
        <w:t xml:space="preserve"> for continuing treatment</w:t>
      </w:r>
      <w:r w:rsidRPr="008A59FD">
        <w:rPr>
          <w:iCs/>
        </w:rPr>
        <w:t>. PASI response assessment with etanercept</w:t>
      </w:r>
      <w:r w:rsidR="006F6520" w:rsidRPr="008A59FD">
        <w:rPr>
          <w:iCs/>
        </w:rPr>
        <w:t xml:space="preserve"> and secukinumab</w:t>
      </w:r>
      <w:r w:rsidRPr="008A59FD">
        <w:rPr>
          <w:iCs/>
        </w:rPr>
        <w:t xml:space="preserve"> </w:t>
      </w:r>
      <w:r w:rsidR="000A4F74" w:rsidRPr="008A59FD">
        <w:rPr>
          <w:iCs/>
        </w:rPr>
        <w:t xml:space="preserve">is </w:t>
      </w:r>
      <w:r w:rsidRPr="008A59FD">
        <w:rPr>
          <w:iCs/>
        </w:rPr>
        <w:t>conducted</w:t>
      </w:r>
      <w:r w:rsidR="006F6520" w:rsidRPr="008A59FD">
        <w:rPr>
          <w:iCs/>
        </w:rPr>
        <w:t xml:space="preserve"> at least</w:t>
      </w:r>
      <w:r w:rsidRPr="008A59FD">
        <w:rPr>
          <w:iCs/>
        </w:rPr>
        <w:t xml:space="preserve"> 12 weeks after treatment initiation. PASI response assessment</w:t>
      </w:r>
      <w:r w:rsidR="006F6520" w:rsidRPr="008A59FD">
        <w:rPr>
          <w:iCs/>
        </w:rPr>
        <w:t xml:space="preserve"> with ustekinumab</w:t>
      </w:r>
      <w:r w:rsidR="000A4F74" w:rsidRPr="008A59FD">
        <w:rPr>
          <w:iCs/>
        </w:rPr>
        <w:t xml:space="preserve"> is</w:t>
      </w:r>
      <w:r w:rsidRPr="008A59FD">
        <w:rPr>
          <w:iCs/>
        </w:rPr>
        <w:t xml:space="preserve"> conducted 24 weeks after treatment initiation.</w:t>
      </w:r>
      <w:r w:rsidR="00F8675C">
        <w:rPr>
          <w:iCs/>
        </w:rPr>
        <w:t xml:space="preserve"> </w:t>
      </w:r>
    </w:p>
    <w:p w:rsidR="0E5215CD" w:rsidRPr="00E663C3" w:rsidRDefault="0E5215CD" w:rsidP="005A0E10">
      <w:pPr>
        <w:pStyle w:val="3-BodyText"/>
        <w:numPr>
          <w:ilvl w:val="0"/>
          <w:numId w:val="13"/>
        </w:numPr>
        <w:ind w:left="993" w:hanging="284"/>
        <w:rPr>
          <w:iCs/>
        </w:rPr>
      </w:pPr>
      <w:r w:rsidRPr="00E663C3">
        <w:rPr>
          <w:rFonts w:ascii="Calibri" w:eastAsia="Calibri" w:hAnsi="Calibri" w:cs="Calibri"/>
          <w:iCs/>
        </w:rPr>
        <w:t>The</w:t>
      </w:r>
      <w:r w:rsidR="0094352A">
        <w:rPr>
          <w:rFonts w:ascii="Calibri" w:eastAsia="Calibri" w:hAnsi="Calibri" w:cs="Calibri"/>
          <w:iCs/>
        </w:rPr>
        <w:t xml:space="preserve"> maintenance</w:t>
      </w:r>
      <w:r w:rsidRPr="00E663C3">
        <w:rPr>
          <w:rFonts w:ascii="Calibri" w:eastAsia="Calibri" w:hAnsi="Calibri" w:cs="Calibri"/>
          <w:iCs/>
        </w:rPr>
        <w:t xml:space="preserve"> dosing schedule. Patients receive etanercept weekly, ustekinumab every 12 weeks, and secukinumab monthly.</w:t>
      </w:r>
    </w:p>
    <w:p w:rsidR="004D027A" w:rsidRPr="0071110A" w:rsidRDefault="004D027A" w:rsidP="0071110A">
      <w:pPr>
        <w:pStyle w:val="3-BodyText"/>
        <w:rPr>
          <w:rFonts w:eastAsiaTheme="minorEastAsia" w:cstheme="minorBidi"/>
          <w:iCs/>
          <w:color w:val="000000" w:themeColor="text1"/>
        </w:rPr>
      </w:pPr>
      <w:r>
        <w:t>Currently, ustekinumab</w:t>
      </w:r>
      <w:r w:rsidRPr="004D027A">
        <w:t xml:space="preserve"> may be used before or after etanercept and patients may switch between the biologics. Neither the current restrictions for etanercept </w:t>
      </w:r>
      <w:r>
        <w:t>and</w:t>
      </w:r>
      <w:r w:rsidRPr="004D027A">
        <w:t xml:space="preserve"> ustekinumab</w:t>
      </w:r>
      <w:r>
        <w:t>,</w:t>
      </w:r>
      <w:r w:rsidRPr="004D027A">
        <w:t xml:space="preserve"> or</w:t>
      </w:r>
      <w:r>
        <w:t xml:space="preserve"> the proposed restriction for</w:t>
      </w:r>
      <w:r w:rsidRPr="004D027A">
        <w:t xml:space="preserve"> secukinumab</w:t>
      </w:r>
      <w:r>
        <w:t>,</w:t>
      </w:r>
      <w:r w:rsidRPr="004D027A">
        <w:t xml:space="preserve"> prevent sequential use of one biologic before (or after) the other. The choice and/or order of biologic use will likely depend on the clinician discretion and patient preference (paragraph 4.3, ustekinumab </w:t>
      </w:r>
      <w:r w:rsidR="00F67EE2">
        <w:t>Public Summary Document (</w:t>
      </w:r>
      <w:r w:rsidRPr="004D027A">
        <w:t>PSD</w:t>
      </w:r>
      <w:r w:rsidR="00F67EE2">
        <w:t>)</w:t>
      </w:r>
      <w:r w:rsidRPr="004D027A">
        <w:t>, March 2021).</w:t>
      </w:r>
    </w:p>
    <w:p w:rsidR="2A8EC4BA" w:rsidRPr="00480312" w:rsidRDefault="088D08ED" w:rsidP="00480312">
      <w:pPr>
        <w:pStyle w:val="3-BodyText"/>
        <w:rPr>
          <w:rFonts w:eastAsiaTheme="minorEastAsia" w:cstheme="minorBidi"/>
          <w:iCs/>
          <w:color w:val="000000" w:themeColor="text1"/>
        </w:rPr>
      </w:pPr>
      <w:r w:rsidRPr="00E663C3">
        <w:rPr>
          <w:rFonts w:ascii="Calibri" w:hAnsi="Calibri" w:cs="Calibri"/>
          <w:iCs/>
          <w:color w:val="000000" w:themeColor="text1"/>
        </w:rPr>
        <w:t>The submission request</w:t>
      </w:r>
      <w:r w:rsidR="00934D8C">
        <w:rPr>
          <w:rFonts w:ascii="Calibri" w:hAnsi="Calibri" w:cs="Calibri"/>
          <w:iCs/>
          <w:color w:val="000000" w:themeColor="text1"/>
        </w:rPr>
        <w:t>ed</w:t>
      </w:r>
      <w:r w:rsidRPr="00E663C3">
        <w:rPr>
          <w:rFonts w:ascii="Calibri" w:hAnsi="Calibri" w:cs="Calibri"/>
          <w:iCs/>
          <w:color w:val="000000" w:themeColor="text1"/>
        </w:rPr>
        <w:t xml:space="preserve"> </w:t>
      </w:r>
      <w:r w:rsidR="008D70A6">
        <w:rPr>
          <w:rFonts w:ascii="Calibri" w:hAnsi="Calibri" w:cs="Calibri"/>
          <w:iCs/>
          <w:color w:val="000000" w:themeColor="text1"/>
        </w:rPr>
        <w:t xml:space="preserve">a </w:t>
      </w:r>
      <w:r w:rsidRPr="00E663C3">
        <w:rPr>
          <w:rFonts w:ascii="Calibri" w:hAnsi="Calibri" w:cs="Calibri"/>
          <w:iCs/>
          <w:color w:val="000000" w:themeColor="text1"/>
        </w:rPr>
        <w:t xml:space="preserve">5-year break after 3 failures of biologics. This </w:t>
      </w:r>
      <w:r w:rsidR="008D70A6">
        <w:rPr>
          <w:rFonts w:ascii="Calibri" w:hAnsi="Calibri" w:cs="Calibri"/>
          <w:iCs/>
          <w:color w:val="000000" w:themeColor="text1"/>
        </w:rPr>
        <w:t>is consistent with both</w:t>
      </w:r>
      <w:r w:rsidRPr="00E663C3">
        <w:rPr>
          <w:rFonts w:ascii="Calibri" w:hAnsi="Calibri" w:cs="Calibri"/>
          <w:iCs/>
          <w:color w:val="000000" w:themeColor="text1"/>
        </w:rPr>
        <w:t xml:space="preserve"> the etanercept</w:t>
      </w:r>
      <w:r w:rsidR="008D70A6">
        <w:rPr>
          <w:rFonts w:ascii="Calibri" w:hAnsi="Calibri" w:cs="Calibri"/>
          <w:iCs/>
          <w:color w:val="000000" w:themeColor="text1"/>
        </w:rPr>
        <w:t xml:space="preserve"> and ustekinumab PBS</w:t>
      </w:r>
      <w:r w:rsidRPr="00E663C3">
        <w:rPr>
          <w:rFonts w:ascii="Calibri" w:hAnsi="Calibri" w:cs="Calibri"/>
          <w:iCs/>
          <w:color w:val="000000" w:themeColor="text1"/>
        </w:rPr>
        <w:t xml:space="preserve"> listing</w:t>
      </w:r>
      <w:r w:rsidR="008D70A6">
        <w:rPr>
          <w:rFonts w:ascii="Calibri" w:hAnsi="Calibri" w:cs="Calibri"/>
          <w:iCs/>
          <w:color w:val="000000" w:themeColor="text1"/>
        </w:rPr>
        <w:t>s for paediatric severe CPP</w:t>
      </w:r>
      <w:r w:rsidRPr="00E663C3">
        <w:rPr>
          <w:rFonts w:ascii="Calibri" w:hAnsi="Calibri" w:cs="Calibri"/>
          <w:iCs/>
          <w:color w:val="000000" w:themeColor="text1"/>
        </w:rPr>
        <w:t xml:space="preserve">. </w:t>
      </w:r>
    </w:p>
    <w:p w:rsidR="006F6520" w:rsidRPr="00A20312" w:rsidRDefault="00263C85" w:rsidP="00A20312">
      <w:pPr>
        <w:pStyle w:val="3-BodyText"/>
        <w:numPr>
          <w:ilvl w:val="0"/>
          <w:numId w:val="0"/>
        </w:numPr>
        <w:ind w:left="720"/>
        <w:rPr>
          <w:i/>
        </w:rPr>
      </w:pPr>
      <w:r w:rsidRPr="008A59FD">
        <w:rPr>
          <w:i/>
        </w:rPr>
        <w:t>For more detail on PBAC’s view, see section 7 PBAC outcome.</w:t>
      </w:r>
    </w:p>
    <w:p w:rsidR="00BB36A1" w:rsidRPr="00407F2D" w:rsidRDefault="00BB36A1" w:rsidP="4AAF4315">
      <w:pPr>
        <w:pStyle w:val="2-SectionHeading"/>
        <w:rPr>
          <w:rFonts w:eastAsiaTheme="minorEastAsia" w:cstheme="minorBidi"/>
        </w:rPr>
      </w:pPr>
      <w:bookmarkStart w:id="11" w:name="_Toc82600269"/>
      <w:r>
        <w:t>Population and disease</w:t>
      </w:r>
      <w:bookmarkEnd w:id="11"/>
    </w:p>
    <w:p w:rsidR="00BB36A1" w:rsidRPr="002E4F02" w:rsidRDefault="00BB36A1" w:rsidP="00BB36A1">
      <w:pPr>
        <w:pStyle w:val="3-BodyText"/>
        <w:rPr>
          <w:color w:val="0066FF"/>
        </w:rPr>
      </w:pPr>
      <w:r w:rsidRPr="0051694F">
        <w:t>Psoriasis is a chronic relapsing disease of the skin characterised by variable clinical features. Skin lesions are characterised by prominent erythema, induration, and scaling. Plaque-type psoriasis is the most frequent clinical presentation</w:t>
      </w:r>
      <w:r w:rsidRPr="000C46F4">
        <w:rPr>
          <w:color w:val="0066FF"/>
        </w:rPr>
        <w:t xml:space="preserve">. </w:t>
      </w:r>
      <w:r>
        <w:rPr>
          <w:rStyle w:val="normaltextrun"/>
          <w:rFonts w:ascii="Calibri" w:hAnsi="Calibri" w:cs="Calibri"/>
          <w:color w:val="000000"/>
          <w:shd w:val="clear" w:color="auto" w:fill="FFFFFF"/>
        </w:rPr>
        <w:t>Psoriasis tends to be underdiagnosed, especially in children, as their symptoms are often atypical and overlap with those of other skin conditions such as dermatitis</w:t>
      </w:r>
      <w:r>
        <w:rPr>
          <w:color w:val="0066FF"/>
        </w:rPr>
        <w:t xml:space="preserve">. </w:t>
      </w:r>
      <w:r w:rsidRPr="002E4F02">
        <w:rPr>
          <w:color w:val="0066FF"/>
        </w:rPr>
        <w:t xml:space="preserve"> </w:t>
      </w:r>
    </w:p>
    <w:p w:rsidR="004D027A" w:rsidRPr="004E31F7" w:rsidRDefault="00BB36A1" w:rsidP="004D027A">
      <w:pPr>
        <w:pStyle w:val="3-BodyText"/>
      </w:pPr>
      <w:r>
        <w:t>The submission estimated that the incidence of severe paediatri</w:t>
      </w:r>
      <w:r w:rsidR="00433097">
        <w:t>c psoriasis in Australia was 30–</w:t>
      </w:r>
      <w:r>
        <w:t>40 patients per year, based on the PBS 10% sample of Medicare data analysi</w:t>
      </w:r>
      <w:r w:rsidR="00433097">
        <w:t>ng etanercept’s listing from 1</w:t>
      </w:r>
      <w:r>
        <w:t xml:space="preserve"> Aug</w:t>
      </w:r>
      <w:r w:rsidR="00433097">
        <w:t>ust</w:t>
      </w:r>
      <w:r>
        <w:t xml:space="preserve"> 2012. The submission assumed that the prevalence of severe paediatric psoriasis was 0.25%.</w:t>
      </w:r>
    </w:p>
    <w:p w:rsidR="00263C85" w:rsidRPr="008A59FD" w:rsidRDefault="00BB36A1" w:rsidP="008A59FD">
      <w:pPr>
        <w:pStyle w:val="3-BodyText"/>
        <w:rPr>
          <w:color w:val="0066FF"/>
        </w:rPr>
      </w:pPr>
      <w:r>
        <w:rPr>
          <w:rStyle w:val="normaltextrun"/>
          <w:rFonts w:ascii="Calibri" w:hAnsi="Calibri" w:cs="Calibri"/>
          <w:color w:val="000000"/>
          <w:shd w:val="clear" w:color="auto" w:fill="FFFFFF"/>
        </w:rPr>
        <w:t>Secukinumab is a high-affinity, recombinant, fully human monoclonal antibody that binds to and neutralises the activity of the proinflammatory cytokine IL-17A. By inhibiting the interaction of IL-17A with its receptor, secukinumab inhibits the release of proinflammatory cytokines, chemokines and mediators of tissue damage, and reduces IL-17A-mediated contributions to autoimmune and inflammatory diseases, including psoriasis.</w:t>
      </w:r>
    </w:p>
    <w:p w:rsidR="00BB36A1" w:rsidRPr="00407F2D" w:rsidRDefault="00BB36A1" w:rsidP="00BB36A1">
      <w:pPr>
        <w:pStyle w:val="2-SectionHeading"/>
      </w:pPr>
      <w:bookmarkStart w:id="12" w:name="_Toc82600270"/>
      <w:r w:rsidRPr="00407F2D">
        <w:t>Comparator</w:t>
      </w:r>
      <w:bookmarkEnd w:id="12"/>
    </w:p>
    <w:p w:rsidR="00BB36A1" w:rsidRPr="006073D1" w:rsidRDefault="00BB36A1" w:rsidP="00BB36A1">
      <w:pPr>
        <w:pStyle w:val="3-BodyText"/>
        <w:rPr>
          <w:snapToGrid/>
          <w:lang w:val="en-US"/>
        </w:rPr>
      </w:pPr>
      <w:r>
        <w:t xml:space="preserve">The submission proposed the following two comparators: </w:t>
      </w:r>
    </w:p>
    <w:p w:rsidR="00BB36A1" w:rsidRDefault="00BB36A1" w:rsidP="005A0E10">
      <w:pPr>
        <w:pStyle w:val="3-BodyText"/>
        <w:numPr>
          <w:ilvl w:val="0"/>
          <w:numId w:val="6"/>
        </w:numPr>
        <w:rPr>
          <w:snapToGrid/>
          <w:lang w:val="en-US"/>
        </w:rPr>
      </w:pPr>
      <w:r>
        <w:rPr>
          <w:snapToGrid/>
          <w:lang w:val="en-US"/>
        </w:rPr>
        <w:t>Etanercept as the main comparator; and</w:t>
      </w:r>
    </w:p>
    <w:p w:rsidR="00BB36A1" w:rsidRDefault="00BB36A1" w:rsidP="005A0E10">
      <w:pPr>
        <w:pStyle w:val="3-BodyText"/>
        <w:numPr>
          <w:ilvl w:val="0"/>
          <w:numId w:val="6"/>
        </w:numPr>
        <w:rPr>
          <w:snapToGrid/>
          <w:lang w:val="en-US"/>
        </w:rPr>
      </w:pPr>
      <w:r>
        <w:rPr>
          <w:snapToGrid/>
          <w:lang w:val="en-US"/>
        </w:rPr>
        <w:t xml:space="preserve">Ustekinumab as </w:t>
      </w:r>
      <w:r w:rsidR="00710623">
        <w:rPr>
          <w:snapToGrid/>
          <w:lang w:val="en-US"/>
        </w:rPr>
        <w:t xml:space="preserve">a </w:t>
      </w:r>
      <w:r>
        <w:rPr>
          <w:snapToGrid/>
          <w:lang w:val="en-US"/>
        </w:rPr>
        <w:t>near-market secondary comparator.</w:t>
      </w:r>
    </w:p>
    <w:p w:rsidR="004E5A5A" w:rsidRPr="0000305F" w:rsidRDefault="00BB36A1" w:rsidP="00BB36A1">
      <w:pPr>
        <w:pStyle w:val="3-BodyText"/>
        <w:rPr>
          <w:snapToGrid/>
          <w:lang w:val="en-US"/>
        </w:rPr>
      </w:pPr>
      <w:r w:rsidRPr="0000305F">
        <w:t>The submission nominated etanercept as the mai</w:t>
      </w:r>
      <w:r w:rsidR="006B2A6B" w:rsidRPr="0000305F">
        <w:t>n comparator</w:t>
      </w:r>
      <w:r w:rsidRPr="0000305F">
        <w:t>. The main argument provided in support of this nomination was that it is the only biologic agent currently PBS listed</w:t>
      </w:r>
      <w:r w:rsidR="00883782" w:rsidRPr="0000305F">
        <w:t xml:space="preserve"> at the time of submission</w:t>
      </w:r>
      <w:r w:rsidRPr="0000305F">
        <w:t xml:space="preserve"> for treatment of severe paediatric psor</w:t>
      </w:r>
      <w:r w:rsidR="006B2A6B" w:rsidRPr="0000305F">
        <w:t>iasis</w:t>
      </w:r>
      <w:r w:rsidRPr="0000305F">
        <w:t>. The submission nominated ustekinumab as</w:t>
      </w:r>
      <w:r w:rsidR="00710623">
        <w:t xml:space="preserve"> a</w:t>
      </w:r>
      <w:r w:rsidRPr="0000305F">
        <w:t xml:space="preserve"> near-market secondar</w:t>
      </w:r>
      <w:r w:rsidR="006B2A6B" w:rsidRPr="0000305F">
        <w:t>y comparator</w:t>
      </w:r>
      <w:r w:rsidR="00562B5E" w:rsidRPr="0000305F">
        <w:t xml:space="preserve"> as it had</w:t>
      </w:r>
      <w:r w:rsidR="00CD4D21" w:rsidRPr="0000305F">
        <w:t xml:space="preserve"> </w:t>
      </w:r>
      <w:r w:rsidRPr="0000305F">
        <w:t xml:space="preserve">received a positive recommendation </w:t>
      </w:r>
      <w:r w:rsidR="006B2A6B" w:rsidRPr="0000305F">
        <w:t>at</w:t>
      </w:r>
      <w:r w:rsidRPr="0000305F">
        <w:t xml:space="preserve"> the PBAC March 2021 meeting</w:t>
      </w:r>
      <w:r w:rsidR="006B2A6B" w:rsidRPr="0000305F">
        <w:t>. The comparator used for the economic evaluation</w:t>
      </w:r>
      <w:r w:rsidRPr="0000305F">
        <w:t xml:space="preserve"> </w:t>
      </w:r>
      <w:r w:rsidR="00710623">
        <w:t>was</w:t>
      </w:r>
      <w:r w:rsidRPr="0000305F">
        <w:t xml:space="preserve"> ustekinumab.</w:t>
      </w:r>
      <w:r w:rsidR="73D0C77B" w:rsidRPr="0000305F">
        <w:t xml:space="preserve"> </w:t>
      </w:r>
    </w:p>
    <w:p w:rsidR="00BB36A1" w:rsidRPr="0000305F" w:rsidRDefault="009B6D68" w:rsidP="00BB36A1">
      <w:pPr>
        <w:pStyle w:val="3-BodyText"/>
        <w:rPr>
          <w:snapToGrid/>
          <w:lang w:val="en-US"/>
        </w:rPr>
      </w:pPr>
      <w:r w:rsidRPr="0000305F">
        <w:t>After the application was submitted</w:t>
      </w:r>
      <w:r w:rsidR="00883782" w:rsidRPr="0000305F">
        <w:t>, u</w:t>
      </w:r>
      <w:r w:rsidR="004E5A5A" w:rsidRPr="0000305F">
        <w:t xml:space="preserve">stekinumab </w:t>
      </w:r>
      <w:r w:rsidR="00710623">
        <w:t>was</w:t>
      </w:r>
      <w:r w:rsidR="004E5A5A" w:rsidRPr="0000305F">
        <w:t xml:space="preserve"> listed on the PBS</w:t>
      </w:r>
      <w:r w:rsidRPr="0000305F">
        <w:t xml:space="preserve"> on 1 October 2021</w:t>
      </w:r>
      <w:r w:rsidR="004E5A5A" w:rsidRPr="0000305F">
        <w:t xml:space="preserve"> for severe CPP in patients under 18 years of age.</w:t>
      </w:r>
      <w:r w:rsidR="00BB36A1" w:rsidRPr="0000305F">
        <w:t xml:space="preserve"> </w:t>
      </w:r>
    </w:p>
    <w:p w:rsidR="00FF1611" w:rsidRPr="00263C85" w:rsidRDefault="00FF1611" w:rsidP="00FF1611">
      <w:pPr>
        <w:pStyle w:val="3-BodyText"/>
        <w:spacing w:after="160"/>
        <w:rPr>
          <w:iCs/>
        </w:rPr>
      </w:pPr>
      <w:r w:rsidRPr="0000305F">
        <w:t xml:space="preserve">Under Section 101(3B) of the National Health Act (1953), the PBAC cannot recommend listing a therapy that is substantially more costly than an alternative therapy unless it is satisfied that the therapy provides, for some patients, a significant improvement in efficacy and/or reduction in toxicity. </w:t>
      </w:r>
      <w:r w:rsidR="00DC394E" w:rsidRPr="0000305F">
        <w:t>The submission claimed that secukinumab provide</w:t>
      </w:r>
      <w:r w:rsidR="004E5A5A" w:rsidRPr="0000305F">
        <w:t>s</w:t>
      </w:r>
      <w:r w:rsidR="00DC394E" w:rsidRPr="0000305F">
        <w:t xml:space="preserve"> a significant improvement in efficacy compared to etanercept</w:t>
      </w:r>
      <w:r w:rsidR="004E5A5A" w:rsidRPr="0000305F">
        <w:t xml:space="preserve">, and has </w:t>
      </w:r>
      <w:r w:rsidR="004E5A5A" w:rsidRPr="0000305F">
        <w:rPr>
          <w:rFonts w:ascii="Calibri" w:eastAsia="Calibri" w:hAnsi="Calibri" w:cs="Calibri"/>
        </w:rPr>
        <w:t xml:space="preserve">non-inferior </w:t>
      </w:r>
      <w:r w:rsidR="004E5A5A" w:rsidRPr="0000305F">
        <w:t xml:space="preserve">efficacy </w:t>
      </w:r>
      <w:r w:rsidR="004E5A5A" w:rsidRPr="0000305F">
        <w:rPr>
          <w:rFonts w:ascii="Calibri" w:eastAsia="Calibri" w:hAnsi="Calibri" w:cs="Calibri"/>
        </w:rPr>
        <w:t>and safety to ustekinumab</w:t>
      </w:r>
      <w:r w:rsidR="00DC394E" w:rsidRPr="0000305F">
        <w:t xml:space="preserve">. </w:t>
      </w:r>
    </w:p>
    <w:p w:rsidR="00263C85" w:rsidRPr="0000305F" w:rsidRDefault="00263C85" w:rsidP="00263C85">
      <w:pPr>
        <w:pStyle w:val="3-BodyText"/>
        <w:numPr>
          <w:ilvl w:val="0"/>
          <w:numId w:val="0"/>
        </w:numPr>
        <w:spacing w:after="160"/>
        <w:ind w:left="720"/>
        <w:rPr>
          <w:iCs/>
        </w:rPr>
      </w:pPr>
      <w:r w:rsidRPr="00E50028">
        <w:rPr>
          <w:i/>
        </w:rPr>
        <w:t>For more detail on PBAC’s view, see section 7 PBAC outcome.</w:t>
      </w:r>
    </w:p>
    <w:p w:rsidR="00BB36A1" w:rsidRDefault="00BB36A1" w:rsidP="00BB36A1">
      <w:pPr>
        <w:pStyle w:val="2-SectionHeading"/>
      </w:pPr>
      <w:bookmarkStart w:id="13" w:name="_Toc82600271"/>
      <w:bookmarkStart w:id="14" w:name="_Toc22897640"/>
      <w:r>
        <w:t>C</w:t>
      </w:r>
      <w:r w:rsidRPr="00407F2D">
        <w:t>onsideration of the evidence</w:t>
      </w:r>
      <w:bookmarkEnd w:id="13"/>
    </w:p>
    <w:p w:rsidR="00656A02" w:rsidRPr="006E1229" w:rsidRDefault="00656A02" w:rsidP="00656A02">
      <w:pPr>
        <w:pStyle w:val="4-SubsectionHeading"/>
        <w:rPr>
          <w:lang w:eastAsia="en-AU"/>
        </w:rPr>
      </w:pPr>
      <w:bookmarkStart w:id="15" w:name="_Hlk76375935"/>
      <w:r w:rsidRPr="006E1229">
        <w:rPr>
          <w:lang w:eastAsia="en-AU"/>
        </w:rPr>
        <w:t>Sponsor hearing</w:t>
      </w:r>
    </w:p>
    <w:p w:rsidR="00656A02" w:rsidRPr="00F91542" w:rsidRDefault="0029243F" w:rsidP="005A0E10">
      <w:pPr>
        <w:widowControl w:val="0"/>
        <w:numPr>
          <w:ilvl w:val="1"/>
          <w:numId w:val="1"/>
        </w:numPr>
        <w:spacing w:after="120"/>
        <w:jc w:val="both"/>
        <w:rPr>
          <w:rFonts w:ascii="Calibri" w:hAnsi="Calibri" w:cs="Calibri"/>
          <w:bCs/>
          <w:snapToGrid w:val="0"/>
        </w:rPr>
      </w:pPr>
      <w:r w:rsidRPr="00F91542">
        <w:rPr>
          <w:rFonts w:ascii="Calibri" w:hAnsi="Calibri" w:cs="Calibri"/>
          <w:bCs/>
          <w:snapToGrid w:val="0"/>
        </w:rPr>
        <w:t>Ther</w:t>
      </w:r>
      <w:r>
        <w:rPr>
          <w:rFonts w:ascii="Calibri" w:hAnsi="Calibri" w:cs="Calibri"/>
          <w:bCs/>
          <w:snapToGrid w:val="0"/>
        </w:rPr>
        <w:t>e was no hearing for this item.</w:t>
      </w:r>
    </w:p>
    <w:p w:rsidR="00656A02" w:rsidRPr="006E1229" w:rsidRDefault="00656A02" w:rsidP="00656A02">
      <w:pPr>
        <w:pStyle w:val="4-SubsectionHeading"/>
        <w:rPr>
          <w:lang w:eastAsia="en-AU"/>
        </w:rPr>
      </w:pPr>
      <w:r w:rsidRPr="006E1229">
        <w:rPr>
          <w:lang w:eastAsia="en-AU"/>
        </w:rPr>
        <w:t>Consumer comments</w:t>
      </w:r>
    </w:p>
    <w:p w:rsidR="0029243F" w:rsidRPr="0029243F" w:rsidRDefault="0029243F" w:rsidP="00A15C58">
      <w:pPr>
        <w:pStyle w:val="3-BodyText"/>
      </w:pPr>
      <w:bookmarkStart w:id="16" w:name="_Hlk76382618"/>
      <w:r w:rsidRPr="00836F75">
        <w:t>The PBAC noted and welcomed the input from</w:t>
      </w:r>
      <w:r>
        <w:t xml:space="preserve"> 3</w:t>
      </w:r>
      <w:r w:rsidRPr="00836F75">
        <w:t xml:space="preserve"> health care professionals (</w:t>
      </w:r>
      <w:r>
        <w:t xml:space="preserve">HCPs) </w:t>
      </w:r>
      <w:r w:rsidRPr="00836F75">
        <w:t>via the Consumer Comments facility on the PBS website.</w:t>
      </w:r>
      <w:r>
        <w:t xml:space="preserve"> </w:t>
      </w:r>
      <w:r w:rsidRPr="0029243F">
        <w:t>The comments from the HCPs emphasised</w:t>
      </w:r>
      <w:r w:rsidR="00DF791F">
        <w:t xml:space="preserve"> the benefits of secukinumab in severe CPP for paediatric patients in terms of</w:t>
      </w:r>
      <w:r w:rsidR="00A15C58">
        <w:t xml:space="preserve"> effectiveness, safety</w:t>
      </w:r>
      <w:r w:rsidR="00395941">
        <w:t>,</w:t>
      </w:r>
      <w:r w:rsidR="00A15C58">
        <w:t xml:space="preserve"> </w:t>
      </w:r>
      <w:r w:rsidR="00DF791F">
        <w:t>quality of life</w:t>
      </w:r>
      <w:r w:rsidR="00395941">
        <w:t>, and access/equity</w:t>
      </w:r>
      <w:r w:rsidR="00DF791F">
        <w:t xml:space="preserve">. </w:t>
      </w:r>
      <w:r w:rsidRPr="0029243F">
        <w:t>One HCP stated</w:t>
      </w:r>
      <w:r w:rsidR="00DF791F">
        <w:t xml:space="preserve"> that</w:t>
      </w:r>
      <w:r w:rsidR="00816440">
        <w:t xml:space="preserve"> </w:t>
      </w:r>
      <w:r w:rsidR="00DF791F">
        <w:t>secukinumab</w:t>
      </w:r>
      <w:r w:rsidR="00816440">
        <w:t xml:space="preserve"> is </w:t>
      </w:r>
      <w:r w:rsidR="00DF791F">
        <w:t>efficacious and safer than other therapeutic options currently available.</w:t>
      </w:r>
      <w:r w:rsidRPr="0029243F">
        <w:t xml:space="preserve"> Another HCP </w:t>
      </w:r>
      <w:r w:rsidR="00DF791F">
        <w:t>noted that current</w:t>
      </w:r>
      <w:r w:rsidRPr="0029243F">
        <w:t xml:space="preserve"> </w:t>
      </w:r>
      <w:r w:rsidR="006224E1" w:rsidRPr="006224E1">
        <w:rPr>
          <w:rFonts w:eastAsia="Times New Roman" w:cs="Times New Roman"/>
          <w:bCs/>
          <w:snapToGrid/>
          <w:lang w:eastAsia="zh-CN"/>
        </w:rPr>
        <w:t xml:space="preserve">medication options require blood test monitoring in children to </w:t>
      </w:r>
      <w:r w:rsidR="00A15C58">
        <w:rPr>
          <w:rFonts w:eastAsia="Times New Roman" w:cs="Times New Roman"/>
          <w:bCs/>
          <w:snapToGrid/>
          <w:lang w:eastAsia="zh-CN"/>
        </w:rPr>
        <w:t>check</w:t>
      </w:r>
      <w:r w:rsidR="006224E1">
        <w:rPr>
          <w:rFonts w:eastAsia="Times New Roman" w:cs="Times New Roman"/>
          <w:bCs/>
          <w:snapToGrid/>
          <w:lang w:eastAsia="zh-CN"/>
        </w:rPr>
        <w:t xml:space="preserve"> liver and kidney function, which would not be required for most children using secukinumab. </w:t>
      </w:r>
      <w:r w:rsidR="00A15C58">
        <w:rPr>
          <w:rFonts w:eastAsia="Times New Roman" w:cs="Times New Roman"/>
          <w:bCs/>
          <w:snapToGrid/>
          <w:lang w:eastAsia="zh-CN"/>
        </w:rPr>
        <w:t xml:space="preserve">A third HCP commented on the issue of access and equity; i.e. that biological medicines have been life changing for adults with psoriasis but </w:t>
      </w:r>
      <w:r w:rsidR="00A15C58" w:rsidRPr="00A15C58">
        <w:rPr>
          <w:rFonts w:eastAsia="Times New Roman" w:cs="Times New Roman"/>
          <w:bCs/>
          <w:snapToGrid/>
          <w:lang w:eastAsia="zh-CN"/>
        </w:rPr>
        <w:t xml:space="preserve">PBS funding for those aged </w:t>
      </w:r>
      <w:r w:rsidR="00A15C58">
        <w:rPr>
          <w:rFonts w:eastAsia="Times New Roman" w:cs="Times New Roman"/>
          <w:bCs/>
          <w:snapToGrid/>
          <w:lang w:eastAsia="zh-CN"/>
        </w:rPr>
        <w:t>under</w:t>
      </w:r>
      <w:r w:rsidR="00A15C58" w:rsidRPr="00A15C58">
        <w:rPr>
          <w:rFonts w:eastAsia="Times New Roman" w:cs="Times New Roman"/>
          <w:bCs/>
          <w:snapToGrid/>
          <w:lang w:eastAsia="zh-CN"/>
        </w:rPr>
        <w:t xml:space="preserve"> 18 is extremely limited</w:t>
      </w:r>
      <w:r w:rsidR="00A15C58">
        <w:rPr>
          <w:rFonts w:eastAsia="Times New Roman" w:cs="Times New Roman"/>
          <w:bCs/>
          <w:snapToGrid/>
          <w:lang w:eastAsia="zh-CN"/>
        </w:rPr>
        <w:t xml:space="preserve">. </w:t>
      </w:r>
      <w:r w:rsidR="006224E1">
        <w:t xml:space="preserve">The HCPs also commented on the significant improvement in quality of life for children who have severe CPP, as their symptoms of bright red itchy skin and disfigurement improve, leading to normal progress in terms of socialising, education and emotional development. </w:t>
      </w:r>
      <w:r w:rsidRPr="0029243F">
        <w:t xml:space="preserve">   </w:t>
      </w:r>
    </w:p>
    <w:p w:rsidR="00BB36A1" w:rsidRPr="00C9624D" w:rsidRDefault="00BB36A1" w:rsidP="00BB36A1">
      <w:pPr>
        <w:pStyle w:val="4-SubsectionHeading"/>
      </w:pPr>
      <w:bookmarkStart w:id="17" w:name="_Toc82600272"/>
      <w:bookmarkEnd w:id="15"/>
      <w:bookmarkEnd w:id="16"/>
      <w:r>
        <w:t>Clinical studies</w:t>
      </w:r>
      <w:bookmarkEnd w:id="14"/>
      <w:bookmarkEnd w:id="17"/>
    </w:p>
    <w:p w:rsidR="00BB36A1" w:rsidRPr="00B05953" w:rsidRDefault="00BB36A1" w:rsidP="0011773B">
      <w:pPr>
        <w:pStyle w:val="3-BodyText"/>
        <w:rPr>
          <w:rFonts w:eastAsiaTheme="minorEastAsia" w:cstheme="minorBidi"/>
          <w:lang w:val="en-US"/>
        </w:rPr>
      </w:pPr>
      <w:r w:rsidRPr="00B05953">
        <w:rPr>
          <w:lang w:val="en-US"/>
        </w:rPr>
        <w:t xml:space="preserve">The submission was based on a direct comparison </w:t>
      </w:r>
      <w:r w:rsidRPr="7E09AB09">
        <w:rPr>
          <w:lang w:val="en-US"/>
        </w:rPr>
        <w:t>between</w:t>
      </w:r>
      <w:r w:rsidRPr="00B05953">
        <w:rPr>
          <w:lang w:val="en-US"/>
        </w:rPr>
        <w:t xml:space="preserve"> secukinumab </w:t>
      </w:r>
      <w:r>
        <w:rPr>
          <w:lang w:val="en-US"/>
        </w:rPr>
        <w:t>and</w:t>
      </w:r>
      <w:r w:rsidRPr="00B05953">
        <w:rPr>
          <w:lang w:val="en-US"/>
        </w:rPr>
        <w:t xml:space="preserve"> etanercept: </w:t>
      </w:r>
    </w:p>
    <w:p w:rsidR="00BB36A1" w:rsidRPr="002E4F02" w:rsidRDefault="00BB36A1" w:rsidP="005A0E10">
      <w:pPr>
        <w:pStyle w:val="3-BodyText"/>
        <w:numPr>
          <w:ilvl w:val="0"/>
          <w:numId w:val="9"/>
        </w:numPr>
        <w:ind w:left="1134"/>
        <w:rPr>
          <w:rFonts w:eastAsiaTheme="minorEastAsia" w:cstheme="minorBidi"/>
          <w:lang w:val="en-US"/>
        </w:rPr>
      </w:pPr>
      <w:r w:rsidRPr="454BE1F2">
        <w:rPr>
          <w:lang w:val="en-US"/>
        </w:rPr>
        <w:t>Study 2310</w:t>
      </w:r>
      <w:r w:rsidR="00B616BA">
        <w:rPr>
          <w:lang w:val="en-US"/>
        </w:rPr>
        <w:t xml:space="preserve"> </w:t>
      </w:r>
      <w:r w:rsidR="00B616BA" w:rsidRPr="454BE1F2">
        <w:rPr>
          <w:rFonts w:eastAsia="Calibri" w:cs="Calibri"/>
          <w:color w:val="000000" w:themeColor="text1"/>
        </w:rPr>
        <w:t>(N=162)</w:t>
      </w:r>
      <w:r w:rsidRPr="454BE1F2">
        <w:rPr>
          <w:lang w:val="en-US"/>
        </w:rPr>
        <w:t xml:space="preserve">: </w:t>
      </w:r>
      <w:r w:rsidR="00B616BA" w:rsidRPr="454BE1F2">
        <w:rPr>
          <w:rFonts w:eastAsia="Calibri" w:cs="Calibri"/>
          <w:color w:val="000000" w:themeColor="text1"/>
        </w:rPr>
        <w:t>a phase III, double</w:t>
      </w:r>
      <w:r w:rsidR="004C12CB">
        <w:rPr>
          <w:rFonts w:eastAsia="Calibri" w:cs="Calibri"/>
          <w:color w:val="000000" w:themeColor="text1"/>
        </w:rPr>
        <w:t>-</w:t>
      </w:r>
      <w:r w:rsidR="00B616BA" w:rsidRPr="454BE1F2">
        <w:rPr>
          <w:rFonts w:eastAsia="Calibri" w:cs="Calibri"/>
          <w:color w:val="000000" w:themeColor="text1"/>
        </w:rPr>
        <w:t>blind</w:t>
      </w:r>
      <w:r w:rsidR="004C12CB">
        <w:rPr>
          <w:rFonts w:eastAsia="Calibri" w:cs="Calibri"/>
          <w:color w:val="000000" w:themeColor="text1"/>
        </w:rPr>
        <w:t>,</w:t>
      </w:r>
      <w:r w:rsidR="00B616BA" w:rsidRPr="454BE1F2">
        <w:rPr>
          <w:rFonts w:eastAsia="Calibri" w:cs="Calibri"/>
          <w:color w:val="000000" w:themeColor="text1"/>
        </w:rPr>
        <w:t xml:space="preserve"> randomised trial in severe plaque </w:t>
      </w:r>
      <w:r w:rsidR="00B616BA">
        <w:rPr>
          <w:rFonts w:eastAsia="Calibri" w:cs="Calibri"/>
          <w:color w:val="000000" w:themeColor="text1"/>
        </w:rPr>
        <w:t>p</w:t>
      </w:r>
      <w:r w:rsidR="00B616BA" w:rsidRPr="454BE1F2">
        <w:rPr>
          <w:rFonts w:eastAsia="Calibri" w:cs="Calibri"/>
          <w:color w:val="000000" w:themeColor="text1"/>
        </w:rPr>
        <w:t>soriasis patients ≥6 years</w:t>
      </w:r>
      <w:r w:rsidR="00B616BA" w:rsidRPr="454BE1F2" w:rsidDel="00B616BA">
        <w:rPr>
          <w:lang w:val="en-US"/>
        </w:rPr>
        <w:t xml:space="preserve"> </w:t>
      </w:r>
      <w:r w:rsidRPr="454BE1F2">
        <w:rPr>
          <w:lang w:val="en-US"/>
        </w:rPr>
        <w:t>comparing</w:t>
      </w:r>
      <w:r w:rsidRPr="454BE1F2" w:rsidDel="00B05953">
        <w:rPr>
          <w:lang w:val="en-US"/>
        </w:rPr>
        <w:t xml:space="preserve"> </w:t>
      </w:r>
      <w:r w:rsidRPr="454BE1F2">
        <w:rPr>
          <w:lang w:val="en-US"/>
        </w:rPr>
        <w:t>secukinumab high dose (HD) and low dose (LD), to etanercept</w:t>
      </w:r>
      <w:r w:rsidR="00B616BA">
        <w:rPr>
          <w:lang w:val="en-US"/>
        </w:rPr>
        <w:t xml:space="preserve"> [and placebo]</w:t>
      </w:r>
      <w:r>
        <w:rPr>
          <w:snapToGrid/>
          <w:lang w:val="en-US"/>
        </w:rPr>
        <w:t xml:space="preserve">. </w:t>
      </w:r>
    </w:p>
    <w:p w:rsidR="00BB36A1" w:rsidRPr="002E4F02" w:rsidRDefault="00BB36A1" w:rsidP="00BB36A1">
      <w:pPr>
        <w:pStyle w:val="3-BodyText"/>
        <w:rPr>
          <w:rFonts w:eastAsiaTheme="minorEastAsia" w:cstheme="minorBidi"/>
          <w:lang w:val="en-US"/>
        </w:rPr>
      </w:pPr>
      <w:r w:rsidRPr="159B995A">
        <w:rPr>
          <w:rFonts w:ascii="Calibri" w:hAnsi="Calibri"/>
          <w:lang w:val="en-US"/>
        </w:rPr>
        <w:t>The submission was also based on an indirect comparison, using placebo as the common reference, in order to compare secukinumab to ustekinumab:</w:t>
      </w:r>
    </w:p>
    <w:p w:rsidR="00BB36A1" w:rsidRPr="002E4F02" w:rsidRDefault="000568CB" w:rsidP="00B616BA">
      <w:pPr>
        <w:pStyle w:val="ListBullet"/>
        <w:tabs>
          <w:tab w:val="clear" w:pos="360"/>
          <w:tab w:val="num" w:pos="1134"/>
          <w:tab w:val="num" w:pos="1276"/>
        </w:tabs>
        <w:spacing w:after="120"/>
        <w:ind w:left="1134" w:hanging="357"/>
        <w:contextualSpacing w:val="0"/>
        <w:jc w:val="both"/>
        <w:rPr>
          <w:rFonts w:eastAsia="Calibri" w:cs="Calibri"/>
          <w:color w:val="000000" w:themeColor="text1"/>
          <w:lang w:val="en-US"/>
        </w:rPr>
      </w:pPr>
      <w:r w:rsidRPr="6A8F74B3">
        <w:rPr>
          <w:rFonts w:eastAsia="Calibri" w:cs="Calibri"/>
          <w:color w:val="000000" w:themeColor="text1"/>
        </w:rPr>
        <w:t>Study 2310</w:t>
      </w:r>
      <w:r w:rsidR="5C5851E4" w:rsidRPr="6A8F74B3">
        <w:rPr>
          <w:rFonts w:eastAsia="Calibri" w:cs="Calibri"/>
          <w:color w:val="000000" w:themeColor="text1"/>
        </w:rPr>
        <w:t xml:space="preserve"> (N=162)</w:t>
      </w:r>
      <w:r w:rsidRPr="6A8F74B3">
        <w:rPr>
          <w:rFonts w:eastAsia="Calibri" w:cs="Calibri"/>
          <w:color w:val="000000" w:themeColor="text1"/>
        </w:rPr>
        <w:t xml:space="preserve">, comparing secukinumab HD and LD, to placebo. </w:t>
      </w:r>
    </w:p>
    <w:p w:rsidR="00BB36A1" w:rsidRPr="00C25751" w:rsidRDefault="2A01AA8D" w:rsidP="00B616BA">
      <w:pPr>
        <w:pStyle w:val="ListBullet"/>
        <w:tabs>
          <w:tab w:val="clear" w:pos="360"/>
          <w:tab w:val="num" w:pos="1134"/>
          <w:tab w:val="num" w:pos="1276"/>
        </w:tabs>
        <w:spacing w:after="120"/>
        <w:ind w:left="1134" w:hanging="357"/>
        <w:contextualSpacing w:val="0"/>
        <w:jc w:val="both"/>
        <w:rPr>
          <w:rFonts w:eastAsiaTheme="minorEastAsia" w:cstheme="minorBidi"/>
          <w:color w:val="000000" w:themeColor="text1"/>
          <w:lang w:val="en-US"/>
        </w:rPr>
      </w:pPr>
      <w:r w:rsidRPr="6A8F74B3">
        <w:rPr>
          <w:rFonts w:eastAsia="Calibri" w:cs="Calibri"/>
          <w:color w:val="000000" w:themeColor="text1"/>
        </w:rPr>
        <w:t>CADMUS (N=110), a phase III, double-blind, randomised trial in patients aged 12 to 17 years who had moderate-to-severe plaque psoriasis, comparing ustekinumab to placebo.</w:t>
      </w:r>
    </w:p>
    <w:p w:rsidR="00BB36A1" w:rsidRPr="00A97C21" w:rsidRDefault="00BB36A1" w:rsidP="008232E3">
      <w:pPr>
        <w:pStyle w:val="3-BodyText"/>
        <w:rPr>
          <w:lang w:val="en-US"/>
        </w:rPr>
      </w:pPr>
      <w:r w:rsidRPr="00A97C21">
        <w:rPr>
          <w:snapToGrid/>
          <w:lang w:val="en-US"/>
        </w:rPr>
        <w:t xml:space="preserve">Details of the studies </w:t>
      </w:r>
      <w:r w:rsidR="00886EEC" w:rsidRPr="00A97C21">
        <w:rPr>
          <w:snapToGrid/>
          <w:lang w:val="en-US"/>
        </w:rPr>
        <w:t>included for analysis</w:t>
      </w:r>
      <w:r w:rsidRPr="00A97C21">
        <w:rPr>
          <w:snapToGrid/>
          <w:lang w:val="en-US"/>
        </w:rPr>
        <w:t xml:space="preserve"> are provided in </w:t>
      </w:r>
      <w:r w:rsidR="002564B8" w:rsidRPr="00A97C21">
        <w:rPr>
          <w:snapToGrid/>
          <w:lang w:val="en-US"/>
        </w:rPr>
        <w:t>Table 2</w:t>
      </w:r>
      <w:r w:rsidRPr="00A97C21">
        <w:rPr>
          <w:snapToGrid/>
          <w:lang w:val="en-US"/>
        </w:rPr>
        <w:t xml:space="preserve">. </w:t>
      </w:r>
    </w:p>
    <w:p w:rsidR="00BB36A1" w:rsidRPr="005E2068" w:rsidRDefault="00BB36A1" w:rsidP="005E2068">
      <w:pPr>
        <w:pStyle w:val="TableFigureHeading"/>
        <w:rPr>
          <w:rStyle w:val="CommentReference"/>
          <w:b/>
          <w:szCs w:val="24"/>
        </w:rPr>
      </w:pPr>
      <w:r w:rsidRPr="005E2068">
        <w:rPr>
          <w:rStyle w:val="CommentReference"/>
          <w:b/>
          <w:szCs w:val="24"/>
        </w:rPr>
        <w:t xml:space="preserve">Table </w:t>
      </w:r>
      <w:r w:rsidR="002564B8" w:rsidRPr="005E2068">
        <w:rPr>
          <w:rStyle w:val="CommentReference"/>
          <w:b/>
          <w:szCs w:val="24"/>
        </w:rPr>
        <w:t>2</w:t>
      </w:r>
      <w:r w:rsidRPr="005E2068">
        <w:rPr>
          <w:rStyle w:val="CommentReference"/>
          <w:b/>
          <w:szCs w:val="24"/>
        </w:rPr>
        <w:t>: Trials/studies</w:t>
      </w:r>
      <w:r w:rsidR="00E42052" w:rsidRPr="005E2068">
        <w:rPr>
          <w:rStyle w:val="CommentReference"/>
          <w:b/>
          <w:szCs w:val="24"/>
        </w:rPr>
        <w:t xml:space="preserve"> </w:t>
      </w:r>
      <w:r w:rsidRPr="005E2068">
        <w:rPr>
          <w:rStyle w:val="CommentReference"/>
          <w:b/>
          <w:szCs w:val="24"/>
        </w:rPr>
        <w:t>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4"/>
        <w:gridCol w:w="5055"/>
        <w:gridCol w:w="2528"/>
      </w:tblGrid>
      <w:tr w:rsidR="00BB36A1" w:rsidRPr="00863B0B" w:rsidTr="1CB8166F">
        <w:trPr>
          <w:trHeight w:val="284"/>
          <w:tblHeader/>
        </w:trPr>
        <w:tc>
          <w:tcPr>
            <w:tcW w:w="795" w:type="pct"/>
          </w:tcPr>
          <w:p w:rsidR="00BB36A1" w:rsidRPr="00863B0B" w:rsidRDefault="00BB36A1" w:rsidP="005E2068">
            <w:pPr>
              <w:pStyle w:val="In-tableHeading"/>
              <w:keepLines/>
              <w:jc w:val="center"/>
              <w:rPr>
                <w:szCs w:val="20"/>
              </w:rPr>
            </w:pPr>
            <w:r w:rsidRPr="00863B0B">
              <w:rPr>
                <w:szCs w:val="20"/>
              </w:rPr>
              <w:t>Trial ID</w:t>
            </w:r>
          </w:p>
        </w:tc>
        <w:tc>
          <w:tcPr>
            <w:tcW w:w="2803" w:type="pct"/>
          </w:tcPr>
          <w:p w:rsidR="00BB36A1" w:rsidRPr="00863B0B" w:rsidRDefault="00BB36A1" w:rsidP="005E2068">
            <w:pPr>
              <w:pStyle w:val="In-tableHeading"/>
              <w:keepLines/>
              <w:rPr>
                <w:szCs w:val="20"/>
              </w:rPr>
            </w:pPr>
            <w:r w:rsidRPr="00863B0B">
              <w:rPr>
                <w:szCs w:val="20"/>
              </w:rPr>
              <w:t>Protocol title/ Publication title</w:t>
            </w:r>
          </w:p>
        </w:tc>
        <w:tc>
          <w:tcPr>
            <w:tcW w:w="1402" w:type="pct"/>
          </w:tcPr>
          <w:p w:rsidR="00BB36A1" w:rsidRPr="00863B0B" w:rsidRDefault="00BB36A1" w:rsidP="005E2068">
            <w:pPr>
              <w:pStyle w:val="In-tableHeading"/>
              <w:keepLines/>
              <w:rPr>
                <w:szCs w:val="20"/>
              </w:rPr>
            </w:pPr>
            <w:r w:rsidRPr="00863B0B">
              <w:rPr>
                <w:szCs w:val="20"/>
              </w:rPr>
              <w:t>Publication citation</w:t>
            </w:r>
          </w:p>
        </w:tc>
      </w:tr>
      <w:tr w:rsidR="00426DBF" w:rsidRPr="00863B0B" w:rsidTr="00426DBF">
        <w:trPr>
          <w:trHeight w:val="284"/>
        </w:trPr>
        <w:tc>
          <w:tcPr>
            <w:tcW w:w="5000" w:type="pct"/>
            <w:gridSpan w:val="3"/>
          </w:tcPr>
          <w:p w:rsidR="00426DBF" w:rsidRDefault="00426DBF" w:rsidP="005E2068">
            <w:pPr>
              <w:pStyle w:val="TableText0"/>
              <w:keepLines/>
            </w:pPr>
            <w:r w:rsidRPr="005838CB">
              <w:rPr>
                <w:b/>
              </w:rPr>
              <w:t>Direct randomised trials</w:t>
            </w:r>
          </w:p>
        </w:tc>
      </w:tr>
      <w:tr w:rsidR="000D266C" w:rsidRPr="00863B0B" w:rsidTr="1CB8166F">
        <w:trPr>
          <w:trHeight w:val="284"/>
        </w:trPr>
        <w:tc>
          <w:tcPr>
            <w:tcW w:w="795" w:type="pct"/>
            <w:vMerge w:val="restart"/>
          </w:tcPr>
          <w:p w:rsidR="000D266C" w:rsidRPr="00863B0B" w:rsidRDefault="000D266C" w:rsidP="005E2068">
            <w:pPr>
              <w:pStyle w:val="TableText0"/>
              <w:keepLines/>
              <w:jc w:val="center"/>
              <w:rPr>
                <w:rFonts w:eastAsia="MS Gothic" w:cs="Times New Roman"/>
              </w:rPr>
            </w:pPr>
            <w:r>
              <w:t>Study 2310</w:t>
            </w:r>
          </w:p>
          <w:p w:rsidR="000D266C" w:rsidRPr="00863B0B" w:rsidRDefault="7E869567" w:rsidP="005E2068">
            <w:pPr>
              <w:pStyle w:val="TableText0"/>
              <w:keepLines/>
              <w:jc w:val="center"/>
              <w:rPr>
                <w:rFonts w:eastAsia="MS Gothic" w:cs="Times New Roman"/>
              </w:rPr>
            </w:pPr>
            <w:r w:rsidRPr="240526C6">
              <w:rPr>
                <w:rFonts w:eastAsia="MS Gothic" w:cs="Times New Roman"/>
              </w:rPr>
              <w:t>(NCT02471144)</w:t>
            </w:r>
          </w:p>
        </w:tc>
        <w:tc>
          <w:tcPr>
            <w:tcW w:w="2803" w:type="pct"/>
          </w:tcPr>
          <w:p w:rsidR="000D266C" w:rsidRPr="00863B0B" w:rsidRDefault="000D266C" w:rsidP="005E2068">
            <w:pPr>
              <w:keepNext/>
              <w:keepLines/>
              <w:rPr>
                <w:rFonts w:ascii="Arial Narrow" w:eastAsia="Arial Narrow" w:hAnsi="Arial Narrow" w:cs="Arial Narrow"/>
                <w:sz w:val="20"/>
                <w:szCs w:val="20"/>
              </w:rPr>
            </w:pPr>
            <w:r w:rsidRPr="00863B0B">
              <w:rPr>
                <w:rFonts w:ascii="Arial Narrow" w:eastAsia="Arial Narrow" w:hAnsi="Arial Narrow" w:cs="Arial Narrow"/>
                <w:sz w:val="20"/>
                <w:szCs w:val="20"/>
              </w:rPr>
              <w:t>A Randomized, Double-blind, Placebo- and Active Controlled Multicenter Trial to Demonstrate Efficacy of Subcutaneous Secukinumab Compared to Placebo and Etanercept (in a Single-blinded Arm) After Twelve Weeks of Treatment, and to Assess the Safety, Tolerability, and Long-term Efficacy in Subjects From 6 to Less Than 18 Years of Age With Severe Chronic Plaque Psoriasis</w:t>
            </w:r>
          </w:p>
        </w:tc>
        <w:tc>
          <w:tcPr>
            <w:tcW w:w="1402" w:type="pct"/>
          </w:tcPr>
          <w:p w:rsidR="00981549" w:rsidRDefault="00981549" w:rsidP="005E2068">
            <w:pPr>
              <w:pStyle w:val="TableText0"/>
              <w:keepLines/>
            </w:pPr>
            <w:r>
              <w:t>Clinical Study Report</w:t>
            </w:r>
          </w:p>
          <w:p w:rsidR="000D266C" w:rsidRPr="00863B0B" w:rsidRDefault="000D266C" w:rsidP="005E2068">
            <w:pPr>
              <w:pStyle w:val="TableText0"/>
              <w:keepLines/>
              <w:rPr>
                <w:rFonts w:eastAsia="MS Gothic" w:cs="Times New Roman"/>
              </w:rPr>
            </w:pPr>
            <w:r>
              <w:t>Ongoing study</w:t>
            </w:r>
          </w:p>
          <w:p w:rsidR="000D266C" w:rsidRPr="00863B0B" w:rsidRDefault="78BF014C" w:rsidP="005E2068">
            <w:pPr>
              <w:pStyle w:val="TableText0"/>
              <w:keepLines/>
              <w:rPr>
                <w:rFonts w:eastAsia="MS Gothic" w:cs="Times New Roman"/>
              </w:rPr>
            </w:pPr>
            <w:r w:rsidRPr="1260728E">
              <w:rPr>
                <w:rFonts w:eastAsia="MS Gothic" w:cs="Times New Roman"/>
              </w:rPr>
              <w:t>Estimated completion date July 19, 2023</w:t>
            </w:r>
          </w:p>
        </w:tc>
      </w:tr>
      <w:tr w:rsidR="00BB36A1" w:rsidRPr="00863B0B" w:rsidTr="1CB8166F">
        <w:trPr>
          <w:trHeight w:val="284"/>
        </w:trPr>
        <w:tc>
          <w:tcPr>
            <w:tcW w:w="795" w:type="pct"/>
            <w:vMerge/>
          </w:tcPr>
          <w:p w:rsidR="00BB36A1" w:rsidRPr="00863B0B" w:rsidRDefault="00BB36A1" w:rsidP="005E2068">
            <w:pPr>
              <w:pStyle w:val="TableText0"/>
              <w:keepLines/>
              <w:jc w:val="center"/>
              <w:rPr>
                <w:szCs w:val="20"/>
              </w:rPr>
            </w:pPr>
          </w:p>
        </w:tc>
        <w:tc>
          <w:tcPr>
            <w:tcW w:w="2803" w:type="pct"/>
          </w:tcPr>
          <w:p w:rsidR="00BB36A1" w:rsidRPr="00863B0B" w:rsidRDefault="00BB36A1" w:rsidP="005E2068">
            <w:pPr>
              <w:pStyle w:val="TableText0"/>
              <w:keepLines/>
              <w:rPr>
                <w:rFonts w:eastAsia="MS Gothic" w:cs="Times New Roman"/>
                <w:szCs w:val="20"/>
              </w:rPr>
            </w:pPr>
            <w:r w:rsidRPr="00863B0B">
              <w:rPr>
                <w:szCs w:val="20"/>
              </w:rPr>
              <w:t xml:space="preserve">Bodemer et al. Secukinumab demonstrates high efficacy and a favourable safety profile in paediatric patients with severe chronic plaque psoriasis: </w:t>
            </w:r>
            <w:r w:rsidR="00444EFF">
              <w:rPr>
                <w:szCs w:val="20"/>
              </w:rPr>
              <w:t>Week 52</w:t>
            </w:r>
            <w:r w:rsidRPr="00863B0B">
              <w:rPr>
                <w:szCs w:val="20"/>
              </w:rPr>
              <w:t xml:space="preserve"> results from a Phase 3 double-blind randomized, controlled trial.</w:t>
            </w:r>
          </w:p>
        </w:tc>
        <w:tc>
          <w:tcPr>
            <w:tcW w:w="1402" w:type="pct"/>
          </w:tcPr>
          <w:p w:rsidR="00BB36A1" w:rsidRPr="00D57C6D" w:rsidRDefault="00BB36A1" w:rsidP="005E2068">
            <w:pPr>
              <w:pStyle w:val="TableText0"/>
              <w:keepLines/>
              <w:rPr>
                <w:rFonts w:eastAsia="MS Gothic" w:cs="Times New Roman"/>
                <w:iCs/>
                <w:szCs w:val="20"/>
              </w:rPr>
            </w:pPr>
            <w:r w:rsidRPr="00D57C6D">
              <w:rPr>
                <w:iCs/>
                <w:szCs w:val="20"/>
              </w:rPr>
              <w:t>Journal of the European Academy of Dermatology and Venereology 2021, 35 (4): 938-947</w:t>
            </w:r>
            <w:r w:rsidR="00E46620">
              <w:rPr>
                <w:iCs/>
                <w:szCs w:val="20"/>
              </w:rPr>
              <w:t>.</w:t>
            </w:r>
          </w:p>
        </w:tc>
      </w:tr>
      <w:tr w:rsidR="00426DBF" w:rsidRPr="00863B0B" w:rsidTr="00E46620">
        <w:trPr>
          <w:trHeight w:val="284"/>
        </w:trPr>
        <w:tc>
          <w:tcPr>
            <w:tcW w:w="5000" w:type="pct"/>
            <w:gridSpan w:val="3"/>
          </w:tcPr>
          <w:p w:rsidR="00426DBF" w:rsidRPr="00D57C6D" w:rsidRDefault="00426DBF" w:rsidP="005E2068">
            <w:pPr>
              <w:pStyle w:val="TableText0"/>
              <w:keepLines/>
              <w:rPr>
                <w:szCs w:val="20"/>
                <w:highlight w:val="yellow"/>
                <w:lang w:val="en-US"/>
              </w:rPr>
            </w:pPr>
            <w:r w:rsidRPr="009F5F2E">
              <w:rPr>
                <w:b/>
              </w:rPr>
              <w:t>Indirect randomised trials</w:t>
            </w:r>
          </w:p>
        </w:tc>
      </w:tr>
      <w:tr w:rsidR="00E46620" w:rsidRPr="00863B0B" w:rsidTr="00E46620">
        <w:trPr>
          <w:trHeight w:val="943"/>
        </w:trPr>
        <w:tc>
          <w:tcPr>
            <w:tcW w:w="795" w:type="pct"/>
            <w:vMerge w:val="restart"/>
          </w:tcPr>
          <w:p w:rsidR="00E46620" w:rsidRDefault="00E46620" w:rsidP="005E2068">
            <w:pPr>
              <w:pStyle w:val="TableText0"/>
              <w:keepLines/>
              <w:jc w:val="center"/>
              <w:rPr>
                <w:rFonts w:eastAsia="MS Gothic" w:cs="Times New Roman"/>
                <w:szCs w:val="20"/>
              </w:rPr>
            </w:pPr>
            <w:r w:rsidRPr="00863B0B">
              <w:rPr>
                <w:rFonts w:eastAsia="MS Gothic" w:cs="Times New Roman"/>
                <w:szCs w:val="20"/>
              </w:rPr>
              <w:t>CADMUS</w:t>
            </w:r>
            <w:r>
              <w:rPr>
                <w:rFonts w:eastAsia="MS Gothic" w:cs="Times New Roman"/>
                <w:szCs w:val="20"/>
                <w:vertAlign w:val="superscript"/>
              </w:rPr>
              <w:t>a</w:t>
            </w:r>
          </w:p>
          <w:p w:rsidR="00E46620" w:rsidRPr="00981549" w:rsidRDefault="00E46620" w:rsidP="005E2068">
            <w:pPr>
              <w:pStyle w:val="TableText0"/>
              <w:keepLines/>
              <w:jc w:val="center"/>
              <w:rPr>
                <w:rFonts w:eastAsia="MS Gothic" w:cs="Times New Roman"/>
                <w:szCs w:val="20"/>
              </w:rPr>
            </w:pPr>
            <w:r>
              <w:rPr>
                <w:rFonts w:eastAsia="MS Gothic" w:cs="Times New Roman"/>
                <w:szCs w:val="20"/>
              </w:rPr>
              <w:t>(</w:t>
            </w:r>
            <w:r w:rsidRPr="00981549">
              <w:rPr>
                <w:rFonts w:eastAsia="MS Gothic" w:cs="Times New Roman"/>
                <w:szCs w:val="20"/>
              </w:rPr>
              <w:t>NCT01090427</w:t>
            </w:r>
            <w:r>
              <w:rPr>
                <w:rFonts w:eastAsia="MS Gothic" w:cs="Times New Roman"/>
                <w:szCs w:val="20"/>
              </w:rPr>
              <w:t>)</w:t>
            </w:r>
          </w:p>
        </w:tc>
        <w:tc>
          <w:tcPr>
            <w:tcW w:w="2803" w:type="pct"/>
          </w:tcPr>
          <w:p w:rsidR="00E46620" w:rsidRPr="00E46620" w:rsidRDefault="00E46620" w:rsidP="005E2068">
            <w:pPr>
              <w:keepNext/>
              <w:keepLines/>
              <w:rPr>
                <w:rFonts w:ascii="Arial Narrow" w:eastAsia="Arial Narrow" w:hAnsi="Arial Narrow" w:cs="Arial Narrow"/>
                <w:color w:val="000000" w:themeColor="text1"/>
                <w:sz w:val="20"/>
                <w:szCs w:val="20"/>
              </w:rPr>
            </w:pPr>
            <w:r w:rsidRPr="00863B0B">
              <w:rPr>
                <w:rFonts w:ascii="Arial Narrow" w:eastAsia="Arial Narrow" w:hAnsi="Arial Narrow" w:cs="Arial Narrow"/>
                <w:color w:val="000000" w:themeColor="text1"/>
                <w:sz w:val="20"/>
                <w:szCs w:val="20"/>
              </w:rPr>
              <w:t>A Phase 3 Multicenter, Randomized, Double-blind, Placebo-controlled Study Evaluating the of Efficacy and Safety of Ustekinumab in the Treatment of Adolescent Subjects With</w:t>
            </w:r>
            <w:r w:rsidR="00541E1C">
              <w:rPr>
                <w:rFonts w:ascii="Arial Narrow" w:eastAsia="Arial Narrow" w:hAnsi="Arial Narrow" w:cs="Arial Narrow"/>
                <w:color w:val="000000" w:themeColor="text1"/>
                <w:sz w:val="20"/>
                <w:szCs w:val="20"/>
              </w:rPr>
              <w:t xml:space="preserve"> </w:t>
            </w:r>
            <w:r w:rsidRPr="00863B0B">
              <w:rPr>
                <w:rFonts w:ascii="Arial Narrow" w:eastAsia="Arial Narrow" w:hAnsi="Arial Narrow" w:cs="Arial Narrow"/>
                <w:color w:val="000000" w:themeColor="text1"/>
                <w:sz w:val="20"/>
                <w:szCs w:val="20"/>
              </w:rPr>
              <w:t>Moderate to Severe</w:t>
            </w:r>
            <w:r>
              <w:rPr>
                <w:rFonts w:ascii="Arial Narrow" w:eastAsia="Arial Narrow" w:hAnsi="Arial Narrow" w:cs="Arial Narrow"/>
                <w:color w:val="000000" w:themeColor="text1"/>
                <w:sz w:val="20"/>
                <w:szCs w:val="20"/>
              </w:rPr>
              <w:t xml:space="preserve"> Plaque-type Psoriasis (CADMUS)</w:t>
            </w:r>
          </w:p>
        </w:tc>
        <w:tc>
          <w:tcPr>
            <w:tcW w:w="1402" w:type="pct"/>
          </w:tcPr>
          <w:p w:rsidR="00E46620" w:rsidRPr="00981549" w:rsidRDefault="00E46620" w:rsidP="005E2068">
            <w:pPr>
              <w:pStyle w:val="TableText0"/>
              <w:keepLines/>
              <w:rPr>
                <w:szCs w:val="20"/>
                <w:lang w:val="en-US"/>
              </w:rPr>
            </w:pPr>
            <w:r w:rsidRPr="00981549">
              <w:rPr>
                <w:szCs w:val="20"/>
                <w:lang w:val="en-US"/>
              </w:rPr>
              <w:t>Clinical Study Report</w:t>
            </w:r>
          </w:p>
          <w:p w:rsidR="00E46620" w:rsidRPr="00E46620" w:rsidRDefault="00E46620" w:rsidP="005E2068">
            <w:pPr>
              <w:pStyle w:val="TableText0"/>
              <w:keepLines/>
              <w:rPr>
                <w:szCs w:val="20"/>
                <w:lang w:val="en-US"/>
              </w:rPr>
            </w:pPr>
            <w:r w:rsidRPr="00981549">
              <w:rPr>
                <w:szCs w:val="20"/>
                <w:lang w:val="en-US"/>
              </w:rPr>
              <w:t>2014</w:t>
            </w:r>
          </w:p>
        </w:tc>
      </w:tr>
      <w:tr w:rsidR="00E46620" w:rsidRPr="00863B0B" w:rsidTr="00E46620">
        <w:trPr>
          <w:trHeight w:val="757"/>
        </w:trPr>
        <w:tc>
          <w:tcPr>
            <w:tcW w:w="795" w:type="pct"/>
            <w:vMerge/>
          </w:tcPr>
          <w:p w:rsidR="00E46620" w:rsidRPr="00863B0B" w:rsidRDefault="00E46620" w:rsidP="005E2068">
            <w:pPr>
              <w:pStyle w:val="TableText0"/>
              <w:keepLines/>
              <w:jc w:val="center"/>
              <w:rPr>
                <w:rFonts w:eastAsia="MS Gothic" w:cs="Times New Roman"/>
                <w:szCs w:val="20"/>
              </w:rPr>
            </w:pPr>
          </w:p>
        </w:tc>
        <w:tc>
          <w:tcPr>
            <w:tcW w:w="2803" w:type="pct"/>
          </w:tcPr>
          <w:p w:rsidR="00E46620" w:rsidRPr="00E46620" w:rsidRDefault="00E46620" w:rsidP="005E2068">
            <w:pPr>
              <w:pStyle w:val="TableText0"/>
              <w:keepLines/>
              <w:rPr>
                <w:szCs w:val="20"/>
                <w:lang w:val="en-US"/>
              </w:rPr>
            </w:pPr>
            <w:r w:rsidRPr="00863B0B">
              <w:rPr>
                <w:szCs w:val="20"/>
                <w:lang w:val="en-US"/>
              </w:rPr>
              <w:t>Landells et al. Ustekinumab in adolescent patients age 12 to 17 years with moderate-to-severe plaque psoriasis: Results of the r</w:t>
            </w:r>
            <w:r>
              <w:rPr>
                <w:szCs w:val="20"/>
                <w:lang w:val="en-US"/>
              </w:rPr>
              <w:t>andomized phase 3 CADMUS study.</w:t>
            </w:r>
          </w:p>
        </w:tc>
        <w:tc>
          <w:tcPr>
            <w:tcW w:w="1402" w:type="pct"/>
          </w:tcPr>
          <w:p w:rsidR="00E46620" w:rsidRPr="00981549" w:rsidRDefault="00E46620" w:rsidP="005E2068">
            <w:pPr>
              <w:pStyle w:val="TableText0"/>
              <w:keepLines/>
              <w:rPr>
                <w:szCs w:val="20"/>
                <w:lang w:val="en-US"/>
              </w:rPr>
            </w:pPr>
            <w:r w:rsidRPr="00D57C6D">
              <w:rPr>
                <w:iCs/>
                <w:szCs w:val="20"/>
                <w:lang w:val="en-US"/>
              </w:rPr>
              <w:t>Journal of the American Academy of Dermatology 2015 73 (4): 594-603</w:t>
            </w:r>
            <w:r>
              <w:rPr>
                <w:iCs/>
                <w:szCs w:val="20"/>
                <w:lang w:val="en-US"/>
              </w:rPr>
              <w:t>.</w:t>
            </w:r>
          </w:p>
        </w:tc>
      </w:tr>
      <w:tr w:rsidR="00E46620" w:rsidRPr="00863B0B" w:rsidTr="1CB8166F">
        <w:trPr>
          <w:trHeight w:val="941"/>
        </w:trPr>
        <w:tc>
          <w:tcPr>
            <w:tcW w:w="795" w:type="pct"/>
            <w:vMerge/>
          </w:tcPr>
          <w:p w:rsidR="00E46620" w:rsidRPr="00863B0B" w:rsidRDefault="00E46620" w:rsidP="005E2068">
            <w:pPr>
              <w:pStyle w:val="TableText0"/>
              <w:keepLines/>
              <w:jc w:val="center"/>
              <w:rPr>
                <w:rFonts w:eastAsia="MS Gothic" w:cs="Times New Roman"/>
                <w:szCs w:val="20"/>
              </w:rPr>
            </w:pPr>
          </w:p>
        </w:tc>
        <w:tc>
          <w:tcPr>
            <w:tcW w:w="2803" w:type="pct"/>
          </w:tcPr>
          <w:p w:rsidR="00E46620" w:rsidRPr="00863B0B" w:rsidRDefault="00E46620" w:rsidP="005E2068">
            <w:pPr>
              <w:keepNext/>
              <w:keepLines/>
              <w:rPr>
                <w:rFonts w:ascii="Arial Narrow" w:eastAsia="Arial Narrow" w:hAnsi="Arial Narrow" w:cs="Arial Narrow"/>
                <w:color w:val="000000" w:themeColor="text1"/>
                <w:sz w:val="20"/>
                <w:szCs w:val="20"/>
              </w:rPr>
            </w:pPr>
            <w:r w:rsidRPr="00E46620">
              <w:rPr>
                <w:rFonts w:ascii="Arial Narrow" w:eastAsia="Arial Narrow" w:hAnsi="Arial Narrow" w:cs="Arial Narrow"/>
                <w:color w:val="000000" w:themeColor="text1"/>
                <w:sz w:val="20"/>
                <w:szCs w:val="20"/>
              </w:rPr>
              <w:t>Landells et al. Safety and efficacy of ustekinumab in adolescent patients with moderate to severe plaque psoriasis: Results through 1 year of the phase 3 CADMUS trial.</w:t>
            </w:r>
          </w:p>
        </w:tc>
        <w:tc>
          <w:tcPr>
            <w:tcW w:w="1402" w:type="pct"/>
          </w:tcPr>
          <w:p w:rsidR="00E46620" w:rsidRPr="00981549" w:rsidRDefault="00E46620" w:rsidP="005E2068">
            <w:pPr>
              <w:pStyle w:val="TableText0"/>
              <w:keepLines/>
              <w:rPr>
                <w:szCs w:val="20"/>
                <w:lang w:val="en-US"/>
              </w:rPr>
            </w:pPr>
            <w:r w:rsidRPr="00D57C6D">
              <w:rPr>
                <w:szCs w:val="20"/>
                <w:lang w:val="en-US"/>
              </w:rPr>
              <w:t>73rd Annual Meeting of the American Academy of Dermatology.</w:t>
            </w:r>
            <w:r w:rsidRPr="00D57C6D">
              <w:rPr>
                <w:iCs/>
                <w:szCs w:val="20"/>
                <w:lang w:val="en-US"/>
              </w:rPr>
              <w:t xml:space="preserve"> J Journal of the American Academy of Dermatology (2015) 72:5 SUPPL. 1 (AB202).</w:t>
            </w:r>
          </w:p>
        </w:tc>
      </w:tr>
    </w:tbl>
    <w:p w:rsidR="00BB36A1" w:rsidRDefault="00BB36A1" w:rsidP="000D266C">
      <w:pPr>
        <w:pStyle w:val="TableFigureFooter"/>
      </w:pPr>
      <w:r>
        <w:t>Source: Table 2.10, p53-55 of the submission.</w:t>
      </w:r>
    </w:p>
    <w:p w:rsidR="009D145C" w:rsidRDefault="00621221" w:rsidP="000D266C">
      <w:pPr>
        <w:pStyle w:val="TableFigureFooter"/>
        <w:rPr>
          <w:rFonts w:eastAsia="Arial Narrow" w:cs="Arial Narrow"/>
          <w:szCs w:val="18"/>
        </w:rPr>
      </w:pPr>
      <w:r w:rsidRPr="00621221">
        <w:rPr>
          <w:vertAlign w:val="superscript"/>
        </w:rPr>
        <w:t>a</w:t>
      </w:r>
      <w:r w:rsidR="009D145C">
        <w:t xml:space="preserve"> </w:t>
      </w:r>
      <w:r w:rsidR="0047723E">
        <w:rPr>
          <w:rFonts w:eastAsia="Arial Narrow" w:cs="Arial Narrow"/>
          <w:szCs w:val="18"/>
        </w:rPr>
        <w:t>T</w:t>
      </w:r>
      <w:r w:rsidR="00E6261A" w:rsidRPr="00E6261A">
        <w:rPr>
          <w:rFonts w:eastAsia="Arial Narrow" w:cs="Arial Narrow"/>
          <w:szCs w:val="18"/>
        </w:rPr>
        <w:t xml:space="preserve">he </w:t>
      </w:r>
      <w:r w:rsidR="00E6261A" w:rsidRPr="6BC1A975">
        <w:rPr>
          <w:rFonts w:eastAsia="Arial Narrow" w:cs="Arial Narrow"/>
          <w:szCs w:val="18"/>
        </w:rPr>
        <w:t>PBAC has previously considered</w:t>
      </w:r>
      <w:r w:rsidR="007611BD">
        <w:rPr>
          <w:rFonts w:eastAsia="Arial Narrow" w:cs="Arial Narrow"/>
          <w:szCs w:val="18"/>
        </w:rPr>
        <w:t xml:space="preserve"> the</w:t>
      </w:r>
      <w:r w:rsidR="00E6261A" w:rsidRPr="6BC1A975">
        <w:rPr>
          <w:rFonts w:eastAsia="Arial Narrow" w:cs="Arial Narrow"/>
          <w:szCs w:val="18"/>
        </w:rPr>
        <w:t xml:space="preserve"> CADMUS</w:t>
      </w:r>
      <w:r w:rsidR="007611BD">
        <w:rPr>
          <w:rFonts w:eastAsia="Arial Narrow" w:cs="Arial Narrow"/>
          <w:szCs w:val="18"/>
        </w:rPr>
        <w:t xml:space="preserve"> trial</w:t>
      </w:r>
      <w:r w:rsidR="00E6261A" w:rsidRPr="6BC1A975">
        <w:rPr>
          <w:rFonts w:eastAsia="Arial Narrow" w:cs="Arial Narrow"/>
          <w:szCs w:val="18"/>
        </w:rPr>
        <w:t xml:space="preserve"> for</w:t>
      </w:r>
      <w:r w:rsidR="00DB76F9">
        <w:rPr>
          <w:rFonts w:eastAsia="Arial Narrow" w:cs="Arial Narrow"/>
          <w:szCs w:val="18"/>
        </w:rPr>
        <w:t xml:space="preserve"> </w:t>
      </w:r>
      <w:r w:rsidR="00DB76F9" w:rsidRPr="6BC1A975">
        <w:rPr>
          <w:rFonts w:eastAsia="Arial Narrow" w:cs="Arial Narrow"/>
          <w:szCs w:val="18"/>
        </w:rPr>
        <w:t>ustekinumab</w:t>
      </w:r>
      <w:r w:rsidR="007611BD">
        <w:rPr>
          <w:rFonts w:eastAsia="Arial Narrow" w:cs="Arial Narrow"/>
          <w:szCs w:val="18"/>
        </w:rPr>
        <w:t xml:space="preserve"> </w:t>
      </w:r>
      <w:r w:rsidR="00DB76F9">
        <w:rPr>
          <w:rFonts w:eastAsia="Arial Narrow" w:cs="Arial Narrow"/>
          <w:szCs w:val="18"/>
        </w:rPr>
        <w:t>in</w:t>
      </w:r>
      <w:r w:rsidR="00E6261A" w:rsidRPr="6BC1A975">
        <w:rPr>
          <w:rFonts w:eastAsia="Arial Narrow" w:cs="Arial Narrow"/>
          <w:szCs w:val="18"/>
        </w:rPr>
        <w:t xml:space="preserve"> </w:t>
      </w:r>
      <w:r w:rsidR="00E6261A">
        <w:rPr>
          <w:rFonts w:eastAsia="Arial Narrow" w:cs="Arial Narrow"/>
          <w:szCs w:val="18"/>
        </w:rPr>
        <w:t>paediatric</w:t>
      </w:r>
      <w:r w:rsidR="00DB76F9">
        <w:rPr>
          <w:rFonts w:eastAsia="Arial Narrow" w:cs="Arial Narrow"/>
          <w:szCs w:val="18"/>
        </w:rPr>
        <w:t xml:space="preserve"> severe</w:t>
      </w:r>
      <w:r w:rsidR="00E6261A">
        <w:rPr>
          <w:rFonts w:eastAsia="Arial Narrow" w:cs="Arial Narrow"/>
          <w:szCs w:val="18"/>
        </w:rPr>
        <w:t xml:space="preserve"> CPP </w:t>
      </w:r>
      <w:r w:rsidR="007611BD">
        <w:rPr>
          <w:rFonts w:eastAsia="Arial Narrow" w:cs="Arial Narrow"/>
          <w:szCs w:val="18"/>
        </w:rPr>
        <w:t>in March 2021.</w:t>
      </w:r>
    </w:p>
    <w:p w:rsidR="00B56103" w:rsidRDefault="00B56103">
      <w:pPr>
        <w:rPr>
          <w:rFonts w:eastAsia="SimSun" w:cs="Arial"/>
          <w:snapToGrid w:val="0"/>
          <w:lang w:eastAsia="en-AU"/>
        </w:rPr>
      </w:pPr>
      <w:r>
        <w:br w:type="page"/>
      </w:r>
    </w:p>
    <w:p w:rsidR="00BB36A1" w:rsidRPr="0099798A" w:rsidRDefault="00BB36A1" w:rsidP="00BB36A1">
      <w:pPr>
        <w:pStyle w:val="3-BodyText"/>
        <w:rPr>
          <w:color w:val="0066FF"/>
        </w:rPr>
      </w:pPr>
      <w:r w:rsidRPr="0099798A">
        <w:t xml:space="preserve">The key features of the studies are summarised in </w:t>
      </w:r>
      <w:r w:rsidR="002564B8">
        <w:t>Table 3</w:t>
      </w:r>
      <w:r w:rsidRPr="0099798A">
        <w:t>.</w:t>
      </w:r>
    </w:p>
    <w:p w:rsidR="00BB36A1" w:rsidRPr="005E2068" w:rsidRDefault="00BB36A1" w:rsidP="005E2068">
      <w:pPr>
        <w:pStyle w:val="TableFigureHeading"/>
        <w:keepLines/>
        <w:rPr>
          <w:rStyle w:val="CommentReference"/>
          <w:b/>
          <w:szCs w:val="24"/>
        </w:rPr>
      </w:pPr>
      <w:r w:rsidRPr="005E2068">
        <w:rPr>
          <w:rStyle w:val="CommentReference"/>
          <w:b/>
          <w:szCs w:val="24"/>
        </w:rPr>
        <w:t xml:space="preserve">Table </w:t>
      </w:r>
      <w:r w:rsidR="002564B8" w:rsidRPr="005E2068">
        <w:rPr>
          <w:rStyle w:val="CommentReference"/>
          <w:b/>
          <w:szCs w:val="24"/>
        </w:rPr>
        <w:t>3</w:t>
      </w:r>
      <w:r w:rsidRPr="005E2068">
        <w:rPr>
          <w:rStyle w:val="CommentReference"/>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03"/>
        <w:gridCol w:w="1502"/>
        <w:gridCol w:w="1502"/>
        <w:gridCol w:w="1502"/>
        <w:gridCol w:w="1502"/>
        <w:gridCol w:w="1506"/>
      </w:tblGrid>
      <w:tr w:rsidR="00BE1E2A" w:rsidRPr="00486F56" w:rsidTr="00BE1E2A">
        <w:trPr>
          <w:cantSplit/>
          <w:tblHeader/>
        </w:trPr>
        <w:tc>
          <w:tcPr>
            <w:tcW w:w="833" w:type="pct"/>
            <w:shd w:val="clear" w:color="auto" w:fill="auto"/>
            <w:vAlign w:val="center"/>
          </w:tcPr>
          <w:p w:rsidR="00BE1E2A" w:rsidRPr="00486F56" w:rsidRDefault="00BE1E2A" w:rsidP="005E2068">
            <w:pPr>
              <w:pStyle w:val="In-tableHeading"/>
              <w:keepLines/>
              <w:rPr>
                <w:szCs w:val="20"/>
              </w:rPr>
            </w:pPr>
            <w:r w:rsidRPr="00486F56">
              <w:rPr>
                <w:szCs w:val="20"/>
              </w:rPr>
              <w:t>Trial</w:t>
            </w:r>
          </w:p>
        </w:tc>
        <w:tc>
          <w:tcPr>
            <w:tcW w:w="833" w:type="pct"/>
            <w:shd w:val="clear" w:color="auto" w:fill="auto"/>
            <w:vAlign w:val="center"/>
          </w:tcPr>
          <w:p w:rsidR="00BE1E2A" w:rsidRPr="00486F56" w:rsidRDefault="00BE1E2A" w:rsidP="005E2068">
            <w:pPr>
              <w:pStyle w:val="In-tableHeading"/>
              <w:keepLines/>
              <w:jc w:val="center"/>
              <w:rPr>
                <w:szCs w:val="20"/>
              </w:rPr>
            </w:pPr>
            <w:r w:rsidRPr="00486F56">
              <w:rPr>
                <w:szCs w:val="20"/>
              </w:rPr>
              <w:t>N</w:t>
            </w:r>
          </w:p>
        </w:tc>
        <w:tc>
          <w:tcPr>
            <w:tcW w:w="833" w:type="pct"/>
            <w:shd w:val="clear" w:color="auto" w:fill="auto"/>
            <w:vAlign w:val="center"/>
          </w:tcPr>
          <w:p w:rsidR="00BE1E2A" w:rsidRPr="00486F56" w:rsidRDefault="00BE1E2A" w:rsidP="005E2068">
            <w:pPr>
              <w:pStyle w:val="In-tableHeading"/>
              <w:keepLines/>
              <w:jc w:val="center"/>
              <w:rPr>
                <w:szCs w:val="20"/>
              </w:rPr>
            </w:pPr>
            <w:r w:rsidRPr="00486F56">
              <w:rPr>
                <w:szCs w:val="20"/>
              </w:rPr>
              <w:t>Design/ duration</w:t>
            </w:r>
          </w:p>
        </w:tc>
        <w:tc>
          <w:tcPr>
            <w:tcW w:w="833" w:type="pct"/>
            <w:shd w:val="clear" w:color="auto" w:fill="auto"/>
            <w:vAlign w:val="center"/>
          </w:tcPr>
          <w:p w:rsidR="00BE1E2A" w:rsidRPr="00486F56" w:rsidRDefault="00BE1E2A" w:rsidP="005E2068">
            <w:pPr>
              <w:pStyle w:val="In-tableHeading"/>
              <w:keepLines/>
              <w:jc w:val="center"/>
              <w:rPr>
                <w:szCs w:val="20"/>
              </w:rPr>
            </w:pPr>
            <w:r w:rsidRPr="00486F56">
              <w:rPr>
                <w:szCs w:val="20"/>
              </w:rPr>
              <w:t>Risk of bias</w:t>
            </w:r>
          </w:p>
        </w:tc>
        <w:tc>
          <w:tcPr>
            <w:tcW w:w="833" w:type="pct"/>
            <w:shd w:val="clear" w:color="auto" w:fill="auto"/>
            <w:vAlign w:val="center"/>
          </w:tcPr>
          <w:p w:rsidR="00BE1E2A" w:rsidRPr="00486F56" w:rsidRDefault="00BE1E2A" w:rsidP="005E2068">
            <w:pPr>
              <w:pStyle w:val="In-tableHeading"/>
              <w:keepLines/>
              <w:jc w:val="center"/>
              <w:rPr>
                <w:szCs w:val="20"/>
              </w:rPr>
            </w:pPr>
            <w:r w:rsidRPr="00486F56">
              <w:rPr>
                <w:szCs w:val="20"/>
              </w:rPr>
              <w:t>Patient population</w:t>
            </w:r>
          </w:p>
        </w:tc>
        <w:tc>
          <w:tcPr>
            <w:tcW w:w="835" w:type="pct"/>
            <w:shd w:val="clear" w:color="auto" w:fill="auto"/>
            <w:vAlign w:val="center"/>
          </w:tcPr>
          <w:p w:rsidR="00BE1E2A" w:rsidRPr="00486F56" w:rsidRDefault="00BE1E2A" w:rsidP="005E2068">
            <w:pPr>
              <w:pStyle w:val="In-tableHeading"/>
              <w:keepLines/>
              <w:jc w:val="center"/>
            </w:pPr>
            <w:r w:rsidRPr="00486F56">
              <w:rPr>
                <w:szCs w:val="20"/>
              </w:rPr>
              <w:t>Primary outcomes</w:t>
            </w:r>
          </w:p>
        </w:tc>
      </w:tr>
      <w:tr w:rsidR="00BB36A1" w:rsidRPr="00486F56" w:rsidTr="1CB8166F">
        <w:trPr>
          <w:cantSplit/>
          <w:tblHeader/>
        </w:trPr>
        <w:tc>
          <w:tcPr>
            <w:tcW w:w="5000" w:type="pct"/>
            <w:gridSpan w:val="6"/>
            <w:shd w:val="clear" w:color="auto" w:fill="auto"/>
            <w:vAlign w:val="center"/>
          </w:tcPr>
          <w:p w:rsidR="00BB36A1" w:rsidRPr="00486F56" w:rsidRDefault="00BB36A1" w:rsidP="005E2068">
            <w:pPr>
              <w:pStyle w:val="In-tableHeading"/>
              <w:keepLines/>
              <w:rPr>
                <w:rFonts w:eastAsia="MS Gothic"/>
                <w:bCs/>
                <w:szCs w:val="20"/>
              </w:rPr>
            </w:pPr>
            <w:r w:rsidRPr="00486F56">
              <w:rPr>
                <w:rFonts w:eastAsia="MS Gothic"/>
                <w:bCs/>
                <w:szCs w:val="20"/>
              </w:rPr>
              <w:t>Direct comparison</w:t>
            </w:r>
          </w:p>
        </w:tc>
      </w:tr>
      <w:tr w:rsidR="00BB36A1" w:rsidRPr="00486F56" w:rsidTr="1CB8166F">
        <w:trPr>
          <w:cantSplit/>
        </w:trPr>
        <w:tc>
          <w:tcPr>
            <w:tcW w:w="5000" w:type="pct"/>
            <w:gridSpan w:val="6"/>
            <w:shd w:val="clear" w:color="auto" w:fill="auto"/>
            <w:vAlign w:val="center"/>
          </w:tcPr>
          <w:p w:rsidR="00BB36A1" w:rsidRPr="00486F56" w:rsidRDefault="3CAE4298" w:rsidP="005E2068">
            <w:pPr>
              <w:pStyle w:val="In-tableHeading"/>
              <w:keepLines/>
            </w:pPr>
            <w:r>
              <w:t>Secukinumab vs etanercept</w:t>
            </w:r>
          </w:p>
        </w:tc>
      </w:tr>
      <w:tr w:rsidR="00BE1E2A" w:rsidRPr="00486F56" w:rsidTr="00BE1E2A">
        <w:trPr>
          <w:cantSplit/>
        </w:trPr>
        <w:tc>
          <w:tcPr>
            <w:tcW w:w="833" w:type="pct"/>
            <w:shd w:val="clear" w:color="auto" w:fill="auto"/>
            <w:vAlign w:val="center"/>
          </w:tcPr>
          <w:p w:rsidR="00BE1E2A" w:rsidRPr="00486F56" w:rsidRDefault="00BE1E2A" w:rsidP="005E2068">
            <w:pPr>
              <w:pStyle w:val="TableText0"/>
              <w:keepLines/>
              <w:spacing w:line="259" w:lineRule="auto"/>
              <w:rPr>
                <w:rFonts w:eastAsia="MS Gothic" w:cs="Times New Roman"/>
                <w:szCs w:val="20"/>
                <w:lang w:val="en-US"/>
              </w:rPr>
            </w:pPr>
            <w:r w:rsidRPr="00486F56">
              <w:rPr>
                <w:szCs w:val="20"/>
                <w:lang w:val="en-US"/>
              </w:rPr>
              <w:t>Study 2310</w:t>
            </w:r>
          </w:p>
        </w:tc>
        <w:tc>
          <w:tcPr>
            <w:tcW w:w="833" w:type="pct"/>
            <w:shd w:val="clear" w:color="auto" w:fill="auto"/>
            <w:vAlign w:val="center"/>
          </w:tcPr>
          <w:p w:rsidR="00BE1E2A" w:rsidRPr="00486F56" w:rsidRDefault="00BE1E2A" w:rsidP="005E2068">
            <w:pPr>
              <w:pStyle w:val="TableText0"/>
              <w:keepLines/>
              <w:jc w:val="center"/>
              <w:rPr>
                <w:szCs w:val="20"/>
                <w:lang w:val="en-US"/>
              </w:rPr>
            </w:pPr>
            <w:r w:rsidRPr="00486F56">
              <w:rPr>
                <w:szCs w:val="20"/>
                <w:lang w:val="en-US"/>
              </w:rPr>
              <w:t>162</w:t>
            </w:r>
          </w:p>
        </w:tc>
        <w:tc>
          <w:tcPr>
            <w:tcW w:w="833" w:type="pct"/>
            <w:shd w:val="clear" w:color="auto" w:fill="auto"/>
            <w:vAlign w:val="center"/>
          </w:tcPr>
          <w:p w:rsidR="00BE1E2A" w:rsidRPr="00486F56" w:rsidRDefault="00BE1E2A" w:rsidP="005E2068">
            <w:pPr>
              <w:pStyle w:val="TableText0"/>
              <w:keepLines/>
              <w:jc w:val="center"/>
              <w:rPr>
                <w:szCs w:val="20"/>
                <w:lang w:val="en-US"/>
              </w:rPr>
            </w:pPr>
            <w:r w:rsidRPr="00486F56">
              <w:rPr>
                <w:szCs w:val="20"/>
                <w:lang w:val="en-US"/>
              </w:rPr>
              <w:t>R, DB</w:t>
            </w:r>
          </w:p>
          <w:p w:rsidR="00BE1E2A" w:rsidRPr="00486F56" w:rsidRDefault="00BE1E2A" w:rsidP="005E2068">
            <w:pPr>
              <w:pStyle w:val="TableText0"/>
              <w:keepLines/>
              <w:spacing w:line="259" w:lineRule="auto"/>
              <w:jc w:val="center"/>
              <w:rPr>
                <w:rFonts w:eastAsia="MS Gothic" w:cs="Times New Roman"/>
                <w:szCs w:val="20"/>
                <w:lang w:val="en-US"/>
              </w:rPr>
            </w:pPr>
            <w:r w:rsidRPr="00486F56">
              <w:rPr>
                <w:szCs w:val="20"/>
                <w:lang w:val="en-US"/>
              </w:rPr>
              <w:t>52 weeks</w:t>
            </w:r>
          </w:p>
        </w:tc>
        <w:tc>
          <w:tcPr>
            <w:tcW w:w="833" w:type="pct"/>
            <w:shd w:val="clear" w:color="auto" w:fill="auto"/>
            <w:vAlign w:val="center"/>
          </w:tcPr>
          <w:p w:rsidR="00BE1E2A" w:rsidRPr="00486F56" w:rsidRDefault="00BE1E2A" w:rsidP="005E2068">
            <w:pPr>
              <w:pStyle w:val="TableText0"/>
              <w:keepLines/>
              <w:spacing w:line="259" w:lineRule="auto"/>
              <w:jc w:val="center"/>
              <w:rPr>
                <w:rFonts w:eastAsia="MS Gothic" w:cs="Times New Roman"/>
                <w:lang w:val="en-US"/>
              </w:rPr>
            </w:pPr>
            <w:r w:rsidRPr="3051EA8F">
              <w:rPr>
                <w:lang w:val="en-US"/>
              </w:rPr>
              <w:t>Moderate</w:t>
            </w:r>
          </w:p>
        </w:tc>
        <w:tc>
          <w:tcPr>
            <w:tcW w:w="833" w:type="pct"/>
            <w:shd w:val="clear" w:color="auto" w:fill="auto"/>
            <w:vAlign w:val="center"/>
          </w:tcPr>
          <w:p w:rsidR="00BE1E2A" w:rsidRPr="00486F56" w:rsidRDefault="00BE1E2A" w:rsidP="005E2068">
            <w:pPr>
              <w:pStyle w:val="TableText0"/>
              <w:keepLines/>
              <w:spacing w:line="259" w:lineRule="auto"/>
              <w:jc w:val="center"/>
              <w:rPr>
                <w:rFonts w:eastAsia="MS Gothic" w:cs="Times New Roman"/>
                <w:szCs w:val="20"/>
                <w:lang w:val="en-US"/>
              </w:rPr>
            </w:pPr>
            <w:r w:rsidRPr="00486F56">
              <w:rPr>
                <w:szCs w:val="20"/>
                <w:lang w:val="en-US"/>
              </w:rPr>
              <w:t xml:space="preserve">Severe paediatric </w:t>
            </w:r>
            <w:r>
              <w:rPr>
                <w:szCs w:val="20"/>
                <w:lang w:val="en-US"/>
              </w:rPr>
              <w:t>CPP</w:t>
            </w:r>
          </w:p>
        </w:tc>
        <w:tc>
          <w:tcPr>
            <w:tcW w:w="835" w:type="pct"/>
            <w:shd w:val="clear" w:color="auto" w:fill="auto"/>
            <w:vAlign w:val="center"/>
          </w:tcPr>
          <w:p w:rsidR="00BE1E2A" w:rsidRPr="00486F56" w:rsidRDefault="00BE1E2A" w:rsidP="005E2068">
            <w:pPr>
              <w:pStyle w:val="TableText0"/>
              <w:keepLines/>
              <w:jc w:val="center"/>
              <w:rPr>
                <w:szCs w:val="20"/>
                <w:lang w:val="en-US"/>
              </w:rPr>
            </w:pPr>
            <w:r w:rsidRPr="00486F56">
              <w:rPr>
                <w:szCs w:val="20"/>
                <w:lang w:val="en-US"/>
              </w:rPr>
              <w:t xml:space="preserve">PASI 75 response and IGA mod 2011 0 or 1 response at </w:t>
            </w:r>
            <w:r>
              <w:rPr>
                <w:szCs w:val="20"/>
                <w:lang w:val="en-US"/>
              </w:rPr>
              <w:t>Week 12</w:t>
            </w:r>
          </w:p>
        </w:tc>
      </w:tr>
      <w:tr w:rsidR="00BB36A1" w:rsidRPr="00486F56" w:rsidTr="1CB8166F">
        <w:trPr>
          <w:cantSplit/>
        </w:trPr>
        <w:tc>
          <w:tcPr>
            <w:tcW w:w="5000" w:type="pct"/>
            <w:gridSpan w:val="6"/>
            <w:shd w:val="clear" w:color="auto" w:fill="auto"/>
            <w:vAlign w:val="center"/>
          </w:tcPr>
          <w:p w:rsidR="00BB36A1" w:rsidRPr="00486F56" w:rsidRDefault="00BB36A1" w:rsidP="005E2068">
            <w:pPr>
              <w:pStyle w:val="TableText0"/>
              <w:keepLines/>
              <w:rPr>
                <w:b/>
                <w:szCs w:val="20"/>
                <w:lang w:val="en-US"/>
              </w:rPr>
            </w:pPr>
            <w:r w:rsidRPr="00486F56">
              <w:rPr>
                <w:b/>
                <w:szCs w:val="20"/>
                <w:lang w:val="en-US"/>
              </w:rPr>
              <w:t xml:space="preserve">Indirect comparison </w:t>
            </w:r>
          </w:p>
        </w:tc>
      </w:tr>
      <w:tr w:rsidR="00BB36A1" w:rsidRPr="00486F56" w:rsidTr="1CB8166F">
        <w:trPr>
          <w:cantSplit/>
        </w:trPr>
        <w:tc>
          <w:tcPr>
            <w:tcW w:w="5000" w:type="pct"/>
            <w:gridSpan w:val="6"/>
            <w:shd w:val="clear" w:color="auto" w:fill="auto"/>
            <w:vAlign w:val="center"/>
          </w:tcPr>
          <w:p w:rsidR="00BB36A1" w:rsidRPr="00486F56" w:rsidRDefault="3CAE4298" w:rsidP="005E2068">
            <w:pPr>
              <w:pStyle w:val="TableText0"/>
              <w:keepLines/>
              <w:rPr>
                <w:b/>
                <w:lang w:val="en-US"/>
              </w:rPr>
            </w:pPr>
            <w:r w:rsidRPr="1CB8166F">
              <w:rPr>
                <w:b/>
                <w:lang w:val="en-US"/>
              </w:rPr>
              <w:t>Secukinumab vs ustekinumab (with placebo as common reference)</w:t>
            </w:r>
          </w:p>
        </w:tc>
      </w:tr>
      <w:tr w:rsidR="00BE1E2A" w:rsidRPr="00486F56" w:rsidTr="00BE1E2A">
        <w:trPr>
          <w:cantSplit/>
        </w:trPr>
        <w:tc>
          <w:tcPr>
            <w:tcW w:w="833" w:type="pct"/>
            <w:shd w:val="clear" w:color="auto" w:fill="auto"/>
            <w:vAlign w:val="center"/>
          </w:tcPr>
          <w:p w:rsidR="00AC0033" w:rsidRDefault="00BE1E2A" w:rsidP="005E2068">
            <w:pPr>
              <w:pStyle w:val="TableText0"/>
              <w:keepLines/>
              <w:rPr>
                <w:szCs w:val="20"/>
                <w:lang w:val="en-US"/>
              </w:rPr>
            </w:pPr>
            <w:r w:rsidRPr="00486F56">
              <w:rPr>
                <w:szCs w:val="20"/>
                <w:lang w:val="en-US"/>
              </w:rPr>
              <w:t xml:space="preserve">Secukinumab vs placebo </w:t>
            </w:r>
          </w:p>
          <w:p w:rsidR="00BE1E2A" w:rsidRPr="00486F56" w:rsidRDefault="00BE1E2A" w:rsidP="005E2068">
            <w:pPr>
              <w:pStyle w:val="TableText0"/>
              <w:keepLines/>
              <w:rPr>
                <w:szCs w:val="20"/>
                <w:lang w:val="en-US"/>
              </w:rPr>
            </w:pPr>
            <w:r w:rsidRPr="00486F56">
              <w:rPr>
                <w:szCs w:val="20"/>
                <w:lang w:val="en-US"/>
              </w:rPr>
              <w:t>Study 2310</w:t>
            </w:r>
          </w:p>
        </w:tc>
        <w:tc>
          <w:tcPr>
            <w:tcW w:w="833" w:type="pct"/>
            <w:shd w:val="clear" w:color="auto" w:fill="auto"/>
            <w:vAlign w:val="center"/>
          </w:tcPr>
          <w:p w:rsidR="00BE1E2A" w:rsidRPr="00486F56" w:rsidRDefault="00BE1E2A" w:rsidP="005E2068">
            <w:pPr>
              <w:pStyle w:val="TableText0"/>
              <w:keepLines/>
              <w:jc w:val="center"/>
              <w:rPr>
                <w:rFonts w:eastAsia="MS Gothic" w:cs="Times New Roman"/>
                <w:szCs w:val="20"/>
                <w:lang w:val="en-US"/>
              </w:rPr>
            </w:pPr>
            <w:r w:rsidRPr="00486F56">
              <w:rPr>
                <w:rFonts w:eastAsia="MS Gothic" w:cs="Times New Roman"/>
                <w:szCs w:val="20"/>
                <w:lang w:val="en-US"/>
              </w:rPr>
              <w:t>162</w:t>
            </w:r>
          </w:p>
        </w:tc>
        <w:tc>
          <w:tcPr>
            <w:tcW w:w="833" w:type="pct"/>
            <w:shd w:val="clear" w:color="auto" w:fill="auto"/>
            <w:vAlign w:val="center"/>
          </w:tcPr>
          <w:p w:rsidR="00BE1E2A" w:rsidRPr="00486F56" w:rsidRDefault="00BE1E2A" w:rsidP="005E2068">
            <w:pPr>
              <w:pStyle w:val="TableText0"/>
              <w:keepLines/>
              <w:jc w:val="center"/>
              <w:rPr>
                <w:rFonts w:eastAsia="MS Gothic" w:cs="Times New Roman"/>
                <w:szCs w:val="20"/>
                <w:lang w:val="en-US"/>
              </w:rPr>
            </w:pPr>
            <w:r w:rsidRPr="00486F56">
              <w:rPr>
                <w:rFonts w:eastAsia="MS Gothic" w:cs="Times New Roman"/>
                <w:szCs w:val="20"/>
                <w:lang w:val="en-US"/>
              </w:rPr>
              <w:t xml:space="preserve">R, DB </w:t>
            </w:r>
          </w:p>
          <w:p w:rsidR="00BE1E2A" w:rsidRPr="00486F56" w:rsidRDefault="00BE1E2A" w:rsidP="005E2068">
            <w:pPr>
              <w:pStyle w:val="TableText0"/>
              <w:keepLines/>
              <w:jc w:val="center"/>
              <w:rPr>
                <w:rFonts w:eastAsia="MS Gothic" w:cs="Times New Roman"/>
                <w:szCs w:val="20"/>
                <w:lang w:val="en-US"/>
              </w:rPr>
            </w:pPr>
            <w:r w:rsidRPr="00486F56">
              <w:rPr>
                <w:rFonts w:eastAsia="MS Gothic" w:cs="Times New Roman"/>
                <w:szCs w:val="20"/>
                <w:lang w:val="en-US"/>
              </w:rPr>
              <w:t>52 weeks</w:t>
            </w:r>
          </w:p>
        </w:tc>
        <w:tc>
          <w:tcPr>
            <w:tcW w:w="833" w:type="pct"/>
            <w:shd w:val="clear" w:color="auto" w:fill="auto"/>
            <w:vAlign w:val="center"/>
          </w:tcPr>
          <w:p w:rsidR="00BE1E2A" w:rsidRPr="00486F56" w:rsidRDefault="00BE1E2A" w:rsidP="005E2068">
            <w:pPr>
              <w:pStyle w:val="TableText0"/>
              <w:keepLines/>
              <w:jc w:val="center"/>
              <w:rPr>
                <w:rFonts w:eastAsia="MS Gothic" w:cs="Times New Roman"/>
                <w:szCs w:val="20"/>
                <w:lang w:val="en-US"/>
              </w:rPr>
            </w:pPr>
          </w:p>
          <w:p w:rsidR="00BE1E2A" w:rsidRPr="00DE7C9A" w:rsidRDefault="00BE1E2A" w:rsidP="005E2068">
            <w:pPr>
              <w:pStyle w:val="TableText0"/>
              <w:keepLines/>
              <w:jc w:val="center"/>
              <w:rPr>
                <w:rFonts w:eastAsia="MS Gothic" w:cs="Times New Roman"/>
                <w:lang w:val="en-US"/>
              </w:rPr>
            </w:pPr>
            <w:r w:rsidRPr="3051EA8F">
              <w:rPr>
                <w:rFonts w:eastAsia="MS Gothic" w:cs="Times New Roman"/>
                <w:lang w:val="en-US"/>
              </w:rPr>
              <w:t xml:space="preserve">Moderate </w:t>
            </w:r>
          </w:p>
          <w:p w:rsidR="00BE1E2A" w:rsidRPr="00486F56" w:rsidRDefault="00BE1E2A" w:rsidP="005E2068">
            <w:pPr>
              <w:pStyle w:val="TableText0"/>
              <w:keepLines/>
              <w:jc w:val="center"/>
              <w:rPr>
                <w:rFonts w:eastAsia="MS Gothic" w:cs="Times New Roman"/>
                <w:szCs w:val="20"/>
                <w:lang w:val="en-US"/>
              </w:rPr>
            </w:pPr>
            <w:r w:rsidRPr="00486F56">
              <w:rPr>
                <w:rFonts w:eastAsia="MS Gothic" w:cs="Times New Roman"/>
                <w:szCs w:val="20"/>
                <w:lang w:val="en-US"/>
              </w:rPr>
              <w:t xml:space="preserve"> </w:t>
            </w:r>
          </w:p>
        </w:tc>
        <w:tc>
          <w:tcPr>
            <w:tcW w:w="833" w:type="pct"/>
            <w:shd w:val="clear" w:color="auto" w:fill="auto"/>
            <w:vAlign w:val="center"/>
          </w:tcPr>
          <w:p w:rsidR="00BE1E2A" w:rsidRPr="00486F56" w:rsidRDefault="00BE1E2A" w:rsidP="005E2068">
            <w:pPr>
              <w:pStyle w:val="TableText0"/>
              <w:keepLines/>
              <w:jc w:val="center"/>
              <w:rPr>
                <w:rFonts w:eastAsia="MS Gothic" w:cs="Times New Roman"/>
                <w:szCs w:val="20"/>
                <w:lang w:val="en-US"/>
              </w:rPr>
            </w:pPr>
            <w:r w:rsidRPr="00486F56">
              <w:rPr>
                <w:rFonts w:eastAsia="MS Gothic" w:cs="Times New Roman"/>
                <w:szCs w:val="20"/>
                <w:lang w:val="en-US"/>
              </w:rPr>
              <w:t xml:space="preserve">Severe paediatric </w:t>
            </w:r>
            <w:r>
              <w:rPr>
                <w:rFonts w:eastAsia="MS Gothic" w:cs="Times New Roman"/>
                <w:szCs w:val="20"/>
                <w:lang w:val="en-US"/>
              </w:rPr>
              <w:t>CPP</w:t>
            </w:r>
          </w:p>
        </w:tc>
        <w:tc>
          <w:tcPr>
            <w:tcW w:w="835" w:type="pct"/>
            <w:shd w:val="clear" w:color="auto" w:fill="auto"/>
            <w:vAlign w:val="center"/>
          </w:tcPr>
          <w:p w:rsidR="00BE1E2A" w:rsidRPr="00486F56" w:rsidRDefault="00BE1E2A" w:rsidP="005E2068">
            <w:pPr>
              <w:pStyle w:val="TableText0"/>
              <w:keepLines/>
              <w:spacing w:line="259" w:lineRule="auto"/>
              <w:jc w:val="center"/>
              <w:rPr>
                <w:rFonts w:eastAsia="MS Gothic" w:cs="Times New Roman"/>
                <w:szCs w:val="20"/>
                <w:lang w:val="en-US"/>
              </w:rPr>
            </w:pPr>
            <w:r w:rsidRPr="00486F56">
              <w:rPr>
                <w:szCs w:val="20"/>
                <w:lang w:val="en-US"/>
              </w:rPr>
              <w:t xml:space="preserve">PASI 75 response and IGA mod 2011 0 or 1 response at </w:t>
            </w:r>
            <w:r>
              <w:rPr>
                <w:szCs w:val="20"/>
                <w:lang w:val="en-US"/>
              </w:rPr>
              <w:t>Week 12</w:t>
            </w:r>
          </w:p>
        </w:tc>
      </w:tr>
      <w:tr w:rsidR="00BE1E2A" w:rsidRPr="00486F56" w:rsidTr="00BE1E2A">
        <w:trPr>
          <w:cantSplit/>
        </w:trPr>
        <w:tc>
          <w:tcPr>
            <w:tcW w:w="833" w:type="pct"/>
            <w:shd w:val="clear" w:color="auto" w:fill="auto"/>
            <w:vAlign w:val="center"/>
          </w:tcPr>
          <w:p w:rsidR="00BE1E2A" w:rsidRPr="00486F56" w:rsidRDefault="00BE1E2A" w:rsidP="005E2068">
            <w:pPr>
              <w:pStyle w:val="TableText0"/>
              <w:keepLines/>
              <w:spacing w:line="259" w:lineRule="auto"/>
              <w:rPr>
                <w:szCs w:val="20"/>
                <w:lang w:val="en-US"/>
              </w:rPr>
            </w:pPr>
            <w:r w:rsidRPr="00486F56">
              <w:rPr>
                <w:szCs w:val="20"/>
                <w:lang w:val="en-US"/>
              </w:rPr>
              <w:t xml:space="preserve">Ustekinumab vs placebo </w:t>
            </w:r>
          </w:p>
          <w:p w:rsidR="00BE1E2A" w:rsidRPr="00486F56" w:rsidRDefault="00BE1E2A" w:rsidP="005E2068">
            <w:pPr>
              <w:pStyle w:val="TableText0"/>
              <w:keepLines/>
              <w:spacing w:line="259" w:lineRule="auto"/>
              <w:rPr>
                <w:rFonts w:eastAsia="MS Gothic" w:cs="Times New Roman"/>
                <w:lang w:val="en-US"/>
              </w:rPr>
            </w:pPr>
            <w:r w:rsidRPr="3051EA8F">
              <w:rPr>
                <w:lang w:val="en-US"/>
              </w:rPr>
              <w:t>CADMUS</w:t>
            </w:r>
          </w:p>
        </w:tc>
        <w:tc>
          <w:tcPr>
            <w:tcW w:w="833" w:type="pct"/>
            <w:shd w:val="clear" w:color="auto" w:fill="auto"/>
            <w:vAlign w:val="center"/>
          </w:tcPr>
          <w:p w:rsidR="00BE1E2A" w:rsidRPr="00486F56" w:rsidRDefault="00BE1E2A" w:rsidP="005E2068">
            <w:pPr>
              <w:pStyle w:val="TableText0"/>
              <w:keepLines/>
              <w:jc w:val="center"/>
              <w:rPr>
                <w:szCs w:val="20"/>
                <w:lang w:val="en-US"/>
              </w:rPr>
            </w:pPr>
            <w:r w:rsidRPr="00486F56">
              <w:rPr>
                <w:szCs w:val="20"/>
                <w:lang w:val="en-US"/>
              </w:rPr>
              <w:t>110</w:t>
            </w:r>
            <w:r w:rsidR="00D97DF1">
              <w:rPr>
                <w:szCs w:val="20"/>
                <w:vertAlign w:val="superscript"/>
                <w:lang w:val="en-US"/>
              </w:rPr>
              <w:t>b</w:t>
            </w:r>
          </w:p>
        </w:tc>
        <w:tc>
          <w:tcPr>
            <w:tcW w:w="833" w:type="pct"/>
            <w:shd w:val="clear" w:color="auto" w:fill="auto"/>
            <w:vAlign w:val="center"/>
          </w:tcPr>
          <w:p w:rsidR="00BE1E2A" w:rsidRPr="00486F56" w:rsidRDefault="00BE1E2A" w:rsidP="005E2068">
            <w:pPr>
              <w:pStyle w:val="TableText0"/>
              <w:keepLines/>
              <w:jc w:val="center"/>
              <w:rPr>
                <w:szCs w:val="20"/>
                <w:lang w:val="en-US"/>
              </w:rPr>
            </w:pPr>
            <w:r w:rsidRPr="00486F56">
              <w:rPr>
                <w:szCs w:val="20"/>
                <w:lang w:val="en-US"/>
              </w:rPr>
              <w:t>R, DB</w:t>
            </w:r>
          </w:p>
        </w:tc>
        <w:tc>
          <w:tcPr>
            <w:tcW w:w="833" w:type="pct"/>
            <w:shd w:val="clear" w:color="auto" w:fill="auto"/>
            <w:vAlign w:val="center"/>
          </w:tcPr>
          <w:p w:rsidR="00BE1E2A" w:rsidRPr="00486F56" w:rsidRDefault="00BE1E2A" w:rsidP="005E2068">
            <w:pPr>
              <w:pStyle w:val="TableText0"/>
              <w:keepLines/>
              <w:jc w:val="center"/>
              <w:rPr>
                <w:szCs w:val="20"/>
                <w:lang w:val="en-US"/>
              </w:rPr>
            </w:pPr>
            <w:r w:rsidRPr="00486F56">
              <w:rPr>
                <w:szCs w:val="20"/>
                <w:lang w:val="en-US"/>
              </w:rPr>
              <w:t>Low</w:t>
            </w:r>
          </w:p>
        </w:tc>
        <w:tc>
          <w:tcPr>
            <w:tcW w:w="833" w:type="pct"/>
            <w:shd w:val="clear" w:color="auto" w:fill="auto"/>
            <w:vAlign w:val="center"/>
          </w:tcPr>
          <w:p w:rsidR="00BE1E2A" w:rsidRPr="00486F56" w:rsidRDefault="00BE1E2A" w:rsidP="005E2068">
            <w:pPr>
              <w:pStyle w:val="TableText0"/>
              <w:keepLines/>
              <w:jc w:val="center"/>
              <w:rPr>
                <w:rFonts w:eastAsia="MS Gothic" w:cs="Times New Roman"/>
                <w:lang w:val="en-US"/>
              </w:rPr>
            </w:pPr>
            <w:r w:rsidRPr="1CB8166F">
              <w:rPr>
                <w:lang w:val="en-US"/>
              </w:rPr>
              <w:t>Moderate to severe CPP</w:t>
            </w:r>
            <w:r w:rsidRPr="1CB8166F">
              <w:rPr>
                <w:vertAlign w:val="superscript"/>
                <w:lang w:val="en-US"/>
              </w:rPr>
              <w:t>a</w:t>
            </w:r>
            <w:r w:rsidR="00DF3292">
              <w:rPr>
                <w:lang w:val="en-US"/>
              </w:rPr>
              <w:t xml:space="preserve"> </w:t>
            </w:r>
            <w:r w:rsidRPr="1CB8166F">
              <w:rPr>
                <w:lang w:val="en-US"/>
              </w:rPr>
              <w:t>poorly controlled on topical therapy. Age 12 to 17 years</w:t>
            </w:r>
          </w:p>
        </w:tc>
        <w:tc>
          <w:tcPr>
            <w:tcW w:w="833" w:type="pct"/>
            <w:shd w:val="clear" w:color="auto" w:fill="auto"/>
            <w:vAlign w:val="center"/>
          </w:tcPr>
          <w:p w:rsidR="00BE1E2A" w:rsidRPr="00486F56" w:rsidRDefault="00BE1E2A" w:rsidP="005E2068">
            <w:pPr>
              <w:pStyle w:val="TableText0"/>
              <w:keepLines/>
              <w:jc w:val="center"/>
              <w:rPr>
                <w:szCs w:val="20"/>
                <w:lang w:val="en-US"/>
              </w:rPr>
            </w:pPr>
            <w:r w:rsidRPr="00486F56">
              <w:rPr>
                <w:szCs w:val="20"/>
                <w:lang w:val="en-US"/>
              </w:rPr>
              <w:t xml:space="preserve">PGA 0/1 response at </w:t>
            </w:r>
            <w:r>
              <w:rPr>
                <w:szCs w:val="20"/>
                <w:lang w:val="en-US"/>
              </w:rPr>
              <w:t>Week 12</w:t>
            </w:r>
          </w:p>
        </w:tc>
      </w:tr>
    </w:tbl>
    <w:p w:rsidR="00BB36A1" w:rsidRPr="00E00A5E" w:rsidRDefault="0067161D" w:rsidP="005E2068">
      <w:pPr>
        <w:pStyle w:val="TableFigureFooter"/>
        <w:keepNext/>
        <w:keepLines/>
        <w:jc w:val="both"/>
        <w:rPr>
          <w:i/>
          <w:iCs/>
        </w:rPr>
      </w:pPr>
      <w:r w:rsidRPr="002A7D1F">
        <w:t xml:space="preserve">Source: </w:t>
      </w:r>
      <w:r w:rsidRPr="00D6760F">
        <w:rPr>
          <w:iCs/>
        </w:rPr>
        <w:t>Compiled during the evaluation from Section 2 of the submission</w:t>
      </w:r>
      <w:r w:rsidR="00BB36A1" w:rsidRPr="00D6760F">
        <w:rPr>
          <w:iCs/>
        </w:rPr>
        <w:t>.</w:t>
      </w:r>
    </w:p>
    <w:p w:rsidR="00BB36A1" w:rsidRPr="00B1011F" w:rsidRDefault="00C6098D" w:rsidP="005E2068">
      <w:pPr>
        <w:pStyle w:val="TableFigureFooter"/>
        <w:keepNext/>
        <w:keepLines/>
        <w:jc w:val="both"/>
        <w:rPr>
          <w:sz w:val="20"/>
        </w:rPr>
      </w:pPr>
      <w:r>
        <w:t xml:space="preserve">BSA = body surface area; CPP = chronic plaque psoriasis; DB = double blind; IGA = </w:t>
      </w:r>
      <w:r w:rsidRPr="454BE1F2">
        <w:rPr>
          <w:rFonts w:eastAsia="Arial Narrow" w:cs="Arial Narrow"/>
          <w:color w:val="000000" w:themeColor="text1"/>
          <w:szCs w:val="18"/>
        </w:rPr>
        <w:t>Investigator’s Global Assessment</w:t>
      </w:r>
      <w:r>
        <w:rPr>
          <w:rFonts w:eastAsia="Arial Narrow" w:cs="Arial Narrow"/>
          <w:color w:val="000000" w:themeColor="text1"/>
          <w:szCs w:val="18"/>
        </w:rPr>
        <w:t>;</w:t>
      </w:r>
      <w:r>
        <w:t xml:space="preserve"> MC = multi-centre; OL = open label; OS = overall survival; PASI = </w:t>
      </w:r>
      <w:r w:rsidRPr="004F71C9">
        <w:t>Psoriasis Area and Severity Index</w:t>
      </w:r>
      <w:r>
        <w:t xml:space="preserve">; PFS = progression-free survival; PGA = </w:t>
      </w:r>
      <w:r>
        <w:rPr>
          <w:rFonts w:eastAsia="Arial Narrow" w:cs="Arial Narrow"/>
          <w:color w:val="000000" w:themeColor="text1"/>
          <w:szCs w:val="18"/>
        </w:rPr>
        <w:t>Physician</w:t>
      </w:r>
      <w:r w:rsidRPr="454BE1F2">
        <w:rPr>
          <w:rFonts w:eastAsia="Arial Narrow" w:cs="Arial Narrow"/>
          <w:color w:val="000000" w:themeColor="text1"/>
          <w:szCs w:val="18"/>
        </w:rPr>
        <w:t xml:space="preserve"> Global Assessment</w:t>
      </w:r>
      <w:r>
        <w:rPr>
          <w:rFonts w:eastAsia="Arial Narrow" w:cs="Arial Narrow"/>
          <w:color w:val="000000" w:themeColor="text1"/>
          <w:szCs w:val="18"/>
        </w:rPr>
        <w:t>;</w:t>
      </w:r>
      <w:r>
        <w:t xml:space="preserve"> R = randomised.</w:t>
      </w:r>
    </w:p>
    <w:p w:rsidR="3A4B67C6" w:rsidRDefault="00687610" w:rsidP="005E2068">
      <w:pPr>
        <w:pStyle w:val="TableFigureFooter"/>
        <w:keepNext/>
        <w:keepLines/>
        <w:jc w:val="both"/>
        <w:rPr>
          <w:rFonts w:eastAsia="Arial Narrow" w:cs="Arial Narrow"/>
          <w:szCs w:val="18"/>
        </w:rPr>
      </w:pPr>
      <w:r w:rsidRPr="00687610">
        <w:rPr>
          <w:vertAlign w:val="superscript"/>
        </w:rPr>
        <w:t>a</w:t>
      </w:r>
      <w:r w:rsidR="00BB36A1" w:rsidRPr="00687610">
        <w:rPr>
          <w:vertAlign w:val="superscript"/>
        </w:rPr>
        <w:t xml:space="preserve"> </w:t>
      </w:r>
      <w:r w:rsidR="00BB36A1" w:rsidRPr="00687610">
        <w:t>Defined by a PA</w:t>
      </w:r>
      <w:r w:rsidR="00BB36A1" w:rsidRPr="46984D3B">
        <w:rPr>
          <w:rFonts w:eastAsia="Arial Narrow" w:cs="Arial Narrow"/>
        </w:rPr>
        <w:t>SI ≥12, PGA ≥3, and BSA involvement ≥10%</w:t>
      </w:r>
      <w:r w:rsidR="00D97DF1">
        <w:rPr>
          <w:rFonts w:eastAsia="Arial Narrow" w:cs="Arial Narrow"/>
          <w:szCs w:val="18"/>
          <w:vertAlign w:val="superscript"/>
        </w:rPr>
        <w:t>.</w:t>
      </w:r>
    </w:p>
    <w:p w:rsidR="000537A2" w:rsidRDefault="00D97DF1" w:rsidP="005E2068">
      <w:pPr>
        <w:pStyle w:val="TableFigureFooter"/>
        <w:keepNext/>
        <w:keepLines/>
        <w:jc w:val="both"/>
        <w:rPr>
          <w:szCs w:val="18"/>
          <w:vertAlign w:val="superscript"/>
        </w:rPr>
      </w:pPr>
      <w:r>
        <w:rPr>
          <w:rFonts w:eastAsia="Arial Narrow" w:cs="Arial Narrow"/>
          <w:szCs w:val="18"/>
          <w:vertAlign w:val="superscript"/>
        </w:rPr>
        <w:t>b</w:t>
      </w:r>
      <w:r w:rsidR="000537A2">
        <w:rPr>
          <w:rFonts w:eastAsia="Arial Narrow" w:cs="Arial Narrow"/>
          <w:szCs w:val="18"/>
        </w:rPr>
        <w:t xml:space="preserve"> </w:t>
      </w:r>
      <w:r w:rsidR="000537A2">
        <w:rPr>
          <w:iCs/>
        </w:rPr>
        <w:t>O</w:t>
      </w:r>
      <w:r w:rsidR="000537A2" w:rsidRPr="00E663C3">
        <w:rPr>
          <w:iCs/>
        </w:rPr>
        <w:t xml:space="preserve">nly 73 patients </w:t>
      </w:r>
      <w:r w:rsidR="000537A2">
        <w:rPr>
          <w:iCs/>
        </w:rPr>
        <w:t xml:space="preserve">were </w:t>
      </w:r>
      <w:r w:rsidR="000537A2" w:rsidRPr="00E663C3">
        <w:rPr>
          <w:iCs/>
        </w:rPr>
        <w:t>analysed in the submission</w:t>
      </w:r>
      <w:r w:rsidR="000537A2">
        <w:rPr>
          <w:iCs/>
        </w:rPr>
        <w:t xml:space="preserve">, reflecting patients receiving the </w:t>
      </w:r>
      <w:r w:rsidR="000537A2">
        <w:t>ustekinumab standard dose (0.75 </w:t>
      </w:r>
      <w:r w:rsidR="000537A2" w:rsidRPr="00E663C3">
        <w:t>mg/kg for patients ≤60 kg, at Week 0, 4, and every 12 weeks thereafter),</w:t>
      </w:r>
      <w:r w:rsidR="000537A2" w:rsidRPr="00E663C3">
        <w:rPr>
          <w:iCs/>
        </w:rPr>
        <w:t xml:space="preserve"> which was consistent with the TGA approved dosage for ustekinumab for the paediatric population.</w:t>
      </w:r>
    </w:p>
    <w:p w:rsidR="003841B3" w:rsidRPr="003841B3" w:rsidRDefault="6F58076E" w:rsidP="6A8F74B3">
      <w:pPr>
        <w:pStyle w:val="3-BodyText"/>
        <w:rPr>
          <w:rFonts w:eastAsiaTheme="minorEastAsia" w:cstheme="minorBidi"/>
          <w:color w:val="000000" w:themeColor="text1"/>
        </w:rPr>
      </w:pPr>
      <w:r w:rsidRPr="6A8F74B3">
        <w:rPr>
          <w:rFonts w:ascii="Calibri" w:eastAsia="Calibri" w:hAnsi="Calibri" w:cs="Calibri"/>
          <w:color w:val="000000" w:themeColor="text1"/>
        </w:rPr>
        <w:t xml:space="preserve">Study 2310 is </w:t>
      </w:r>
      <w:r w:rsidR="208B75F6" w:rsidRPr="6A8F74B3">
        <w:rPr>
          <w:rFonts w:ascii="Calibri" w:eastAsia="Calibri" w:hAnsi="Calibri" w:cs="Calibri"/>
          <w:color w:val="000000" w:themeColor="text1"/>
        </w:rPr>
        <w:t>a</w:t>
      </w:r>
      <w:r w:rsidRPr="6A8F74B3">
        <w:rPr>
          <w:rFonts w:ascii="Calibri" w:eastAsia="Calibri" w:hAnsi="Calibri" w:cs="Calibri"/>
          <w:color w:val="000000" w:themeColor="text1"/>
        </w:rPr>
        <w:t xml:space="preserve"> phase 3, randomised, double blind trial that enrolled 162 children and adolescents </w:t>
      </w:r>
      <w:r w:rsidRPr="00360053">
        <w:rPr>
          <w:rFonts w:ascii="Calibri" w:eastAsia="Calibri" w:hAnsi="Calibri" w:cs="Calibri"/>
        </w:rPr>
        <w:t xml:space="preserve">aged 6 to 18 years with severe </w:t>
      </w:r>
      <w:r w:rsidR="203D959C" w:rsidRPr="00360053">
        <w:rPr>
          <w:rFonts w:ascii="Calibri" w:eastAsia="Calibri" w:hAnsi="Calibri" w:cs="Calibri"/>
        </w:rPr>
        <w:t>CPP</w:t>
      </w:r>
      <w:r w:rsidRPr="00360053">
        <w:rPr>
          <w:rFonts w:ascii="Calibri" w:eastAsia="Calibri" w:hAnsi="Calibri" w:cs="Calibri"/>
        </w:rPr>
        <w:t>. This was defined as a PASI</w:t>
      </w:r>
      <w:r w:rsidR="203D959C" w:rsidRPr="00360053">
        <w:rPr>
          <w:rFonts w:ascii="Calibri" w:eastAsia="Calibri" w:hAnsi="Calibri" w:cs="Calibri"/>
        </w:rPr>
        <w:t xml:space="preserve"> </w:t>
      </w:r>
      <w:r w:rsidRPr="00360053">
        <w:rPr>
          <w:rFonts w:ascii="Calibri" w:eastAsia="Calibri" w:hAnsi="Calibri" w:cs="Calibri"/>
        </w:rPr>
        <w:t xml:space="preserve">&gt;20, </w:t>
      </w:r>
      <w:r w:rsidRPr="00360053">
        <w:t>a</w:t>
      </w:r>
      <w:r w:rsidR="203D959C" w:rsidRPr="00360053">
        <w:t>n Investigator’s Global Assessment 2011 modified version</w:t>
      </w:r>
      <w:r w:rsidRPr="00360053">
        <w:t xml:space="preserve"> </w:t>
      </w:r>
      <w:r w:rsidR="203D959C" w:rsidRPr="00360053">
        <w:t>(</w:t>
      </w:r>
      <w:r w:rsidRPr="00360053">
        <w:t>IGA mod 2011</w:t>
      </w:r>
      <w:r w:rsidR="203D959C" w:rsidRPr="00360053">
        <w:t>)</w:t>
      </w:r>
      <w:r w:rsidRPr="00360053">
        <w:t xml:space="preserve"> score of ≥4, and</w:t>
      </w:r>
      <w:r w:rsidR="008E4326" w:rsidRPr="00360053">
        <w:t xml:space="preserve"> body surface area</w:t>
      </w:r>
      <w:r w:rsidRPr="00360053">
        <w:t xml:space="preserve"> </w:t>
      </w:r>
      <w:r w:rsidR="008E4326" w:rsidRPr="00360053">
        <w:t>(</w:t>
      </w:r>
      <w:r w:rsidRPr="00360053">
        <w:rPr>
          <w:rFonts w:ascii="Calibri" w:eastAsia="Calibri" w:hAnsi="Calibri" w:cs="Calibri"/>
        </w:rPr>
        <w:t>BSA</w:t>
      </w:r>
      <w:r w:rsidR="008E4326" w:rsidRPr="00360053">
        <w:rPr>
          <w:rFonts w:ascii="Calibri" w:eastAsia="Calibri" w:hAnsi="Calibri" w:cs="Calibri"/>
        </w:rPr>
        <w:t>)</w:t>
      </w:r>
      <w:r w:rsidRPr="00360053">
        <w:rPr>
          <w:rFonts w:ascii="Calibri" w:eastAsia="Calibri" w:hAnsi="Calibri" w:cs="Calibri"/>
        </w:rPr>
        <w:t xml:space="preserve"> involvement ≥10%. Patients </w:t>
      </w:r>
      <w:r w:rsidRPr="00360053">
        <w:t xml:space="preserve">were stratified by weight (&lt;25 kg, 25 to &lt;50 kg, ≥50 kg) and age (6 to &lt;12 years, </w:t>
      </w:r>
      <w:r w:rsidR="00AC0033" w:rsidRPr="00360053">
        <w:t>≥</w:t>
      </w:r>
      <w:r w:rsidRPr="00360053">
        <w:t>12 to &lt;18 years)</w:t>
      </w:r>
      <w:r w:rsidR="2923E721" w:rsidRPr="00360053">
        <w:t>. Patients were randomised 1:1:1:1</w:t>
      </w:r>
      <w:r w:rsidRPr="00360053">
        <w:t xml:space="preserve"> to receive LD </w:t>
      </w:r>
      <w:r w:rsidR="203D959C" w:rsidRPr="00360053">
        <w:t>(</w:t>
      </w:r>
      <w:r w:rsidR="010CA9BF" w:rsidRPr="00360053">
        <w:t>75</w:t>
      </w:r>
      <w:r w:rsidR="005B37F1" w:rsidRPr="00360053">
        <w:t xml:space="preserve"> </w:t>
      </w:r>
      <w:r w:rsidR="1983FBB2" w:rsidRPr="00360053">
        <w:t>mg</w:t>
      </w:r>
      <w:r w:rsidR="010CA9BF" w:rsidRPr="00360053">
        <w:t>/75</w:t>
      </w:r>
      <w:r w:rsidR="005B37F1" w:rsidRPr="00360053">
        <w:t xml:space="preserve"> </w:t>
      </w:r>
      <w:r w:rsidR="5678EC95" w:rsidRPr="00360053">
        <w:t>mg</w:t>
      </w:r>
      <w:r w:rsidRPr="00360053">
        <w:t xml:space="preserve">/150 mg) or </w:t>
      </w:r>
      <w:r w:rsidR="203D959C" w:rsidRPr="00360053">
        <w:t>HD</w:t>
      </w:r>
      <w:r w:rsidRPr="00360053">
        <w:t xml:space="preserve"> (</w:t>
      </w:r>
      <w:r w:rsidR="010CA9BF" w:rsidRPr="00360053">
        <w:t>150</w:t>
      </w:r>
      <w:r w:rsidR="005B37F1" w:rsidRPr="00360053">
        <w:t xml:space="preserve"> </w:t>
      </w:r>
      <w:r w:rsidR="3EDC301E" w:rsidRPr="00360053">
        <w:t>mg</w:t>
      </w:r>
      <w:r w:rsidRPr="00360053">
        <w:t>/300 mg)</w:t>
      </w:r>
      <w:r w:rsidR="005E2068">
        <w:rPr>
          <w:rStyle w:val="FootnoteReference"/>
        </w:rPr>
        <w:footnoteReference w:id="2"/>
      </w:r>
      <w:r w:rsidRPr="00360053">
        <w:t xml:space="preserve"> subcutaneous secukinumab or placebo or etanercept </w:t>
      </w:r>
      <w:r w:rsidR="005B37F1" w:rsidRPr="00360053">
        <w:t xml:space="preserve">(0.8 mg/kg </w:t>
      </w:r>
      <w:r w:rsidRPr="00360053">
        <w:t>up to a max</w:t>
      </w:r>
      <w:r w:rsidR="005B37F1" w:rsidRPr="00360053">
        <w:t>imum</w:t>
      </w:r>
      <w:r w:rsidRPr="00360053">
        <w:t xml:space="preserve"> of 50 mg).</w:t>
      </w:r>
      <w:r w:rsidRPr="00360053">
        <w:rPr>
          <w:rFonts w:ascii="Calibri" w:eastAsia="Calibri" w:hAnsi="Calibri" w:cs="Calibri"/>
        </w:rPr>
        <w:t xml:space="preserve"> Patients who were on placebo during induction and</w:t>
      </w:r>
      <w:r w:rsidR="7679A649" w:rsidRPr="00360053">
        <w:rPr>
          <w:rFonts w:ascii="Calibri" w:eastAsia="Calibri" w:hAnsi="Calibri" w:cs="Calibri"/>
        </w:rPr>
        <w:t xml:space="preserve"> who</w:t>
      </w:r>
      <w:r w:rsidRPr="00360053">
        <w:rPr>
          <w:rFonts w:ascii="Calibri" w:eastAsia="Calibri" w:hAnsi="Calibri" w:cs="Calibri"/>
        </w:rPr>
        <w:t xml:space="preserve"> at Week 12 were PASI 75 non-responders could be switched to either secukinumab </w:t>
      </w:r>
      <w:r w:rsidR="7679A649" w:rsidRPr="00360053">
        <w:rPr>
          <w:rFonts w:ascii="Calibri" w:eastAsia="Calibri" w:hAnsi="Calibri" w:cs="Calibri"/>
        </w:rPr>
        <w:t>LD</w:t>
      </w:r>
      <w:r w:rsidRPr="00360053">
        <w:rPr>
          <w:rFonts w:ascii="Calibri" w:eastAsia="Calibri" w:hAnsi="Calibri" w:cs="Calibri"/>
        </w:rPr>
        <w:t xml:space="preserve"> or secukinumab </w:t>
      </w:r>
      <w:r w:rsidR="7679A649" w:rsidRPr="00360053">
        <w:rPr>
          <w:rFonts w:ascii="Calibri" w:eastAsia="Calibri" w:hAnsi="Calibri" w:cs="Calibri"/>
        </w:rPr>
        <w:t>HD</w:t>
      </w:r>
      <w:r w:rsidRPr="00360053">
        <w:rPr>
          <w:rFonts w:ascii="Calibri" w:eastAsia="Calibri" w:hAnsi="Calibri" w:cs="Calibri"/>
        </w:rPr>
        <w:t xml:space="preserve"> treatment group in</w:t>
      </w:r>
      <w:r w:rsidR="203D959C" w:rsidRPr="00360053">
        <w:rPr>
          <w:rFonts w:ascii="Calibri" w:eastAsia="Calibri" w:hAnsi="Calibri" w:cs="Calibri"/>
        </w:rPr>
        <w:t xml:space="preserve"> </w:t>
      </w:r>
      <w:r w:rsidR="203D959C" w:rsidRPr="6A8F74B3">
        <w:rPr>
          <w:rFonts w:ascii="Calibri" w:eastAsia="Calibri" w:hAnsi="Calibri" w:cs="Calibri"/>
          <w:color w:val="000000" w:themeColor="text1"/>
        </w:rPr>
        <w:t>the</w:t>
      </w:r>
      <w:r w:rsidRPr="6A8F74B3">
        <w:rPr>
          <w:rFonts w:ascii="Calibri" w:eastAsia="Calibri" w:hAnsi="Calibri" w:cs="Calibri"/>
          <w:color w:val="000000" w:themeColor="text1"/>
        </w:rPr>
        <w:t xml:space="preserve"> maintenance phase according to their baseline rando</w:t>
      </w:r>
      <w:r w:rsidR="005B37F1">
        <w:rPr>
          <w:rFonts w:ascii="Calibri" w:eastAsia="Calibri" w:hAnsi="Calibri" w:cs="Calibri"/>
          <w:color w:val="000000" w:themeColor="text1"/>
        </w:rPr>
        <w:t>misation</w:t>
      </w:r>
      <w:r w:rsidRPr="6A8F74B3">
        <w:rPr>
          <w:rFonts w:ascii="Calibri" w:eastAsia="Calibri" w:hAnsi="Calibri" w:cs="Calibri"/>
          <w:color w:val="000000" w:themeColor="text1"/>
        </w:rPr>
        <w:t>.</w:t>
      </w:r>
      <w:r w:rsidR="67D7DC27" w:rsidRPr="35CBF0D9">
        <w:rPr>
          <w:rFonts w:ascii="Calibri" w:eastAsia="Calibri" w:hAnsi="Calibri" w:cs="Calibri"/>
          <w:color w:val="000000" w:themeColor="text1"/>
        </w:rPr>
        <w:t xml:space="preserve"> </w:t>
      </w:r>
      <w:r w:rsidR="6E8A6024" w:rsidRPr="4C883323">
        <w:rPr>
          <w:rFonts w:ascii="Calibri" w:eastAsia="Calibri" w:hAnsi="Calibri" w:cs="Calibri"/>
          <w:color w:val="000000" w:themeColor="text1"/>
        </w:rPr>
        <w:t>The dosing frequency was</w:t>
      </w:r>
      <w:r w:rsidR="67D7DC27" w:rsidRPr="4C883323">
        <w:rPr>
          <w:rFonts w:ascii="Calibri" w:eastAsia="Calibri" w:hAnsi="Calibri" w:cs="Calibri"/>
          <w:color w:val="000000" w:themeColor="text1"/>
        </w:rPr>
        <w:t xml:space="preserve"> secukinumab </w:t>
      </w:r>
      <w:r w:rsidR="6E8A6024" w:rsidRPr="4C883323">
        <w:rPr>
          <w:rFonts w:ascii="Calibri" w:eastAsia="Calibri" w:hAnsi="Calibri" w:cs="Calibri"/>
          <w:color w:val="000000" w:themeColor="text1"/>
        </w:rPr>
        <w:t>injections</w:t>
      </w:r>
      <w:r w:rsidR="67D7DC27" w:rsidRPr="4C883323">
        <w:rPr>
          <w:rFonts w:ascii="Calibri" w:eastAsia="Calibri" w:hAnsi="Calibri" w:cs="Calibri"/>
          <w:color w:val="000000" w:themeColor="text1"/>
        </w:rPr>
        <w:t xml:space="preserve"> at </w:t>
      </w:r>
      <w:r w:rsidR="6E8A6024" w:rsidRPr="4C883323">
        <w:rPr>
          <w:rFonts w:ascii="Calibri" w:eastAsia="Calibri" w:hAnsi="Calibri" w:cs="Calibri"/>
          <w:color w:val="000000" w:themeColor="text1"/>
        </w:rPr>
        <w:t>weeks</w:t>
      </w:r>
      <w:r w:rsidR="67D7DC27" w:rsidRPr="4C883323">
        <w:rPr>
          <w:rFonts w:ascii="Calibri" w:eastAsia="Calibri" w:hAnsi="Calibri" w:cs="Calibri"/>
          <w:color w:val="000000" w:themeColor="text1"/>
        </w:rPr>
        <w:t xml:space="preserve"> 0, 1, 2, 3, 4</w:t>
      </w:r>
      <w:r w:rsidR="6E8A6024" w:rsidRPr="4C883323">
        <w:rPr>
          <w:rFonts w:ascii="Calibri" w:eastAsia="Calibri" w:hAnsi="Calibri" w:cs="Calibri"/>
          <w:color w:val="000000" w:themeColor="text1"/>
        </w:rPr>
        <w:t>,</w:t>
      </w:r>
      <w:r w:rsidR="67D7DC27" w:rsidRPr="4C883323">
        <w:rPr>
          <w:rFonts w:ascii="Calibri" w:eastAsia="Calibri" w:hAnsi="Calibri" w:cs="Calibri"/>
          <w:color w:val="000000" w:themeColor="text1"/>
        </w:rPr>
        <w:t xml:space="preserve"> and followed by every 4 weeks</w:t>
      </w:r>
      <w:r w:rsidR="6E8A6024" w:rsidRPr="4C883323">
        <w:rPr>
          <w:rFonts w:ascii="Calibri" w:eastAsia="Calibri" w:hAnsi="Calibri" w:cs="Calibri"/>
          <w:color w:val="000000" w:themeColor="text1"/>
        </w:rPr>
        <w:t>.</w:t>
      </w:r>
    </w:p>
    <w:p w:rsidR="00A31C17" w:rsidRPr="0000305F" w:rsidRDefault="00A32EAD" w:rsidP="00A31C17">
      <w:pPr>
        <w:pStyle w:val="3-BodyText"/>
        <w:rPr>
          <w:rFonts w:eastAsiaTheme="minorEastAsia" w:cstheme="minorBidi"/>
          <w:color w:val="000000" w:themeColor="text1"/>
        </w:rPr>
      </w:pPr>
      <w:r>
        <w:t>Study 2310 had an o</w:t>
      </w:r>
      <w:r w:rsidR="005B2C02">
        <w:t>verdosing</w:t>
      </w:r>
      <w:r>
        <w:t xml:space="preserve"> error in a high proportion of patients in the secukinumab arm (total 36/80 secukinumab </w:t>
      </w:r>
      <w:r w:rsidR="00DF3292">
        <w:t>patients: 45%)</w:t>
      </w:r>
      <w:r>
        <w:t>. T</w:t>
      </w:r>
      <w:r w:rsidRPr="002C1137">
        <w:t>hirty-six patients who were assigned to the secukinumab groups</w:t>
      </w:r>
      <w:r>
        <w:t xml:space="preserve"> </w:t>
      </w:r>
      <w:r w:rsidRPr="002C1137">
        <w:t>(</w:t>
      </w:r>
      <w:r w:rsidR="00FB4E59">
        <w:t>LD</w:t>
      </w:r>
      <w:r w:rsidRPr="002C1137">
        <w:t xml:space="preserve">: 16 patients and </w:t>
      </w:r>
      <w:r w:rsidR="00FB4E59">
        <w:t>HD</w:t>
      </w:r>
      <w:r w:rsidRPr="002C1137">
        <w:t xml:space="preserve">: 20 patients) were </w:t>
      </w:r>
      <w:r w:rsidRPr="0000305F">
        <w:t xml:space="preserve">dispensed active </w:t>
      </w:r>
      <w:r w:rsidR="4F27A1E9" w:rsidRPr="0000305F">
        <w:t xml:space="preserve">secukinumab </w:t>
      </w:r>
      <w:r w:rsidRPr="0000305F">
        <w:t>medication at Week 13, 14, 15 visits instead of placebo medication</w:t>
      </w:r>
      <w:r w:rsidR="7D675914" w:rsidRPr="0000305F">
        <w:t xml:space="preserve"> (p49 of PM-2020-06312 Clinical Evaluation Report for Cosentyx)</w:t>
      </w:r>
      <w:r w:rsidR="005B2C02">
        <w:t>, and thus received 3 additional doses of active treatment</w:t>
      </w:r>
      <w:r w:rsidR="4A7826CE" w:rsidRPr="0000305F">
        <w:t>.</w:t>
      </w:r>
      <w:r w:rsidR="001257A8" w:rsidRPr="0000305F">
        <w:t xml:space="preserve"> This </w:t>
      </w:r>
      <w:r w:rsidR="00915705">
        <w:t>increases the uncertainty of</w:t>
      </w:r>
      <w:r w:rsidR="00915705" w:rsidRPr="0000305F">
        <w:t xml:space="preserve"> </w:t>
      </w:r>
      <w:r w:rsidR="001257A8" w:rsidRPr="0000305F">
        <w:t xml:space="preserve">the </w:t>
      </w:r>
      <w:r w:rsidR="00DA1347" w:rsidRPr="0000305F">
        <w:t>W</w:t>
      </w:r>
      <w:r w:rsidR="001257A8" w:rsidRPr="0000305F">
        <w:t xml:space="preserve">eek 52 analysis of </w:t>
      </w:r>
      <w:r w:rsidR="00162EA1" w:rsidRPr="0000305F">
        <w:t>Study 2310</w:t>
      </w:r>
      <w:r w:rsidR="00915705">
        <w:t>,</w:t>
      </w:r>
      <w:r w:rsidR="001257A8" w:rsidRPr="0000305F">
        <w:t xml:space="preserve"> but not the </w:t>
      </w:r>
      <w:r w:rsidR="00DA1347" w:rsidRPr="0000305F">
        <w:t>W</w:t>
      </w:r>
      <w:r w:rsidR="001257A8" w:rsidRPr="0000305F">
        <w:t>eek 12 analysis.</w:t>
      </w:r>
      <w:r w:rsidR="00244D62" w:rsidRPr="0000305F">
        <w:t xml:space="preserve"> </w:t>
      </w:r>
      <w:r w:rsidR="00904114" w:rsidRPr="0000305F">
        <w:t xml:space="preserve">The </w:t>
      </w:r>
      <w:r w:rsidR="00F67EE2">
        <w:t>Pre-Sub-Committee Response (</w:t>
      </w:r>
      <w:r w:rsidR="00904114" w:rsidRPr="0000305F">
        <w:t>PSCR</w:t>
      </w:r>
      <w:r w:rsidR="00F67EE2">
        <w:t>)</w:t>
      </w:r>
      <w:r w:rsidR="003337DE" w:rsidRPr="0000305F">
        <w:t xml:space="preserve"> </w:t>
      </w:r>
      <w:r w:rsidR="00904114" w:rsidRPr="0000305F">
        <w:t>provided an analysis of patients both affected and not affected by the dosing error. There was no statistical analysis provided</w:t>
      </w:r>
      <w:r w:rsidR="00915705">
        <w:t>,</w:t>
      </w:r>
      <w:r w:rsidR="00904114" w:rsidRPr="0000305F">
        <w:t xml:space="preserve"> but the results suggest that patients </w:t>
      </w:r>
      <w:r w:rsidR="009537BE" w:rsidRPr="0000305F">
        <w:t>who</w:t>
      </w:r>
      <w:r w:rsidR="00904114" w:rsidRPr="0000305F">
        <w:t xml:space="preserve"> were not affected by the dosing error had lower response rates at</w:t>
      </w:r>
      <w:r w:rsidR="009537BE" w:rsidRPr="0000305F">
        <w:t xml:space="preserve"> Week</w:t>
      </w:r>
      <w:r w:rsidR="00904114" w:rsidRPr="0000305F">
        <w:t xml:space="preserve"> 52 compared to those </w:t>
      </w:r>
      <w:r w:rsidR="009537BE" w:rsidRPr="0000305F">
        <w:t>who</w:t>
      </w:r>
      <w:r w:rsidR="00904114" w:rsidRPr="0000305F">
        <w:t xml:space="preserve"> were affected.</w:t>
      </w:r>
    </w:p>
    <w:p w:rsidR="00A31C17" w:rsidRPr="00E663C3" w:rsidRDefault="00A31C17" w:rsidP="00A31C17">
      <w:pPr>
        <w:pStyle w:val="3-BodyText"/>
        <w:rPr>
          <w:color w:val="000000" w:themeColor="text1"/>
        </w:rPr>
      </w:pPr>
      <w:r w:rsidRPr="00E663C3">
        <w:rPr>
          <w:iCs/>
        </w:rPr>
        <w:t xml:space="preserve">Study 2310 had a moderate risk of bias due to the unblinding of participants to etanercept treatment. </w:t>
      </w:r>
      <w:r w:rsidRPr="00E663C3">
        <w:t>E</w:t>
      </w:r>
      <w:r w:rsidRPr="00E663C3">
        <w:rPr>
          <w:rFonts w:ascii="Calibri" w:eastAsia="Calibri" w:hAnsi="Calibri" w:cs="Calibri"/>
          <w:color w:val="000000" w:themeColor="text1"/>
        </w:rPr>
        <w:t>tanercept was single (efficacy assessor) blinded to prevent observer bias, and not patient-blinded. The rationale presented in the submission was</w:t>
      </w:r>
      <w:r w:rsidR="00B9167A">
        <w:rPr>
          <w:rFonts w:ascii="Calibri" w:eastAsia="Calibri" w:hAnsi="Calibri" w:cs="Calibri"/>
          <w:color w:val="000000" w:themeColor="text1"/>
        </w:rPr>
        <w:t xml:space="preserve"> </w:t>
      </w:r>
      <w:r w:rsidR="00B9167A" w:rsidRPr="00915705">
        <w:rPr>
          <w:rFonts w:ascii="Calibri" w:eastAsia="Calibri" w:hAnsi="Calibri" w:cs="Calibri"/>
          <w:color w:val="000000" w:themeColor="text1"/>
        </w:rPr>
        <w:t>that</w:t>
      </w:r>
      <w:r w:rsidRPr="00E663C3">
        <w:rPr>
          <w:rFonts w:ascii="Calibri" w:eastAsia="Calibri" w:hAnsi="Calibri" w:cs="Calibri"/>
          <w:color w:val="000000" w:themeColor="text1"/>
        </w:rPr>
        <w:t xml:space="preserve"> since the dosing regimens of the two products are different (weekly dosing in etanercept vs monthly in secukinumab)</w:t>
      </w:r>
      <w:r w:rsidR="00B9167A">
        <w:rPr>
          <w:rFonts w:ascii="Calibri" w:eastAsia="Calibri" w:hAnsi="Calibri" w:cs="Calibri"/>
          <w:color w:val="000000" w:themeColor="text1"/>
        </w:rPr>
        <w:t>,</w:t>
      </w:r>
      <w:r w:rsidRPr="00E663C3">
        <w:rPr>
          <w:rFonts w:ascii="Calibri" w:eastAsia="Calibri" w:hAnsi="Calibri" w:cs="Calibri"/>
          <w:color w:val="000000" w:themeColor="text1"/>
        </w:rPr>
        <w:t xml:space="preserve"> double blinding </w:t>
      </w:r>
      <w:r w:rsidR="00215A2A">
        <w:rPr>
          <w:rFonts w:ascii="Calibri" w:eastAsia="Calibri" w:hAnsi="Calibri" w:cs="Calibri"/>
          <w:color w:val="000000" w:themeColor="text1"/>
        </w:rPr>
        <w:t xml:space="preserve">would be </w:t>
      </w:r>
      <w:r w:rsidRPr="00E663C3">
        <w:rPr>
          <w:rFonts w:ascii="Calibri" w:eastAsia="Calibri" w:hAnsi="Calibri" w:cs="Calibri"/>
          <w:color w:val="000000" w:themeColor="text1"/>
        </w:rPr>
        <w:t xml:space="preserve"> inappropriate in children due to the number of additional placebo injections needed in order to achieve a true double-blind administration. </w:t>
      </w:r>
      <w:r w:rsidRPr="00E663C3">
        <w:rPr>
          <w:rFonts w:ascii="Calibri" w:eastAsia="Calibri" w:hAnsi="Calibri" w:cs="Calibri"/>
          <w:iCs/>
          <w:color w:val="000000" w:themeColor="text1"/>
        </w:rPr>
        <w:t>The unmasking of etanercept increase</w:t>
      </w:r>
      <w:r w:rsidR="00215A2A">
        <w:rPr>
          <w:rFonts w:ascii="Calibri" w:eastAsia="Calibri" w:hAnsi="Calibri" w:cs="Calibri"/>
          <w:iCs/>
          <w:color w:val="000000" w:themeColor="text1"/>
        </w:rPr>
        <w:t>d</w:t>
      </w:r>
      <w:r w:rsidRPr="00E663C3">
        <w:rPr>
          <w:rFonts w:ascii="Calibri" w:eastAsia="Calibri" w:hAnsi="Calibri" w:cs="Calibri"/>
          <w:iCs/>
          <w:color w:val="000000" w:themeColor="text1"/>
        </w:rPr>
        <w:t xml:space="preserve"> the risk of bias </w:t>
      </w:r>
      <w:r w:rsidR="00915705">
        <w:rPr>
          <w:rFonts w:ascii="Calibri" w:eastAsia="Calibri" w:hAnsi="Calibri" w:cs="Calibri"/>
          <w:iCs/>
          <w:color w:val="000000" w:themeColor="text1"/>
        </w:rPr>
        <w:t xml:space="preserve">for </w:t>
      </w:r>
      <w:r w:rsidRPr="00E663C3">
        <w:rPr>
          <w:rFonts w:ascii="Calibri" w:eastAsia="Calibri" w:hAnsi="Calibri" w:cs="Calibri"/>
          <w:iCs/>
          <w:color w:val="000000" w:themeColor="text1"/>
        </w:rPr>
        <w:t xml:space="preserve">secukinumab compared to etanercept.  </w:t>
      </w:r>
    </w:p>
    <w:p w:rsidR="00BB36A1" w:rsidRPr="00E663C3" w:rsidRDefault="00BB36A1" w:rsidP="00BB36A1">
      <w:pPr>
        <w:pStyle w:val="3-BodyText"/>
        <w:rPr>
          <w:rFonts w:eastAsiaTheme="minorEastAsia" w:cstheme="minorBidi"/>
          <w:color w:val="0066FF"/>
        </w:rPr>
      </w:pPr>
      <w:r w:rsidRPr="00E663C3">
        <w:t>CADMUS was a phase 3 randomised, double-blind, placebo-controlled, parallel-group, multi-centre three-arm study that enrolled 110 adolescent patients (≥12 to &lt;18 years) with moderate to severe CPP defined by PASI ≥12, a Physician’s Global Assessment (PGA) ≥3, and BSA involvement ≥10%. Patients were randomised in a 1:1:1 ratio to ustekinumab standard dose (n=36), ustekinumab half-standard dose (n=37) and placebo (n=37)</w:t>
      </w:r>
      <w:r w:rsidRPr="00E663C3">
        <w:rPr>
          <w:iCs/>
        </w:rPr>
        <w:t xml:space="preserve">. The submission only presented the </w:t>
      </w:r>
      <w:r w:rsidR="000537A2">
        <w:t>ustekinumab standard dose (0.75 </w:t>
      </w:r>
      <w:r w:rsidRPr="00E663C3">
        <w:t>mg/kg for patients ≤60 kg, at Week 0, 4, and every 12 weeks thereafter)</w:t>
      </w:r>
      <w:r w:rsidR="00FB4E59" w:rsidRPr="00E663C3">
        <w:t>,</w:t>
      </w:r>
      <w:r w:rsidRPr="00E663C3">
        <w:rPr>
          <w:iCs/>
        </w:rPr>
        <w:t xml:space="preserve"> which was consistent with the TGA approved dosage for ustekinumab for</w:t>
      </w:r>
      <w:r w:rsidR="00FB4E59" w:rsidRPr="00E663C3">
        <w:rPr>
          <w:iCs/>
        </w:rPr>
        <w:t xml:space="preserve"> the</w:t>
      </w:r>
      <w:r w:rsidRPr="00E663C3">
        <w:rPr>
          <w:iCs/>
        </w:rPr>
        <w:t xml:space="preserve"> paediatric population. CADMUS was considered to have a low risk of bias</w:t>
      </w:r>
      <w:r w:rsidR="00467593">
        <w:rPr>
          <w:iCs/>
        </w:rPr>
        <w:t xml:space="preserve">. </w:t>
      </w:r>
      <w:r w:rsidR="00915705">
        <w:rPr>
          <w:iCs/>
        </w:rPr>
        <w:t xml:space="preserve">The PBAC has previously considered </w:t>
      </w:r>
      <w:r w:rsidR="00915705">
        <w:rPr>
          <w:rFonts w:eastAsia="Arial Narrow" w:cs="Arial Narrow"/>
          <w:szCs w:val="18"/>
        </w:rPr>
        <w:t>the</w:t>
      </w:r>
      <w:r w:rsidR="00915705" w:rsidRPr="6BC1A975">
        <w:rPr>
          <w:rFonts w:eastAsia="Arial Narrow" w:cs="Arial Narrow"/>
          <w:szCs w:val="18"/>
        </w:rPr>
        <w:t xml:space="preserve"> CADMUS</w:t>
      </w:r>
      <w:r w:rsidR="00915705">
        <w:rPr>
          <w:rFonts w:eastAsia="Arial Narrow" w:cs="Arial Narrow"/>
          <w:szCs w:val="18"/>
        </w:rPr>
        <w:t xml:space="preserve"> trial</w:t>
      </w:r>
      <w:r w:rsidR="00915705" w:rsidRPr="6BC1A975">
        <w:rPr>
          <w:rFonts w:eastAsia="Arial Narrow" w:cs="Arial Narrow"/>
          <w:szCs w:val="18"/>
        </w:rPr>
        <w:t xml:space="preserve"> for</w:t>
      </w:r>
      <w:r w:rsidR="00DB76F9">
        <w:rPr>
          <w:rFonts w:eastAsia="Arial Narrow" w:cs="Arial Narrow"/>
          <w:szCs w:val="18"/>
        </w:rPr>
        <w:t xml:space="preserve"> </w:t>
      </w:r>
      <w:r w:rsidR="00DB76F9" w:rsidRPr="6BC1A975">
        <w:rPr>
          <w:rFonts w:eastAsia="Arial Narrow" w:cs="Arial Narrow"/>
          <w:szCs w:val="18"/>
        </w:rPr>
        <w:t>ustekinumab</w:t>
      </w:r>
      <w:r w:rsidR="00915705">
        <w:rPr>
          <w:rFonts w:eastAsia="Arial Narrow" w:cs="Arial Narrow"/>
          <w:szCs w:val="18"/>
        </w:rPr>
        <w:t xml:space="preserve"> </w:t>
      </w:r>
      <w:r w:rsidR="00DB76F9">
        <w:rPr>
          <w:rFonts w:eastAsia="Arial Narrow" w:cs="Arial Narrow"/>
          <w:szCs w:val="18"/>
        </w:rPr>
        <w:t>in</w:t>
      </w:r>
      <w:r w:rsidR="00915705" w:rsidRPr="6BC1A975">
        <w:rPr>
          <w:rFonts w:eastAsia="Arial Narrow" w:cs="Arial Narrow"/>
          <w:szCs w:val="18"/>
        </w:rPr>
        <w:t xml:space="preserve"> </w:t>
      </w:r>
      <w:r w:rsidR="00915705">
        <w:rPr>
          <w:rFonts w:eastAsia="Arial Narrow" w:cs="Arial Narrow"/>
          <w:szCs w:val="18"/>
        </w:rPr>
        <w:t>paediatric</w:t>
      </w:r>
      <w:r w:rsidR="00DB76F9">
        <w:rPr>
          <w:rFonts w:eastAsia="Arial Narrow" w:cs="Arial Narrow"/>
          <w:szCs w:val="18"/>
        </w:rPr>
        <w:t xml:space="preserve"> severe</w:t>
      </w:r>
      <w:r w:rsidR="00915705">
        <w:rPr>
          <w:rFonts w:eastAsia="Arial Narrow" w:cs="Arial Narrow"/>
          <w:szCs w:val="18"/>
        </w:rPr>
        <w:t xml:space="preserve"> CPP in March 2021.</w:t>
      </w:r>
    </w:p>
    <w:p w:rsidR="00BB36A1" w:rsidRPr="00E663C3" w:rsidRDefault="00BB36A1" w:rsidP="00BB36A1">
      <w:pPr>
        <w:pStyle w:val="3-BodyText"/>
        <w:rPr>
          <w:rFonts w:eastAsiaTheme="minorEastAsia" w:cstheme="minorBidi"/>
          <w:color w:val="000000" w:themeColor="text1"/>
        </w:rPr>
      </w:pPr>
      <w:r w:rsidRPr="00E663C3">
        <w:t xml:space="preserve">CADMUS and </w:t>
      </w:r>
      <w:r w:rsidR="00162EA1" w:rsidRPr="00E663C3">
        <w:t>Study 2310</w:t>
      </w:r>
      <w:r w:rsidRPr="00E663C3">
        <w:t xml:space="preserve"> did not allow concomitant use of methotrexate, and as such, although the proposed restriction allows use in combination with methotrexate, the efficacy and safety of this combination was unknown. </w:t>
      </w:r>
      <w:r w:rsidRPr="00E663C3">
        <w:rPr>
          <w:iCs/>
        </w:rPr>
        <w:t>S</w:t>
      </w:r>
      <w:r w:rsidRPr="00E663C3">
        <w:rPr>
          <w:rFonts w:ascii="Calibri" w:eastAsia="Calibri" w:hAnsi="Calibri" w:cs="Calibri"/>
          <w:color w:val="000000" w:themeColor="text1"/>
        </w:rPr>
        <w:t xml:space="preserve">tudy 2310 did not allow a topical corticosteroid treatment for the face, scalp, hands, feet and genitoanal area after the patient had been randomised. </w:t>
      </w:r>
      <w:r w:rsidRPr="00E663C3">
        <w:rPr>
          <w:rFonts w:ascii="Calibri" w:eastAsia="Calibri" w:hAnsi="Calibri" w:cs="Calibri"/>
          <w:iCs/>
          <w:color w:val="000000" w:themeColor="text1"/>
        </w:rPr>
        <w:t>This differs to the CADMUS trial which allowed topical steroids.</w:t>
      </w:r>
    </w:p>
    <w:p w:rsidR="00BB36A1" w:rsidRPr="00E663C3" w:rsidRDefault="3CAE4298" w:rsidP="1CB8166F">
      <w:pPr>
        <w:pStyle w:val="3-BodyText"/>
        <w:rPr>
          <w:rFonts w:eastAsiaTheme="minorEastAsia" w:cstheme="minorBidi"/>
          <w:iCs/>
          <w:color w:val="000000" w:themeColor="text1"/>
        </w:rPr>
      </w:pPr>
      <w:r w:rsidRPr="00E663C3">
        <w:rPr>
          <w:rFonts w:ascii="Calibri" w:eastAsia="Calibri" w:hAnsi="Calibri" w:cs="Calibri"/>
          <w:iCs/>
          <w:color w:val="000000" w:themeColor="text1"/>
        </w:rPr>
        <w:t xml:space="preserve">Generally, baseline characteristics across CADMUS </w:t>
      </w:r>
      <w:r w:rsidR="00575A82">
        <w:rPr>
          <w:rFonts w:ascii="Calibri" w:eastAsia="Calibri" w:hAnsi="Calibri" w:cs="Calibri"/>
          <w:iCs/>
          <w:color w:val="000000" w:themeColor="text1"/>
        </w:rPr>
        <w:t xml:space="preserve">and </w:t>
      </w:r>
      <w:r w:rsidRPr="00E663C3">
        <w:rPr>
          <w:rFonts w:ascii="Calibri" w:eastAsia="Calibri" w:hAnsi="Calibri" w:cs="Calibri"/>
          <w:iCs/>
          <w:color w:val="000000" w:themeColor="text1"/>
        </w:rPr>
        <w:t xml:space="preserve">Study 2310 were different with regards to the age of patients, prior biologics, </w:t>
      </w:r>
      <w:r w:rsidR="0097018C">
        <w:rPr>
          <w:rFonts w:ascii="Calibri" w:eastAsia="Calibri" w:hAnsi="Calibri" w:cs="Calibri"/>
          <w:iCs/>
          <w:color w:val="000000" w:themeColor="text1"/>
        </w:rPr>
        <w:t xml:space="preserve">and </w:t>
      </w:r>
      <w:r w:rsidRPr="00E663C3">
        <w:rPr>
          <w:rFonts w:ascii="Calibri" w:eastAsia="Calibri" w:hAnsi="Calibri" w:cs="Calibri"/>
          <w:iCs/>
          <w:color w:val="000000" w:themeColor="text1"/>
        </w:rPr>
        <w:t xml:space="preserve">severity grade. There was a higher proportion of patients in the CADMUS study </w:t>
      </w:r>
      <w:r w:rsidR="00311105" w:rsidRPr="00E663C3">
        <w:rPr>
          <w:rFonts w:ascii="Calibri" w:eastAsia="Calibri" w:hAnsi="Calibri" w:cs="Calibri"/>
          <w:iCs/>
          <w:color w:val="000000" w:themeColor="text1"/>
        </w:rPr>
        <w:t xml:space="preserve">who </w:t>
      </w:r>
      <w:r w:rsidRPr="00E663C3">
        <w:rPr>
          <w:rFonts w:ascii="Calibri" w:eastAsia="Calibri" w:hAnsi="Calibri" w:cs="Calibri"/>
          <w:iCs/>
          <w:color w:val="000000" w:themeColor="text1"/>
        </w:rPr>
        <w:t xml:space="preserve">had received biologic therapy prior to enrolment (10.9%), </w:t>
      </w:r>
      <w:r w:rsidR="0E773FF9" w:rsidRPr="00E663C3">
        <w:rPr>
          <w:rFonts w:ascii="Calibri" w:eastAsia="Calibri" w:hAnsi="Calibri" w:cs="Calibri"/>
          <w:iCs/>
          <w:color w:val="000000" w:themeColor="text1"/>
        </w:rPr>
        <w:t xml:space="preserve">compared to </w:t>
      </w:r>
      <w:r w:rsidRPr="00E663C3">
        <w:rPr>
          <w:rFonts w:ascii="Calibri" w:eastAsia="Calibri" w:hAnsi="Calibri" w:cs="Calibri"/>
          <w:iCs/>
          <w:color w:val="000000" w:themeColor="text1"/>
        </w:rPr>
        <w:t>only 2.5</w:t>
      </w:r>
      <w:r w:rsidR="0E773FF9" w:rsidRPr="00E663C3">
        <w:rPr>
          <w:rFonts w:ascii="Calibri" w:eastAsia="Calibri" w:hAnsi="Calibri" w:cs="Calibri"/>
          <w:iCs/>
          <w:color w:val="000000" w:themeColor="text1"/>
        </w:rPr>
        <w:t>%</w:t>
      </w:r>
      <w:r w:rsidRPr="00E663C3">
        <w:rPr>
          <w:rFonts w:ascii="Calibri" w:eastAsia="Calibri" w:hAnsi="Calibri" w:cs="Calibri"/>
          <w:iCs/>
          <w:color w:val="000000" w:themeColor="text1"/>
        </w:rPr>
        <w:t xml:space="preserve"> of patients in </w:t>
      </w:r>
      <w:r w:rsidR="00162EA1" w:rsidRPr="00E663C3">
        <w:rPr>
          <w:rFonts w:ascii="Calibri" w:eastAsia="Calibri" w:hAnsi="Calibri" w:cs="Calibri"/>
          <w:iCs/>
          <w:color w:val="000000" w:themeColor="text1"/>
        </w:rPr>
        <w:t>Study 2310</w:t>
      </w:r>
      <w:r w:rsidRPr="00E663C3">
        <w:rPr>
          <w:rFonts w:ascii="Calibri" w:eastAsia="Calibri" w:hAnsi="Calibri" w:cs="Calibri"/>
          <w:iCs/>
          <w:color w:val="000000" w:themeColor="text1"/>
        </w:rPr>
        <w:t xml:space="preserve">. In terms of patient age, the ustekinumab study (CADMUS) included children and adolescents aged 12 to 17 years, and the secukinumab study (2310) included children and adolescents aged 6 years to &lt;18 years. However, the mean age across the studies did not differ greatly. Compared with 53% in </w:t>
      </w:r>
      <w:r w:rsidR="00162EA1" w:rsidRPr="00E663C3">
        <w:rPr>
          <w:rFonts w:ascii="Calibri" w:eastAsia="Calibri" w:hAnsi="Calibri" w:cs="Calibri"/>
          <w:iCs/>
          <w:color w:val="000000" w:themeColor="text1"/>
        </w:rPr>
        <w:t>Study 2310</w:t>
      </w:r>
      <w:r w:rsidRPr="00E663C3">
        <w:rPr>
          <w:rFonts w:ascii="Calibri" w:eastAsia="Calibri" w:hAnsi="Calibri" w:cs="Calibri"/>
          <w:iCs/>
          <w:color w:val="000000" w:themeColor="text1"/>
        </w:rPr>
        <w:t>, the number of patients who had received prior systemic therapy was numerically lower in the ustekinumab CADMUS study (43%).</w:t>
      </w:r>
    </w:p>
    <w:p w:rsidR="00BB36A1" w:rsidRPr="00E663C3" w:rsidRDefault="00BB36A1" w:rsidP="00BB36A1">
      <w:pPr>
        <w:pStyle w:val="3-BodyText"/>
        <w:rPr>
          <w:rFonts w:eastAsiaTheme="minorEastAsia" w:cstheme="minorBidi"/>
          <w:iCs/>
          <w:color w:val="000000" w:themeColor="text1"/>
        </w:rPr>
      </w:pPr>
      <w:r w:rsidRPr="00E663C3">
        <w:rPr>
          <w:rFonts w:ascii="Calibri" w:eastAsia="Calibri" w:hAnsi="Calibri" w:cs="Calibri"/>
          <w:iCs/>
          <w:color w:val="000000" w:themeColor="text1"/>
        </w:rPr>
        <w:t>CADMUS</w:t>
      </w:r>
      <w:r w:rsidR="005D09E0">
        <w:rPr>
          <w:rFonts w:ascii="Calibri" w:eastAsia="Calibri" w:hAnsi="Calibri" w:cs="Calibri"/>
          <w:iCs/>
          <w:color w:val="000000" w:themeColor="text1"/>
        </w:rPr>
        <w:t xml:space="preserve"> and</w:t>
      </w:r>
      <w:r w:rsidRPr="00E663C3">
        <w:rPr>
          <w:rFonts w:ascii="Calibri" w:eastAsia="Calibri" w:hAnsi="Calibri" w:cs="Calibri"/>
          <w:iCs/>
          <w:color w:val="000000" w:themeColor="text1"/>
        </w:rPr>
        <w:t xml:space="preserve"> </w:t>
      </w:r>
      <w:r w:rsidR="00162EA1" w:rsidRPr="00E663C3">
        <w:rPr>
          <w:rFonts w:ascii="Calibri" w:eastAsia="Calibri" w:hAnsi="Calibri" w:cs="Calibri"/>
          <w:iCs/>
          <w:color w:val="000000" w:themeColor="text1"/>
        </w:rPr>
        <w:t>Study 2310</w:t>
      </w:r>
      <w:r w:rsidRPr="00E663C3">
        <w:rPr>
          <w:rFonts w:ascii="Calibri" w:eastAsia="Calibri" w:hAnsi="Calibri" w:cs="Calibri"/>
          <w:iCs/>
          <w:color w:val="000000" w:themeColor="text1"/>
        </w:rPr>
        <w:t xml:space="preserve"> enrolled patients with different severity </w:t>
      </w:r>
      <w:r w:rsidR="00AB0813" w:rsidRPr="00E663C3">
        <w:rPr>
          <w:rFonts w:ascii="Calibri" w:eastAsia="Calibri" w:hAnsi="Calibri" w:cs="Calibri"/>
          <w:iCs/>
          <w:color w:val="000000" w:themeColor="text1"/>
        </w:rPr>
        <w:t>CPP</w:t>
      </w:r>
      <w:r w:rsidRPr="00E663C3">
        <w:rPr>
          <w:rFonts w:ascii="Calibri" w:eastAsia="Calibri" w:hAnsi="Calibri" w:cs="Calibri"/>
          <w:iCs/>
          <w:color w:val="000000" w:themeColor="text1"/>
        </w:rPr>
        <w:t xml:space="preserve"> compared to the proposed PBS population as: </w:t>
      </w:r>
    </w:p>
    <w:p w:rsidR="00BB36A1" w:rsidRPr="00E663C3" w:rsidRDefault="00BB36A1" w:rsidP="005A0E10">
      <w:pPr>
        <w:pStyle w:val="3-BodyText"/>
        <w:numPr>
          <w:ilvl w:val="0"/>
          <w:numId w:val="12"/>
        </w:numPr>
        <w:ind w:left="1134"/>
        <w:rPr>
          <w:rFonts w:eastAsiaTheme="minorEastAsia" w:cstheme="minorBidi"/>
          <w:color w:val="000000" w:themeColor="text1"/>
        </w:rPr>
      </w:pPr>
      <w:r w:rsidRPr="00E663C3">
        <w:rPr>
          <w:rFonts w:ascii="Calibri" w:eastAsia="Calibri" w:hAnsi="Calibri" w:cs="Calibri"/>
          <w:iCs/>
          <w:color w:val="000000" w:themeColor="text1"/>
        </w:rPr>
        <w:t>In CADMUS, the severity grade was PASI</w:t>
      </w:r>
      <w:r w:rsidR="005D09E0">
        <w:rPr>
          <w:rFonts w:ascii="Calibri" w:eastAsia="Calibri" w:hAnsi="Calibri" w:cs="Calibri"/>
          <w:iCs/>
          <w:color w:val="000000" w:themeColor="text1"/>
        </w:rPr>
        <w:t xml:space="preserve"> </w:t>
      </w:r>
      <w:r w:rsidRPr="00E663C3">
        <w:rPr>
          <w:rFonts w:ascii="Calibri" w:eastAsia="Calibri" w:hAnsi="Calibri" w:cs="Calibri"/>
          <w:iCs/>
          <w:color w:val="000000" w:themeColor="text1"/>
        </w:rPr>
        <w:t xml:space="preserve">&gt;12 (moderate-to-severe) while </w:t>
      </w:r>
      <w:r w:rsidR="00162EA1" w:rsidRPr="00E663C3">
        <w:rPr>
          <w:rFonts w:ascii="Calibri" w:eastAsia="Calibri" w:hAnsi="Calibri" w:cs="Calibri"/>
          <w:iCs/>
          <w:color w:val="000000" w:themeColor="text1"/>
        </w:rPr>
        <w:t>Study 2310</w:t>
      </w:r>
      <w:r w:rsidRPr="00E663C3">
        <w:rPr>
          <w:rFonts w:ascii="Calibri" w:eastAsia="Calibri" w:hAnsi="Calibri" w:cs="Calibri"/>
          <w:iCs/>
          <w:color w:val="000000" w:themeColor="text1"/>
        </w:rPr>
        <w:t xml:space="preserve"> included only with PASI</w:t>
      </w:r>
      <w:r w:rsidR="005D09E0">
        <w:rPr>
          <w:rFonts w:ascii="Calibri" w:eastAsia="Calibri" w:hAnsi="Calibri" w:cs="Calibri"/>
          <w:iCs/>
          <w:color w:val="000000" w:themeColor="text1"/>
        </w:rPr>
        <w:t xml:space="preserve"> </w:t>
      </w:r>
      <w:r w:rsidRPr="00E663C3">
        <w:rPr>
          <w:rFonts w:ascii="Calibri" w:eastAsia="Calibri" w:hAnsi="Calibri" w:cs="Calibri"/>
          <w:iCs/>
          <w:color w:val="000000" w:themeColor="text1"/>
        </w:rPr>
        <w:t>≥20 (severe). This differs to the</w:t>
      </w:r>
      <w:r w:rsidR="005D09E0">
        <w:rPr>
          <w:rFonts w:ascii="Calibri" w:eastAsia="Calibri" w:hAnsi="Calibri" w:cs="Calibri"/>
          <w:iCs/>
          <w:color w:val="000000" w:themeColor="text1"/>
        </w:rPr>
        <w:t xml:space="preserve"> </w:t>
      </w:r>
      <w:r w:rsidR="005D09E0" w:rsidRPr="0006672E">
        <w:rPr>
          <w:rFonts w:ascii="Calibri" w:eastAsia="Calibri" w:hAnsi="Calibri" w:cs="Calibri"/>
          <w:iCs/>
          <w:color w:val="000000" w:themeColor="text1"/>
        </w:rPr>
        <w:t>proposed</w:t>
      </w:r>
      <w:r w:rsidRPr="00E663C3">
        <w:rPr>
          <w:rFonts w:ascii="Calibri" w:eastAsia="Calibri" w:hAnsi="Calibri" w:cs="Calibri"/>
          <w:iCs/>
          <w:color w:val="000000" w:themeColor="text1"/>
        </w:rPr>
        <w:t xml:space="preserve"> PBS restriction of PASI</w:t>
      </w:r>
      <w:r w:rsidR="005D09E0">
        <w:rPr>
          <w:rFonts w:ascii="Calibri" w:eastAsia="Calibri" w:hAnsi="Calibri" w:cs="Calibri"/>
          <w:iCs/>
          <w:color w:val="000000" w:themeColor="text1"/>
        </w:rPr>
        <w:t xml:space="preserve"> </w:t>
      </w:r>
      <w:r w:rsidRPr="00E663C3">
        <w:rPr>
          <w:rFonts w:ascii="Calibri" w:eastAsia="Calibri" w:hAnsi="Calibri" w:cs="Calibri"/>
          <w:iCs/>
          <w:color w:val="000000" w:themeColor="text1"/>
        </w:rPr>
        <w:t xml:space="preserve">&gt;15 (severe). </w:t>
      </w:r>
    </w:p>
    <w:p w:rsidR="00BB36A1" w:rsidRPr="00E663C3" w:rsidRDefault="00BB36A1" w:rsidP="005A0E10">
      <w:pPr>
        <w:pStyle w:val="3-BodyText"/>
        <w:numPr>
          <w:ilvl w:val="0"/>
          <w:numId w:val="12"/>
        </w:numPr>
        <w:ind w:left="1134"/>
        <w:rPr>
          <w:color w:val="000000" w:themeColor="text1"/>
        </w:rPr>
      </w:pPr>
      <w:r w:rsidRPr="00E663C3">
        <w:rPr>
          <w:iCs/>
        </w:rPr>
        <w:t>The trials did not require patients to have failed to achieve an adequate response to two of phototherapy, methotrexate or acitretin, as proposed in the requested listing.</w:t>
      </w:r>
    </w:p>
    <w:p w:rsidR="00BB36A1" w:rsidRDefault="00BB36A1" w:rsidP="00BB36A1">
      <w:pPr>
        <w:pStyle w:val="4-SubsectionHeading"/>
      </w:pPr>
      <w:bookmarkStart w:id="18" w:name="_Toc22897641"/>
      <w:bookmarkStart w:id="19" w:name="_Toc82600273"/>
      <w:r>
        <w:t>Comparative effectiveness</w:t>
      </w:r>
      <w:bookmarkEnd w:id="18"/>
      <w:bookmarkEnd w:id="19"/>
    </w:p>
    <w:p w:rsidR="00A92795" w:rsidRPr="00A92795" w:rsidRDefault="00A92795" w:rsidP="005E2068">
      <w:pPr>
        <w:pStyle w:val="5-SubsectionSubheading"/>
      </w:pPr>
      <w:r>
        <w:rPr>
          <w:lang w:val="en-US"/>
        </w:rPr>
        <w:t>D</w:t>
      </w:r>
      <w:r w:rsidRPr="00A92795">
        <w:rPr>
          <w:lang w:val="en-US"/>
        </w:rPr>
        <w:t>irect comparison between secukinumab and etanercept</w:t>
      </w:r>
    </w:p>
    <w:p w:rsidR="00BB36A1" w:rsidRPr="00BB535E" w:rsidRDefault="3CAE4298" w:rsidP="1CB8166F">
      <w:pPr>
        <w:pStyle w:val="3-BodyText"/>
        <w:rPr>
          <w:rFonts w:eastAsiaTheme="minorEastAsia" w:cstheme="minorBidi"/>
          <w:color w:val="000000" w:themeColor="text1"/>
          <w:lang w:val="en-US"/>
        </w:rPr>
      </w:pPr>
      <w:r w:rsidRPr="00BB535E">
        <w:rPr>
          <w:snapToGrid/>
          <w:lang w:val="en-US"/>
        </w:rPr>
        <w:t xml:space="preserve">Table </w:t>
      </w:r>
      <w:r w:rsidR="002564B8">
        <w:rPr>
          <w:snapToGrid/>
          <w:lang w:val="en-US"/>
        </w:rPr>
        <w:t>4</w:t>
      </w:r>
      <w:r w:rsidRPr="00BB535E">
        <w:rPr>
          <w:snapToGrid/>
          <w:lang w:val="en-US"/>
        </w:rPr>
        <w:t xml:space="preserve"> presents </w:t>
      </w:r>
      <w:r w:rsidRPr="00BB535E">
        <w:rPr>
          <w:rFonts w:ascii="Calibri" w:eastAsia="Calibri" w:hAnsi="Calibri" w:cs="Calibri"/>
          <w:color w:val="000000" w:themeColor="text1"/>
          <w:lang w:val="en-US"/>
        </w:rPr>
        <w:t xml:space="preserve">Study 2310 results of the co-primary clinical response outcomes (PASI 75 and IGA 0/1) at </w:t>
      </w:r>
      <w:r w:rsidR="00DA1347">
        <w:rPr>
          <w:rFonts w:ascii="Calibri" w:eastAsia="Calibri" w:hAnsi="Calibri" w:cs="Calibri"/>
          <w:color w:val="000000" w:themeColor="text1"/>
          <w:lang w:val="en-US"/>
        </w:rPr>
        <w:t>W</w:t>
      </w:r>
      <w:r w:rsidRPr="00BB535E">
        <w:rPr>
          <w:rFonts w:ascii="Calibri" w:eastAsia="Calibri" w:hAnsi="Calibri" w:cs="Calibri"/>
          <w:color w:val="000000" w:themeColor="text1"/>
          <w:lang w:val="en-US"/>
        </w:rPr>
        <w:t>eek 12 and 52</w:t>
      </w:r>
      <w:r w:rsidR="2BD04D1B">
        <w:rPr>
          <w:rFonts w:ascii="Calibri" w:eastAsia="Calibri" w:hAnsi="Calibri" w:cs="Calibri"/>
          <w:color w:val="000000" w:themeColor="text1"/>
          <w:lang w:val="en-US"/>
        </w:rPr>
        <w:t>.</w:t>
      </w:r>
    </w:p>
    <w:p w:rsidR="00BB36A1" w:rsidRPr="00EC5836" w:rsidRDefault="00BB36A1" w:rsidP="002B0981">
      <w:pPr>
        <w:keepNext/>
        <w:keepLines/>
        <w:rPr>
          <w:rStyle w:val="CommentReference"/>
          <w:rFonts w:eastAsia="Arial Narrow" w:cs="Arial Narrow"/>
          <w:color w:val="000000" w:themeColor="text1"/>
        </w:rPr>
      </w:pPr>
      <w:r w:rsidRPr="029D5890">
        <w:rPr>
          <w:rStyle w:val="CommentReference"/>
          <w:rFonts w:eastAsia="Arial Narrow" w:cs="Arial Narrow"/>
          <w:color w:val="000000" w:themeColor="text1"/>
        </w:rPr>
        <w:t xml:space="preserve">Table </w:t>
      </w:r>
      <w:r w:rsidR="002564B8">
        <w:rPr>
          <w:rStyle w:val="CommentReference"/>
          <w:rFonts w:eastAsia="Arial Narrow" w:cs="Arial Narrow"/>
          <w:color w:val="000000" w:themeColor="text1"/>
        </w:rPr>
        <w:t>4</w:t>
      </w:r>
      <w:r w:rsidRPr="029D5890">
        <w:rPr>
          <w:rStyle w:val="CommentReference"/>
          <w:rFonts w:eastAsia="Arial Narrow" w:cs="Arial Narrow"/>
          <w:color w:val="000000" w:themeColor="text1"/>
        </w:rPr>
        <w:t xml:space="preserve">: Summary of clinical response at </w:t>
      </w:r>
      <w:r w:rsidR="005C6543" w:rsidRPr="029D5890">
        <w:rPr>
          <w:rStyle w:val="CommentReference"/>
          <w:rFonts w:eastAsia="Arial Narrow" w:cs="Arial Narrow"/>
          <w:color w:val="000000" w:themeColor="text1"/>
        </w:rPr>
        <w:t>W</w:t>
      </w:r>
      <w:r w:rsidRPr="029D5890">
        <w:rPr>
          <w:rStyle w:val="CommentReference"/>
          <w:rFonts w:eastAsia="Arial Narrow" w:cs="Arial Narrow"/>
          <w:color w:val="000000" w:themeColor="text1"/>
        </w:rPr>
        <w:t xml:space="preserve">eek 12 and 52 in </w:t>
      </w:r>
      <w:r w:rsidR="00162EA1">
        <w:rPr>
          <w:rStyle w:val="CommentReference"/>
          <w:rFonts w:eastAsia="Arial Narrow" w:cs="Arial Narrow"/>
          <w:color w:val="000000" w:themeColor="text1"/>
        </w:rPr>
        <w:t>Study 2310</w:t>
      </w:r>
    </w:p>
    <w:tbl>
      <w:tblPr>
        <w:tblStyle w:val="TableGrid"/>
        <w:tblW w:w="5000" w:type="pct"/>
        <w:tblLook w:val="06A0" w:firstRow="1" w:lastRow="0" w:firstColumn="1" w:lastColumn="0" w:noHBand="1" w:noVBand="1"/>
        <w:tblCaption w:val="Table 4: Summary of clinical response at Week 12 and 52 in Study 2310"/>
      </w:tblPr>
      <w:tblGrid>
        <w:gridCol w:w="957"/>
        <w:gridCol w:w="2157"/>
        <w:gridCol w:w="1701"/>
        <w:gridCol w:w="1417"/>
        <w:gridCol w:w="1968"/>
        <w:gridCol w:w="817"/>
      </w:tblGrid>
      <w:tr w:rsidR="00BB36A1" w:rsidTr="00551EB3">
        <w:trPr>
          <w:trHeight w:val="300"/>
          <w:tblHeader/>
        </w:trPr>
        <w:tc>
          <w:tcPr>
            <w:tcW w:w="531" w:type="pct"/>
            <w:vMerge w:val="restart"/>
          </w:tcPr>
          <w:p w:rsidR="00BB36A1" w:rsidRDefault="00BB36A1" w:rsidP="002B0981">
            <w:pPr>
              <w:keepNext/>
              <w:keepLines/>
              <w:rPr>
                <w:rFonts w:ascii="Arial Narrow" w:eastAsia="Arial Narrow" w:hAnsi="Arial Narrow" w:cs="Arial Narrow"/>
                <w:sz w:val="20"/>
                <w:szCs w:val="20"/>
              </w:rPr>
            </w:pPr>
            <w:r w:rsidRPr="454BE1F2">
              <w:rPr>
                <w:rFonts w:ascii="Arial Narrow" w:eastAsia="Arial Narrow" w:hAnsi="Arial Narrow" w:cs="Arial Narrow"/>
                <w:b/>
                <w:bCs/>
                <w:sz w:val="20"/>
                <w:szCs w:val="20"/>
              </w:rPr>
              <w:t xml:space="preserve">Outcome </w:t>
            </w:r>
          </w:p>
        </w:tc>
        <w:tc>
          <w:tcPr>
            <w:tcW w:w="1196" w:type="pct"/>
            <w:vMerge w:val="restart"/>
          </w:tcPr>
          <w:p w:rsidR="00BB36A1" w:rsidRDefault="00BB36A1" w:rsidP="002B0981">
            <w:pPr>
              <w:keepNext/>
              <w:keepLines/>
              <w:rPr>
                <w:rFonts w:ascii="Arial Narrow" w:eastAsia="Arial Narrow" w:hAnsi="Arial Narrow" w:cs="Arial Narrow"/>
                <w:sz w:val="20"/>
                <w:szCs w:val="20"/>
              </w:rPr>
            </w:pPr>
            <w:r w:rsidRPr="454BE1F2">
              <w:rPr>
                <w:rFonts w:ascii="Arial Narrow" w:eastAsia="Arial Narrow" w:hAnsi="Arial Narrow" w:cs="Arial Narrow"/>
                <w:b/>
                <w:bCs/>
                <w:sz w:val="20"/>
                <w:szCs w:val="20"/>
              </w:rPr>
              <w:t>Treatment comparison</w:t>
            </w:r>
          </w:p>
        </w:tc>
        <w:tc>
          <w:tcPr>
            <w:tcW w:w="943" w:type="pct"/>
            <w:vMerge w:val="restart"/>
          </w:tcPr>
          <w:p w:rsidR="00BB36A1" w:rsidRDefault="00066319" w:rsidP="00FC1A59">
            <w:pPr>
              <w:keepNext/>
              <w:keepLines/>
              <w:jc w:val="center"/>
              <w:rPr>
                <w:rFonts w:ascii="Arial Narrow" w:eastAsia="Arial Narrow" w:hAnsi="Arial Narrow" w:cs="Arial Narrow"/>
                <w:sz w:val="20"/>
                <w:szCs w:val="20"/>
              </w:rPr>
            </w:pPr>
            <w:r>
              <w:rPr>
                <w:rFonts w:ascii="Arial Narrow" w:eastAsia="Arial Narrow" w:hAnsi="Arial Narrow" w:cs="Arial Narrow"/>
                <w:b/>
                <w:bCs/>
                <w:sz w:val="20"/>
                <w:szCs w:val="20"/>
              </w:rPr>
              <w:t>Secukinumab</w:t>
            </w:r>
          </w:p>
          <w:p w:rsidR="00BB36A1" w:rsidRDefault="00B535C8" w:rsidP="00FC1A59">
            <w:pPr>
              <w:keepNext/>
              <w:keepLines/>
              <w:jc w:val="center"/>
              <w:rPr>
                <w:rFonts w:ascii="Arial Narrow" w:eastAsia="Arial Narrow" w:hAnsi="Arial Narrow" w:cs="Arial Narrow"/>
                <w:sz w:val="20"/>
                <w:szCs w:val="20"/>
              </w:rPr>
            </w:pPr>
            <w:r>
              <w:rPr>
                <w:rFonts w:ascii="Arial Narrow" w:eastAsia="Arial Narrow" w:hAnsi="Arial Narrow" w:cs="Arial Narrow"/>
                <w:b/>
                <w:bCs/>
                <w:sz w:val="20"/>
                <w:szCs w:val="20"/>
              </w:rPr>
              <w:t>n/N</w:t>
            </w:r>
            <w:r w:rsidR="00BB36A1" w:rsidRPr="454BE1F2">
              <w:rPr>
                <w:rFonts w:ascii="Arial Narrow" w:eastAsia="Arial Narrow" w:hAnsi="Arial Narrow" w:cs="Arial Narrow"/>
                <w:b/>
                <w:bCs/>
                <w:sz w:val="20"/>
                <w:szCs w:val="20"/>
              </w:rPr>
              <w:t xml:space="preserve"> (%)</w:t>
            </w:r>
          </w:p>
        </w:tc>
        <w:tc>
          <w:tcPr>
            <w:tcW w:w="786" w:type="pct"/>
          </w:tcPr>
          <w:p w:rsidR="00BB36A1" w:rsidRDefault="00377EA7" w:rsidP="00FC1A59">
            <w:pPr>
              <w:keepNext/>
              <w:keepLines/>
              <w:jc w:val="center"/>
              <w:rPr>
                <w:rFonts w:ascii="Arial Narrow" w:eastAsia="Arial Narrow" w:hAnsi="Arial Narrow" w:cs="Arial Narrow"/>
                <w:sz w:val="20"/>
                <w:szCs w:val="20"/>
              </w:rPr>
            </w:pPr>
            <w:r>
              <w:rPr>
                <w:rFonts w:ascii="Arial Narrow" w:eastAsia="Arial Narrow" w:hAnsi="Arial Narrow" w:cs="Arial Narrow"/>
                <w:b/>
                <w:bCs/>
                <w:sz w:val="20"/>
                <w:szCs w:val="20"/>
              </w:rPr>
              <w:t>C</w:t>
            </w:r>
            <w:r w:rsidR="00BB36A1" w:rsidRPr="454BE1F2">
              <w:rPr>
                <w:rFonts w:ascii="Arial Narrow" w:eastAsia="Arial Narrow" w:hAnsi="Arial Narrow" w:cs="Arial Narrow"/>
                <w:b/>
                <w:bCs/>
                <w:sz w:val="20"/>
                <w:szCs w:val="20"/>
              </w:rPr>
              <w:t>ontrol</w:t>
            </w:r>
          </w:p>
        </w:tc>
        <w:tc>
          <w:tcPr>
            <w:tcW w:w="1091" w:type="pct"/>
          </w:tcPr>
          <w:p w:rsidR="00BB36A1" w:rsidRDefault="0D3B914D" w:rsidP="00FC1A59">
            <w:pPr>
              <w:keepNext/>
              <w:keepLines/>
              <w:jc w:val="center"/>
              <w:rPr>
                <w:rFonts w:ascii="Arial Narrow" w:eastAsia="Arial Narrow" w:hAnsi="Arial Narrow" w:cs="Arial Narrow"/>
                <w:sz w:val="20"/>
                <w:szCs w:val="20"/>
              </w:rPr>
            </w:pPr>
            <w:r w:rsidRPr="1CB8166F">
              <w:rPr>
                <w:rFonts w:ascii="Arial Narrow" w:eastAsia="Arial Narrow" w:hAnsi="Arial Narrow" w:cs="Arial Narrow"/>
                <w:b/>
                <w:bCs/>
                <w:sz w:val="20"/>
                <w:szCs w:val="20"/>
              </w:rPr>
              <w:t>OR</w:t>
            </w:r>
          </w:p>
        </w:tc>
        <w:tc>
          <w:tcPr>
            <w:tcW w:w="453" w:type="pct"/>
            <w:vMerge w:val="restar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b/>
                <w:bCs/>
                <w:sz w:val="20"/>
                <w:szCs w:val="20"/>
              </w:rPr>
              <w:t>p-value</w:t>
            </w:r>
          </w:p>
        </w:tc>
      </w:tr>
      <w:tr w:rsidR="00BB36A1" w:rsidTr="00551EB3">
        <w:trPr>
          <w:trHeight w:val="300"/>
          <w:tblHeader/>
        </w:trPr>
        <w:tc>
          <w:tcPr>
            <w:tcW w:w="531" w:type="pct"/>
            <w:vMerge/>
            <w:vAlign w:val="center"/>
          </w:tcPr>
          <w:p w:rsidR="00BB36A1" w:rsidRDefault="00BB36A1" w:rsidP="002B0981">
            <w:pPr>
              <w:keepNext/>
              <w:keepLines/>
            </w:pPr>
          </w:p>
        </w:tc>
        <w:tc>
          <w:tcPr>
            <w:tcW w:w="1196" w:type="pct"/>
            <w:vMerge/>
            <w:vAlign w:val="center"/>
          </w:tcPr>
          <w:p w:rsidR="00BB36A1" w:rsidRDefault="00BB36A1" w:rsidP="002B0981">
            <w:pPr>
              <w:keepNext/>
              <w:keepLines/>
            </w:pPr>
          </w:p>
        </w:tc>
        <w:tc>
          <w:tcPr>
            <w:tcW w:w="943" w:type="pct"/>
            <w:vMerge/>
            <w:vAlign w:val="center"/>
          </w:tcPr>
          <w:p w:rsidR="00BB36A1" w:rsidRDefault="00BB36A1" w:rsidP="002B0981">
            <w:pPr>
              <w:keepNext/>
              <w:keepLines/>
            </w:pPr>
          </w:p>
        </w:tc>
        <w:tc>
          <w:tcPr>
            <w:tcW w:w="786" w:type="pct"/>
          </w:tcPr>
          <w:p w:rsidR="00BB36A1" w:rsidRDefault="00B535C8" w:rsidP="00FC1A59">
            <w:pPr>
              <w:keepNext/>
              <w:keepLines/>
              <w:jc w:val="center"/>
              <w:rPr>
                <w:rFonts w:ascii="Arial Narrow" w:eastAsia="Arial Narrow" w:hAnsi="Arial Narrow" w:cs="Arial Narrow"/>
                <w:sz w:val="20"/>
                <w:szCs w:val="20"/>
              </w:rPr>
            </w:pPr>
            <w:r>
              <w:rPr>
                <w:rFonts w:ascii="Arial Narrow" w:eastAsia="Arial Narrow" w:hAnsi="Arial Narrow" w:cs="Arial Narrow"/>
                <w:b/>
                <w:bCs/>
                <w:sz w:val="20"/>
                <w:szCs w:val="20"/>
              </w:rPr>
              <w:t>n/N</w:t>
            </w:r>
            <w:r w:rsidR="00BB36A1" w:rsidRPr="454BE1F2">
              <w:rPr>
                <w:rFonts w:ascii="Arial Narrow" w:eastAsia="Arial Narrow" w:hAnsi="Arial Narrow" w:cs="Arial Narrow"/>
                <w:b/>
                <w:bCs/>
                <w:sz w:val="20"/>
                <w:szCs w:val="20"/>
              </w:rPr>
              <w:t xml:space="preserve"> (%)</w:t>
            </w:r>
          </w:p>
        </w:tc>
        <w:tc>
          <w:tcPr>
            <w:tcW w:w="1091"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b/>
                <w:bCs/>
                <w:sz w:val="20"/>
                <w:szCs w:val="20"/>
              </w:rPr>
              <w:t>estimate (95% CI)</w:t>
            </w:r>
          </w:p>
        </w:tc>
        <w:tc>
          <w:tcPr>
            <w:tcW w:w="453" w:type="pct"/>
            <w:vMerge/>
            <w:vAlign w:val="center"/>
          </w:tcPr>
          <w:p w:rsidR="00BB36A1" w:rsidRDefault="00BB36A1" w:rsidP="002B0981">
            <w:pPr>
              <w:keepNext/>
              <w:keepLines/>
            </w:pPr>
          </w:p>
        </w:tc>
      </w:tr>
      <w:tr w:rsidR="00BB36A1" w:rsidTr="1CB8166F">
        <w:trPr>
          <w:trHeight w:val="300"/>
        </w:trPr>
        <w:tc>
          <w:tcPr>
            <w:tcW w:w="5000" w:type="pct"/>
            <w:gridSpan w:val="6"/>
          </w:tcPr>
          <w:p w:rsidR="00BB36A1" w:rsidRPr="00FC1A59" w:rsidRDefault="00BB36A1" w:rsidP="002B0981">
            <w:pPr>
              <w:keepNext/>
              <w:keepLines/>
              <w:rPr>
                <w:rFonts w:ascii="Arial Narrow" w:eastAsia="Arial Narrow" w:hAnsi="Arial Narrow" w:cs="Arial Narrow"/>
                <w:b/>
                <w:sz w:val="20"/>
                <w:szCs w:val="20"/>
                <w:vertAlign w:val="superscript"/>
              </w:rPr>
            </w:pPr>
            <w:r w:rsidRPr="00FC1A59">
              <w:rPr>
                <w:rFonts w:ascii="Arial Narrow" w:eastAsia="Arial Narrow" w:hAnsi="Arial Narrow" w:cs="Arial Narrow"/>
                <w:b/>
                <w:sz w:val="20"/>
                <w:szCs w:val="20"/>
              </w:rPr>
              <w:t>At Week 12</w:t>
            </w:r>
            <w:r w:rsidR="4340F6A2" w:rsidRPr="00FC1A59">
              <w:rPr>
                <w:rFonts w:ascii="Arial Narrow" w:eastAsia="Arial Narrow" w:hAnsi="Arial Narrow" w:cs="Arial Narrow"/>
                <w:b/>
                <w:sz w:val="20"/>
                <w:szCs w:val="20"/>
                <w:vertAlign w:val="superscript"/>
              </w:rPr>
              <w:t>a</w:t>
            </w:r>
          </w:p>
        </w:tc>
      </w:tr>
      <w:tr w:rsidR="00BB36A1" w:rsidTr="00DE3C91">
        <w:trPr>
          <w:trHeight w:val="300"/>
        </w:trPr>
        <w:tc>
          <w:tcPr>
            <w:tcW w:w="531" w:type="pct"/>
          </w:tcPr>
          <w:p w:rsidR="00BB36A1" w:rsidRDefault="00BB36A1" w:rsidP="002B0981">
            <w:pPr>
              <w:keepNext/>
              <w:keepLines/>
              <w:rPr>
                <w:rFonts w:ascii="Arial Narrow" w:eastAsia="Arial Narrow" w:hAnsi="Arial Narrow" w:cs="Arial Narrow"/>
                <w:sz w:val="20"/>
                <w:szCs w:val="20"/>
              </w:rPr>
            </w:pPr>
            <w:r w:rsidRPr="454BE1F2">
              <w:rPr>
                <w:rFonts w:ascii="Arial Narrow" w:eastAsia="Arial Narrow" w:hAnsi="Arial Narrow" w:cs="Arial Narrow"/>
                <w:sz w:val="20"/>
                <w:szCs w:val="20"/>
              </w:rPr>
              <w:t>PASI 75</w:t>
            </w:r>
          </w:p>
        </w:tc>
        <w:tc>
          <w:tcPr>
            <w:tcW w:w="1196" w:type="pct"/>
          </w:tcPr>
          <w:p w:rsidR="00BB36A1" w:rsidRDefault="004A279F" w:rsidP="000434EA">
            <w:pPr>
              <w:keepNext/>
              <w:keepLines/>
              <w:rPr>
                <w:rFonts w:ascii="Arial Narrow" w:eastAsia="Arial Narrow" w:hAnsi="Arial Narrow" w:cs="Arial Narrow"/>
                <w:sz w:val="20"/>
                <w:szCs w:val="20"/>
              </w:rPr>
            </w:pPr>
            <w:r>
              <w:rPr>
                <w:rFonts w:ascii="Arial Narrow" w:eastAsia="Arial Narrow" w:hAnsi="Arial Narrow" w:cs="Arial Narrow"/>
                <w:sz w:val="20"/>
                <w:szCs w:val="20"/>
              </w:rPr>
              <w:t>SKB</w:t>
            </w:r>
            <w:r w:rsidR="00BB36A1" w:rsidRPr="454BE1F2">
              <w:rPr>
                <w:rFonts w:ascii="Arial Narrow" w:eastAsia="Arial Narrow" w:hAnsi="Arial Narrow" w:cs="Arial Narrow"/>
                <w:sz w:val="20"/>
                <w:szCs w:val="20"/>
              </w:rPr>
              <w:t xml:space="preserve"> </w:t>
            </w:r>
            <w:r w:rsidR="000434EA">
              <w:rPr>
                <w:rFonts w:ascii="Arial Narrow" w:eastAsia="Arial Narrow" w:hAnsi="Arial Narrow" w:cs="Arial Narrow"/>
                <w:sz w:val="20"/>
                <w:szCs w:val="20"/>
              </w:rPr>
              <w:t>LD</w:t>
            </w:r>
            <w:r w:rsidR="00BB36A1" w:rsidRPr="454BE1F2">
              <w:rPr>
                <w:rFonts w:ascii="Arial Narrow" w:eastAsia="Arial Narrow" w:hAnsi="Arial Narrow" w:cs="Arial Narrow"/>
                <w:sz w:val="20"/>
                <w:szCs w:val="20"/>
              </w:rPr>
              <w:t xml:space="preserve"> vs. placebo</w:t>
            </w:r>
          </w:p>
        </w:tc>
        <w:tc>
          <w:tcPr>
            <w:tcW w:w="94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32/40 (80.0)</w:t>
            </w:r>
          </w:p>
        </w:tc>
        <w:tc>
          <w:tcPr>
            <w:tcW w:w="786"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6/41 (14.6)</w:t>
            </w:r>
          </w:p>
        </w:tc>
        <w:tc>
          <w:tcPr>
            <w:tcW w:w="1091" w:type="pct"/>
          </w:tcPr>
          <w:p w:rsidR="00BB36A1" w:rsidRPr="007D42B0" w:rsidRDefault="00BB36A1" w:rsidP="00FC1A59">
            <w:pPr>
              <w:keepNext/>
              <w:keepLines/>
              <w:jc w:val="center"/>
              <w:rPr>
                <w:rFonts w:ascii="Arial Narrow" w:eastAsia="Arial Narrow" w:hAnsi="Arial Narrow" w:cs="Arial Narrow"/>
                <w:b/>
                <w:sz w:val="20"/>
                <w:szCs w:val="20"/>
              </w:rPr>
            </w:pPr>
            <w:r w:rsidRPr="007D42B0">
              <w:rPr>
                <w:rFonts w:ascii="Arial Narrow" w:eastAsia="Arial Narrow" w:hAnsi="Arial Narrow" w:cs="Arial Narrow"/>
                <w:b/>
                <w:sz w:val="20"/>
                <w:szCs w:val="20"/>
              </w:rPr>
              <w:t>25.78 (7.08,</w:t>
            </w:r>
            <w:r w:rsidR="00906010" w:rsidRPr="007D42B0">
              <w:rPr>
                <w:rFonts w:ascii="Arial Narrow" w:eastAsia="Arial Narrow" w:hAnsi="Arial Narrow" w:cs="Arial Narrow"/>
                <w:b/>
                <w:sz w:val="20"/>
                <w:szCs w:val="20"/>
              </w:rPr>
              <w:t xml:space="preserve"> </w:t>
            </w:r>
            <w:r w:rsidRPr="007D42B0">
              <w:rPr>
                <w:rFonts w:ascii="Arial Narrow" w:eastAsia="Arial Narrow" w:hAnsi="Arial Narrow" w:cs="Arial Narrow"/>
                <w:b/>
                <w:sz w:val="20"/>
                <w:szCs w:val="20"/>
              </w:rPr>
              <w:t>114.66)</w:t>
            </w:r>
          </w:p>
        </w:tc>
        <w:tc>
          <w:tcPr>
            <w:tcW w:w="45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b/>
                <w:bCs/>
                <w:sz w:val="20"/>
                <w:szCs w:val="20"/>
              </w:rPr>
              <w:t>&lt;0.0001</w:t>
            </w:r>
          </w:p>
        </w:tc>
      </w:tr>
      <w:tr w:rsidR="00BB36A1" w:rsidTr="00DE3C91">
        <w:trPr>
          <w:trHeight w:val="300"/>
        </w:trPr>
        <w:tc>
          <w:tcPr>
            <w:tcW w:w="531" w:type="pct"/>
          </w:tcPr>
          <w:p w:rsidR="00BB36A1" w:rsidRDefault="00BB36A1" w:rsidP="002B0981">
            <w:pPr>
              <w:keepNext/>
              <w:keepLines/>
              <w:rPr>
                <w:rFonts w:ascii="Arial Narrow" w:eastAsia="Arial Narrow" w:hAnsi="Arial Narrow" w:cs="Arial Narrow"/>
                <w:sz w:val="20"/>
                <w:szCs w:val="20"/>
              </w:rPr>
            </w:pPr>
            <w:r w:rsidRPr="454BE1F2">
              <w:rPr>
                <w:rFonts w:ascii="Arial Narrow" w:eastAsia="Arial Narrow" w:hAnsi="Arial Narrow" w:cs="Arial Narrow"/>
                <w:sz w:val="20"/>
                <w:szCs w:val="20"/>
              </w:rPr>
              <w:t xml:space="preserve"> </w:t>
            </w:r>
          </w:p>
        </w:tc>
        <w:tc>
          <w:tcPr>
            <w:tcW w:w="1196" w:type="pct"/>
          </w:tcPr>
          <w:p w:rsidR="00BB36A1" w:rsidRDefault="004A279F" w:rsidP="000434EA">
            <w:pPr>
              <w:keepNext/>
              <w:keepLines/>
              <w:rPr>
                <w:rFonts w:ascii="Arial Narrow" w:eastAsia="Arial Narrow" w:hAnsi="Arial Narrow" w:cs="Arial Narrow"/>
                <w:sz w:val="20"/>
                <w:szCs w:val="20"/>
              </w:rPr>
            </w:pPr>
            <w:r>
              <w:rPr>
                <w:rFonts w:ascii="Arial Narrow" w:eastAsia="Arial Narrow" w:hAnsi="Arial Narrow" w:cs="Arial Narrow"/>
                <w:sz w:val="20"/>
                <w:szCs w:val="20"/>
              </w:rPr>
              <w:t>SKB</w:t>
            </w:r>
            <w:r w:rsidR="00BB36A1" w:rsidRPr="454BE1F2">
              <w:rPr>
                <w:rFonts w:ascii="Arial Narrow" w:eastAsia="Arial Narrow" w:hAnsi="Arial Narrow" w:cs="Arial Narrow"/>
                <w:sz w:val="20"/>
                <w:szCs w:val="20"/>
              </w:rPr>
              <w:t xml:space="preserve"> </w:t>
            </w:r>
            <w:r w:rsidR="000434EA">
              <w:rPr>
                <w:rFonts w:ascii="Arial Narrow" w:eastAsia="Arial Narrow" w:hAnsi="Arial Narrow" w:cs="Arial Narrow"/>
                <w:sz w:val="20"/>
                <w:szCs w:val="20"/>
              </w:rPr>
              <w:t>HD</w:t>
            </w:r>
            <w:r w:rsidR="00BB36A1" w:rsidRPr="454BE1F2">
              <w:rPr>
                <w:rFonts w:ascii="Arial Narrow" w:eastAsia="Arial Narrow" w:hAnsi="Arial Narrow" w:cs="Arial Narrow"/>
                <w:sz w:val="20"/>
                <w:szCs w:val="20"/>
              </w:rPr>
              <w:t xml:space="preserve"> vs. placebo</w:t>
            </w:r>
          </w:p>
        </w:tc>
        <w:tc>
          <w:tcPr>
            <w:tcW w:w="94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31/40 (77.5)</w:t>
            </w:r>
          </w:p>
        </w:tc>
        <w:tc>
          <w:tcPr>
            <w:tcW w:w="786"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6/41 (14.6)</w:t>
            </w:r>
          </w:p>
        </w:tc>
        <w:tc>
          <w:tcPr>
            <w:tcW w:w="1091" w:type="pct"/>
          </w:tcPr>
          <w:p w:rsidR="00BB36A1" w:rsidRPr="007D42B0" w:rsidRDefault="00BB36A1" w:rsidP="00FC1A59">
            <w:pPr>
              <w:keepNext/>
              <w:keepLines/>
              <w:jc w:val="center"/>
              <w:rPr>
                <w:rFonts w:ascii="Arial Narrow" w:eastAsia="Arial Narrow" w:hAnsi="Arial Narrow" w:cs="Arial Narrow"/>
                <w:b/>
                <w:sz w:val="20"/>
                <w:szCs w:val="20"/>
              </w:rPr>
            </w:pPr>
            <w:r w:rsidRPr="007D42B0">
              <w:rPr>
                <w:rFonts w:ascii="Arial Narrow" w:eastAsia="Arial Narrow" w:hAnsi="Arial Narrow" w:cs="Arial Narrow"/>
                <w:b/>
                <w:sz w:val="20"/>
                <w:szCs w:val="20"/>
              </w:rPr>
              <w:t>22.65 (6.31,</w:t>
            </w:r>
            <w:r w:rsidR="00906010" w:rsidRPr="007D42B0">
              <w:rPr>
                <w:rFonts w:ascii="Arial Narrow" w:eastAsia="Arial Narrow" w:hAnsi="Arial Narrow" w:cs="Arial Narrow"/>
                <w:b/>
                <w:sz w:val="20"/>
                <w:szCs w:val="20"/>
              </w:rPr>
              <w:t xml:space="preserve"> </w:t>
            </w:r>
            <w:r w:rsidRPr="007D42B0">
              <w:rPr>
                <w:rFonts w:ascii="Arial Narrow" w:eastAsia="Arial Narrow" w:hAnsi="Arial Narrow" w:cs="Arial Narrow"/>
                <w:b/>
                <w:sz w:val="20"/>
                <w:szCs w:val="20"/>
              </w:rPr>
              <w:t>98.93)</w:t>
            </w:r>
          </w:p>
        </w:tc>
        <w:tc>
          <w:tcPr>
            <w:tcW w:w="45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b/>
                <w:bCs/>
                <w:sz w:val="20"/>
                <w:szCs w:val="20"/>
              </w:rPr>
              <w:t>&lt;0.0001</w:t>
            </w:r>
          </w:p>
        </w:tc>
      </w:tr>
      <w:tr w:rsidR="00BB36A1" w:rsidTr="00DE3C91">
        <w:trPr>
          <w:trHeight w:val="300"/>
        </w:trPr>
        <w:tc>
          <w:tcPr>
            <w:tcW w:w="531" w:type="pct"/>
          </w:tcPr>
          <w:p w:rsidR="00BB36A1" w:rsidRDefault="00BB36A1" w:rsidP="002B0981">
            <w:pPr>
              <w:keepNext/>
              <w:keepLines/>
              <w:rPr>
                <w:rFonts w:ascii="Arial Narrow" w:eastAsia="Arial Narrow" w:hAnsi="Arial Narrow" w:cs="Arial Narrow"/>
                <w:sz w:val="20"/>
                <w:szCs w:val="20"/>
              </w:rPr>
            </w:pPr>
            <w:r w:rsidRPr="454BE1F2">
              <w:rPr>
                <w:rFonts w:ascii="Arial Narrow" w:eastAsia="Arial Narrow" w:hAnsi="Arial Narrow" w:cs="Arial Narrow"/>
                <w:sz w:val="20"/>
                <w:szCs w:val="20"/>
              </w:rPr>
              <w:t xml:space="preserve"> </w:t>
            </w:r>
            <w:r w:rsidR="00DE3C91" w:rsidRPr="454BE1F2">
              <w:rPr>
                <w:rFonts w:ascii="Arial Narrow" w:eastAsia="Arial Narrow" w:hAnsi="Arial Narrow" w:cs="Arial Narrow"/>
                <w:sz w:val="20"/>
                <w:szCs w:val="20"/>
              </w:rPr>
              <w:t>PASI 75</w:t>
            </w:r>
          </w:p>
        </w:tc>
        <w:tc>
          <w:tcPr>
            <w:tcW w:w="1196" w:type="pct"/>
          </w:tcPr>
          <w:p w:rsidR="00BB36A1" w:rsidRDefault="00DE3C91" w:rsidP="000434EA">
            <w:pPr>
              <w:keepNext/>
              <w:keepLines/>
              <w:rPr>
                <w:rFonts w:ascii="Arial Narrow" w:eastAsia="Arial Narrow" w:hAnsi="Arial Narrow" w:cs="Arial Narrow"/>
                <w:sz w:val="20"/>
                <w:szCs w:val="20"/>
              </w:rPr>
            </w:pPr>
            <w:r>
              <w:rPr>
                <w:rFonts w:ascii="Arial Narrow" w:eastAsia="Arial Narrow" w:hAnsi="Arial Narrow" w:cs="Arial Narrow"/>
                <w:sz w:val="20"/>
                <w:szCs w:val="20"/>
              </w:rPr>
              <w:t>SKB</w:t>
            </w:r>
            <w:r w:rsidRPr="454BE1F2">
              <w:rPr>
                <w:rFonts w:ascii="Arial Narrow" w:eastAsia="Arial Narrow" w:hAnsi="Arial Narrow" w:cs="Arial Narrow"/>
                <w:sz w:val="20"/>
                <w:szCs w:val="20"/>
              </w:rPr>
              <w:t xml:space="preserve"> </w:t>
            </w:r>
            <w:r w:rsidR="000434EA">
              <w:rPr>
                <w:rFonts w:ascii="Arial Narrow" w:eastAsia="Arial Narrow" w:hAnsi="Arial Narrow" w:cs="Arial Narrow"/>
                <w:sz w:val="20"/>
                <w:szCs w:val="20"/>
              </w:rPr>
              <w:t>LD</w:t>
            </w:r>
            <w:r w:rsidR="00BB36A1" w:rsidRPr="454BE1F2">
              <w:rPr>
                <w:rFonts w:ascii="Arial Narrow" w:eastAsia="Arial Narrow" w:hAnsi="Arial Narrow" w:cs="Arial Narrow"/>
                <w:sz w:val="20"/>
                <w:szCs w:val="20"/>
              </w:rPr>
              <w:t xml:space="preserve"> vs etanercept</w:t>
            </w:r>
          </w:p>
        </w:tc>
        <w:tc>
          <w:tcPr>
            <w:tcW w:w="94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32/40 (80.0)</w:t>
            </w:r>
          </w:p>
        </w:tc>
        <w:tc>
          <w:tcPr>
            <w:tcW w:w="786"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26/41 (63.4)</w:t>
            </w:r>
          </w:p>
        </w:tc>
        <w:tc>
          <w:tcPr>
            <w:tcW w:w="1091"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2.25 (0.73,</w:t>
            </w:r>
            <w:r w:rsidR="00906010">
              <w:rPr>
                <w:rFonts w:ascii="Arial Narrow" w:eastAsia="Arial Narrow" w:hAnsi="Arial Narrow" w:cs="Arial Narrow"/>
                <w:sz w:val="20"/>
                <w:szCs w:val="20"/>
              </w:rPr>
              <w:t xml:space="preserve"> </w:t>
            </w:r>
            <w:r w:rsidRPr="454BE1F2">
              <w:rPr>
                <w:rFonts w:ascii="Arial Narrow" w:eastAsia="Arial Narrow" w:hAnsi="Arial Narrow" w:cs="Arial Narrow"/>
                <w:sz w:val="20"/>
                <w:szCs w:val="20"/>
              </w:rPr>
              <w:t>7.38)</w:t>
            </w:r>
          </w:p>
        </w:tc>
        <w:tc>
          <w:tcPr>
            <w:tcW w:w="45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0.1819</w:t>
            </w:r>
          </w:p>
        </w:tc>
      </w:tr>
      <w:tr w:rsidR="00BB36A1" w:rsidTr="00DE3C91">
        <w:trPr>
          <w:trHeight w:val="300"/>
        </w:trPr>
        <w:tc>
          <w:tcPr>
            <w:tcW w:w="531" w:type="pct"/>
          </w:tcPr>
          <w:p w:rsidR="00BB36A1" w:rsidRDefault="00BB36A1" w:rsidP="002B0981">
            <w:pPr>
              <w:keepNext/>
              <w:keepLines/>
              <w:rPr>
                <w:rFonts w:ascii="Arial Narrow" w:eastAsia="Arial Narrow" w:hAnsi="Arial Narrow" w:cs="Arial Narrow"/>
                <w:sz w:val="20"/>
                <w:szCs w:val="20"/>
              </w:rPr>
            </w:pPr>
            <w:r w:rsidRPr="454BE1F2">
              <w:rPr>
                <w:rFonts w:ascii="Arial Narrow" w:eastAsia="Arial Narrow" w:hAnsi="Arial Narrow" w:cs="Arial Narrow"/>
                <w:sz w:val="20"/>
                <w:szCs w:val="20"/>
              </w:rPr>
              <w:t xml:space="preserve"> </w:t>
            </w:r>
          </w:p>
        </w:tc>
        <w:tc>
          <w:tcPr>
            <w:tcW w:w="1196" w:type="pct"/>
          </w:tcPr>
          <w:p w:rsidR="00BB36A1" w:rsidRDefault="00DE3C91" w:rsidP="000434EA">
            <w:pPr>
              <w:keepNext/>
              <w:keepLines/>
              <w:rPr>
                <w:rFonts w:ascii="Arial Narrow" w:eastAsia="Arial Narrow" w:hAnsi="Arial Narrow" w:cs="Arial Narrow"/>
                <w:sz w:val="20"/>
                <w:szCs w:val="20"/>
              </w:rPr>
            </w:pPr>
            <w:r>
              <w:rPr>
                <w:rFonts w:ascii="Arial Narrow" w:eastAsia="Arial Narrow" w:hAnsi="Arial Narrow" w:cs="Arial Narrow"/>
                <w:sz w:val="20"/>
                <w:szCs w:val="20"/>
              </w:rPr>
              <w:t>SKB</w:t>
            </w:r>
            <w:r w:rsidRPr="454BE1F2">
              <w:rPr>
                <w:rFonts w:ascii="Arial Narrow" w:eastAsia="Arial Narrow" w:hAnsi="Arial Narrow" w:cs="Arial Narrow"/>
                <w:sz w:val="20"/>
                <w:szCs w:val="20"/>
              </w:rPr>
              <w:t xml:space="preserve"> </w:t>
            </w:r>
            <w:r w:rsidR="000434EA">
              <w:rPr>
                <w:rFonts w:ascii="Arial Narrow" w:eastAsia="Arial Narrow" w:hAnsi="Arial Narrow" w:cs="Arial Narrow"/>
                <w:sz w:val="20"/>
                <w:szCs w:val="20"/>
              </w:rPr>
              <w:t>HD</w:t>
            </w:r>
            <w:r w:rsidR="00BB36A1" w:rsidRPr="454BE1F2">
              <w:rPr>
                <w:rFonts w:ascii="Arial Narrow" w:eastAsia="Arial Narrow" w:hAnsi="Arial Narrow" w:cs="Arial Narrow"/>
                <w:sz w:val="20"/>
                <w:szCs w:val="20"/>
              </w:rPr>
              <w:t xml:space="preserve"> vs etanercept</w:t>
            </w:r>
          </w:p>
        </w:tc>
        <w:tc>
          <w:tcPr>
            <w:tcW w:w="94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31/40 (77.5)</w:t>
            </w:r>
          </w:p>
        </w:tc>
        <w:tc>
          <w:tcPr>
            <w:tcW w:w="786"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26/41 (63.4)</w:t>
            </w:r>
          </w:p>
        </w:tc>
        <w:tc>
          <w:tcPr>
            <w:tcW w:w="1091"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1.92 (0.64,</w:t>
            </w:r>
            <w:r w:rsidR="00906010">
              <w:rPr>
                <w:rFonts w:ascii="Arial Narrow" w:eastAsia="Arial Narrow" w:hAnsi="Arial Narrow" w:cs="Arial Narrow"/>
                <w:sz w:val="20"/>
                <w:szCs w:val="20"/>
              </w:rPr>
              <w:t xml:space="preserve"> </w:t>
            </w:r>
            <w:r w:rsidRPr="454BE1F2">
              <w:rPr>
                <w:rFonts w:ascii="Arial Narrow" w:eastAsia="Arial Narrow" w:hAnsi="Arial Narrow" w:cs="Arial Narrow"/>
                <w:sz w:val="20"/>
                <w:szCs w:val="20"/>
              </w:rPr>
              <w:t>6.07)</w:t>
            </w:r>
          </w:p>
        </w:tc>
        <w:tc>
          <w:tcPr>
            <w:tcW w:w="45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0.2919</w:t>
            </w:r>
          </w:p>
        </w:tc>
      </w:tr>
      <w:tr w:rsidR="00BB36A1" w:rsidTr="00DE3C91">
        <w:trPr>
          <w:trHeight w:val="300"/>
        </w:trPr>
        <w:tc>
          <w:tcPr>
            <w:tcW w:w="531" w:type="pct"/>
          </w:tcPr>
          <w:p w:rsidR="00BB36A1" w:rsidRDefault="00BB36A1" w:rsidP="002B0981">
            <w:pPr>
              <w:keepNext/>
              <w:keepLines/>
              <w:rPr>
                <w:rFonts w:ascii="Arial Narrow" w:eastAsia="Arial Narrow" w:hAnsi="Arial Narrow" w:cs="Arial Narrow"/>
                <w:sz w:val="20"/>
                <w:szCs w:val="20"/>
              </w:rPr>
            </w:pPr>
            <w:r w:rsidRPr="454BE1F2">
              <w:rPr>
                <w:rFonts w:ascii="Arial Narrow" w:eastAsia="Arial Narrow" w:hAnsi="Arial Narrow" w:cs="Arial Narrow"/>
                <w:sz w:val="20"/>
                <w:szCs w:val="20"/>
              </w:rPr>
              <w:t>IGA 0/1</w:t>
            </w:r>
          </w:p>
        </w:tc>
        <w:tc>
          <w:tcPr>
            <w:tcW w:w="1196" w:type="pct"/>
          </w:tcPr>
          <w:p w:rsidR="00BB36A1" w:rsidRDefault="004A279F" w:rsidP="000434EA">
            <w:pPr>
              <w:keepNext/>
              <w:keepLines/>
              <w:rPr>
                <w:rFonts w:ascii="Arial Narrow" w:eastAsia="Arial Narrow" w:hAnsi="Arial Narrow" w:cs="Arial Narrow"/>
                <w:sz w:val="20"/>
                <w:szCs w:val="20"/>
              </w:rPr>
            </w:pPr>
            <w:r>
              <w:rPr>
                <w:rFonts w:ascii="Arial Narrow" w:eastAsia="Arial Narrow" w:hAnsi="Arial Narrow" w:cs="Arial Narrow"/>
                <w:sz w:val="20"/>
                <w:szCs w:val="20"/>
              </w:rPr>
              <w:t>SKB</w:t>
            </w:r>
            <w:r w:rsidR="00BB36A1" w:rsidRPr="454BE1F2">
              <w:rPr>
                <w:rFonts w:ascii="Arial Narrow" w:eastAsia="Arial Narrow" w:hAnsi="Arial Narrow" w:cs="Arial Narrow"/>
                <w:sz w:val="20"/>
                <w:szCs w:val="20"/>
              </w:rPr>
              <w:t xml:space="preserve"> </w:t>
            </w:r>
            <w:r w:rsidR="000434EA">
              <w:rPr>
                <w:rFonts w:ascii="Arial Narrow" w:eastAsia="Arial Narrow" w:hAnsi="Arial Narrow" w:cs="Arial Narrow"/>
                <w:sz w:val="20"/>
                <w:szCs w:val="20"/>
              </w:rPr>
              <w:t>LD</w:t>
            </w:r>
            <w:r w:rsidR="00BB36A1" w:rsidRPr="454BE1F2">
              <w:rPr>
                <w:rFonts w:ascii="Arial Narrow" w:eastAsia="Arial Narrow" w:hAnsi="Arial Narrow" w:cs="Arial Narrow"/>
                <w:sz w:val="20"/>
                <w:szCs w:val="20"/>
              </w:rPr>
              <w:t xml:space="preserve"> vs. placebo</w:t>
            </w:r>
          </w:p>
        </w:tc>
        <w:tc>
          <w:tcPr>
            <w:tcW w:w="94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28/40 (70.0)</w:t>
            </w:r>
          </w:p>
        </w:tc>
        <w:tc>
          <w:tcPr>
            <w:tcW w:w="786"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2/41 (4.9)</w:t>
            </w:r>
          </w:p>
        </w:tc>
        <w:tc>
          <w:tcPr>
            <w:tcW w:w="1091" w:type="pct"/>
          </w:tcPr>
          <w:p w:rsidR="00BB36A1" w:rsidRPr="007D42B0" w:rsidRDefault="00BB36A1" w:rsidP="00FC1A59">
            <w:pPr>
              <w:keepNext/>
              <w:keepLines/>
              <w:jc w:val="center"/>
              <w:rPr>
                <w:rFonts w:ascii="Arial Narrow" w:eastAsia="Arial Narrow" w:hAnsi="Arial Narrow" w:cs="Arial Narrow"/>
                <w:b/>
                <w:sz w:val="20"/>
                <w:szCs w:val="20"/>
              </w:rPr>
            </w:pPr>
            <w:r w:rsidRPr="007D42B0">
              <w:rPr>
                <w:rFonts w:ascii="Arial Narrow" w:eastAsia="Arial Narrow" w:hAnsi="Arial Narrow" w:cs="Arial Narrow"/>
                <w:b/>
                <w:sz w:val="20"/>
                <w:szCs w:val="20"/>
              </w:rPr>
              <w:t>51.77 (10.02,</w:t>
            </w:r>
            <w:r w:rsidR="00906010" w:rsidRPr="007D42B0">
              <w:rPr>
                <w:rFonts w:ascii="Arial Narrow" w:eastAsia="Arial Narrow" w:hAnsi="Arial Narrow" w:cs="Arial Narrow"/>
                <w:b/>
                <w:sz w:val="20"/>
                <w:szCs w:val="20"/>
              </w:rPr>
              <w:t xml:space="preserve"> </w:t>
            </w:r>
            <w:r w:rsidRPr="007D42B0">
              <w:rPr>
                <w:rFonts w:ascii="Arial Narrow" w:eastAsia="Arial Narrow" w:hAnsi="Arial Narrow" w:cs="Arial Narrow"/>
                <w:b/>
                <w:sz w:val="20"/>
                <w:szCs w:val="20"/>
              </w:rPr>
              <w:t>538.64)</w:t>
            </w:r>
          </w:p>
        </w:tc>
        <w:tc>
          <w:tcPr>
            <w:tcW w:w="45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b/>
                <w:bCs/>
                <w:sz w:val="20"/>
                <w:szCs w:val="20"/>
              </w:rPr>
              <w:t>&lt;0.0001</w:t>
            </w:r>
          </w:p>
        </w:tc>
      </w:tr>
      <w:tr w:rsidR="00BB36A1" w:rsidTr="00DE3C91">
        <w:trPr>
          <w:trHeight w:val="300"/>
        </w:trPr>
        <w:tc>
          <w:tcPr>
            <w:tcW w:w="531" w:type="pct"/>
          </w:tcPr>
          <w:p w:rsidR="00BB36A1" w:rsidRDefault="00BB36A1" w:rsidP="002B0981">
            <w:pPr>
              <w:keepNext/>
              <w:keepLines/>
              <w:rPr>
                <w:rFonts w:ascii="Arial Narrow" w:eastAsia="Arial Narrow" w:hAnsi="Arial Narrow" w:cs="Arial Narrow"/>
                <w:sz w:val="20"/>
                <w:szCs w:val="20"/>
              </w:rPr>
            </w:pPr>
            <w:r w:rsidRPr="454BE1F2">
              <w:rPr>
                <w:rFonts w:ascii="Arial Narrow" w:eastAsia="Arial Narrow" w:hAnsi="Arial Narrow" w:cs="Arial Narrow"/>
                <w:sz w:val="20"/>
                <w:szCs w:val="20"/>
              </w:rPr>
              <w:t xml:space="preserve"> </w:t>
            </w:r>
          </w:p>
        </w:tc>
        <w:tc>
          <w:tcPr>
            <w:tcW w:w="1196" w:type="pct"/>
          </w:tcPr>
          <w:p w:rsidR="00BB36A1" w:rsidRDefault="004A279F" w:rsidP="000434EA">
            <w:pPr>
              <w:keepNext/>
              <w:keepLines/>
              <w:rPr>
                <w:rFonts w:ascii="Arial Narrow" w:eastAsia="Arial Narrow" w:hAnsi="Arial Narrow" w:cs="Arial Narrow"/>
                <w:sz w:val="20"/>
                <w:szCs w:val="20"/>
              </w:rPr>
            </w:pPr>
            <w:r>
              <w:rPr>
                <w:rFonts w:ascii="Arial Narrow" w:eastAsia="Arial Narrow" w:hAnsi="Arial Narrow" w:cs="Arial Narrow"/>
                <w:sz w:val="20"/>
                <w:szCs w:val="20"/>
              </w:rPr>
              <w:t>SKB</w:t>
            </w:r>
            <w:r w:rsidR="00BB36A1" w:rsidRPr="454BE1F2">
              <w:rPr>
                <w:rFonts w:ascii="Arial Narrow" w:eastAsia="Arial Narrow" w:hAnsi="Arial Narrow" w:cs="Arial Narrow"/>
                <w:sz w:val="20"/>
                <w:szCs w:val="20"/>
              </w:rPr>
              <w:t xml:space="preserve"> </w:t>
            </w:r>
            <w:r w:rsidR="000434EA">
              <w:rPr>
                <w:rFonts w:ascii="Arial Narrow" w:eastAsia="Arial Narrow" w:hAnsi="Arial Narrow" w:cs="Arial Narrow"/>
                <w:sz w:val="20"/>
                <w:szCs w:val="20"/>
              </w:rPr>
              <w:t>HD</w:t>
            </w:r>
            <w:r w:rsidR="00BB36A1" w:rsidRPr="454BE1F2">
              <w:rPr>
                <w:rFonts w:ascii="Arial Narrow" w:eastAsia="Arial Narrow" w:hAnsi="Arial Narrow" w:cs="Arial Narrow"/>
                <w:sz w:val="20"/>
                <w:szCs w:val="20"/>
              </w:rPr>
              <w:t xml:space="preserve"> vs. placebo</w:t>
            </w:r>
          </w:p>
        </w:tc>
        <w:tc>
          <w:tcPr>
            <w:tcW w:w="94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24/40 (60.0)</w:t>
            </w:r>
          </w:p>
        </w:tc>
        <w:tc>
          <w:tcPr>
            <w:tcW w:w="786"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2/41 (4.9)</w:t>
            </w:r>
          </w:p>
        </w:tc>
        <w:tc>
          <w:tcPr>
            <w:tcW w:w="1091" w:type="pct"/>
          </w:tcPr>
          <w:p w:rsidR="00BB36A1" w:rsidRPr="007D42B0" w:rsidRDefault="00BB36A1" w:rsidP="00FC1A59">
            <w:pPr>
              <w:keepNext/>
              <w:keepLines/>
              <w:jc w:val="center"/>
              <w:rPr>
                <w:rFonts w:ascii="Arial Narrow" w:eastAsia="Arial Narrow" w:hAnsi="Arial Narrow" w:cs="Arial Narrow"/>
                <w:b/>
                <w:sz w:val="20"/>
                <w:szCs w:val="20"/>
              </w:rPr>
            </w:pPr>
            <w:r w:rsidRPr="007D42B0">
              <w:rPr>
                <w:rFonts w:ascii="Arial Narrow" w:eastAsia="Arial Narrow" w:hAnsi="Arial Narrow" w:cs="Arial Narrow"/>
                <w:b/>
                <w:sz w:val="20"/>
                <w:szCs w:val="20"/>
              </w:rPr>
              <w:t>32.52 (6.48,</w:t>
            </w:r>
            <w:r w:rsidR="00906010" w:rsidRPr="007D42B0">
              <w:rPr>
                <w:rFonts w:ascii="Arial Narrow" w:eastAsia="Arial Narrow" w:hAnsi="Arial Narrow" w:cs="Arial Narrow"/>
                <w:b/>
                <w:sz w:val="20"/>
                <w:szCs w:val="20"/>
              </w:rPr>
              <w:t xml:space="preserve"> </w:t>
            </w:r>
            <w:r w:rsidRPr="007D42B0">
              <w:rPr>
                <w:rFonts w:ascii="Arial Narrow" w:eastAsia="Arial Narrow" w:hAnsi="Arial Narrow" w:cs="Arial Narrow"/>
                <w:b/>
                <w:sz w:val="20"/>
                <w:szCs w:val="20"/>
              </w:rPr>
              <w:t>329.52)</w:t>
            </w:r>
          </w:p>
        </w:tc>
        <w:tc>
          <w:tcPr>
            <w:tcW w:w="45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b/>
                <w:bCs/>
                <w:sz w:val="20"/>
                <w:szCs w:val="20"/>
              </w:rPr>
              <w:t>&lt;0.0001</w:t>
            </w:r>
          </w:p>
        </w:tc>
      </w:tr>
      <w:tr w:rsidR="00BB36A1" w:rsidTr="00DE3C91">
        <w:trPr>
          <w:trHeight w:val="300"/>
        </w:trPr>
        <w:tc>
          <w:tcPr>
            <w:tcW w:w="531" w:type="pct"/>
          </w:tcPr>
          <w:p w:rsidR="00BB36A1" w:rsidRDefault="00BB36A1" w:rsidP="002B0981">
            <w:pPr>
              <w:keepNext/>
              <w:keepLines/>
              <w:rPr>
                <w:rFonts w:ascii="Arial Narrow" w:eastAsia="Arial Narrow" w:hAnsi="Arial Narrow" w:cs="Arial Narrow"/>
                <w:sz w:val="20"/>
                <w:szCs w:val="20"/>
              </w:rPr>
            </w:pPr>
            <w:r w:rsidRPr="454BE1F2">
              <w:rPr>
                <w:rFonts w:ascii="Arial Narrow" w:eastAsia="Arial Narrow" w:hAnsi="Arial Narrow" w:cs="Arial Narrow"/>
                <w:sz w:val="20"/>
                <w:szCs w:val="20"/>
              </w:rPr>
              <w:t xml:space="preserve"> </w:t>
            </w:r>
            <w:r w:rsidR="00DE3C91" w:rsidRPr="454BE1F2">
              <w:rPr>
                <w:rFonts w:ascii="Arial Narrow" w:eastAsia="Arial Narrow" w:hAnsi="Arial Narrow" w:cs="Arial Narrow"/>
                <w:sz w:val="20"/>
                <w:szCs w:val="20"/>
              </w:rPr>
              <w:t>IGA 0/1</w:t>
            </w:r>
          </w:p>
        </w:tc>
        <w:tc>
          <w:tcPr>
            <w:tcW w:w="1196" w:type="pct"/>
          </w:tcPr>
          <w:p w:rsidR="00BB36A1" w:rsidRDefault="00DE3C91" w:rsidP="000434EA">
            <w:pPr>
              <w:keepNext/>
              <w:keepLines/>
              <w:rPr>
                <w:rFonts w:ascii="Arial Narrow" w:eastAsia="Arial Narrow" w:hAnsi="Arial Narrow" w:cs="Arial Narrow"/>
                <w:sz w:val="20"/>
                <w:szCs w:val="20"/>
              </w:rPr>
            </w:pPr>
            <w:r>
              <w:rPr>
                <w:rFonts w:ascii="Arial Narrow" w:eastAsia="Arial Narrow" w:hAnsi="Arial Narrow" w:cs="Arial Narrow"/>
                <w:sz w:val="20"/>
                <w:szCs w:val="20"/>
              </w:rPr>
              <w:t>SKB</w:t>
            </w:r>
            <w:r w:rsidRPr="454BE1F2">
              <w:rPr>
                <w:rFonts w:ascii="Arial Narrow" w:eastAsia="Arial Narrow" w:hAnsi="Arial Narrow" w:cs="Arial Narrow"/>
                <w:sz w:val="20"/>
                <w:szCs w:val="20"/>
              </w:rPr>
              <w:t xml:space="preserve"> </w:t>
            </w:r>
            <w:r w:rsidR="000434EA">
              <w:rPr>
                <w:rFonts w:ascii="Arial Narrow" w:eastAsia="Arial Narrow" w:hAnsi="Arial Narrow" w:cs="Arial Narrow"/>
                <w:sz w:val="20"/>
                <w:szCs w:val="20"/>
              </w:rPr>
              <w:t>LD</w:t>
            </w:r>
            <w:r w:rsidR="00BB36A1" w:rsidRPr="454BE1F2">
              <w:rPr>
                <w:rFonts w:ascii="Arial Narrow" w:eastAsia="Arial Narrow" w:hAnsi="Arial Narrow" w:cs="Arial Narrow"/>
                <w:sz w:val="20"/>
                <w:szCs w:val="20"/>
              </w:rPr>
              <w:t xml:space="preserve"> vs etanercept</w:t>
            </w:r>
          </w:p>
        </w:tc>
        <w:tc>
          <w:tcPr>
            <w:tcW w:w="94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28/40 (70.0)</w:t>
            </w:r>
          </w:p>
        </w:tc>
        <w:tc>
          <w:tcPr>
            <w:tcW w:w="786"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14/41 (34.1)</w:t>
            </w:r>
          </w:p>
        </w:tc>
        <w:tc>
          <w:tcPr>
            <w:tcW w:w="1091" w:type="pct"/>
          </w:tcPr>
          <w:p w:rsidR="00BB36A1" w:rsidRPr="007D42B0" w:rsidRDefault="00BB36A1" w:rsidP="00FC1A59">
            <w:pPr>
              <w:keepNext/>
              <w:keepLines/>
              <w:jc w:val="center"/>
              <w:rPr>
                <w:rFonts w:ascii="Arial Narrow" w:eastAsia="Arial Narrow" w:hAnsi="Arial Narrow" w:cs="Arial Narrow"/>
                <w:b/>
                <w:sz w:val="20"/>
                <w:szCs w:val="20"/>
              </w:rPr>
            </w:pPr>
            <w:r w:rsidRPr="007D42B0">
              <w:rPr>
                <w:rFonts w:ascii="Arial Narrow" w:eastAsia="Arial Narrow" w:hAnsi="Arial Narrow" w:cs="Arial Narrow"/>
                <w:b/>
                <w:sz w:val="20"/>
                <w:szCs w:val="20"/>
              </w:rPr>
              <w:t>4.49 (1.60,</w:t>
            </w:r>
            <w:r w:rsidR="00906010" w:rsidRPr="007D42B0">
              <w:rPr>
                <w:rFonts w:ascii="Arial Narrow" w:eastAsia="Arial Narrow" w:hAnsi="Arial Narrow" w:cs="Arial Narrow"/>
                <w:b/>
                <w:sz w:val="20"/>
                <w:szCs w:val="20"/>
              </w:rPr>
              <w:t xml:space="preserve"> </w:t>
            </w:r>
            <w:r w:rsidRPr="007D42B0">
              <w:rPr>
                <w:rFonts w:ascii="Arial Narrow" w:eastAsia="Arial Narrow" w:hAnsi="Arial Narrow" w:cs="Arial Narrow"/>
                <w:b/>
                <w:sz w:val="20"/>
                <w:szCs w:val="20"/>
              </w:rPr>
              <w:t>13.42)</w:t>
            </w:r>
          </w:p>
        </w:tc>
        <w:tc>
          <w:tcPr>
            <w:tcW w:w="45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b/>
                <w:bCs/>
                <w:sz w:val="20"/>
                <w:szCs w:val="20"/>
              </w:rPr>
              <w:t>0.0027</w:t>
            </w:r>
          </w:p>
        </w:tc>
      </w:tr>
      <w:tr w:rsidR="00BB36A1" w:rsidTr="00DE3C91">
        <w:trPr>
          <w:trHeight w:val="300"/>
        </w:trPr>
        <w:tc>
          <w:tcPr>
            <w:tcW w:w="531" w:type="pct"/>
          </w:tcPr>
          <w:p w:rsidR="00BB36A1" w:rsidRDefault="00BB36A1" w:rsidP="002B0981">
            <w:pPr>
              <w:keepNext/>
              <w:keepLines/>
              <w:rPr>
                <w:rFonts w:ascii="Arial Narrow" w:eastAsia="Arial Narrow" w:hAnsi="Arial Narrow" w:cs="Arial Narrow"/>
                <w:sz w:val="20"/>
                <w:szCs w:val="20"/>
              </w:rPr>
            </w:pPr>
            <w:r w:rsidRPr="454BE1F2">
              <w:rPr>
                <w:rFonts w:ascii="Arial Narrow" w:eastAsia="Arial Narrow" w:hAnsi="Arial Narrow" w:cs="Arial Narrow"/>
                <w:sz w:val="20"/>
                <w:szCs w:val="20"/>
              </w:rPr>
              <w:t xml:space="preserve"> </w:t>
            </w:r>
          </w:p>
        </w:tc>
        <w:tc>
          <w:tcPr>
            <w:tcW w:w="1196" w:type="pct"/>
          </w:tcPr>
          <w:p w:rsidR="00BB36A1" w:rsidRDefault="00DE3C91" w:rsidP="00986F4C">
            <w:pPr>
              <w:keepNext/>
              <w:keepLines/>
              <w:rPr>
                <w:rFonts w:ascii="Arial Narrow" w:eastAsia="Arial Narrow" w:hAnsi="Arial Narrow" w:cs="Arial Narrow"/>
                <w:sz w:val="20"/>
                <w:szCs w:val="20"/>
              </w:rPr>
            </w:pPr>
            <w:r>
              <w:rPr>
                <w:rFonts w:ascii="Arial Narrow" w:eastAsia="Arial Narrow" w:hAnsi="Arial Narrow" w:cs="Arial Narrow"/>
                <w:sz w:val="20"/>
                <w:szCs w:val="20"/>
              </w:rPr>
              <w:t>SKB</w:t>
            </w:r>
            <w:r w:rsidRPr="454BE1F2">
              <w:rPr>
                <w:rFonts w:ascii="Arial Narrow" w:eastAsia="Arial Narrow" w:hAnsi="Arial Narrow" w:cs="Arial Narrow"/>
                <w:sz w:val="20"/>
                <w:szCs w:val="20"/>
              </w:rPr>
              <w:t xml:space="preserve"> </w:t>
            </w:r>
            <w:r w:rsidR="000434EA">
              <w:rPr>
                <w:rFonts w:ascii="Arial Narrow" w:eastAsia="Arial Narrow" w:hAnsi="Arial Narrow" w:cs="Arial Narrow"/>
                <w:sz w:val="20"/>
                <w:szCs w:val="20"/>
              </w:rPr>
              <w:t>HD</w:t>
            </w:r>
            <w:r w:rsidR="00BB36A1" w:rsidRPr="454BE1F2">
              <w:rPr>
                <w:rFonts w:ascii="Arial Narrow" w:eastAsia="Arial Narrow" w:hAnsi="Arial Narrow" w:cs="Arial Narrow"/>
                <w:sz w:val="20"/>
                <w:szCs w:val="20"/>
              </w:rPr>
              <w:t xml:space="preserve"> vs etanercept</w:t>
            </w:r>
          </w:p>
        </w:tc>
        <w:tc>
          <w:tcPr>
            <w:tcW w:w="94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24/40 (60.0)</w:t>
            </w:r>
          </w:p>
        </w:tc>
        <w:tc>
          <w:tcPr>
            <w:tcW w:w="786"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14/41 (34.1)</w:t>
            </w:r>
          </w:p>
        </w:tc>
        <w:tc>
          <w:tcPr>
            <w:tcW w:w="1091" w:type="pct"/>
          </w:tcPr>
          <w:p w:rsidR="00BB36A1" w:rsidRPr="007D42B0" w:rsidRDefault="00BB36A1" w:rsidP="00FC1A59">
            <w:pPr>
              <w:keepNext/>
              <w:keepLines/>
              <w:jc w:val="center"/>
              <w:rPr>
                <w:rFonts w:ascii="Arial Narrow" w:eastAsia="Arial Narrow" w:hAnsi="Arial Narrow" w:cs="Arial Narrow"/>
                <w:b/>
                <w:sz w:val="20"/>
                <w:szCs w:val="20"/>
              </w:rPr>
            </w:pPr>
            <w:r w:rsidRPr="007D42B0">
              <w:rPr>
                <w:rFonts w:ascii="Arial Narrow" w:eastAsia="Arial Narrow" w:hAnsi="Arial Narrow" w:cs="Arial Narrow"/>
                <w:b/>
                <w:sz w:val="20"/>
                <w:szCs w:val="20"/>
              </w:rPr>
              <w:t>2.86 (1.05,</w:t>
            </w:r>
            <w:r w:rsidR="00906010" w:rsidRPr="007D42B0">
              <w:rPr>
                <w:rFonts w:ascii="Arial Narrow" w:eastAsia="Arial Narrow" w:hAnsi="Arial Narrow" w:cs="Arial Narrow"/>
                <w:b/>
                <w:sz w:val="20"/>
                <w:szCs w:val="20"/>
              </w:rPr>
              <w:t xml:space="preserve"> </w:t>
            </w:r>
            <w:r w:rsidRPr="007D42B0">
              <w:rPr>
                <w:rFonts w:ascii="Arial Narrow" w:eastAsia="Arial Narrow" w:hAnsi="Arial Narrow" w:cs="Arial Narrow"/>
                <w:b/>
                <w:sz w:val="20"/>
                <w:szCs w:val="20"/>
              </w:rPr>
              <w:t>8.13)</w:t>
            </w:r>
          </w:p>
        </w:tc>
        <w:tc>
          <w:tcPr>
            <w:tcW w:w="45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b/>
                <w:bCs/>
                <w:sz w:val="20"/>
                <w:szCs w:val="20"/>
              </w:rPr>
              <w:t>0.0395</w:t>
            </w:r>
          </w:p>
        </w:tc>
      </w:tr>
      <w:tr w:rsidR="00BB36A1" w:rsidTr="1CB8166F">
        <w:trPr>
          <w:trHeight w:val="300"/>
        </w:trPr>
        <w:tc>
          <w:tcPr>
            <w:tcW w:w="5000" w:type="pct"/>
            <w:gridSpan w:val="6"/>
          </w:tcPr>
          <w:p w:rsidR="00BB36A1" w:rsidRPr="00FC1A59" w:rsidRDefault="00BB36A1" w:rsidP="002B0981">
            <w:pPr>
              <w:keepNext/>
              <w:keepLines/>
              <w:rPr>
                <w:rFonts w:ascii="Arial Narrow" w:eastAsia="Arial Narrow" w:hAnsi="Arial Narrow" w:cs="Arial Narrow"/>
                <w:b/>
                <w:sz w:val="20"/>
                <w:szCs w:val="20"/>
                <w:vertAlign w:val="superscript"/>
              </w:rPr>
            </w:pPr>
            <w:r w:rsidRPr="00FC1A59">
              <w:rPr>
                <w:rFonts w:ascii="Arial Narrow" w:eastAsia="Arial Narrow" w:hAnsi="Arial Narrow" w:cs="Arial Narrow"/>
                <w:b/>
                <w:sz w:val="20"/>
                <w:szCs w:val="20"/>
              </w:rPr>
              <w:t>At Week 52</w:t>
            </w:r>
            <w:r w:rsidR="47B9BAE2" w:rsidRPr="00FC1A59">
              <w:rPr>
                <w:rFonts w:ascii="Arial Narrow" w:eastAsia="Arial Narrow" w:hAnsi="Arial Narrow" w:cs="Arial Narrow"/>
                <w:b/>
                <w:sz w:val="20"/>
                <w:szCs w:val="20"/>
                <w:vertAlign w:val="superscript"/>
              </w:rPr>
              <w:t>a</w:t>
            </w:r>
            <w:r w:rsidR="00FC1A59">
              <w:rPr>
                <w:rFonts w:ascii="Arial Narrow" w:eastAsia="Arial Narrow" w:hAnsi="Arial Narrow" w:cs="Arial Narrow"/>
                <w:b/>
                <w:sz w:val="20"/>
                <w:szCs w:val="20"/>
                <w:vertAlign w:val="superscript"/>
              </w:rPr>
              <w:t>,b</w:t>
            </w:r>
          </w:p>
        </w:tc>
      </w:tr>
      <w:tr w:rsidR="00BB36A1" w:rsidTr="00DE3C91">
        <w:trPr>
          <w:trHeight w:val="300"/>
        </w:trPr>
        <w:tc>
          <w:tcPr>
            <w:tcW w:w="531" w:type="pct"/>
            <w:vMerge w:val="restart"/>
          </w:tcPr>
          <w:p w:rsidR="00BB36A1" w:rsidRDefault="00BB36A1" w:rsidP="002B0981">
            <w:pPr>
              <w:keepNext/>
              <w:keepLines/>
              <w:rPr>
                <w:rFonts w:ascii="Arial Narrow" w:eastAsia="Arial Narrow" w:hAnsi="Arial Narrow" w:cs="Arial Narrow"/>
                <w:sz w:val="20"/>
                <w:szCs w:val="20"/>
              </w:rPr>
            </w:pPr>
            <w:r w:rsidRPr="454BE1F2">
              <w:rPr>
                <w:rFonts w:ascii="Arial Narrow" w:eastAsia="Arial Narrow" w:hAnsi="Arial Narrow" w:cs="Arial Narrow"/>
                <w:sz w:val="20"/>
                <w:szCs w:val="20"/>
              </w:rPr>
              <w:t>PASI 75</w:t>
            </w:r>
          </w:p>
        </w:tc>
        <w:tc>
          <w:tcPr>
            <w:tcW w:w="1196" w:type="pct"/>
          </w:tcPr>
          <w:p w:rsidR="00BB36A1" w:rsidRDefault="00DE3C91" w:rsidP="000434EA">
            <w:pPr>
              <w:keepNext/>
              <w:keepLines/>
              <w:rPr>
                <w:rFonts w:ascii="Arial Narrow" w:eastAsia="Arial Narrow" w:hAnsi="Arial Narrow" w:cs="Arial Narrow"/>
                <w:sz w:val="20"/>
                <w:szCs w:val="20"/>
              </w:rPr>
            </w:pPr>
            <w:r>
              <w:rPr>
                <w:rFonts w:ascii="Arial Narrow" w:eastAsia="Arial Narrow" w:hAnsi="Arial Narrow" w:cs="Arial Narrow"/>
                <w:sz w:val="20"/>
                <w:szCs w:val="20"/>
              </w:rPr>
              <w:t>SKB</w:t>
            </w:r>
            <w:r w:rsidRPr="454BE1F2">
              <w:rPr>
                <w:rFonts w:ascii="Arial Narrow" w:eastAsia="Arial Narrow" w:hAnsi="Arial Narrow" w:cs="Arial Narrow"/>
                <w:sz w:val="20"/>
                <w:szCs w:val="20"/>
              </w:rPr>
              <w:t xml:space="preserve"> </w:t>
            </w:r>
            <w:r w:rsidR="000434EA">
              <w:rPr>
                <w:rFonts w:ascii="Arial Narrow" w:eastAsia="Arial Narrow" w:hAnsi="Arial Narrow" w:cs="Arial Narrow"/>
                <w:sz w:val="20"/>
                <w:szCs w:val="20"/>
              </w:rPr>
              <w:t>LD</w:t>
            </w:r>
            <w:r w:rsidR="00BB36A1" w:rsidRPr="454BE1F2">
              <w:rPr>
                <w:rFonts w:ascii="Arial Narrow" w:eastAsia="Arial Narrow" w:hAnsi="Arial Narrow" w:cs="Arial Narrow"/>
                <w:sz w:val="20"/>
                <w:szCs w:val="20"/>
              </w:rPr>
              <w:t xml:space="preserve"> vs etanercept</w:t>
            </w:r>
          </w:p>
        </w:tc>
        <w:tc>
          <w:tcPr>
            <w:tcW w:w="94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35/40 (87.5)</w:t>
            </w:r>
          </w:p>
        </w:tc>
        <w:tc>
          <w:tcPr>
            <w:tcW w:w="786"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28/41 (68.3)</w:t>
            </w:r>
          </w:p>
        </w:tc>
        <w:tc>
          <w:tcPr>
            <w:tcW w:w="1091" w:type="pct"/>
          </w:tcPr>
          <w:p w:rsidR="00BB36A1" w:rsidRPr="007D42B0" w:rsidRDefault="00BB36A1" w:rsidP="00FC1A59">
            <w:pPr>
              <w:keepNext/>
              <w:keepLines/>
              <w:jc w:val="center"/>
              <w:rPr>
                <w:rFonts w:ascii="Arial Narrow" w:eastAsia="Arial Narrow" w:hAnsi="Arial Narrow" w:cs="Arial Narrow"/>
                <w:b/>
                <w:sz w:val="20"/>
                <w:szCs w:val="20"/>
                <w:vertAlign w:val="superscript"/>
              </w:rPr>
            </w:pPr>
            <w:r w:rsidRPr="007D42B0">
              <w:rPr>
                <w:rFonts w:ascii="Arial Narrow" w:eastAsia="Arial Narrow" w:hAnsi="Arial Narrow" w:cs="Arial Narrow"/>
                <w:b/>
                <w:sz w:val="20"/>
                <w:szCs w:val="20"/>
              </w:rPr>
              <w:t>3.25 (1.03,</w:t>
            </w:r>
            <w:r w:rsidR="00906010" w:rsidRPr="007D42B0">
              <w:rPr>
                <w:rFonts w:ascii="Arial Narrow" w:eastAsia="Arial Narrow" w:hAnsi="Arial Narrow" w:cs="Arial Narrow"/>
                <w:b/>
                <w:sz w:val="20"/>
                <w:szCs w:val="20"/>
              </w:rPr>
              <w:t xml:space="preserve"> </w:t>
            </w:r>
            <w:r w:rsidRPr="007D42B0">
              <w:rPr>
                <w:rFonts w:ascii="Arial Narrow" w:eastAsia="Arial Narrow" w:hAnsi="Arial Narrow" w:cs="Arial Narrow"/>
                <w:b/>
                <w:sz w:val="20"/>
                <w:szCs w:val="20"/>
              </w:rPr>
              <w:t>10.21)</w:t>
            </w:r>
          </w:p>
        </w:tc>
        <w:tc>
          <w:tcPr>
            <w:tcW w:w="45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b/>
                <w:bCs/>
                <w:sz w:val="20"/>
                <w:szCs w:val="20"/>
              </w:rPr>
              <w:t>0.04</w:t>
            </w:r>
          </w:p>
        </w:tc>
      </w:tr>
      <w:tr w:rsidR="00BB36A1" w:rsidTr="00DE3C91">
        <w:trPr>
          <w:trHeight w:val="300"/>
        </w:trPr>
        <w:tc>
          <w:tcPr>
            <w:tcW w:w="531" w:type="pct"/>
            <w:vMerge/>
            <w:vAlign w:val="center"/>
          </w:tcPr>
          <w:p w:rsidR="00BB36A1" w:rsidRDefault="00BB36A1" w:rsidP="002B0981">
            <w:pPr>
              <w:keepNext/>
              <w:keepLines/>
            </w:pPr>
          </w:p>
        </w:tc>
        <w:tc>
          <w:tcPr>
            <w:tcW w:w="1196" w:type="pct"/>
          </w:tcPr>
          <w:p w:rsidR="00BB36A1" w:rsidRDefault="00DE3C91" w:rsidP="000434EA">
            <w:pPr>
              <w:keepNext/>
              <w:keepLines/>
              <w:rPr>
                <w:rFonts w:ascii="Arial Narrow" w:eastAsia="Arial Narrow" w:hAnsi="Arial Narrow" w:cs="Arial Narrow"/>
                <w:sz w:val="20"/>
                <w:szCs w:val="20"/>
              </w:rPr>
            </w:pPr>
            <w:r>
              <w:rPr>
                <w:rFonts w:ascii="Arial Narrow" w:eastAsia="Arial Narrow" w:hAnsi="Arial Narrow" w:cs="Arial Narrow"/>
                <w:sz w:val="20"/>
                <w:szCs w:val="20"/>
              </w:rPr>
              <w:t>SKB</w:t>
            </w:r>
            <w:r w:rsidRPr="454BE1F2">
              <w:rPr>
                <w:rFonts w:ascii="Arial Narrow" w:eastAsia="Arial Narrow" w:hAnsi="Arial Narrow" w:cs="Arial Narrow"/>
                <w:sz w:val="20"/>
                <w:szCs w:val="20"/>
              </w:rPr>
              <w:t xml:space="preserve"> </w:t>
            </w:r>
            <w:r w:rsidR="000434EA">
              <w:rPr>
                <w:rFonts w:ascii="Arial Narrow" w:eastAsia="Arial Narrow" w:hAnsi="Arial Narrow" w:cs="Arial Narrow"/>
                <w:sz w:val="20"/>
                <w:szCs w:val="20"/>
              </w:rPr>
              <w:t>HD</w:t>
            </w:r>
            <w:r w:rsidR="00BB36A1" w:rsidRPr="454BE1F2">
              <w:rPr>
                <w:rFonts w:ascii="Arial Narrow" w:eastAsia="Arial Narrow" w:hAnsi="Arial Narrow" w:cs="Arial Narrow"/>
                <w:sz w:val="20"/>
                <w:szCs w:val="20"/>
              </w:rPr>
              <w:t xml:space="preserve"> vs etanercept</w:t>
            </w:r>
          </w:p>
        </w:tc>
        <w:tc>
          <w:tcPr>
            <w:tcW w:w="94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35/40 (87.5)</w:t>
            </w:r>
          </w:p>
        </w:tc>
        <w:tc>
          <w:tcPr>
            <w:tcW w:w="786"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28/41 (68.3)</w:t>
            </w:r>
          </w:p>
        </w:tc>
        <w:tc>
          <w:tcPr>
            <w:tcW w:w="1091" w:type="pct"/>
          </w:tcPr>
          <w:p w:rsidR="00BB36A1" w:rsidRPr="007D42B0" w:rsidRDefault="00BB36A1" w:rsidP="00FC1A59">
            <w:pPr>
              <w:keepNext/>
              <w:keepLines/>
              <w:jc w:val="center"/>
              <w:rPr>
                <w:rFonts w:ascii="Arial Narrow" w:eastAsia="Arial Narrow" w:hAnsi="Arial Narrow" w:cs="Arial Narrow"/>
                <w:b/>
                <w:sz w:val="20"/>
                <w:szCs w:val="20"/>
                <w:vertAlign w:val="superscript"/>
              </w:rPr>
            </w:pPr>
            <w:r w:rsidRPr="007D42B0">
              <w:rPr>
                <w:rFonts w:ascii="Arial Narrow" w:eastAsia="Arial Narrow" w:hAnsi="Arial Narrow" w:cs="Arial Narrow"/>
                <w:b/>
                <w:sz w:val="20"/>
                <w:szCs w:val="20"/>
              </w:rPr>
              <w:t>3.25 (1.03,</w:t>
            </w:r>
            <w:r w:rsidR="00906010" w:rsidRPr="007D42B0">
              <w:rPr>
                <w:rFonts w:ascii="Arial Narrow" w:eastAsia="Arial Narrow" w:hAnsi="Arial Narrow" w:cs="Arial Narrow"/>
                <w:b/>
                <w:sz w:val="20"/>
                <w:szCs w:val="20"/>
              </w:rPr>
              <w:t xml:space="preserve"> </w:t>
            </w:r>
            <w:r w:rsidRPr="007D42B0">
              <w:rPr>
                <w:rFonts w:ascii="Arial Narrow" w:eastAsia="Arial Narrow" w:hAnsi="Arial Narrow" w:cs="Arial Narrow"/>
                <w:b/>
                <w:sz w:val="20"/>
                <w:szCs w:val="20"/>
              </w:rPr>
              <w:t>10.21)</w:t>
            </w:r>
          </w:p>
        </w:tc>
        <w:tc>
          <w:tcPr>
            <w:tcW w:w="45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b/>
                <w:bCs/>
                <w:sz w:val="20"/>
                <w:szCs w:val="20"/>
              </w:rPr>
              <w:t>0.04</w:t>
            </w:r>
          </w:p>
        </w:tc>
      </w:tr>
      <w:tr w:rsidR="00BB36A1" w:rsidTr="00DE3C91">
        <w:trPr>
          <w:trHeight w:val="300"/>
        </w:trPr>
        <w:tc>
          <w:tcPr>
            <w:tcW w:w="531" w:type="pct"/>
            <w:vMerge w:val="restart"/>
          </w:tcPr>
          <w:p w:rsidR="00BB36A1" w:rsidRDefault="00BB36A1" w:rsidP="002B0981">
            <w:pPr>
              <w:keepNext/>
              <w:keepLines/>
              <w:rPr>
                <w:rFonts w:ascii="Arial Narrow" w:eastAsia="Arial Narrow" w:hAnsi="Arial Narrow" w:cs="Arial Narrow"/>
                <w:sz w:val="20"/>
                <w:szCs w:val="20"/>
              </w:rPr>
            </w:pPr>
            <w:r w:rsidRPr="454BE1F2">
              <w:rPr>
                <w:rFonts w:ascii="Arial Narrow" w:eastAsia="Arial Narrow" w:hAnsi="Arial Narrow" w:cs="Arial Narrow"/>
                <w:sz w:val="20"/>
                <w:szCs w:val="20"/>
              </w:rPr>
              <w:t>IGA 0/1</w:t>
            </w:r>
          </w:p>
        </w:tc>
        <w:tc>
          <w:tcPr>
            <w:tcW w:w="1196" w:type="pct"/>
          </w:tcPr>
          <w:p w:rsidR="00BB36A1" w:rsidRDefault="00DE3C91" w:rsidP="000434EA">
            <w:pPr>
              <w:keepNext/>
              <w:keepLines/>
              <w:rPr>
                <w:rFonts w:ascii="Arial Narrow" w:eastAsia="Arial Narrow" w:hAnsi="Arial Narrow" w:cs="Arial Narrow"/>
                <w:sz w:val="20"/>
                <w:szCs w:val="20"/>
              </w:rPr>
            </w:pPr>
            <w:r>
              <w:rPr>
                <w:rFonts w:ascii="Arial Narrow" w:eastAsia="Arial Narrow" w:hAnsi="Arial Narrow" w:cs="Arial Narrow"/>
                <w:sz w:val="20"/>
                <w:szCs w:val="20"/>
              </w:rPr>
              <w:t>SKB</w:t>
            </w:r>
            <w:r w:rsidRPr="454BE1F2">
              <w:rPr>
                <w:rFonts w:ascii="Arial Narrow" w:eastAsia="Arial Narrow" w:hAnsi="Arial Narrow" w:cs="Arial Narrow"/>
                <w:sz w:val="20"/>
                <w:szCs w:val="20"/>
              </w:rPr>
              <w:t xml:space="preserve"> </w:t>
            </w:r>
            <w:r w:rsidR="000434EA">
              <w:rPr>
                <w:rFonts w:ascii="Arial Narrow" w:eastAsia="Arial Narrow" w:hAnsi="Arial Narrow" w:cs="Arial Narrow"/>
                <w:sz w:val="20"/>
                <w:szCs w:val="20"/>
              </w:rPr>
              <w:t>LD</w:t>
            </w:r>
            <w:r w:rsidR="00BB36A1" w:rsidRPr="454BE1F2">
              <w:rPr>
                <w:rFonts w:ascii="Arial Narrow" w:eastAsia="Arial Narrow" w:hAnsi="Arial Narrow" w:cs="Arial Narrow"/>
                <w:sz w:val="20"/>
                <w:szCs w:val="20"/>
              </w:rPr>
              <w:t xml:space="preserve"> vs etanercept</w:t>
            </w:r>
          </w:p>
        </w:tc>
        <w:tc>
          <w:tcPr>
            <w:tcW w:w="94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29/40 (72.5)</w:t>
            </w:r>
          </w:p>
        </w:tc>
        <w:tc>
          <w:tcPr>
            <w:tcW w:w="786"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23/41 (56.1)</w:t>
            </w:r>
          </w:p>
        </w:tc>
        <w:tc>
          <w:tcPr>
            <w:tcW w:w="1091" w:type="pct"/>
          </w:tcPr>
          <w:p w:rsidR="00BB36A1" w:rsidRDefault="00BB36A1" w:rsidP="00FC1A59">
            <w:pPr>
              <w:keepNext/>
              <w:keepLines/>
              <w:jc w:val="center"/>
              <w:rPr>
                <w:rFonts w:ascii="Arial Narrow" w:eastAsia="Arial Narrow" w:hAnsi="Arial Narrow" w:cs="Arial Narrow"/>
                <w:sz w:val="20"/>
                <w:szCs w:val="20"/>
                <w:vertAlign w:val="superscript"/>
              </w:rPr>
            </w:pPr>
            <w:r w:rsidRPr="454BE1F2">
              <w:rPr>
                <w:rFonts w:ascii="Arial Narrow" w:eastAsia="Arial Narrow" w:hAnsi="Arial Narrow" w:cs="Arial Narrow"/>
                <w:sz w:val="20"/>
                <w:szCs w:val="20"/>
              </w:rPr>
              <w:t>2.06 (0.82, 5.22)</w:t>
            </w:r>
          </w:p>
        </w:tc>
        <w:tc>
          <w:tcPr>
            <w:tcW w:w="45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0.08</w:t>
            </w:r>
          </w:p>
        </w:tc>
      </w:tr>
      <w:tr w:rsidR="00BB36A1" w:rsidTr="00DE3C91">
        <w:trPr>
          <w:trHeight w:val="300"/>
        </w:trPr>
        <w:tc>
          <w:tcPr>
            <w:tcW w:w="531" w:type="pct"/>
            <w:vMerge/>
            <w:vAlign w:val="center"/>
          </w:tcPr>
          <w:p w:rsidR="00BB36A1" w:rsidRDefault="00BB36A1" w:rsidP="002B0981">
            <w:pPr>
              <w:keepNext/>
              <w:keepLines/>
            </w:pPr>
          </w:p>
        </w:tc>
        <w:tc>
          <w:tcPr>
            <w:tcW w:w="1196" w:type="pct"/>
          </w:tcPr>
          <w:p w:rsidR="00BB36A1" w:rsidRDefault="00DE3C91" w:rsidP="000434EA">
            <w:pPr>
              <w:keepNext/>
              <w:keepLines/>
              <w:rPr>
                <w:rFonts w:ascii="Arial Narrow" w:eastAsia="Arial Narrow" w:hAnsi="Arial Narrow" w:cs="Arial Narrow"/>
                <w:sz w:val="20"/>
                <w:szCs w:val="20"/>
              </w:rPr>
            </w:pPr>
            <w:r>
              <w:rPr>
                <w:rFonts w:ascii="Arial Narrow" w:eastAsia="Arial Narrow" w:hAnsi="Arial Narrow" w:cs="Arial Narrow"/>
                <w:sz w:val="20"/>
                <w:szCs w:val="20"/>
              </w:rPr>
              <w:t>SKB</w:t>
            </w:r>
            <w:r w:rsidRPr="454BE1F2">
              <w:rPr>
                <w:rFonts w:ascii="Arial Narrow" w:eastAsia="Arial Narrow" w:hAnsi="Arial Narrow" w:cs="Arial Narrow"/>
                <w:sz w:val="20"/>
                <w:szCs w:val="20"/>
              </w:rPr>
              <w:t xml:space="preserve"> </w:t>
            </w:r>
            <w:r w:rsidR="000434EA">
              <w:rPr>
                <w:rFonts w:ascii="Arial Narrow" w:eastAsia="Arial Narrow" w:hAnsi="Arial Narrow" w:cs="Arial Narrow"/>
                <w:sz w:val="20"/>
                <w:szCs w:val="20"/>
              </w:rPr>
              <w:t>HD</w:t>
            </w:r>
            <w:r w:rsidR="00BB36A1" w:rsidRPr="454BE1F2">
              <w:rPr>
                <w:rFonts w:ascii="Arial Narrow" w:eastAsia="Arial Narrow" w:hAnsi="Arial Narrow" w:cs="Arial Narrow"/>
                <w:sz w:val="20"/>
                <w:szCs w:val="20"/>
              </w:rPr>
              <w:t xml:space="preserve"> vs etanercept</w:t>
            </w:r>
          </w:p>
        </w:tc>
        <w:tc>
          <w:tcPr>
            <w:tcW w:w="94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30/40 (75.0)</w:t>
            </w:r>
          </w:p>
        </w:tc>
        <w:tc>
          <w:tcPr>
            <w:tcW w:w="786"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23/41 (56.1)</w:t>
            </w:r>
          </w:p>
        </w:tc>
        <w:tc>
          <w:tcPr>
            <w:tcW w:w="1091" w:type="pct"/>
          </w:tcPr>
          <w:p w:rsidR="00BB36A1" w:rsidRDefault="00BB36A1" w:rsidP="00FC1A59">
            <w:pPr>
              <w:keepNext/>
              <w:keepLines/>
              <w:jc w:val="center"/>
              <w:rPr>
                <w:rFonts w:ascii="Arial Narrow" w:eastAsia="Arial Narrow" w:hAnsi="Arial Narrow" w:cs="Arial Narrow"/>
                <w:sz w:val="20"/>
                <w:szCs w:val="20"/>
                <w:vertAlign w:val="superscript"/>
              </w:rPr>
            </w:pPr>
            <w:r w:rsidRPr="454BE1F2">
              <w:rPr>
                <w:rFonts w:ascii="Arial Narrow" w:eastAsia="Arial Narrow" w:hAnsi="Arial Narrow" w:cs="Arial Narrow"/>
                <w:sz w:val="20"/>
                <w:szCs w:val="20"/>
              </w:rPr>
              <w:t>2.35 (0.91,</w:t>
            </w:r>
            <w:r w:rsidR="00906010">
              <w:rPr>
                <w:rFonts w:ascii="Arial Narrow" w:eastAsia="Arial Narrow" w:hAnsi="Arial Narrow" w:cs="Arial Narrow"/>
                <w:sz w:val="20"/>
                <w:szCs w:val="20"/>
              </w:rPr>
              <w:t xml:space="preserve"> </w:t>
            </w:r>
            <w:r w:rsidRPr="454BE1F2">
              <w:rPr>
                <w:rFonts w:ascii="Arial Narrow" w:eastAsia="Arial Narrow" w:hAnsi="Arial Narrow" w:cs="Arial Narrow"/>
                <w:sz w:val="20"/>
                <w:szCs w:val="20"/>
              </w:rPr>
              <w:t>6.04)</w:t>
            </w:r>
          </w:p>
        </w:tc>
        <w:tc>
          <w:tcPr>
            <w:tcW w:w="453" w:type="pct"/>
          </w:tcPr>
          <w:p w:rsidR="00BB36A1" w:rsidRDefault="00BB36A1" w:rsidP="00FC1A59">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0.13</w:t>
            </w:r>
          </w:p>
        </w:tc>
      </w:tr>
    </w:tbl>
    <w:p w:rsidR="00BB36A1" w:rsidRPr="00E00A5E" w:rsidRDefault="00BB36A1" w:rsidP="000434EA">
      <w:pPr>
        <w:keepNext/>
        <w:keepLines/>
        <w:jc w:val="both"/>
        <w:rPr>
          <w:rFonts w:ascii="Arial Narrow" w:eastAsia="Arial Narrow" w:hAnsi="Arial Narrow" w:cs="Arial Narrow"/>
          <w:i/>
          <w:iCs/>
          <w:color w:val="000000" w:themeColor="text1"/>
          <w:sz w:val="18"/>
          <w:szCs w:val="18"/>
          <w:lang w:val="en-US"/>
        </w:rPr>
      </w:pPr>
      <w:r w:rsidRPr="454BE1F2">
        <w:rPr>
          <w:rFonts w:ascii="Arial Narrow" w:eastAsia="Arial Narrow" w:hAnsi="Arial Narrow" w:cs="Arial Narrow"/>
          <w:color w:val="000000" w:themeColor="text1"/>
          <w:sz w:val="18"/>
          <w:szCs w:val="18"/>
        </w:rPr>
        <w:t xml:space="preserve">Source: Table 2.30, p88-89 of the submission. </w:t>
      </w:r>
    </w:p>
    <w:p w:rsidR="00FC1A59" w:rsidRDefault="00722F7F" w:rsidP="000434EA">
      <w:pPr>
        <w:keepNext/>
        <w:keepLines/>
        <w:jc w:val="both"/>
        <w:rPr>
          <w:rFonts w:ascii="Arial Narrow" w:eastAsia="Arial Narrow" w:hAnsi="Arial Narrow" w:cs="Arial Narrow"/>
          <w:color w:val="000000" w:themeColor="text1"/>
          <w:sz w:val="18"/>
          <w:szCs w:val="18"/>
        </w:rPr>
      </w:pPr>
      <w:r>
        <w:rPr>
          <w:rFonts w:ascii="Arial Narrow" w:eastAsia="Arial Narrow" w:hAnsi="Arial Narrow" w:cs="Arial Narrow"/>
          <w:color w:val="000000" w:themeColor="text1"/>
          <w:sz w:val="18"/>
          <w:szCs w:val="18"/>
        </w:rPr>
        <w:t xml:space="preserve">CI = confidence interval; </w:t>
      </w:r>
      <w:r w:rsidR="000434EA">
        <w:rPr>
          <w:rFonts w:ascii="Arial Narrow" w:eastAsia="Arial Narrow" w:hAnsi="Arial Narrow" w:cs="Arial Narrow"/>
          <w:color w:val="000000" w:themeColor="text1"/>
          <w:sz w:val="18"/>
          <w:szCs w:val="18"/>
        </w:rPr>
        <w:t xml:space="preserve">HD = high dose; </w:t>
      </w:r>
      <w:r w:rsidR="00BB36A1" w:rsidRPr="454BE1F2">
        <w:rPr>
          <w:rFonts w:ascii="Arial Narrow" w:eastAsia="Arial Narrow" w:hAnsi="Arial Narrow" w:cs="Arial Narrow"/>
          <w:color w:val="000000" w:themeColor="text1"/>
          <w:sz w:val="18"/>
          <w:szCs w:val="18"/>
        </w:rPr>
        <w:t>IGA</w:t>
      </w:r>
      <w:r w:rsidR="000434EA">
        <w:rPr>
          <w:rFonts w:ascii="Arial Narrow" w:eastAsia="Arial Narrow" w:hAnsi="Arial Narrow" w:cs="Arial Narrow"/>
          <w:color w:val="000000" w:themeColor="text1"/>
          <w:sz w:val="18"/>
          <w:szCs w:val="18"/>
        </w:rPr>
        <w:t xml:space="preserve"> </w:t>
      </w:r>
      <w:r w:rsidR="00BB36A1" w:rsidRPr="454BE1F2">
        <w:rPr>
          <w:rFonts w:ascii="Arial Narrow" w:eastAsia="Arial Narrow" w:hAnsi="Arial Narrow" w:cs="Arial Narrow"/>
          <w:color w:val="000000" w:themeColor="text1"/>
          <w:sz w:val="18"/>
          <w:szCs w:val="18"/>
        </w:rPr>
        <w:t>= Investigator’s Global Assessment</w:t>
      </w:r>
      <w:r w:rsidR="00BB36A1" w:rsidRPr="454BE1F2">
        <w:rPr>
          <w:rFonts w:ascii="Arial Narrow" w:eastAsia="Arial Narrow" w:hAnsi="Arial Narrow" w:cs="Arial Narrow"/>
          <w:i/>
          <w:iCs/>
          <w:color w:val="000000" w:themeColor="text1"/>
          <w:sz w:val="18"/>
          <w:szCs w:val="18"/>
        </w:rPr>
        <w:t xml:space="preserve">; </w:t>
      </w:r>
      <w:r w:rsidR="000434EA">
        <w:rPr>
          <w:rFonts w:ascii="Arial Narrow" w:eastAsia="Arial Narrow" w:hAnsi="Arial Narrow" w:cs="Arial Narrow"/>
          <w:iCs/>
          <w:color w:val="000000" w:themeColor="text1"/>
          <w:sz w:val="18"/>
          <w:szCs w:val="18"/>
        </w:rPr>
        <w:t xml:space="preserve">LD = low dose; </w:t>
      </w:r>
      <w:r w:rsidR="00B535C8">
        <w:rPr>
          <w:rFonts w:ascii="Arial Narrow" w:eastAsia="Arial Narrow" w:hAnsi="Arial Narrow" w:cs="Arial Narrow"/>
          <w:color w:val="000000" w:themeColor="text1"/>
          <w:sz w:val="18"/>
          <w:szCs w:val="18"/>
        </w:rPr>
        <w:t>N</w:t>
      </w:r>
      <w:r w:rsidR="000434EA">
        <w:rPr>
          <w:rFonts w:ascii="Arial Narrow" w:eastAsia="Arial Narrow" w:hAnsi="Arial Narrow" w:cs="Arial Narrow"/>
          <w:color w:val="000000" w:themeColor="text1"/>
          <w:sz w:val="18"/>
          <w:szCs w:val="18"/>
        </w:rPr>
        <w:t xml:space="preserve"> </w:t>
      </w:r>
      <w:r w:rsidR="00BB36A1" w:rsidRPr="454BE1F2">
        <w:rPr>
          <w:rFonts w:ascii="Arial Narrow" w:eastAsia="Arial Narrow" w:hAnsi="Arial Narrow" w:cs="Arial Narrow"/>
          <w:color w:val="000000" w:themeColor="text1"/>
          <w:sz w:val="18"/>
          <w:szCs w:val="18"/>
        </w:rPr>
        <w:t>= number of patients evaluable; n</w:t>
      </w:r>
      <w:r w:rsidR="000434EA">
        <w:rPr>
          <w:rFonts w:ascii="Arial Narrow" w:eastAsia="Arial Narrow" w:hAnsi="Arial Narrow" w:cs="Arial Narrow"/>
          <w:color w:val="000000" w:themeColor="text1"/>
          <w:sz w:val="18"/>
          <w:szCs w:val="18"/>
        </w:rPr>
        <w:t xml:space="preserve"> </w:t>
      </w:r>
      <w:r w:rsidR="00BB36A1" w:rsidRPr="454BE1F2">
        <w:rPr>
          <w:rFonts w:ascii="Arial Narrow" w:eastAsia="Arial Narrow" w:hAnsi="Arial Narrow" w:cs="Arial Narrow"/>
          <w:color w:val="000000" w:themeColor="text1"/>
          <w:sz w:val="18"/>
          <w:szCs w:val="18"/>
        </w:rPr>
        <w:t>= the number of responders; NRI</w:t>
      </w:r>
      <w:r w:rsidR="000434EA">
        <w:rPr>
          <w:rFonts w:ascii="Arial Narrow" w:eastAsia="Arial Narrow" w:hAnsi="Arial Narrow" w:cs="Arial Narrow"/>
          <w:color w:val="000000" w:themeColor="text1"/>
          <w:sz w:val="18"/>
          <w:szCs w:val="18"/>
        </w:rPr>
        <w:t xml:space="preserve"> </w:t>
      </w:r>
      <w:r w:rsidR="00BB36A1" w:rsidRPr="454BE1F2">
        <w:rPr>
          <w:rFonts w:ascii="Arial Narrow" w:eastAsia="Arial Narrow" w:hAnsi="Arial Narrow" w:cs="Arial Narrow"/>
          <w:color w:val="000000" w:themeColor="text1"/>
          <w:sz w:val="18"/>
          <w:szCs w:val="18"/>
        </w:rPr>
        <w:t xml:space="preserve">= non- responder imputation; </w:t>
      </w:r>
      <w:r>
        <w:rPr>
          <w:rFonts w:ascii="Arial Narrow" w:eastAsia="Arial Narrow" w:hAnsi="Arial Narrow" w:cs="Arial Narrow"/>
          <w:color w:val="000000" w:themeColor="text1"/>
          <w:sz w:val="18"/>
          <w:szCs w:val="18"/>
        </w:rPr>
        <w:t xml:space="preserve">OR = odds ratio; </w:t>
      </w:r>
      <w:r w:rsidR="00BB36A1" w:rsidRPr="454BE1F2">
        <w:rPr>
          <w:rFonts w:ascii="Arial Narrow" w:eastAsia="Arial Narrow" w:hAnsi="Arial Narrow" w:cs="Arial Narrow"/>
          <w:color w:val="000000" w:themeColor="text1"/>
          <w:sz w:val="18"/>
          <w:szCs w:val="18"/>
        </w:rPr>
        <w:t>PASI</w:t>
      </w:r>
      <w:r w:rsidR="000434EA">
        <w:rPr>
          <w:rFonts w:ascii="Arial Narrow" w:eastAsia="Arial Narrow" w:hAnsi="Arial Narrow" w:cs="Arial Narrow"/>
          <w:color w:val="000000" w:themeColor="text1"/>
          <w:sz w:val="18"/>
          <w:szCs w:val="18"/>
        </w:rPr>
        <w:t xml:space="preserve"> </w:t>
      </w:r>
      <w:r w:rsidR="00BB36A1" w:rsidRPr="454BE1F2">
        <w:rPr>
          <w:rFonts w:ascii="Arial Narrow" w:eastAsia="Arial Narrow" w:hAnsi="Arial Narrow" w:cs="Arial Narrow"/>
          <w:color w:val="000000" w:themeColor="text1"/>
          <w:sz w:val="18"/>
          <w:szCs w:val="18"/>
        </w:rPr>
        <w:t>= Psoriasis Area and Severity Index</w:t>
      </w:r>
      <w:r w:rsidR="00DE3C91">
        <w:rPr>
          <w:rFonts w:ascii="Arial Narrow" w:eastAsia="Arial Narrow" w:hAnsi="Arial Narrow" w:cs="Arial Narrow"/>
          <w:color w:val="000000" w:themeColor="text1"/>
          <w:sz w:val="18"/>
          <w:szCs w:val="18"/>
        </w:rPr>
        <w:t>; SKB = secukinumab</w:t>
      </w:r>
      <w:r w:rsidR="00BB36A1" w:rsidRPr="454BE1F2">
        <w:rPr>
          <w:rFonts w:ascii="Arial Narrow" w:eastAsia="Arial Narrow" w:hAnsi="Arial Narrow" w:cs="Arial Narrow"/>
          <w:color w:val="000000" w:themeColor="text1"/>
          <w:sz w:val="18"/>
          <w:szCs w:val="18"/>
        </w:rPr>
        <w:t>.</w:t>
      </w:r>
    </w:p>
    <w:p w:rsidR="000434EA" w:rsidRDefault="00FC1A59" w:rsidP="000434EA">
      <w:pPr>
        <w:keepNext/>
        <w:keepLines/>
        <w:jc w:val="both"/>
        <w:rPr>
          <w:rFonts w:ascii="Arial Narrow" w:eastAsia="Arial Narrow" w:hAnsi="Arial Narrow" w:cs="Arial Narrow"/>
          <w:color w:val="000000" w:themeColor="text1"/>
          <w:sz w:val="18"/>
          <w:szCs w:val="18"/>
        </w:rPr>
      </w:pPr>
      <w:r w:rsidRPr="00FC1A59">
        <w:rPr>
          <w:rFonts w:ascii="Arial Narrow" w:eastAsia="Arial Narrow" w:hAnsi="Arial Narrow" w:cs="Arial Narrow"/>
          <w:b/>
          <w:color w:val="000000" w:themeColor="text1"/>
          <w:sz w:val="18"/>
          <w:szCs w:val="18"/>
        </w:rPr>
        <w:t>Bold</w:t>
      </w:r>
      <w:r w:rsidRPr="00FC1A59">
        <w:rPr>
          <w:rFonts w:ascii="Arial Narrow" w:eastAsia="Arial Narrow" w:hAnsi="Arial Narrow" w:cs="Arial Narrow"/>
          <w:color w:val="000000" w:themeColor="text1"/>
          <w:sz w:val="18"/>
          <w:szCs w:val="18"/>
        </w:rPr>
        <w:t xml:space="preserve"> indica</w:t>
      </w:r>
      <w:r>
        <w:rPr>
          <w:rFonts w:ascii="Arial Narrow" w:eastAsia="Arial Narrow" w:hAnsi="Arial Narrow" w:cs="Arial Narrow"/>
          <w:color w:val="000000" w:themeColor="text1"/>
          <w:sz w:val="18"/>
          <w:szCs w:val="18"/>
        </w:rPr>
        <w:t>tes statistical significance.</w:t>
      </w:r>
    </w:p>
    <w:p w:rsidR="00FC1A59" w:rsidRDefault="35CF08F3" w:rsidP="000434EA">
      <w:pPr>
        <w:keepNext/>
        <w:keepLines/>
        <w:jc w:val="both"/>
        <w:rPr>
          <w:rFonts w:ascii="Arial Narrow" w:eastAsia="Arial Narrow" w:hAnsi="Arial Narrow" w:cs="Arial Narrow"/>
          <w:color w:val="000000" w:themeColor="text1"/>
          <w:sz w:val="18"/>
          <w:szCs w:val="18"/>
        </w:rPr>
      </w:pPr>
      <w:r w:rsidRPr="4AAF4315">
        <w:rPr>
          <w:rFonts w:ascii="Arial Narrow" w:eastAsia="Arial Narrow" w:hAnsi="Arial Narrow" w:cs="Arial Narrow"/>
          <w:color w:val="000000" w:themeColor="text1"/>
          <w:sz w:val="18"/>
          <w:szCs w:val="18"/>
          <w:vertAlign w:val="superscript"/>
        </w:rPr>
        <w:t>a</w:t>
      </w:r>
      <w:r w:rsidR="00654CD7" w:rsidRPr="4AAF4315">
        <w:rPr>
          <w:rFonts w:ascii="Arial Narrow" w:eastAsia="Arial Narrow" w:hAnsi="Arial Narrow" w:cs="Arial Narrow"/>
          <w:color w:val="000000" w:themeColor="text1"/>
          <w:sz w:val="18"/>
          <w:szCs w:val="18"/>
          <w:vertAlign w:val="superscript"/>
        </w:rPr>
        <w:t xml:space="preserve"> </w:t>
      </w:r>
      <w:r w:rsidR="009A59B7">
        <w:rPr>
          <w:rFonts w:ascii="Arial Narrow" w:eastAsia="Arial Narrow" w:hAnsi="Arial Narrow" w:cs="Arial Narrow"/>
          <w:color w:val="000000" w:themeColor="text1"/>
          <w:sz w:val="18"/>
          <w:szCs w:val="18"/>
        </w:rPr>
        <w:t>N</w:t>
      </w:r>
      <w:r w:rsidR="00654CD7" w:rsidRPr="4AAF4315">
        <w:rPr>
          <w:rFonts w:ascii="Arial Narrow" w:eastAsia="Arial Narrow" w:hAnsi="Arial Narrow" w:cs="Arial Narrow"/>
          <w:color w:val="000000" w:themeColor="text1"/>
          <w:sz w:val="18"/>
          <w:szCs w:val="18"/>
        </w:rPr>
        <w:t xml:space="preserve">on-responder imputation was used to handle missing values in full analysis set for outcomes at </w:t>
      </w:r>
      <w:r w:rsidR="00775B79">
        <w:rPr>
          <w:rFonts w:ascii="Arial Narrow" w:eastAsia="Arial Narrow" w:hAnsi="Arial Narrow" w:cs="Arial Narrow"/>
          <w:color w:val="000000" w:themeColor="text1"/>
          <w:sz w:val="18"/>
          <w:szCs w:val="18"/>
        </w:rPr>
        <w:t>W</w:t>
      </w:r>
      <w:r w:rsidR="00654CD7" w:rsidRPr="4AAF4315">
        <w:rPr>
          <w:rFonts w:ascii="Arial Narrow" w:eastAsia="Arial Narrow" w:hAnsi="Arial Narrow" w:cs="Arial Narrow"/>
          <w:color w:val="000000" w:themeColor="text1"/>
          <w:sz w:val="18"/>
          <w:szCs w:val="18"/>
        </w:rPr>
        <w:t>eek 12</w:t>
      </w:r>
      <w:r w:rsidR="00FC1A59">
        <w:rPr>
          <w:rFonts w:ascii="Arial Narrow" w:eastAsia="Arial Narrow" w:hAnsi="Arial Narrow" w:cs="Arial Narrow"/>
          <w:color w:val="000000" w:themeColor="text1"/>
          <w:sz w:val="18"/>
          <w:szCs w:val="18"/>
        </w:rPr>
        <w:t xml:space="preserve"> and Week 52</w:t>
      </w:r>
      <w:r w:rsidR="00654CD7" w:rsidRPr="4AAF4315">
        <w:rPr>
          <w:rFonts w:ascii="Arial Narrow" w:eastAsia="Arial Narrow" w:hAnsi="Arial Narrow" w:cs="Arial Narrow"/>
          <w:color w:val="000000" w:themeColor="text1"/>
          <w:sz w:val="18"/>
          <w:szCs w:val="18"/>
        </w:rPr>
        <w:t xml:space="preserve">. </w:t>
      </w:r>
    </w:p>
    <w:p w:rsidR="00BB36A1" w:rsidRPr="00EC5836" w:rsidRDefault="00FC1A59" w:rsidP="000434EA">
      <w:pPr>
        <w:keepNext/>
        <w:keepLines/>
        <w:jc w:val="both"/>
        <w:rPr>
          <w:rFonts w:ascii="Arial Narrow" w:eastAsia="Arial Narrow" w:hAnsi="Arial Narrow" w:cs="Arial Narrow"/>
          <w:color w:val="000000" w:themeColor="text1"/>
          <w:sz w:val="18"/>
          <w:szCs w:val="18"/>
          <w:lang w:val="en-US"/>
        </w:rPr>
      </w:pPr>
      <w:r w:rsidRPr="00FC1A59">
        <w:rPr>
          <w:rFonts w:ascii="Arial Narrow" w:eastAsia="Arial Narrow" w:hAnsi="Arial Narrow" w:cs="Arial Narrow"/>
          <w:color w:val="000000" w:themeColor="text1"/>
          <w:sz w:val="18"/>
          <w:szCs w:val="18"/>
          <w:vertAlign w:val="superscript"/>
        </w:rPr>
        <w:t>b</w:t>
      </w:r>
      <w:r>
        <w:rPr>
          <w:rFonts w:ascii="Arial Narrow" w:eastAsia="Arial Narrow" w:hAnsi="Arial Narrow" w:cs="Arial Narrow"/>
          <w:color w:val="000000" w:themeColor="text1"/>
          <w:sz w:val="18"/>
          <w:szCs w:val="18"/>
        </w:rPr>
        <w:t xml:space="preserve"> </w:t>
      </w:r>
      <w:r w:rsidR="00EE3F44" w:rsidRPr="4AAF4315">
        <w:rPr>
          <w:rFonts w:ascii="Arial Narrow" w:eastAsia="Arial Narrow" w:hAnsi="Arial Narrow" w:cs="Arial Narrow"/>
          <w:sz w:val="18"/>
          <w:szCs w:val="18"/>
        </w:rPr>
        <w:t xml:space="preserve">Week 52 analysis includes 36 patients out of 80 secukinumab patients (16 in low dose and 20 in high dose) who received an extra dose at </w:t>
      </w:r>
      <w:r w:rsidR="00775B79">
        <w:rPr>
          <w:rFonts w:ascii="Arial Narrow" w:eastAsia="Arial Narrow" w:hAnsi="Arial Narrow" w:cs="Arial Narrow"/>
          <w:sz w:val="18"/>
          <w:szCs w:val="18"/>
        </w:rPr>
        <w:t>W</w:t>
      </w:r>
      <w:r w:rsidR="00EE3F44" w:rsidRPr="4AAF4315">
        <w:rPr>
          <w:rFonts w:ascii="Arial Narrow" w:eastAsia="Arial Narrow" w:hAnsi="Arial Narrow" w:cs="Arial Narrow"/>
          <w:sz w:val="18"/>
          <w:szCs w:val="18"/>
        </w:rPr>
        <w:t>eek</w:t>
      </w:r>
      <w:r>
        <w:rPr>
          <w:rFonts w:ascii="Arial Narrow" w:eastAsia="Arial Narrow" w:hAnsi="Arial Narrow" w:cs="Arial Narrow"/>
          <w:sz w:val="18"/>
          <w:szCs w:val="18"/>
        </w:rPr>
        <w:t>s</w:t>
      </w:r>
      <w:r w:rsidR="00EE3F44" w:rsidRPr="4AAF4315">
        <w:rPr>
          <w:rFonts w:ascii="Arial Narrow" w:eastAsia="Arial Narrow" w:hAnsi="Arial Narrow" w:cs="Arial Narrow"/>
          <w:sz w:val="18"/>
          <w:szCs w:val="18"/>
        </w:rPr>
        <w:t xml:space="preserve"> 13, 14, 15.</w:t>
      </w:r>
    </w:p>
    <w:p w:rsidR="00BB36A1" w:rsidRDefault="00BB36A1" w:rsidP="00BB36A1">
      <w:pPr>
        <w:rPr>
          <w:color w:val="000000" w:themeColor="text1"/>
        </w:rPr>
      </w:pPr>
    </w:p>
    <w:p w:rsidR="00BB36A1" w:rsidRPr="00A92795" w:rsidRDefault="00BB36A1" w:rsidP="00BB36A1">
      <w:pPr>
        <w:pStyle w:val="3-BodyText"/>
        <w:rPr>
          <w:rFonts w:eastAsiaTheme="minorEastAsia" w:cstheme="minorBidi"/>
          <w:color w:val="0066FF"/>
          <w:lang w:val="en-US"/>
        </w:rPr>
      </w:pPr>
      <w:r w:rsidRPr="159B995A">
        <w:rPr>
          <w:rFonts w:ascii="Calibri" w:eastAsia="Calibri" w:hAnsi="Calibri" w:cs="Calibri"/>
          <w:color w:val="000000" w:themeColor="text1"/>
          <w:lang w:val="en-US"/>
        </w:rPr>
        <w:t>Secukinumab demonstrate</w:t>
      </w:r>
      <w:r w:rsidR="00C97B03">
        <w:rPr>
          <w:rFonts w:ascii="Calibri" w:eastAsia="Calibri" w:hAnsi="Calibri" w:cs="Calibri"/>
          <w:color w:val="000000" w:themeColor="text1"/>
          <w:lang w:val="en-US"/>
        </w:rPr>
        <w:t>d</w:t>
      </w:r>
      <w:r w:rsidRPr="159B995A">
        <w:rPr>
          <w:rFonts w:ascii="Calibri" w:eastAsia="Calibri" w:hAnsi="Calibri" w:cs="Calibri"/>
          <w:color w:val="000000" w:themeColor="text1"/>
          <w:lang w:val="en-US"/>
        </w:rPr>
        <w:t xml:space="preserve"> significantly higher response compared to etanercept for IGA 0/1 at</w:t>
      </w:r>
      <w:r w:rsidR="0052258F">
        <w:rPr>
          <w:rFonts w:ascii="Calibri" w:eastAsia="Calibri" w:hAnsi="Calibri" w:cs="Calibri"/>
          <w:color w:val="000000" w:themeColor="text1"/>
          <w:lang w:val="en-US"/>
        </w:rPr>
        <w:t xml:space="preserve"> Week</w:t>
      </w:r>
      <w:r w:rsidRPr="159B995A">
        <w:rPr>
          <w:rFonts w:ascii="Calibri" w:eastAsia="Calibri" w:hAnsi="Calibri" w:cs="Calibri"/>
          <w:color w:val="000000" w:themeColor="text1"/>
          <w:lang w:val="en-US"/>
        </w:rPr>
        <w:t xml:space="preserve"> 12 and for PASI 75 at</w:t>
      </w:r>
      <w:r w:rsidR="0052258F">
        <w:rPr>
          <w:rFonts w:ascii="Calibri" w:eastAsia="Calibri" w:hAnsi="Calibri" w:cs="Calibri"/>
          <w:color w:val="000000" w:themeColor="text1"/>
          <w:lang w:val="en-US"/>
        </w:rPr>
        <w:t xml:space="preserve"> Week</w:t>
      </w:r>
      <w:r w:rsidRPr="159B995A">
        <w:rPr>
          <w:rFonts w:ascii="Calibri" w:eastAsia="Calibri" w:hAnsi="Calibri" w:cs="Calibri"/>
          <w:color w:val="000000" w:themeColor="text1"/>
          <w:lang w:val="en-US"/>
        </w:rPr>
        <w:t xml:space="preserve"> 52. However, there was no significant difference for PASI 75 at</w:t>
      </w:r>
      <w:r w:rsidR="0052258F">
        <w:rPr>
          <w:rFonts w:ascii="Calibri" w:eastAsia="Calibri" w:hAnsi="Calibri" w:cs="Calibri"/>
          <w:color w:val="000000" w:themeColor="text1"/>
          <w:lang w:val="en-US"/>
        </w:rPr>
        <w:t xml:space="preserve"> Week</w:t>
      </w:r>
      <w:r w:rsidRPr="159B995A">
        <w:rPr>
          <w:rFonts w:ascii="Calibri" w:eastAsia="Calibri" w:hAnsi="Calibri" w:cs="Calibri"/>
          <w:color w:val="000000" w:themeColor="text1"/>
          <w:lang w:val="en-US"/>
        </w:rPr>
        <w:t xml:space="preserve"> 12 or IGA 0/1 at</w:t>
      </w:r>
      <w:r w:rsidR="0052258F">
        <w:rPr>
          <w:rFonts w:ascii="Calibri" w:eastAsia="Calibri" w:hAnsi="Calibri" w:cs="Calibri"/>
          <w:color w:val="000000" w:themeColor="text1"/>
          <w:lang w:val="en-US"/>
        </w:rPr>
        <w:t xml:space="preserve"> Week</w:t>
      </w:r>
      <w:r w:rsidRPr="159B995A">
        <w:rPr>
          <w:rFonts w:ascii="Calibri" w:eastAsia="Calibri" w:hAnsi="Calibri" w:cs="Calibri"/>
          <w:color w:val="000000" w:themeColor="text1"/>
          <w:lang w:val="en-US"/>
        </w:rPr>
        <w:t xml:space="preserve"> 52.</w:t>
      </w:r>
    </w:p>
    <w:p w:rsidR="00A92795" w:rsidRPr="00A92795" w:rsidRDefault="00A92795" w:rsidP="005E2068">
      <w:pPr>
        <w:pStyle w:val="5-SubsectionSubheading"/>
        <w:rPr>
          <w:rFonts w:eastAsiaTheme="minorEastAsia" w:cstheme="minorBidi"/>
          <w:color w:val="0066FF"/>
          <w:lang w:val="en-US"/>
        </w:rPr>
      </w:pPr>
      <w:r w:rsidRPr="00A92795">
        <w:rPr>
          <w:lang w:val="en-US"/>
        </w:rPr>
        <w:t xml:space="preserve">Indirect comparison between secukinumab and ustekinumab </w:t>
      </w:r>
    </w:p>
    <w:p w:rsidR="00BB36A1" w:rsidRDefault="00BB36A1" w:rsidP="00BB36A1">
      <w:pPr>
        <w:pStyle w:val="3-BodyText"/>
        <w:rPr>
          <w:rFonts w:eastAsiaTheme="minorEastAsia" w:cstheme="minorBidi"/>
          <w:color w:val="000000" w:themeColor="text1"/>
          <w:lang w:val="en-US"/>
        </w:rPr>
      </w:pPr>
      <w:r w:rsidRPr="159B995A">
        <w:rPr>
          <w:rFonts w:ascii="Calibri" w:hAnsi="Calibri"/>
          <w:lang w:val="en-US"/>
        </w:rPr>
        <w:t>In the absence of</w:t>
      </w:r>
      <w:r w:rsidR="000434EA">
        <w:rPr>
          <w:rFonts w:ascii="Calibri" w:hAnsi="Calibri"/>
          <w:lang w:val="en-US"/>
        </w:rPr>
        <w:t xml:space="preserve"> a</w:t>
      </w:r>
      <w:r w:rsidRPr="159B995A">
        <w:rPr>
          <w:rFonts w:ascii="Calibri" w:hAnsi="Calibri"/>
          <w:lang w:val="en-US"/>
        </w:rPr>
        <w:t xml:space="preserve"> direct head-to-head trial, an indirect comparison was conducted using the Bucher method </w:t>
      </w:r>
      <w:r w:rsidRPr="159B995A">
        <w:rPr>
          <w:lang w:val="en-US"/>
        </w:rPr>
        <w:t xml:space="preserve">(Mantel-Haenszel, fixed effect model) to </w:t>
      </w:r>
      <w:r w:rsidRPr="3F32FADA">
        <w:rPr>
          <w:lang w:val="en-US"/>
        </w:rPr>
        <w:t>compare</w:t>
      </w:r>
      <w:r w:rsidRPr="159B995A">
        <w:rPr>
          <w:lang w:val="en-US"/>
        </w:rPr>
        <w:t xml:space="preserve"> secukinumab to ustekinumab at </w:t>
      </w:r>
      <w:r w:rsidR="0052258F">
        <w:rPr>
          <w:lang w:val="en-US"/>
        </w:rPr>
        <w:t>W</w:t>
      </w:r>
      <w:r w:rsidRPr="159B995A">
        <w:rPr>
          <w:lang w:val="en-US"/>
        </w:rPr>
        <w:t>eek 12</w:t>
      </w:r>
      <w:r w:rsidR="00F02495">
        <w:rPr>
          <w:lang w:val="en-US"/>
        </w:rPr>
        <w:t>, using placebo as the common reference</w:t>
      </w:r>
      <w:r w:rsidRPr="159B995A">
        <w:rPr>
          <w:lang w:val="en-US"/>
        </w:rPr>
        <w:t xml:space="preserve">. </w:t>
      </w:r>
      <w:r w:rsidRPr="00E663C3">
        <w:rPr>
          <w:rFonts w:ascii="Calibri" w:eastAsia="Calibri" w:hAnsi="Calibri" w:cs="Calibri"/>
          <w:iCs/>
          <w:color w:val="000000" w:themeColor="text1"/>
        </w:rPr>
        <w:t>The PBAC previously considered that Week 12 results for all treatments (ustekinumab, etanercept and placebo</w:t>
      </w:r>
      <w:r w:rsidR="00B535C8" w:rsidRPr="00E663C3">
        <w:rPr>
          <w:rFonts w:ascii="Calibri" w:eastAsia="Calibri" w:hAnsi="Calibri" w:cs="Calibri"/>
          <w:iCs/>
          <w:color w:val="000000" w:themeColor="text1"/>
        </w:rPr>
        <w:t>) should have been used in the i</w:t>
      </w:r>
      <w:r w:rsidRPr="00E663C3">
        <w:rPr>
          <w:rFonts w:ascii="Calibri" w:eastAsia="Calibri" w:hAnsi="Calibri" w:cs="Calibri"/>
          <w:iCs/>
          <w:color w:val="000000" w:themeColor="text1"/>
        </w:rPr>
        <w:t>ndirect comparison in the ustekinumab submission as this was reflective of the double-blind phase of the respective trials (para</w:t>
      </w:r>
      <w:r w:rsidR="00372587" w:rsidRPr="00E663C3">
        <w:rPr>
          <w:rFonts w:ascii="Calibri" w:eastAsia="Calibri" w:hAnsi="Calibri" w:cs="Calibri"/>
          <w:iCs/>
          <w:color w:val="000000" w:themeColor="text1"/>
        </w:rPr>
        <w:t>graph</w:t>
      </w:r>
      <w:r w:rsidRPr="00E663C3">
        <w:rPr>
          <w:rFonts w:ascii="Calibri" w:eastAsia="Calibri" w:hAnsi="Calibri" w:cs="Calibri"/>
          <w:iCs/>
          <w:color w:val="000000" w:themeColor="text1"/>
        </w:rPr>
        <w:t xml:space="preserve"> 6.27</w:t>
      </w:r>
      <w:r w:rsidR="00372587" w:rsidRPr="00E663C3">
        <w:rPr>
          <w:rFonts w:ascii="Calibri" w:eastAsia="Calibri" w:hAnsi="Calibri" w:cs="Calibri"/>
          <w:iCs/>
          <w:color w:val="000000" w:themeColor="text1"/>
        </w:rPr>
        <w:t>,</w:t>
      </w:r>
      <w:r w:rsidRPr="00E663C3">
        <w:rPr>
          <w:rFonts w:ascii="Calibri" w:eastAsia="Calibri" w:hAnsi="Calibri" w:cs="Calibri"/>
          <w:iCs/>
          <w:color w:val="000000" w:themeColor="text1"/>
        </w:rPr>
        <w:t xml:space="preserve"> ustekinumab PSD</w:t>
      </w:r>
      <w:r w:rsidR="00372587" w:rsidRPr="00E663C3">
        <w:rPr>
          <w:rFonts w:ascii="Calibri" w:eastAsia="Calibri" w:hAnsi="Calibri" w:cs="Calibri"/>
          <w:iCs/>
          <w:color w:val="000000" w:themeColor="text1"/>
        </w:rPr>
        <w:t>, March 2021</w:t>
      </w:r>
      <w:r w:rsidRPr="00E663C3">
        <w:rPr>
          <w:rFonts w:ascii="Calibri" w:eastAsia="Calibri" w:hAnsi="Calibri" w:cs="Calibri"/>
          <w:iCs/>
          <w:color w:val="000000" w:themeColor="text1"/>
        </w:rPr>
        <w:t>).</w:t>
      </w:r>
    </w:p>
    <w:p w:rsidR="00BB36A1" w:rsidRDefault="2A01AA8D" w:rsidP="6A8F74B3">
      <w:pPr>
        <w:pStyle w:val="3-BodyText"/>
        <w:rPr>
          <w:rFonts w:eastAsiaTheme="minorEastAsia" w:cstheme="minorBidi"/>
          <w:color w:val="000000" w:themeColor="text1"/>
          <w:lang w:val="en-US"/>
        </w:rPr>
      </w:pPr>
      <w:r w:rsidRPr="6A8F74B3">
        <w:rPr>
          <w:rFonts w:ascii="Calibri" w:hAnsi="Calibri"/>
          <w:lang w:val="en-US"/>
        </w:rPr>
        <w:t xml:space="preserve">Table </w:t>
      </w:r>
      <w:r w:rsidR="002564B8">
        <w:rPr>
          <w:rFonts w:ascii="Calibri" w:hAnsi="Calibri"/>
          <w:lang w:val="en-US"/>
        </w:rPr>
        <w:t>5</w:t>
      </w:r>
      <w:r w:rsidRPr="6A8F74B3">
        <w:rPr>
          <w:rFonts w:ascii="Calibri" w:hAnsi="Calibri"/>
          <w:lang w:val="en-US"/>
        </w:rPr>
        <w:t xml:space="preserve"> presents the results of the indirect comparison for the PASI 75 response at </w:t>
      </w:r>
      <w:r w:rsidR="68B51D64" w:rsidRPr="6A8F74B3">
        <w:rPr>
          <w:rFonts w:ascii="Calibri" w:hAnsi="Calibri"/>
          <w:lang w:val="en-US"/>
        </w:rPr>
        <w:t>Week 12</w:t>
      </w:r>
      <w:r w:rsidRPr="6A8F74B3">
        <w:rPr>
          <w:rFonts w:ascii="Calibri" w:hAnsi="Calibri"/>
          <w:lang w:val="en-US"/>
        </w:rPr>
        <w:t>, on which</w:t>
      </w:r>
      <w:r w:rsidRPr="6A8F74B3">
        <w:rPr>
          <w:lang w:val="en-US"/>
        </w:rPr>
        <w:t xml:space="preserve"> the claim of non-inferiority effectiveness of secukinumab compared to ustekinumab is based.</w:t>
      </w:r>
      <w:r w:rsidR="2042DB28" w:rsidRPr="6A8F74B3">
        <w:rPr>
          <w:lang w:val="en-US"/>
        </w:rPr>
        <w:t xml:space="preserve"> </w:t>
      </w:r>
    </w:p>
    <w:p w:rsidR="00BB36A1" w:rsidRDefault="00BB36A1" w:rsidP="00800E8A">
      <w:pPr>
        <w:keepNext/>
        <w:keepLines/>
        <w:rPr>
          <w:rFonts w:ascii="Arial Narrow" w:eastAsia="Arial Narrow" w:hAnsi="Arial Narrow" w:cs="Arial Narrow"/>
          <w:b/>
          <w:bCs/>
          <w:color w:val="000000" w:themeColor="text1"/>
          <w:sz w:val="20"/>
          <w:szCs w:val="20"/>
          <w:lang w:val="en-US"/>
        </w:rPr>
      </w:pPr>
      <w:r w:rsidRPr="029D5890">
        <w:rPr>
          <w:rStyle w:val="CommentReference"/>
          <w:rFonts w:eastAsia="Arial Narrow" w:cs="Arial Narrow"/>
          <w:color w:val="000000" w:themeColor="text1"/>
        </w:rPr>
        <w:t xml:space="preserve">Table </w:t>
      </w:r>
      <w:r w:rsidR="002564B8">
        <w:rPr>
          <w:rStyle w:val="CommentReference"/>
          <w:rFonts w:eastAsia="Arial Narrow" w:cs="Arial Narrow"/>
          <w:color w:val="000000" w:themeColor="text1"/>
        </w:rPr>
        <w:t>5</w:t>
      </w:r>
      <w:r w:rsidRPr="029D5890">
        <w:rPr>
          <w:rStyle w:val="CommentReference"/>
          <w:rFonts w:eastAsia="Arial Narrow" w:cs="Arial Narrow"/>
          <w:color w:val="000000" w:themeColor="text1"/>
        </w:rPr>
        <w:t>: Summary of results of the indirect comparison for PASI 75 response</w:t>
      </w:r>
    </w:p>
    <w:tbl>
      <w:tblPr>
        <w:tblStyle w:val="TableGrid"/>
        <w:tblW w:w="5000" w:type="pct"/>
        <w:tblLook w:val="04A0" w:firstRow="1" w:lastRow="0" w:firstColumn="1" w:lastColumn="0" w:noHBand="0" w:noVBand="1"/>
        <w:tblCaption w:val="Table 5: Summary of results of the indirect comparison for PASI 75 response"/>
      </w:tblPr>
      <w:tblGrid>
        <w:gridCol w:w="2410"/>
        <w:gridCol w:w="1556"/>
        <w:gridCol w:w="1417"/>
        <w:gridCol w:w="1818"/>
        <w:gridCol w:w="1816"/>
      </w:tblGrid>
      <w:tr w:rsidR="00BB36A1" w:rsidTr="00551EB3">
        <w:trPr>
          <w:trHeight w:val="300"/>
          <w:tblHeader/>
        </w:trPr>
        <w:tc>
          <w:tcPr>
            <w:tcW w:w="1336" w:type="pct"/>
            <w:vMerge w:val="restart"/>
            <w:vAlign w:val="center"/>
          </w:tcPr>
          <w:p w:rsidR="00BB36A1" w:rsidRDefault="00BB36A1" w:rsidP="00722F7F">
            <w:pPr>
              <w:keepNext/>
              <w:keepLines/>
              <w:jc w:val="center"/>
              <w:rPr>
                <w:rFonts w:ascii="Arial Narrow" w:eastAsia="Arial Narrow" w:hAnsi="Arial Narrow" w:cs="Arial Narrow"/>
                <w:color w:val="000000" w:themeColor="text1"/>
                <w:sz w:val="20"/>
                <w:szCs w:val="20"/>
              </w:rPr>
            </w:pPr>
            <w:r w:rsidRPr="454BE1F2">
              <w:rPr>
                <w:rFonts w:ascii="Arial Narrow" w:eastAsia="Arial Narrow" w:hAnsi="Arial Narrow" w:cs="Arial Narrow"/>
                <w:b/>
                <w:bCs/>
                <w:color w:val="000000" w:themeColor="text1"/>
                <w:sz w:val="20"/>
                <w:szCs w:val="20"/>
              </w:rPr>
              <w:t>Trial type or estimate</w:t>
            </w:r>
          </w:p>
        </w:tc>
        <w:tc>
          <w:tcPr>
            <w:tcW w:w="863" w:type="pct"/>
            <w:vAlign w:val="center"/>
          </w:tcPr>
          <w:p w:rsidR="00276EFD" w:rsidRDefault="00276EFD" w:rsidP="00722F7F">
            <w:pPr>
              <w:keepNext/>
              <w:keepLines/>
              <w:jc w:val="center"/>
              <w:rPr>
                <w:rFonts w:ascii="Arial Narrow" w:eastAsia="Arial Narrow" w:hAnsi="Arial Narrow" w:cs="Arial Narrow"/>
                <w:color w:val="000000" w:themeColor="text1"/>
                <w:sz w:val="20"/>
                <w:szCs w:val="20"/>
              </w:rPr>
            </w:pPr>
            <w:r>
              <w:rPr>
                <w:rFonts w:ascii="Arial Narrow" w:eastAsia="Arial Narrow" w:hAnsi="Arial Narrow" w:cs="Arial Narrow"/>
                <w:b/>
                <w:bCs/>
                <w:color w:val="000000" w:themeColor="text1"/>
                <w:sz w:val="20"/>
                <w:szCs w:val="20"/>
              </w:rPr>
              <w:t>Intervention</w:t>
            </w:r>
          </w:p>
        </w:tc>
        <w:tc>
          <w:tcPr>
            <w:tcW w:w="786" w:type="pct"/>
            <w:vAlign w:val="center"/>
          </w:tcPr>
          <w:p w:rsidR="00BB36A1" w:rsidRDefault="00AF0F9D" w:rsidP="00722F7F">
            <w:pPr>
              <w:keepNext/>
              <w:keepLines/>
              <w:jc w:val="center"/>
              <w:rPr>
                <w:rFonts w:ascii="Arial Narrow" w:eastAsia="Arial Narrow" w:hAnsi="Arial Narrow" w:cs="Arial Narrow"/>
                <w:color w:val="000000" w:themeColor="text1"/>
                <w:sz w:val="20"/>
                <w:szCs w:val="20"/>
              </w:rPr>
            </w:pPr>
            <w:r>
              <w:rPr>
                <w:rFonts w:ascii="Arial Narrow" w:eastAsia="Arial Narrow" w:hAnsi="Arial Narrow" w:cs="Arial Narrow"/>
                <w:b/>
                <w:bCs/>
                <w:color w:val="000000" w:themeColor="text1"/>
                <w:sz w:val="20"/>
                <w:szCs w:val="20"/>
              </w:rPr>
              <w:t>P</w:t>
            </w:r>
            <w:r w:rsidR="00BB36A1" w:rsidRPr="454BE1F2">
              <w:rPr>
                <w:rFonts w:ascii="Arial Narrow" w:eastAsia="Arial Narrow" w:hAnsi="Arial Narrow" w:cs="Arial Narrow"/>
                <w:b/>
                <w:bCs/>
                <w:color w:val="000000" w:themeColor="text1"/>
                <w:sz w:val="20"/>
                <w:szCs w:val="20"/>
              </w:rPr>
              <w:t>lacebo</w:t>
            </w:r>
          </w:p>
        </w:tc>
        <w:tc>
          <w:tcPr>
            <w:tcW w:w="1008" w:type="pct"/>
            <w:vAlign w:val="center"/>
          </w:tcPr>
          <w:p w:rsidR="00BB36A1" w:rsidRDefault="00BB36A1" w:rsidP="00722F7F">
            <w:pPr>
              <w:keepNext/>
              <w:keepLines/>
              <w:jc w:val="center"/>
              <w:rPr>
                <w:rFonts w:ascii="Arial Narrow" w:eastAsia="Arial Narrow" w:hAnsi="Arial Narrow" w:cs="Arial Narrow"/>
                <w:color w:val="000000" w:themeColor="text1"/>
                <w:sz w:val="20"/>
                <w:szCs w:val="20"/>
              </w:rPr>
            </w:pPr>
            <w:r w:rsidRPr="454BE1F2">
              <w:rPr>
                <w:rFonts w:ascii="Arial Narrow" w:eastAsia="Arial Narrow" w:hAnsi="Arial Narrow" w:cs="Arial Narrow"/>
                <w:b/>
                <w:bCs/>
                <w:color w:val="000000" w:themeColor="text1"/>
                <w:sz w:val="20"/>
                <w:szCs w:val="20"/>
              </w:rPr>
              <w:t>OR</w:t>
            </w:r>
          </w:p>
        </w:tc>
        <w:tc>
          <w:tcPr>
            <w:tcW w:w="1007" w:type="pct"/>
            <w:vAlign w:val="center"/>
          </w:tcPr>
          <w:p w:rsidR="00BB36A1" w:rsidRDefault="00BB36A1" w:rsidP="00722F7F">
            <w:pPr>
              <w:keepNext/>
              <w:keepLines/>
              <w:jc w:val="center"/>
              <w:rPr>
                <w:rFonts w:ascii="Arial Narrow" w:eastAsia="Arial Narrow" w:hAnsi="Arial Narrow" w:cs="Arial Narrow"/>
                <w:color w:val="000000" w:themeColor="text1"/>
                <w:sz w:val="20"/>
                <w:szCs w:val="20"/>
              </w:rPr>
            </w:pPr>
            <w:r w:rsidRPr="454BE1F2">
              <w:rPr>
                <w:rFonts w:ascii="Arial Narrow" w:eastAsia="Arial Narrow" w:hAnsi="Arial Narrow" w:cs="Arial Narrow"/>
                <w:b/>
                <w:bCs/>
                <w:color w:val="000000" w:themeColor="text1"/>
                <w:sz w:val="20"/>
                <w:szCs w:val="20"/>
              </w:rPr>
              <w:t>RD</w:t>
            </w:r>
          </w:p>
        </w:tc>
      </w:tr>
      <w:tr w:rsidR="00BB36A1" w:rsidTr="00551EB3">
        <w:trPr>
          <w:trHeight w:val="300"/>
          <w:tblHeader/>
        </w:trPr>
        <w:tc>
          <w:tcPr>
            <w:tcW w:w="1336" w:type="pct"/>
            <w:vMerge/>
            <w:vAlign w:val="center"/>
          </w:tcPr>
          <w:p w:rsidR="00BB36A1" w:rsidRDefault="00BB36A1" w:rsidP="00722F7F">
            <w:pPr>
              <w:keepNext/>
              <w:keepLines/>
            </w:pPr>
          </w:p>
        </w:tc>
        <w:tc>
          <w:tcPr>
            <w:tcW w:w="863" w:type="pct"/>
            <w:vAlign w:val="center"/>
          </w:tcPr>
          <w:p w:rsidR="00BB36A1" w:rsidRDefault="3CAE4298" w:rsidP="00722F7F">
            <w:pPr>
              <w:keepNext/>
              <w:keepLines/>
              <w:jc w:val="center"/>
              <w:rPr>
                <w:rFonts w:ascii="Arial Narrow" w:eastAsia="Arial Narrow" w:hAnsi="Arial Narrow" w:cs="Arial Narrow"/>
                <w:color w:val="000000" w:themeColor="text1"/>
                <w:sz w:val="20"/>
                <w:szCs w:val="20"/>
              </w:rPr>
            </w:pPr>
            <w:r w:rsidRPr="1CB8166F">
              <w:rPr>
                <w:rFonts w:ascii="Arial Narrow" w:eastAsia="Arial Narrow" w:hAnsi="Arial Narrow" w:cs="Arial Narrow"/>
                <w:b/>
                <w:bCs/>
                <w:color w:val="000000" w:themeColor="text1"/>
                <w:sz w:val="20"/>
                <w:szCs w:val="20"/>
              </w:rPr>
              <w:t>n/N</w:t>
            </w:r>
            <w:r w:rsidR="0D3B914D" w:rsidRPr="1CB8166F">
              <w:rPr>
                <w:rFonts w:ascii="Arial Narrow" w:eastAsia="Arial Narrow" w:hAnsi="Arial Narrow" w:cs="Arial Narrow"/>
                <w:b/>
                <w:bCs/>
                <w:color w:val="000000" w:themeColor="text1"/>
                <w:sz w:val="20"/>
                <w:szCs w:val="20"/>
              </w:rPr>
              <w:t xml:space="preserve"> </w:t>
            </w:r>
            <w:r w:rsidRPr="1CB8166F">
              <w:rPr>
                <w:rFonts w:ascii="Arial Narrow" w:eastAsia="Arial Narrow" w:hAnsi="Arial Narrow" w:cs="Arial Narrow"/>
                <w:b/>
                <w:bCs/>
                <w:color w:val="000000" w:themeColor="text1"/>
                <w:sz w:val="20"/>
                <w:szCs w:val="20"/>
              </w:rPr>
              <w:t>(%)</w:t>
            </w:r>
          </w:p>
        </w:tc>
        <w:tc>
          <w:tcPr>
            <w:tcW w:w="786" w:type="pct"/>
            <w:vAlign w:val="center"/>
          </w:tcPr>
          <w:p w:rsidR="00BB36A1" w:rsidRDefault="3CAE4298" w:rsidP="00722F7F">
            <w:pPr>
              <w:keepNext/>
              <w:keepLines/>
              <w:jc w:val="center"/>
              <w:rPr>
                <w:rFonts w:ascii="Arial Narrow" w:eastAsia="Arial Narrow" w:hAnsi="Arial Narrow" w:cs="Arial Narrow"/>
                <w:color w:val="000000" w:themeColor="text1"/>
                <w:sz w:val="20"/>
                <w:szCs w:val="20"/>
              </w:rPr>
            </w:pPr>
            <w:r w:rsidRPr="1CB8166F">
              <w:rPr>
                <w:rFonts w:ascii="Arial Narrow" w:eastAsia="Arial Narrow" w:hAnsi="Arial Narrow" w:cs="Arial Narrow"/>
                <w:b/>
                <w:bCs/>
                <w:color w:val="000000" w:themeColor="text1"/>
                <w:sz w:val="20"/>
                <w:szCs w:val="20"/>
              </w:rPr>
              <w:t>n/N</w:t>
            </w:r>
            <w:r w:rsidR="0D3B914D" w:rsidRPr="1CB8166F">
              <w:rPr>
                <w:rFonts w:ascii="Arial Narrow" w:eastAsia="Arial Narrow" w:hAnsi="Arial Narrow" w:cs="Arial Narrow"/>
                <w:b/>
                <w:bCs/>
                <w:color w:val="000000" w:themeColor="text1"/>
                <w:sz w:val="20"/>
                <w:szCs w:val="20"/>
              </w:rPr>
              <w:t xml:space="preserve"> </w:t>
            </w:r>
            <w:r w:rsidRPr="1CB8166F">
              <w:rPr>
                <w:rFonts w:ascii="Arial Narrow" w:eastAsia="Arial Narrow" w:hAnsi="Arial Narrow" w:cs="Arial Narrow"/>
                <w:b/>
                <w:bCs/>
                <w:color w:val="000000" w:themeColor="text1"/>
                <w:sz w:val="20"/>
                <w:szCs w:val="20"/>
              </w:rPr>
              <w:t>(%)</w:t>
            </w:r>
          </w:p>
        </w:tc>
        <w:tc>
          <w:tcPr>
            <w:tcW w:w="1008" w:type="pct"/>
            <w:vAlign w:val="center"/>
          </w:tcPr>
          <w:p w:rsidR="00BB36A1" w:rsidRDefault="00BB36A1" w:rsidP="00722F7F">
            <w:pPr>
              <w:keepNext/>
              <w:keepLines/>
              <w:jc w:val="center"/>
              <w:rPr>
                <w:rFonts w:ascii="Arial Narrow" w:eastAsia="Arial Narrow" w:hAnsi="Arial Narrow" w:cs="Arial Narrow"/>
                <w:color w:val="000000" w:themeColor="text1"/>
                <w:sz w:val="20"/>
                <w:szCs w:val="20"/>
              </w:rPr>
            </w:pPr>
            <w:r w:rsidRPr="454BE1F2">
              <w:rPr>
                <w:rFonts w:ascii="Arial Narrow" w:eastAsia="Arial Narrow" w:hAnsi="Arial Narrow" w:cs="Arial Narrow"/>
                <w:b/>
                <w:bCs/>
                <w:color w:val="000000" w:themeColor="text1"/>
                <w:sz w:val="20"/>
                <w:szCs w:val="20"/>
              </w:rPr>
              <w:t>(95% CI)</w:t>
            </w:r>
          </w:p>
        </w:tc>
        <w:tc>
          <w:tcPr>
            <w:tcW w:w="1007" w:type="pct"/>
            <w:vAlign w:val="center"/>
          </w:tcPr>
          <w:p w:rsidR="00BB36A1" w:rsidRDefault="00BB36A1" w:rsidP="00722F7F">
            <w:pPr>
              <w:keepNext/>
              <w:keepLines/>
              <w:jc w:val="center"/>
              <w:rPr>
                <w:rFonts w:ascii="Arial Narrow" w:eastAsia="Arial Narrow" w:hAnsi="Arial Narrow" w:cs="Arial Narrow"/>
                <w:color w:val="000000" w:themeColor="text1"/>
                <w:sz w:val="20"/>
                <w:szCs w:val="20"/>
              </w:rPr>
            </w:pPr>
            <w:r w:rsidRPr="454BE1F2">
              <w:rPr>
                <w:rFonts w:ascii="Arial Narrow" w:eastAsia="Arial Narrow" w:hAnsi="Arial Narrow" w:cs="Arial Narrow"/>
                <w:b/>
                <w:bCs/>
                <w:color w:val="000000" w:themeColor="text1"/>
                <w:sz w:val="20"/>
                <w:szCs w:val="20"/>
              </w:rPr>
              <w:t>(95% CI)</w:t>
            </w:r>
          </w:p>
        </w:tc>
      </w:tr>
      <w:tr w:rsidR="00BB36A1" w:rsidTr="00CC4592">
        <w:trPr>
          <w:trHeight w:val="300"/>
        </w:trPr>
        <w:tc>
          <w:tcPr>
            <w:tcW w:w="5000" w:type="pct"/>
            <w:gridSpan w:val="5"/>
            <w:vAlign w:val="center"/>
          </w:tcPr>
          <w:p w:rsidR="00BB36A1" w:rsidRPr="00722F7F" w:rsidRDefault="3CAE4298" w:rsidP="1CB8166F">
            <w:pPr>
              <w:keepNext/>
              <w:keepLines/>
              <w:rPr>
                <w:rFonts w:ascii="Arial Narrow" w:eastAsia="Arial Narrow" w:hAnsi="Arial Narrow" w:cs="Arial Narrow"/>
                <w:b/>
                <w:bCs/>
                <w:sz w:val="20"/>
                <w:szCs w:val="20"/>
              </w:rPr>
            </w:pPr>
            <w:r w:rsidRPr="1CB8166F">
              <w:rPr>
                <w:rFonts w:ascii="Arial Narrow" w:eastAsia="Arial Narrow" w:hAnsi="Arial Narrow" w:cs="Arial Narrow"/>
                <w:b/>
                <w:bCs/>
                <w:sz w:val="20"/>
                <w:szCs w:val="20"/>
              </w:rPr>
              <w:t>Secukinumab versus placebo (W</w:t>
            </w:r>
            <w:r w:rsidR="008360E2">
              <w:rPr>
                <w:rFonts w:ascii="Arial Narrow" w:eastAsia="Arial Narrow" w:hAnsi="Arial Narrow" w:cs="Arial Narrow"/>
                <w:b/>
                <w:bCs/>
                <w:sz w:val="20"/>
                <w:szCs w:val="20"/>
              </w:rPr>
              <w:t>ee</w:t>
            </w:r>
            <w:r w:rsidRPr="1CB8166F">
              <w:rPr>
                <w:rFonts w:ascii="Arial Narrow" w:eastAsia="Arial Narrow" w:hAnsi="Arial Narrow" w:cs="Arial Narrow"/>
                <w:b/>
                <w:bCs/>
                <w:sz w:val="20"/>
                <w:szCs w:val="20"/>
              </w:rPr>
              <w:t>k</w:t>
            </w:r>
            <w:r w:rsidR="0D3B914D" w:rsidRPr="1CB8166F">
              <w:rPr>
                <w:rFonts w:ascii="Arial Narrow" w:eastAsia="Arial Narrow" w:hAnsi="Arial Narrow" w:cs="Arial Narrow"/>
                <w:b/>
                <w:bCs/>
                <w:sz w:val="20"/>
                <w:szCs w:val="20"/>
              </w:rPr>
              <w:t xml:space="preserve"> </w:t>
            </w:r>
            <w:r w:rsidRPr="1CB8166F">
              <w:rPr>
                <w:rFonts w:ascii="Arial Narrow" w:eastAsia="Arial Narrow" w:hAnsi="Arial Narrow" w:cs="Arial Narrow"/>
                <w:b/>
                <w:bCs/>
                <w:sz w:val="20"/>
                <w:szCs w:val="20"/>
              </w:rPr>
              <w:t>12)</w:t>
            </w:r>
          </w:p>
        </w:tc>
      </w:tr>
      <w:tr w:rsidR="00BB36A1" w:rsidTr="00BC1A97">
        <w:trPr>
          <w:trHeight w:val="300"/>
        </w:trPr>
        <w:tc>
          <w:tcPr>
            <w:tcW w:w="1336" w:type="pct"/>
            <w:vAlign w:val="center"/>
          </w:tcPr>
          <w:p w:rsidR="00BB36A1" w:rsidRDefault="00276EFD" w:rsidP="00722F7F">
            <w:pPr>
              <w:keepNext/>
              <w:keepLines/>
              <w:rPr>
                <w:rFonts w:ascii="Arial Narrow" w:eastAsia="Arial Narrow" w:hAnsi="Arial Narrow" w:cs="Arial Narrow"/>
                <w:sz w:val="20"/>
                <w:szCs w:val="20"/>
              </w:rPr>
            </w:pPr>
            <w:r>
              <w:rPr>
                <w:rFonts w:ascii="Arial Narrow" w:eastAsia="Arial Narrow" w:hAnsi="Arial Narrow" w:cs="Arial Narrow"/>
                <w:sz w:val="20"/>
                <w:szCs w:val="20"/>
              </w:rPr>
              <w:t xml:space="preserve">Study </w:t>
            </w:r>
            <w:r w:rsidR="3CAE4298" w:rsidRPr="1CB8166F">
              <w:rPr>
                <w:rFonts w:ascii="Arial Narrow" w:eastAsia="Arial Narrow" w:hAnsi="Arial Narrow" w:cs="Arial Narrow"/>
                <w:sz w:val="20"/>
                <w:szCs w:val="20"/>
              </w:rPr>
              <w:t>2310 (</w:t>
            </w:r>
            <w:r w:rsidR="6F779049" w:rsidRPr="1CB8166F">
              <w:rPr>
                <w:rFonts w:ascii="Arial Narrow" w:eastAsia="Arial Narrow" w:hAnsi="Arial Narrow" w:cs="Arial Narrow"/>
                <w:sz w:val="20"/>
                <w:szCs w:val="20"/>
              </w:rPr>
              <w:t>LD</w:t>
            </w:r>
            <w:r w:rsidR="3CAE4298" w:rsidRPr="1CB8166F">
              <w:rPr>
                <w:rFonts w:ascii="Arial Narrow" w:eastAsia="Arial Narrow" w:hAnsi="Arial Narrow" w:cs="Arial Narrow"/>
                <w:sz w:val="20"/>
                <w:szCs w:val="20"/>
              </w:rPr>
              <w:t>)</w:t>
            </w:r>
          </w:p>
        </w:tc>
        <w:tc>
          <w:tcPr>
            <w:tcW w:w="863" w:type="pct"/>
            <w:vAlign w:val="center"/>
          </w:tcPr>
          <w:p w:rsidR="00BB36A1" w:rsidRDefault="00BB36A1" w:rsidP="00F02495">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32/40 (80.0%)</w:t>
            </w:r>
          </w:p>
        </w:tc>
        <w:tc>
          <w:tcPr>
            <w:tcW w:w="786" w:type="pct"/>
            <w:vAlign w:val="center"/>
          </w:tcPr>
          <w:p w:rsidR="00BB36A1" w:rsidRDefault="00BB36A1" w:rsidP="00722F7F">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6/41 (14.6%)</w:t>
            </w:r>
          </w:p>
        </w:tc>
        <w:tc>
          <w:tcPr>
            <w:tcW w:w="1008" w:type="pct"/>
            <w:vAlign w:val="center"/>
          </w:tcPr>
          <w:p w:rsidR="00BB36A1" w:rsidRPr="00BC1A97" w:rsidRDefault="00BB36A1" w:rsidP="00722F7F">
            <w:pPr>
              <w:keepNext/>
              <w:keepLines/>
              <w:jc w:val="center"/>
              <w:rPr>
                <w:rFonts w:ascii="Arial Narrow" w:eastAsia="Arial Narrow" w:hAnsi="Arial Narrow" w:cs="Arial Narrow"/>
                <w:b/>
                <w:sz w:val="20"/>
                <w:szCs w:val="20"/>
              </w:rPr>
            </w:pPr>
            <w:r w:rsidRPr="00BC1A97">
              <w:rPr>
                <w:rFonts w:ascii="Arial Narrow" w:eastAsia="Arial Narrow" w:hAnsi="Arial Narrow" w:cs="Arial Narrow"/>
                <w:b/>
                <w:sz w:val="20"/>
                <w:szCs w:val="20"/>
              </w:rPr>
              <w:t>23.33 (7.30,</w:t>
            </w:r>
            <w:r w:rsidR="00BC1A97" w:rsidRPr="00BC1A97">
              <w:rPr>
                <w:rFonts w:ascii="Arial Narrow" w:eastAsia="Arial Narrow" w:hAnsi="Arial Narrow" w:cs="Arial Narrow"/>
                <w:b/>
                <w:sz w:val="20"/>
                <w:szCs w:val="20"/>
              </w:rPr>
              <w:t xml:space="preserve"> </w:t>
            </w:r>
            <w:r w:rsidRPr="00BC1A97">
              <w:rPr>
                <w:rFonts w:ascii="Arial Narrow" w:eastAsia="Arial Narrow" w:hAnsi="Arial Narrow" w:cs="Arial Narrow"/>
                <w:b/>
                <w:sz w:val="20"/>
                <w:szCs w:val="20"/>
              </w:rPr>
              <w:t>74.58)</w:t>
            </w:r>
          </w:p>
        </w:tc>
        <w:tc>
          <w:tcPr>
            <w:tcW w:w="1007" w:type="pct"/>
            <w:vAlign w:val="center"/>
          </w:tcPr>
          <w:p w:rsidR="00BB36A1" w:rsidRPr="00BC1A97" w:rsidRDefault="00BB36A1" w:rsidP="00722F7F">
            <w:pPr>
              <w:keepNext/>
              <w:keepLines/>
              <w:jc w:val="center"/>
              <w:rPr>
                <w:rFonts w:ascii="Arial Narrow" w:eastAsia="Arial Narrow" w:hAnsi="Arial Narrow" w:cs="Arial Narrow"/>
                <w:b/>
                <w:sz w:val="20"/>
                <w:szCs w:val="20"/>
              </w:rPr>
            </w:pPr>
            <w:r w:rsidRPr="00BC1A97">
              <w:rPr>
                <w:rFonts w:ascii="Arial Narrow" w:eastAsia="Arial Narrow" w:hAnsi="Arial Narrow" w:cs="Arial Narrow"/>
                <w:b/>
                <w:sz w:val="20"/>
                <w:szCs w:val="20"/>
              </w:rPr>
              <w:t>0.65 (0.49,</w:t>
            </w:r>
            <w:r w:rsidR="00BC1A97" w:rsidRPr="00BC1A97">
              <w:rPr>
                <w:rFonts w:ascii="Arial Narrow" w:eastAsia="Arial Narrow" w:hAnsi="Arial Narrow" w:cs="Arial Narrow"/>
                <w:b/>
                <w:sz w:val="20"/>
                <w:szCs w:val="20"/>
              </w:rPr>
              <w:t xml:space="preserve"> </w:t>
            </w:r>
            <w:r w:rsidRPr="00BC1A97">
              <w:rPr>
                <w:rFonts w:ascii="Arial Narrow" w:eastAsia="Arial Narrow" w:hAnsi="Arial Narrow" w:cs="Arial Narrow"/>
                <w:b/>
                <w:sz w:val="20"/>
                <w:szCs w:val="20"/>
              </w:rPr>
              <w:t>0.82)</w:t>
            </w:r>
          </w:p>
        </w:tc>
      </w:tr>
      <w:tr w:rsidR="00BB36A1" w:rsidTr="00BC1A97">
        <w:trPr>
          <w:trHeight w:val="300"/>
        </w:trPr>
        <w:tc>
          <w:tcPr>
            <w:tcW w:w="1336" w:type="pct"/>
            <w:vAlign w:val="center"/>
          </w:tcPr>
          <w:p w:rsidR="00BB36A1" w:rsidRDefault="00276EFD" w:rsidP="00722F7F">
            <w:pPr>
              <w:keepNext/>
              <w:keepLines/>
              <w:rPr>
                <w:rFonts w:ascii="Arial Narrow" w:eastAsia="Arial Narrow" w:hAnsi="Arial Narrow" w:cs="Arial Narrow"/>
                <w:sz w:val="20"/>
                <w:szCs w:val="20"/>
              </w:rPr>
            </w:pPr>
            <w:r>
              <w:rPr>
                <w:rFonts w:ascii="Arial Narrow" w:eastAsia="Arial Narrow" w:hAnsi="Arial Narrow" w:cs="Arial Narrow"/>
                <w:sz w:val="20"/>
                <w:szCs w:val="20"/>
              </w:rPr>
              <w:t xml:space="preserve">Study </w:t>
            </w:r>
            <w:r w:rsidR="3CAE4298" w:rsidRPr="1CB8166F">
              <w:rPr>
                <w:rFonts w:ascii="Arial Narrow" w:eastAsia="Arial Narrow" w:hAnsi="Arial Narrow" w:cs="Arial Narrow"/>
                <w:sz w:val="20"/>
                <w:szCs w:val="20"/>
              </w:rPr>
              <w:t>2310 (</w:t>
            </w:r>
            <w:r w:rsidR="798428CF" w:rsidRPr="1CB8166F">
              <w:rPr>
                <w:rFonts w:ascii="Arial Narrow" w:eastAsia="Arial Narrow" w:hAnsi="Arial Narrow" w:cs="Arial Narrow"/>
                <w:sz w:val="20"/>
                <w:szCs w:val="20"/>
              </w:rPr>
              <w:t>HD</w:t>
            </w:r>
            <w:r w:rsidR="3CAE4298" w:rsidRPr="1CB8166F">
              <w:rPr>
                <w:rFonts w:ascii="Arial Narrow" w:eastAsia="Arial Narrow" w:hAnsi="Arial Narrow" w:cs="Arial Narrow"/>
                <w:sz w:val="20"/>
                <w:szCs w:val="20"/>
              </w:rPr>
              <w:t>)</w:t>
            </w:r>
          </w:p>
        </w:tc>
        <w:tc>
          <w:tcPr>
            <w:tcW w:w="863" w:type="pct"/>
            <w:vAlign w:val="center"/>
          </w:tcPr>
          <w:p w:rsidR="00BB36A1" w:rsidRDefault="00BB36A1" w:rsidP="00722F7F">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31/40 (77.5%)</w:t>
            </w:r>
          </w:p>
        </w:tc>
        <w:tc>
          <w:tcPr>
            <w:tcW w:w="786" w:type="pct"/>
            <w:vAlign w:val="center"/>
          </w:tcPr>
          <w:p w:rsidR="00BB36A1" w:rsidRDefault="00BB36A1" w:rsidP="00722F7F">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6/41 (14.6%)</w:t>
            </w:r>
          </w:p>
        </w:tc>
        <w:tc>
          <w:tcPr>
            <w:tcW w:w="1008" w:type="pct"/>
            <w:vAlign w:val="center"/>
          </w:tcPr>
          <w:p w:rsidR="00BB36A1" w:rsidRPr="00BC1A97" w:rsidRDefault="00BB36A1" w:rsidP="00722F7F">
            <w:pPr>
              <w:keepNext/>
              <w:keepLines/>
              <w:jc w:val="center"/>
              <w:rPr>
                <w:rFonts w:ascii="Arial Narrow" w:eastAsia="Arial Narrow" w:hAnsi="Arial Narrow" w:cs="Arial Narrow"/>
                <w:b/>
                <w:sz w:val="20"/>
                <w:szCs w:val="20"/>
              </w:rPr>
            </w:pPr>
            <w:r w:rsidRPr="00BC1A97">
              <w:rPr>
                <w:rFonts w:ascii="Arial Narrow" w:eastAsia="Arial Narrow" w:hAnsi="Arial Narrow" w:cs="Arial Narrow"/>
                <w:b/>
                <w:sz w:val="20"/>
                <w:szCs w:val="20"/>
              </w:rPr>
              <w:t>20.09 (6.42,</w:t>
            </w:r>
            <w:r w:rsidR="00BC1A97" w:rsidRPr="00BC1A97">
              <w:rPr>
                <w:rFonts w:ascii="Arial Narrow" w:eastAsia="Arial Narrow" w:hAnsi="Arial Narrow" w:cs="Arial Narrow"/>
                <w:b/>
                <w:sz w:val="20"/>
                <w:szCs w:val="20"/>
              </w:rPr>
              <w:t xml:space="preserve"> </w:t>
            </w:r>
            <w:r w:rsidRPr="00BC1A97">
              <w:rPr>
                <w:rFonts w:ascii="Arial Narrow" w:eastAsia="Arial Narrow" w:hAnsi="Arial Narrow" w:cs="Arial Narrow"/>
                <w:b/>
                <w:sz w:val="20"/>
                <w:szCs w:val="20"/>
              </w:rPr>
              <w:t>62.86)</w:t>
            </w:r>
          </w:p>
        </w:tc>
        <w:tc>
          <w:tcPr>
            <w:tcW w:w="1007" w:type="pct"/>
            <w:vAlign w:val="center"/>
          </w:tcPr>
          <w:p w:rsidR="00BB36A1" w:rsidRPr="00BC1A97" w:rsidRDefault="00BB36A1" w:rsidP="00722F7F">
            <w:pPr>
              <w:keepNext/>
              <w:keepLines/>
              <w:jc w:val="center"/>
              <w:rPr>
                <w:rFonts w:ascii="Arial Narrow" w:eastAsia="Arial Narrow" w:hAnsi="Arial Narrow" w:cs="Arial Narrow"/>
                <w:b/>
                <w:sz w:val="20"/>
                <w:szCs w:val="20"/>
              </w:rPr>
            </w:pPr>
            <w:r w:rsidRPr="00BC1A97">
              <w:rPr>
                <w:rFonts w:ascii="Arial Narrow" w:eastAsia="Arial Narrow" w:hAnsi="Arial Narrow" w:cs="Arial Narrow"/>
                <w:b/>
                <w:sz w:val="20"/>
                <w:szCs w:val="20"/>
              </w:rPr>
              <w:t>0.63 (0.46,</w:t>
            </w:r>
            <w:r w:rsidR="00BC1A97" w:rsidRPr="00BC1A97">
              <w:rPr>
                <w:rFonts w:ascii="Arial Narrow" w:eastAsia="Arial Narrow" w:hAnsi="Arial Narrow" w:cs="Arial Narrow"/>
                <w:b/>
                <w:sz w:val="20"/>
                <w:szCs w:val="20"/>
              </w:rPr>
              <w:t xml:space="preserve"> </w:t>
            </w:r>
            <w:r w:rsidRPr="00BC1A97">
              <w:rPr>
                <w:rFonts w:ascii="Arial Narrow" w:eastAsia="Arial Narrow" w:hAnsi="Arial Narrow" w:cs="Arial Narrow"/>
                <w:b/>
                <w:sz w:val="20"/>
                <w:szCs w:val="20"/>
              </w:rPr>
              <w:t>0.80)</w:t>
            </w:r>
          </w:p>
        </w:tc>
      </w:tr>
      <w:tr w:rsidR="00BB36A1" w:rsidTr="00BC1A97">
        <w:trPr>
          <w:trHeight w:val="300"/>
        </w:trPr>
        <w:tc>
          <w:tcPr>
            <w:tcW w:w="1336" w:type="pct"/>
            <w:vAlign w:val="center"/>
          </w:tcPr>
          <w:p w:rsidR="00BB36A1" w:rsidRDefault="00276EFD" w:rsidP="00722F7F">
            <w:pPr>
              <w:keepNext/>
              <w:keepLines/>
              <w:rPr>
                <w:rFonts w:ascii="Arial Narrow" w:eastAsia="Arial Narrow" w:hAnsi="Arial Narrow" w:cs="Arial Narrow"/>
                <w:sz w:val="20"/>
                <w:szCs w:val="20"/>
              </w:rPr>
            </w:pPr>
            <w:r>
              <w:rPr>
                <w:rFonts w:ascii="Arial Narrow" w:eastAsia="Arial Narrow" w:hAnsi="Arial Narrow" w:cs="Arial Narrow"/>
                <w:sz w:val="20"/>
                <w:szCs w:val="20"/>
              </w:rPr>
              <w:t xml:space="preserve">Study </w:t>
            </w:r>
            <w:r w:rsidR="00BB36A1" w:rsidRPr="454BE1F2">
              <w:rPr>
                <w:rFonts w:ascii="Arial Narrow" w:eastAsia="Arial Narrow" w:hAnsi="Arial Narrow" w:cs="Arial Narrow"/>
                <w:sz w:val="20"/>
                <w:szCs w:val="20"/>
              </w:rPr>
              <w:t>2310 (combined doses)</w:t>
            </w:r>
          </w:p>
        </w:tc>
        <w:tc>
          <w:tcPr>
            <w:tcW w:w="863" w:type="pct"/>
            <w:vAlign w:val="center"/>
          </w:tcPr>
          <w:p w:rsidR="00BB36A1" w:rsidRDefault="00BB36A1" w:rsidP="00722F7F">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63/80 (78.8%)</w:t>
            </w:r>
          </w:p>
        </w:tc>
        <w:tc>
          <w:tcPr>
            <w:tcW w:w="786" w:type="pct"/>
            <w:vAlign w:val="center"/>
          </w:tcPr>
          <w:p w:rsidR="00BB36A1" w:rsidRDefault="00BB36A1" w:rsidP="00722F7F">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6/41 (14.6%)</w:t>
            </w:r>
          </w:p>
        </w:tc>
        <w:tc>
          <w:tcPr>
            <w:tcW w:w="1008" w:type="pct"/>
            <w:vAlign w:val="center"/>
          </w:tcPr>
          <w:p w:rsidR="00BB36A1" w:rsidRPr="00BC1A97" w:rsidRDefault="00BB36A1" w:rsidP="00722F7F">
            <w:pPr>
              <w:keepNext/>
              <w:keepLines/>
              <w:jc w:val="center"/>
              <w:rPr>
                <w:rFonts w:ascii="Arial Narrow" w:eastAsia="Arial Narrow" w:hAnsi="Arial Narrow" w:cs="Arial Narrow"/>
                <w:b/>
                <w:sz w:val="20"/>
                <w:szCs w:val="20"/>
              </w:rPr>
            </w:pPr>
            <w:r w:rsidRPr="00BC1A97">
              <w:rPr>
                <w:rFonts w:ascii="Arial Narrow" w:eastAsia="Arial Narrow" w:hAnsi="Arial Narrow" w:cs="Arial Narrow"/>
                <w:b/>
                <w:sz w:val="20"/>
                <w:szCs w:val="20"/>
              </w:rPr>
              <w:t>21.62 (7.81,</w:t>
            </w:r>
            <w:r w:rsidR="00BC1A97" w:rsidRPr="00BC1A97">
              <w:rPr>
                <w:rFonts w:ascii="Arial Narrow" w:eastAsia="Arial Narrow" w:hAnsi="Arial Narrow" w:cs="Arial Narrow"/>
                <w:b/>
                <w:sz w:val="20"/>
                <w:szCs w:val="20"/>
              </w:rPr>
              <w:t xml:space="preserve"> </w:t>
            </w:r>
            <w:r w:rsidRPr="00BC1A97">
              <w:rPr>
                <w:rFonts w:ascii="Arial Narrow" w:eastAsia="Arial Narrow" w:hAnsi="Arial Narrow" w:cs="Arial Narrow"/>
                <w:b/>
                <w:sz w:val="20"/>
                <w:szCs w:val="20"/>
              </w:rPr>
              <w:t>59.85)</w:t>
            </w:r>
          </w:p>
        </w:tc>
        <w:tc>
          <w:tcPr>
            <w:tcW w:w="1007" w:type="pct"/>
            <w:vAlign w:val="center"/>
          </w:tcPr>
          <w:p w:rsidR="00BB36A1" w:rsidRPr="00BC1A97" w:rsidRDefault="00BB36A1" w:rsidP="00722F7F">
            <w:pPr>
              <w:keepNext/>
              <w:keepLines/>
              <w:jc w:val="center"/>
              <w:rPr>
                <w:rFonts w:ascii="Arial Narrow" w:eastAsia="Arial Narrow" w:hAnsi="Arial Narrow" w:cs="Arial Narrow"/>
                <w:b/>
                <w:sz w:val="20"/>
                <w:szCs w:val="20"/>
              </w:rPr>
            </w:pPr>
            <w:r w:rsidRPr="00BC1A97">
              <w:rPr>
                <w:rFonts w:ascii="Arial Narrow" w:eastAsia="Arial Narrow" w:hAnsi="Arial Narrow" w:cs="Arial Narrow"/>
                <w:b/>
                <w:sz w:val="20"/>
                <w:szCs w:val="20"/>
              </w:rPr>
              <w:t>0.64 (0.50,</w:t>
            </w:r>
            <w:r w:rsidR="00BC1A97" w:rsidRPr="00BC1A97">
              <w:rPr>
                <w:rFonts w:ascii="Arial Narrow" w:eastAsia="Arial Narrow" w:hAnsi="Arial Narrow" w:cs="Arial Narrow"/>
                <w:b/>
                <w:sz w:val="20"/>
                <w:szCs w:val="20"/>
              </w:rPr>
              <w:t xml:space="preserve"> </w:t>
            </w:r>
            <w:r w:rsidRPr="00BC1A97">
              <w:rPr>
                <w:rFonts w:ascii="Arial Narrow" w:eastAsia="Arial Narrow" w:hAnsi="Arial Narrow" w:cs="Arial Narrow"/>
                <w:b/>
                <w:sz w:val="20"/>
                <w:szCs w:val="20"/>
              </w:rPr>
              <w:t>0.78)</w:t>
            </w:r>
          </w:p>
        </w:tc>
      </w:tr>
      <w:tr w:rsidR="00BB36A1" w:rsidTr="00CC4592">
        <w:trPr>
          <w:trHeight w:val="300"/>
        </w:trPr>
        <w:tc>
          <w:tcPr>
            <w:tcW w:w="5000" w:type="pct"/>
            <w:gridSpan w:val="5"/>
            <w:vAlign w:val="center"/>
          </w:tcPr>
          <w:p w:rsidR="00BB36A1" w:rsidRPr="00722F7F" w:rsidRDefault="00BB36A1" w:rsidP="00722F7F">
            <w:pPr>
              <w:keepNext/>
              <w:keepLines/>
              <w:rPr>
                <w:rFonts w:ascii="Arial Narrow" w:eastAsia="Arial Narrow" w:hAnsi="Arial Narrow" w:cs="Arial Narrow"/>
                <w:b/>
                <w:sz w:val="20"/>
                <w:szCs w:val="20"/>
              </w:rPr>
            </w:pPr>
            <w:r w:rsidRPr="00722F7F">
              <w:rPr>
                <w:rFonts w:ascii="Arial Narrow" w:eastAsia="Arial Narrow" w:hAnsi="Arial Narrow" w:cs="Arial Narrow"/>
                <w:b/>
                <w:sz w:val="20"/>
                <w:szCs w:val="20"/>
              </w:rPr>
              <w:t>Ustekinumab versus placebo (W</w:t>
            </w:r>
            <w:r w:rsidR="008360E2">
              <w:rPr>
                <w:rFonts w:ascii="Arial Narrow" w:eastAsia="Arial Narrow" w:hAnsi="Arial Narrow" w:cs="Arial Narrow"/>
                <w:b/>
                <w:sz w:val="20"/>
                <w:szCs w:val="20"/>
              </w:rPr>
              <w:t>ee</w:t>
            </w:r>
            <w:r w:rsidRPr="00722F7F">
              <w:rPr>
                <w:rFonts w:ascii="Arial Narrow" w:eastAsia="Arial Narrow" w:hAnsi="Arial Narrow" w:cs="Arial Narrow"/>
                <w:b/>
                <w:sz w:val="20"/>
                <w:szCs w:val="20"/>
              </w:rPr>
              <w:t>k 12)</w:t>
            </w:r>
          </w:p>
        </w:tc>
      </w:tr>
      <w:tr w:rsidR="00BB36A1" w:rsidTr="00BC1A97">
        <w:trPr>
          <w:trHeight w:val="300"/>
        </w:trPr>
        <w:tc>
          <w:tcPr>
            <w:tcW w:w="1336" w:type="pct"/>
            <w:vAlign w:val="center"/>
          </w:tcPr>
          <w:p w:rsidR="00BB36A1" w:rsidRDefault="00BB36A1" w:rsidP="00722F7F">
            <w:pPr>
              <w:keepNext/>
              <w:keepLines/>
              <w:rPr>
                <w:rFonts w:ascii="Arial Narrow" w:eastAsia="Arial Narrow" w:hAnsi="Arial Narrow" w:cs="Arial Narrow"/>
                <w:sz w:val="20"/>
                <w:szCs w:val="20"/>
              </w:rPr>
            </w:pPr>
            <w:r w:rsidRPr="454BE1F2">
              <w:rPr>
                <w:rFonts w:ascii="Arial Narrow" w:eastAsia="Arial Narrow" w:hAnsi="Arial Narrow" w:cs="Arial Narrow"/>
                <w:sz w:val="20"/>
                <w:szCs w:val="20"/>
              </w:rPr>
              <w:t xml:space="preserve">CADMUS </w:t>
            </w:r>
          </w:p>
        </w:tc>
        <w:tc>
          <w:tcPr>
            <w:tcW w:w="863" w:type="pct"/>
            <w:vAlign w:val="center"/>
          </w:tcPr>
          <w:p w:rsidR="00BB36A1" w:rsidRDefault="00BB36A1" w:rsidP="00722F7F">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29/36 (80.6%)</w:t>
            </w:r>
          </w:p>
        </w:tc>
        <w:tc>
          <w:tcPr>
            <w:tcW w:w="786" w:type="pct"/>
            <w:vAlign w:val="center"/>
          </w:tcPr>
          <w:p w:rsidR="00BB36A1" w:rsidRDefault="00BB36A1" w:rsidP="00722F7F">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4/37 (10.8%)</w:t>
            </w:r>
          </w:p>
        </w:tc>
        <w:tc>
          <w:tcPr>
            <w:tcW w:w="1008" w:type="pct"/>
            <w:vAlign w:val="center"/>
          </w:tcPr>
          <w:p w:rsidR="00BB36A1" w:rsidRPr="00BC1A97" w:rsidRDefault="00BB36A1" w:rsidP="00722F7F">
            <w:pPr>
              <w:keepNext/>
              <w:keepLines/>
              <w:jc w:val="center"/>
              <w:rPr>
                <w:rFonts w:ascii="Arial Narrow" w:eastAsia="Arial Narrow" w:hAnsi="Arial Narrow" w:cs="Arial Narrow"/>
                <w:b/>
                <w:sz w:val="20"/>
                <w:szCs w:val="20"/>
              </w:rPr>
            </w:pPr>
            <w:r w:rsidRPr="00BC1A97">
              <w:rPr>
                <w:rFonts w:ascii="Arial Narrow" w:eastAsia="Arial Narrow" w:hAnsi="Arial Narrow" w:cs="Arial Narrow"/>
                <w:b/>
                <w:sz w:val="20"/>
                <w:szCs w:val="20"/>
              </w:rPr>
              <w:t>34.18 (9.08,</w:t>
            </w:r>
            <w:r w:rsidR="00BC1A97" w:rsidRPr="00BC1A97">
              <w:rPr>
                <w:rFonts w:ascii="Arial Narrow" w:eastAsia="Arial Narrow" w:hAnsi="Arial Narrow" w:cs="Arial Narrow"/>
                <w:b/>
                <w:sz w:val="20"/>
                <w:szCs w:val="20"/>
              </w:rPr>
              <w:t xml:space="preserve"> </w:t>
            </w:r>
            <w:r w:rsidRPr="00BC1A97">
              <w:rPr>
                <w:rFonts w:ascii="Arial Narrow" w:eastAsia="Arial Narrow" w:hAnsi="Arial Narrow" w:cs="Arial Narrow"/>
                <w:b/>
                <w:sz w:val="20"/>
                <w:szCs w:val="20"/>
              </w:rPr>
              <w:t>128.7)</w:t>
            </w:r>
          </w:p>
        </w:tc>
        <w:tc>
          <w:tcPr>
            <w:tcW w:w="1007" w:type="pct"/>
            <w:vAlign w:val="center"/>
          </w:tcPr>
          <w:p w:rsidR="00BB36A1" w:rsidRPr="00BC1A97" w:rsidRDefault="00BB36A1" w:rsidP="00722F7F">
            <w:pPr>
              <w:keepNext/>
              <w:keepLines/>
              <w:jc w:val="center"/>
              <w:rPr>
                <w:rFonts w:ascii="Arial Narrow" w:eastAsia="Arial Narrow" w:hAnsi="Arial Narrow" w:cs="Arial Narrow"/>
                <w:b/>
                <w:sz w:val="20"/>
                <w:szCs w:val="20"/>
              </w:rPr>
            </w:pPr>
            <w:r w:rsidRPr="00BC1A97">
              <w:rPr>
                <w:rFonts w:ascii="Arial Narrow" w:eastAsia="Arial Narrow" w:hAnsi="Arial Narrow" w:cs="Arial Narrow"/>
                <w:b/>
                <w:sz w:val="20"/>
                <w:szCs w:val="20"/>
              </w:rPr>
              <w:t>0.70 (0.53,</w:t>
            </w:r>
            <w:r w:rsidR="00BC1A97" w:rsidRPr="00BC1A97">
              <w:rPr>
                <w:rFonts w:ascii="Arial Narrow" w:eastAsia="Arial Narrow" w:hAnsi="Arial Narrow" w:cs="Arial Narrow"/>
                <w:b/>
                <w:sz w:val="20"/>
                <w:szCs w:val="20"/>
              </w:rPr>
              <w:t xml:space="preserve"> </w:t>
            </w:r>
            <w:r w:rsidRPr="00BC1A97">
              <w:rPr>
                <w:rFonts w:ascii="Arial Narrow" w:eastAsia="Arial Narrow" w:hAnsi="Arial Narrow" w:cs="Arial Narrow"/>
                <w:b/>
                <w:sz w:val="20"/>
                <w:szCs w:val="20"/>
              </w:rPr>
              <w:t>0.86)</w:t>
            </w:r>
          </w:p>
        </w:tc>
      </w:tr>
      <w:tr w:rsidR="00BB36A1" w:rsidTr="00CC4592">
        <w:trPr>
          <w:trHeight w:val="300"/>
        </w:trPr>
        <w:tc>
          <w:tcPr>
            <w:tcW w:w="5000" w:type="pct"/>
            <w:gridSpan w:val="5"/>
            <w:vAlign w:val="center"/>
          </w:tcPr>
          <w:p w:rsidR="00BB36A1" w:rsidRDefault="00BB36A1" w:rsidP="00722F7F">
            <w:pPr>
              <w:keepNext/>
              <w:keepLines/>
              <w:rPr>
                <w:rFonts w:ascii="Arial Narrow" w:eastAsia="Arial Narrow" w:hAnsi="Arial Narrow" w:cs="Arial Narrow"/>
                <w:sz w:val="20"/>
                <w:szCs w:val="20"/>
              </w:rPr>
            </w:pPr>
            <w:r w:rsidRPr="454BE1F2">
              <w:rPr>
                <w:rFonts w:ascii="Arial Narrow" w:eastAsia="Arial Narrow" w:hAnsi="Arial Narrow" w:cs="Arial Narrow"/>
                <w:b/>
                <w:bCs/>
                <w:sz w:val="20"/>
                <w:szCs w:val="20"/>
              </w:rPr>
              <w:t>Indirect comparisons</w:t>
            </w:r>
          </w:p>
        </w:tc>
      </w:tr>
      <w:tr w:rsidR="00BB36A1" w:rsidTr="00BC1A97">
        <w:trPr>
          <w:trHeight w:val="300"/>
        </w:trPr>
        <w:tc>
          <w:tcPr>
            <w:tcW w:w="2985" w:type="pct"/>
            <w:gridSpan w:val="3"/>
            <w:vAlign w:val="center"/>
          </w:tcPr>
          <w:p w:rsidR="00BB36A1" w:rsidRDefault="3CAE4298" w:rsidP="00831710">
            <w:pPr>
              <w:keepNext/>
              <w:keepLines/>
              <w:rPr>
                <w:rFonts w:ascii="Arial Narrow" w:eastAsia="Arial Narrow" w:hAnsi="Arial Narrow" w:cs="Arial Narrow"/>
                <w:sz w:val="20"/>
                <w:szCs w:val="20"/>
              </w:rPr>
            </w:pPr>
            <w:r w:rsidRPr="1CB8166F">
              <w:rPr>
                <w:rFonts w:ascii="Arial Narrow" w:eastAsia="Arial Narrow" w:hAnsi="Arial Narrow" w:cs="Arial Narrow"/>
                <w:sz w:val="20"/>
                <w:szCs w:val="20"/>
              </w:rPr>
              <w:t>Secukinumab (</w:t>
            </w:r>
            <w:r w:rsidR="0AA9FBA4" w:rsidRPr="1CB8166F">
              <w:rPr>
                <w:rFonts w:ascii="Arial Narrow" w:eastAsia="Arial Narrow" w:hAnsi="Arial Narrow" w:cs="Arial Narrow"/>
                <w:sz w:val="20"/>
                <w:szCs w:val="20"/>
              </w:rPr>
              <w:t>LD</w:t>
            </w:r>
            <w:r w:rsidRPr="1CB8166F">
              <w:rPr>
                <w:rFonts w:ascii="Arial Narrow" w:eastAsia="Arial Narrow" w:hAnsi="Arial Narrow" w:cs="Arial Narrow"/>
                <w:sz w:val="20"/>
                <w:szCs w:val="20"/>
              </w:rPr>
              <w:t xml:space="preserve">) vs </w:t>
            </w:r>
            <w:r w:rsidR="20310A66" w:rsidRPr="1CB8166F">
              <w:rPr>
                <w:rFonts w:ascii="Arial Narrow" w:eastAsia="Arial Narrow" w:hAnsi="Arial Narrow" w:cs="Arial Narrow"/>
                <w:sz w:val="20"/>
                <w:szCs w:val="20"/>
              </w:rPr>
              <w:t>u</w:t>
            </w:r>
            <w:r w:rsidRPr="1CB8166F">
              <w:rPr>
                <w:rFonts w:ascii="Arial Narrow" w:eastAsia="Arial Narrow" w:hAnsi="Arial Narrow" w:cs="Arial Narrow"/>
                <w:sz w:val="20"/>
                <w:szCs w:val="20"/>
              </w:rPr>
              <w:t>stekinumab</w:t>
            </w:r>
          </w:p>
        </w:tc>
        <w:tc>
          <w:tcPr>
            <w:tcW w:w="1008" w:type="pct"/>
            <w:vAlign w:val="center"/>
          </w:tcPr>
          <w:p w:rsidR="00BB36A1" w:rsidRDefault="00BB36A1" w:rsidP="00722F7F">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0.68 (0.12, 3.98)</w:t>
            </w:r>
          </w:p>
        </w:tc>
        <w:tc>
          <w:tcPr>
            <w:tcW w:w="1008" w:type="pct"/>
            <w:vAlign w:val="center"/>
          </w:tcPr>
          <w:p w:rsidR="00BB36A1" w:rsidRPr="00831710" w:rsidRDefault="00BB36A1" w:rsidP="00722F7F">
            <w:pPr>
              <w:keepNext/>
              <w:keepLines/>
              <w:jc w:val="center"/>
              <w:rPr>
                <w:rFonts w:ascii="Arial Narrow" w:eastAsia="Arial Narrow" w:hAnsi="Arial Narrow" w:cs="Arial Narrow"/>
                <w:sz w:val="20"/>
                <w:szCs w:val="20"/>
              </w:rPr>
            </w:pPr>
            <w:r w:rsidRPr="00831710">
              <w:rPr>
                <w:rFonts w:ascii="Arial Narrow" w:eastAsia="Arial Narrow" w:hAnsi="Arial Narrow" w:cs="Arial Narrow"/>
                <w:sz w:val="20"/>
                <w:szCs w:val="20"/>
              </w:rPr>
              <w:t>-0.05 (-0.28, 0.18)</w:t>
            </w:r>
          </w:p>
        </w:tc>
      </w:tr>
      <w:tr w:rsidR="00BB36A1" w:rsidTr="00BC1A97">
        <w:trPr>
          <w:trHeight w:val="300"/>
        </w:trPr>
        <w:tc>
          <w:tcPr>
            <w:tcW w:w="2985" w:type="pct"/>
            <w:gridSpan w:val="3"/>
            <w:vAlign w:val="center"/>
          </w:tcPr>
          <w:p w:rsidR="00BB36A1" w:rsidRDefault="3CAE4298" w:rsidP="00831710">
            <w:pPr>
              <w:keepNext/>
              <w:keepLines/>
              <w:rPr>
                <w:rFonts w:ascii="Arial Narrow" w:eastAsia="Arial Narrow" w:hAnsi="Arial Narrow" w:cs="Arial Narrow"/>
                <w:sz w:val="20"/>
                <w:szCs w:val="20"/>
              </w:rPr>
            </w:pPr>
            <w:r w:rsidRPr="1CB8166F">
              <w:rPr>
                <w:rFonts w:ascii="Arial Narrow" w:eastAsia="Arial Narrow" w:hAnsi="Arial Narrow" w:cs="Arial Narrow"/>
                <w:sz w:val="20"/>
                <w:szCs w:val="20"/>
              </w:rPr>
              <w:t>Secukinumab (</w:t>
            </w:r>
            <w:r w:rsidR="5EC36A2E" w:rsidRPr="1CB8166F">
              <w:rPr>
                <w:rFonts w:ascii="Arial Narrow" w:eastAsia="Arial Narrow" w:hAnsi="Arial Narrow" w:cs="Arial Narrow"/>
                <w:sz w:val="20"/>
                <w:szCs w:val="20"/>
              </w:rPr>
              <w:t>HD</w:t>
            </w:r>
            <w:r w:rsidRPr="1CB8166F">
              <w:rPr>
                <w:rFonts w:ascii="Arial Narrow" w:eastAsia="Arial Narrow" w:hAnsi="Arial Narrow" w:cs="Arial Narrow"/>
                <w:sz w:val="20"/>
                <w:szCs w:val="20"/>
              </w:rPr>
              <w:t xml:space="preserve">) vs </w:t>
            </w:r>
            <w:r w:rsidR="20310A66" w:rsidRPr="1CB8166F">
              <w:rPr>
                <w:rFonts w:ascii="Arial Narrow" w:eastAsia="Arial Narrow" w:hAnsi="Arial Narrow" w:cs="Arial Narrow"/>
                <w:sz w:val="20"/>
                <w:szCs w:val="20"/>
              </w:rPr>
              <w:t>u</w:t>
            </w:r>
            <w:r w:rsidRPr="1CB8166F">
              <w:rPr>
                <w:rFonts w:ascii="Arial Narrow" w:eastAsia="Arial Narrow" w:hAnsi="Arial Narrow" w:cs="Arial Narrow"/>
                <w:sz w:val="20"/>
                <w:szCs w:val="20"/>
              </w:rPr>
              <w:t>stekinumab</w:t>
            </w:r>
          </w:p>
        </w:tc>
        <w:tc>
          <w:tcPr>
            <w:tcW w:w="1008" w:type="pct"/>
            <w:vAlign w:val="center"/>
          </w:tcPr>
          <w:p w:rsidR="00BB36A1" w:rsidRDefault="00BB36A1" w:rsidP="00722F7F">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0.59 (0.10, 3.38)</w:t>
            </w:r>
          </w:p>
        </w:tc>
        <w:tc>
          <w:tcPr>
            <w:tcW w:w="1008" w:type="pct"/>
            <w:vAlign w:val="center"/>
          </w:tcPr>
          <w:p w:rsidR="00BB36A1" w:rsidRPr="00831710" w:rsidRDefault="00BB36A1" w:rsidP="00722F7F">
            <w:pPr>
              <w:keepNext/>
              <w:keepLines/>
              <w:jc w:val="center"/>
              <w:rPr>
                <w:rFonts w:ascii="Arial Narrow" w:eastAsia="Arial Narrow" w:hAnsi="Arial Narrow" w:cs="Arial Narrow"/>
                <w:sz w:val="20"/>
                <w:szCs w:val="20"/>
              </w:rPr>
            </w:pPr>
            <w:r w:rsidRPr="00831710">
              <w:rPr>
                <w:rFonts w:ascii="Arial Narrow" w:eastAsia="Arial Narrow" w:hAnsi="Arial Narrow" w:cs="Arial Narrow"/>
                <w:sz w:val="20"/>
                <w:szCs w:val="20"/>
              </w:rPr>
              <w:t>-0.07 (-0.30, 0.16)</w:t>
            </w:r>
          </w:p>
        </w:tc>
      </w:tr>
      <w:tr w:rsidR="00BB36A1" w:rsidTr="00BC1A97">
        <w:trPr>
          <w:trHeight w:val="300"/>
        </w:trPr>
        <w:tc>
          <w:tcPr>
            <w:tcW w:w="2985" w:type="pct"/>
            <w:gridSpan w:val="3"/>
            <w:vAlign w:val="center"/>
          </w:tcPr>
          <w:p w:rsidR="00BB36A1" w:rsidRDefault="3CAE4298" w:rsidP="00831710">
            <w:pPr>
              <w:keepNext/>
              <w:keepLines/>
              <w:rPr>
                <w:rFonts w:ascii="Arial Narrow" w:eastAsia="Arial Narrow" w:hAnsi="Arial Narrow" w:cs="Arial Narrow"/>
                <w:sz w:val="20"/>
                <w:szCs w:val="20"/>
              </w:rPr>
            </w:pPr>
            <w:r w:rsidRPr="1CB8166F">
              <w:rPr>
                <w:rFonts w:ascii="Arial Narrow" w:eastAsia="Arial Narrow" w:hAnsi="Arial Narrow" w:cs="Arial Narrow"/>
                <w:sz w:val="20"/>
                <w:szCs w:val="20"/>
              </w:rPr>
              <w:t xml:space="preserve">Secukinumab (combined doses) vs </w:t>
            </w:r>
            <w:r w:rsidR="20310A66" w:rsidRPr="1CB8166F">
              <w:rPr>
                <w:rFonts w:ascii="Arial Narrow" w:eastAsia="Arial Narrow" w:hAnsi="Arial Narrow" w:cs="Arial Narrow"/>
                <w:sz w:val="20"/>
                <w:szCs w:val="20"/>
              </w:rPr>
              <w:t>u</w:t>
            </w:r>
            <w:r w:rsidRPr="1CB8166F">
              <w:rPr>
                <w:rFonts w:ascii="Arial Narrow" w:eastAsia="Arial Narrow" w:hAnsi="Arial Narrow" w:cs="Arial Narrow"/>
                <w:sz w:val="20"/>
                <w:szCs w:val="20"/>
              </w:rPr>
              <w:t>stekinumab</w:t>
            </w:r>
          </w:p>
        </w:tc>
        <w:tc>
          <w:tcPr>
            <w:tcW w:w="1008" w:type="pct"/>
            <w:vAlign w:val="center"/>
          </w:tcPr>
          <w:p w:rsidR="00BB36A1" w:rsidRDefault="00BB36A1" w:rsidP="00722F7F">
            <w:pPr>
              <w:keepNext/>
              <w:keepLines/>
              <w:jc w:val="center"/>
              <w:rPr>
                <w:rFonts w:ascii="Arial Narrow" w:eastAsia="Arial Narrow" w:hAnsi="Arial Narrow" w:cs="Arial Narrow"/>
                <w:sz w:val="20"/>
                <w:szCs w:val="20"/>
              </w:rPr>
            </w:pPr>
            <w:r w:rsidRPr="454BE1F2">
              <w:rPr>
                <w:rFonts w:ascii="Arial Narrow" w:eastAsia="Arial Narrow" w:hAnsi="Arial Narrow" w:cs="Arial Narrow"/>
                <w:sz w:val="20"/>
                <w:szCs w:val="20"/>
              </w:rPr>
              <w:t>0.63 (0.12, 3.37)</w:t>
            </w:r>
          </w:p>
        </w:tc>
        <w:tc>
          <w:tcPr>
            <w:tcW w:w="1008" w:type="pct"/>
            <w:vAlign w:val="center"/>
          </w:tcPr>
          <w:p w:rsidR="00BB36A1" w:rsidRPr="00831710" w:rsidRDefault="00BB36A1" w:rsidP="00722F7F">
            <w:pPr>
              <w:keepNext/>
              <w:keepLines/>
              <w:jc w:val="center"/>
              <w:rPr>
                <w:rFonts w:ascii="Arial Narrow" w:eastAsia="Arial Narrow" w:hAnsi="Arial Narrow" w:cs="Arial Narrow"/>
                <w:sz w:val="20"/>
                <w:szCs w:val="20"/>
              </w:rPr>
            </w:pPr>
            <w:r w:rsidRPr="00831710">
              <w:rPr>
                <w:rFonts w:ascii="Arial Narrow" w:eastAsia="Arial Narrow" w:hAnsi="Arial Narrow" w:cs="Arial Narrow"/>
                <w:sz w:val="20"/>
                <w:szCs w:val="20"/>
              </w:rPr>
              <w:t>-0.06 (-0.27, 0.15)</w:t>
            </w:r>
          </w:p>
        </w:tc>
      </w:tr>
    </w:tbl>
    <w:p w:rsidR="00BB36A1" w:rsidRDefault="00BB36A1" w:rsidP="00800E8A">
      <w:pPr>
        <w:pStyle w:val="TableFigureFooter"/>
        <w:keepNext/>
        <w:keepLines/>
        <w:jc w:val="both"/>
        <w:rPr>
          <w:rFonts w:eastAsia="Arial Narrow" w:cs="Arial Narrow"/>
          <w:color w:val="000000" w:themeColor="text1"/>
          <w:szCs w:val="18"/>
          <w:lang w:val="en-US"/>
        </w:rPr>
      </w:pPr>
      <w:r w:rsidRPr="454BE1F2">
        <w:rPr>
          <w:rFonts w:eastAsia="Arial Narrow" w:cs="Arial Narrow"/>
          <w:color w:val="000000" w:themeColor="text1"/>
          <w:szCs w:val="18"/>
        </w:rPr>
        <w:t>Source: Table 2.5.1, p113 of the submission.</w:t>
      </w:r>
    </w:p>
    <w:p w:rsidR="00AB0813" w:rsidRDefault="00BB36A1" w:rsidP="00800E8A">
      <w:pPr>
        <w:pStyle w:val="TableFigureFooter"/>
        <w:keepNext/>
        <w:keepLines/>
        <w:jc w:val="both"/>
        <w:rPr>
          <w:rFonts w:eastAsia="Arial Narrow"/>
          <w:color w:val="000000" w:themeColor="text1"/>
          <w:szCs w:val="18"/>
        </w:rPr>
      </w:pPr>
      <w:r w:rsidRPr="3F89BFB5">
        <w:rPr>
          <w:rFonts w:eastAsia="Arial Narrow" w:cs="Arial Narrow"/>
          <w:color w:val="000000" w:themeColor="text1"/>
        </w:rPr>
        <w:t>CI = confidence interval;</w:t>
      </w:r>
      <w:r w:rsidRPr="3F89BFB5">
        <w:rPr>
          <w:rFonts w:eastAsia="Arial Narrow" w:cs="Arial Narrow"/>
          <w:color w:val="000000" w:themeColor="text1"/>
          <w:lang w:val="en-US"/>
        </w:rPr>
        <w:t xml:space="preserve"> </w:t>
      </w:r>
      <w:r w:rsidR="004D6D7A" w:rsidRPr="3F89BFB5">
        <w:rPr>
          <w:rFonts w:eastAsia="Arial Narrow" w:cs="Arial Narrow"/>
          <w:color w:val="000000" w:themeColor="text1"/>
        </w:rPr>
        <w:t>ETN = etanercept; HD = high dose; LD = low dose</w:t>
      </w:r>
      <w:r w:rsidR="004D6D7A">
        <w:rPr>
          <w:rFonts w:eastAsia="Arial Narrow" w:cs="Arial Narrow"/>
          <w:color w:val="000000" w:themeColor="text1"/>
          <w:lang w:val="en-US"/>
        </w:rPr>
        <w:t xml:space="preserve">; </w:t>
      </w:r>
      <w:r w:rsidRPr="3F89BFB5">
        <w:rPr>
          <w:rFonts w:eastAsia="Arial Narrow" w:cs="Arial Narrow"/>
          <w:color w:val="000000" w:themeColor="text1"/>
          <w:lang w:val="en-US"/>
        </w:rPr>
        <w:t>OR</w:t>
      </w:r>
      <w:r w:rsidR="00AB0813" w:rsidRPr="3F89BFB5">
        <w:rPr>
          <w:rFonts w:eastAsia="Arial Narrow" w:cs="Arial Narrow"/>
          <w:color w:val="000000" w:themeColor="text1"/>
          <w:lang w:val="en-US"/>
        </w:rPr>
        <w:t xml:space="preserve"> </w:t>
      </w:r>
      <w:r w:rsidRPr="3F89BFB5">
        <w:rPr>
          <w:rFonts w:eastAsia="Arial Narrow" w:cs="Arial Narrow"/>
          <w:color w:val="000000" w:themeColor="text1"/>
          <w:lang w:val="en-US"/>
        </w:rPr>
        <w:t xml:space="preserve">= odds ratio; </w:t>
      </w:r>
      <w:r w:rsidRPr="3F89BFB5">
        <w:rPr>
          <w:rFonts w:eastAsia="Arial Narrow" w:cs="Arial Narrow"/>
          <w:color w:val="000000" w:themeColor="text1"/>
        </w:rPr>
        <w:t>PBO</w:t>
      </w:r>
      <w:r w:rsidR="00AB0813" w:rsidRPr="3F89BFB5">
        <w:rPr>
          <w:rFonts w:eastAsia="Arial Narrow" w:cs="Arial Narrow"/>
          <w:color w:val="000000" w:themeColor="text1"/>
        </w:rPr>
        <w:t xml:space="preserve"> </w:t>
      </w:r>
      <w:r w:rsidRPr="3F89BFB5">
        <w:rPr>
          <w:rFonts w:eastAsia="Arial Narrow" w:cs="Arial Narrow"/>
          <w:color w:val="000000" w:themeColor="text1"/>
        </w:rPr>
        <w:t xml:space="preserve">= placebo; </w:t>
      </w:r>
      <w:r w:rsidR="004D6D7A" w:rsidRPr="3F89BFB5">
        <w:rPr>
          <w:rFonts w:eastAsia="Arial Narrow" w:cs="Arial Narrow"/>
          <w:color w:val="000000" w:themeColor="text1"/>
          <w:lang w:val="en-US"/>
        </w:rPr>
        <w:t>RD = risk difference</w:t>
      </w:r>
      <w:r w:rsidR="004D6D7A" w:rsidRPr="3F89BFB5">
        <w:rPr>
          <w:rFonts w:eastAsia="Arial Narrow" w:cs="Arial Narrow"/>
          <w:color w:val="000000" w:themeColor="text1"/>
        </w:rPr>
        <w:t xml:space="preserve">; SEC = secukinumab; </w:t>
      </w:r>
      <w:r w:rsidRPr="3F89BFB5">
        <w:rPr>
          <w:rFonts w:eastAsia="Arial Narrow" w:cs="Arial Narrow"/>
          <w:color w:val="000000" w:themeColor="text1"/>
        </w:rPr>
        <w:t>UST</w:t>
      </w:r>
      <w:r w:rsidR="00AB0813" w:rsidRPr="3F89BFB5">
        <w:rPr>
          <w:rFonts w:eastAsia="Arial Narrow" w:cs="Arial Narrow"/>
          <w:color w:val="000000" w:themeColor="text1"/>
        </w:rPr>
        <w:t xml:space="preserve"> </w:t>
      </w:r>
      <w:r w:rsidRPr="3F89BFB5">
        <w:rPr>
          <w:rFonts w:eastAsia="Arial Narrow" w:cs="Arial Narrow"/>
          <w:color w:val="000000" w:themeColor="text1"/>
        </w:rPr>
        <w:t>=</w:t>
      </w:r>
      <w:r w:rsidR="00AB0813" w:rsidRPr="3F89BFB5">
        <w:rPr>
          <w:rFonts w:eastAsia="Arial Narrow" w:cs="Arial Narrow"/>
          <w:color w:val="000000" w:themeColor="text1"/>
        </w:rPr>
        <w:t xml:space="preserve"> </w:t>
      </w:r>
      <w:r w:rsidRPr="3F89BFB5">
        <w:rPr>
          <w:rFonts w:eastAsia="Arial Narrow" w:cs="Arial Narrow"/>
          <w:color w:val="000000" w:themeColor="text1"/>
        </w:rPr>
        <w:t>ustekinumab</w:t>
      </w:r>
      <w:r w:rsidR="6CF0DBE1" w:rsidRPr="3F89BFB5">
        <w:rPr>
          <w:rFonts w:eastAsia="Arial Narrow" w:cs="Arial Narrow"/>
          <w:color w:val="000000" w:themeColor="text1"/>
        </w:rPr>
        <w:t>.</w:t>
      </w:r>
    </w:p>
    <w:p w:rsidR="00BB36A1" w:rsidRDefault="00BC1A97" w:rsidP="00800E8A">
      <w:pPr>
        <w:pStyle w:val="TableFigureFooter"/>
        <w:keepNext/>
        <w:keepLines/>
        <w:jc w:val="both"/>
        <w:rPr>
          <w:rFonts w:eastAsia="Arial Narrow" w:cs="Arial Narrow"/>
          <w:color w:val="000000" w:themeColor="text1"/>
          <w:szCs w:val="18"/>
          <w:lang w:val="en-US"/>
        </w:rPr>
      </w:pPr>
      <w:r>
        <w:rPr>
          <w:rFonts w:eastAsia="Arial Narrow" w:cs="Arial Narrow"/>
          <w:b/>
          <w:bCs/>
          <w:color w:val="000000" w:themeColor="text1"/>
          <w:szCs w:val="18"/>
        </w:rPr>
        <w:t>B</w:t>
      </w:r>
      <w:r w:rsidR="00BB36A1" w:rsidRPr="454BE1F2">
        <w:rPr>
          <w:rFonts w:eastAsia="Arial Narrow" w:cs="Arial Narrow"/>
          <w:b/>
          <w:bCs/>
          <w:color w:val="000000" w:themeColor="text1"/>
          <w:szCs w:val="18"/>
        </w:rPr>
        <w:t>old</w:t>
      </w:r>
      <w:r>
        <w:rPr>
          <w:rFonts w:eastAsia="Arial Narrow" w:cs="Arial Narrow"/>
          <w:color w:val="000000" w:themeColor="text1"/>
          <w:szCs w:val="18"/>
        </w:rPr>
        <w:t xml:space="preserve"> indicates</w:t>
      </w:r>
      <w:r w:rsidR="00BB36A1" w:rsidRPr="454BE1F2">
        <w:rPr>
          <w:rFonts w:eastAsia="Arial Narrow" w:cs="Arial Narrow"/>
          <w:color w:val="000000" w:themeColor="text1"/>
          <w:szCs w:val="18"/>
        </w:rPr>
        <w:t xml:space="preserve"> statistical significan</w:t>
      </w:r>
      <w:r>
        <w:rPr>
          <w:rFonts w:eastAsia="Arial Narrow" w:cs="Arial Narrow"/>
          <w:color w:val="000000" w:themeColor="text1"/>
          <w:szCs w:val="18"/>
        </w:rPr>
        <w:t>ce.</w:t>
      </w:r>
    </w:p>
    <w:p w:rsidR="00BB36A1" w:rsidRPr="00E663C3" w:rsidRDefault="00BB36A1" w:rsidP="00BB36A1">
      <w:pPr>
        <w:pStyle w:val="3-BodyText"/>
        <w:rPr>
          <w:lang w:val="en-US"/>
        </w:rPr>
      </w:pPr>
      <w:r w:rsidRPr="159B995A">
        <w:rPr>
          <w:rFonts w:ascii="Calibri" w:eastAsia="Calibri" w:hAnsi="Calibri" w:cs="Calibri"/>
          <w:color w:val="000000" w:themeColor="text1"/>
        </w:rPr>
        <w:t>For PASI 75 response</w:t>
      </w:r>
      <w:r w:rsidR="00B910D4">
        <w:rPr>
          <w:rFonts w:ascii="Calibri" w:eastAsia="Calibri" w:hAnsi="Calibri" w:cs="Calibri"/>
          <w:color w:val="000000" w:themeColor="text1"/>
        </w:rPr>
        <w:t>,</w:t>
      </w:r>
      <w:r w:rsidRPr="159B995A">
        <w:rPr>
          <w:rFonts w:ascii="Calibri" w:eastAsia="Calibri" w:hAnsi="Calibri" w:cs="Calibri"/>
          <w:color w:val="000000" w:themeColor="text1"/>
        </w:rPr>
        <w:t xml:space="preserve"> the indirect comparison of secukinumab (</w:t>
      </w:r>
      <w:r w:rsidR="005B6DB1">
        <w:rPr>
          <w:rFonts w:ascii="Calibri" w:eastAsia="Calibri" w:hAnsi="Calibri" w:cs="Calibri"/>
          <w:color w:val="000000" w:themeColor="text1"/>
        </w:rPr>
        <w:t>LD or HD</w:t>
      </w:r>
      <w:r w:rsidRPr="159B995A">
        <w:rPr>
          <w:rFonts w:ascii="Calibri" w:eastAsia="Calibri" w:hAnsi="Calibri" w:cs="Calibri"/>
          <w:color w:val="000000" w:themeColor="text1"/>
        </w:rPr>
        <w:t>) and ustekinumab showed no statistically significant difference</w:t>
      </w:r>
      <w:r w:rsidR="00B910D4">
        <w:rPr>
          <w:rFonts w:ascii="Calibri" w:eastAsia="Calibri" w:hAnsi="Calibri" w:cs="Calibri"/>
          <w:color w:val="000000" w:themeColor="text1"/>
        </w:rPr>
        <w:t xml:space="preserve"> for either</w:t>
      </w:r>
      <w:r w:rsidR="00831710">
        <w:rPr>
          <w:rFonts w:ascii="Calibri" w:eastAsia="Calibri" w:hAnsi="Calibri" w:cs="Calibri"/>
          <w:color w:val="000000" w:themeColor="text1"/>
        </w:rPr>
        <w:t xml:space="preserve"> odds ratio</w:t>
      </w:r>
      <w:r w:rsidR="00B910D4">
        <w:rPr>
          <w:rFonts w:ascii="Calibri" w:eastAsia="Calibri" w:hAnsi="Calibri" w:cs="Calibri"/>
          <w:color w:val="000000" w:themeColor="text1"/>
        </w:rPr>
        <w:t xml:space="preserve"> or risk difference</w:t>
      </w:r>
      <w:r w:rsidRPr="159B995A">
        <w:rPr>
          <w:rFonts w:ascii="Calibri" w:eastAsia="Calibri" w:hAnsi="Calibri" w:cs="Calibri"/>
          <w:color w:val="000000" w:themeColor="text1"/>
        </w:rPr>
        <w:t xml:space="preserve">. </w:t>
      </w:r>
      <w:r w:rsidRPr="00E663C3">
        <w:rPr>
          <w:rFonts w:ascii="Calibri" w:eastAsia="Calibri" w:hAnsi="Calibri" w:cs="Calibri"/>
          <w:iCs/>
          <w:color w:val="000000" w:themeColor="text1"/>
        </w:rPr>
        <w:t>The indirect comparison had a small sample size (</w:t>
      </w:r>
      <w:r w:rsidR="00360053">
        <w:rPr>
          <w:rFonts w:ascii="Calibri" w:eastAsia="Calibri" w:hAnsi="Calibri" w:cs="Calibri"/>
          <w:iCs/>
          <w:color w:val="000000" w:themeColor="text1"/>
        </w:rPr>
        <w:t>40:40:41 patients</w:t>
      </w:r>
      <w:r w:rsidRPr="00E663C3">
        <w:rPr>
          <w:rFonts w:ascii="Calibri" w:eastAsia="Calibri" w:hAnsi="Calibri" w:cs="Calibri"/>
          <w:iCs/>
          <w:color w:val="000000" w:themeColor="text1"/>
        </w:rPr>
        <w:t xml:space="preserve"> in each</w:t>
      </w:r>
      <w:r w:rsidR="00360053">
        <w:rPr>
          <w:rFonts w:ascii="Calibri" w:eastAsia="Calibri" w:hAnsi="Calibri" w:cs="Calibri"/>
          <w:iCs/>
          <w:color w:val="000000" w:themeColor="text1"/>
        </w:rPr>
        <w:t xml:space="preserve"> of</w:t>
      </w:r>
      <w:r w:rsidR="00126B39">
        <w:rPr>
          <w:rFonts w:ascii="Calibri" w:eastAsia="Calibri" w:hAnsi="Calibri" w:cs="Calibri"/>
          <w:iCs/>
          <w:color w:val="000000" w:themeColor="text1"/>
        </w:rPr>
        <w:t xml:space="preserve"> the</w:t>
      </w:r>
      <w:r w:rsidR="00360053">
        <w:rPr>
          <w:rFonts w:ascii="Calibri" w:eastAsia="Calibri" w:hAnsi="Calibri" w:cs="Calibri"/>
          <w:iCs/>
          <w:color w:val="000000" w:themeColor="text1"/>
        </w:rPr>
        <w:t xml:space="preserve"> secukinumab HD, LD and placebo</w:t>
      </w:r>
      <w:r w:rsidRPr="00E663C3">
        <w:rPr>
          <w:rFonts w:ascii="Calibri" w:eastAsia="Calibri" w:hAnsi="Calibri" w:cs="Calibri"/>
          <w:iCs/>
          <w:color w:val="000000" w:themeColor="text1"/>
        </w:rPr>
        <w:t xml:space="preserve"> arm</w:t>
      </w:r>
      <w:r w:rsidR="00360053">
        <w:rPr>
          <w:rFonts w:ascii="Calibri" w:eastAsia="Calibri" w:hAnsi="Calibri" w:cs="Calibri"/>
          <w:iCs/>
          <w:color w:val="000000" w:themeColor="text1"/>
        </w:rPr>
        <w:t>s, respectively,</w:t>
      </w:r>
      <w:r w:rsidRPr="00E663C3">
        <w:rPr>
          <w:rFonts w:ascii="Calibri" w:eastAsia="Calibri" w:hAnsi="Calibri" w:cs="Calibri"/>
          <w:iCs/>
          <w:color w:val="000000" w:themeColor="text1"/>
        </w:rPr>
        <w:t xml:space="preserve"> for </w:t>
      </w:r>
      <w:r w:rsidR="00162EA1" w:rsidRPr="00E663C3">
        <w:rPr>
          <w:rFonts w:ascii="Calibri" w:eastAsia="Calibri" w:hAnsi="Calibri" w:cs="Calibri"/>
          <w:iCs/>
          <w:color w:val="000000" w:themeColor="text1"/>
        </w:rPr>
        <w:t>Study 2310</w:t>
      </w:r>
      <w:r w:rsidR="00360053">
        <w:rPr>
          <w:rFonts w:ascii="Calibri" w:eastAsia="Calibri" w:hAnsi="Calibri" w:cs="Calibri"/>
          <w:iCs/>
          <w:color w:val="000000" w:themeColor="text1"/>
        </w:rPr>
        <w:t xml:space="preserve"> [total 121 patients];</w:t>
      </w:r>
      <w:r w:rsidR="00290E84" w:rsidRPr="00E663C3">
        <w:rPr>
          <w:rFonts w:ascii="Calibri" w:eastAsia="Calibri" w:hAnsi="Calibri" w:cs="Calibri"/>
          <w:iCs/>
          <w:color w:val="000000" w:themeColor="text1"/>
        </w:rPr>
        <w:t xml:space="preserve"> and </w:t>
      </w:r>
      <w:r w:rsidR="00360053">
        <w:rPr>
          <w:rFonts w:ascii="Calibri" w:eastAsia="Calibri" w:hAnsi="Calibri" w:cs="Calibri"/>
          <w:iCs/>
          <w:color w:val="000000" w:themeColor="text1"/>
        </w:rPr>
        <w:t>36:37 patients in each of</w:t>
      </w:r>
      <w:r w:rsidR="00126B39">
        <w:rPr>
          <w:rFonts w:ascii="Calibri" w:eastAsia="Calibri" w:hAnsi="Calibri" w:cs="Calibri"/>
          <w:iCs/>
          <w:color w:val="000000" w:themeColor="text1"/>
        </w:rPr>
        <w:t xml:space="preserve"> the</w:t>
      </w:r>
      <w:r w:rsidR="00360053">
        <w:rPr>
          <w:rFonts w:ascii="Calibri" w:eastAsia="Calibri" w:hAnsi="Calibri" w:cs="Calibri"/>
          <w:iCs/>
          <w:color w:val="000000" w:themeColor="text1"/>
        </w:rPr>
        <w:t xml:space="preserve"> ustekinumab and placebo arms, respectively,</w:t>
      </w:r>
      <w:r w:rsidR="00290E84" w:rsidRPr="00E663C3">
        <w:rPr>
          <w:rFonts w:ascii="Calibri" w:eastAsia="Calibri" w:hAnsi="Calibri" w:cs="Calibri"/>
          <w:iCs/>
          <w:color w:val="000000" w:themeColor="text1"/>
        </w:rPr>
        <w:t xml:space="preserve"> for CADMUS</w:t>
      </w:r>
      <w:r w:rsidR="00360053">
        <w:rPr>
          <w:rFonts w:ascii="Calibri" w:eastAsia="Calibri" w:hAnsi="Calibri" w:cs="Calibri"/>
          <w:iCs/>
          <w:color w:val="000000" w:themeColor="text1"/>
        </w:rPr>
        <w:t xml:space="preserve"> [total 73 patients]</w:t>
      </w:r>
      <w:r w:rsidR="00290E84" w:rsidRPr="00E663C3">
        <w:rPr>
          <w:rFonts w:ascii="Calibri" w:eastAsia="Calibri" w:hAnsi="Calibri" w:cs="Calibri"/>
          <w:iCs/>
          <w:color w:val="000000" w:themeColor="text1"/>
        </w:rPr>
        <w:t>).</w:t>
      </w:r>
    </w:p>
    <w:p w:rsidR="003C3BF3" w:rsidRPr="00E663C3" w:rsidRDefault="00BB36A1" w:rsidP="003C3BF3">
      <w:pPr>
        <w:pStyle w:val="3-BodyText"/>
        <w:rPr>
          <w:lang w:val="en-US"/>
        </w:rPr>
      </w:pPr>
      <w:r w:rsidRPr="00E663C3">
        <w:rPr>
          <w:rFonts w:ascii="Calibri" w:eastAsia="Calibri" w:hAnsi="Calibri" w:cs="Calibri"/>
          <w:iCs/>
          <w:color w:val="000000" w:themeColor="text1"/>
        </w:rPr>
        <w:t xml:space="preserve">There were key differences between </w:t>
      </w:r>
      <w:r w:rsidRPr="008B4233">
        <w:rPr>
          <w:rFonts w:ascii="Calibri" w:eastAsia="Calibri" w:hAnsi="Calibri" w:cs="Calibri"/>
          <w:iCs/>
          <w:color w:val="000000" w:themeColor="text1"/>
        </w:rPr>
        <w:t xml:space="preserve">CADMUS and </w:t>
      </w:r>
      <w:r w:rsidR="00162EA1" w:rsidRPr="0078489C">
        <w:rPr>
          <w:rFonts w:ascii="Calibri" w:eastAsia="Calibri" w:hAnsi="Calibri" w:cs="Calibri"/>
          <w:iCs/>
          <w:color w:val="000000" w:themeColor="text1"/>
        </w:rPr>
        <w:t>Study 2310</w:t>
      </w:r>
      <w:r w:rsidR="00AE761E" w:rsidRPr="0078489C">
        <w:rPr>
          <w:rFonts w:ascii="Calibri" w:eastAsia="Calibri" w:hAnsi="Calibri" w:cs="Calibri"/>
          <w:iCs/>
          <w:color w:val="000000" w:themeColor="text1"/>
        </w:rPr>
        <w:t xml:space="preserve"> (paragraph 6.12)</w:t>
      </w:r>
      <w:r w:rsidRPr="0078489C">
        <w:rPr>
          <w:rFonts w:ascii="Calibri" w:eastAsia="Calibri" w:hAnsi="Calibri" w:cs="Calibri"/>
          <w:iCs/>
          <w:color w:val="000000" w:themeColor="text1"/>
        </w:rPr>
        <w:t xml:space="preserve">. CADMUS and Study 2310 had differences in the trial population for severity grade of </w:t>
      </w:r>
      <w:r w:rsidR="00A479EB" w:rsidRPr="0078489C">
        <w:rPr>
          <w:rFonts w:ascii="Calibri" w:eastAsia="Calibri" w:hAnsi="Calibri" w:cs="Calibri"/>
          <w:iCs/>
          <w:color w:val="000000" w:themeColor="text1"/>
        </w:rPr>
        <w:t>CPP</w:t>
      </w:r>
      <w:r w:rsidRPr="0078489C">
        <w:rPr>
          <w:rFonts w:ascii="Calibri" w:eastAsia="Calibri" w:hAnsi="Calibri" w:cs="Calibri"/>
          <w:iCs/>
          <w:color w:val="000000" w:themeColor="text1"/>
        </w:rPr>
        <w:t xml:space="preserve"> and child age. Treatment differences included prior use</w:t>
      </w:r>
      <w:r w:rsidRPr="00E663C3">
        <w:rPr>
          <w:rFonts w:ascii="Calibri" w:eastAsia="Calibri" w:hAnsi="Calibri" w:cs="Calibri"/>
          <w:iCs/>
          <w:color w:val="000000" w:themeColor="text1"/>
        </w:rPr>
        <w:t xml:space="preserve"> of biologics and systemic therapy. The lack of applicability of </w:t>
      </w:r>
      <w:r w:rsidR="000F1CB8" w:rsidRPr="00E663C3">
        <w:rPr>
          <w:rFonts w:ascii="Calibri" w:eastAsia="Calibri" w:hAnsi="Calibri" w:cs="Calibri"/>
          <w:iCs/>
          <w:color w:val="000000" w:themeColor="text1"/>
        </w:rPr>
        <w:t xml:space="preserve">the </w:t>
      </w:r>
      <w:r w:rsidRPr="00E663C3">
        <w:rPr>
          <w:rFonts w:ascii="Calibri" w:eastAsia="Calibri" w:hAnsi="Calibri" w:cs="Calibri"/>
          <w:iCs/>
          <w:color w:val="000000" w:themeColor="text1"/>
        </w:rPr>
        <w:t>CADMUS population (moderate to severe) to the proposed PBS population (severe), and its small sample size (n=76) creates uncertainty regarding the lack of difference in PASI 75 response between ustekinumab and secukinumab</w:t>
      </w:r>
      <w:r w:rsidR="003C3BF3" w:rsidRPr="00E663C3">
        <w:rPr>
          <w:rFonts w:ascii="Calibri" w:eastAsia="Calibri" w:hAnsi="Calibri" w:cs="Calibri"/>
          <w:iCs/>
          <w:color w:val="000000" w:themeColor="text1"/>
        </w:rPr>
        <w:t>.</w:t>
      </w:r>
    </w:p>
    <w:p w:rsidR="000568CB" w:rsidRPr="00E663C3" w:rsidRDefault="000568CB" w:rsidP="003C3BF3">
      <w:pPr>
        <w:pStyle w:val="3-BodyText"/>
        <w:rPr>
          <w:lang w:val="en-US"/>
        </w:rPr>
      </w:pPr>
      <w:r w:rsidRPr="003C3BF3">
        <w:rPr>
          <w:rFonts w:ascii="Calibri" w:eastAsia="Calibri" w:hAnsi="Calibri" w:cs="Calibri"/>
          <w:color w:val="000000" w:themeColor="text1"/>
        </w:rPr>
        <w:t>Th</w:t>
      </w:r>
      <w:r w:rsidR="003C3BF3">
        <w:rPr>
          <w:rFonts w:ascii="Calibri" w:eastAsia="Calibri" w:hAnsi="Calibri" w:cs="Calibri"/>
          <w:color w:val="000000" w:themeColor="text1"/>
        </w:rPr>
        <w:t xml:space="preserve">e </w:t>
      </w:r>
      <w:r w:rsidRPr="003C3BF3">
        <w:rPr>
          <w:rFonts w:ascii="Calibri" w:eastAsia="Calibri" w:hAnsi="Calibri" w:cs="Calibri"/>
          <w:color w:val="000000" w:themeColor="text1"/>
        </w:rPr>
        <w:t xml:space="preserve">submission </w:t>
      </w:r>
      <w:r w:rsidR="000A3F68">
        <w:rPr>
          <w:rFonts w:ascii="Calibri" w:eastAsia="Calibri" w:hAnsi="Calibri" w:cs="Calibri"/>
          <w:color w:val="000000" w:themeColor="text1"/>
        </w:rPr>
        <w:t>nominated a</w:t>
      </w:r>
      <w:r w:rsidRPr="003C3BF3">
        <w:rPr>
          <w:rFonts w:ascii="Calibri" w:eastAsia="Calibri" w:hAnsi="Calibri" w:cs="Calibri"/>
          <w:color w:val="000000" w:themeColor="text1"/>
        </w:rPr>
        <w:t xml:space="preserve"> non-inferiority margin of 10% for PASI 75</w:t>
      </w:r>
      <w:r w:rsidR="001F38B3">
        <w:rPr>
          <w:rFonts w:ascii="Calibri" w:eastAsia="Calibri" w:hAnsi="Calibri" w:cs="Calibri"/>
          <w:color w:val="000000" w:themeColor="text1"/>
        </w:rPr>
        <w:t xml:space="preserve"> with respect to </w:t>
      </w:r>
      <w:r w:rsidR="23B0BC79" w:rsidRPr="003C3BF3">
        <w:rPr>
          <w:rFonts w:ascii="Calibri" w:eastAsia="Calibri" w:hAnsi="Calibri" w:cs="Calibri"/>
          <w:color w:val="000000" w:themeColor="text1"/>
        </w:rPr>
        <w:t>risk difference</w:t>
      </w:r>
      <w:r w:rsidRPr="003C3BF3">
        <w:rPr>
          <w:rFonts w:ascii="Calibri" w:eastAsia="Calibri" w:hAnsi="Calibri" w:cs="Calibri"/>
          <w:color w:val="000000" w:themeColor="text1"/>
        </w:rPr>
        <w:t xml:space="preserve">. </w:t>
      </w:r>
      <w:r w:rsidR="003C3BF3" w:rsidRPr="00E663C3">
        <w:rPr>
          <w:rStyle w:val="normaltextrun"/>
          <w:rFonts w:ascii="Calibri" w:hAnsi="Calibri" w:cs="Calibri"/>
          <w:iCs/>
          <w:color w:val="000000" w:themeColor="text1"/>
        </w:rPr>
        <w:t xml:space="preserve">While </w:t>
      </w:r>
      <w:r w:rsidR="00B4124E">
        <w:rPr>
          <w:rStyle w:val="normaltextrun"/>
          <w:rFonts w:ascii="Calibri" w:hAnsi="Calibri" w:cs="Calibri"/>
          <w:iCs/>
          <w:color w:val="000000" w:themeColor="text1"/>
        </w:rPr>
        <w:t>10%</w:t>
      </w:r>
      <w:r w:rsidR="00B4124E" w:rsidRPr="00E663C3">
        <w:rPr>
          <w:rStyle w:val="normaltextrun"/>
          <w:rFonts w:ascii="Calibri" w:hAnsi="Calibri" w:cs="Calibri"/>
          <w:iCs/>
          <w:color w:val="000000" w:themeColor="text1"/>
        </w:rPr>
        <w:t xml:space="preserve"> </w:t>
      </w:r>
      <w:r w:rsidR="003C3BF3" w:rsidRPr="00E663C3">
        <w:rPr>
          <w:rStyle w:val="normaltextrun"/>
          <w:rFonts w:ascii="Calibri" w:hAnsi="Calibri" w:cs="Calibri"/>
          <w:iCs/>
          <w:color w:val="000000" w:themeColor="text1"/>
        </w:rPr>
        <w:t>is the same non-inferiority margin used for the PASI 75 and PASI 90 outcomes in guselkumab and risankizumab submissions</w:t>
      </w:r>
      <w:r w:rsidR="001F38B3">
        <w:rPr>
          <w:rStyle w:val="normaltextrun"/>
          <w:rFonts w:ascii="Calibri" w:hAnsi="Calibri" w:cs="Calibri"/>
          <w:iCs/>
          <w:color w:val="000000" w:themeColor="text1"/>
        </w:rPr>
        <w:t xml:space="preserve"> for severe CPP in adults</w:t>
      </w:r>
      <w:r w:rsidR="0004243D" w:rsidRPr="00E663C3">
        <w:rPr>
          <w:rStyle w:val="normaltextrun"/>
          <w:rFonts w:ascii="Calibri" w:hAnsi="Calibri" w:cs="Calibri"/>
          <w:iCs/>
          <w:color w:val="000000" w:themeColor="text1"/>
        </w:rPr>
        <w:t xml:space="preserve"> (guselkumab PSD March 2018; risankizumab PSD July 2019)</w:t>
      </w:r>
      <w:r w:rsidR="003C3BF3" w:rsidRPr="00E663C3">
        <w:rPr>
          <w:rStyle w:val="normaltextrun"/>
          <w:rFonts w:ascii="Calibri" w:hAnsi="Calibri" w:cs="Calibri"/>
          <w:iCs/>
          <w:color w:val="000000" w:themeColor="text1"/>
        </w:rPr>
        <w:t>, it is unclear whether it is appropriate to apply to the paediatric population</w:t>
      </w:r>
      <w:r w:rsidR="0004243D" w:rsidRPr="00E663C3">
        <w:rPr>
          <w:rStyle w:val="normaltextrun"/>
          <w:rFonts w:ascii="Calibri" w:hAnsi="Calibri" w:cs="Calibri"/>
          <w:iCs/>
          <w:color w:val="000000" w:themeColor="text1"/>
        </w:rPr>
        <w:t>.</w:t>
      </w:r>
      <w:r w:rsidR="003C3BF3" w:rsidRPr="00E663C3">
        <w:rPr>
          <w:rStyle w:val="normaltextrun"/>
          <w:rFonts w:ascii="Calibri" w:hAnsi="Calibri" w:cs="Calibri"/>
          <w:iCs/>
          <w:color w:val="000000" w:themeColor="text1"/>
        </w:rPr>
        <w:t xml:space="preserve"> </w:t>
      </w:r>
      <w:r w:rsidR="00B4124E">
        <w:rPr>
          <w:rStyle w:val="normaltextrun"/>
          <w:rFonts w:ascii="Calibri" w:hAnsi="Calibri" w:cs="Calibri"/>
          <w:iCs/>
          <w:color w:val="000000" w:themeColor="text1"/>
        </w:rPr>
        <w:t>Moreover, t</w:t>
      </w:r>
      <w:r w:rsidR="003C3BF3" w:rsidRPr="00E663C3">
        <w:rPr>
          <w:rStyle w:val="normaltextrun"/>
          <w:rFonts w:ascii="Calibri" w:hAnsi="Calibri" w:cs="Calibri"/>
          <w:iCs/>
          <w:color w:val="000000" w:themeColor="text1"/>
        </w:rPr>
        <w:t>he submission did not apply the non</w:t>
      </w:r>
      <w:r w:rsidR="00AF0F9D" w:rsidRPr="00E663C3">
        <w:rPr>
          <w:rStyle w:val="normaltextrun"/>
          <w:rFonts w:ascii="Calibri" w:hAnsi="Calibri" w:cs="Calibri"/>
          <w:iCs/>
          <w:color w:val="000000" w:themeColor="text1"/>
        </w:rPr>
        <w:t xml:space="preserve">-inferiority margin to the PASI </w:t>
      </w:r>
      <w:r w:rsidR="003C3BF3" w:rsidRPr="00E663C3">
        <w:rPr>
          <w:rStyle w:val="normaltextrun"/>
          <w:rFonts w:ascii="Calibri" w:hAnsi="Calibri" w:cs="Calibri"/>
          <w:iCs/>
          <w:color w:val="000000" w:themeColor="text1"/>
        </w:rPr>
        <w:t xml:space="preserve">75 outcomes. </w:t>
      </w:r>
      <w:r w:rsidR="00AF0F9D" w:rsidRPr="00E663C3">
        <w:rPr>
          <w:rStyle w:val="normaltextrun"/>
          <w:rFonts w:ascii="Calibri" w:hAnsi="Calibri" w:cs="Calibri"/>
          <w:iCs/>
          <w:color w:val="000000" w:themeColor="text1"/>
        </w:rPr>
        <w:t>The evaluation noted that the lower</w:t>
      </w:r>
      <w:r w:rsidR="00E25C19" w:rsidRPr="00E663C3">
        <w:rPr>
          <w:rStyle w:val="normaltextrun"/>
          <w:rFonts w:ascii="Calibri" w:hAnsi="Calibri" w:cs="Calibri"/>
          <w:iCs/>
          <w:color w:val="000000" w:themeColor="text1"/>
        </w:rPr>
        <w:t xml:space="preserve"> risk difference</w:t>
      </w:r>
      <w:r w:rsidR="00AF0F9D" w:rsidRPr="00E663C3">
        <w:rPr>
          <w:rStyle w:val="normaltextrun"/>
          <w:rFonts w:ascii="Calibri" w:hAnsi="Calibri" w:cs="Calibri"/>
          <w:iCs/>
          <w:color w:val="000000" w:themeColor="text1"/>
        </w:rPr>
        <w:t xml:space="preserve"> confidence intervals for the indirect comparison of secukinumab LD, HD and combined doses vs ustekinumab</w:t>
      </w:r>
      <w:r w:rsidR="00E25C19" w:rsidRPr="00E663C3">
        <w:rPr>
          <w:rStyle w:val="normaltextrun"/>
          <w:rFonts w:ascii="Calibri" w:hAnsi="Calibri" w:cs="Calibri"/>
          <w:iCs/>
          <w:color w:val="000000" w:themeColor="text1"/>
        </w:rPr>
        <w:t xml:space="preserve"> (Table 6)</w:t>
      </w:r>
      <w:r w:rsidR="00AF0F9D" w:rsidRPr="00E663C3">
        <w:rPr>
          <w:rStyle w:val="normaltextrun"/>
          <w:rFonts w:ascii="Calibri" w:hAnsi="Calibri" w:cs="Calibri"/>
          <w:iCs/>
          <w:color w:val="000000" w:themeColor="text1"/>
        </w:rPr>
        <w:t xml:space="preserve"> were outside the</w:t>
      </w:r>
      <w:r w:rsidR="00E25C19" w:rsidRPr="00E663C3">
        <w:rPr>
          <w:rStyle w:val="normaltextrun"/>
          <w:rFonts w:ascii="Calibri" w:hAnsi="Calibri" w:cs="Calibri"/>
          <w:iCs/>
          <w:color w:val="000000" w:themeColor="text1"/>
        </w:rPr>
        <w:t xml:space="preserve"> proposed</w:t>
      </w:r>
      <w:r w:rsidR="00AF0F9D" w:rsidRPr="00E663C3">
        <w:rPr>
          <w:rStyle w:val="normaltextrun"/>
          <w:rFonts w:ascii="Calibri" w:hAnsi="Calibri" w:cs="Calibri"/>
          <w:iCs/>
          <w:color w:val="000000" w:themeColor="text1"/>
        </w:rPr>
        <w:t xml:space="preserve"> </w:t>
      </w:r>
      <w:r w:rsidR="00E25C19" w:rsidRPr="00E663C3">
        <w:rPr>
          <w:rStyle w:val="normaltextrun"/>
          <w:rFonts w:ascii="Calibri" w:hAnsi="Calibri" w:cs="Calibri"/>
          <w:iCs/>
          <w:color w:val="000000" w:themeColor="text1"/>
        </w:rPr>
        <w:t>10% margin, and therefore the</w:t>
      </w:r>
      <w:r w:rsidR="001F38B3">
        <w:rPr>
          <w:rStyle w:val="normaltextrun"/>
          <w:rFonts w:ascii="Calibri" w:hAnsi="Calibri" w:cs="Calibri"/>
          <w:iCs/>
          <w:color w:val="000000" w:themeColor="text1"/>
        </w:rPr>
        <w:t xml:space="preserve"> proposed</w:t>
      </w:r>
      <w:r w:rsidR="00E25C19" w:rsidRPr="00E663C3">
        <w:rPr>
          <w:rStyle w:val="normaltextrun"/>
          <w:rFonts w:ascii="Calibri" w:hAnsi="Calibri" w:cs="Calibri"/>
          <w:iCs/>
          <w:color w:val="000000" w:themeColor="text1"/>
        </w:rPr>
        <w:t xml:space="preserve"> non-inferiority margin was not met.</w:t>
      </w:r>
    </w:p>
    <w:p w:rsidR="00BB36A1" w:rsidRDefault="000568CB" w:rsidP="005E2068">
      <w:pPr>
        <w:pStyle w:val="3-BodyText"/>
        <w:rPr>
          <w:rFonts w:eastAsiaTheme="minorEastAsia" w:cstheme="minorBidi"/>
          <w:i/>
          <w:iCs/>
          <w:lang w:val="en-US"/>
        </w:rPr>
      </w:pPr>
      <w:r w:rsidRPr="6A8F74B3">
        <w:rPr>
          <w:lang w:val="en-US"/>
        </w:rPr>
        <w:t>The submission claimed that no minimal clinically important difference (MCID) was specified in the trials</w:t>
      </w:r>
      <w:r w:rsidR="23B0BC79" w:rsidRPr="6A8F74B3">
        <w:rPr>
          <w:lang w:val="en-US"/>
        </w:rPr>
        <w:t xml:space="preserve"> and</w:t>
      </w:r>
      <w:r w:rsidRPr="6A8F74B3">
        <w:rPr>
          <w:lang w:val="en-US"/>
        </w:rPr>
        <w:t xml:space="preserve"> so proposed a 75% reduction from the baseline PASI score (i.e</w:t>
      </w:r>
      <w:r w:rsidR="23B0BC79" w:rsidRPr="6A8F74B3">
        <w:rPr>
          <w:lang w:val="en-US"/>
        </w:rPr>
        <w:t>.</w:t>
      </w:r>
      <w:r w:rsidRPr="6A8F74B3">
        <w:rPr>
          <w:lang w:val="en-US"/>
        </w:rPr>
        <w:t xml:space="preserve"> PASI 75 response) as the MCID. </w:t>
      </w:r>
      <w:r w:rsidR="3E21A4C0" w:rsidRPr="00E663C3">
        <w:rPr>
          <w:iCs/>
          <w:lang w:val="en-US"/>
        </w:rPr>
        <w:t xml:space="preserve">However, this is not a MCID, rather a justification </w:t>
      </w:r>
      <w:r w:rsidR="00B12024">
        <w:rPr>
          <w:iCs/>
          <w:lang w:val="en-US"/>
        </w:rPr>
        <w:t xml:space="preserve">of the clinical relevance </w:t>
      </w:r>
      <w:r w:rsidR="3E21A4C0" w:rsidRPr="00E663C3">
        <w:rPr>
          <w:iCs/>
          <w:lang w:val="en-US"/>
        </w:rPr>
        <w:t xml:space="preserve">of the </w:t>
      </w:r>
      <w:r w:rsidR="15FE3099" w:rsidRPr="00E663C3">
        <w:rPr>
          <w:iCs/>
          <w:lang w:val="en-US"/>
        </w:rPr>
        <w:t>PASI</w:t>
      </w:r>
      <w:r w:rsidR="190C99D4" w:rsidRPr="00E663C3">
        <w:rPr>
          <w:iCs/>
          <w:lang w:val="en-US"/>
        </w:rPr>
        <w:t xml:space="preserve"> </w:t>
      </w:r>
      <w:r w:rsidR="15FE3099" w:rsidRPr="00E663C3">
        <w:rPr>
          <w:iCs/>
          <w:lang w:val="en-US"/>
        </w:rPr>
        <w:t>75</w:t>
      </w:r>
      <w:r w:rsidR="3E21A4C0" w:rsidRPr="00E663C3">
        <w:rPr>
          <w:iCs/>
          <w:lang w:val="en-US"/>
        </w:rPr>
        <w:t xml:space="preserve"> outcome. </w:t>
      </w:r>
      <w:r w:rsidR="008B44C6" w:rsidRPr="00E663C3">
        <w:rPr>
          <w:iCs/>
          <w:lang w:val="en-US"/>
        </w:rPr>
        <w:t>Th</w:t>
      </w:r>
      <w:r w:rsidRPr="00E663C3">
        <w:rPr>
          <w:iCs/>
          <w:lang w:val="en-US"/>
        </w:rPr>
        <w:t>e MCID suggested for the secondary outcome of</w:t>
      </w:r>
      <w:r w:rsidR="23B0BC79" w:rsidRPr="00E663C3">
        <w:rPr>
          <w:iCs/>
          <w:lang w:val="en-US"/>
        </w:rPr>
        <w:t xml:space="preserve"> </w:t>
      </w:r>
      <w:r w:rsidR="23B0BC79" w:rsidRPr="00E663C3">
        <w:rPr>
          <w:rFonts w:ascii="Calibri" w:hAnsi="Calibri"/>
          <w:iCs/>
          <w:lang w:val="en-US"/>
        </w:rPr>
        <w:t>Children's Dermatology Life Quality Index</w:t>
      </w:r>
      <w:r w:rsidRPr="00E663C3">
        <w:rPr>
          <w:iCs/>
          <w:lang w:val="en-US"/>
        </w:rPr>
        <w:t xml:space="preserve"> </w:t>
      </w:r>
      <w:r w:rsidR="23B0BC79" w:rsidRPr="00E663C3">
        <w:rPr>
          <w:iCs/>
          <w:lang w:val="en-US"/>
        </w:rPr>
        <w:t>(</w:t>
      </w:r>
      <w:r w:rsidRPr="00E663C3">
        <w:rPr>
          <w:iCs/>
          <w:lang w:val="en-US"/>
        </w:rPr>
        <w:t>CDLQI</w:t>
      </w:r>
      <w:r w:rsidR="23B0BC79" w:rsidRPr="00E663C3">
        <w:rPr>
          <w:iCs/>
          <w:lang w:val="en-US"/>
        </w:rPr>
        <w:t>)</w:t>
      </w:r>
      <w:r w:rsidR="008B44C6" w:rsidRPr="00E663C3">
        <w:rPr>
          <w:iCs/>
          <w:lang w:val="en-US"/>
        </w:rPr>
        <w:t xml:space="preserve"> was from</w:t>
      </w:r>
      <w:r w:rsidR="7D0B90C8" w:rsidRPr="00E663C3">
        <w:rPr>
          <w:iCs/>
          <w:lang w:val="en-US"/>
        </w:rPr>
        <w:t xml:space="preserve"> </w:t>
      </w:r>
      <w:r w:rsidR="7D0B90C8" w:rsidRPr="00955DD9">
        <w:rPr>
          <w:iCs/>
          <w:lang w:val="en-US"/>
        </w:rPr>
        <w:t>the</w:t>
      </w:r>
      <w:r w:rsidRPr="00955DD9">
        <w:rPr>
          <w:iCs/>
          <w:lang w:val="en-US"/>
        </w:rPr>
        <w:t xml:space="preserve"> Langley 2011</w:t>
      </w:r>
      <w:r w:rsidR="00801DAC" w:rsidRPr="00955DD9">
        <w:rPr>
          <w:rStyle w:val="FootnoteReference"/>
          <w:iCs/>
          <w:lang w:val="en-US"/>
        </w:rPr>
        <w:footnoteReference w:id="3"/>
      </w:r>
      <w:r w:rsidRPr="00955DD9">
        <w:rPr>
          <w:iCs/>
          <w:lang w:val="en-US"/>
        </w:rPr>
        <w:t xml:space="preserve"> publication on the </w:t>
      </w:r>
      <w:r w:rsidR="00162EA1" w:rsidRPr="00955DD9">
        <w:rPr>
          <w:iCs/>
          <w:lang w:val="en-US"/>
        </w:rPr>
        <w:t>Study 20030211</w:t>
      </w:r>
      <w:r w:rsidR="00801DAC" w:rsidRPr="00955DD9">
        <w:rPr>
          <w:rStyle w:val="FootnoteReference"/>
          <w:iCs/>
          <w:lang w:val="en-US"/>
        </w:rPr>
        <w:footnoteReference w:id="4"/>
      </w:r>
      <w:r w:rsidRPr="00955DD9">
        <w:rPr>
          <w:iCs/>
          <w:lang w:val="en-US"/>
        </w:rPr>
        <w:t xml:space="preserve"> </w:t>
      </w:r>
      <w:r w:rsidR="009C3C9B" w:rsidRPr="00955DD9">
        <w:rPr>
          <w:iCs/>
          <w:lang w:val="en-US"/>
        </w:rPr>
        <w:t>(</w:t>
      </w:r>
      <w:r w:rsidRPr="00955DD9">
        <w:rPr>
          <w:iCs/>
          <w:lang w:val="en-US"/>
        </w:rPr>
        <w:t>etanercept versus placebo</w:t>
      </w:r>
      <w:r w:rsidR="008B44C6" w:rsidRPr="00955DD9">
        <w:rPr>
          <w:iCs/>
          <w:lang w:val="en-US"/>
        </w:rPr>
        <w:t xml:space="preserve">; </w:t>
      </w:r>
      <w:r w:rsidRPr="00955DD9">
        <w:rPr>
          <w:iCs/>
          <w:lang w:val="en-US"/>
        </w:rPr>
        <w:t>2.5</w:t>
      </w:r>
      <w:r w:rsidR="67B1F07D" w:rsidRPr="00955DD9">
        <w:rPr>
          <w:iCs/>
          <w:lang w:val="en-US"/>
        </w:rPr>
        <w:t xml:space="preserve"> </w:t>
      </w:r>
      <w:r w:rsidR="7C1A545E" w:rsidRPr="00955DD9">
        <w:rPr>
          <w:iCs/>
          <w:lang w:val="en-US"/>
        </w:rPr>
        <w:t xml:space="preserve">mean change in </w:t>
      </w:r>
      <w:r w:rsidR="67B1F07D" w:rsidRPr="00955DD9">
        <w:rPr>
          <w:iCs/>
          <w:lang w:val="en-US"/>
        </w:rPr>
        <w:t>score</w:t>
      </w:r>
      <w:r w:rsidR="008B44C6" w:rsidRPr="00955DD9">
        <w:rPr>
          <w:iCs/>
          <w:lang w:val="en-US"/>
        </w:rPr>
        <w:t>)</w:t>
      </w:r>
      <w:r w:rsidR="3B281611" w:rsidRPr="00955DD9">
        <w:rPr>
          <w:iCs/>
          <w:lang w:val="en-US"/>
        </w:rPr>
        <w:t>.</w:t>
      </w:r>
      <w:r w:rsidR="3B281611" w:rsidRPr="6A8F74B3">
        <w:rPr>
          <w:i/>
          <w:iCs/>
          <w:lang w:val="en-US"/>
        </w:rPr>
        <w:t xml:space="preserve"> </w:t>
      </w:r>
    </w:p>
    <w:p w:rsidR="00BB36A1" w:rsidRPr="00E663C3" w:rsidRDefault="000568CB" w:rsidP="00BB36A1">
      <w:pPr>
        <w:pStyle w:val="3-BodyText"/>
        <w:rPr>
          <w:rFonts w:eastAsiaTheme="minorEastAsia" w:cstheme="minorBidi"/>
          <w:color w:val="000000" w:themeColor="text1"/>
          <w:lang w:val="en-US"/>
        </w:rPr>
      </w:pPr>
      <w:r w:rsidRPr="07C74803">
        <w:rPr>
          <w:rFonts w:ascii="Calibri" w:hAnsi="Calibri"/>
          <w:lang w:val="en-US"/>
        </w:rPr>
        <w:t xml:space="preserve">Table </w:t>
      </w:r>
      <w:r w:rsidR="002564B8">
        <w:rPr>
          <w:rFonts w:ascii="Calibri" w:hAnsi="Calibri"/>
          <w:lang w:val="en-US"/>
        </w:rPr>
        <w:t>6</w:t>
      </w:r>
      <w:r w:rsidRPr="07C74803">
        <w:rPr>
          <w:rFonts w:ascii="Calibri" w:hAnsi="Calibri"/>
          <w:lang w:val="en-US"/>
        </w:rPr>
        <w:t xml:space="preserve"> presents the </w:t>
      </w:r>
      <w:r w:rsidRPr="07C74803">
        <w:rPr>
          <w:rFonts w:ascii="Calibri" w:eastAsia="Calibri" w:hAnsi="Calibri" w:cs="Calibri"/>
          <w:color w:val="000000" w:themeColor="text1"/>
          <w:lang w:val="en-US"/>
        </w:rPr>
        <w:t xml:space="preserve">change in </w:t>
      </w:r>
      <w:r w:rsidR="71939A8B">
        <w:rPr>
          <w:rFonts w:ascii="Calibri" w:eastAsia="Calibri" w:hAnsi="Calibri" w:cs="Calibri"/>
          <w:color w:val="000000" w:themeColor="text1"/>
          <w:lang w:val="en-US"/>
        </w:rPr>
        <w:t>health-related qualify of life (</w:t>
      </w:r>
      <w:r w:rsidRPr="07C74803">
        <w:rPr>
          <w:rFonts w:ascii="Calibri" w:eastAsia="Calibri" w:hAnsi="Calibri" w:cs="Calibri"/>
          <w:color w:val="000000" w:themeColor="text1"/>
          <w:lang w:val="en-US"/>
        </w:rPr>
        <w:t>HRQ</w:t>
      </w:r>
      <w:r w:rsidR="71939A8B">
        <w:rPr>
          <w:rFonts w:ascii="Calibri" w:eastAsia="Calibri" w:hAnsi="Calibri" w:cs="Calibri"/>
          <w:color w:val="000000" w:themeColor="text1"/>
          <w:lang w:val="en-US"/>
        </w:rPr>
        <w:t>o</w:t>
      </w:r>
      <w:r w:rsidRPr="07C74803">
        <w:rPr>
          <w:rFonts w:ascii="Calibri" w:eastAsia="Calibri" w:hAnsi="Calibri" w:cs="Calibri"/>
          <w:color w:val="000000" w:themeColor="text1"/>
          <w:lang w:val="en-US"/>
        </w:rPr>
        <w:t>L</w:t>
      </w:r>
      <w:r w:rsidR="71939A8B">
        <w:rPr>
          <w:rFonts w:ascii="Calibri" w:eastAsia="Calibri" w:hAnsi="Calibri" w:cs="Calibri"/>
          <w:color w:val="000000" w:themeColor="text1"/>
          <w:lang w:val="en-US"/>
        </w:rPr>
        <w:t>)</w:t>
      </w:r>
      <w:r w:rsidRPr="07C74803">
        <w:rPr>
          <w:rFonts w:ascii="Calibri" w:eastAsia="Calibri" w:hAnsi="Calibri" w:cs="Calibri"/>
          <w:color w:val="000000" w:themeColor="text1"/>
          <w:lang w:val="en-US"/>
        </w:rPr>
        <w:t xml:space="preserve"> of CDLQI from baseline in </w:t>
      </w:r>
      <w:r w:rsidR="00162EA1">
        <w:rPr>
          <w:rFonts w:ascii="Calibri" w:eastAsia="Calibri" w:hAnsi="Calibri" w:cs="Calibri"/>
          <w:color w:val="000000" w:themeColor="text1"/>
          <w:lang w:val="en-US"/>
        </w:rPr>
        <w:t>Study 2310</w:t>
      </w:r>
      <w:r w:rsidRPr="07C74803">
        <w:rPr>
          <w:rFonts w:ascii="Calibri" w:eastAsia="Calibri" w:hAnsi="Calibri" w:cs="Calibri"/>
          <w:color w:val="000000" w:themeColor="text1"/>
          <w:lang w:val="en-US"/>
        </w:rPr>
        <w:t xml:space="preserve">. </w:t>
      </w:r>
      <w:r w:rsidRPr="00E663C3">
        <w:rPr>
          <w:rFonts w:ascii="Calibri" w:eastAsia="Calibri" w:hAnsi="Calibri" w:cs="Calibri"/>
          <w:color w:val="000000" w:themeColor="text1"/>
          <w:lang w:val="en-US"/>
        </w:rPr>
        <w:t>Both secukinumab and etanercept show improved HRQoL from baseline</w:t>
      </w:r>
      <w:r w:rsidR="0AE9C93C" w:rsidRPr="00E663C3">
        <w:rPr>
          <w:rFonts w:ascii="Calibri" w:eastAsia="Calibri" w:hAnsi="Calibri" w:cs="Calibri"/>
          <w:color w:val="000000" w:themeColor="text1"/>
          <w:lang w:val="en-US"/>
        </w:rPr>
        <w:t xml:space="preserve"> via</w:t>
      </w:r>
      <w:r w:rsidR="00425678">
        <w:rPr>
          <w:rFonts w:ascii="Calibri" w:eastAsia="Calibri" w:hAnsi="Calibri" w:cs="Calibri"/>
          <w:color w:val="000000" w:themeColor="text1"/>
          <w:lang w:val="en-US"/>
        </w:rPr>
        <w:t xml:space="preserve"> the</w:t>
      </w:r>
      <w:r w:rsidR="0AE9C93C" w:rsidRPr="00E663C3">
        <w:rPr>
          <w:rFonts w:ascii="Calibri" w:eastAsia="Calibri" w:hAnsi="Calibri" w:cs="Calibri"/>
          <w:color w:val="000000" w:themeColor="text1"/>
          <w:lang w:val="en-US"/>
        </w:rPr>
        <w:t xml:space="preserve"> CDLQI score</w:t>
      </w:r>
      <w:r w:rsidRPr="00E663C3">
        <w:rPr>
          <w:rFonts w:ascii="Calibri" w:eastAsia="Calibri" w:hAnsi="Calibri" w:cs="Calibri"/>
          <w:color w:val="000000" w:themeColor="text1"/>
          <w:lang w:val="en-US"/>
        </w:rPr>
        <w:t xml:space="preserve">. </w:t>
      </w:r>
      <w:r w:rsidRPr="00E663C3">
        <w:rPr>
          <w:rFonts w:ascii="Calibri" w:eastAsia="Calibri" w:hAnsi="Calibri" w:cs="Calibri"/>
          <w:iCs/>
          <w:color w:val="000000" w:themeColor="text1"/>
          <w:lang w:val="en-US"/>
        </w:rPr>
        <w:t>Study 2310 reports mean changes in HRQo</w:t>
      </w:r>
      <w:r w:rsidR="71939A8B" w:rsidRPr="00E663C3">
        <w:rPr>
          <w:rFonts w:ascii="Calibri" w:eastAsia="Calibri" w:hAnsi="Calibri" w:cs="Calibri"/>
          <w:iCs/>
          <w:color w:val="000000" w:themeColor="text1"/>
          <w:lang w:val="en-US"/>
        </w:rPr>
        <w:t>L</w:t>
      </w:r>
      <w:r w:rsidRPr="00E663C3">
        <w:rPr>
          <w:rFonts w:ascii="Calibri" w:eastAsia="Calibri" w:hAnsi="Calibri" w:cs="Calibri"/>
          <w:iCs/>
          <w:color w:val="000000" w:themeColor="text1"/>
          <w:lang w:val="en-US"/>
        </w:rPr>
        <w:t xml:space="preserve"> of 5.26 for secukinumab and 3.92 for etanercept above placebo</w:t>
      </w:r>
      <w:r w:rsidR="00C11103" w:rsidRPr="00E663C3">
        <w:rPr>
          <w:rFonts w:ascii="Calibri" w:eastAsia="Calibri" w:hAnsi="Calibri" w:cs="Calibri"/>
          <w:iCs/>
          <w:color w:val="000000" w:themeColor="text1"/>
          <w:lang w:val="en-US"/>
        </w:rPr>
        <w:t>, respectively</w:t>
      </w:r>
      <w:r w:rsidR="4A1BBBAD" w:rsidRPr="00E663C3">
        <w:rPr>
          <w:rFonts w:ascii="Calibri" w:eastAsia="Calibri" w:hAnsi="Calibri" w:cs="Calibri"/>
          <w:iCs/>
          <w:color w:val="000000" w:themeColor="text1"/>
          <w:lang w:val="en-US"/>
        </w:rPr>
        <w:t xml:space="preserve">. </w:t>
      </w:r>
      <w:r w:rsidR="00C11103" w:rsidRPr="00E663C3">
        <w:rPr>
          <w:rFonts w:ascii="Calibri" w:eastAsia="Calibri" w:hAnsi="Calibri" w:cs="Calibri"/>
          <w:iCs/>
          <w:color w:val="000000" w:themeColor="text1"/>
          <w:lang w:val="en-US"/>
        </w:rPr>
        <w:t xml:space="preserve">While these scores were above the MCID of 2.5 mean change in </w:t>
      </w:r>
      <w:r w:rsidR="00C11103" w:rsidRPr="00E663C3">
        <w:rPr>
          <w:iCs/>
          <w:lang w:val="en-US"/>
        </w:rPr>
        <w:t>CDLQI</w:t>
      </w:r>
      <w:r w:rsidR="00C11103" w:rsidRPr="00E663C3">
        <w:rPr>
          <w:rFonts w:ascii="Calibri" w:eastAsia="Calibri" w:hAnsi="Calibri" w:cs="Calibri"/>
          <w:iCs/>
          <w:color w:val="000000" w:themeColor="text1"/>
          <w:lang w:val="en-US"/>
        </w:rPr>
        <w:t xml:space="preserve"> proposed by Langley 2011, a</w:t>
      </w:r>
      <w:r w:rsidR="43496D43" w:rsidRPr="00E663C3">
        <w:rPr>
          <w:rFonts w:ascii="Calibri" w:eastAsia="Calibri" w:hAnsi="Calibri" w:cs="Calibri"/>
          <w:iCs/>
          <w:color w:val="000000" w:themeColor="text1"/>
          <w:lang w:val="en-US"/>
        </w:rPr>
        <w:t>ccording to Waters et al. (2010)</w:t>
      </w:r>
      <w:r w:rsidR="00AC7791" w:rsidRPr="00E663C3">
        <w:rPr>
          <w:rStyle w:val="FootnoteReference"/>
          <w:rFonts w:ascii="Calibri" w:eastAsia="Calibri" w:hAnsi="Calibri" w:cs="Calibri"/>
          <w:iCs/>
          <w:color w:val="000000" w:themeColor="text1"/>
          <w:lang w:val="en-US"/>
        </w:rPr>
        <w:footnoteReference w:id="5"/>
      </w:r>
      <w:r w:rsidR="43496D43" w:rsidRPr="00E663C3">
        <w:rPr>
          <w:rFonts w:ascii="Calibri" w:eastAsia="Calibri" w:hAnsi="Calibri" w:cs="Calibri"/>
          <w:iCs/>
          <w:color w:val="000000" w:themeColor="text1"/>
          <w:lang w:val="en-US"/>
        </w:rPr>
        <w:t xml:space="preserve"> identified during the evaluation</w:t>
      </w:r>
      <w:r w:rsidR="00C11103" w:rsidRPr="00E663C3">
        <w:rPr>
          <w:rFonts w:ascii="Calibri" w:eastAsia="Calibri" w:hAnsi="Calibri" w:cs="Calibri"/>
          <w:iCs/>
          <w:color w:val="000000" w:themeColor="text1"/>
          <w:lang w:val="en-US"/>
        </w:rPr>
        <w:t>,</w:t>
      </w:r>
      <w:r w:rsidR="43496D43" w:rsidRPr="00E663C3">
        <w:rPr>
          <w:rFonts w:ascii="Calibri" w:eastAsia="Calibri" w:hAnsi="Calibri" w:cs="Calibri"/>
          <w:iCs/>
          <w:color w:val="000000" w:themeColor="text1"/>
          <w:lang w:val="en-US"/>
        </w:rPr>
        <w:t xml:space="preserve"> these mean changes would be </w:t>
      </w:r>
      <w:r w:rsidRPr="00E663C3">
        <w:rPr>
          <w:rFonts w:ascii="Calibri" w:eastAsia="Calibri" w:hAnsi="Calibri" w:cs="Calibri"/>
          <w:iCs/>
          <w:color w:val="000000" w:themeColor="text1"/>
          <w:lang w:val="en-US"/>
        </w:rPr>
        <w:t>considered small</w:t>
      </w:r>
      <w:r w:rsidR="003F21E9" w:rsidRPr="00E663C3">
        <w:rPr>
          <w:rFonts w:ascii="Calibri" w:eastAsia="Calibri" w:hAnsi="Calibri" w:cs="Calibri"/>
          <w:iCs/>
          <w:color w:val="000000" w:themeColor="text1"/>
          <w:lang w:val="en-US"/>
        </w:rPr>
        <w:t>.</w:t>
      </w:r>
    </w:p>
    <w:p w:rsidR="00BB36A1" w:rsidRPr="009B22C0" w:rsidRDefault="00BB36A1" w:rsidP="005E2068">
      <w:pPr>
        <w:pStyle w:val="3-BodyText"/>
        <w:keepNext/>
        <w:numPr>
          <w:ilvl w:val="1"/>
          <w:numId w:val="0"/>
        </w:numPr>
        <w:spacing w:after="0"/>
        <w:rPr>
          <w:rFonts w:ascii="Arial Narrow" w:eastAsia="Arial Narrow" w:hAnsi="Arial Narrow" w:cs="Arial Narrow"/>
          <w:b/>
          <w:bCs/>
          <w:color w:val="000000" w:themeColor="text1"/>
          <w:sz w:val="20"/>
          <w:szCs w:val="20"/>
          <w:lang w:val="en-US"/>
        </w:rPr>
      </w:pPr>
      <w:r w:rsidRPr="009B22C0">
        <w:rPr>
          <w:rFonts w:ascii="Arial Narrow" w:eastAsia="Arial Narrow" w:hAnsi="Arial Narrow" w:cs="Arial Narrow"/>
          <w:b/>
          <w:bCs/>
          <w:color w:val="000000" w:themeColor="text1"/>
          <w:sz w:val="20"/>
          <w:szCs w:val="20"/>
        </w:rPr>
        <w:t xml:space="preserve">Table </w:t>
      </w:r>
      <w:r w:rsidR="002564B8" w:rsidRPr="009B22C0">
        <w:rPr>
          <w:rFonts w:ascii="Arial Narrow" w:eastAsia="Arial Narrow" w:hAnsi="Arial Narrow" w:cs="Arial Narrow"/>
          <w:b/>
          <w:bCs/>
          <w:color w:val="000000" w:themeColor="text1"/>
          <w:sz w:val="20"/>
          <w:szCs w:val="20"/>
        </w:rPr>
        <w:t>6</w:t>
      </w:r>
      <w:r w:rsidRPr="009B22C0">
        <w:rPr>
          <w:rFonts w:ascii="Arial Narrow" w:eastAsia="Arial Narrow" w:hAnsi="Arial Narrow" w:cs="Arial Narrow"/>
          <w:b/>
          <w:bCs/>
          <w:color w:val="000000" w:themeColor="text1"/>
          <w:sz w:val="20"/>
          <w:szCs w:val="20"/>
        </w:rPr>
        <w:t>: Summary of CDLQI from Study 2310</w:t>
      </w:r>
      <w:r w:rsidR="00101853">
        <w:rPr>
          <w:rFonts w:ascii="Arial Narrow" w:eastAsia="Arial Narrow" w:hAnsi="Arial Narrow" w:cs="Arial Narrow"/>
          <w:b/>
          <w:bCs/>
          <w:color w:val="000000" w:themeColor="text1"/>
          <w:sz w:val="20"/>
          <w:szCs w:val="20"/>
        </w:rPr>
        <w:t>*</w:t>
      </w:r>
    </w:p>
    <w:tbl>
      <w:tblPr>
        <w:tblStyle w:val="TableGrid"/>
        <w:tblW w:w="5000" w:type="pct"/>
        <w:tblLook w:val="04A0" w:firstRow="1" w:lastRow="0" w:firstColumn="1" w:lastColumn="0" w:noHBand="0" w:noVBand="1"/>
        <w:tblCaption w:val="Table 6: Summary of CDLQI from Study 2310"/>
      </w:tblPr>
      <w:tblGrid>
        <w:gridCol w:w="1696"/>
        <w:gridCol w:w="710"/>
        <w:gridCol w:w="1419"/>
        <w:gridCol w:w="707"/>
        <w:gridCol w:w="1549"/>
        <w:gridCol w:w="945"/>
        <w:gridCol w:w="1991"/>
      </w:tblGrid>
      <w:tr w:rsidR="00AD4FE9" w:rsidRPr="009B22C0" w:rsidTr="00551EB3">
        <w:trPr>
          <w:trHeight w:val="300"/>
          <w:tblHeader/>
        </w:trPr>
        <w:tc>
          <w:tcPr>
            <w:tcW w:w="940" w:type="pct"/>
          </w:tcPr>
          <w:p w:rsidR="00AD4FE9" w:rsidRPr="009B22C0" w:rsidRDefault="00AD4FE9" w:rsidP="005E2068">
            <w:pPr>
              <w:pStyle w:val="PBACTableText"/>
              <w:keepNext/>
              <w:rPr>
                <w:rFonts w:eastAsia="Arial Narrow" w:cs="Arial Narrow"/>
              </w:rPr>
            </w:pPr>
            <w:r w:rsidRPr="009B22C0">
              <w:rPr>
                <w:rFonts w:eastAsia="Arial Narrow" w:cs="Arial Narrow"/>
                <w:b/>
                <w:bCs/>
              </w:rPr>
              <w:t>Treatment arm</w:t>
            </w:r>
          </w:p>
        </w:tc>
        <w:tc>
          <w:tcPr>
            <w:tcW w:w="393" w:type="pct"/>
          </w:tcPr>
          <w:p w:rsidR="00AD4FE9" w:rsidRPr="009B22C0" w:rsidRDefault="00AD4FE9" w:rsidP="005E2068">
            <w:pPr>
              <w:pStyle w:val="PBACTableText"/>
              <w:keepNext/>
              <w:jc w:val="center"/>
              <w:rPr>
                <w:rFonts w:eastAsia="Arial Narrow" w:cs="Arial Narrow"/>
              </w:rPr>
            </w:pPr>
            <w:r w:rsidRPr="009B22C0">
              <w:rPr>
                <w:rFonts w:eastAsia="Arial Narrow" w:cs="Arial Narrow"/>
                <w:b/>
                <w:bCs/>
              </w:rPr>
              <w:t>N</w:t>
            </w:r>
          </w:p>
        </w:tc>
        <w:tc>
          <w:tcPr>
            <w:tcW w:w="787" w:type="pct"/>
          </w:tcPr>
          <w:p w:rsidR="00AD4FE9" w:rsidRPr="009B22C0" w:rsidRDefault="00AD4FE9" w:rsidP="005E2068">
            <w:pPr>
              <w:pStyle w:val="PBACTableText"/>
              <w:keepNext/>
              <w:jc w:val="center"/>
              <w:rPr>
                <w:rFonts w:eastAsia="Arial Narrow" w:cs="Arial Narrow"/>
              </w:rPr>
            </w:pPr>
            <w:r w:rsidRPr="009B22C0">
              <w:rPr>
                <w:rFonts w:eastAsia="Arial Narrow" w:cs="Arial Narrow"/>
                <w:b/>
                <w:bCs/>
              </w:rPr>
              <w:t>Mean change from baseline</w:t>
            </w:r>
          </w:p>
        </w:tc>
        <w:tc>
          <w:tcPr>
            <w:tcW w:w="392" w:type="pct"/>
          </w:tcPr>
          <w:p w:rsidR="00AD4FE9" w:rsidRPr="009B22C0" w:rsidRDefault="00AD4FE9" w:rsidP="005E2068">
            <w:pPr>
              <w:pStyle w:val="PBACTableText"/>
              <w:keepNext/>
              <w:jc w:val="center"/>
              <w:rPr>
                <w:rFonts w:eastAsia="Arial Narrow" w:cs="Arial Narrow"/>
              </w:rPr>
            </w:pPr>
            <w:r w:rsidRPr="009B22C0">
              <w:rPr>
                <w:rFonts w:eastAsia="Arial Narrow" w:cs="Arial Narrow"/>
                <w:b/>
                <w:bCs/>
              </w:rPr>
              <w:t>SD</w:t>
            </w:r>
          </w:p>
        </w:tc>
        <w:tc>
          <w:tcPr>
            <w:tcW w:w="859" w:type="pct"/>
          </w:tcPr>
          <w:p w:rsidR="00AD4FE9" w:rsidRPr="009B22C0" w:rsidRDefault="00AD4FE9" w:rsidP="005E2068">
            <w:pPr>
              <w:pStyle w:val="PBACTableText"/>
              <w:keepNext/>
              <w:jc w:val="center"/>
              <w:rPr>
                <w:rFonts w:eastAsia="Arial Narrow" w:cs="Arial Narrow"/>
              </w:rPr>
            </w:pPr>
            <w:r w:rsidRPr="009B22C0">
              <w:rPr>
                <w:rFonts w:eastAsia="Arial Narrow" w:cs="Arial Narrow"/>
                <w:b/>
                <w:bCs/>
              </w:rPr>
              <w:t>% Mean change from baseline</w:t>
            </w:r>
          </w:p>
        </w:tc>
        <w:tc>
          <w:tcPr>
            <w:tcW w:w="524" w:type="pct"/>
          </w:tcPr>
          <w:p w:rsidR="00AD4FE9" w:rsidRPr="009B22C0" w:rsidRDefault="00AD4FE9" w:rsidP="005E2068">
            <w:pPr>
              <w:pStyle w:val="PBACTableText"/>
              <w:keepNext/>
              <w:jc w:val="center"/>
              <w:rPr>
                <w:rFonts w:eastAsia="Arial Narrow" w:cs="Arial Narrow"/>
              </w:rPr>
            </w:pPr>
            <w:r w:rsidRPr="009B22C0">
              <w:rPr>
                <w:rFonts w:eastAsia="Arial Narrow" w:cs="Arial Narrow"/>
                <w:b/>
                <w:bCs/>
              </w:rPr>
              <w:t>SD</w:t>
            </w:r>
          </w:p>
        </w:tc>
        <w:tc>
          <w:tcPr>
            <w:tcW w:w="1104" w:type="pct"/>
          </w:tcPr>
          <w:p w:rsidR="00AD4FE9" w:rsidRPr="009B22C0" w:rsidRDefault="00AD4FE9" w:rsidP="005E2068">
            <w:pPr>
              <w:pStyle w:val="PBACTableText"/>
              <w:keepNext/>
              <w:jc w:val="center"/>
              <w:rPr>
                <w:rFonts w:eastAsia="Arial Narrow" w:cs="Arial Narrow"/>
              </w:rPr>
            </w:pPr>
            <w:r w:rsidRPr="009B22C0">
              <w:rPr>
                <w:rFonts w:eastAsia="Arial Narrow" w:cs="Arial Narrow"/>
                <w:b/>
                <w:bCs/>
              </w:rPr>
              <w:t>% Median change from baseline (range)</w:t>
            </w:r>
          </w:p>
        </w:tc>
      </w:tr>
      <w:tr w:rsidR="00AD4FE9" w:rsidRPr="009B22C0" w:rsidTr="00425678">
        <w:trPr>
          <w:trHeight w:val="300"/>
        </w:trPr>
        <w:tc>
          <w:tcPr>
            <w:tcW w:w="940" w:type="pct"/>
          </w:tcPr>
          <w:p w:rsidR="00AD4FE9" w:rsidRPr="009B22C0" w:rsidRDefault="00AD4FE9" w:rsidP="005E2068">
            <w:pPr>
              <w:pStyle w:val="PBACTableText"/>
              <w:keepNext/>
              <w:rPr>
                <w:rFonts w:eastAsia="Arial Narrow" w:cs="Arial Narrow"/>
                <w:color w:val="000000" w:themeColor="text1"/>
              </w:rPr>
            </w:pPr>
            <w:r w:rsidRPr="009B22C0">
              <w:rPr>
                <w:rFonts w:eastAsia="Arial Narrow" w:cs="Arial Narrow"/>
                <w:color w:val="000000" w:themeColor="text1"/>
              </w:rPr>
              <w:t>Secukinumab LD</w:t>
            </w:r>
          </w:p>
        </w:tc>
        <w:tc>
          <w:tcPr>
            <w:tcW w:w="393"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38</w:t>
            </w:r>
          </w:p>
        </w:tc>
        <w:tc>
          <w:tcPr>
            <w:tcW w:w="787"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-9.05</w:t>
            </w:r>
          </w:p>
        </w:tc>
        <w:tc>
          <w:tcPr>
            <w:tcW w:w="392"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7.17</w:t>
            </w:r>
          </w:p>
        </w:tc>
        <w:tc>
          <w:tcPr>
            <w:tcW w:w="859"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-67.43</w:t>
            </w:r>
          </w:p>
        </w:tc>
        <w:tc>
          <w:tcPr>
            <w:tcW w:w="524"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41.6</w:t>
            </w:r>
          </w:p>
        </w:tc>
        <w:tc>
          <w:tcPr>
            <w:tcW w:w="1104"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-80 (-100, -54)</w:t>
            </w:r>
          </w:p>
        </w:tc>
      </w:tr>
      <w:tr w:rsidR="00AD4FE9" w:rsidRPr="009B22C0" w:rsidTr="00425678">
        <w:trPr>
          <w:trHeight w:val="300"/>
        </w:trPr>
        <w:tc>
          <w:tcPr>
            <w:tcW w:w="940" w:type="pct"/>
          </w:tcPr>
          <w:p w:rsidR="00AD4FE9" w:rsidRPr="009B22C0" w:rsidRDefault="00AD4FE9" w:rsidP="005E2068">
            <w:pPr>
              <w:pStyle w:val="PBACTableText"/>
              <w:keepNext/>
              <w:rPr>
                <w:rFonts w:eastAsia="Arial Narrow" w:cs="Arial Narrow"/>
                <w:color w:val="000000" w:themeColor="text1"/>
              </w:rPr>
            </w:pPr>
            <w:r w:rsidRPr="009B22C0">
              <w:rPr>
                <w:rFonts w:eastAsia="Arial Narrow" w:cs="Arial Narrow"/>
                <w:color w:val="000000" w:themeColor="text1"/>
              </w:rPr>
              <w:t>Secukinumab HD</w:t>
            </w:r>
          </w:p>
        </w:tc>
        <w:tc>
          <w:tcPr>
            <w:tcW w:w="393"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38</w:t>
            </w:r>
          </w:p>
        </w:tc>
        <w:tc>
          <w:tcPr>
            <w:tcW w:w="787"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-7.71</w:t>
            </w:r>
          </w:p>
        </w:tc>
        <w:tc>
          <w:tcPr>
            <w:tcW w:w="392"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7.74</w:t>
            </w:r>
          </w:p>
        </w:tc>
        <w:tc>
          <w:tcPr>
            <w:tcW w:w="859"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-62.5</w:t>
            </w:r>
          </w:p>
        </w:tc>
        <w:tc>
          <w:tcPr>
            <w:tcW w:w="524"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50.08</w:t>
            </w:r>
          </w:p>
        </w:tc>
        <w:tc>
          <w:tcPr>
            <w:tcW w:w="1104"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-80 (-100, -50)</w:t>
            </w:r>
          </w:p>
        </w:tc>
      </w:tr>
      <w:tr w:rsidR="00AD4FE9" w:rsidRPr="009B22C0" w:rsidTr="00425678">
        <w:trPr>
          <w:trHeight w:val="300"/>
        </w:trPr>
        <w:tc>
          <w:tcPr>
            <w:tcW w:w="940" w:type="pct"/>
          </w:tcPr>
          <w:p w:rsidR="00AD4FE9" w:rsidRPr="009B22C0" w:rsidRDefault="00AD4FE9" w:rsidP="005E2068">
            <w:pPr>
              <w:pStyle w:val="PBACTableText"/>
              <w:keepNext/>
              <w:rPr>
                <w:rFonts w:eastAsia="Arial Narrow" w:cs="Arial Narrow"/>
                <w:color w:val="000000" w:themeColor="text1"/>
              </w:rPr>
            </w:pPr>
            <w:r w:rsidRPr="009B22C0">
              <w:rPr>
                <w:rFonts w:eastAsia="Arial Narrow" w:cs="Arial Narrow"/>
                <w:color w:val="000000" w:themeColor="text1"/>
              </w:rPr>
              <w:t>Etanercept</w:t>
            </w:r>
          </w:p>
        </w:tc>
        <w:tc>
          <w:tcPr>
            <w:tcW w:w="393"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40</w:t>
            </w:r>
          </w:p>
        </w:tc>
        <w:tc>
          <w:tcPr>
            <w:tcW w:w="787"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-6.49</w:t>
            </w:r>
          </w:p>
        </w:tc>
        <w:tc>
          <w:tcPr>
            <w:tcW w:w="392"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7.31</w:t>
            </w:r>
          </w:p>
        </w:tc>
        <w:tc>
          <w:tcPr>
            <w:tcW w:w="859"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-62.8</w:t>
            </w:r>
          </w:p>
        </w:tc>
        <w:tc>
          <w:tcPr>
            <w:tcW w:w="524"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34.4</w:t>
            </w:r>
          </w:p>
        </w:tc>
        <w:tc>
          <w:tcPr>
            <w:tcW w:w="1104"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-66.6 (-91.6, -42.8)</w:t>
            </w:r>
          </w:p>
        </w:tc>
      </w:tr>
      <w:tr w:rsidR="00AD4FE9" w:rsidTr="00425678">
        <w:trPr>
          <w:trHeight w:val="300"/>
        </w:trPr>
        <w:tc>
          <w:tcPr>
            <w:tcW w:w="940" w:type="pct"/>
          </w:tcPr>
          <w:p w:rsidR="00AD4FE9" w:rsidRPr="009B22C0" w:rsidRDefault="00AD4FE9" w:rsidP="005E2068">
            <w:pPr>
              <w:pStyle w:val="PBACTableText"/>
              <w:keepNext/>
              <w:rPr>
                <w:rFonts w:eastAsia="Arial Narrow" w:cs="Arial Narrow"/>
                <w:color w:val="000000" w:themeColor="text1"/>
              </w:rPr>
            </w:pPr>
            <w:r w:rsidRPr="009B22C0">
              <w:rPr>
                <w:rFonts w:eastAsia="Arial Narrow" w:cs="Arial Narrow"/>
                <w:color w:val="000000" w:themeColor="text1"/>
              </w:rPr>
              <w:t>Placebo</w:t>
            </w:r>
          </w:p>
        </w:tc>
        <w:tc>
          <w:tcPr>
            <w:tcW w:w="393"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41</w:t>
            </w:r>
          </w:p>
        </w:tc>
        <w:tc>
          <w:tcPr>
            <w:tcW w:w="787"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-3.79</w:t>
            </w:r>
          </w:p>
        </w:tc>
        <w:tc>
          <w:tcPr>
            <w:tcW w:w="392"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6.2</w:t>
            </w:r>
          </w:p>
        </w:tc>
        <w:tc>
          <w:tcPr>
            <w:tcW w:w="859"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-18.4</w:t>
            </w:r>
          </w:p>
        </w:tc>
        <w:tc>
          <w:tcPr>
            <w:tcW w:w="524" w:type="pct"/>
          </w:tcPr>
          <w:p w:rsidR="00AD4FE9" w:rsidRPr="009B22C0"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80.01</w:t>
            </w:r>
          </w:p>
        </w:tc>
        <w:tc>
          <w:tcPr>
            <w:tcW w:w="1104" w:type="pct"/>
          </w:tcPr>
          <w:p w:rsidR="00AD4FE9" w:rsidRDefault="00AD4FE9" w:rsidP="005E2068">
            <w:pPr>
              <w:pStyle w:val="PBACTableText"/>
              <w:keepNext/>
              <w:jc w:val="center"/>
              <w:rPr>
                <w:rFonts w:eastAsia="Arial Narrow" w:cs="Arial Narrow"/>
                <w:color w:val="000000" w:themeColor="text1"/>
              </w:rPr>
            </w:pPr>
            <w:r w:rsidRPr="009B22C0">
              <w:rPr>
                <w:rFonts w:eastAsia="Arial Narrow" w:cs="Arial Narrow"/>
                <w:color w:val="000000" w:themeColor="text1"/>
              </w:rPr>
              <w:t>-37.5 (-61.9, 0)</w:t>
            </w:r>
          </w:p>
        </w:tc>
      </w:tr>
    </w:tbl>
    <w:p w:rsidR="00DB2D1F" w:rsidRDefault="00BB36A1" w:rsidP="005E2068">
      <w:pPr>
        <w:pStyle w:val="PBACtablecaption"/>
        <w:keepNext/>
        <w:rPr>
          <w:rFonts w:eastAsia="Arial Narrow" w:cs="Arial Narrow"/>
          <w:color w:val="000000" w:themeColor="text1"/>
        </w:rPr>
      </w:pPr>
      <w:r w:rsidRPr="159B995A">
        <w:rPr>
          <w:rFonts w:eastAsia="Arial Narrow" w:cs="Arial Narrow"/>
          <w:color w:val="000000" w:themeColor="text1"/>
        </w:rPr>
        <w:t xml:space="preserve">Source: Table 2.34, p95 of the submission. </w:t>
      </w:r>
      <w:r w:rsidR="00DB2D1F">
        <w:rPr>
          <w:rFonts w:eastAsia="Arial Narrow" w:cs="Arial Narrow"/>
          <w:i/>
          <w:iCs/>
          <w:color w:val="000000" w:themeColor="text1"/>
        </w:rPr>
        <w:t>M</w:t>
      </w:r>
      <w:r w:rsidRPr="00A704C4">
        <w:rPr>
          <w:rFonts w:eastAsia="Arial Narrow" w:cs="Arial Narrow"/>
          <w:i/>
          <w:iCs/>
          <w:color w:val="000000" w:themeColor="text1"/>
        </w:rPr>
        <w:t>odified during the evaluation to isolate the direct comparison.</w:t>
      </w:r>
      <w:r w:rsidRPr="159B995A">
        <w:rPr>
          <w:rFonts w:eastAsia="Arial Narrow" w:cs="Arial Narrow"/>
          <w:color w:val="000000" w:themeColor="text1"/>
        </w:rPr>
        <w:t xml:space="preserve"> </w:t>
      </w:r>
    </w:p>
    <w:p w:rsidR="00BB36A1" w:rsidRDefault="00BB36A1" w:rsidP="005E2068">
      <w:pPr>
        <w:pStyle w:val="PBACtablecaption"/>
        <w:keepNext/>
        <w:rPr>
          <w:rFonts w:ascii="Calibri" w:eastAsia="Calibri" w:hAnsi="Calibri" w:cs="Calibri"/>
          <w:color w:val="000000" w:themeColor="text1"/>
        </w:rPr>
      </w:pPr>
      <w:r w:rsidRPr="159B995A">
        <w:rPr>
          <w:rFonts w:eastAsia="Arial Narrow" w:cs="Arial Narrow"/>
          <w:color w:val="000000" w:themeColor="text1"/>
        </w:rPr>
        <w:t>CDLQI</w:t>
      </w:r>
      <w:r w:rsidR="00DB2D1F">
        <w:rPr>
          <w:rFonts w:eastAsia="Arial Narrow" w:cs="Arial Narrow"/>
          <w:color w:val="000000" w:themeColor="text1"/>
        </w:rPr>
        <w:t xml:space="preserve"> </w:t>
      </w:r>
      <w:r w:rsidRPr="159B995A">
        <w:rPr>
          <w:rFonts w:eastAsia="Arial Narrow" w:cs="Arial Narrow"/>
          <w:color w:val="000000" w:themeColor="text1"/>
        </w:rPr>
        <w:t>= Children's Dermatology Life Quality Index; ETN</w:t>
      </w:r>
      <w:r w:rsidR="00DB2D1F">
        <w:rPr>
          <w:rFonts w:eastAsia="Arial Narrow" w:cs="Arial Narrow"/>
          <w:color w:val="000000" w:themeColor="text1"/>
        </w:rPr>
        <w:t xml:space="preserve"> </w:t>
      </w:r>
      <w:r w:rsidRPr="159B995A">
        <w:rPr>
          <w:rFonts w:eastAsia="Arial Narrow" w:cs="Arial Narrow"/>
          <w:color w:val="000000" w:themeColor="text1"/>
        </w:rPr>
        <w:t>=</w:t>
      </w:r>
      <w:r w:rsidR="00DB2D1F">
        <w:rPr>
          <w:rFonts w:eastAsia="Arial Narrow" w:cs="Arial Narrow"/>
          <w:color w:val="000000" w:themeColor="text1"/>
        </w:rPr>
        <w:t xml:space="preserve"> </w:t>
      </w:r>
      <w:r w:rsidRPr="159B995A">
        <w:rPr>
          <w:rFonts w:eastAsia="Arial Narrow" w:cs="Arial Narrow"/>
          <w:color w:val="000000" w:themeColor="text1"/>
        </w:rPr>
        <w:t>etanercept; HD</w:t>
      </w:r>
      <w:r w:rsidR="00DB2D1F">
        <w:rPr>
          <w:rFonts w:eastAsia="Arial Narrow" w:cs="Arial Narrow"/>
          <w:color w:val="000000" w:themeColor="text1"/>
        </w:rPr>
        <w:t xml:space="preserve"> </w:t>
      </w:r>
      <w:r w:rsidRPr="159B995A">
        <w:rPr>
          <w:rFonts w:eastAsia="Arial Narrow" w:cs="Arial Narrow"/>
          <w:color w:val="000000" w:themeColor="text1"/>
        </w:rPr>
        <w:t>=</w:t>
      </w:r>
      <w:r w:rsidR="00DB2D1F">
        <w:rPr>
          <w:rFonts w:eastAsia="Arial Narrow" w:cs="Arial Narrow"/>
          <w:color w:val="000000" w:themeColor="text1"/>
        </w:rPr>
        <w:t xml:space="preserve"> </w:t>
      </w:r>
      <w:r w:rsidRPr="159B995A">
        <w:rPr>
          <w:rFonts w:eastAsia="Arial Narrow" w:cs="Arial Narrow"/>
          <w:color w:val="000000" w:themeColor="text1"/>
        </w:rPr>
        <w:t>high dose;</w:t>
      </w:r>
      <w:r w:rsidRPr="159B995A">
        <w:rPr>
          <w:rFonts w:eastAsia="Arial Narrow" w:cs="Arial Narrow"/>
          <w:i/>
          <w:iCs/>
          <w:color w:val="000000" w:themeColor="text1"/>
        </w:rPr>
        <w:t xml:space="preserve"> </w:t>
      </w:r>
      <w:r w:rsidRPr="159B995A">
        <w:rPr>
          <w:rFonts w:eastAsia="Arial Narrow" w:cs="Arial Narrow"/>
          <w:color w:val="000000" w:themeColor="text1"/>
        </w:rPr>
        <w:t>LD</w:t>
      </w:r>
      <w:r w:rsidR="00DB2D1F">
        <w:rPr>
          <w:rFonts w:eastAsia="Arial Narrow" w:cs="Arial Narrow"/>
          <w:color w:val="000000" w:themeColor="text1"/>
        </w:rPr>
        <w:t xml:space="preserve"> </w:t>
      </w:r>
      <w:r w:rsidRPr="159B995A">
        <w:rPr>
          <w:rFonts w:eastAsia="Arial Narrow" w:cs="Arial Narrow"/>
          <w:color w:val="000000" w:themeColor="text1"/>
        </w:rPr>
        <w:t>= low dose; NR</w:t>
      </w:r>
      <w:r w:rsidR="00DB2D1F">
        <w:rPr>
          <w:rFonts w:eastAsia="Arial Narrow" w:cs="Arial Narrow"/>
          <w:color w:val="000000" w:themeColor="text1"/>
        </w:rPr>
        <w:t xml:space="preserve"> </w:t>
      </w:r>
      <w:r w:rsidRPr="159B995A">
        <w:rPr>
          <w:rFonts w:eastAsia="Arial Narrow" w:cs="Arial Narrow"/>
          <w:color w:val="000000" w:themeColor="text1"/>
        </w:rPr>
        <w:t>=</w:t>
      </w:r>
      <w:r w:rsidR="00DB2D1F">
        <w:rPr>
          <w:rFonts w:eastAsia="Arial Narrow" w:cs="Arial Narrow"/>
          <w:color w:val="000000" w:themeColor="text1"/>
        </w:rPr>
        <w:t xml:space="preserve"> </w:t>
      </w:r>
      <w:r w:rsidRPr="159B995A">
        <w:rPr>
          <w:rFonts w:eastAsia="Arial Narrow" w:cs="Arial Narrow"/>
          <w:color w:val="000000" w:themeColor="text1"/>
        </w:rPr>
        <w:t>not reported; PASI</w:t>
      </w:r>
      <w:r w:rsidR="00DB2D1F">
        <w:rPr>
          <w:rFonts w:eastAsia="Arial Narrow" w:cs="Arial Narrow"/>
          <w:color w:val="000000" w:themeColor="text1"/>
        </w:rPr>
        <w:t xml:space="preserve"> </w:t>
      </w:r>
      <w:r w:rsidRPr="159B995A">
        <w:rPr>
          <w:rFonts w:eastAsia="Arial Narrow" w:cs="Arial Narrow"/>
          <w:color w:val="000000" w:themeColor="text1"/>
        </w:rPr>
        <w:t>= Psoriasis Area and Severity Index; PBO</w:t>
      </w:r>
      <w:r w:rsidR="00DB2D1F">
        <w:rPr>
          <w:rFonts w:eastAsia="Arial Narrow" w:cs="Arial Narrow"/>
          <w:color w:val="000000" w:themeColor="text1"/>
        </w:rPr>
        <w:t xml:space="preserve"> </w:t>
      </w:r>
      <w:r w:rsidRPr="159B995A">
        <w:rPr>
          <w:rFonts w:eastAsia="Arial Narrow" w:cs="Arial Narrow"/>
          <w:color w:val="000000" w:themeColor="text1"/>
        </w:rPr>
        <w:t>= placebo; SEC</w:t>
      </w:r>
      <w:r w:rsidR="00DB2D1F">
        <w:rPr>
          <w:rFonts w:eastAsia="Arial Narrow" w:cs="Arial Narrow"/>
          <w:color w:val="000000" w:themeColor="text1"/>
        </w:rPr>
        <w:t xml:space="preserve"> </w:t>
      </w:r>
      <w:r w:rsidRPr="159B995A">
        <w:rPr>
          <w:rFonts w:eastAsia="Arial Narrow" w:cs="Arial Narrow"/>
          <w:color w:val="000000" w:themeColor="text1"/>
        </w:rPr>
        <w:t>= secukinumab</w:t>
      </w:r>
      <w:r w:rsidRPr="159B995A">
        <w:rPr>
          <w:rFonts w:ascii="Calibri" w:eastAsia="Calibri" w:hAnsi="Calibri" w:cs="Calibri"/>
          <w:color w:val="000000" w:themeColor="text1"/>
        </w:rPr>
        <w:t>.</w:t>
      </w:r>
    </w:p>
    <w:p w:rsidR="00101853" w:rsidRDefault="00101853" w:rsidP="005E2068">
      <w:pPr>
        <w:pStyle w:val="PBACtablecaption"/>
        <w:keepNext/>
        <w:rPr>
          <w:rFonts w:ascii="Calibri" w:eastAsia="Calibri" w:hAnsi="Calibri" w:cs="Calibri"/>
          <w:color w:val="000000" w:themeColor="text1"/>
          <w:lang w:val="en-US"/>
        </w:rPr>
      </w:pPr>
      <w:r w:rsidRPr="00752D79">
        <w:rPr>
          <w:rFonts w:ascii="Calibri" w:eastAsia="Calibri" w:hAnsi="Calibri" w:cs="Calibri"/>
          <w:color w:val="000000" w:themeColor="text1"/>
        </w:rPr>
        <w:t>*</w:t>
      </w:r>
      <w:r w:rsidRPr="00752D79">
        <w:rPr>
          <w:rFonts w:ascii="Calibri" w:eastAsia="Calibri" w:hAnsi="Calibri" w:cs="Calibri"/>
          <w:i/>
          <w:color w:val="000000" w:themeColor="text1"/>
        </w:rPr>
        <w:t>Note that the results presented in Table 6 are derived from ad-hoc/ post-hoc analyses conducted by the applicant specifically for the purposes of informing the PBAC consideration. These analyses were not part of the pre-specified statistical plan for study 2310. Interpretation of the results and their application should therefore be limited to seeking to understand the basis for the PBAC outcome and should not be used for any other purpose.</w:t>
      </w:r>
    </w:p>
    <w:p w:rsidR="00BB36A1" w:rsidRPr="00C9624D" w:rsidRDefault="00BB36A1" w:rsidP="007318FD">
      <w:pPr>
        <w:pStyle w:val="4-SubsectionHeading"/>
        <w:keepNext w:val="0"/>
      </w:pPr>
      <w:bookmarkStart w:id="20" w:name="_Toc22897642"/>
      <w:bookmarkStart w:id="21" w:name="_Toc82600274"/>
      <w:r w:rsidRPr="00C9624D">
        <w:t>Comparative harms</w:t>
      </w:r>
      <w:bookmarkEnd w:id="20"/>
      <w:bookmarkEnd w:id="21"/>
    </w:p>
    <w:p w:rsidR="00832BBC" w:rsidRPr="00832BBC" w:rsidRDefault="00832BBC" w:rsidP="005E2068">
      <w:pPr>
        <w:pStyle w:val="5-SubsectionSubheading"/>
      </w:pPr>
      <w:r>
        <w:rPr>
          <w:lang w:val="en-US"/>
        </w:rPr>
        <w:t>D</w:t>
      </w:r>
      <w:r w:rsidRPr="00A92795">
        <w:rPr>
          <w:lang w:val="en-US"/>
        </w:rPr>
        <w:t>irect comparison between secukinumab and etanercept</w:t>
      </w:r>
    </w:p>
    <w:p w:rsidR="00BB36A1" w:rsidRPr="00D86231" w:rsidRDefault="000568CB" w:rsidP="007318FD">
      <w:pPr>
        <w:pStyle w:val="3-BodyText"/>
        <w:rPr>
          <w:color w:val="000000" w:themeColor="text1"/>
        </w:rPr>
      </w:pPr>
      <w:r>
        <w:t>The summary of adverse events</w:t>
      </w:r>
      <w:r w:rsidR="0A0B86F7">
        <w:t xml:space="preserve"> (AEs)</w:t>
      </w:r>
      <w:r>
        <w:t xml:space="preserve"> in direct comparison in </w:t>
      </w:r>
      <w:r w:rsidR="00162EA1">
        <w:t>Study 2310</w:t>
      </w:r>
      <w:r>
        <w:t xml:space="preserve"> is presented in Table </w:t>
      </w:r>
      <w:r w:rsidR="002564B8">
        <w:t>7</w:t>
      </w:r>
      <w:r>
        <w:t>.</w:t>
      </w:r>
    </w:p>
    <w:p w:rsidR="00BB36A1" w:rsidRDefault="00BB36A1" w:rsidP="007318FD">
      <w:pPr>
        <w:pStyle w:val="TableFigureHeading"/>
        <w:keepNext w:val="0"/>
        <w:rPr>
          <w:rFonts w:eastAsia="Arial Narrow" w:cs="Arial Narrow"/>
          <w:color w:val="000000" w:themeColor="text1"/>
        </w:rPr>
      </w:pPr>
      <w:r w:rsidRPr="00113538">
        <w:rPr>
          <w:rFonts w:eastAsia="Arial Narrow" w:cs="Arial Narrow"/>
          <w:color w:val="000000" w:themeColor="text1"/>
        </w:rPr>
        <w:t xml:space="preserve">Table </w:t>
      </w:r>
      <w:r w:rsidR="002564B8">
        <w:rPr>
          <w:rFonts w:eastAsia="Arial Narrow" w:cs="Arial Narrow"/>
          <w:color w:val="000000" w:themeColor="text1"/>
        </w:rPr>
        <w:t>7</w:t>
      </w:r>
      <w:r w:rsidRPr="00113538">
        <w:rPr>
          <w:rFonts w:eastAsia="Arial Narrow" w:cs="Arial Narrow"/>
          <w:color w:val="000000" w:themeColor="text1"/>
        </w:rPr>
        <w:t>: Summary</w:t>
      </w:r>
      <w:r w:rsidRPr="159B995A">
        <w:rPr>
          <w:rFonts w:eastAsia="Arial Narrow" w:cs="Arial Narrow"/>
          <w:color w:val="000000" w:themeColor="text1"/>
        </w:rPr>
        <w:t xml:space="preserve"> of key adverse events in</w:t>
      </w:r>
      <w:r w:rsidR="00360CA4">
        <w:rPr>
          <w:rFonts w:eastAsia="Arial Narrow" w:cs="Arial Narrow"/>
          <w:color w:val="000000" w:themeColor="text1"/>
        </w:rPr>
        <w:t xml:space="preserve"> Study 2310</w:t>
      </w:r>
      <w:r w:rsidRPr="159B995A">
        <w:rPr>
          <w:rFonts w:eastAsia="Arial Narrow" w:cs="Arial Narrow"/>
          <w:color w:val="000000" w:themeColor="text1"/>
        </w:rPr>
        <w:t xml:space="preserve">, up to </w:t>
      </w:r>
      <w:r w:rsidR="00360CA4" w:rsidRPr="2B2AE1F4">
        <w:rPr>
          <w:rFonts w:eastAsia="Arial Narrow" w:cs="Arial Narrow"/>
          <w:color w:val="000000" w:themeColor="text1"/>
        </w:rPr>
        <w:t>W</w:t>
      </w:r>
      <w:r w:rsidRPr="2B2AE1F4">
        <w:rPr>
          <w:rFonts w:eastAsia="Arial Narrow" w:cs="Arial Narrow"/>
          <w:color w:val="000000" w:themeColor="text1"/>
        </w:rPr>
        <w:t>eek</w:t>
      </w:r>
      <w:r w:rsidRPr="159B995A">
        <w:rPr>
          <w:rFonts w:eastAsia="Arial Narrow" w:cs="Arial Narrow"/>
          <w:color w:val="000000" w:themeColor="text1"/>
        </w:rPr>
        <w:t xml:space="preserve"> 24</w:t>
      </w:r>
      <w:r w:rsidR="00101853">
        <w:rPr>
          <w:rFonts w:eastAsia="Arial Narrow" w:cs="Arial Narrow"/>
          <w:color w:val="000000" w:themeColor="text1"/>
        </w:rPr>
        <w:t>*</w:t>
      </w:r>
    </w:p>
    <w:tbl>
      <w:tblPr>
        <w:tblW w:w="5000" w:type="pct"/>
        <w:tblLook w:val="04A0" w:firstRow="1" w:lastRow="0" w:firstColumn="1" w:lastColumn="0" w:noHBand="0" w:noVBand="1"/>
      </w:tblPr>
      <w:tblGrid>
        <w:gridCol w:w="2385"/>
        <w:gridCol w:w="1440"/>
        <w:gridCol w:w="1271"/>
        <w:gridCol w:w="1907"/>
        <w:gridCol w:w="2008"/>
      </w:tblGrid>
      <w:tr w:rsidR="00FE4810" w:rsidRPr="007F35EF" w:rsidTr="00F74A12">
        <w:tc>
          <w:tcPr>
            <w:tcW w:w="1324"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In-tableHeading"/>
              <w:keepNext w:val="0"/>
              <w:rPr>
                <w:rFonts w:eastAsia="Arial Narrow" w:cs="Arial Narrow"/>
              </w:rPr>
            </w:pPr>
            <w:r w:rsidRPr="1260728E">
              <w:rPr>
                <w:rFonts w:eastAsia="Arial Narrow" w:cs="Arial Narrow"/>
              </w:rPr>
              <w:t>Trial ID</w:t>
            </w:r>
          </w:p>
        </w:tc>
        <w:tc>
          <w:tcPr>
            <w:tcW w:w="799"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In-tableHeading"/>
              <w:keepNext w:val="0"/>
              <w:jc w:val="center"/>
              <w:rPr>
                <w:rFonts w:eastAsia="Arial Narrow" w:cs="Arial Narrow"/>
                <w:bCs/>
                <w:szCs w:val="20"/>
              </w:rPr>
            </w:pPr>
            <w:r>
              <w:rPr>
                <w:rFonts w:eastAsia="Arial Narrow" w:cs="Arial Narrow"/>
                <w:bCs/>
                <w:szCs w:val="20"/>
              </w:rPr>
              <w:t>Secukinumab</w:t>
            </w:r>
          </w:p>
          <w:p w:rsidR="00FE4810" w:rsidRDefault="00FE4810" w:rsidP="007318FD">
            <w:pPr>
              <w:pStyle w:val="In-tableHeading"/>
              <w:keepNext w:val="0"/>
              <w:jc w:val="center"/>
              <w:rPr>
                <w:rFonts w:eastAsia="Arial Narrow" w:cs="Arial Narrow"/>
                <w:bCs/>
                <w:szCs w:val="20"/>
              </w:rPr>
            </w:pPr>
            <w:r w:rsidRPr="454BE1F2">
              <w:rPr>
                <w:rFonts w:eastAsia="Arial Narrow" w:cs="Arial Narrow"/>
                <w:bCs/>
                <w:szCs w:val="20"/>
              </w:rPr>
              <w:t>n (%)</w:t>
            </w:r>
          </w:p>
        </w:tc>
        <w:tc>
          <w:tcPr>
            <w:tcW w:w="705"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In-tableHeading"/>
              <w:keepNext w:val="0"/>
              <w:jc w:val="center"/>
              <w:rPr>
                <w:rFonts w:eastAsia="Arial Narrow" w:cs="Arial Narrow"/>
                <w:bCs/>
                <w:szCs w:val="20"/>
              </w:rPr>
            </w:pPr>
            <w:r w:rsidRPr="454BE1F2">
              <w:rPr>
                <w:rFonts w:eastAsia="Arial Narrow" w:cs="Arial Narrow"/>
                <w:bCs/>
                <w:szCs w:val="20"/>
              </w:rPr>
              <w:t>Etanercept</w:t>
            </w:r>
          </w:p>
          <w:p w:rsidR="00FE4810" w:rsidRDefault="00FE4810" w:rsidP="007318FD">
            <w:pPr>
              <w:pStyle w:val="In-tableHeading"/>
              <w:keepNext w:val="0"/>
              <w:jc w:val="center"/>
              <w:rPr>
                <w:rFonts w:eastAsia="Arial Narrow" w:cs="Arial Narrow"/>
                <w:bCs/>
                <w:szCs w:val="20"/>
              </w:rPr>
            </w:pPr>
            <w:r w:rsidRPr="454BE1F2">
              <w:rPr>
                <w:rFonts w:eastAsia="Arial Narrow" w:cs="Arial Narrow"/>
                <w:bCs/>
                <w:szCs w:val="20"/>
              </w:rPr>
              <w:t>n (%)</w:t>
            </w:r>
          </w:p>
        </w:tc>
        <w:tc>
          <w:tcPr>
            <w:tcW w:w="1058" w:type="pct"/>
            <w:tcBorders>
              <w:top w:val="single" w:sz="6" w:space="0" w:color="auto"/>
              <w:left w:val="single" w:sz="6" w:space="0" w:color="auto"/>
              <w:bottom w:val="single" w:sz="6" w:space="0" w:color="auto"/>
              <w:right w:val="single" w:sz="6" w:space="0" w:color="auto"/>
            </w:tcBorders>
            <w:vAlign w:val="center"/>
          </w:tcPr>
          <w:p w:rsidR="00FE4810" w:rsidRPr="00992015" w:rsidRDefault="00FE4810" w:rsidP="007318FD">
            <w:pPr>
              <w:pStyle w:val="In-tableHeading"/>
              <w:keepNext w:val="0"/>
              <w:jc w:val="center"/>
              <w:rPr>
                <w:rFonts w:eastAsia="Arial Narrow" w:cs="Arial Narrow"/>
                <w:lang w:val="fr-FR"/>
              </w:rPr>
            </w:pPr>
            <w:r w:rsidRPr="00992015">
              <w:rPr>
                <w:rFonts w:eastAsia="Arial Narrow" w:cs="Arial Narrow"/>
                <w:lang w:val="fr-FR"/>
              </w:rPr>
              <w:t>RR (95% CI)</w:t>
            </w:r>
            <w:r w:rsidRPr="001A19DC">
              <w:rPr>
                <w:rFonts w:eastAsia="Arial Narrow" w:cs="Arial Narrow"/>
                <w:vertAlign w:val="superscript"/>
                <w:lang w:val="fr-FR"/>
              </w:rPr>
              <w:t>a</w:t>
            </w:r>
          </w:p>
        </w:tc>
        <w:tc>
          <w:tcPr>
            <w:tcW w:w="1113" w:type="pct"/>
            <w:tcBorders>
              <w:top w:val="single" w:sz="6" w:space="0" w:color="auto"/>
              <w:left w:val="single" w:sz="6" w:space="0" w:color="auto"/>
              <w:bottom w:val="single" w:sz="6" w:space="0" w:color="auto"/>
              <w:right w:val="single" w:sz="6" w:space="0" w:color="auto"/>
            </w:tcBorders>
            <w:vAlign w:val="center"/>
          </w:tcPr>
          <w:p w:rsidR="00FE4810" w:rsidRPr="00992015" w:rsidRDefault="00FE4810" w:rsidP="007318FD">
            <w:pPr>
              <w:pStyle w:val="In-tableHeading"/>
              <w:keepNext w:val="0"/>
              <w:jc w:val="center"/>
              <w:rPr>
                <w:rFonts w:eastAsia="Arial Narrow" w:cs="Arial Narrow"/>
                <w:lang w:val="fr-FR"/>
              </w:rPr>
            </w:pPr>
            <w:r w:rsidRPr="00992015">
              <w:rPr>
                <w:rFonts w:eastAsia="Arial Narrow" w:cs="Arial Narrow"/>
                <w:bCs/>
                <w:szCs w:val="20"/>
                <w:lang w:val="fr-FR"/>
              </w:rPr>
              <w:t>RD (95%CI)</w:t>
            </w:r>
            <w:r w:rsidRPr="001A19DC">
              <w:rPr>
                <w:rFonts w:eastAsia="Arial Narrow" w:cs="Arial Narrow"/>
                <w:vertAlign w:val="superscript"/>
                <w:lang w:val="fr-FR"/>
              </w:rPr>
              <w:t>a</w:t>
            </w:r>
          </w:p>
        </w:tc>
      </w:tr>
      <w:tr w:rsidR="00F74A12" w:rsidTr="00F74A12">
        <w:tc>
          <w:tcPr>
            <w:tcW w:w="5000" w:type="pct"/>
            <w:gridSpan w:val="5"/>
            <w:tcBorders>
              <w:top w:val="single" w:sz="6" w:space="0" w:color="auto"/>
              <w:left w:val="single" w:sz="6" w:space="0" w:color="auto"/>
              <w:bottom w:val="single" w:sz="6" w:space="0" w:color="auto"/>
              <w:right w:val="single" w:sz="6" w:space="0" w:color="auto"/>
            </w:tcBorders>
            <w:vAlign w:val="center"/>
          </w:tcPr>
          <w:p w:rsidR="00F74A12" w:rsidRPr="0001107A" w:rsidRDefault="00F74A12" w:rsidP="007318FD">
            <w:pPr>
              <w:pStyle w:val="TableText0"/>
              <w:keepNext w:val="0"/>
              <w:rPr>
                <w:rFonts w:eastAsia="Arial Narrow" w:cs="Arial Narrow"/>
                <w:b/>
                <w:color w:val="000000" w:themeColor="text1"/>
                <w:szCs w:val="20"/>
              </w:rPr>
            </w:pPr>
            <w:r>
              <w:rPr>
                <w:rFonts w:eastAsia="Arial Narrow" w:cs="Arial Narrow"/>
                <w:b/>
                <w:color w:val="000000" w:themeColor="text1"/>
                <w:szCs w:val="20"/>
              </w:rPr>
              <w:t>Secukinumab low dose</w:t>
            </w:r>
          </w:p>
        </w:tc>
      </w:tr>
      <w:tr w:rsidR="00FE4810" w:rsidTr="00F74A12">
        <w:tc>
          <w:tcPr>
            <w:tcW w:w="1324"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rPr>
                <w:rFonts w:eastAsia="Arial Narrow" w:cs="Arial Narrow"/>
                <w:bCs w:val="0"/>
                <w:szCs w:val="20"/>
              </w:rPr>
            </w:pPr>
            <w:r w:rsidRPr="454BE1F2">
              <w:rPr>
                <w:rFonts w:eastAsia="Arial Narrow" w:cs="Arial Narrow"/>
                <w:bCs w:val="0"/>
                <w:szCs w:val="20"/>
                <w:lang w:val="en-US"/>
              </w:rPr>
              <w:t>Any AE (at least one)</w:t>
            </w:r>
          </w:p>
        </w:tc>
        <w:tc>
          <w:tcPr>
            <w:tcW w:w="799"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bCs w:val="0"/>
                <w:szCs w:val="20"/>
              </w:rPr>
            </w:pPr>
            <w:r>
              <w:rPr>
                <w:rFonts w:eastAsia="Arial Narrow" w:cs="Arial Narrow"/>
                <w:bCs w:val="0"/>
                <w:szCs w:val="20"/>
                <w:lang w:val="en-US"/>
              </w:rPr>
              <w:t>23 (57.5</w:t>
            </w:r>
            <w:r w:rsidRPr="454BE1F2">
              <w:rPr>
                <w:rFonts w:eastAsia="Arial Narrow" w:cs="Arial Narrow"/>
                <w:bCs w:val="0"/>
                <w:szCs w:val="20"/>
                <w:lang w:val="en-US"/>
              </w:rPr>
              <w:t>)</w:t>
            </w:r>
          </w:p>
        </w:tc>
        <w:tc>
          <w:tcPr>
            <w:tcW w:w="705"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bCs w:val="0"/>
                <w:szCs w:val="20"/>
              </w:rPr>
            </w:pPr>
            <w:r>
              <w:rPr>
                <w:rFonts w:eastAsia="Arial Narrow" w:cs="Arial Narrow"/>
                <w:bCs w:val="0"/>
                <w:szCs w:val="20"/>
                <w:lang w:val="en-US"/>
              </w:rPr>
              <w:t>25 (61.0</w:t>
            </w:r>
            <w:r w:rsidRPr="454BE1F2">
              <w:rPr>
                <w:rFonts w:eastAsia="Arial Narrow" w:cs="Arial Narrow"/>
                <w:bCs w:val="0"/>
                <w:szCs w:val="20"/>
                <w:lang w:val="en-US"/>
              </w:rPr>
              <w:t>)</w:t>
            </w:r>
          </w:p>
        </w:tc>
        <w:tc>
          <w:tcPr>
            <w:tcW w:w="1058"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pStyle w:val="TableText0"/>
              <w:keepNext w:val="0"/>
              <w:jc w:val="center"/>
              <w:rPr>
                <w:rFonts w:eastAsia="MS Gothic" w:cs="Times New Roman"/>
                <w:color w:val="000000" w:themeColor="text1"/>
                <w:szCs w:val="20"/>
              </w:rPr>
            </w:pPr>
            <w:r w:rsidRPr="001A19DC">
              <w:rPr>
                <w:rFonts w:eastAsia="Arial Narrow" w:cs="Arial Narrow"/>
                <w:color w:val="000000" w:themeColor="text1"/>
                <w:szCs w:val="20"/>
              </w:rPr>
              <w:t>0.94 (0.66, 1.35)</w:t>
            </w:r>
          </w:p>
        </w:tc>
        <w:tc>
          <w:tcPr>
            <w:tcW w:w="1113"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pStyle w:val="TableText0"/>
              <w:keepNext w:val="0"/>
              <w:jc w:val="center"/>
              <w:rPr>
                <w:rFonts w:eastAsia="MS Gothic" w:cs="Times New Roman"/>
                <w:color w:val="000000" w:themeColor="text1"/>
                <w:szCs w:val="20"/>
              </w:rPr>
            </w:pPr>
            <w:r w:rsidRPr="001A19DC">
              <w:rPr>
                <w:rFonts w:eastAsia="Arial Narrow" w:cs="Arial Narrow"/>
                <w:color w:val="000000" w:themeColor="text1"/>
                <w:szCs w:val="20"/>
              </w:rPr>
              <w:t>-0.03 (-0.25, 0.18)</w:t>
            </w:r>
          </w:p>
        </w:tc>
      </w:tr>
      <w:tr w:rsidR="00FE4810" w:rsidTr="00F74A12">
        <w:tc>
          <w:tcPr>
            <w:tcW w:w="1324" w:type="pct"/>
            <w:tcBorders>
              <w:top w:val="single" w:sz="6" w:space="0" w:color="auto"/>
              <w:left w:val="single" w:sz="6" w:space="0" w:color="auto"/>
              <w:bottom w:val="single" w:sz="6" w:space="0" w:color="auto"/>
              <w:right w:val="single" w:sz="6" w:space="0" w:color="auto"/>
            </w:tcBorders>
            <w:vAlign w:val="center"/>
          </w:tcPr>
          <w:p w:rsidR="00FE4810" w:rsidRPr="004D3918" w:rsidRDefault="00FE4810" w:rsidP="007318FD">
            <w:pPr>
              <w:pStyle w:val="TableText0"/>
              <w:keepNext w:val="0"/>
              <w:rPr>
                <w:rFonts w:eastAsia="Arial Narrow" w:cs="Arial Narrow"/>
                <w:bCs w:val="0"/>
                <w:szCs w:val="20"/>
              </w:rPr>
            </w:pPr>
            <w:r w:rsidRPr="004D3918">
              <w:rPr>
                <w:rFonts w:eastAsia="Arial Narrow" w:cs="Arial Narrow"/>
                <w:bCs w:val="0"/>
                <w:szCs w:val="20"/>
              </w:rPr>
              <w:t>Nasopharyngitis</w:t>
            </w:r>
          </w:p>
        </w:tc>
        <w:tc>
          <w:tcPr>
            <w:tcW w:w="799" w:type="pct"/>
            <w:tcBorders>
              <w:top w:val="single" w:sz="6" w:space="0" w:color="auto"/>
              <w:left w:val="single" w:sz="6" w:space="0" w:color="auto"/>
              <w:bottom w:val="single" w:sz="6" w:space="0" w:color="auto"/>
              <w:right w:val="single" w:sz="6" w:space="0" w:color="auto"/>
            </w:tcBorders>
            <w:vAlign w:val="center"/>
          </w:tcPr>
          <w:p w:rsidR="00FE4810" w:rsidRPr="004D3918" w:rsidRDefault="00FE4810" w:rsidP="007318FD">
            <w:pPr>
              <w:pStyle w:val="TableText0"/>
              <w:keepNext w:val="0"/>
              <w:jc w:val="center"/>
              <w:rPr>
                <w:rFonts w:eastAsia="Arial Narrow" w:cs="Arial Narrow"/>
              </w:rPr>
            </w:pPr>
            <w:r w:rsidRPr="004D3918">
              <w:rPr>
                <w:rFonts w:eastAsia="Arial Narrow" w:cs="Arial Narrow"/>
              </w:rPr>
              <w:t>7 (17.5)</w:t>
            </w:r>
          </w:p>
        </w:tc>
        <w:tc>
          <w:tcPr>
            <w:tcW w:w="705" w:type="pct"/>
            <w:tcBorders>
              <w:top w:val="single" w:sz="6" w:space="0" w:color="auto"/>
              <w:left w:val="single" w:sz="6" w:space="0" w:color="auto"/>
              <w:bottom w:val="single" w:sz="6" w:space="0" w:color="auto"/>
              <w:right w:val="single" w:sz="6" w:space="0" w:color="auto"/>
            </w:tcBorders>
            <w:vAlign w:val="center"/>
          </w:tcPr>
          <w:p w:rsidR="00FE4810" w:rsidRPr="004D3918" w:rsidRDefault="00FE4810" w:rsidP="007318FD">
            <w:pPr>
              <w:pStyle w:val="TableText0"/>
              <w:keepNext w:val="0"/>
              <w:jc w:val="center"/>
              <w:rPr>
                <w:rFonts w:eastAsia="Arial Narrow" w:cs="Arial Narrow"/>
              </w:rPr>
            </w:pPr>
            <w:r w:rsidRPr="004D3918">
              <w:rPr>
                <w:rFonts w:eastAsia="Arial Narrow" w:cs="Arial Narrow"/>
              </w:rPr>
              <w:t>4 (9.8)</w:t>
            </w:r>
          </w:p>
        </w:tc>
        <w:tc>
          <w:tcPr>
            <w:tcW w:w="1058"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jc w:val="center"/>
              <w:rPr>
                <w:color w:val="000000" w:themeColor="text1"/>
                <w:sz w:val="20"/>
                <w:szCs w:val="20"/>
              </w:rPr>
            </w:pPr>
            <w:r w:rsidRPr="001A19DC">
              <w:rPr>
                <w:rFonts w:ascii="Arial Narrow" w:eastAsia="Arial Narrow" w:hAnsi="Arial Narrow" w:cs="Arial Narrow"/>
                <w:color w:val="000000" w:themeColor="text1"/>
                <w:sz w:val="20"/>
                <w:szCs w:val="20"/>
              </w:rPr>
              <w:t>1.79 (0.57, 5.66)</w:t>
            </w:r>
          </w:p>
        </w:tc>
        <w:tc>
          <w:tcPr>
            <w:tcW w:w="1113"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jc w:val="center"/>
              <w:rPr>
                <w:color w:val="000000" w:themeColor="text1"/>
                <w:sz w:val="20"/>
                <w:szCs w:val="20"/>
              </w:rPr>
            </w:pPr>
            <w:r w:rsidRPr="001A19DC">
              <w:rPr>
                <w:rFonts w:ascii="Arial Narrow" w:eastAsia="Arial Narrow" w:hAnsi="Arial Narrow" w:cs="Arial Narrow"/>
                <w:color w:val="000000" w:themeColor="text1"/>
                <w:sz w:val="20"/>
                <w:szCs w:val="20"/>
              </w:rPr>
              <w:t>0.08 (-0.07, 0.23)</w:t>
            </w:r>
          </w:p>
        </w:tc>
      </w:tr>
      <w:tr w:rsidR="00FE4810" w:rsidTr="00F74A12">
        <w:tc>
          <w:tcPr>
            <w:tcW w:w="1324"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rPr>
                <w:rFonts w:eastAsia="Arial Narrow" w:cs="Arial Narrow"/>
                <w:bCs w:val="0"/>
                <w:szCs w:val="20"/>
              </w:rPr>
            </w:pPr>
            <w:r w:rsidRPr="454BE1F2">
              <w:rPr>
                <w:rFonts w:eastAsia="Arial Narrow" w:cs="Arial Narrow"/>
                <w:bCs w:val="0"/>
                <w:szCs w:val="20"/>
              </w:rPr>
              <w:t>Headache</w:t>
            </w:r>
          </w:p>
        </w:tc>
        <w:tc>
          <w:tcPr>
            <w:tcW w:w="799"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rPr>
            </w:pPr>
            <w:r w:rsidRPr="1260728E">
              <w:rPr>
                <w:rFonts w:eastAsia="Arial Narrow" w:cs="Arial Narrow"/>
              </w:rPr>
              <w:t>2 (5.0)</w:t>
            </w:r>
          </w:p>
        </w:tc>
        <w:tc>
          <w:tcPr>
            <w:tcW w:w="705"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rPr>
            </w:pPr>
            <w:r w:rsidRPr="1260728E">
              <w:rPr>
                <w:rFonts w:eastAsia="Arial Narrow" w:cs="Arial Narrow"/>
              </w:rPr>
              <w:t>1 (2.4)</w:t>
            </w:r>
          </w:p>
        </w:tc>
        <w:tc>
          <w:tcPr>
            <w:tcW w:w="1058"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jc w:val="center"/>
              <w:rPr>
                <w:color w:val="000000" w:themeColor="text1"/>
                <w:sz w:val="20"/>
                <w:szCs w:val="20"/>
              </w:rPr>
            </w:pPr>
            <w:r w:rsidRPr="001A19DC">
              <w:rPr>
                <w:rFonts w:ascii="Arial Narrow" w:eastAsia="Arial Narrow" w:hAnsi="Arial Narrow" w:cs="Arial Narrow"/>
                <w:color w:val="000000" w:themeColor="text1"/>
                <w:sz w:val="20"/>
                <w:szCs w:val="20"/>
              </w:rPr>
              <w:t>2.05 (0.19, 21.72)</w:t>
            </w:r>
          </w:p>
        </w:tc>
        <w:tc>
          <w:tcPr>
            <w:tcW w:w="1113"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jc w:val="center"/>
              <w:rPr>
                <w:color w:val="000000" w:themeColor="text1"/>
                <w:sz w:val="20"/>
                <w:szCs w:val="20"/>
              </w:rPr>
            </w:pPr>
            <w:r w:rsidRPr="001A19DC">
              <w:rPr>
                <w:rFonts w:ascii="Arial Narrow" w:eastAsia="Arial Narrow" w:hAnsi="Arial Narrow" w:cs="Arial Narrow"/>
                <w:color w:val="000000" w:themeColor="text1"/>
                <w:sz w:val="20"/>
                <w:szCs w:val="20"/>
              </w:rPr>
              <w:t>0.03 (-0.06, 0.11)</w:t>
            </w:r>
          </w:p>
        </w:tc>
      </w:tr>
      <w:tr w:rsidR="00FE4810" w:rsidTr="00F74A12">
        <w:tc>
          <w:tcPr>
            <w:tcW w:w="1324"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rPr>
                <w:rFonts w:eastAsia="Arial Narrow" w:cs="Arial Narrow"/>
                <w:bCs w:val="0"/>
                <w:szCs w:val="20"/>
              </w:rPr>
            </w:pPr>
            <w:r w:rsidRPr="454BE1F2">
              <w:rPr>
                <w:rFonts w:eastAsia="Arial Narrow" w:cs="Arial Narrow"/>
                <w:bCs w:val="0"/>
                <w:szCs w:val="20"/>
              </w:rPr>
              <w:t>Abdominal pain</w:t>
            </w:r>
          </w:p>
        </w:tc>
        <w:tc>
          <w:tcPr>
            <w:tcW w:w="799"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rPr>
            </w:pPr>
            <w:r w:rsidRPr="1260728E">
              <w:rPr>
                <w:rFonts w:eastAsia="Arial Narrow" w:cs="Arial Narrow"/>
              </w:rPr>
              <w:t>2 (5.0)</w:t>
            </w:r>
          </w:p>
        </w:tc>
        <w:tc>
          <w:tcPr>
            <w:tcW w:w="705"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rPr>
            </w:pPr>
            <w:r w:rsidRPr="1260728E">
              <w:rPr>
                <w:rFonts w:eastAsia="Arial Narrow" w:cs="Arial Narrow"/>
              </w:rPr>
              <w:t>3 (7.3)</w:t>
            </w:r>
          </w:p>
        </w:tc>
        <w:tc>
          <w:tcPr>
            <w:tcW w:w="1058"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jc w:val="center"/>
              <w:rPr>
                <w:color w:val="000000" w:themeColor="text1"/>
                <w:sz w:val="20"/>
                <w:szCs w:val="20"/>
              </w:rPr>
            </w:pPr>
            <w:r w:rsidRPr="001A19DC">
              <w:rPr>
                <w:rFonts w:ascii="Arial Narrow" w:eastAsia="Arial Narrow" w:hAnsi="Arial Narrow" w:cs="Arial Narrow"/>
                <w:color w:val="000000" w:themeColor="text1"/>
                <w:sz w:val="20"/>
                <w:szCs w:val="20"/>
              </w:rPr>
              <w:t>0.68 (0.12, 3.88)</w:t>
            </w:r>
          </w:p>
        </w:tc>
        <w:tc>
          <w:tcPr>
            <w:tcW w:w="1113"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jc w:val="center"/>
              <w:rPr>
                <w:color w:val="000000" w:themeColor="text1"/>
                <w:sz w:val="20"/>
                <w:szCs w:val="20"/>
              </w:rPr>
            </w:pPr>
            <w:r w:rsidRPr="001A19DC">
              <w:rPr>
                <w:rFonts w:ascii="Arial Narrow" w:eastAsia="Arial Narrow" w:hAnsi="Arial Narrow" w:cs="Arial Narrow"/>
                <w:color w:val="000000" w:themeColor="text1"/>
                <w:sz w:val="20"/>
                <w:szCs w:val="20"/>
              </w:rPr>
              <w:t>-0.02 (-0.13, 0.08)</w:t>
            </w:r>
          </w:p>
        </w:tc>
      </w:tr>
      <w:tr w:rsidR="00FE4810" w:rsidTr="00F74A12">
        <w:tc>
          <w:tcPr>
            <w:tcW w:w="1324"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rPr>
                <w:rFonts w:eastAsia="Arial Narrow" w:cs="Arial Narrow"/>
                <w:bCs w:val="0"/>
                <w:szCs w:val="20"/>
              </w:rPr>
            </w:pPr>
            <w:r w:rsidRPr="454BE1F2">
              <w:rPr>
                <w:rFonts w:eastAsia="Arial Narrow" w:cs="Arial Narrow"/>
                <w:bCs w:val="0"/>
                <w:szCs w:val="20"/>
              </w:rPr>
              <w:t>Pharyngitis</w:t>
            </w:r>
          </w:p>
        </w:tc>
        <w:tc>
          <w:tcPr>
            <w:tcW w:w="799"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rPr>
            </w:pPr>
            <w:r w:rsidRPr="1260728E">
              <w:rPr>
                <w:rFonts w:eastAsia="Arial Narrow" w:cs="Arial Narrow"/>
              </w:rPr>
              <w:t>2 (5.0)</w:t>
            </w:r>
          </w:p>
        </w:tc>
        <w:tc>
          <w:tcPr>
            <w:tcW w:w="705"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rPr>
            </w:pPr>
            <w:r w:rsidRPr="1260728E">
              <w:rPr>
                <w:rFonts w:eastAsia="Arial Narrow" w:cs="Arial Narrow"/>
              </w:rPr>
              <w:t>0 (0.0)</w:t>
            </w:r>
          </w:p>
        </w:tc>
        <w:tc>
          <w:tcPr>
            <w:tcW w:w="1058" w:type="pct"/>
            <w:tcBorders>
              <w:top w:val="single" w:sz="6" w:space="0" w:color="auto"/>
              <w:left w:val="single" w:sz="6" w:space="0" w:color="auto"/>
              <w:bottom w:val="single" w:sz="6" w:space="0" w:color="auto"/>
              <w:right w:val="single" w:sz="6" w:space="0" w:color="auto"/>
            </w:tcBorders>
            <w:vAlign w:val="center"/>
          </w:tcPr>
          <w:p w:rsidR="00FE4810" w:rsidRPr="00A13316" w:rsidRDefault="00A13316" w:rsidP="007318FD">
            <w:pPr>
              <w:jc w:val="center"/>
              <w:rPr>
                <w:rFonts w:ascii="Arial Narrow" w:eastAsia="Calibri" w:hAnsi="Arial Narrow" w:cs="Calibri"/>
                <w:sz w:val="20"/>
                <w:szCs w:val="20"/>
              </w:rPr>
            </w:pPr>
            <w:r w:rsidRPr="00A13316">
              <w:rPr>
                <w:rFonts w:ascii="Arial Narrow" w:eastAsia="Calibri" w:hAnsi="Arial Narrow" w:cs="Calibri"/>
                <w:sz w:val="20"/>
                <w:szCs w:val="20"/>
              </w:rPr>
              <w:t>NA</w:t>
            </w:r>
          </w:p>
        </w:tc>
        <w:tc>
          <w:tcPr>
            <w:tcW w:w="1113"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jc w:val="center"/>
              <w:rPr>
                <w:color w:val="000000" w:themeColor="text1"/>
                <w:sz w:val="20"/>
                <w:szCs w:val="20"/>
              </w:rPr>
            </w:pPr>
            <w:r w:rsidRPr="001A19DC">
              <w:rPr>
                <w:rFonts w:ascii="Arial Narrow" w:eastAsia="Arial Narrow" w:hAnsi="Arial Narrow" w:cs="Arial Narrow"/>
                <w:color w:val="000000" w:themeColor="text1"/>
                <w:sz w:val="20"/>
                <w:szCs w:val="20"/>
              </w:rPr>
              <w:t>0.05 (-0.02, 0.12)</w:t>
            </w:r>
          </w:p>
        </w:tc>
      </w:tr>
      <w:tr w:rsidR="00FE4810" w:rsidTr="00F74A12">
        <w:tc>
          <w:tcPr>
            <w:tcW w:w="1324"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rPr>
                <w:rFonts w:eastAsia="Arial Narrow" w:cs="Arial Narrow"/>
                <w:bCs w:val="0"/>
                <w:szCs w:val="20"/>
              </w:rPr>
            </w:pPr>
            <w:r w:rsidRPr="454BE1F2">
              <w:rPr>
                <w:rFonts w:eastAsia="Arial Narrow" w:cs="Arial Narrow"/>
                <w:bCs w:val="0"/>
                <w:szCs w:val="20"/>
                <w:lang w:val="en-US"/>
              </w:rPr>
              <w:t>Any SAE (at least one)</w:t>
            </w:r>
          </w:p>
        </w:tc>
        <w:tc>
          <w:tcPr>
            <w:tcW w:w="799"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rPr>
            </w:pPr>
            <w:r w:rsidRPr="1260728E">
              <w:rPr>
                <w:rFonts w:eastAsia="Arial Narrow" w:cs="Arial Narrow"/>
                <w:lang w:val="en-US"/>
              </w:rPr>
              <w:t>1 (2.5%)</w:t>
            </w:r>
          </w:p>
        </w:tc>
        <w:tc>
          <w:tcPr>
            <w:tcW w:w="705"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rPr>
            </w:pPr>
            <w:r w:rsidRPr="1260728E">
              <w:rPr>
                <w:rFonts w:eastAsia="Arial Narrow" w:cs="Arial Narrow"/>
                <w:lang w:val="en-US"/>
              </w:rPr>
              <w:t>4 (9.8%)</w:t>
            </w:r>
          </w:p>
        </w:tc>
        <w:tc>
          <w:tcPr>
            <w:tcW w:w="1058"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pStyle w:val="TableText0"/>
              <w:keepNext w:val="0"/>
              <w:jc w:val="center"/>
              <w:rPr>
                <w:rFonts w:eastAsia="MS Gothic" w:cs="Times New Roman"/>
                <w:color w:val="000000" w:themeColor="text1"/>
                <w:szCs w:val="20"/>
              </w:rPr>
            </w:pPr>
            <w:r w:rsidRPr="001A19DC">
              <w:rPr>
                <w:rFonts w:eastAsia="Arial Narrow" w:cs="Arial Narrow"/>
                <w:color w:val="000000" w:themeColor="text1"/>
                <w:szCs w:val="20"/>
              </w:rPr>
              <w:t>0.26 (0.03, 2.19)</w:t>
            </w:r>
          </w:p>
        </w:tc>
        <w:tc>
          <w:tcPr>
            <w:tcW w:w="1113"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pStyle w:val="TableText0"/>
              <w:keepNext w:val="0"/>
              <w:jc w:val="center"/>
              <w:rPr>
                <w:rFonts w:eastAsia="MS Gothic" w:cs="Times New Roman"/>
                <w:color w:val="000000" w:themeColor="text1"/>
                <w:szCs w:val="20"/>
              </w:rPr>
            </w:pPr>
            <w:r w:rsidRPr="001A19DC">
              <w:rPr>
                <w:rFonts w:eastAsia="Arial Narrow" w:cs="Arial Narrow"/>
                <w:color w:val="000000" w:themeColor="text1"/>
                <w:szCs w:val="20"/>
              </w:rPr>
              <w:t>-0.07 (-0.18, 0.03)</w:t>
            </w:r>
          </w:p>
        </w:tc>
      </w:tr>
      <w:tr w:rsidR="00FE4810" w:rsidTr="00F74A12">
        <w:tc>
          <w:tcPr>
            <w:tcW w:w="1324"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rPr>
                <w:rFonts w:eastAsia="Arial Narrow" w:cs="Arial Narrow"/>
                <w:bCs w:val="0"/>
                <w:szCs w:val="20"/>
              </w:rPr>
            </w:pPr>
            <w:r>
              <w:rPr>
                <w:rFonts w:eastAsia="Arial Narrow" w:cs="Arial Narrow"/>
                <w:bCs w:val="0"/>
                <w:szCs w:val="20"/>
                <w:lang w:val="en-US"/>
              </w:rPr>
              <w:t>AEs resulting in discontin.</w:t>
            </w:r>
          </w:p>
        </w:tc>
        <w:tc>
          <w:tcPr>
            <w:tcW w:w="799"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rPr>
            </w:pPr>
            <w:r w:rsidRPr="1260728E">
              <w:rPr>
                <w:rFonts w:eastAsia="Arial Narrow" w:cs="Arial Narrow"/>
                <w:lang w:val="en-US"/>
              </w:rPr>
              <w:t>0 (0%)</w:t>
            </w:r>
          </w:p>
        </w:tc>
        <w:tc>
          <w:tcPr>
            <w:tcW w:w="705"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rPr>
            </w:pPr>
            <w:r w:rsidRPr="1260728E">
              <w:rPr>
                <w:rFonts w:eastAsia="Arial Narrow" w:cs="Arial Narrow"/>
                <w:lang w:val="en-US"/>
              </w:rPr>
              <w:t>1 (2.4%)</w:t>
            </w:r>
          </w:p>
        </w:tc>
        <w:tc>
          <w:tcPr>
            <w:tcW w:w="1058" w:type="pct"/>
            <w:tcBorders>
              <w:top w:val="single" w:sz="6" w:space="0" w:color="auto"/>
              <w:left w:val="single" w:sz="6" w:space="0" w:color="auto"/>
              <w:bottom w:val="single" w:sz="6" w:space="0" w:color="auto"/>
              <w:right w:val="single" w:sz="6" w:space="0" w:color="auto"/>
            </w:tcBorders>
            <w:vAlign w:val="center"/>
          </w:tcPr>
          <w:p w:rsidR="00FE4810" w:rsidRPr="001A19DC" w:rsidRDefault="00A13316" w:rsidP="007318FD">
            <w:pPr>
              <w:pStyle w:val="TableText0"/>
              <w:keepNext w:val="0"/>
              <w:jc w:val="center"/>
              <w:rPr>
                <w:rFonts w:eastAsia="MS Gothic" w:cs="Times New Roman"/>
                <w:color w:val="000000" w:themeColor="text1"/>
                <w:szCs w:val="20"/>
              </w:rPr>
            </w:pPr>
            <w:r w:rsidRPr="00A13316">
              <w:rPr>
                <w:rFonts w:eastAsia="Calibri" w:cs="Calibri"/>
                <w:szCs w:val="20"/>
              </w:rPr>
              <w:t>NA</w:t>
            </w:r>
          </w:p>
        </w:tc>
        <w:tc>
          <w:tcPr>
            <w:tcW w:w="1113"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pStyle w:val="TableText0"/>
              <w:keepNext w:val="0"/>
              <w:jc w:val="center"/>
              <w:rPr>
                <w:rFonts w:eastAsia="MS Gothic" w:cs="Times New Roman"/>
                <w:color w:val="000000" w:themeColor="text1"/>
                <w:szCs w:val="20"/>
              </w:rPr>
            </w:pPr>
            <w:r w:rsidRPr="001A19DC">
              <w:rPr>
                <w:rFonts w:eastAsia="Arial Narrow" w:cs="Arial Narrow"/>
                <w:color w:val="000000" w:themeColor="text1"/>
                <w:szCs w:val="20"/>
              </w:rPr>
              <w:t>-0.02 (-0.07, 0.02)</w:t>
            </w:r>
          </w:p>
        </w:tc>
      </w:tr>
      <w:tr w:rsidR="00F74A12" w:rsidTr="008232E3">
        <w:tc>
          <w:tcPr>
            <w:tcW w:w="1" w:type="pct"/>
            <w:gridSpan w:val="5"/>
            <w:tcBorders>
              <w:top w:val="single" w:sz="6" w:space="0" w:color="auto"/>
              <w:left w:val="single" w:sz="6" w:space="0" w:color="auto"/>
              <w:bottom w:val="single" w:sz="6" w:space="0" w:color="auto"/>
              <w:right w:val="single" w:sz="6" w:space="0" w:color="auto"/>
            </w:tcBorders>
            <w:vAlign w:val="center"/>
          </w:tcPr>
          <w:p w:rsidR="00F74A12" w:rsidRPr="0001107A" w:rsidRDefault="00F74A12" w:rsidP="007318FD">
            <w:pPr>
              <w:pStyle w:val="TableText0"/>
              <w:keepNext w:val="0"/>
              <w:rPr>
                <w:rFonts w:eastAsia="Arial Narrow" w:cs="Arial Narrow"/>
                <w:b/>
                <w:color w:val="000000" w:themeColor="text1"/>
                <w:szCs w:val="20"/>
              </w:rPr>
            </w:pPr>
            <w:r>
              <w:rPr>
                <w:rFonts w:eastAsia="Arial Narrow" w:cs="Arial Narrow"/>
                <w:b/>
                <w:color w:val="000000" w:themeColor="text1"/>
                <w:szCs w:val="20"/>
              </w:rPr>
              <w:t>Secukinumab h</w:t>
            </w:r>
            <w:r w:rsidRPr="0001107A">
              <w:rPr>
                <w:rFonts w:eastAsia="Arial Narrow" w:cs="Arial Narrow"/>
                <w:b/>
                <w:color w:val="000000" w:themeColor="text1"/>
                <w:szCs w:val="20"/>
              </w:rPr>
              <w:t>igh dose</w:t>
            </w:r>
          </w:p>
        </w:tc>
      </w:tr>
      <w:tr w:rsidR="00FE4810" w:rsidTr="00F74A12">
        <w:tc>
          <w:tcPr>
            <w:tcW w:w="1324"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rPr>
                <w:rFonts w:eastAsia="Arial Narrow" w:cs="Arial Narrow"/>
                <w:bCs w:val="0"/>
                <w:szCs w:val="20"/>
              </w:rPr>
            </w:pPr>
            <w:r w:rsidRPr="454BE1F2">
              <w:rPr>
                <w:rFonts w:eastAsia="Arial Narrow" w:cs="Arial Narrow"/>
                <w:bCs w:val="0"/>
                <w:szCs w:val="20"/>
                <w:lang w:val="en-US"/>
              </w:rPr>
              <w:t>Any AE (at least one)</w:t>
            </w:r>
          </w:p>
        </w:tc>
        <w:tc>
          <w:tcPr>
            <w:tcW w:w="799"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rPr>
            </w:pPr>
            <w:r>
              <w:rPr>
                <w:rFonts w:eastAsia="Arial Narrow" w:cs="Arial Narrow"/>
                <w:lang w:val="en-US"/>
              </w:rPr>
              <w:t>25 (62.5</w:t>
            </w:r>
            <w:r w:rsidRPr="1260728E">
              <w:rPr>
                <w:rFonts w:eastAsia="Arial Narrow" w:cs="Arial Narrow"/>
                <w:lang w:val="en-US"/>
              </w:rPr>
              <w:t>)</w:t>
            </w:r>
          </w:p>
        </w:tc>
        <w:tc>
          <w:tcPr>
            <w:tcW w:w="705"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rPr>
            </w:pPr>
            <w:r>
              <w:rPr>
                <w:rFonts w:eastAsia="Arial Narrow" w:cs="Arial Narrow"/>
                <w:lang w:val="en-US"/>
              </w:rPr>
              <w:t>25 (61.0</w:t>
            </w:r>
            <w:r w:rsidRPr="1260728E">
              <w:rPr>
                <w:rFonts w:eastAsia="Arial Narrow" w:cs="Arial Narrow"/>
                <w:lang w:val="en-US"/>
              </w:rPr>
              <w:t>)</w:t>
            </w:r>
          </w:p>
        </w:tc>
        <w:tc>
          <w:tcPr>
            <w:tcW w:w="1058"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pStyle w:val="TableText0"/>
              <w:keepNext w:val="0"/>
              <w:jc w:val="center"/>
              <w:rPr>
                <w:rFonts w:eastAsia="MS Gothic" w:cs="Times New Roman"/>
                <w:color w:val="000000" w:themeColor="text1"/>
                <w:szCs w:val="20"/>
              </w:rPr>
            </w:pPr>
            <w:r w:rsidRPr="001A19DC">
              <w:rPr>
                <w:rFonts w:eastAsia="Arial Narrow" w:cs="Arial Narrow"/>
                <w:color w:val="000000" w:themeColor="text1"/>
                <w:szCs w:val="20"/>
              </w:rPr>
              <w:t>1.03 (0.73, 1.44)</w:t>
            </w:r>
          </w:p>
        </w:tc>
        <w:tc>
          <w:tcPr>
            <w:tcW w:w="1113"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pStyle w:val="TableText0"/>
              <w:keepNext w:val="0"/>
              <w:jc w:val="center"/>
              <w:rPr>
                <w:rFonts w:eastAsia="MS Gothic" w:cs="Times New Roman"/>
                <w:color w:val="000000" w:themeColor="text1"/>
                <w:szCs w:val="20"/>
              </w:rPr>
            </w:pPr>
            <w:r w:rsidRPr="001A19DC">
              <w:rPr>
                <w:rFonts w:eastAsia="Arial Narrow" w:cs="Arial Narrow"/>
                <w:color w:val="000000" w:themeColor="text1"/>
                <w:szCs w:val="20"/>
              </w:rPr>
              <w:t>0.02 (-0.20, 0.23)</w:t>
            </w:r>
          </w:p>
        </w:tc>
      </w:tr>
      <w:tr w:rsidR="00FE4810" w:rsidTr="00F74A12">
        <w:tc>
          <w:tcPr>
            <w:tcW w:w="1324"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rPr>
                <w:rFonts w:eastAsia="Arial Narrow" w:cs="Arial Narrow"/>
                <w:bCs w:val="0"/>
                <w:szCs w:val="20"/>
              </w:rPr>
            </w:pPr>
            <w:r w:rsidRPr="454BE1F2">
              <w:rPr>
                <w:rFonts w:eastAsia="Arial Narrow" w:cs="Arial Narrow"/>
                <w:bCs w:val="0"/>
                <w:szCs w:val="20"/>
              </w:rPr>
              <w:t>Nasopharyngitis</w:t>
            </w:r>
          </w:p>
        </w:tc>
        <w:tc>
          <w:tcPr>
            <w:tcW w:w="799" w:type="pct"/>
            <w:tcBorders>
              <w:top w:val="single" w:sz="6" w:space="0" w:color="auto"/>
              <w:left w:val="single" w:sz="6" w:space="0" w:color="auto"/>
              <w:bottom w:val="single" w:sz="6" w:space="0" w:color="auto"/>
              <w:right w:val="single" w:sz="6" w:space="0" w:color="auto"/>
            </w:tcBorders>
            <w:vAlign w:val="center"/>
          </w:tcPr>
          <w:p w:rsidR="00FE4810" w:rsidRPr="00E64B7E" w:rsidRDefault="00FE4810" w:rsidP="007318FD">
            <w:pPr>
              <w:pStyle w:val="TableText0"/>
              <w:keepNext w:val="0"/>
              <w:jc w:val="center"/>
              <w:rPr>
                <w:rFonts w:eastAsia="Arial Narrow" w:cs="Arial Narrow"/>
              </w:rPr>
            </w:pPr>
            <w:r w:rsidRPr="6A8F74B3">
              <w:rPr>
                <w:rFonts w:eastAsia="Arial Narrow" w:cs="Arial Narrow"/>
              </w:rPr>
              <w:t>6 (15.0)</w:t>
            </w:r>
          </w:p>
        </w:tc>
        <w:tc>
          <w:tcPr>
            <w:tcW w:w="705" w:type="pct"/>
            <w:tcBorders>
              <w:top w:val="single" w:sz="6" w:space="0" w:color="auto"/>
              <w:left w:val="single" w:sz="6" w:space="0" w:color="auto"/>
              <w:bottom w:val="single" w:sz="6" w:space="0" w:color="auto"/>
              <w:right w:val="single" w:sz="6" w:space="0" w:color="auto"/>
            </w:tcBorders>
            <w:vAlign w:val="center"/>
          </w:tcPr>
          <w:p w:rsidR="00FE4810" w:rsidRPr="00E64B7E" w:rsidRDefault="00FE4810" w:rsidP="007318FD">
            <w:pPr>
              <w:pStyle w:val="TableText0"/>
              <w:keepNext w:val="0"/>
              <w:jc w:val="center"/>
              <w:rPr>
                <w:rFonts w:eastAsia="Arial Narrow" w:cs="Arial Narrow"/>
              </w:rPr>
            </w:pPr>
            <w:r w:rsidRPr="6A8F74B3">
              <w:rPr>
                <w:rFonts w:eastAsia="Arial Narrow" w:cs="Arial Narrow"/>
              </w:rPr>
              <w:t>4 (9.8)</w:t>
            </w:r>
          </w:p>
        </w:tc>
        <w:tc>
          <w:tcPr>
            <w:tcW w:w="1058"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jc w:val="center"/>
              <w:rPr>
                <w:color w:val="000000" w:themeColor="text1"/>
                <w:sz w:val="20"/>
                <w:szCs w:val="20"/>
              </w:rPr>
            </w:pPr>
            <w:r w:rsidRPr="001A19DC">
              <w:rPr>
                <w:rFonts w:ascii="Arial Narrow" w:eastAsia="Arial Narrow" w:hAnsi="Arial Narrow" w:cs="Arial Narrow"/>
                <w:color w:val="000000" w:themeColor="text1"/>
                <w:sz w:val="20"/>
                <w:szCs w:val="20"/>
              </w:rPr>
              <w:t>1.54 (0.47, 5.04)</w:t>
            </w:r>
          </w:p>
        </w:tc>
        <w:tc>
          <w:tcPr>
            <w:tcW w:w="1113"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jc w:val="center"/>
              <w:rPr>
                <w:color w:val="000000" w:themeColor="text1"/>
                <w:sz w:val="20"/>
                <w:szCs w:val="20"/>
              </w:rPr>
            </w:pPr>
            <w:r w:rsidRPr="001A19DC">
              <w:rPr>
                <w:rFonts w:ascii="Arial Narrow" w:eastAsia="Arial Narrow" w:hAnsi="Arial Narrow" w:cs="Arial Narrow"/>
                <w:color w:val="000000" w:themeColor="text1"/>
                <w:sz w:val="20"/>
                <w:szCs w:val="20"/>
              </w:rPr>
              <w:t>0.05 (-0.09, 0.20)</w:t>
            </w:r>
          </w:p>
        </w:tc>
      </w:tr>
      <w:tr w:rsidR="00FE4810" w:rsidTr="00F74A12">
        <w:tc>
          <w:tcPr>
            <w:tcW w:w="1324"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rPr>
                <w:rFonts w:eastAsia="Arial Narrow" w:cs="Arial Narrow"/>
                <w:bCs w:val="0"/>
                <w:szCs w:val="20"/>
              </w:rPr>
            </w:pPr>
            <w:r w:rsidRPr="454BE1F2">
              <w:rPr>
                <w:rFonts w:eastAsia="Arial Narrow" w:cs="Arial Narrow"/>
                <w:bCs w:val="0"/>
                <w:szCs w:val="20"/>
              </w:rPr>
              <w:t>Headache</w:t>
            </w:r>
          </w:p>
        </w:tc>
        <w:tc>
          <w:tcPr>
            <w:tcW w:w="799"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bCs w:val="0"/>
                <w:szCs w:val="20"/>
              </w:rPr>
            </w:pPr>
            <w:r w:rsidRPr="454BE1F2">
              <w:rPr>
                <w:rFonts w:eastAsia="Arial Narrow" w:cs="Arial Narrow"/>
                <w:bCs w:val="0"/>
                <w:szCs w:val="20"/>
              </w:rPr>
              <w:t>3 (7.5)</w:t>
            </w:r>
          </w:p>
        </w:tc>
        <w:tc>
          <w:tcPr>
            <w:tcW w:w="705"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bCs w:val="0"/>
                <w:szCs w:val="20"/>
              </w:rPr>
            </w:pPr>
            <w:r w:rsidRPr="454BE1F2">
              <w:rPr>
                <w:rFonts w:eastAsia="Arial Narrow" w:cs="Arial Narrow"/>
                <w:bCs w:val="0"/>
                <w:szCs w:val="20"/>
              </w:rPr>
              <w:t>1 (2.4)</w:t>
            </w:r>
          </w:p>
        </w:tc>
        <w:tc>
          <w:tcPr>
            <w:tcW w:w="1058"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jc w:val="center"/>
              <w:rPr>
                <w:color w:val="000000" w:themeColor="text1"/>
                <w:sz w:val="20"/>
                <w:szCs w:val="20"/>
              </w:rPr>
            </w:pPr>
            <w:r w:rsidRPr="001A19DC">
              <w:rPr>
                <w:rFonts w:ascii="Arial Narrow" w:eastAsia="Arial Narrow" w:hAnsi="Arial Narrow" w:cs="Arial Narrow"/>
                <w:color w:val="000000" w:themeColor="text1"/>
                <w:sz w:val="20"/>
                <w:szCs w:val="20"/>
              </w:rPr>
              <w:t>3.08 (0.33, 28.34)</w:t>
            </w:r>
          </w:p>
        </w:tc>
        <w:tc>
          <w:tcPr>
            <w:tcW w:w="1113"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jc w:val="center"/>
              <w:rPr>
                <w:color w:val="000000" w:themeColor="text1"/>
                <w:sz w:val="20"/>
                <w:szCs w:val="20"/>
              </w:rPr>
            </w:pPr>
            <w:r w:rsidRPr="001A19DC">
              <w:rPr>
                <w:rFonts w:ascii="Arial Narrow" w:eastAsia="Arial Narrow" w:hAnsi="Arial Narrow" w:cs="Arial Narrow"/>
                <w:color w:val="000000" w:themeColor="text1"/>
                <w:sz w:val="20"/>
                <w:szCs w:val="20"/>
              </w:rPr>
              <w:t>0.05 (-0.04, 0.14)</w:t>
            </w:r>
          </w:p>
        </w:tc>
      </w:tr>
      <w:tr w:rsidR="00FE4810" w:rsidTr="00F74A12">
        <w:tc>
          <w:tcPr>
            <w:tcW w:w="1324"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rPr>
                <w:rFonts w:eastAsia="Arial Narrow" w:cs="Arial Narrow"/>
                <w:bCs w:val="0"/>
                <w:szCs w:val="20"/>
              </w:rPr>
            </w:pPr>
            <w:r w:rsidRPr="454BE1F2">
              <w:rPr>
                <w:rFonts w:eastAsia="Arial Narrow" w:cs="Arial Narrow"/>
                <w:bCs w:val="0"/>
                <w:szCs w:val="20"/>
              </w:rPr>
              <w:t>Abdominal pain</w:t>
            </w:r>
          </w:p>
        </w:tc>
        <w:tc>
          <w:tcPr>
            <w:tcW w:w="799"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bCs w:val="0"/>
                <w:szCs w:val="20"/>
              </w:rPr>
            </w:pPr>
            <w:r w:rsidRPr="454BE1F2">
              <w:rPr>
                <w:rFonts w:eastAsia="Arial Narrow" w:cs="Arial Narrow"/>
                <w:bCs w:val="0"/>
                <w:szCs w:val="20"/>
              </w:rPr>
              <w:t>2 (5.0)</w:t>
            </w:r>
          </w:p>
        </w:tc>
        <w:tc>
          <w:tcPr>
            <w:tcW w:w="705"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bCs w:val="0"/>
                <w:szCs w:val="20"/>
              </w:rPr>
            </w:pPr>
            <w:r w:rsidRPr="454BE1F2">
              <w:rPr>
                <w:rFonts w:eastAsia="Arial Narrow" w:cs="Arial Narrow"/>
                <w:bCs w:val="0"/>
                <w:szCs w:val="20"/>
              </w:rPr>
              <w:t>3 (7.3)</w:t>
            </w:r>
          </w:p>
        </w:tc>
        <w:tc>
          <w:tcPr>
            <w:tcW w:w="1058"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jc w:val="center"/>
              <w:rPr>
                <w:color w:val="000000" w:themeColor="text1"/>
                <w:sz w:val="20"/>
                <w:szCs w:val="20"/>
              </w:rPr>
            </w:pPr>
            <w:r w:rsidRPr="001A19DC">
              <w:rPr>
                <w:rFonts w:ascii="Arial Narrow" w:eastAsia="Arial Narrow" w:hAnsi="Arial Narrow" w:cs="Arial Narrow"/>
                <w:color w:val="000000" w:themeColor="text1"/>
                <w:sz w:val="20"/>
                <w:szCs w:val="20"/>
              </w:rPr>
              <w:t>0.68 (0.12, 3.88)</w:t>
            </w:r>
          </w:p>
        </w:tc>
        <w:tc>
          <w:tcPr>
            <w:tcW w:w="1113"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jc w:val="center"/>
              <w:rPr>
                <w:color w:val="000000" w:themeColor="text1"/>
                <w:sz w:val="20"/>
                <w:szCs w:val="20"/>
              </w:rPr>
            </w:pPr>
            <w:r w:rsidRPr="001A19DC">
              <w:rPr>
                <w:rFonts w:ascii="Arial Narrow" w:eastAsia="Arial Narrow" w:hAnsi="Arial Narrow" w:cs="Arial Narrow"/>
                <w:color w:val="000000" w:themeColor="text1"/>
                <w:sz w:val="20"/>
                <w:szCs w:val="20"/>
              </w:rPr>
              <w:t>-0.02 (-0.13, 0.08)</w:t>
            </w:r>
          </w:p>
        </w:tc>
      </w:tr>
      <w:tr w:rsidR="00FE4810" w:rsidTr="00F74A12">
        <w:tc>
          <w:tcPr>
            <w:tcW w:w="1324"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rPr>
                <w:rFonts w:eastAsia="Arial Narrow" w:cs="Arial Narrow"/>
                <w:bCs w:val="0"/>
                <w:szCs w:val="20"/>
              </w:rPr>
            </w:pPr>
            <w:r w:rsidRPr="454BE1F2">
              <w:rPr>
                <w:rFonts w:eastAsia="Arial Narrow" w:cs="Arial Narrow"/>
                <w:bCs w:val="0"/>
                <w:szCs w:val="20"/>
              </w:rPr>
              <w:t>Pharyngitis</w:t>
            </w:r>
          </w:p>
        </w:tc>
        <w:tc>
          <w:tcPr>
            <w:tcW w:w="799"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bCs w:val="0"/>
                <w:szCs w:val="20"/>
              </w:rPr>
            </w:pPr>
            <w:r w:rsidRPr="454BE1F2">
              <w:rPr>
                <w:rFonts w:eastAsia="Arial Narrow" w:cs="Arial Narrow"/>
                <w:bCs w:val="0"/>
                <w:szCs w:val="20"/>
              </w:rPr>
              <w:t>2 (5.0)</w:t>
            </w:r>
          </w:p>
        </w:tc>
        <w:tc>
          <w:tcPr>
            <w:tcW w:w="705"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bCs w:val="0"/>
                <w:szCs w:val="20"/>
              </w:rPr>
            </w:pPr>
            <w:r w:rsidRPr="454BE1F2">
              <w:rPr>
                <w:rFonts w:eastAsia="Arial Narrow" w:cs="Arial Narrow"/>
                <w:bCs w:val="0"/>
                <w:szCs w:val="20"/>
              </w:rPr>
              <w:t>0 (0.0)</w:t>
            </w:r>
          </w:p>
        </w:tc>
        <w:tc>
          <w:tcPr>
            <w:tcW w:w="1058" w:type="pct"/>
            <w:tcBorders>
              <w:top w:val="single" w:sz="6" w:space="0" w:color="auto"/>
              <w:left w:val="single" w:sz="6" w:space="0" w:color="auto"/>
              <w:bottom w:val="single" w:sz="6" w:space="0" w:color="auto"/>
              <w:right w:val="single" w:sz="6" w:space="0" w:color="auto"/>
            </w:tcBorders>
            <w:vAlign w:val="center"/>
          </w:tcPr>
          <w:p w:rsidR="00FE4810" w:rsidRPr="001A19DC" w:rsidRDefault="00A13316" w:rsidP="007318FD">
            <w:pPr>
              <w:jc w:val="center"/>
              <w:rPr>
                <w:rFonts w:eastAsia="Calibri" w:cs="Calibri"/>
                <w:sz w:val="20"/>
                <w:szCs w:val="20"/>
              </w:rPr>
            </w:pPr>
            <w:r w:rsidRPr="00A13316">
              <w:rPr>
                <w:rFonts w:ascii="Arial Narrow" w:eastAsia="Calibri" w:hAnsi="Arial Narrow" w:cs="Calibri"/>
                <w:sz w:val="20"/>
                <w:szCs w:val="20"/>
              </w:rPr>
              <w:t>NA</w:t>
            </w:r>
          </w:p>
        </w:tc>
        <w:tc>
          <w:tcPr>
            <w:tcW w:w="1113"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jc w:val="center"/>
              <w:rPr>
                <w:color w:val="000000" w:themeColor="text1"/>
                <w:sz w:val="20"/>
                <w:szCs w:val="20"/>
              </w:rPr>
            </w:pPr>
            <w:r w:rsidRPr="001A19DC">
              <w:rPr>
                <w:rFonts w:ascii="Arial Narrow" w:eastAsia="Arial Narrow" w:hAnsi="Arial Narrow" w:cs="Arial Narrow"/>
                <w:color w:val="000000" w:themeColor="text1"/>
                <w:sz w:val="20"/>
                <w:szCs w:val="20"/>
              </w:rPr>
              <w:t>0.05 (-0.02, 0.12)</w:t>
            </w:r>
          </w:p>
        </w:tc>
      </w:tr>
      <w:tr w:rsidR="00FE4810" w:rsidTr="00F74A12">
        <w:tc>
          <w:tcPr>
            <w:tcW w:w="1324"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rPr>
                <w:rFonts w:eastAsia="Arial Narrow" w:cs="Arial Narrow"/>
                <w:bCs w:val="0"/>
                <w:szCs w:val="20"/>
              </w:rPr>
            </w:pPr>
            <w:r w:rsidRPr="454BE1F2">
              <w:rPr>
                <w:rFonts w:eastAsia="Arial Narrow" w:cs="Arial Narrow"/>
                <w:bCs w:val="0"/>
                <w:szCs w:val="20"/>
                <w:lang w:val="en-US"/>
              </w:rPr>
              <w:t>Any SAE (at least one)</w:t>
            </w:r>
          </w:p>
        </w:tc>
        <w:tc>
          <w:tcPr>
            <w:tcW w:w="799"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jc w:val="center"/>
              <w:rPr>
                <w:rFonts w:eastAsia="Arial Narrow" w:cs="Arial Narrow"/>
                <w:bCs w:val="0"/>
                <w:szCs w:val="20"/>
              </w:rPr>
            </w:pPr>
            <w:r w:rsidRPr="454BE1F2">
              <w:rPr>
                <w:rFonts w:eastAsia="Arial Narrow" w:cs="Arial Narrow"/>
                <w:bCs w:val="0"/>
                <w:szCs w:val="20"/>
                <w:lang w:val="en-US"/>
              </w:rPr>
              <w:t>1 (2.5%)</w:t>
            </w:r>
          </w:p>
        </w:tc>
        <w:tc>
          <w:tcPr>
            <w:tcW w:w="705" w:type="pct"/>
            <w:tcBorders>
              <w:top w:val="single" w:sz="6" w:space="0" w:color="auto"/>
              <w:left w:val="single" w:sz="6" w:space="0" w:color="auto"/>
              <w:bottom w:val="single" w:sz="6" w:space="0" w:color="auto"/>
              <w:right w:val="single" w:sz="6" w:space="0" w:color="auto"/>
            </w:tcBorders>
            <w:vAlign w:val="center"/>
          </w:tcPr>
          <w:p w:rsidR="00FE4810" w:rsidRPr="00A85CE1" w:rsidRDefault="00FE4810" w:rsidP="007318FD">
            <w:pPr>
              <w:pStyle w:val="TableText0"/>
              <w:keepNext w:val="0"/>
              <w:jc w:val="center"/>
              <w:rPr>
                <w:rFonts w:eastAsia="Arial Narrow" w:cs="Arial Narrow"/>
                <w:bCs w:val="0"/>
                <w:szCs w:val="20"/>
              </w:rPr>
            </w:pPr>
            <w:r w:rsidRPr="00A85CE1">
              <w:rPr>
                <w:rFonts w:eastAsia="Arial Narrow" w:cs="Arial Narrow"/>
                <w:bCs w:val="0"/>
                <w:szCs w:val="20"/>
                <w:lang w:val="en-US"/>
              </w:rPr>
              <w:t>4</w:t>
            </w:r>
            <w:r w:rsidRPr="00A85CE1">
              <w:rPr>
                <w:rFonts w:eastAsia="Arial Narrow" w:cs="Arial Narrow"/>
                <w:bCs w:val="0"/>
                <w:color w:val="881798"/>
                <w:szCs w:val="20"/>
                <w:lang w:val="en-US"/>
              </w:rPr>
              <w:t xml:space="preserve"> </w:t>
            </w:r>
            <w:r w:rsidRPr="00A85CE1">
              <w:rPr>
                <w:rFonts w:eastAsia="Arial Narrow" w:cs="Arial Narrow"/>
                <w:bCs w:val="0"/>
                <w:szCs w:val="20"/>
                <w:lang w:val="en-US"/>
              </w:rPr>
              <w:t>(9.8%)</w:t>
            </w:r>
          </w:p>
        </w:tc>
        <w:tc>
          <w:tcPr>
            <w:tcW w:w="1058"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pStyle w:val="TableText0"/>
              <w:keepNext w:val="0"/>
              <w:jc w:val="center"/>
              <w:rPr>
                <w:rFonts w:eastAsia="MS Gothic" w:cs="Times New Roman"/>
                <w:color w:val="000000" w:themeColor="text1"/>
                <w:szCs w:val="20"/>
              </w:rPr>
            </w:pPr>
            <w:r w:rsidRPr="001A19DC">
              <w:rPr>
                <w:rFonts w:eastAsia="Arial Narrow" w:cs="Arial Narrow"/>
                <w:color w:val="000000" w:themeColor="text1"/>
                <w:szCs w:val="20"/>
              </w:rPr>
              <w:t>0.26 (0.03, 2.19)</w:t>
            </w:r>
          </w:p>
        </w:tc>
        <w:tc>
          <w:tcPr>
            <w:tcW w:w="1113"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pStyle w:val="TableText0"/>
              <w:keepNext w:val="0"/>
              <w:jc w:val="center"/>
              <w:rPr>
                <w:rFonts w:eastAsia="MS Gothic" w:cs="Times New Roman"/>
                <w:color w:val="000000" w:themeColor="text1"/>
                <w:szCs w:val="20"/>
              </w:rPr>
            </w:pPr>
            <w:r w:rsidRPr="001A19DC">
              <w:rPr>
                <w:rFonts w:eastAsia="Arial Narrow" w:cs="Arial Narrow"/>
                <w:color w:val="000000" w:themeColor="text1"/>
                <w:szCs w:val="20"/>
              </w:rPr>
              <w:t>-0.07 (-0.18, 0.03)</w:t>
            </w:r>
          </w:p>
        </w:tc>
      </w:tr>
      <w:tr w:rsidR="00FE4810" w:rsidTr="00F74A12">
        <w:tc>
          <w:tcPr>
            <w:tcW w:w="1324" w:type="pct"/>
            <w:tcBorders>
              <w:top w:val="single" w:sz="6" w:space="0" w:color="auto"/>
              <w:left w:val="single" w:sz="6" w:space="0" w:color="auto"/>
              <w:bottom w:val="single" w:sz="6" w:space="0" w:color="auto"/>
              <w:right w:val="single" w:sz="6" w:space="0" w:color="auto"/>
            </w:tcBorders>
            <w:vAlign w:val="center"/>
          </w:tcPr>
          <w:p w:rsidR="00FE4810" w:rsidRDefault="00FE4810" w:rsidP="007318FD">
            <w:pPr>
              <w:pStyle w:val="TableText0"/>
              <w:keepNext w:val="0"/>
              <w:rPr>
                <w:rFonts w:eastAsia="Arial Narrow" w:cs="Arial Narrow"/>
                <w:bCs w:val="0"/>
                <w:szCs w:val="20"/>
              </w:rPr>
            </w:pPr>
            <w:r>
              <w:rPr>
                <w:rFonts w:eastAsia="Arial Narrow" w:cs="Arial Narrow"/>
                <w:bCs w:val="0"/>
                <w:szCs w:val="20"/>
                <w:lang w:val="en-US"/>
              </w:rPr>
              <w:t>AEs resulting in discontin.</w:t>
            </w:r>
          </w:p>
        </w:tc>
        <w:tc>
          <w:tcPr>
            <w:tcW w:w="799" w:type="pct"/>
            <w:tcBorders>
              <w:top w:val="single" w:sz="6" w:space="0" w:color="auto"/>
              <w:left w:val="single" w:sz="6" w:space="0" w:color="auto"/>
              <w:bottom w:val="single" w:sz="6" w:space="0" w:color="auto"/>
              <w:right w:val="single" w:sz="6" w:space="0" w:color="auto"/>
            </w:tcBorders>
            <w:vAlign w:val="center"/>
          </w:tcPr>
          <w:p w:rsidR="00FE4810" w:rsidRPr="00A85CE1" w:rsidRDefault="00FE4810" w:rsidP="007318FD">
            <w:pPr>
              <w:pStyle w:val="TableText0"/>
              <w:keepNext w:val="0"/>
              <w:jc w:val="center"/>
              <w:rPr>
                <w:rFonts w:eastAsia="Arial Narrow" w:cs="Arial Narrow"/>
                <w:bCs w:val="0"/>
                <w:szCs w:val="20"/>
              </w:rPr>
            </w:pPr>
            <w:r w:rsidRPr="00A85CE1">
              <w:rPr>
                <w:rFonts w:eastAsia="Arial Narrow" w:cs="Arial Narrow"/>
                <w:bCs w:val="0"/>
                <w:szCs w:val="20"/>
                <w:lang w:val="en-US"/>
              </w:rPr>
              <w:t>1</w:t>
            </w:r>
            <w:r w:rsidRPr="00A85CE1">
              <w:rPr>
                <w:rFonts w:eastAsia="Arial Narrow" w:cs="Arial Narrow"/>
                <w:bCs w:val="0"/>
                <w:color w:val="881798"/>
                <w:szCs w:val="20"/>
                <w:lang w:val="en-US"/>
              </w:rPr>
              <w:t xml:space="preserve"> </w:t>
            </w:r>
            <w:r w:rsidRPr="00A85CE1">
              <w:rPr>
                <w:rFonts w:eastAsia="Arial Narrow" w:cs="Arial Narrow"/>
                <w:bCs w:val="0"/>
                <w:szCs w:val="20"/>
                <w:lang w:val="en-US"/>
              </w:rPr>
              <w:t>(2.5%)</w:t>
            </w:r>
          </w:p>
        </w:tc>
        <w:tc>
          <w:tcPr>
            <w:tcW w:w="705" w:type="pct"/>
            <w:tcBorders>
              <w:top w:val="single" w:sz="6" w:space="0" w:color="auto"/>
              <w:left w:val="single" w:sz="6" w:space="0" w:color="auto"/>
              <w:bottom w:val="single" w:sz="6" w:space="0" w:color="auto"/>
              <w:right w:val="single" w:sz="6" w:space="0" w:color="auto"/>
            </w:tcBorders>
            <w:vAlign w:val="center"/>
          </w:tcPr>
          <w:p w:rsidR="00FE4810" w:rsidRPr="00A85CE1" w:rsidRDefault="00FE4810" w:rsidP="007318FD">
            <w:pPr>
              <w:pStyle w:val="TableText0"/>
              <w:keepNext w:val="0"/>
              <w:jc w:val="center"/>
              <w:rPr>
                <w:rFonts w:eastAsia="Arial Narrow" w:cs="Arial Narrow"/>
                <w:bCs w:val="0"/>
                <w:szCs w:val="20"/>
              </w:rPr>
            </w:pPr>
            <w:r w:rsidRPr="00A85CE1">
              <w:rPr>
                <w:rFonts w:eastAsia="Arial Narrow" w:cs="Arial Narrow"/>
                <w:bCs w:val="0"/>
                <w:szCs w:val="20"/>
                <w:lang w:val="en-US"/>
              </w:rPr>
              <w:t>1</w:t>
            </w:r>
            <w:r w:rsidRPr="00A85CE1">
              <w:rPr>
                <w:rFonts w:eastAsia="Arial Narrow" w:cs="Arial Narrow"/>
                <w:bCs w:val="0"/>
                <w:color w:val="881798"/>
                <w:szCs w:val="20"/>
                <w:lang w:val="en-US"/>
              </w:rPr>
              <w:t xml:space="preserve"> </w:t>
            </w:r>
            <w:r w:rsidRPr="00A85CE1">
              <w:rPr>
                <w:rFonts w:eastAsia="Arial Narrow" w:cs="Arial Narrow"/>
                <w:bCs w:val="0"/>
                <w:szCs w:val="20"/>
                <w:lang w:val="en-US"/>
              </w:rPr>
              <w:t>(2.4%)</w:t>
            </w:r>
          </w:p>
        </w:tc>
        <w:tc>
          <w:tcPr>
            <w:tcW w:w="1058"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pStyle w:val="TableText0"/>
              <w:keepNext w:val="0"/>
              <w:jc w:val="center"/>
              <w:rPr>
                <w:rFonts w:eastAsia="MS Gothic" w:cs="Times New Roman"/>
                <w:color w:val="000000" w:themeColor="text1"/>
                <w:szCs w:val="20"/>
              </w:rPr>
            </w:pPr>
            <w:r w:rsidRPr="001A19DC">
              <w:rPr>
                <w:rFonts w:eastAsia="Arial Narrow" w:cs="Arial Narrow"/>
                <w:color w:val="000000" w:themeColor="text1"/>
                <w:szCs w:val="20"/>
              </w:rPr>
              <w:t>1.03 (0.07, 15.83)</w:t>
            </w:r>
          </w:p>
        </w:tc>
        <w:tc>
          <w:tcPr>
            <w:tcW w:w="1113" w:type="pct"/>
            <w:tcBorders>
              <w:top w:val="single" w:sz="6" w:space="0" w:color="auto"/>
              <w:left w:val="single" w:sz="6" w:space="0" w:color="auto"/>
              <w:bottom w:val="single" w:sz="6" w:space="0" w:color="auto"/>
              <w:right w:val="single" w:sz="6" w:space="0" w:color="auto"/>
            </w:tcBorders>
            <w:vAlign w:val="center"/>
          </w:tcPr>
          <w:p w:rsidR="00FE4810" w:rsidRPr="001A19DC" w:rsidRDefault="00FE4810" w:rsidP="007318FD">
            <w:pPr>
              <w:pStyle w:val="TableText0"/>
              <w:keepNext w:val="0"/>
              <w:jc w:val="center"/>
              <w:rPr>
                <w:rFonts w:eastAsia="MS Gothic" w:cs="Times New Roman"/>
                <w:color w:val="000000" w:themeColor="text1"/>
                <w:szCs w:val="20"/>
              </w:rPr>
            </w:pPr>
            <w:r w:rsidRPr="001A19DC">
              <w:rPr>
                <w:rFonts w:eastAsia="Arial Narrow" w:cs="Arial Narrow"/>
                <w:color w:val="000000" w:themeColor="text1"/>
                <w:szCs w:val="20"/>
              </w:rPr>
              <w:t>0.00 (-0.07, 0.07)</w:t>
            </w:r>
          </w:p>
        </w:tc>
      </w:tr>
    </w:tbl>
    <w:p w:rsidR="000E75B4" w:rsidRPr="00AD4E0D" w:rsidRDefault="000568CB" w:rsidP="007318FD">
      <w:pPr>
        <w:pStyle w:val="TableFigureFooter"/>
        <w:spacing w:after="0"/>
        <w:jc w:val="both"/>
        <w:rPr>
          <w:rFonts w:eastAsia="Arial Narrow" w:cs="Arial Narrow"/>
          <w:color w:val="000000" w:themeColor="text1"/>
        </w:rPr>
      </w:pPr>
      <w:r w:rsidRPr="6A8F74B3">
        <w:rPr>
          <w:rFonts w:eastAsia="Arial Narrow" w:cs="Arial Narrow"/>
          <w:color w:val="000000" w:themeColor="text1"/>
        </w:rPr>
        <w:t>Source: Table 2.35, p</w:t>
      </w:r>
      <w:r w:rsidR="00682CE1">
        <w:rPr>
          <w:rFonts w:eastAsia="Arial Narrow" w:cs="Arial Narrow"/>
          <w:color w:val="000000" w:themeColor="text1"/>
        </w:rPr>
        <w:t>102-103</w:t>
      </w:r>
      <w:r w:rsidRPr="6A8F74B3">
        <w:rPr>
          <w:rFonts w:eastAsia="Arial Narrow" w:cs="Arial Narrow"/>
          <w:color w:val="000000" w:themeColor="text1"/>
        </w:rPr>
        <w:t xml:space="preserve"> and Table 2.36, p</w:t>
      </w:r>
      <w:r w:rsidR="00682CE1">
        <w:rPr>
          <w:rFonts w:eastAsia="Arial Narrow" w:cs="Arial Narrow"/>
          <w:color w:val="000000" w:themeColor="text1"/>
        </w:rPr>
        <w:t>104</w:t>
      </w:r>
      <w:r w:rsidRPr="6A8F74B3">
        <w:rPr>
          <w:rFonts w:eastAsia="Arial Narrow" w:cs="Arial Narrow"/>
          <w:color w:val="000000" w:themeColor="text1"/>
        </w:rPr>
        <w:t xml:space="preserve"> of the submission. </w:t>
      </w:r>
    </w:p>
    <w:p w:rsidR="000E75B4" w:rsidRDefault="000E75B4" w:rsidP="007318FD">
      <w:pPr>
        <w:pStyle w:val="TableFigureFooter"/>
        <w:spacing w:after="0"/>
        <w:jc w:val="both"/>
        <w:rPr>
          <w:rFonts w:eastAsia="Arial Narrow" w:cs="Arial Narrow"/>
          <w:color w:val="000000" w:themeColor="text1"/>
        </w:rPr>
      </w:pPr>
      <w:r w:rsidRPr="159B995A">
        <w:rPr>
          <w:rFonts w:eastAsia="Arial Narrow" w:cs="Arial Narrow"/>
          <w:color w:val="000000" w:themeColor="text1"/>
          <w:szCs w:val="18"/>
          <w:lang w:val="en-US"/>
        </w:rPr>
        <w:t>Abbreviations: AE</w:t>
      </w:r>
      <w:r>
        <w:rPr>
          <w:rFonts w:eastAsia="Arial Narrow" w:cs="Arial Narrow"/>
          <w:color w:val="000000" w:themeColor="text1"/>
          <w:szCs w:val="18"/>
          <w:lang w:val="en-US"/>
        </w:rPr>
        <w:t xml:space="preserve"> </w:t>
      </w:r>
      <w:r w:rsidRPr="159B995A">
        <w:rPr>
          <w:rFonts w:eastAsia="Arial Narrow" w:cs="Arial Narrow"/>
          <w:color w:val="000000" w:themeColor="text1"/>
          <w:szCs w:val="18"/>
          <w:lang w:val="en-US"/>
        </w:rPr>
        <w:t>= adverse event; CI</w:t>
      </w:r>
      <w:r>
        <w:rPr>
          <w:rFonts w:eastAsia="Arial Narrow" w:cs="Arial Narrow"/>
          <w:color w:val="000000" w:themeColor="text1"/>
          <w:szCs w:val="18"/>
          <w:lang w:val="en-US"/>
        </w:rPr>
        <w:t xml:space="preserve"> </w:t>
      </w:r>
      <w:r w:rsidRPr="159B995A">
        <w:rPr>
          <w:rFonts w:eastAsia="Arial Narrow" w:cs="Arial Narrow"/>
          <w:color w:val="000000" w:themeColor="text1"/>
          <w:szCs w:val="18"/>
          <w:lang w:val="en-US"/>
        </w:rPr>
        <w:t xml:space="preserve">= confidence interval; </w:t>
      </w:r>
      <w:r>
        <w:rPr>
          <w:rFonts w:eastAsia="Arial Narrow" w:cs="Arial Narrow"/>
          <w:color w:val="000000" w:themeColor="text1"/>
          <w:szCs w:val="18"/>
          <w:lang w:val="en-US"/>
        </w:rPr>
        <w:t xml:space="preserve">discontin. = discontinuation; </w:t>
      </w:r>
      <w:r w:rsidR="00A13316">
        <w:rPr>
          <w:rFonts w:eastAsia="Arial Narrow" w:cs="Arial Narrow"/>
          <w:color w:val="000000" w:themeColor="text1"/>
          <w:szCs w:val="18"/>
          <w:lang w:val="en-US"/>
        </w:rPr>
        <w:t xml:space="preserve">NA = not applicable; </w:t>
      </w:r>
      <w:r w:rsidRPr="159B995A">
        <w:rPr>
          <w:rFonts w:eastAsia="Arial Narrow" w:cs="Arial Narrow"/>
          <w:color w:val="000000" w:themeColor="text1"/>
          <w:szCs w:val="18"/>
          <w:lang w:val="en-US"/>
        </w:rPr>
        <w:t>RR</w:t>
      </w:r>
      <w:r>
        <w:rPr>
          <w:rFonts w:eastAsia="Arial Narrow" w:cs="Arial Narrow"/>
          <w:color w:val="000000" w:themeColor="text1"/>
          <w:szCs w:val="18"/>
          <w:lang w:val="en-US"/>
        </w:rPr>
        <w:t xml:space="preserve"> </w:t>
      </w:r>
      <w:r w:rsidRPr="159B995A">
        <w:rPr>
          <w:rFonts w:eastAsia="Arial Narrow" w:cs="Arial Narrow"/>
          <w:color w:val="000000" w:themeColor="text1"/>
          <w:szCs w:val="18"/>
          <w:lang w:val="en-US"/>
        </w:rPr>
        <w:t>= relative risk; RD</w:t>
      </w:r>
      <w:r>
        <w:rPr>
          <w:rFonts w:eastAsia="Arial Narrow" w:cs="Arial Narrow"/>
          <w:color w:val="000000" w:themeColor="text1"/>
          <w:szCs w:val="18"/>
          <w:lang w:val="en-US"/>
        </w:rPr>
        <w:t xml:space="preserve"> </w:t>
      </w:r>
      <w:r w:rsidRPr="159B995A">
        <w:rPr>
          <w:rFonts w:eastAsia="Arial Narrow" w:cs="Arial Narrow"/>
          <w:color w:val="000000" w:themeColor="text1"/>
          <w:szCs w:val="18"/>
          <w:lang w:val="en-US"/>
        </w:rPr>
        <w:t>= risk difference; SAE</w:t>
      </w:r>
      <w:r>
        <w:rPr>
          <w:rFonts w:eastAsia="Arial Narrow" w:cs="Arial Narrow"/>
          <w:color w:val="000000" w:themeColor="text1"/>
          <w:szCs w:val="18"/>
          <w:lang w:val="en-US"/>
        </w:rPr>
        <w:t xml:space="preserve"> </w:t>
      </w:r>
      <w:r w:rsidRPr="159B995A">
        <w:rPr>
          <w:rFonts w:eastAsia="Arial Narrow" w:cs="Arial Narrow"/>
          <w:color w:val="000000" w:themeColor="text1"/>
          <w:szCs w:val="18"/>
          <w:lang w:val="en-US"/>
        </w:rPr>
        <w:t>= serious adverse event; SD</w:t>
      </w:r>
      <w:r>
        <w:rPr>
          <w:rFonts w:eastAsia="Arial Narrow" w:cs="Arial Narrow"/>
          <w:color w:val="000000" w:themeColor="text1"/>
          <w:szCs w:val="18"/>
          <w:lang w:val="en-US"/>
        </w:rPr>
        <w:t xml:space="preserve"> </w:t>
      </w:r>
      <w:r w:rsidRPr="159B995A">
        <w:rPr>
          <w:rFonts w:eastAsia="Arial Narrow" w:cs="Arial Narrow"/>
          <w:color w:val="000000" w:themeColor="text1"/>
          <w:szCs w:val="18"/>
          <w:lang w:val="en-US"/>
        </w:rPr>
        <w:t xml:space="preserve">= </w:t>
      </w:r>
      <w:r>
        <w:rPr>
          <w:rFonts w:eastAsia="Arial Narrow" w:cs="Arial Narrow"/>
          <w:color w:val="000000" w:themeColor="text1"/>
          <w:szCs w:val="18"/>
          <w:lang w:val="en-US"/>
        </w:rPr>
        <w:t>s</w:t>
      </w:r>
      <w:r w:rsidRPr="159B995A">
        <w:rPr>
          <w:rFonts w:eastAsia="Arial Narrow" w:cs="Arial Narrow"/>
          <w:color w:val="000000" w:themeColor="text1"/>
          <w:szCs w:val="18"/>
          <w:lang w:val="en-US"/>
        </w:rPr>
        <w:t xml:space="preserve">tandard </w:t>
      </w:r>
      <w:r>
        <w:rPr>
          <w:rFonts w:eastAsia="Arial Narrow" w:cs="Arial Narrow"/>
          <w:color w:val="000000" w:themeColor="text1"/>
          <w:szCs w:val="18"/>
          <w:lang w:val="en-US"/>
        </w:rPr>
        <w:t>d</w:t>
      </w:r>
      <w:r w:rsidRPr="159B995A">
        <w:rPr>
          <w:rFonts w:eastAsia="Arial Narrow" w:cs="Arial Narrow"/>
          <w:color w:val="000000" w:themeColor="text1"/>
          <w:szCs w:val="18"/>
          <w:lang w:val="en-US"/>
        </w:rPr>
        <w:t>ose</w:t>
      </w:r>
      <w:r>
        <w:rPr>
          <w:rFonts w:eastAsia="Arial Narrow" w:cs="Arial Narrow"/>
          <w:color w:val="000000" w:themeColor="text1"/>
          <w:szCs w:val="18"/>
          <w:lang w:val="en-US"/>
        </w:rPr>
        <w:t>.</w:t>
      </w:r>
    </w:p>
    <w:p w:rsidR="00F51B49" w:rsidRDefault="001A19DC" w:rsidP="007318FD">
      <w:pPr>
        <w:pStyle w:val="TableFigureFooter"/>
        <w:spacing w:after="0"/>
        <w:jc w:val="both"/>
        <w:rPr>
          <w:rFonts w:eastAsia="Arial Narrow" w:cs="Arial Narrow"/>
          <w:i/>
          <w:iCs/>
          <w:color w:val="000000" w:themeColor="text1"/>
        </w:rPr>
      </w:pPr>
      <w:proofErr w:type="gramStart"/>
      <w:r w:rsidRPr="001A19DC">
        <w:rPr>
          <w:rFonts w:eastAsia="Arial Narrow" w:cs="Arial Narrow"/>
          <w:color w:val="000000" w:themeColor="text1"/>
          <w:vertAlign w:val="superscript"/>
        </w:rPr>
        <w:t>a</w:t>
      </w:r>
      <w:proofErr w:type="gramEnd"/>
      <w:r>
        <w:rPr>
          <w:rFonts w:eastAsia="Arial Narrow" w:cs="Arial Narrow"/>
          <w:color w:val="000000" w:themeColor="text1"/>
        </w:rPr>
        <w:t xml:space="preserve"> </w:t>
      </w:r>
      <w:r w:rsidR="36C84144" w:rsidRPr="001A19DC">
        <w:rPr>
          <w:rFonts w:eastAsia="Arial Narrow" w:cs="Arial Narrow"/>
          <w:iCs/>
          <w:color w:val="000000" w:themeColor="text1"/>
        </w:rPr>
        <w:t>M</w:t>
      </w:r>
      <w:r w:rsidR="000568CB" w:rsidRPr="001A19DC">
        <w:rPr>
          <w:rFonts w:eastAsia="Arial Narrow" w:cs="Arial Narrow"/>
          <w:iCs/>
          <w:color w:val="000000" w:themeColor="text1"/>
        </w:rPr>
        <w:t xml:space="preserve">odified during the </w:t>
      </w:r>
      <w:r w:rsidRPr="001A19DC">
        <w:rPr>
          <w:rFonts w:eastAsia="Arial Narrow" w:cs="Arial Narrow"/>
          <w:iCs/>
          <w:color w:val="000000" w:themeColor="text1"/>
        </w:rPr>
        <w:t xml:space="preserve">evaluation </w:t>
      </w:r>
      <w:r w:rsidR="000568CB" w:rsidRPr="001A19DC">
        <w:rPr>
          <w:rFonts w:eastAsia="Arial Narrow" w:cs="Arial Narrow"/>
          <w:iCs/>
          <w:color w:val="000000" w:themeColor="text1"/>
        </w:rPr>
        <w:t>to focus on the direct comparison</w:t>
      </w:r>
      <w:r>
        <w:rPr>
          <w:rFonts w:eastAsia="Arial Narrow" w:cs="Arial Narrow"/>
          <w:iCs/>
          <w:color w:val="000000" w:themeColor="text1"/>
        </w:rPr>
        <w:t xml:space="preserve"> between secukinumab and etanercept,</w:t>
      </w:r>
      <w:r w:rsidR="5D5BED45" w:rsidRPr="001A19DC">
        <w:rPr>
          <w:rFonts w:eastAsia="Arial Narrow" w:cs="Arial Narrow"/>
          <w:iCs/>
          <w:color w:val="000000" w:themeColor="text1"/>
        </w:rPr>
        <w:t xml:space="preserve"> and </w:t>
      </w:r>
      <w:r w:rsidR="0BED9ECE" w:rsidRPr="001A19DC">
        <w:rPr>
          <w:rFonts w:eastAsia="Arial Narrow" w:cs="Arial Narrow"/>
          <w:iCs/>
          <w:color w:val="000000" w:themeColor="text1"/>
        </w:rPr>
        <w:t xml:space="preserve">to add </w:t>
      </w:r>
      <w:r w:rsidR="5D5BED45" w:rsidRPr="001A19DC">
        <w:rPr>
          <w:rFonts w:eastAsia="Arial Narrow" w:cs="Arial Narrow"/>
          <w:iCs/>
          <w:color w:val="000000" w:themeColor="text1"/>
        </w:rPr>
        <w:t>RR (95% CI) and RD (95% CI)</w:t>
      </w:r>
      <w:r w:rsidR="0E2C20E2" w:rsidRPr="001A19DC">
        <w:rPr>
          <w:rFonts w:eastAsia="Arial Narrow" w:cs="Arial Narrow"/>
          <w:iCs/>
          <w:color w:val="000000" w:themeColor="text1"/>
        </w:rPr>
        <w:t>.</w:t>
      </w:r>
      <w:r w:rsidR="000568CB" w:rsidRPr="6A8F74B3">
        <w:rPr>
          <w:rFonts w:eastAsia="Arial Narrow" w:cs="Arial Narrow"/>
          <w:i/>
          <w:iCs/>
          <w:color w:val="000000" w:themeColor="text1"/>
        </w:rPr>
        <w:t xml:space="preserve"> </w:t>
      </w:r>
    </w:p>
    <w:p w:rsidR="00101853" w:rsidRDefault="00101853" w:rsidP="007318FD">
      <w:pPr>
        <w:pStyle w:val="TableFigureFooter"/>
        <w:spacing w:after="0"/>
        <w:jc w:val="both"/>
        <w:rPr>
          <w:rFonts w:eastAsia="Arial Narrow" w:cs="Arial Narrow"/>
          <w:i/>
          <w:iCs/>
          <w:color w:val="000000" w:themeColor="text1"/>
        </w:rPr>
      </w:pPr>
      <w:r w:rsidRPr="00752D79">
        <w:rPr>
          <w:i/>
        </w:rPr>
        <w:t>*Note that the results presented in Table 7 are derived from ad-hoc/ post-hoc analyses conducted by the applicant specifically for the purposes of informing the PBAC consideration. These analyses were not part of the pre-specified statistical plan for study 2310. Interpretation of the results and their application should therefore be limited to seeking to understand the basis for the PBAC outcome and should not be used for any other purpose.</w:t>
      </w:r>
    </w:p>
    <w:p w:rsidR="00BB36A1" w:rsidRDefault="00BB36A1" w:rsidP="001A19DC">
      <w:pPr>
        <w:tabs>
          <w:tab w:val="left" w:pos="2685"/>
        </w:tabs>
        <w:jc w:val="both"/>
        <w:rPr>
          <w:rFonts w:ascii="Arial Narrow" w:eastAsia="Arial Narrow" w:hAnsi="Arial Narrow" w:cs="Arial Narrow"/>
          <w:color w:val="000000" w:themeColor="text1"/>
          <w:sz w:val="18"/>
          <w:szCs w:val="18"/>
          <w:lang w:val="en-US"/>
        </w:rPr>
      </w:pPr>
    </w:p>
    <w:p w:rsidR="6C7FD5F5" w:rsidRPr="00E663C3" w:rsidRDefault="070B23AD" w:rsidP="029D5890">
      <w:pPr>
        <w:pStyle w:val="3-BodyText"/>
        <w:rPr>
          <w:rFonts w:eastAsiaTheme="minorEastAsia" w:cstheme="minorBidi"/>
          <w:color w:val="000000" w:themeColor="text1"/>
        </w:rPr>
      </w:pPr>
      <w:r w:rsidRPr="6A8F74B3">
        <w:rPr>
          <w:rFonts w:ascii="Calibri" w:eastAsia="Calibri" w:hAnsi="Calibri" w:cs="Calibri"/>
          <w:color w:val="000000" w:themeColor="text1"/>
        </w:rPr>
        <w:t xml:space="preserve">There </w:t>
      </w:r>
      <w:r w:rsidR="00A13316">
        <w:rPr>
          <w:rFonts w:ascii="Calibri" w:eastAsia="Calibri" w:hAnsi="Calibri" w:cs="Calibri"/>
          <w:color w:val="000000" w:themeColor="text1"/>
        </w:rPr>
        <w:t>were</w:t>
      </w:r>
      <w:r w:rsidR="00A13316" w:rsidRPr="6A8F74B3">
        <w:rPr>
          <w:rFonts w:ascii="Calibri" w:eastAsia="Calibri" w:hAnsi="Calibri" w:cs="Calibri"/>
          <w:color w:val="000000" w:themeColor="text1"/>
        </w:rPr>
        <w:t xml:space="preserve"> </w:t>
      </w:r>
      <w:r w:rsidRPr="6A8F74B3">
        <w:rPr>
          <w:rFonts w:ascii="Calibri" w:eastAsia="Calibri" w:hAnsi="Calibri" w:cs="Calibri"/>
          <w:color w:val="000000" w:themeColor="text1"/>
        </w:rPr>
        <w:t>no significant differences between secukinumab and etanercept for any AEs</w:t>
      </w:r>
      <w:r w:rsidR="00A13316">
        <w:rPr>
          <w:rFonts w:ascii="Calibri" w:eastAsia="Calibri" w:hAnsi="Calibri" w:cs="Calibri"/>
          <w:color w:val="000000" w:themeColor="text1"/>
        </w:rPr>
        <w:t xml:space="preserve"> in Study 2310</w:t>
      </w:r>
      <w:r w:rsidRPr="6A8F74B3">
        <w:rPr>
          <w:rFonts w:ascii="Calibri" w:eastAsia="Calibri" w:hAnsi="Calibri" w:cs="Calibri"/>
          <w:color w:val="000000" w:themeColor="text1"/>
        </w:rPr>
        <w:t xml:space="preserve">. </w:t>
      </w:r>
      <w:r w:rsidR="3B281611" w:rsidRPr="6A8F74B3">
        <w:rPr>
          <w:rFonts w:ascii="Calibri" w:eastAsia="Calibri" w:hAnsi="Calibri" w:cs="Calibri"/>
          <w:color w:val="000000" w:themeColor="text1"/>
        </w:rPr>
        <w:t xml:space="preserve">Secukinumab </w:t>
      </w:r>
      <w:r w:rsidR="00010BDA">
        <w:rPr>
          <w:rFonts w:ascii="Calibri" w:eastAsia="Calibri" w:hAnsi="Calibri" w:cs="Calibri"/>
          <w:color w:val="000000" w:themeColor="text1"/>
        </w:rPr>
        <w:t>LD and HD</w:t>
      </w:r>
      <w:r w:rsidR="3B281611" w:rsidRPr="6A8F74B3">
        <w:rPr>
          <w:rFonts w:ascii="Calibri" w:eastAsia="Calibri" w:hAnsi="Calibri" w:cs="Calibri"/>
          <w:color w:val="000000" w:themeColor="text1"/>
        </w:rPr>
        <w:t xml:space="preserve"> has </w:t>
      </w:r>
      <w:r w:rsidR="52B6ECCB" w:rsidRPr="6A8F74B3">
        <w:rPr>
          <w:rFonts w:ascii="Calibri" w:eastAsia="Calibri" w:hAnsi="Calibri" w:cs="Calibri"/>
          <w:color w:val="000000" w:themeColor="text1"/>
        </w:rPr>
        <w:t xml:space="preserve">fewer </w:t>
      </w:r>
      <w:r w:rsidR="3B281611" w:rsidRPr="6A8F74B3">
        <w:rPr>
          <w:rFonts w:ascii="Calibri" w:eastAsia="Calibri" w:hAnsi="Calibri" w:cs="Calibri"/>
          <w:color w:val="000000" w:themeColor="text1"/>
        </w:rPr>
        <w:t xml:space="preserve">serious </w:t>
      </w:r>
      <w:r w:rsidR="52B6ECCB" w:rsidRPr="6A8F74B3">
        <w:rPr>
          <w:rFonts w:ascii="Calibri" w:eastAsia="Calibri" w:hAnsi="Calibri" w:cs="Calibri"/>
          <w:color w:val="000000" w:themeColor="text1"/>
        </w:rPr>
        <w:t>AEs</w:t>
      </w:r>
      <w:r w:rsidR="3B281611" w:rsidRPr="6A8F74B3">
        <w:rPr>
          <w:rFonts w:ascii="Calibri" w:eastAsia="Calibri" w:hAnsi="Calibri" w:cs="Calibri"/>
          <w:color w:val="000000" w:themeColor="text1"/>
        </w:rPr>
        <w:t xml:space="preserve">, and </w:t>
      </w:r>
      <w:r w:rsidR="52B6ECCB" w:rsidRPr="6A8F74B3">
        <w:rPr>
          <w:rFonts w:ascii="Calibri" w:eastAsia="Calibri" w:hAnsi="Calibri" w:cs="Calibri"/>
          <w:color w:val="000000" w:themeColor="text1"/>
        </w:rPr>
        <w:t xml:space="preserve">fewer AEs </w:t>
      </w:r>
      <w:r w:rsidR="3B281611" w:rsidRPr="6A8F74B3">
        <w:rPr>
          <w:rFonts w:ascii="Calibri" w:eastAsia="Calibri" w:hAnsi="Calibri" w:cs="Calibri"/>
          <w:color w:val="000000" w:themeColor="text1"/>
        </w:rPr>
        <w:t xml:space="preserve">resulting in discontinuation at </w:t>
      </w:r>
      <w:r w:rsidR="00C74707">
        <w:rPr>
          <w:rFonts w:ascii="Calibri" w:eastAsia="Calibri" w:hAnsi="Calibri" w:cs="Calibri"/>
          <w:color w:val="000000" w:themeColor="text1"/>
        </w:rPr>
        <w:t>LD</w:t>
      </w:r>
      <w:r w:rsidR="3B281611" w:rsidRPr="6A8F74B3">
        <w:rPr>
          <w:rFonts w:ascii="Calibri" w:eastAsia="Calibri" w:hAnsi="Calibri" w:cs="Calibri"/>
          <w:color w:val="000000" w:themeColor="text1"/>
        </w:rPr>
        <w:t xml:space="preserve"> compared to etanercept. The majority of the AEs reported at </w:t>
      </w:r>
      <w:r w:rsidR="657B361A" w:rsidRPr="6A8F74B3">
        <w:rPr>
          <w:rFonts w:ascii="Calibri" w:eastAsia="Calibri" w:hAnsi="Calibri" w:cs="Calibri"/>
          <w:color w:val="000000" w:themeColor="text1"/>
        </w:rPr>
        <w:t>Week 12</w:t>
      </w:r>
      <w:r w:rsidR="3B281611" w:rsidRPr="6A8F74B3">
        <w:rPr>
          <w:rFonts w:ascii="Calibri" w:eastAsia="Calibri" w:hAnsi="Calibri" w:cs="Calibri"/>
          <w:color w:val="000000" w:themeColor="text1"/>
        </w:rPr>
        <w:t xml:space="preserve"> were of mild to moderate severity. The difference between the treatment groups were marginal. </w:t>
      </w:r>
      <w:r w:rsidR="3B281611" w:rsidRPr="00E663C3">
        <w:rPr>
          <w:rFonts w:ascii="Calibri" w:eastAsia="Calibri" w:hAnsi="Calibri" w:cs="Calibri"/>
          <w:iCs/>
          <w:color w:val="000000" w:themeColor="text1"/>
        </w:rPr>
        <w:t xml:space="preserve">The small sample size limits the ability to observe serious </w:t>
      </w:r>
      <w:r w:rsidR="52B6ECCB" w:rsidRPr="00E663C3">
        <w:rPr>
          <w:rFonts w:ascii="Calibri" w:eastAsia="Calibri" w:hAnsi="Calibri" w:cs="Calibri"/>
          <w:iCs/>
          <w:color w:val="000000" w:themeColor="text1"/>
        </w:rPr>
        <w:t>AEs</w:t>
      </w:r>
      <w:r w:rsidR="3B281611" w:rsidRPr="00E663C3">
        <w:rPr>
          <w:rFonts w:ascii="Calibri" w:eastAsia="Calibri" w:hAnsi="Calibri" w:cs="Calibri"/>
          <w:iCs/>
          <w:color w:val="000000" w:themeColor="text1"/>
        </w:rPr>
        <w:t xml:space="preserve"> and to detect a difference between groups.</w:t>
      </w:r>
    </w:p>
    <w:p w:rsidR="0021766F" w:rsidRPr="0021766F" w:rsidRDefault="0021766F" w:rsidP="005E2068">
      <w:pPr>
        <w:pStyle w:val="5-SubsectionSubheading"/>
        <w:rPr>
          <w:rFonts w:eastAsiaTheme="minorEastAsia" w:cstheme="minorBidi"/>
        </w:rPr>
      </w:pPr>
      <w:r w:rsidRPr="00A92795">
        <w:rPr>
          <w:lang w:val="en-US"/>
        </w:rPr>
        <w:t>Indirect comparison between secukinumab and ustekinumab</w:t>
      </w:r>
    </w:p>
    <w:p w:rsidR="00BB36A1" w:rsidRDefault="000568CB" w:rsidP="0021766F">
      <w:pPr>
        <w:pStyle w:val="3-BodyText"/>
        <w:keepNext/>
        <w:keepLines/>
        <w:rPr>
          <w:rFonts w:eastAsiaTheme="minorEastAsia" w:cstheme="minorBidi"/>
          <w:color w:val="000000" w:themeColor="text1"/>
        </w:rPr>
      </w:pPr>
      <w:r>
        <w:t xml:space="preserve">The summary of </w:t>
      </w:r>
      <w:r w:rsidR="0087674A">
        <w:t>AEs</w:t>
      </w:r>
      <w:r>
        <w:t xml:space="preserve"> in the indirect comparison is presented in </w:t>
      </w:r>
      <w:r w:rsidR="002564B8">
        <w:t>T</w:t>
      </w:r>
      <w:r>
        <w:t xml:space="preserve">able </w:t>
      </w:r>
      <w:r w:rsidR="002564B8">
        <w:t>8</w:t>
      </w:r>
      <w:r>
        <w:t>.</w:t>
      </w:r>
    </w:p>
    <w:p w:rsidR="00BB36A1" w:rsidRDefault="00BB36A1" w:rsidP="0021766F">
      <w:pPr>
        <w:keepNext/>
        <w:keepLines/>
        <w:rPr>
          <w:rFonts w:ascii="Arial Narrow" w:eastAsia="Arial Narrow" w:hAnsi="Arial Narrow" w:cs="Arial Narrow"/>
          <w:b/>
          <w:bCs/>
          <w:color w:val="000000" w:themeColor="text1"/>
          <w:sz w:val="20"/>
          <w:szCs w:val="20"/>
        </w:rPr>
      </w:pPr>
      <w:r w:rsidRPr="1260728E">
        <w:rPr>
          <w:rStyle w:val="CommentReference"/>
          <w:rFonts w:eastAsia="Arial Narrow" w:cs="Arial Narrow"/>
          <w:color w:val="000000" w:themeColor="text1"/>
          <w:lang w:val="en-US"/>
        </w:rPr>
        <w:t xml:space="preserve">Table </w:t>
      </w:r>
      <w:r w:rsidR="002564B8">
        <w:rPr>
          <w:rStyle w:val="CommentReference"/>
          <w:rFonts w:eastAsia="Arial Narrow" w:cs="Arial Narrow"/>
          <w:color w:val="000000" w:themeColor="text1"/>
          <w:lang w:val="en-US"/>
        </w:rPr>
        <w:t>8</w:t>
      </w:r>
      <w:r w:rsidRPr="1260728E">
        <w:rPr>
          <w:rStyle w:val="CommentReference"/>
          <w:rFonts w:eastAsia="Arial Narrow" w:cs="Arial Narrow"/>
          <w:color w:val="000000" w:themeColor="text1"/>
          <w:lang w:val="en-US"/>
        </w:rPr>
        <w:t>: Summary of results of the indirect comparison for adverse events</w:t>
      </w:r>
      <w:r w:rsidR="00101853">
        <w:rPr>
          <w:rStyle w:val="CommentReference"/>
          <w:rFonts w:eastAsia="Arial Narrow" w:cs="Arial Narrow"/>
          <w:color w:val="000000" w:themeColor="text1"/>
          <w:lang w:val="en-US"/>
        </w:rPr>
        <w:t>*</w:t>
      </w:r>
      <w:bookmarkStart w:id="22" w:name="_GoBack"/>
      <w:bookmarkEnd w:id="22"/>
    </w:p>
    <w:tbl>
      <w:tblPr>
        <w:tblStyle w:val="TableGrid"/>
        <w:tblW w:w="0" w:type="auto"/>
        <w:tblLayout w:type="fixed"/>
        <w:tblLook w:val="04A0" w:firstRow="1" w:lastRow="0" w:firstColumn="1" w:lastColumn="0" w:noHBand="0" w:noVBand="1"/>
        <w:tblCaption w:val="Table 8: Summary of results of the indirect comparison for adverse events"/>
      </w:tblPr>
      <w:tblGrid>
        <w:gridCol w:w="2910"/>
        <w:gridCol w:w="1590"/>
        <w:gridCol w:w="1680"/>
        <w:gridCol w:w="1680"/>
        <w:gridCol w:w="1125"/>
      </w:tblGrid>
      <w:tr w:rsidR="00BB36A1" w:rsidRPr="009B22C0" w:rsidTr="00AC296D">
        <w:trPr>
          <w:trHeight w:val="300"/>
          <w:tblHeader/>
        </w:trPr>
        <w:tc>
          <w:tcPr>
            <w:tcW w:w="2910" w:type="dxa"/>
            <w:vMerge w:val="restart"/>
            <w:vAlign w:val="center"/>
          </w:tcPr>
          <w:p w:rsidR="00BB36A1" w:rsidRDefault="00BB36A1" w:rsidP="0021766F">
            <w:pPr>
              <w:keepNext/>
              <w:keepLines/>
              <w:jc w:val="center"/>
              <w:rPr>
                <w:rFonts w:ascii="Arial Narrow" w:eastAsia="Arial Narrow" w:hAnsi="Arial Narrow" w:cs="Arial Narrow"/>
                <w:sz w:val="20"/>
                <w:szCs w:val="20"/>
              </w:rPr>
            </w:pPr>
          </w:p>
        </w:tc>
        <w:tc>
          <w:tcPr>
            <w:tcW w:w="1590" w:type="dxa"/>
            <w:vAlign w:val="center"/>
          </w:tcPr>
          <w:p w:rsidR="00DF238C" w:rsidRPr="009B22C0" w:rsidRDefault="00DF238C" w:rsidP="0021766F">
            <w:pPr>
              <w:keepNext/>
              <w:keepLines/>
              <w:jc w:val="center"/>
              <w:rPr>
                <w:rFonts w:ascii="Arial Narrow" w:eastAsia="Arial Narrow" w:hAnsi="Arial Narrow" w:cs="Arial Narrow"/>
                <w:b/>
                <w:bCs/>
                <w:sz w:val="20"/>
                <w:szCs w:val="20"/>
              </w:rPr>
            </w:pPr>
            <w:r w:rsidRPr="009B22C0">
              <w:rPr>
                <w:rFonts w:ascii="Arial Narrow" w:eastAsia="Arial Narrow" w:hAnsi="Arial Narrow" w:cs="Arial Narrow"/>
                <w:b/>
                <w:bCs/>
                <w:sz w:val="20"/>
                <w:szCs w:val="20"/>
              </w:rPr>
              <w:t>Secukinumab/</w:t>
            </w:r>
          </w:p>
          <w:p w:rsidR="00BB36A1" w:rsidRPr="009B22C0" w:rsidRDefault="00DF238C"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b/>
                <w:bCs/>
                <w:sz w:val="20"/>
                <w:szCs w:val="20"/>
              </w:rPr>
              <w:t>ustekinumab</w:t>
            </w:r>
          </w:p>
        </w:tc>
        <w:tc>
          <w:tcPr>
            <w:tcW w:w="1680" w:type="dxa"/>
            <w:vAlign w:val="center"/>
          </w:tcPr>
          <w:p w:rsidR="00BB36A1" w:rsidRPr="009B22C0" w:rsidRDefault="00DF238C"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b/>
                <w:bCs/>
                <w:sz w:val="20"/>
                <w:szCs w:val="20"/>
              </w:rPr>
              <w:t>P</w:t>
            </w:r>
            <w:r w:rsidR="00BB36A1" w:rsidRPr="009B22C0">
              <w:rPr>
                <w:rFonts w:ascii="Arial Narrow" w:eastAsia="Arial Narrow" w:hAnsi="Arial Narrow" w:cs="Arial Narrow"/>
                <w:b/>
                <w:bCs/>
                <w:sz w:val="20"/>
                <w:szCs w:val="20"/>
              </w:rPr>
              <w:t>lacebo</w:t>
            </w:r>
          </w:p>
        </w:tc>
        <w:tc>
          <w:tcPr>
            <w:tcW w:w="168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b/>
                <w:bCs/>
                <w:sz w:val="20"/>
                <w:szCs w:val="20"/>
              </w:rPr>
              <w:t>OR</w:t>
            </w:r>
          </w:p>
        </w:tc>
        <w:tc>
          <w:tcPr>
            <w:tcW w:w="1125"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b/>
                <w:bCs/>
                <w:sz w:val="20"/>
                <w:szCs w:val="20"/>
              </w:rPr>
              <w:t>p-value</w:t>
            </w:r>
          </w:p>
        </w:tc>
      </w:tr>
      <w:tr w:rsidR="00BB36A1" w:rsidRPr="009B22C0" w:rsidTr="00AC296D">
        <w:trPr>
          <w:trHeight w:val="300"/>
          <w:tblHeader/>
        </w:trPr>
        <w:tc>
          <w:tcPr>
            <w:tcW w:w="2910" w:type="dxa"/>
            <w:vMerge/>
            <w:vAlign w:val="center"/>
          </w:tcPr>
          <w:p w:rsidR="00BB36A1" w:rsidRPr="009B22C0" w:rsidRDefault="00BB36A1" w:rsidP="0021766F">
            <w:pPr>
              <w:keepNext/>
              <w:keepLines/>
            </w:pPr>
          </w:p>
        </w:tc>
        <w:tc>
          <w:tcPr>
            <w:tcW w:w="159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b/>
                <w:bCs/>
                <w:sz w:val="20"/>
                <w:szCs w:val="20"/>
              </w:rPr>
              <w:t>n/N</w:t>
            </w:r>
            <w:r w:rsidR="00DF238C" w:rsidRPr="009B22C0">
              <w:rPr>
                <w:rFonts w:ascii="Arial Narrow" w:eastAsia="Arial Narrow" w:hAnsi="Arial Narrow" w:cs="Arial Narrow"/>
                <w:b/>
                <w:bCs/>
                <w:sz w:val="20"/>
                <w:szCs w:val="20"/>
              </w:rPr>
              <w:t xml:space="preserve"> </w:t>
            </w:r>
            <w:r w:rsidRPr="009B22C0">
              <w:rPr>
                <w:rFonts w:ascii="Arial Narrow" w:eastAsia="Arial Narrow" w:hAnsi="Arial Narrow" w:cs="Arial Narrow"/>
                <w:b/>
                <w:bCs/>
                <w:sz w:val="20"/>
                <w:szCs w:val="20"/>
              </w:rPr>
              <w:t>(%)</w:t>
            </w:r>
          </w:p>
        </w:tc>
        <w:tc>
          <w:tcPr>
            <w:tcW w:w="168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b/>
                <w:bCs/>
                <w:sz w:val="20"/>
                <w:szCs w:val="20"/>
              </w:rPr>
              <w:t>n/N</w:t>
            </w:r>
            <w:r w:rsidR="00DF238C" w:rsidRPr="009B22C0">
              <w:rPr>
                <w:rFonts w:ascii="Arial Narrow" w:eastAsia="Arial Narrow" w:hAnsi="Arial Narrow" w:cs="Arial Narrow"/>
                <w:b/>
                <w:bCs/>
                <w:sz w:val="20"/>
                <w:szCs w:val="20"/>
              </w:rPr>
              <w:t xml:space="preserve"> </w:t>
            </w:r>
            <w:r w:rsidRPr="009B22C0">
              <w:rPr>
                <w:rFonts w:ascii="Arial Narrow" w:eastAsia="Arial Narrow" w:hAnsi="Arial Narrow" w:cs="Arial Narrow"/>
                <w:b/>
                <w:bCs/>
                <w:sz w:val="20"/>
                <w:szCs w:val="20"/>
              </w:rPr>
              <w:t>(%)</w:t>
            </w:r>
          </w:p>
        </w:tc>
        <w:tc>
          <w:tcPr>
            <w:tcW w:w="168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b/>
                <w:bCs/>
                <w:sz w:val="20"/>
                <w:szCs w:val="20"/>
              </w:rPr>
              <w:t>(95% CI)</w:t>
            </w:r>
          </w:p>
        </w:tc>
        <w:tc>
          <w:tcPr>
            <w:tcW w:w="1125" w:type="dxa"/>
            <w:vAlign w:val="center"/>
          </w:tcPr>
          <w:p w:rsidR="00BB36A1" w:rsidRPr="009B22C0" w:rsidRDefault="00BB36A1" w:rsidP="0021766F">
            <w:pPr>
              <w:keepNext/>
              <w:keepLines/>
              <w:jc w:val="center"/>
              <w:rPr>
                <w:rFonts w:ascii="Arial Narrow" w:eastAsia="Arial Narrow" w:hAnsi="Arial Narrow" w:cs="Arial Narrow"/>
                <w:sz w:val="20"/>
                <w:szCs w:val="20"/>
              </w:rPr>
            </w:pPr>
          </w:p>
        </w:tc>
      </w:tr>
      <w:tr w:rsidR="00BB36A1" w:rsidRPr="009B22C0" w:rsidTr="00AC296D">
        <w:trPr>
          <w:trHeight w:val="300"/>
        </w:trPr>
        <w:tc>
          <w:tcPr>
            <w:tcW w:w="8985" w:type="dxa"/>
            <w:gridSpan w:val="5"/>
            <w:shd w:val="clear" w:color="auto" w:fill="D9D9D9" w:themeFill="background1" w:themeFillShade="D9"/>
            <w:vAlign w:val="center"/>
          </w:tcPr>
          <w:p w:rsidR="00BB36A1" w:rsidRPr="009B22C0" w:rsidRDefault="00BB36A1" w:rsidP="0021766F">
            <w:pPr>
              <w:keepNext/>
              <w:keepLines/>
              <w:rPr>
                <w:rFonts w:ascii="Arial Narrow" w:eastAsia="Arial Narrow" w:hAnsi="Arial Narrow" w:cs="Arial Narrow"/>
                <w:sz w:val="20"/>
                <w:szCs w:val="20"/>
              </w:rPr>
            </w:pPr>
            <w:r w:rsidRPr="009B22C0">
              <w:rPr>
                <w:rFonts w:ascii="Arial Narrow" w:eastAsia="Arial Narrow" w:hAnsi="Arial Narrow" w:cs="Arial Narrow"/>
                <w:b/>
                <w:bCs/>
                <w:sz w:val="20"/>
                <w:szCs w:val="20"/>
              </w:rPr>
              <w:t>Any AE</w:t>
            </w:r>
          </w:p>
        </w:tc>
      </w:tr>
      <w:tr w:rsidR="00BB36A1" w:rsidRPr="009B22C0" w:rsidTr="00AC296D">
        <w:trPr>
          <w:trHeight w:val="300"/>
        </w:trPr>
        <w:tc>
          <w:tcPr>
            <w:tcW w:w="8985" w:type="dxa"/>
            <w:gridSpan w:val="5"/>
            <w:vAlign w:val="center"/>
          </w:tcPr>
          <w:p w:rsidR="00BB36A1" w:rsidRPr="009B22C0" w:rsidRDefault="00BB36A1" w:rsidP="0021766F">
            <w:pPr>
              <w:keepNext/>
              <w:keepLines/>
              <w:rPr>
                <w:rFonts w:ascii="Arial Narrow" w:eastAsia="Arial Narrow" w:hAnsi="Arial Narrow" w:cs="Arial Narrow"/>
                <w:b/>
                <w:sz w:val="20"/>
                <w:szCs w:val="20"/>
              </w:rPr>
            </w:pPr>
            <w:r w:rsidRPr="009B22C0">
              <w:rPr>
                <w:rFonts w:ascii="Arial Narrow" w:eastAsia="Arial Narrow" w:hAnsi="Arial Narrow" w:cs="Arial Narrow"/>
                <w:b/>
                <w:sz w:val="20"/>
                <w:szCs w:val="20"/>
              </w:rPr>
              <w:t>Secukinumab versus placebo (W</w:t>
            </w:r>
            <w:r w:rsidR="00C14235" w:rsidRPr="009B22C0">
              <w:rPr>
                <w:rFonts w:ascii="Arial Narrow" w:eastAsia="Arial Narrow" w:hAnsi="Arial Narrow" w:cs="Arial Narrow"/>
                <w:b/>
                <w:sz w:val="20"/>
                <w:szCs w:val="20"/>
              </w:rPr>
              <w:t>ee</w:t>
            </w:r>
            <w:r w:rsidRPr="009B22C0">
              <w:rPr>
                <w:rFonts w:ascii="Arial Narrow" w:eastAsia="Arial Narrow" w:hAnsi="Arial Narrow" w:cs="Arial Narrow"/>
                <w:b/>
                <w:sz w:val="20"/>
                <w:szCs w:val="20"/>
              </w:rPr>
              <w:t>k</w:t>
            </w:r>
            <w:r w:rsidR="00AC296D" w:rsidRPr="009B22C0">
              <w:rPr>
                <w:rFonts w:ascii="Arial Narrow" w:eastAsia="Arial Narrow" w:hAnsi="Arial Narrow" w:cs="Arial Narrow"/>
                <w:b/>
                <w:sz w:val="20"/>
                <w:szCs w:val="20"/>
              </w:rPr>
              <w:t xml:space="preserve"> </w:t>
            </w:r>
            <w:r w:rsidRPr="009B22C0">
              <w:rPr>
                <w:rFonts w:ascii="Arial Narrow" w:eastAsia="Arial Narrow" w:hAnsi="Arial Narrow" w:cs="Arial Narrow"/>
                <w:b/>
                <w:sz w:val="20"/>
                <w:szCs w:val="20"/>
              </w:rPr>
              <w:t>12)</w:t>
            </w:r>
          </w:p>
        </w:tc>
      </w:tr>
      <w:tr w:rsidR="00BB36A1" w:rsidRPr="009B22C0" w:rsidTr="00AC296D">
        <w:trPr>
          <w:trHeight w:val="300"/>
        </w:trPr>
        <w:tc>
          <w:tcPr>
            <w:tcW w:w="2910" w:type="dxa"/>
            <w:vAlign w:val="center"/>
          </w:tcPr>
          <w:p w:rsidR="00BB36A1" w:rsidRPr="009B22C0" w:rsidRDefault="00DF238C" w:rsidP="0021766F">
            <w:pPr>
              <w:keepNext/>
              <w:keepLines/>
              <w:rPr>
                <w:rFonts w:ascii="Arial Narrow" w:eastAsia="Arial Narrow" w:hAnsi="Arial Narrow" w:cs="Arial Narrow"/>
                <w:sz w:val="20"/>
                <w:szCs w:val="20"/>
              </w:rPr>
            </w:pPr>
            <w:r w:rsidRPr="009B22C0">
              <w:rPr>
                <w:rFonts w:ascii="Arial Narrow" w:eastAsia="Arial Narrow" w:hAnsi="Arial Narrow" w:cs="Arial Narrow"/>
                <w:sz w:val="20"/>
                <w:szCs w:val="20"/>
              </w:rPr>
              <w:t xml:space="preserve">Study </w:t>
            </w:r>
            <w:r w:rsidR="00BB36A1" w:rsidRPr="009B22C0">
              <w:rPr>
                <w:rFonts w:ascii="Arial Narrow" w:eastAsia="Arial Narrow" w:hAnsi="Arial Narrow" w:cs="Arial Narrow"/>
                <w:sz w:val="20"/>
                <w:szCs w:val="20"/>
              </w:rPr>
              <w:t>2310 (combined doses)</w:t>
            </w:r>
          </w:p>
        </w:tc>
        <w:tc>
          <w:tcPr>
            <w:tcW w:w="159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48/80 (60</w:t>
            </w:r>
            <w:r w:rsidR="00140A81" w:rsidRPr="009B22C0">
              <w:rPr>
                <w:rFonts w:ascii="Arial Narrow" w:eastAsia="Arial Narrow" w:hAnsi="Arial Narrow" w:cs="Arial Narrow"/>
                <w:sz w:val="20"/>
                <w:szCs w:val="20"/>
              </w:rPr>
              <w:t>.0</w:t>
            </w:r>
            <w:r w:rsidRPr="009B22C0">
              <w:rPr>
                <w:rFonts w:ascii="Arial Narrow" w:eastAsia="Arial Narrow" w:hAnsi="Arial Narrow" w:cs="Arial Narrow"/>
                <w:sz w:val="20"/>
                <w:szCs w:val="20"/>
              </w:rPr>
              <w:t>)</w:t>
            </w:r>
          </w:p>
        </w:tc>
        <w:tc>
          <w:tcPr>
            <w:tcW w:w="168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22 / 41 (53.7)</w:t>
            </w:r>
          </w:p>
        </w:tc>
        <w:tc>
          <w:tcPr>
            <w:tcW w:w="168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1.30 (0.61,2.77)</w:t>
            </w:r>
          </w:p>
        </w:tc>
        <w:tc>
          <w:tcPr>
            <w:tcW w:w="1125"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0.50</w:t>
            </w:r>
          </w:p>
        </w:tc>
      </w:tr>
      <w:tr w:rsidR="00BB36A1" w:rsidRPr="009B22C0" w:rsidTr="00AC296D">
        <w:trPr>
          <w:trHeight w:val="300"/>
        </w:trPr>
        <w:tc>
          <w:tcPr>
            <w:tcW w:w="8985" w:type="dxa"/>
            <w:gridSpan w:val="5"/>
            <w:vAlign w:val="center"/>
          </w:tcPr>
          <w:p w:rsidR="00BB36A1" w:rsidRPr="009B22C0" w:rsidRDefault="00BB36A1" w:rsidP="0021766F">
            <w:pPr>
              <w:keepNext/>
              <w:keepLines/>
              <w:rPr>
                <w:rFonts w:ascii="Arial Narrow" w:eastAsia="Arial Narrow" w:hAnsi="Arial Narrow" w:cs="Arial Narrow"/>
                <w:b/>
                <w:sz w:val="20"/>
                <w:szCs w:val="20"/>
              </w:rPr>
            </w:pPr>
            <w:r w:rsidRPr="009B22C0">
              <w:rPr>
                <w:rFonts w:ascii="Arial Narrow" w:eastAsia="Arial Narrow" w:hAnsi="Arial Narrow" w:cs="Arial Narrow"/>
                <w:b/>
                <w:sz w:val="20"/>
                <w:szCs w:val="20"/>
              </w:rPr>
              <w:t>Ustekinumab versus placebo (W</w:t>
            </w:r>
            <w:r w:rsidR="00C14235" w:rsidRPr="009B22C0">
              <w:rPr>
                <w:rFonts w:ascii="Arial Narrow" w:eastAsia="Arial Narrow" w:hAnsi="Arial Narrow" w:cs="Arial Narrow"/>
                <w:b/>
                <w:sz w:val="20"/>
                <w:szCs w:val="20"/>
              </w:rPr>
              <w:t>ee</w:t>
            </w:r>
            <w:r w:rsidRPr="009B22C0">
              <w:rPr>
                <w:rFonts w:ascii="Arial Narrow" w:eastAsia="Arial Narrow" w:hAnsi="Arial Narrow" w:cs="Arial Narrow"/>
                <w:b/>
                <w:sz w:val="20"/>
                <w:szCs w:val="20"/>
              </w:rPr>
              <w:t>k 12)</w:t>
            </w:r>
          </w:p>
        </w:tc>
      </w:tr>
      <w:tr w:rsidR="00BB36A1" w:rsidRPr="009B22C0" w:rsidTr="00AC296D">
        <w:trPr>
          <w:trHeight w:val="300"/>
        </w:trPr>
        <w:tc>
          <w:tcPr>
            <w:tcW w:w="2910" w:type="dxa"/>
            <w:vAlign w:val="center"/>
          </w:tcPr>
          <w:p w:rsidR="00BB36A1" w:rsidRPr="009B22C0" w:rsidRDefault="00BB36A1" w:rsidP="0021766F">
            <w:pPr>
              <w:keepNext/>
              <w:keepLines/>
              <w:rPr>
                <w:rFonts w:ascii="Arial Narrow" w:eastAsia="Arial Narrow" w:hAnsi="Arial Narrow" w:cs="Arial Narrow"/>
                <w:sz w:val="20"/>
                <w:szCs w:val="20"/>
              </w:rPr>
            </w:pPr>
            <w:r w:rsidRPr="009B22C0">
              <w:rPr>
                <w:rFonts w:ascii="Arial Narrow" w:eastAsia="Arial Narrow" w:hAnsi="Arial Narrow" w:cs="Arial Narrow"/>
                <w:sz w:val="20"/>
                <w:szCs w:val="20"/>
              </w:rPr>
              <w:t xml:space="preserve">CADMUS </w:t>
            </w:r>
          </w:p>
        </w:tc>
        <w:tc>
          <w:tcPr>
            <w:tcW w:w="159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16/36 (44.4)</w:t>
            </w:r>
          </w:p>
        </w:tc>
        <w:tc>
          <w:tcPr>
            <w:tcW w:w="168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21 / 37 (56.8)</w:t>
            </w:r>
          </w:p>
        </w:tc>
        <w:tc>
          <w:tcPr>
            <w:tcW w:w="168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0.61 (0.24,1.54)</w:t>
            </w:r>
          </w:p>
        </w:tc>
        <w:tc>
          <w:tcPr>
            <w:tcW w:w="1125"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0.29</w:t>
            </w:r>
          </w:p>
        </w:tc>
      </w:tr>
      <w:tr w:rsidR="00BB36A1" w:rsidRPr="009B22C0" w:rsidTr="00AC296D">
        <w:trPr>
          <w:trHeight w:val="300"/>
        </w:trPr>
        <w:tc>
          <w:tcPr>
            <w:tcW w:w="8985" w:type="dxa"/>
            <w:gridSpan w:val="5"/>
            <w:shd w:val="clear" w:color="auto" w:fill="D9D9D9" w:themeFill="background1" w:themeFillShade="D9"/>
            <w:vAlign w:val="center"/>
          </w:tcPr>
          <w:p w:rsidR="00BB36A1" w:rsidRPr="009B22C0" w:rsidRDefault="00BB36A1" w:rsidP="0021766F">
            <w:pPr>
              <w:keepNext/>
              <w:keepLines/>
              <w:rPr>
                <w:rFonts w:ascii="Arial Narrow" w:eastAsia="Arial Narrow" w:hAnsi="Arial Narrow" w:cs="Arial Narrow"/>
                <w:sz w:val="20"/>
                <w:szCs w:val="20"/>
              </w:rPr>
            </w:pPr>
            <w:r w:rsidRPr="009B22C0">
              <w:rPr>
                <w:rFonts w:ascii="Arial Narrow" w:eastAsia="Arial Narrow" w:hAnsi="Arial Narrow" w:cs="Arial Narrow"/>
                <w:b/>
                <w:bCs/>
                <w:sz w:val="20"/>
                <w:szCs w:val="20"/>
              </w:rPr>
              <w:t>Any SAE</w:t>
            </w:r>
          </w:p>
        </w:tc>
      </w:tr>
      <w:tr w:rsidR="00BB36A1" w:rsidRPr="009B22C0" w:rsidTr="00AC296D">
        <w:trPr>
          <w:trHeight w:val="300"/>
        </w:trPr>
        <w:tc>
          <w:tcPr>
            <w:tcW w:w="8985" w:type="dxa"/>
            <w:gridSpan w:val="5"/>
            <w:vAlign w:val="center"/>
          </w:tcPr>
          <w:p w:rsidR="00BB36A1" w:rsidRPr="009B22C0" w:rsidRDefault="00BB36A1" w:rsidP="0021766F">
            <w:pPr>
              <w:keepNext/>
              <w:keepLines/>
              <w:rPr>
                <w:rFonts w:ascii="Arial Narrow" w:eastAsia="Arial Narrow" w:hAnsi="Arial Narrow" w:cs="Arial Narrow"/>
                <w:b/>
                <w:sz w:val="20"/>
                <w:szCs w:val="20"/>
              </w:rPr>
            </w:pPr>
            <w:r w:rsidRPr="009B22C0">
              <w:rPr>
                <w:rFonts w:ascii="Arial Narrow" w:eastAsia="Arial Narrow" w:hAnsi="Arial Narrow" w:cs="Arial Narrow"/>
                <w:b/>
                <w:sz w:val="20"/>
                <w:szCs w:val="20"/>
              </w:rPr>
              <w:t>Secukinumab versus placebo (W</w:t>
            </w:r>
            <w:r w:rsidR="00C14235" w:rsidRPr="009B22C0">
              <w:rPr>
                <w:rFonts w:ascii="Arial Narrow" w:eastAsia="Arial Narrow" w:hAnsi="Arial Narrow" w:cs="Arial Narrow"/>
                <w:b/>
                <w:sz w:val="20"/>
                <w:szCs w:val="20"/>
              </w:rPr>
              <w:t>ee</w:t>
            </w:r>
            <w:r w:rsidRPr="009B22C0">
              <w:rPr>
                <w:rFonts w:ascii="Arial Narrow" w:eastAsia="Arial Narrow" w:hAnsi="Arial Narrow" w:cs="Arial Narrow"/>
                <w:b/>
                <w:sz w:val="20"/>
                <w:szCs w:val="20"/>
              </w:rPr>
              <w:t>k</w:t>
            </w:r>
            <w:r w:rsidR="00AC296D" w:rsidRPr="009B22C0">
              <w:rPr>
                <w:rFonts w:ascii="Arial Narrow" w:eastAsia="Arial Narrow" w:hAnsi="Arial Narrow" w:cs="Arial Narrow"/>
                <w:b/>
                <w:sz w:val="20"/>
                <w:szCs w:val="20"/>
              </w:rPr>
              <w:t xml:space="preserve"> </w:t>
            </w:r>
            <w:r w:rsidRPr="009B22C0">
              <w:rPr>
                <w:rFonts w:ascii="Arial Narrow" w:eastAsia="Arial Narrow" w:hAnsi="Arial Narrow" w:cs="Arial Narrow"/>
                <w:b/>
                <w:sz w:val="20"/>
                <w:szCs w:val="20"/>
              </w:rPr>
              <w:t>12)</w:t>
            </w:r>
          </w:p>
        </w:tc>
      </w:tr>
      <w:tr w:rsidR="00BB36A1" w:rsidRPr="009B22C0" w:rsidTr="00AC296D">
        <w:trPr>
          <w:trHeight w:val="300"/>
        </w:trPr>
        <w:tc>
          <w:tcPr>
            <w:tcW w:w="2910" w:type="dxa"/>
            <w:vAlign w:val="center"/>
          </w:tcPr>
          <w:p w:rsidR="00BB36A1" w:rsidRPr="009B22C0" w:rsidRDefault="00DF238C" w:rsidP="0021766F">
            <w:pPr>
              <w:keepNext/>
              <w:keepLines/>
              <w:rPr>
                <w:rFonts w:ascii="Arial Narrow" w:eastAsia="Arial Narrow" w:hAnsi="Arial Narrow" w:cs="Arial Narrow"/>
                <w:sz w:val="20"/>
                <w:szCs w:val="20"/>
              </w:rPr>
            </w:pPr>
            <w:r w:rsidRPr="009B22C0">
              <w:rPr>
                <w:rFonts w:ascii="Arial Narrow" w:eastAsia="Arial Narrow" w:hAnsi="Arial Narrow" w:cs="Arial Narrow"/>
                <w:sz w:val="20"/>
                <w:szCs w:val="20"/>
              </w:rPr>
              <w:t xml:space="preserve">Study </w:t>
            </w:r>
            <w:r w:rsidR="00BB36A1" w:rsidRPr="009B22C0">
              <w:rPr>
                <w:rFonts w:ascii="Arial Narrow" w:eastAsia="Arial Narrow" w:hAnsi="Arial Narrow" w:cs="Arial Narrow"/>
                <w:sz w:val="20"/>
                <w:szCs w:val="20"/>
              </w:rPr>
              <w:t>2310 (combined doses)</w:t>
            </w:r>
          </w:p>
        </w:tc>
        <w:tc>
          <w:tcPr>
            <w:tcW w:w="159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2/80 (2.5)</w:t>
            </w:r>
          </w:p>
        </w:tc>
        <w:tc>
          <w:tcPr>
            <w:tcW w:w="168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0/40 (0)</w:t>
            </w:r>
          </w:p>
        </w:tc>
        <w:tc>
          <w:tcPr>
            <w:tcW w:w="168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NA</w:t>
            </w:r>
          </w:p>
        </w:tc>
        <w:tc>
          <w:tcPr>
            <w:tcW w:w="1125"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0.33</w:t>
            </w:r>
          </w:p>
        </w:tc>
      </w:tr>
      <w:tr w:rsidR="00BB36A1" w:rsidRPr="009B22C0" w:rsidTr="00AC296D">
        <w:trPr>
          <w:trHeight w:val="300"/>
        </w:trPr>
        <w:tc>
          <w:tcPr>
            <w:tcW w:w="8985" w:type="dxa"/>
            <w:gridSpan w:val="5"/>
            <w:vAlign w:val="center"/>
          </w:tcPr>
          <w:p w:rsidR="00BB36A1" w:rsidRPr="009B22C0" w:rsidRDefault="00BB36A1" w:rsidP="0021766F">
            <w:pPr>
              <w:keepNext/>
              <w:keepLines/>
              <w:rPr>
                <w:rFonts w:ascii="Arial Narrow" w:eastAsia="Arial Narrow" w:hAnsi="Arial Narrow" w:cs="Arial Narrow"/>
                <w:b/>
                <w:sz w:val="20"/>
                <w:szCs w:val="20"/>
              </w:rPr>
            </w:pPr>
            <w:r w:rsidRPr="009B22C0">
              <w:rPr>
                <w:rFonts w:ascii="Arial Narrow" w:eastAsia="Arial Narrow" w:hAnsi="Arial Narrow" w:cs="Arial Narrow"/>
                <w:b/>
                <w:sz w:val="20"/>
                <w:szCs w:val="20"/>
              </w:rPr>
              <w:t>Ustekinumab versus placebo (W</w:t>
            </w:r>
            <w:r w:rsidR="00C14235" w:rsidRPr="009B22C0">
              <w:rPr>
                <w:rFonts w:ascii="Arial Narrow" w:eastAsia="Arial Narrow" w:hAnsi="Arial Narrow" w:cs="Arial Narrow"/>
                <w:b/>
                <w:sz w:val="20"/>
                <w:szCs w:val="20"/>
              </w:rPr>
              <w:t>ee</w:t>
            </w:r>
            <w:r w:rsidRPr="009B22C0">
              <w:rPr>
                <w:rFonts w:ascii="Arial Narrow" w:eastAsia="Arial Narrow" w:hAnsi="Arial Narrow" w:cs="Arial Narrow"/>
                <w:b/>
                <w:sz w:val="20"/>
                <w:szCs w:val="20"/>
              </w:rPr>
              <w:t>k 12)</w:t>
            </w:r>
          </w:p>
        </w:tc>
      </w:tr>
      <w:tr w:rsidR="00BB36A1" w:rsidRPr="009B22C0" w:rsidTr="00AC296D">
        <w:trPr>
          <w:trHeight w:val="300"/>
        </w:trPr>
        <w:tc>
          <w:tcPr>
            <w:tcW w:w="2910" w:type="dxa"/>
            <w:vAlign w:val="center"/>
          </w:tcPr>
          <w:p w:rsidR="00BB36A1" w:rsidRPr="009B22C0" w:rsidRDefault="00BB36A1" w:rsidP="0021766F">
            <w:pPr>
              <w:keepNext/>
              <w:keepLines/>
              <w:rPr>
                <w:rFonts w:ascii="Arial Narrow" w:eastAsia="Arial Narrow" w:hAnsi="Arial Narrow" w:cs="Arial Narrow"/>
                <w:sz w:val="20"/>
                <w:szCs w:val="20"/>
              </w:rPr>
            </w:pPr>
            <w:r w:rsidRPr="009B22C0">
              <w:rPr>
                <w:rFonts w:ascii="Arial Narrow" w:eastAsia="Arial Narrow" w:hAnsi="Arial Narrow" w:cs="Arial Narrow"/>
                <w:sz w:val="20"/>
                <w:szCs w:val="20"/>
              </w:rPr>
              <w:t xml:space="preserve">CADMUS </w:t>
            </w:r>
          </w:p>
        </w:tc>
        <w:tc>
          <w:tcPr>
            <w:tcW w:w="159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0/36 (0)</w:t>
            </w:r>
          </w:p>
        </w:tc>
        <w:tc>
          <w:tcPr>
            <w:tcW w:w="168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0/37 (0)</w:t>
            </w:r>
          </w:p>
        </w:tc>
        <w:tc>
          <w:tcPr>
            <w:tcW w:w="168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NA</w:t>
            </w:r>
          </w:p>
        </w:tc>
        <w:tc>
          <w:tcPr>
            <w:tcW w:w="1125"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1.00</w:t>
            </w:r>
          </w:p>
        </w:tc>
      </w:tr>
      <w:tr w:rsidR="00BB36A1" w:rsidRPr="009B22C0" w:rsidTr="00AC296D">
        <w:trPr>
          <w:trHeight w:val="300"/>
        </w:trPr>
        <w:tc>
          <w:tcPr>
            <w:tcW w:w="8985" w:type="dxa"/>
            <w:gridSpan w:val="5"/>
            <w:shd w:val="clear" w:color="auto" w:fill="D9D9D9" w:themeFill="background1" w:themeFillShade="D9"/>
            <w:vAlign w:val="center"/>
          </w:tcPr>
          <w:p w:rsidR="00BB36A1" w:rsidRPr="009B22C0" w:rsidRDefault="00BB36A1" w:rsidP="0021766F">
            <w:pPr>
              <w:keepNext/>
              <w:keepLines/>
              <w:rPr>
                <w:rFonts w:ascii="Arial Narrow" w:eastAsia="Arial Narrow" w:hAnsi="Arial Narrow" w:cs="Arial Narrow"/>
                <w:sz w:val="20"/>
                <w:szCs w:val="20"/>
              </w:rPr>
            </w:pPr>
            <w:r w:rsidRPr="009B22C0">
              <w:rPr>
                <w:rFonts w:ascii="Arial Narrow" w:eastAsia="Arial Narrow" w:hAnsi="Arial Narrow" w:cs="Arial Narrow"/>
                <w:b/>
                <w:bCs/>
                <w:sz w:val="20"/>
                <w:szCs w:val="20"/>
              </w:rPr>
              <w:t>Any AE resulting in discontinuation</w:t>
            </w:r>
          </w:p>
        </w:tc>
      </w:tr>
      <w:tr w:rsidR="00BB36A1" w:rsidRPr="009B22C0" w:rsidTr="00AC296D">
        <w:trPr>
          <w:trHeight w:val="300"/>
        </w:trPr>
        <w:tc>
          <w:tcPr>
            <w:tcW w:w="8985" w:type="dxa"/>
            <w:gridSpan w:val="5"/>
            <w:vAlign w:val="center"/>
          </w:tcPr>
          <w:p w:rsidR="00BB36A1" w:rsidRPr="009B22C0" w:rsidRDefault="00BB36A1" w:rsidP="0021766F">
            <w:pPr>
              <w:keepNext/>
              <w:keepLines/>
              <w:rPr>
                <w:rFonts w:ascii="Arial Narrow" w:eastAsia="Arial Narrow" w:hAnsi="Arial Narrow" w:cs="Arial Narrow"/>
                <w:b/>
                <w:sz w:val="20"/>
                <w:szCs w:val="20"/>
              </w:rPr>
            </w:pPr>
            <w:r w:rsidRPr="009B22C0">
              <w:rPr>
                <w:rFonts w:ascii="Arial Narrow" w:eastAsia="Arial Narrow" w:hAnsi="Arial Narrow" w:cs="Arial Narrow"/>
                <w:b/>
                <w:sz w:val="20"/>
                <w:szCs w:val="20"/>
              </w:rPr>
              <w:t>Secukinumab versus placebo (W</w:t>
            </w:r>
            <w:r w:rsidR="00C14235" w:rsidRPr="009B22C0">
              <w:rPr>
                <w:rFonts w:ascii="Arial Narrow" w:eastAsia="Arial Narrow" w:hAnsi="Arial Narrow" w:cs="Arial Narrow"/>
                <w:b/>
                <w:sz w:val="20"/>
                <w:szCs w:val="20"/>
              </w:rPr>
              <w:t>ee</w:t>
            </w:r>
            <w:r w:rsidRPr="009B22C0">
              <w:rPr>
                <w:rFonts w:ascii="Arial Narrow" w:eastAsia="Arial Narrow" w:hAnsi="Arial Narrow" w:cs="Arial Narrow"/>
                <w:b/>
                <w:sz w:val="20"/>
                <w:szCs w:val="20"/>
              </w:rPr>
              <w:t>k</w:t>
            </w:r>
            <w:r w:rsidR="00AC296D" w:rsidRPr="009B22C0">
              <w:rPr>
                <w:rFonts w:ascii="Arial Narrow" w:eastAsia="Arial Narrow" w:hAnsi="Arial Narrow" w:cs="Arial Narrow"/>
                <w:b/>
                <w:sz w:val="20"/>
                <w:szCs w:val="20"/>
              </w:rPr>
              <w:t xml:space="preserve"> </w:t>
            </w:r>
            <w:r w:rsidRPr="009B22C0">
              <w:rPr>
                <w:rFonts w:ascii="Arial Narrow" w:eastAsia="Arial Narrow" w:hAnsi="Arial Narrow" w:cs="Arial Narrow"/>
                <w:b/>
                <w:sz w:val="20"/>
                <w:szCs w:val="20"/>
              </w:rPr>
              <w:t>12)</w:t>
            </w:r>
          </w:p>
        </w:tc>
      </w:tr>
      <w:tr w:rsidR="00BB36A1" w:rsidRPr="009B22C0" w:rsidTr="00AC296D">
        <w:trPr>
          <w:trHeight w:val="300"/>
        </w:trPr>
        <w:tc>
          <w:tcPr>
            <w:tcW w:w="2910" w:type="dxa"/>
            <w:vAlign w:val="center"/>
          </w:tcPr>
          <w:p w:rsidR="00BB36A1" w:rsidRPr="009B22C0" w:rsidRDefault="00DF238C" w:rsidP="0021766F">
            <w:pPr>
              <w:keepNext/>
              <w:keepLines/>
              <w:rPr>
                <w:rFonts w:ascii="Arial Narrow" w:eastAsia="Arial Narrow" w:hAnsi="Arial Narrow" w:cs="Arial Narrow"/>
                <w:sz w:val="20"/>
                <w:szCs w:val="20"/>
              </w:rPr>
            </w:pPr>
            <w:r w:rsidRPr="009B22C0">
              <w:rPr>
                <w:rFonts w:ascii="Arial Narrow" w:eastAsia="Arial Narrow" w:hAnsi="Arial Narrow" w:cs="Arial Narrow"/>
                <w:sz w:val="20"/>
                <w:szCs w:val="20"/>
              </w:rPr>
              <w:t xml:space="preserve">Study </w:t>
            </w:r>
            <w:r w:rsidR="00BB36A1" w:rsidRPr="009B22C0">
              <w:rPr>
                <w:rFonts w:ascii="Arial Narrow" w:eastAsia="Arial Narrow" w:hAnsi="Arial Narrow" w:cs="Arial Narrow"/>
                <w:sz w:val="20"/>
                <w:szCs w:val="20"/>
              </w:rPr>
              <w:t>2310 (combined doses)</w:t>
            </w:r>
          </w:p>
        </w:tc>
        <w:tc>
          <w:tcPr>
            <w:tcW w:w="159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1/80 (1.25)</w:t>
            </w:r>
          </w:p>
        </w:tc>
        <w:tc>
          <w:tcPr>
            <w:tcW w:w="168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1/41 (2.44)</w:t>
            </w:r>
          </w:p>
        </w:tc>
        <w:tc>
          <w:tcPr>
            <w:tcW w:w="168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0.51 (0.03,8.31)</w:t>
            </w:r>
          </w:p>
        </w:tc>
        <w:tc>
          <w:tcPr>
            <w:tcW w:w="1125"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0.66</w:t>
            </w:r>
          </w:p>
        </w:tc>
      </w:tr>
      <w:tr w:rsidR="00BB36A1" w:rsidRPr="009B22C0" w:rsidTr="00AC296D">
        <w:trPr>
          <w:trHeight w:val="300"/>
        </w:trPr>
        <w:tc>
          <w:tcPr>
            <w:tcW w:w="8985" w:type="dxa"/>
            <w:gridSpan w:val="5"/>
            <w:vAlign w:val="center"/>
          </w:tcPr>
          <w:p w:rsidR="00BB36A1" w:rsidRPr="009B22C0" w:rsidRDefault="00BB36A1" w:rsidP="0021766F">
            <w:pPr>
              <w:keepNext/>
              <w:keepLines/>
              <w:rPr>
                <w:rFonts w:ascii="Arial Narrow" w:eastAsia="Arial Narrow" w:hAnsi="Arial Narrow" w:cs="Arial Narrow"/>
                <w:b/>
                <w:sz w:val="20"/>
                <w:szCs w:val="20"/>
              </w:rPr>
            </w:pPr>
            <w:r w:rsidRPr="009B22C0">
              <w:rPr>
                <w:rFonts w:ascii="Arial Narrow" w:eastAsia="Arial Narrow" w:hAnsi="Arial Narrow" w:cs="Arial Narrow"/>
                <w:b/>
                <w:sz w:val="20"/>
                <w:szCs w:val="20"/>
              </w:rPr>
              <w:t>Ustekinumab versus placebo (W</w:t>
            </w:r>
            <w:r w:rsidR="00C14235" w:rsidRPr="009B22C0">
              <w:rPr>
                <w:rFonts w:ascii="Arial Narrow" w:eastAsia="Arial Narrow" w:hAnsi="Arial Narrow" w:cs="Arial Narrow"/>
                <w:b/>
                <w:sz w:val="20"/>
                <w:szCs w:val="20"/>
              </w:rPr>
              <w:t>ee</w:t>
            </w:r>
            <w:r w:rsidRPr="009B22C0">
              <w:rPr>
                <w:rFonts w:ascii="Arial Narrow" w:eastAsia="Arial Narrow" w:hAnsi="Arial Narrow" w:cs="Arial Narrow"/>
                <w:b/>
                <w:sz w:val="20"/>
                <w:szCs w:val="20"/>
              </w:rPr>
              <w:t>k 12)</w:t>
            </w:r>
          </w:p>
        </w:tc>
      </w:tr>
      <w:tr w:rsidR="00BB36A1" w:rsidRPr="009B22C0" w:rsidTr="00AC296D">
        <w:trPr>
          <w:trHeight w:val="300"/>
        </w:trPr>
        <w:tc>
          <w:tcPr>
            <w:tcW w:w="2910" w:type="dxa"/>
            <w:vAlign w:val="center"/>
          </w:tcPr>
          <w:p w:rsidR="00BB36A1" w:rsidRPr="009B22C0" w:rsidRDefault="00BB36A1" w:rsidP="0021766F">
            <w:pPr>
              <w:keepNext/>
              <w:keepLines/>
              <w:rPr>
                <w:rFonts w:ascii="Arial Narrow" w:eastAsia="Arial Narrow" w:hAnsi="Arial Narrow" w:cs="Arial Narrow"/>
                <w:sz w:val="20"/>
                <w:szCs w:val="20"/>
              </w:rPr>
            </w:pPr>
            <w:r w:rsidRPr="009B22C0">
              <w:rPr>
                <w:rFonts w:ascii="Arial Narrow" w:eastAsia="Arial Narrow" w:hAnsi="Arial Narrow" w:cs="Arial Narrow"/>
                <w:sz w:val="20"/>
                <w:szCs w:val="20"/>
              </w:rPr>
              <w:t xml:space="preserve">CADMUS </w:t>
            </w:r>
          </w:p>
        </w:tc>
        <w:tc>
          <w:tcPr>
            <w:tcW w:w="159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0/36 (0)</w:t>
            </w:r>
          </w:p>
        </w:tc>
        <w:tc>
          <w:tcPr>
            <w:tcW w:w="168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0/37 (0)</w:t>
            </w:r>
          </w:p>
        </w:tc>
        <w:tc>
          <w:tcPr>
            <w:tcW w:w="1680"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NA</w:t>
            </w:r>
          </w:p>
        </w:tc>
        <w:tc>
          <w:tcPr>
            <w:tcW w:w="1125" w:type="dxa"/>
            <w:vAlign w:val="center"/>
          </w:tcPr>
          <w:p w:rsidR="00BB36A1" w:rsidRPr="009B22C0" w:rsidRDefault="00BB36A1"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1.00</w:t>
            </w:r>
          </w:p>
        </w:tc>
      </w:tr>
      <w:tr w:rsidR="00BB36A1" w:rsidRPr="009B22C0" w:rsidTr="00AC296D">
        <w:trPr>
          <w:trHeight w:val="300"/>
        </w:trPr>
        <w:tc>
          <w:tcPr>
            <w:tcW w:w="8985" w:type="dxa"/>
            <w:gridSpan w:val="5"/>
            <w:vAlign w:val="center"/>
          </w:tcPr>
          <w:p w:rsidR="00BB36A1" w:rsidRPr="009B22C0" w:rsidRDefault="00AC296D" w:rsidP="0021766F">
            <w:pPr>
              <w:keepNext/>
              <w:keepLines/>
              <w:rPr>
                <w:rFonts w:ascii="Arial Narrow" w:eastAsia="Arial Narrow" w:hAnsi="Arial Narrow" w:cs="Arial Narrow"/>
                <w:sz w:val="20"/>
                <w:szCs w:val="20"/>
              </w:rPr>
            </w:pPr>
            <w:r w:rsidRPr="009B22C0">
              <w:rPr>
                <w:rFonts w:ascii="Arial Narrow" w:eastAsia="Arial Narrow" w:hAnsi="Arial Narrow" w:cs="Arial Narrow"/>
                <w:b/>
                <w:bCs/>
                <w:sz w:val="20"/>
                <w:szCs w:val="20"/>
              </w:rPr>
              <w:t>INDIRECT COMPARISONS</w:t>
            </w:r>
          </w:p>
        </w:tc>
      </w:tr>
      <w:tr w:rsidR="00BB36A1" w:rsidRPr="009B22C0" w:rsidTr="00AC296D">
        <w:trPr>
          <w:trHeight w:val="300"/>
        </w:trPr>
        <w:tc>
          <w:tcPr>
            <w:tcW w:w="8985" w:type="dxa"/>
            <w:gridSpan w:val="5"/>
            <w:shd w:val="clear" w:color="auto" w:fill="D9D9D9" w:themeFill="background1" w:themeFillShade="D9"/>
            <w:vAlign w:val="center"/>
          </w:tcPr>
          <w:p w:rsidR="00BB36A1" w:rsidRPr="009B22C0" w:rsidRDefault="00BB36A1" w:rsidP="0021766F">
            <w:pPr>
              <w:keepNext/>
              <w:keepLines/>
              <w:rPr>
                <w:rFonts w:ascii="Arial Narrow" w:eastAsia="Arial Narrow" w:hAnsi="Arial Narrow" w:cs="Arial Narrow"/>
                <w:sz w:val="20"/>
                <w:szCs w:val="20"/>
              </w:rPr>
            </w:pPr>
            <w:r w:rsidRPr="009B22C0">
              <w:rPr>
                <w:rFonts w:ascii="Arial Narrow" w:eastAsia="Arial Narrow" w:hAnsi="Arial Narrow" w:cs="Arial Narrow"/>
                <w:b/>
                <w:bCs/>
                <w:sz w:val="20"/>
                <w:szCs w:val="20"/>
              </w:rPr>
              <w:t>Any AE</w:t>
            </w:r>
          </w:p>
        </w:tc>
      </w:tr>
      <w:tr w:rsidR="00DF238C" w:rsidTr="009F1329">
        <w:trPr>
          <w:trHeight w:val="300"/>
        </w:trPr>
        <w:tc>
          <w:tcPr>
            <w:tcW w:w="6180" w:type="dxa"/>
            <w:gridSpan w:val="3"/>
            <w:vAlign w:val="center"/>
          </w:tcPr>
          <w:p w:rsidR="00DF238C" w:rsidRPr="009B22C0" w:rsidRDefault="00DF238C" w:rsidP="0021766F">
            <w:pPr>
              <w:keepNext/>
              <w:keepLines/>
              <w:rPr>
                <w:rFonts w:ascii="Arial Narrow" w:eastAsia="Arial Narrow" w:hAnsi="Arial Narrow" w:cs="Arial Narrow"/>
                <w:sz w:val="20"/>
                <w:szCs w:val="20"/>
              </w:rPr>
            </w:pPr>
            <w:r w:rsidRPr="009B22C0">
              <w:rPr>
                <w:rFonts w:ascii="Arial Narrow" w:eastAsia="Arial Narrow" w:hAnsi="Arial Narrow" w:cs="Arial Narrow"/>
                <w:sz w:val="20"/>
                <w:szCs w:val="20"/>
              </w:rPr>
              <w:t>Secukinumab (combined doses) vs ustekinumab</w:t>
            </w:r>
          </w:p>
        </w:tc>
        <w:tc>
          <w:tcPr>
            <w:tcW w:w="1680" w:type="dxa"/>
            <w:vAlign w:val="center"/>
          </w:tcPr>
          <w:p w:rsidR="00DF238C" w:rsidRPr="009B22C0" w:rsidRDefault="00DF238C"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2.13 (0.64, 7.06)</w:t>
            </w:r>
          </w:p>
        </w:tc>
        <w:tc>
          <w:tcPr>
            <w:tcW w:w="1125" w:type="dxa"/>
            <w:vAlign w:val="center"/>
          </w:tcPr>
          <w:p w:rsidR="00DF238C" w:rsidRDefault="00080A0C" w:rsidP="0021766F">
            <w:pPr>
              <w:keepNext/>
              <w:keepLines/>
              <w:jc w:val="center"/>
              <w:rPr>
                <w:rFonts w:ascii="Arial Narrow" w:eastAsia="Arial Narrow" w:hAnsi="Arial Narrow" w:cs="Arial Narrow"/>
                <w:sz w:val="20"/>
                <w:szCs w:val="20"/>
              </w:rPr>
            </w:pPr>
            <w:r w:rsidRPr="009B22C0">
              <w:rPr>
                <w:rFonts w:ascii="Arial Narrow" w:eastAsia="Arial Narrow" w:hAnsi="Arial Narrow" w:cs="Arial Narrow"/>
                <w:sz w:val="20"/>
                <w:szCs w:val="20"/>
              </w:rPr>
              <w:t>NR</w:t>
            </w:r>
          </w:p>
        </w:tc>
      </w:tr>
    </w:tbl>
    <w:p w:rsidR="00BB36A1" w:rsidRDefault="00BB36A1" w:rsidP="0021766F">
      <w:pPr>
        <w:pStyle w:val="TableFigureFooter"/>
        <w:keepNext/>
        <w:keepLines/>
        <w:rPr>
          <w:rFonts w:eastAsia="Arial Narrow" w:cs="Arial Narrow"/>
          <w:color w:val="000000" w:themeColor="text1"/>
          <w:szCs w:val="18"/>
        </w:rPr>
      </w:pPr>
      <w:r w:rsidRPr="454BE1F2">
        <w:rPr>
          <w:rFonts w:eastAsia="Arial Narrow" w:cs="Arial Narrow"/>
          <w:color w:val="000000" w:themeColor="text1"/>
          <w:szCs w:val="18"/>
        </w:rPr>
        <w:t>Source: Table 2.5.1, p11</w:t>
      </w:r>
      <w:r w:rsidR="00DF238C">
        <w:rPr>
          <w:rFonts w:eastAsia="Arial Narrow" w:cs="Arial Narrow"/>
          <w:color w:val="000000" w:themeColor="text1"/>
          <w:szCs w:val="18"/>
        </w:rPr>
        <w:t>6</w:t>
      </w:r>
      <w:r w:rsidRPr="454BE1F2">
        <w:rPr>
          <w:rFonts w:eastAsia="Arial Narrow" w:cs="Arial Narrow"/>
          <w:color w:val="000000" w:themeColor="text1"/>
          <w:szCs w:val="18"/>
        </w:rPr>
        <w:t xml:space="preserve"> of the submission.</w:t>
      </w:r>
    </w:p>
    <w:p w:rsidR="00BB36A1" w:rsidRDefault="00CF706D" w:rsidP="00AD4FE9">
      <w:pPr>
        <w:pStyle w:val="TableFigureFooter"/>
        <w:keepNext/>
        <w:keepLines/>
        <w:jc w:val="both"/>
        <w:rPr>
          <w:rFonts w:eastAsia="Arial Narrow" w:cs="Arial Narrow"/>
          <w:color w:val="000000" w:themeColor="text1"/>
          <w:szCs w:val="18"/>
        </w:rPr>
      </w:pPr>
      <w:r w:rsidRPr="454BE1F2">
        <w:rPr>
          <w:rFonts w:eastAsia="Arial Narrow" w:cs="Arial Narrow"/>
          <w:color w:val="000000" w:themeColor="text1"/>
          <w:szCs w:val="18"/>
        </w:rPr>
        <w:t>AE</w:t>
      </w:r>
      <w:r w:rsidR="00B73EF5">
        <w:rPr>
          <w:rFonts w:eastAsia="Arial Narrow" w:cs="Arial Narrow"/>
          <w:color w:val="000000" w:themeColor="text1"/>
          <w:szCs w:val="18"/>
        </w:rPr>
        <w:t xml:space="preserve"> </w:t>
      </w:r>
      <w:r w:rsidRPr="454BE1F2">
        <w:rPr>
          <w:rFonts w:eastAsia="Arial Narrow" w:cs="Arial Narrow"/>
          <w:color w:val="000000" w:themeColor="text1"/>
          <w:szCs w:val="18"/>
        </w:rPr>
        <w:t>= adverse event</w:t>
      </w:r>
      <w:r>
        <w:rPr>
          <w:rFonts w:eastAsia="Arial Narrow" w:cs="Arial Narrow"/>
          <w:color w:val="000000" w:themeColor="text1"/>
          <w:szCs w:val="18"/>
        </w:rPr>
        <w:t>;</w:t>
      </w:r>
      <w:r w:rsidRPr="454BE1F2">
        <w:rPr>
          <w:rFonts w:eastAsia="Arial Narrow" w:cs="Arial Narrow"/>
          <w:color w:val="000000" w:themeColor="text1"/>
          <w:szCs w:val="18"/>
        </w:rPr>
        <w:t xml:space="preserve"> </w:t>
      </w:r>
      <w:r w:rsidR="00BB36A1" w:rsidRPr="454BE1F2">
        <w:rPr>
          <w:rFonts w:eastAsia="Arial Narrow" w:cs="Arial Narrow"/>
          <w:color w:val="000000" w:themeColor="text1"/>
          <w:szCs w:val="18"/>
        </w:rPr>
        <w:t>CI = confidence interval;</w:t>
      </w:r>
      <w:r>
        <w:rPr>
          <w:rFonts w:eastAsia="Arial Narrow" w:cs="Arial Narrow"/>
          <w:color w:val="000000" w:themeColor="text1"/>
          <w:szCs w:val="18"/>
        </w:rPr>
        <w:t xml:space="preserve"> </w:t>
      </w:r>
      <w:r w:rsidRPr="454BE1F2">
        <w:rPr>
          <w:rFonts w:eastAsia="Arial Narrow" w:cs="Arial Narrow"/>
          <w:color w:val="000000" w:themeColor="text1"/>
          <w:szCs w:val="18"/>
        </w:rPr>
        <w:t>ETN</w:t>
      </w:r>
      <w:r w:rsidR="00B73EF5">
        <w:rPr>
          <w:rFonts w:eastAsia="Arial Narrow" w:cs="Arial Narrow"/>
          <w:color w:val="000000" w:themeColor="text1"/>
          <w:szCs w:val="18"/>
        </w:rPr>
        <w:t xml:space="preserve"> </w:t>
      </w:r>
      <w:r w:rsidRPr="454BE1F2">
        <w:rPr>
          <w:rFonts w:eastAsia="Arial Narrow" w:cs="Arial Narrow"/>
          <w:color w:val="000000" w:themeColor="text1"/>
          <w:szCs w:val="18"/>
        </w:rPr>
        <w:t>=</w:t>
      </w:r>
      <w:r w:rsidR="00B73EF5">
        <w:rPr>
          <w:rFonts w:eastAsia="Arial Narrow" w:cs="Arial Narrow"/>
          <w:color w:val="000000" w:themeColor="text1"/>
          <w:szCs w:val="18"/>
        </w:rPr>
        <w:t xml:space="preserve"> </w:t>
      </w:r>
      <w:r w:rsidRPr="454BE1F2">
        <w:rPr>
          <w:rFonts w:eastAsia="Arial Narrow" w:cs="Arial Narrow"/>
          <w:color w:val="000000" w:themeColor="text1"/>
          <w:szCs w:val="18"/>
        </w:rPr>
        <w:t>etanercept</w:t>
      </w:r>
      <w:r>
        <w:rPr>
          <w:rFonts w:eastAsia="Arial Narrow" w:cs="Arial Narrow"/>
          <w:color w:val="000000" w:themeColor="text1"/>
          <w:szCs w:val="18"/>
        </w:rPr>
        <w:t>;</w:t>
      </w:r>
      <w:r w:rsidR="00BB36A1" w:rsidRPr="454BE1F2">
        <w:rPr>
          <w:rFonts w:eastAsia="Arial Narrow" w:cs="Arial Narrow"/>
          <w:color w:val="000000" w:themeColor="text1"/>
          <w:szCs w:val="18"/>
          <w:lang w:val="en-US"/>
        </w:rPr>
        <w:t xml:space="preserve"> </w:t>
      </w:r>
      <w:r>
        <w:rPr>
          <w:rFonts w:eastAsia="Arial Narrow" w:cs="Arial Narrow"/>
          <w:color w:val="000000" w:themeColor="text1"/>
          <w:szCs w:val="18"/>
        </w:rPr>
        <w:t>NA</w:t>
      </w:r>
      <w:r w:rsidR="00B73EF5">
        <w:rPr>
          <w:rFonts w:eastAsia="Arial Narrow" w:cs="Arial Narrow"/>
          <w:color w:val="000000" w:themeColor="text1"/>
          <w:szCs w:val="18"/>
        </w:rPr>
        <w:t xml:space="preserve"> </w:t>
      </w:r>
      <w:r>
        <w:rPr>
          <w:rFonts w:eastAsia="Arial Narrow" w:cs="Arial Narrow"/>
          <w:color w:val="000000" w:themeColor="text1"/>
          <w:szCs w:val="18"/>
        </w:rPr>
        <w:t xml:space="preserve">= not applicable due to zero value; NR = not reported; </w:t>
      </w:r>
      <w:r w:rsidRPr="454BE1F2">
        <w:rPr>
          <w:rFonts w:eastAsia="Arial Narrow" w:cs="Arial Narrow"/>
          <w:color w:val="000000" w:themeColor="text1"/>
          <w:szCs w:val="18"/>
          <w:lang w:val="en-US"/>
        </w:rPr>
        <w:t>OR</w:t>
      </w:r>
      <w:r w:rsidR="00B73EF5">
        <w:rPr>
          <w:rFonts w:eastAsia="Arial Narrow" w:cs="Arial Narrow"/>
          <w:color w:val="000000" w:themeColor="text1"/>
          <w:szCs w:val="18"/>
          <w:lang w:val="en-US"/>
        </w:rPr>
        <w:t xml:space="preserve"> </w:t>
      </w:r>
      <w:r w:rsidRPr="454BE1F2">
        <w:rPr>
          <w:rFonts w:eastAsia="Arial Narrow" w:cs="Arial Narrow"/>
          <w:color w:val="000000" w:themeColor="text1"/>
          <w:szCs w:val="18"/>
          <w:lang w:val="en-US"/>
        </w:rPr>
        <w:t>= odds ratio</w:t>
      </w:r>
      <w:r w:rsidRPr="454BE1F2">
        <w:rPr>
          <w:rFonts w:eastAsia="Arial Narrow" w:cs="Arial Narrow"/>
          <w:color w:val="000000" w:themeColor="text1"/>
          <w:szCs w:val="18"/>
        </w:rPr>
        <w:t xml:space="preserve">; </w:t>
      </w:r>
      <w:r w:rsidR="00BB36A1" w:rsidRPr="454BE1F2">
        <w:rPr>
          <w:rFonts w:eastAsia="Arial Narrow" w:cs="Arial Narrow"/>
          <w:color w:val="000000" w:themeColor="text1"/>
          <w:szCs w:val="18"/>
        </w:rPr>
        <w:t>PBO</w:t>
      </w:r>
      <w:r w:rsidR="00B73EF5">
        <w:rPr>
          <w:rFonts w:eastAsia="Arial Narrow" w:cs="Arial Narrow"/>
          <w:color w:val="000000" w:themeColor="text1"/>
          <w:szCs w:val="18"/>
        </w:rPr>
        <w:t xml:space="preserve"> </w:t>
      </w:r>
      <w:r w:rsidR="00BB36A1" w:rsidRPr="454BE1F2">
        <w:rPr>
          <w:rFonts w:eastAsia="Arial Narrow" w:cs="Arial Narrow"/>
          <w:color w:val="000000" w:themeColor="text1"/>
          <w:szCs w:val="18"/>
        </w:rPr>
        <w:t>= placebo;</w:t>
      </w:r>
      <w:r>
        <w:rPr>
          <w:rFonts w:eastAsia="Arial Narrow" w:cs="Arial Narrow"/>
          <w:color w:val="000000" w:themeColor="text1"/>
          <w:szCs w:val="18"/>
        </w:rPr>
        <w:t xml:space="preserve"> </w:t>
      </w:r>
      <w:r w:rsidRPr="454BE1F2">
        <w:rPr>
          <w:rFonts w:eastAsia="Arial Narrow" w:cs="Arial Narrow"/>
          <w:color w:val="000000" w:themeColor="text1"/>
          <w:szCs w:val="18"/>
        </w:rPr>
        <w:t>SAE</w:t>
      </w:r>
      <w:r w:rsidR="00B73EF5">
        <w:rPr>
          <w:rFonts w:eastAsia="Arial Narrow" w:cs="Arial Narrow"/>
          <w:color w:val="000000" w:themeColor="text1"/>
          <w:szCs w:val="18"/>
        </w:rPr>
        <w:t xml:space="preserve"> </w:t>
      </w:r>
      <w:r w:rsidRPr="454BE1F2">
        <w:rPr>
          <w:rFonts w:eastAsia="Arial Narrow" w:cs="Arial Narrow"/>
          <w:color w:val="000000" w:themeColor="text1"/>
          <w:szCs w:val="18"/>
        </w:rPr>
        <w:t>= serious adverse event;</w:t>
      </w:r>
      <w:r>
        <w:rPr>
          <w:rFonts w:eastAsia="Arial Narrow" w:cs="Arial Narrow"/>
          <w:color w:val="000000" w:themeColor="text1"/>
          <w:szCs w:val="18"/>
        </w:rPr>
        <w:t xml:space="preserve"> </w:t>
      </w:r>
      <w:r w:rsidRPr="454BE1F2">
        <w:rPr>
          <w:rFonts w:eastAsia="Arial Narrow" w:cs="Arial Narrow"/>
          <w:color w:val="000000" w:themeColor="text1"/>
          <w:szCs w:val="18"/>
        </w:rPr>
        <w:t>SEC</w:t>
      </w:r>
      <w:r w:rsidR="00B73EF5">
        <w:rPr>
          <w:rFonts w:eastAsia="Arial Narrow" w:cs="Arial Narrow"/>
          <w:color w:val="000000" w:themeColor="text1"/>
          <w:szCs w:val="18"/>
        </w:rPr>
        <w:t xml:space="preserve"> </w:t>
      </w:r>
      <w:r w:rsidRPr="454BE1F2">
        <w:rPr>
          <w:rFonts w:eastAsia="Arial Narrow" w:cs="Arial Narrow"/>
          <w:color w:val="000000" w:themeColor="text1"/>
          <w:szCs w:val="18"/>
        </w:rPr>
        <w:t>= secukinumab;</w:t>
      </w:r>
      <w:r w:rsidR="00BB36A1" w:rsidRPr="454BE1F2">
        <w:rPr>
          <w:rFonts w:eastAsia="Arial Narrow" w:cs="Arial Narrow"/>
          <w:color w:val="000000" w:themeColor="text1"/>
          <w:szCs w:val="18"/>
        </w:rPr>
        <w:t xml:space="preserve"> UST</w:t>
      </w:r>
      <w:r w:rsidR="00B73EF5">
        <w:rPr>
          <w:rFonts w:eastAsia="Arial Narrow" w:cs="Arial Narrow"/>
          <w:color w:val="000000" w:themeColor="text1"/>
          <w:szCs w:val="18"/>
        </w:rPr>
        <w:t xml:space="preserve"> </w:t>
      </w:r>
      <w:r w:rsidR="00BB36A1" w:rsidRPr="454BE1F2">
        <w:rPr>
          <w:rFonts w:eastAsia="Arial Narrow" w:cs="Arial Narrow"/>
          <w:color w:val="000000" w:themeColor="text1"/>
          <w:szCs w:val="18"/>
        </w:rPr>
        <w:t>=</w:t>
      </w:r>
      <w:r w:rsidR="00B73EF5">
        <w:rPr>
          <w:rFonts w:eastAsia="Arial Narrow" w:cs="Arial Narrow"/>
          <w:color w:val="000000" w:themeColor="text1"/>
          <w:szCs w:val="18"/>
        </w:rPr>
        <w:t xml:space="preserve"> </w:t>
      </w:r>
      <w:r w:rsidR="00BB36A1" w:rsidRPr="454BE1F2">
        <w:rPr>
          <w:rFonts w:eastAsia="Arial Narrow" w:cs="Arial Narrow"/>
          <w:color w:val="000000" w:themeColor="text1"/>
          <w:szCs w:val="18"/>
        </w:rPr>
        <w:t>ustekinumab</w:t>
      </w:r>
      <w:r>
        <w:rPr>
          <w:rFonts w:eastAsia="Arial Narrow" w:cs="Arial Narrow"/>
          <w:color w:val="000000" w:themeColor="text1"/>
          <w:szCs w:val="18"/>
        </w:rPr>
        <w:t>.</w:t>
      </w:r>
      <w:r w:rsidR="00BB36A1" w:rsidRPr="454BE1F2">
        <w:rPr>
          <w:rFonts w:eastAsia="Arial Narrow" w:cs="Arial Narrow"/>
          <w:color w:val="000000" w:themeColor="text1"/>
          <w:szCs w:val="18"/>
        </w:rPr>
        <w:t xml:space="preserve"> </w:t>
      </w:r>
    </w:p>
    <w:p w:rsidR="00101853" w:rsidRPr="00101853" w:rsidRDefault="00101853" w:rsidP="00AD4FE9">
      <w:pPr>
        <w:pStyle w:val="TableFigureFooter"/>
        <w:keepNext/>
        <w:keepLines/>
        <w:jc w:val="both"/>
        <w:rPr>
          <w:rFonts w:eastAsia="Arial Narrow" w:cs="Arial Narrow"/>
          <w:i/>
          <w:color w:val="000000" w:themeColor="text1"/>
          <w:szCs w:val="18"/>
        </w:rPr>
      </w:pPr>
      <w:r w:rsidRPr="00752D79">
        <w:rPr>
          <w:i/>
        </w:rPr>
        <w:t>*Note that the results presented in Table 8 are derived from ad-hoc/ post-hoc analyses conducted by the applicant specifically for the purposes of informing the PBAC consideration. These analyses were not part of the pre-specified statistical plan for study 2310. Interpretation of the results and their application should therefore be limited to seeking to understand the basis for the PBAC outcome and should not be used for any other purpose.</w:t>
      </w:r>
    </w:p>
    <w:p w:rsidR="00BB36A1" w:rsidRPr="00E663C3" w:rsidRDefault="000568CB" w:rsidP="00BB36A1">
      <w:pPr>
        <w:pStyle w:val="3-BodyText"/>
        <w:rPr>
          <w:rFonts w:eastAsiaTheme="minorEastAsia" w:cstheme="minorBidi"/>
          <w:iCs/>
          <w:color w:val="000000" w:themeColor="text1"/>
        </w:rPr>
      </w:pPr>
      <w:r w:rsidRPr="00E663C3">
        <w:rPr>
          <w:rFonts w:ascii="Calibri" w:eastAsia="Calibri" w:hAnsi="Calibri" w:cs="Calibri"/>
          <w:color w:val="000000" w:themeColor="text1"/>
        </w:rPr>
        <w:t xml:space="preserve">Based on pooled dose of secukinumab there was no significant difference in any </w:t>
      </w:r>
      <w:r w:rsidR="465D5E65" w:rsidRPr="00E663C3">
        <w:rPr>
          <w:rFonts w:ascii="Calibri" w:eastAsia="Calibri" w:hAnsi="Calibri" w:cs="Calibri"/>
          <w:color w:val="000000" w:themeColor="text1"/>
        </w:rPr>
        <w:t>AE</w:t>
      </w:r>
      <w:r w:rsidRPr="00E663C3">
        <w:rPr>
          <w:rFonts w:ascii="Calibri" w:eastAsia="Calibri" w:hAnsi="Calibri" w:cs="Calibri"/>
          <w:color w:val="000000" w:themeColor="text1"/>
        </w:rPr>
        <w:t xml:space="preserve"> between secukinumab and ustekinumab. </w:t>
      </w:r>
      <w:r w:rsidRPr="00E663C3">
        <w:rPr>
          <w:rFonts w:ascii="Calibri" w:eastAsia="Calibri" w:hAnsi="Calibri" w:cs="Calibri"/>
          <w:iCs/>
          <w:color w:val="000000" w:themeColor="text1"/>
        </w:rPr>
        <w:t>The submission</w:t>
      </w:r>
      <w:r w:rsidR="61089381" w:rsidRPr="00E663C3">
        <w:rPr>
          <w:rFonts w:ascii="Calibri" w:eastAsia="Calibri" w:hAnsi="Calibri" w:cs="Calibri"/>
          <w:iCs/>
          <w:color w:val="000000" w:themeColor="text1"/>
        </w:rPr>
        <w:t xml:space="preserve"> did not present an </w:t>
      </w:r>
      <w:r w:rsidRPr="00E663C3">
        <w:rPr>
          <w:rFonts w:ascii="Calibri" w:eastAsia="Calibri" w:hAnsi="Calibri" w:cs="Calibri"/>
          <w:iCs/>
          <w:color w:val="000000" w:themeColor="text1"/>
        </w:rPr>
        <w:t xml:space="preserve">indirect comparison </w:t>
      </w:r>
      <w:r w:rsidR="61089381" w:rsidRPr="00E663C3">
        <w:rPr>
          <w:rFonts w:ascii="Calibri" w:eastAsia="Calibri" w:hAnsi="Calibri" w:cs="Calibri"/>
          <w:iCs/>
          <w:color w:val="000000" w:themeColor="text1"/>
        </w:rPr>
        <w:t xml:space="preserve">using </w:t>
      </w:r>
      <w:r w:rsidR="008E3AC3" w:rsidRPr="00E663C3">
        <w:rPr>
          <w:rFonts w:ascii="Calibri" w:eastAsia="Calibri" w:hAnsi="Calibri" w:cs="Calibri"/>
          <w:iCs/>
          <w:color w:val="000000" w:themeColor="text1"/>
        </w:rPr>
        <w:t>LD and HD</w:t>
      </w:r>
      <w:r w:rsidR="006C3CB5">
        <w:rPr>
          <w:rFonts w:ascii="Calibri" w:eastAsia="Calibri" w:hAnsi="Calibri" w:cs="Calibri"/>
          <w:iCs/>
          <w:color w:val="000000" w:themeColor="text1"/>
        </w:rPr>
        <w:t xml:space="preserve"> separately</w:t>
      </w:r>
      <w:r w:rsidR="1833C1BE" w:rsidRPr="00E663C3">
        <w:rPr>
          <w:rFonts w:ascii="Calibri" w:eastAsia="Calibri" w:hAnsi="Calibri" w:cs="Calibri"/>
          <w:iCs/>
        </w:rPr>
        <w:t>.</w:t>
      </w:r>
    </w:p>
    <w:p w:rsidR="00BB36A1" w:rsidRPr="00E663C3" w:rsidRDefault="000568CB" w:rsidP="00BB36A1">
      <w:pPr>
        <w:pStyle w:val="3-BodyText"/>
        <w:rPr>
          <w:rFonts w:eastAsiaTheme="minorBidi" w:cstheme="minorHAnsi"/>
        </w:rPr>
      </w:pPr>
      <w:r w:rsidRPr="00E663C3">
        <w:rPr>
          <w:rFonts w:ascii="Calibri" w:eastAsia="Calibri" w:hAnsi="Calibri" w:cs="Calibri"/>
          <w:iCs/>
          <w:color w:val="000000" w:themeColor="text1"/>
        </w:rPr>
        <w:t xml:space="preserve">Previously, the PBAC considered that secukinumab for adults with severe </w:t>
      </w:r>
      <w:r w:rsidR="465D5E65" w:rsidRPr="00E663C3">
        <w:rPr>
          <w:rFonts w:ascii="Calibri" w:eastAsia="Calibri" w:hAnsi="Calibri" w:cs="Calibri"/>
          <w:iCs/>
          <w:color w:val="000000" w:themeColor="text1"/>
        </w:rPr>
        <w:t>CPP</w:t>
      </w:r>
      <w:r w:rsidRPr="00E663C3">
        <w:rPr>
          <w:rFonts w:ascii="Calibri" w:eastAsia="Calibri" w:hAnsi="Calibri" w:cs="Calibri"/>
          <w:iCs/>
          <w:color w:val="000000" w:themeColor="text1"/>
        </w:rPr>
        <w:t xml:space="preserve"> is likely to be non-inferior to ustekinumab in terms of comparative efficacy and safety (para</w:t>
      </w:r>
      <w:r w:rsidR="465D5E65" w:rsidRPr="00E663C3">
        <w:rPr>
          <w:rFonts w:ascii="Calibri" w:eastAsia="Calibri" w:hAnsi="Calibri" w:cs="Calibri"/>
          <w:iCs/>
          <w:color w:val="000000" w:themeColor="text1"/>
        </w:rPr>
        <w:t>graph</w:t>
      </w:r>
      <w:r w:rsidRPr="00E663C3">
        <w:rPr>
          <w:rFonts w:ascii="Calibri" w:eastAsia="Calibri" w:hAnsi="Calibri" w:cs="Calibri"/>
          <w:iCs/>
          <w:color w:val="000000" w:themeColor="text1"/>
        </w:rPr>
        <w:t xml:space="preserve"> 7.3</w:t>
      </w:r>
      <w:r w:rsidR="465D5E65" w:rsidRPr="00E663C3">
        <w:rPr>
          <w:rFonts w:ascii="Calibri" w:eastAsia="Calibri" w:hAnsi="Calibri" w:cs="Calibri"/>
          <w:iCs/>
          <w:color w:val="000000" w:themeColor="text1"/>
        </w:rPr>
        <w:t>,</w:t>
      </w:r>
      <w:r w:rsidRPr="00E663C3">
        <w:rPr>
          <w:rFonts w:ascii="Calibri" w:eastAsia="Calibri" w:hAnsi="Calibri" w:cs="Calibri"/>
          <w:iCs/>
          <w:color w:val="000000" w:themeColor="text1"/>
        </w:rPr>
        <w:t xml:space="preserve"> secukinumab</w:t>
      </w:r>
      <w:r w:rsidR="465D5E65" w:rsidRPr="00E663C3">
        <w:rPr>
          <w:rFonts w:ascii="Calibri" w:eastAsia="Calibri" w:hAnsi="Calibri" w:cs="Calibri"/>
          <w:iCs/>
          <w:color w:val="000000" w:themeColor="text1"/>
        </w:rPr>
        <w:t xml:space="preserve"> PSD,</w:t>
      </w:r>
      <w:r w:rsidRPr="00E663C3">
        <w:rPr>
          <w:rFonts w:ascii="Calibri" w:eastAsia="Calibri" w:hAnsi="Calibri" w:cs="Calibri"/>
          <w:iCs/>
          <w:color w:val="000000" w:themeColor="text1"/>
        </w:rPr>
        <w:t xml:space="preserve"> March 2015).</w:t>
      </w:r>
      <w:r w:rsidR="0001058F">
        <w:rPr>
          <w:rFonts w:ascii="Calibri" w:eastAsia="Calibri" w:hAnsi="Calibri" w:cs="Calibri"/>
          <w:iCs/>
          <w:color w:val="000000" w:themeColor="text1"/>
        </w:rPr>
        <w:t xml:space="preserve"> </w:t>
      </w:r>
    </w:p>
    <w:p w:rsidR="00BB36A1" w:rsidRPr="00E663C3" w:rsidRDefault="000568CB" w:rsidP="00021E2D">
      <w:pPr>
        <w:pStyle w:val="3-BodyText"/>
        <w:rPr>
          <w:lang w:val="en-US"/>
        </w:rPr>
      </w:pPr>
      <w:r w:rsidRPr="00E663C3">
        <w:rPr>
          <w:iCs/>
        </w:rPr>
        <w:t xml:space="preserve">Similar to </w:t>
      </w:r>
      <w:r w:rsidRPr="00702B59">
        <w:rPr>
          <w:iCs/>
        </w:rPr>
        <w:t>comparative efficacy</w:t>
      </w:r>
      <w:r w:rsidR="009E36AC" w:rsidRPr="00702B59">
        <w:rPr>
          <w:iCs/>
        </w:rPr>
        <w:t xml:space="preserve"> (</w:t>
      </w:r>
      <w:r w:rsidR="002564B8" w:rsidRPr="00702B59">
        <w:rPr>
          <w:iCs/>
        </w:rPr>
        <w:t>paragra</w:t>
      </w:r>
      <w:r w:rsidR="00C95380">
        <w:rPr>
          <w:iCs/>
        </w:rPr>
        <w:t>ph 6.12</w:t>
      </w:r>
      <w:r w:rsidR="009E36AC" w:rsidRPr="00702B59">
        <w:rPr>
          <w:iCs/>
        </w:rPr>
        <w:t>)</w:t>
      </w:r>
      <w:r w:rsidR="0E2C20E2" w:rsidRPr="00702B59">
        <w:rPr>
          <w:iCs/>
        </w:rPr>
        <w:t>,</w:t>
      </w:r>
      <w:r w:rsidRPr="00702B59">
        <w:rPr>
          <w:iCs/>
        </w:rPr>
        <w:t xml:space="preserve"> there are</w:t>
      </w:r>
      <w:r w:rsidRPr="00194E21">
        <w:rPr>
          <w:iCs/>
        </w:rPr>
        <w:t xml:space="preserve"> uncertainties with the indirect comparison safety data </w:t>
      </w:r>
      <w:r w:rsidRPr="00E663C3">
        <w:rPr>
          <w:iCs/>
        </w:rPr>
        <w:t xml:space="preserve">and this may limit the reliability of the indirect comparison for assessing </w:t>
      </w:r>
      <w:r w:rsidR="5B114EC5" w:rsidRPr="00E663C3">
        <w:rPr>
          <w:iCs/>
        </w:rPr>
        <w:t>AEs</w:t>
      </w:r>
      <w:r w:rsidRPr="00E663C3">
        <w:rPr>
          <w:iCs/>
        </w:rPr>
        <w:t>.</w:t>
      </w:r>
      <w:r w:rsidR="60840410" w:rsidRPr="00E663C3">
        <w:rPr>
          <w:iCs/>
        </w:rPr>
        <w:t xml:space="preserve"> </w:t>
      </w:r>
    </w:p>
    <w:p w:rsidR="00BB36A1" w:rsidRPr="002E1071" w:rsidRDefault="00BB36A1" w:rsidP="00BB36A1">
      <w:pPr>
        <w:pStyle w:val="4-SubsectionHeading"/>
      </w:pPr>
      <w:bookmarkStart w:id="23" w:name="_Toc22897643"/>
      <w:bookmarkStart w:id="24" w:name="_Toc82600275"/>
      <w:r>
        <w:t>Benefits/harms</w:t>
      </w:r>
      <w:bookmarkEnd w:id="23"/>
      <w:bookmarkEnd w:id="24"/>
    </w:p>
    <w:p w:rsidR="66845234" w:rsidRPr="00E663C3" w:rsidRDefault="345A1311" w:rsidP="005A0E10">
      <w:pPr>
        <w:pStyle w:val="ListParagraph"/>
        <w:numPr>
          <w:ilvl w:val="1"/>
          <w:numId w:val="1"/>
        </w:numPr>
        <w:spacing w:after="160"/>
        <w:rPr>
          <w:iCs/>
        </w:rPr>
      </w:pPr>
      <w:r w:rsidRPr="00E663C3">
        <w:rPr>
          <w:iCs/>
        </w:rPr>
        <w:t xml:space="preserve">A summary of the comparative </w:t>
      </w:r>
      <w:r w:rsidR="1853784D" w:rsidRPr="00E663C3">
        <w:rPr>
          <w:iCs/>
        </w:rPr>
        <w:t>benefits</w:t>
      </w:r>
      <w:r w:rsidR="7641517D" w:rsidRPr="00E663C3">
        <w:rPr>
          <w:iCs/>
        </w:rPr>
        <w:t xml:space="preserve"> </w:t>
      </w:r>
      <w:r w:rsidRPr="00E663C3">
        <w:rPr>
          <w:iCs/>
        </w:rPr>
        <w:t>for</w:t>
      </w:r>
      <w:r w:rsidR="000802D9">
        <w:rPr>
          <w:iCs/>
        </w:rPr>
        <w:t xml:space="preserve"> </w:t>
      </w:r>
      <w:r w:rsidR="000802D9" w:rsidRPr="008C6E1A">
        <w:rPr>
          <w:iCs/>
        </w:rPr>
        <w:t>the direct comparison of</w:t>
      </w:r>
      <w:r w:rsidRPr="00E663C3">
        <w:rPr>
          <w:iCs/>
        </w:rPr>
        <w:t xml:space="preserve"> secukinumab versus etanercept is presented in Table </w:t>
      </w:r>
      <w:r w:rsidR="002564B8" w:rsidRPr="00E663C3">
        <w:rPr>
          <w:iCs/>
        </w:rPr>
        <w:t>9</w:t>
      </w:r>
      <w:r w:rsidR="523DB436" w:rsidRPr="00E663C3">
        <w:rPr>
          <w:iCs/>
        </w:rPr>
        <w:t>. A summary of comparative harms was not presented given</w:t>
      </w:r>
      <w:r w:rsidR="005F2C3F">
        <w:rPr>
          <w:iCs/>
        </w:rPr>
        <w:t xml:space="preserve"> there were no</w:t>
      </w:r>
      <w:r w:rsidR="523DB436" w:rsidRPr="00E663C3">
        <w:rPr>
          <w:iCs/>
        </w:rPr>
        <w:t xml:space="preserve"> statistical</w:t>
      </w:r>
      <w:r w:rsidR="005F2C3F">
        <w:rPr>
          <w:iCs/>
        </w:rPr>
        <w:t>ly</w:t>
      </w:r>
      <w:r w:rsidR="523DB436" w:rsidRPr="00E663C3">
        <w:rPr>
          <w:iCs/>
        </w:rPr>
        <w:t xml:space="preserve"> significan</w:t>
      </w:r>
      <w:r w:rsidR="005F2C3F">
        <w:rPr>
          <w:iCs/>
        </w:rPr>
        <w:t>t differences between the arms</w:t>
      </w:r>
      <w:r w:rsidR="523DB436" w:rsidRPr="00E663C3">
        <w:rPr>
          <w:iCs/>
        </w:rPr>
        <w:t xml:space="preserve"> and the results </w:t>
      </w:r>
      <w:r w:rsidR="1CFFEC71" w:rsidRPr="00E663C3">
        <w:rPr>
          <w:iCs/>
        </w:rPr>
        <w:t xml:space="preserve">generally </w:t>
      </w:r>
      <w:r w:rsidR="523DB436" w:rsidRPr="00E663C3">
        <w:rPr>
          <w:iCs/>
        </w:rPr>
        <w:t>support</w:t>
      </w:r>
      <w:r w:rsidR="005F2C3F">
        <w:rPr>
          <w:iCs/>
        </w:rPr>
        <w:t>ed</w:t>
      </w:r>
      <w:r w:rsidR="1CFFEC71" w:rsidRPr="00E663C3">
        <w:rPr>
          <w:iCs/>
        </w:rPr>
        <w:t xml:space="preserve"> similar</w:t>
      </w:r>
      <w:r w:rsidR="523DB436" w:rsidRPr="00E663C3">
        <w:rPr>
          <w:iCs/>
        </w:rPr>
        <w:t xml:space="preserve"> safety.</w:t>
      </w:r>
      <w:r w:rsidR="008739AA">
        <w:rPr>
          <w:iCs/>
        </w:rPr>
        <w:t xml:space="preserve"> </w:t>
      </w:r>
    </w:p>
    <w:p w:rsidR="005904EC" w:rsidRDefault="002564B8" w:rsidP="005904EC">
      <w:pPr>
        <w:pStyle w:val="ListBullet"/>
        <w:keepNext/>
        <w:keepLines/>
        <w:numPr>
          <w:ilvl w:val="0"/>
          <w:numId w:val="0"/>
        </w:numPr>
        <w:rPr>
          <w:rFonts w:ascii="Arial Narrow" w:eastAsia="Arial Narrow" w:hAnsi="Arial Narrow" w:cs="Arial Narrow"/>
          <w:b/>
          <w:bCs/>
          <w:sz w:val="20"/>
          <w:szCs w:val="20"/>
        </w:rPr>
      </w:pPr>
      <w:r>
        <w:rPr>
          <w:rFonts w:ascii="Arial Narrow" w:eastAsia="Arial Narrow" w:hAnsi="Arial Narrow" w:cs="Arial Narrow"/>
          <w:b/>
          <w:bCs/>
          <w:sz w:val="20"/>
          <w:szCs w:val="20"/>
        </w:rPr>
        <w:t>Table 9</w:t>
      </w:r>
      <w:r w:rsidR="005904EC" w:rsidRPr="029D5890">
        <w:rPr>
          <w:rFonts w:ascii="Arial Narrow" w:eastAsia="Arial Narrow" w:hAnsi="Arial Narrow" w:cs="Arial Narrow"/>
          <w:b/>
          <w:bCs/>
          <w:sz w:val="20"/>
          <w:szCs w:val="20"/>
        </w:rPr>
        <w:t>: Summary of comparative benefits for secukinumab versus etanercept</w:t>
      </w:r>
      <w:r w:rsidR="005904EC">
        <w:rPr>
          <w:rFonts w:ascii="Arial Narrow" w:eastAsia="Arial Narrow" w:hAnsi="Arial Narrow" w:cs="Arial Narrow"/>
          <w:b/>
          <w:bCs/>
          <w:sz w:val="20"/>
          <w:szCs w:val="20"/>
        </w:rPr>
        <w:t xml:space="preserve"> in Study 2310</w:t>
      </w:r>
    </w:p>
    <w:tbl>
      <w:tblPr>
        <w:tblW w:w="0" w:type="auto"/>
        <w:tblBorders>
          <w:top w:val="single" w:sz="4" w:space="0" w:color="auto"/>
          <w:left w:val="single" w:sz="4" w:space="0" w:color="auto"/>
          <w:bottom w:val="single" w:sz="8"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1390"/>
        <w:gridCol w:w="1390"/>
        <w:gridCol w:w="1391"/>
        <w:gridCol w:w="1502"/>
        <w:gridCol w:w="1503"/>
      </w:tblGrid>
      <w:tr w:rsidR="005904EC" w:rsidTr="004D3918">
        <w:trPr>
          <w:trHeight w:val="284"/>
        </w:trPr>
        <w:tc>
          <w:tcPr>
            <w:tcW w:w="1838" w:type="dxa"/>
            <w:vAlign w:val="center"/>
          </w:tcPr>
          <w:p w:rsidR="005904EC" w:rsidRDefault="005904EC" w:rsidP="004D3918">
            <w:pPr>
              <w:keepNext/>
              <w:keepLines/>
            </w:pPr>
            <w:r w:rsidRPr="029D5890">
              <w:rPr>
                <w:rFonts w:ascii="Arial Narrow" w:eastAsia="Arial Narrow" w:hAnsi="Arial Narrow" w:cs="Arial Narrow"/>
                <w:b/>
                <w:bCs/>
                <w:sz w:val="20"/>
                <w:szCs w:val="20"/>
                <w:lang w:val="en-US"/>
              </w:rPr>
              <w:t>Trial</w:t>
            </w:r>
          </w:p>
        </w:tc>
        <w:tc>
          <w:tcPr>
            <w:tcW w:w="1390" w:type="dxa"/>
            <w:vAlign w:val="center"/>
          </w:tcPr>
          <w:p w:rsidR="005904EC" w:rsidRDefault="005904EC" w:rsidP="004D3918">
            <w:pPr>
              <w:keepNext/>
              <w:keepLines/>
              <w:spacing w:line="259" w:lineRule="auto"/>
              <w:jc w:val="center"/>
              <w:rPr>
                <w:rFonts w:ascii="Arial Narrow" w:eastAsia="Arial Narrow" w:hAnsi="Arial Narrow" w:cs="Arial Narrow"/>
                <w:b/>
                <w:bCs/>
                <w:sz w:val="20"/>
                <w:szCs w:val="20"/>
                <w:lang w:val="en-US"/>
              </w:rPr>
            </w:pPr>
            <w:r>
              <w:rPr>
                <w:rFonts w:ascii="Arial Narrow" w:eastAsia="Arial Narrow" w:hAnsi="Arial Narrow" w:cs="Arial Narrow"/>
                <w:b/>
                <w:bCs/>
                <w:sz w:val="20"/>
                <w:szCs w:val="20"/>
                <w:lang w:val="en-US"/>
              </w:rPr>
              <w:t>SKB</w:t>
            </w:r>
            <w:r w:rsidRPr="029D5890">
              <w:rPr>
                <w:rFonts w:ascii="Arial Narrow" w:eastAsia="Arial Narrow" w:hAnsi="Arial Narrow" w:cs="Arial Narrow"/>
                <w:b/>
                <w:bCs/>
                <w:sz w:val="20"/>
                <w:szCs w:val="20"/>
                <w:lang w:val="en-US"/>
              </w:rPr>
              <w:t xml:space="preserve"> LD</w:t>
            </w:r>
          </w:p>
          <w:p w:rsidR="005904EC" w:rsidRDefault="005904EC" w:rsidP="004D3918">
            <w:pPr>
              <w:keepNext/>
              <w:keepLines/>
              <w:spacing w:line="259" w:lineRule="auto"/>
              <w:jc w:val="center"/>
              <w:rPr>
                <w:rFonts w:ascii="Arial Narrow" w:eastAsia="Arial Narrow" w:hAnsi="Arial Narrow" w:cs="Arial Narrow"/>
                <w:b/>
                <w:bCs/>
                <w:sz w:val="20"/>
                <w:szCs w:val="20"/>
                <w:lang w:val="en-US"/>
              </w:rPr>
            </w:pPr>
            <w:r w:rsidRPr="029D5890">
              <w:rPr>
                <w:rFonts w:ascii="Arial Narrow" w:eastAsia="Arial Narrow" w:hAnsi="Arial Narrow" w:cs="Arial Narrow"/>
                <w:b/>
                <w:bCs/>
                <w:sz w:val="20"/>
                <w:szCs w:val="20"/>
                <w:lang w:val="en-US"/>
              </w:rPr>
              <w:t>n/N</w:t>
            </w:r>
            <w:r>
              <w:rPr>
                <w:rFonts w:ascii="Arial Narrow" w:eastAsia="Arial Narrow" w:hAnsi="Arial Narrow" w:cs="Arial Narrow"/>
                <w:b/>
                <w:bCs/>
                <w:sz w:val="20"/>
                <w:szCs w:val="20"/>
                <w:lang w:val="en-US"/>
              </w:rPr>
              <w:t xml:space="preserve"> (%)</w:t>
            </w:r>
          </w:p>
        </w:tc>
        <w:tc>
          <w:tcPr>
            <w:tcW w:w="1390" w:type="dxa"/>
            <w:vAlign w:val="center"/>
          </w:tcPr>
          <w:p w:rsidR="005904EC" w:rsidRDefault="005904EC" w:rsidP="004D3918">
            <w:pPr>
              <w:keepNext/>
              <w:keepLines/>
              <w:spacing w:line="259" w:lineRule="auto"/>
              <w:jc w:val="center"/>
              <w:rPr>
                <w:rFonts w:ascii="Arial Narrow" w:eastAsia="Arial Narrow" w:hAnsi="Arial Narrow" w:cs="Arial Narrow"/>
                <w:b/>
                <w:bCs/>
                <w:sz w:val="20"/>
                <w:szCs w:val="20"/>
                <w:lang w:val="en-US"/>
              </w:rPr>
            </w:pPr>
            <w:r>
              <w:rPr>
                <w:rFonts w:ascii="Arial Narrow" w:eastAsia="Arial Narrow" w:hAnsi="Arial Narrow" w:cs="Arial Narrow"/>
                <w:b/>
                <w:bCs/>
                <w:sz w:val="20"/>
                <w:szCs w:val="20"/>
                <w:lang w:val="en-US"/>
              </w:rPr>
              <w:t>SKB</w:t>
            </w:r>
            <w:r w:rsidRPr="029D5890">
              <w:rPr>
                <w:rFonts w:ascii="Arial Narrow" w:eastAsia="Arial Narrow" w:hAnsi="Arial Narrow" w:cs="Arial Narrow"/>
                <w:b/>
                <w:bCs/>
                <w:sz w:val="20"/>
                <w:szCs w:val="20"/>
                <w:lang w:val="en-US"/>
              </w:rPr>
              <w:t xml:space="preserve"> HD</w:t>
            </w:r>
          </w:p>
          <w:p w:rsidR="005904EC" w:rsidRDefault="005904EC" w:rsidP="004D3918">
            <w:pPr>
              <w:keepNext/>
              <w:keepLines/>
              <w:spacing w:line="259" w:lineRule="auto"/>
              <w:jc w:val="center"/>
              <w:rPr>
                <w:rFonts w:ascii="Arial Narrow" w:eastAsia="Arial Narrow" w:hAnsi="Arial Narrow" w:cs="Arial Narrow"/>
                <w:b/>
                <w:bCs/>
                <w:sz w:val="20"/>
                <w:szCs w:val="20"/>
                <w:lang w:val="en-US"/>
              </w:rPr>
            </w:pPr>
            <w:r w:rsidRPr="029D5890">
              <w:rPr>
                <w:rFonts w:ascii="Arial Narrow" w:eastAsia="Arial Narrow" w:hAnsi="Arial Narrow" w:cs="Arial Narrow"/>
                <w:b/>
                <w:bCs/>
                <w:sz w:val="20"/>
                <w:szCs w:val="20"/>
                <w:lang w:val="en-US"/>
              </w:rPr>
              <w:t>n/N</w:t>
            </w:r>
            <w:r>
              <w:rPr>
                <w:rFonts w:ascii="Arial Narrow" w:eastAsia="Arial Narrow" w:hAnsi="Arial Narrow" w:cs="Arial Narrow"/>
                <w:b/>
                <w:bCs/>
                <w:sz w:val="20"/>
                <w:szCs w:val="20"/>
                <w:lang w:val="en-US"/>
              </w:rPr>
              <w:t xml:space="preserve"> (%)</w:t>
            </w:r>
          </w:p>
        </w:tc>
        <w:tc>
          <w:tcPr>
            <w:tcW w:w="1391" w:type="dxa"/>
            <w:vAlign w:val="center"/>
          </w:tcPr>
          <w:p w:rsidR="005904EC" w:rsidRDefault="005904EC" w:rsidP="004D3918">
            <w:pPr>
              <w:keepNext/>
              <w:keepLines/>
              <w:spacing w:line="259" w:lineRule="auto"/>
              <w:jc w:val="center"/>
              <w:rPr>
                <w:rFonts w:ascii="Calibri" w:hAnsi="Calibri"/>
                <w:b/>
                <w:bCs/>
                <w:lang w:val="en-US"/>
              </w:rPr>
            </w:pPr>
            <w:r w:rsidRPr="029D5890">
              <w:rPr>
                <w:rFonts w:ascii="Arial Narrow" w:eastAsia="Arial Narrow" w:hAnsi="Arial Narrow" w:cs="Arial Narrow"/>
                <w:b/>
                <w:bCs/>
                <w:sz w:val="20"/>
                <w:szCs w:val="20"/>
                <w:lang w:val="en-US"/>
              </w:rPr>
              <w:t>Etanercept</w:t>
            </w:r>
          </w:p>
          <w:p w:rsidR="005904EC" w:rsidRDefault="005904EC" w:rsidP="004D3918">
            <w:pPr>
              <w:keepNext/>
              <w:keepLines/>
              <w:jc w:val="center"/>
              <w:rPr>
                <w:rFonts w:ascii="Arial Narrow" w:eastAsia="Arial Narrow" w:hAnsi="Arial Narrow" w:cs="Arial Narrow"/>
                <w:b/>
                <w:bCs/>
                <w:sz w:val="20"/>
                <w:szCs w:val="20"/>
                <w:lang w:val="en-US"/>
              </w:rPr>
            </w:pPr>
            <w:r w:rsidRPr="029D5890">
              <w:rPr>
                <w:rFonts w:ascii="Arial Narrow" w:eastAsia="Arial Narrow" w:hAnsi="Arial Narrow" w:cs="Arial Narrow"/>
                <w:b/>
                <w:bCs/>
                <w:sz w:val="20"/>
                <w:szCs w:val="20"/>
                <w:lang w:val="en-US"/>
              </w:rPr>
              <w:t>n/N</w:t>
            </w:r>
            <w:r>
              <w:rPr>
                <w:rFonts w:ascii="Arial Narrow" w:eastAsia="Arial Narrow" w:hAnsi="Arial Narrow" w:cs="Arial Narrow"/>
                <w:b/>
                <w:bCs/>
                <w:sz w:val="20"/>
                <w:szCs w:val="20"/>
                <w:lang w:val="en-US"/>
              </w:rPr>
              <w:t xml:space="preserve"> (%)</w:t>
            </w:r>
          </w:p>
        </w:tc>
        <w:tc>
          <w:tcPr>
            <w:tcW w:w="1502" w:type="dxa"/>
            <w:vAlign w:val="center"/>
          </w:tcPr>
          <w:p w:rsidR="005904EC" w:rsidRPr="006D54D5" w:rsidRDefault="005904EC" w:rsidP="004D3918">
            <w:pPr>
              <w:keepNext/>
              <w:keepLines/>
              <w:jc w:val="center"/>
              <w:rPr>
                <w:rFonts w:ascii="Arial Narrow" w:eastAsia="Arial Narrow" w:hAnsi="Arial Narrow" w:cs="Arial Narrow"/>
                <w:b/>
                <w:bCs/>
                <w:sz w:val="20"/>
                <w:szCs w:val="20"/>
                <w:lang w:val="en-US"/>
              </w:rPr>
            </w:pPr>
            <w:r w:rsidRPr="006D54D5">
              <w:rPr>
                <w:rFonts w:ascii="Arial Narrow" w:eastAsia="Arial Narrow" w:hAnsi="Arial Narrow" w:cs="Arial Narrow"/>
                <w:b/>
                <w:bCs/>
                <w:sz w:val="20"/>
                <w:szCs w:val="20"/>
                <w:lang w:val="en-US"/>
              </w:rPr>
              <w:t xml:space="preserve">RD (95% CI) </w:t>
            </w:r>
          </w:p>
          <w:p w:rsidR="005904EC" w:rsidRPr="006D54D5" w:rsidRDefault="005904EC" w:rsidP="004D3918">
            <w:pPr>
              <w:keepNext/>
              <w:keepLines/>
              <w:jc w:val="center"/>
              <w:rPr>
                <w:rFonts w:ascii="Arial Narrow" w:eastAsia="Arial Narrow" w:hAnsi="Arial Narrow" w:cs="Arial Narrow"/>
                <w:b/>
                <w:bCs/>
                <w:sz w:val="20"/>
                <w:szCs w:val="20"/>
                <w:lang w:val="en-US"/>
              </w:rPr>
            </w:pPr>
            <w:r w:rsidRPr="006D54D5">
              <w:rPr>
                <w:rFonts w:ascii="Arial Narrow" w:eastAsia="Arial Narrow" w:hAnsi="Arial Narrow" w:cs="Arial Narrow"/>
                <w:b/>
                <w:bCs/>
                <w:sz w:val="20"/>
                <w:szCs w:val="20"/>
                <w:lang w:val="en-US"/>
              </w:rPr>
              <w:t>SKB LD vs etanercept</w:t>
            </w:r>
            <w:r w:rsidR="006D54D5" w:rsidRPr="006D54D5">
              <w:rPr>
                <w:rFonts w:ascii="Arial Narrow" w:eastAsia="Arial Narrow" w:hAnsi="Arial Narrow" w:cs="Arial Narrow"/>
                <w:b/>
                <w:bCs/>
                <w:sz w:val="20"/>
                <w:szCs w:val="20"/>
                <w:vertAlign w:val="superscript"/>
                <w:lang w:val="en-US"/>
              </w:rPr>
              <w:t>a</w:t>
            </w:r>
          </w:p>
        </w:tc>
        <w:tc>
          <w:tcPr>
            <w:tcW w:w="1503" w:type="dxa"/>
            <w:vAlign w:val="center"/>
          </w:tcPr>
          <w:p w:rsidR="005904EC" w:rsidRPr="006D54D5" w:rsidRDefault="005904EC" w:rsidP="004D3918">
            <w:pPr>
              <w:keepNext/>
              <w:keepLines/>
              <w:jc w:val="center"/>
              <w:rPr>
                <w:rFonts w:ascii="Arial Narrow" w:eastAsia="Arial Narrow" w:hAnsi="Arial Narrow" w:cs="Arial Narrow"/>
                <w:b/>
                <w:bCs/>
                <w:sz w:val="20"/>
                <w:szCs w:val="20"/>
                <w:lang w:val="en-US"/>
              </w:rPr>
            </w:pPr>
            <w:r w:rsidRPr="006D54D5">
              <w:rPr>
                <w:rFonts w:ascii="Arial Narrow" w:eastAsia="Arial Narrow" w:hAnsi="Arial Narrow" w:cs="Arial Narrow"/>
                <w:b/>
                <w:bCs/>
                <w:sz w:val="20"/>
                <w:szCs w:val="20"/>
                <w:lang w:val="en-US"/>
              </w:rPr>
              <w:t>RD (95% CI) SKB HD vs etanercept</w:t>
            </w:r>
            <w:r w:rsidR="006D54D5" w:rsidRPr="006D54D5">
              <w:rPr>
                <w:rFonts w:ascii="Arial Narrow" w:eastAsia="Arial Narrow" w:hAnsi="Arial Narrow" w:cs="Arial Narrow"/>
                <w:b/>
                <w:bCs/>
                <w:sz w:val="20"/>
                <w:szCs w:val="20"/>
                <w:vertAlign w:val="superscript"/>
                <w:lang w:val="en-US"/>
              </w:rPr>
              <w:t>a</w:t>
            </w:r>
          </w:p>
        </w:tc>
      </w:tr>
      <w:tr w:rsidR="005904EC" w:rsidTr="004D3918">
        <w:trPr>
          <w:trHeight w:val="284"/>
        </w:trPr>
        <w:tc>
          <w:tcPr>
            <w:tcW w:w="1838" w:type="dxa"/>
            <w:vAlign w:val="center"/>
          </w:tcPr>
          <w:p w:rsidR="005904EC" w:rsidRDefault="005904EC" w:rsidP="004D3918">
            <w:pPr>
              <w:keepNext/>
              <w:keepLines/>
              <w:spacing w:line="259" w:lineRule="auto"/>
              <w:rPr>
                <w:rFonts w:ascii="Arial Narrow" w:eastAsia="Arial Narrow" w:hAnsi="Arial Narrow" w:cs="Arial Narrow"/>
                <w:sz w:val="20"/>
                <w:szCs w:val="20"/>
              </w:rPr>
            </w:pPr>
            <w:r w:rsidRPr="029D5890">
              <w:rPr>
                <w:rFonts w:ascii="Arial Narrow" w:eastAsia="Arial Narrow" w:hAnsi="Arial Narrow" w:cs="Arial Narrow"/>
                <w:b/>
                <w:bCs/>
                <w:sz w:val="20"/>
                <w:szCs w:val="20"/>
                <w:lang w:val="en-US"/>
              </w:rPr>
              <w:t>PASI 75 at Week 12</w:t>
            </w:r>
          </w:p>
        </w:tc>
        <w:tc>
          <w:tcPr>
            <w:tcW w:w="1390" w:type="dxa"/>
            <w:vAlign w:val="center"/>
          </w:tcPr>
          <w:p w:rsidR="005904EC" w:rsidRDefault="005904EC" w:rsidP="004D3918">
            <w:pPr>
              <w:keepNext/>
              <w:keepLines/>
              <w:jc w:val="center"/>
              <w:rPr>
                <w:rFonts w:ascii="Arial Narrow" w:eastAsia="Arial Narrow" w:hAnsi="Arial Narrow" w:cs="Arial Narrow"/>
                <w:sz w:val="20"/>
                <w:szCs w:val="20"/>
              </w:rPr>
            </w:pPr>
            <w:r w:rsidRPr="029D5890">
              <w:rPr>
                <w:rFonts w:ascii="Arial Narrow" w:eastAsia="Arial Narrow" w:hAnsi="Arial Narrow" w:cs="Arial Narrow"/>
                <w:sz w:val="20"/>
                <w:szCs w:val="20"/>
              </w:rPr>
              <w:t>32/40</w:t>
            </w:r>
            <w:r>
              <w:rPr>
                <w:rFonts w:ascii="Arial Narrow" w:eastAsia="Arial Narrow" w:hAnsi="Arial Narrow" w:cs="Arial Narrow"/>
                <w:sz w:val="20"/>
                <w:szCs w:val="20"/>
              </w:rPr>
              <w:t xml:space="preserve"> (</w:t>
            </w:r>
            <w:r w:rsidRPr="029D5890">
              <w:rPr>
                <w:rFonts w:ascii="Arial Narrow" w:eastAsia="Arial Narrow" w:hAnsi="Arial Narrow" w:cs="Arial Narrow"/>
                <w:sz w:val="20"/>
                <w:szCs w:val="20"/>
              </w:rPr>
              <w:t>80.0</w:t>
            </w:r>
            <w:r>
              <w:rPr>
                <w:rFonts w:ascii="Arial Narrow" w:eastAsia="Arial Narrow" w:hAnsi="Arial Narrow" w:cs="Arial Narrow"/>
                <w:sz w:val="20"/>
                <w:szCs w:val="20"/>
              </w:rPr>
              <w:t>)</w:t>
            </w:r>
          </w:p>
        </w:tc>
        <w:tc>
          <w:tcPr>
            <w:tcW w:w="1390" w:type="dxa"/>
            <w:vAlign w:val="center"/>
          </w:tcPr>
          <w:p w:rsidR="005904EC" w:rsidRDefault="005904EC" w:rsidP="004D3918">
            <w:pPr>
              <w:keepNext/>
              <w:keepLines/>
              <w:jc w:val="center"/>
              <w:rPr>
                <w:rFonts w:ascii="Arial Narrow" w:eastAsia="Arial Narrow" w:hAnsi="Arial Narrow" w:cs="Arial Narrow"/>
                <w:sz w:val="20"/>
                <w:szCs w:val="20"/>
              </w:rPr>
            </w:pPr>
            <w:r w:rsidRPr="029D5890">
              <w:rPr>
                <w:rFonts w:ascii="Arial Narrow" w:eastAsia="Arial Narrow" w:hAnsi="Arial Narrow" w:cs="Arial Narrow"/>
                <w:sz w:val="20"/>
                <w:szCs w:val="20"/>
              </w:rPr>
              <w:t>31/40</w:t>
            </w:r>
            <w:r>
              <w:rPr>
                <w:rFonts w:ascii="Arial Narrow" w:eastAsia="Arial Narrow" w:hAnsi="Arial Narrow" w:cs="Arial Narrow"/>
                <w:sz w:val="20"/>
                <w:szCs w:val="20"/>
              </w:rPr>
              <w:t xml:space="preserve"> (</w:t>
            </w:r>
            <w:r w:rsidRPr="029D5890">
              <w:rPr>
                <w:rFonts w:ascii="Arial Narrow" w:eastAsia="Arial Narrow" w:hAnsi="Arial Narrow" w:cs="Arial Narrow"/>
                <w:sz w:val="20"/>
                <w:szCs w:val="20"/>
              </w:rPr>
              <w:t>77.5</w:t>
            </w:r>
            <w:r>
              <w:rPr>
                <w:rFonts w:ascii="Arial Narrow" w:eastAsia="Arial Narrow" w:hAnsi="Arial Narrow" w:cs="Arial Narrow"/>
                <w:sz w:val="20"/>
                <w:szCs w:val="20"/>
              </w:rPr>
              <w:t>)</w:t>
            </w:r>
          </w:p>
        </w:tc>
        <w:tc>
          <w:tcPr>
            <w:tcW w:w="1391" w:type="dxa"/>
            <w:vAlign w:val="center"/>
          </w:tcPr>
          <w:p w:rsidR="005904EC" w:rsidRDefault="005904EC" w:rsidP="004D3918">
            <w:pPr>
              <w:keepNext/>
              <w:keepLines/>
              <w:jc w:val="center"/>
              <w:rPr>
                <w:rFonts w:ascii="Arial Narrow" w:eastAsia="Arial Narrow" w:hAnsi="Arial Narrow" w:cs="Arial Narrow"/>
                <w:sz w:val="20"/>
                <w:szCs w:val="20"/>
              </w:rPr>
            </w:pPr>
            <w:r w:rsidRPr="029D5890">
              <w:rPr>
                <w:rFonts w:ascii="Arial Narrow" w:eastAsia="Arial Narrow" w:hAnsi="Arial Narrow" w:cs="Arial Narrow"/>
                <w:sz w:val="20"/>
                <w:szCs w:val="20"/>
              </w:rPr>
              <w:t>26/41</w:t>
            </w:r>
            <w:r>
              <w:rPr>
                <w:rFonts w:ascii="Arial Narrow" w:eastAsia="Arial Narrow" w:hAnsi="Arial Narrow" w:cs="Arial Narrow"/>
                <w:sz w:val="20"/>
                <w:szCs w:val="20"/>
              </w:rPr>
              <w:t xml:space="preserve"> (</w:t>
            </w:r>
            <w:r w:rsidRPr="029D5890">
              <w:rPr>
                <w:rFonts w:ascii="Arial Narrow" w:eastAsia="Arial Narrow" w:hAnsi="Arial Narrow" w:cs="Arial Narrow"/>
                <w:sz w:val="20"/>
                <w:szCs w:val="20"/>
              </w:rPr>
              <w:t>63.4</w:t>
            </w:r>
            <w:r>
              <w:rPr>
                <w:rFonts w:ascii="Arial Narrow" w:eastAsia="Arial Narrow" w:hAnsi="Arial Narrow" w:cs="Arial Narrow"/>
                <w:sz w:val="20"/>
                <w:szCs w:val="20"/>
              </w:rPr>
              <w:t>)</w:t>
            </w:r>
          </w:p>
        </w:tc>
        <w:tc>
          <w:tcPr>
            <w:tcW w:w="1502" w:type="dxa"/>
            <w:vAlign w:val="center"/>
          </w:tcPr>
          <w:p w:rsidR="005904EC" w:rsidRPr="006D54D5" w:rsidRDefault="005904EC" w:rsidP="004D3918">
            <w:pPr>
              <w:keepNext/>
              <w:keepLines/>
              <w:jc w:val="center"/>
              <w:rPr>
                <w:rFonts w:ascii="Arial Narrow" w:eastAsia="Arial Narrow" w:hAnsi="Arial Narrow" w:cs="Arial Narrow"/>
                <w:sz w:val="20"/>
                <w:szCs w:val="20"/>
              </w:rPr>
            </w:pPr>
            <w:r w:rsidRPr="006D54D5">
              <w:rPr>
                <w:rFonts w:ascii="Arial Narrow" w:eastAsia="Arial Narrow" w:hAnsi="Arial Narrow" w:cs="Arial Narrow"/>
                <w:sz w:val="20"/>
                <w:szCs w:val="20"/>
              </w:rPr>
              <w:t>0.17 (-0.03, 0.36)</w:t>
            </w:r>
          </w:p>
        </w:tc>
        <w:tc>
          <w:tcPr>
            <w:tcW w:w="1503" w:type="dxa"/>
            <w:vAlign w:val="center"/>
          </w:tcPr>
          <w:p w:rsidR="005904EC" w:rsidRPr="006D54D5" w:rsidRDefault="005904EC" w:rsidP="004D3918">
            <w:pPr>
              <w:keepNext/>
              <w:keepLines/>
              <w:jc w:val="center"/>
              <w:rPr>
                <w:rFonts w:ascii="Arial Narrow" w:eastAsia="Arial Narrow" w:hAnsi="Arial Narrow" w:cs="Arial Narrow"/>
                <w:sz w:val="20"/>
                <w:szCs w:val="20"/>
              </w:rPr>
            </w:pPr>
            <w:r w:rsidRPr="006D54D5">
              <w:rPr>
                <w:rFonts w:ascii="Arial Narrow" w:eastAsia="Arial Narrow" w:hAnsi="Arial Narrow" w:cs="Arial Narrow"/>
                <w:sz w:val="20"/>
                <w:szCs w:val="20"/>
              </w:rPr>
              <w:t>0.14 (-0.06, 0.34)</w:t>
            </w:r>
          </w:p>
        </w:tc>
      </w:tr>
      <w:tr w:rsidR="005904EC" w:rsidTr="004D3918">
        <w:trPr>
          <w:trHeight w:val="284"/>
        </w:trPr>
        <w:tc>
          <w:tcPr>
            <w:tcW w:w="1838" w:type="dxa"/>
            <w:vAlign w:val="center"/>
          </w:tcPr>
          <w:p w:rsidR="005904EC" w:rsidRDefault="005904EC" w:rsidP="004D3918">
            <w:pPr>
              <w:keepNext/>
              <w:keepLines/>
              <w:rPr>
                <w:rFonts w:ascii="Arial Narrow" w:eastAsia="Arial Narrow" w:hAnsi="Arial Narrow" w:cs="Arial Narrow"/>
                <w:sz w:val="20"/>
                <w:szCs w:val="20"/>
              </w:rPr>
            </w:pPr>
            <w:r w:rsidRPr="6A8F74B3">
              <w:rPr>
                <w:rFonts w:ascii="Arial Narrow" w:eastAsia="Arial Narrow" w:hAnsi="Arial Narrow" w:cs="Arial Narrow"/>
                <w:b/>
                <w:bCs/>
                <w:sz w:val="20"/>
                <w:szCs w:val="20"/>
              </w:rPr>
              <w:t>IGA 0/1 at Week 12</w:t>
            </w:r>
          </w:p>
        </w:tc>
        <w:tc>
          <w:tcPr>
            <w:tcW w:w="1390" w:type="dxa"/>
            <w:vAlign w:val="center"/>
          </w:tcPr>
          <w:p w:rsidR="005904EC" w:rsidRDefault="005904EC" w:rsidP="004D3918">
            <w:pPr>
              <w:keepNext/>
              <w:keepLines/>
              <w:jc w:val="center"/>
              <w:rPr>
                <w:rFonts w:ascii="Arial Narrow" w:eastAsia="Arial Narrow" w:hAnsi="Arial Narrow" w:cs="Arial Narrow"/>
                <w:sz w:val="20"/>
                <w:szCs w:val="20"/>
              </w:rPr>
            </w:pPr>
            <w:r w:rsidRPr="029D5890">
              <w:rPr>
                <w:rFonts w:ascii="Arial Narrow" w:eastAsia="Arial Narrow" w:hAnsi="Arial Narrow" w:cs="Arial Narrow"/>
                <w:sz w:val="20"/>
                <w:szCs w:val="20"/>
              </w:rPr>
              <w:t>28/40</w:t>
            </w:r>
            <w:r>
              <w:rPr>
                <w:rFonts w:ascii="Arial Narrow" w:eastAsia="Arial Narrow" w:hAnsi="Arial Narrow" w:cs="Arial Narrow"/>
                <w:sz w:val="20"/>
                <w:szCs w:val="20"/>
              </w:rPr>
              <w:t xml:space="preserve"> (</w:t>
            </w:r>
            <w:r w:rsidRPr="029D5890">
              <w:rPr>
                <w:rFonts w:ascii="Arial Narrow" w:eastAsia="Arial Narrow" w:hAnsi="Arial Narrow" w:cs="Arial Narrow"/>
                <w:sz w:val="20"/>
                <w:szCs w:val="20"/>
              </w:rPr>
              <w:t>70.0</w:t>
            </w:r>
            <w:r>
              <w:rPr>
                <w:rFonts w:ascii="Arial Narrow" w:eastAsia="Arial Narrow" w:hAnsi="Arial Narrow" w:cs="Arial Narrow"/>
                <w:sz w:val="20"/>
                <w:szCs w:val="20"/>
              </w:rPr>
              <w:t>)</w:t>
            </w:r>
          </w:p>
        </w:tc>
        <w:tc>
          <w:tcPr>
            <w:tcW w:w="1390" w:type="dxa"/>
            <w:vAlign w:val="center"/>
          </w:tcPr>
          <w:p w:rsidR="005904EC" w:rsidRDefault="005904EC" w:rsidP="004D3918">
            <w:pPr>
              <w:keepNext/>
              <w:keepLines/>
              <w:jc w:val="center"/>
              <w:rPr>
                <w:rFonts w:ascii="Arial Narrow" w:eastAsia="Arial Narrow" w:hAnsi="Arial Narrow" w:cs="Arial Narrow"/>
                <w:sz w:val="20"/>
                <w:szCs w:val="20"/>
              </w:rPr>
            </w:pPr>
            <w:r w:rsidRPr="029D5890">
              <w:rPr>
                <w:rFonts w:ascii="Arial Narrow" w:eastAsia="Arial Narrow" w:hAnsi="Arial Narrow" w:cs="Arial Narrow"/>
                <w:sz w:val="20"/>
                <w:szCs w:val="20"/>
              </w:rPr>
              <w:t>24/40</w:t>
            </w:r>
            <w:r>
              <w:rPr>
                <w:rFonts w:ascii="Arial Narrow" w:eastAsia="Arial Narrow" w:hAnsi="Arial Narrow" w:cs="Arial Narrow"/>
                <w:sz w:val="20"/>
                <w:szCs w:val="20"/>
              </w:rPr>
              <w:t xml:space="preserve"> (</w:t>
            </w:r>
            <w:r w:rsidRPr="029D5890">
              <w:rPr>
                <w:rFonts w:ascii="Arial Narrow" w:eastAsia="Arial Narrow" w:hAnsi="Arial Narrow" w:cs="Arial Narrow"/>
                <w:sz w:val="20"/>
                <w:szCs w:val="20"/>
              </w:rPr>
              <w:t>60.0</w:t>
            </w:r>
            <w:r>
              <w:rPr>
                <w:rFonts w:ascii="Arial Narrow" w:eastAsia="Arial Narrow" w:hAnsi="Arial Narrow" w:cs="Arial Narrow"/>
                <w:sz w:val="20"/>
                <w:szCs w:val="20"/>
              </w:rPr>
              <w:t>)</w:t>
            </w:r>
          </w:p>
        </w:tc>
        <w:tc>
          <w:tcPr>
            <w:tcW w:w="1391" w:type="dxa"/>
            <w:vAlign w:val="center"/>
          </w:tcPr>
          <w:p w:rsidR="005904EC" w:rsidRDefault="005904EC" w:rsidP="004D3918">
            <w:pPr>
              <w:keepNext/>
              <w:keepLines/>
              <w:jc w:val="center"/>
              <w:rPr>
                <w:rFonts w:ascii="Arial Narrow" w:eastAsia="Arial Narrow" w:hAnsi="Arial Narrow" w:cs="Arial Narrow"/>
                <w:sz w:val="20"/>
                <w:szCs w:val="20"/>
              </w:rPr>
            </w:pPr>
            <w:r w:rsidRPr="029D5890">
              <w:rPr>
                <w:rFonts w:ascii="Arial Narrow" w:eastAsia="Arial Narrow" w:hAnsi="Arial Narrow" w:cs="Arial Narrow"/>
                <w:sz w:val="20"/>
                <w:szCs w:val="20"/>
              </w:rPr>
              <w:t>14/41</w:t>
            </w:r>
            <w:r>
              <w:rPr>
                <w:rFonts w:ascii="Arial Narrow" w:eastAsia="Arial Narrow" w:hAnsi="Arial Narrow" w:cs="Arial Narrow"/>
                <w:sz w:val="20"/>
                <w:szCs w:val="20"/>
              </w:rPr>
              <w:t xml:space="preserve"> (</w:t>
            </w:r>
            <w:r w:rsidRPr="029D5890">
              <w:rPr>
                <w:rFonts w:ascii="Arial Narrow" w:eastAsia="Arial Narrow" w:hAnsi="Arial Narrow" w:cs="Arial Narrow"/>
                <w:sz w:val="20"/>
                <w:szCs w:val="20"/>
              </w:rPr>
              <w:t>34.1</w:t>
            </w:r>
            <w:r>
              <w:rPr>
                <w:rFonts w:ascii="Arial Narrow" w:eastAsia="Arial Narrow" w:hAnsi="Arial Narrow" w:cs="Arial Narrow"/>
                <w:sz w:val="20"/>
                <w:szCs w:val="20"/>
              </w:rPr>
              <w:t>)</w:t>
            </w:r>
          </w:p>
        </w:tc>
        <w:tc>
          <w:tcPr>
            <w:tcW w:w="1502" w:type="dxa"/>
            <w:vAlign w:val="center"/>
          </w:tcPr>
          <w:p w:rsidR="005904EC" w:rsidRPr="006D54D5" w:rsidRDefault="005904EC" w:rsidP="004D3918">
            <w:pPr>
              <w:keepNext/>
              <w:keepLines/>
              <w:jc w:val="center"/>
              <w:rPr>
                <w:rFonts w:ascii="Arial Narrow" w:eastAsia="Arial Narrow" w:hAnsi="Arial Narrow" w:cs="Arial Narrow"/>
                <w:b/>
                <w:bCs/>
                <w:sz w:val="20"/>
                <w:szCs w:val="20"/>
              </w:rPr>
            </w:pPr>
            <w:r w:rsidRPr="006D54D5">
              <w:rPr>
                <w:rFonts w:ascii="Arial Narrow" w:eastAsia="Arial Narrow" w:hAnsi="Arial Narrow" w:cs="Arial Narrow"/>
                <w:b/>
                <w:bCs/>
                <w:color w:val="000000" w:themeColor="text1"/>
                <w:sz w:val="20"/>
                <w:szCs w:val="20"/>
              </w:rPr>
              <w:t>0.36 (0.16, 0.56)</w:t>
            </w:r>
          </w:p>
        </w:tc>
        <w:tc>
          <w:tcPr>
            <w:tcW w:w="1503" w:type="dxa"/>
            <w:vAlign w:val="center"/>
          </w:tcPr>
          <w:p w:rsidR="005904EC" w:rsidRPr="006D54D5" w:rsidRDefault="005904EC" w:rsidP="004D3918">
            <w:pPr>
              <w:keepNext/>
              <w:keepLines/>
              <w:jc w:val="center"/>
              <w:rPr>
                <w:rFonts w:ascii="Arial Narrow" w:eastAsia="Arial Narrow" w:hAnsi="Arial Narrow" w:cs="Arial Narrow"/>
                <w:b/>
                <w:bCs/>
                <w:sz w:val="20"/>
                <w:szCs w:val="20"/>
              </w:rPr>
            </w:pPr>
            <w:r w:rsidRPr="006D54D5">
              <w:rPr>
                <w:rFonts w:ascii="Arial Narrow" w:eastAsia="Arial Narrow" w:hAnsi="Arial Narrow" w:cs="Arial Narrow"/>
                <w:b/>
                <w:bCs/>
                <w:color w:val="000000" w:themeColor="text1"/>
                <w:sz w:val="20"/>
                <w:szCs w:val="20"/>
              </w:rPr>
              <w:t>0.26 (0.05, 0.47)</w:t>
            </w:r>
          </w:p>
        </w:tc>
      </w:tr>
      <w:tr w:rsidR="005904EC" w:rsidTr="004D3918">
        <w:trPr>
          <w:trHeight w:val="284"/>
        </w:trPr>
        <w:tc>
          <w:tcPr>
            <w:tcW w:w="1838" w:type="dxa"/>
            <w:vAlign w:val="center"/>
          </w:tcPr>
          <w:p w:rsidR="005904EC" w:rsidRDefault="005904EC" w:rsidP="004D3918">
            <w:pPr>
              <w:keepNext/>
              <w:keepLines/>
              <w:rPr>
                <w:rFonts w:ascii="Arial Narrow" w:eastAsia="Arial Narrow" w:hAnsi="Arial Narrow" w:cs="Arial Narrow"/>
                <w:sz w:val="20"/>
                <w:szCs w:val="20"/>
              </w:rPr>
            </w:pPr>
            <w:r>
              <w:rPr>
                <w:rFonts w:ascii="Arial Narrow" w:eastAsia="Arial Narrow" w:hAnsi="Arial Narrow" w:cs="Arial Narrow"/>
                <w:b/>
                <w:bCs/>
                <w:sz w:val="20"/>
                <w:szCs w:val="20"/>
              </w:rPr>
              <w:t>PASI 75 at W</w:t>
            </w:r>
            <w:r w:rsidRPr="6A8F74B3">
              <w:rPr>
                <w:rFonts w:ascii="Arial Narrow" w:eastAsia="Arial Narrow" w:hAnsi="Arial Narrow" w:cs="Arial Narrow"/>
                <w:b/>
                <w:bCs/>
                <w:sz w:val="20"/>
                <w:szCs w:val="20"/>
              </w:rPr>
              <w:t>eek 52</w:t>
            </w:r>
          </w:p>
        </w:tc>
        <w:tc>
          <w:tcPr>
            <w:tcW w:w="1390" w:type="dxa"/>
            <w:vAlign w:val="center"/>
          </w:tcPr>
          <w:p w:rsidR="005904EC" w:rsidRDefault="005904EC" w:rsidP="004D3918">
            <w:pPr>
              <w:keepNext/>
              <w:keepLines/>
              <w:jc w:val="center"/>
              <w:rPr>
                <w:rFonts w:ascii="Arial Narrow" w:eastAsia="Arial Narrow" w:hAnsi="Arial Narrow" w:cs="Arial Narrow"/>
                <w:sz w:val="20"/>
                <w:szCs w:val="20"/>
              </w:rPr>
            </w:pPr>
            <w:r w:rsidRPr="029D5890">
              <w:rPr>
                <w:rFonts w:ascii="Arial Narrow" w:eastAsia="Arial Narrow" w:hAnsi="Arial Narrow" w:cs="Arial Narrow"/>
                <w:sz w:val="20"/>
                <w:szCs w:val="20"/>
              </w:rPr>
              <w:t>35/40</w:t>
            </w:r>
            <w:r>
              <w:rPr>
                <w:rFonts w:ascii="Arial Narrow" w:eastAsia="Arial Narrow" w:hAnsi="Arial Narrow" w:cs="Arial Narrow"/>
                <w:sz w:val="20"/>
                <w:szCs w:val="20"/>
              </w:rPr>
              <w:t xml:space="preserve"> (</w:t>
            </w:r>
            <w:r w:rsidRPr="029D5890">
              <w:rPr>
                <w:rFonts w:ascii="Arial Narrow" w:eastAsia="Arial Narrow" w:hAnsi="Arial Narrow" w:cs="Arial Narrow"/>
                <w:sz w:val="20"/>
                <w:szCs w:val="20"/>
              </w:rPr>
              <w:t>87.5</w:t>
            </w:r>
            <w:r>
              <w:rPr>
                <w:rFonts w:ascii="Arial Narrow" w:eastAsia="Arial Narrow" w:hAnsi="Arial Narrow" w:cs="Arial Narrow"/>
                <w:sz w:val="20"/>
                <w:szCs w:val="20"/>
              </w:rPr>
              <w:t>)</w:t>
            </w:r>
          </w:p>
        </w:tc>
        <w:tc>
          <w:tcPr>
            <w:tcW w:w="1390" w:type="dxa"/>
            <w:vAlign w:val="center"/>
          </w:tcPr>
          <w:p w:rsidR="005904EC" w:rsidRDefault="005904EC" w:rsidP="004D3918">
            <w:pPr>
              <w:keepNext/>
              <w:keepLines/>
              <w:jc w:val="center"/>
              <w:rPr>
                <w:rFonts w:ascii="Arial Narrow" w:eastAsia="Arial Narrow" w:hAnsi="Arial Narrow" w:cs="Arial Narrow"/>
                <w:sz w:val="20"/>
                <w:szCs w:val="20"/>
              </w:rPr>
            </w:pPr>
            <w:r w:rsidRPr="029D5890">
              <w:rPr>
                <w:rFonts w:ascii="Arial Narrow" w:eastAsia="Arial Narrow" w:hAnsi="Arial Narrow" w:cs="Arial Narrow"/>
                <w:sz w:val="20"/>
                <w:szCs w:val="20"/>
              </w:rPr>
              <w:t>35/40</w:t>
            </w:r>
            <w:r>
              <w:rPr>
                <w:rFonts w:ascii="Arial Narrow" w:eastAsia="Arial Narrow" w:hAnsi="Arial Narrow" w:cs="Arial Narrow"/>
                <w:sz w:val="20"/>
                <w:szCs w:val="20"/>
              </w:rPr>
              <w:t xml:space="preserve"> (</w:t>
            </w:r>
            <w:r w:rsidRPr="029D5890">
              <w:rPr>
                <w:rFonts w:ascii="Arial Narrow" w:eastAsia="Arial Narrow" w:hAnsi="Arial Narrow" w:cs="Arial Narrow"/>
                <w:sz w:val="20"/>
                <w:szCs w:val="20"/>
              </w:rPr>
              <w:t>87.5</w:t>
            </w:r>
            <w:r>
              <w:rPr>
                <w:rFonts w:ascii="Arial Narrow" w:eastAsia="Arial Narrow" w:hAnsi="Arial Narrow" w:cs="Arial Narrow"/>
                <w:sz w:val="20"/>
                <w:szCs w:val="20"/>
              </w:rPr>
              <w:t>)</w:t>
            </w:r>
          </w:p>
        </w:tc>
        <w:tc>
          <w:tcPr>
            <w:tcW w:w="1391" w:type="dxa"/>
            <w:vAlign w:val="center"/>
          </w:tcPr>
          <w:p w:rsidR="005904EC" w:rsidRDefault="005904EC" w:rsidP="004D3918">
            <w:pPr>
              <w:keepNext/>
              <w:keepLines/>
              <w:jc w:val="center"/>
              <w:rPr>
                <w:rFonts w:ascii="Arial Narrow" w:eastAsia="Arial Narrow" w:hAnsi="Arial Narrow" w:cs="Arial Narrow"/>
                <w:sz w:val="20"/>
                <w:szCs w:val="20"/>
              </w:rPr>
            </w:pPr>
            <w:r w:rsidRPr="029D5890">
              <w:rPr>
                <w:rFonts w:ascii="Arial Narrow" w:eastAsia="Arial Narrow" w:hAnsi="Arial Narrow" w:cs="Arial Narrow"/>
                <w:sz w:val="20"/>
                <w:szCs w:val="20"/>
              </w:rPr>
              <w:t>28/41</w:t>
            </w:r>
            <w:r>
              <w:rPr>
                <w:rFonts w:ascii="Arial Narrow" w:eastAsia="Arial Narrow" w:hAnsi="Arial Narrow" w:cs="Arial Narrow"/>
                <w:sz w:val="20"/>
                <w:szCs w:val="20"/>
              </w:rPr>
              <w:t xml:space="preserve"> (</w:t>
            </w:r>
            <w:r w:rsidRPr="029D5890">
              <w:rPr>
                <w:rFonts w:ascii="Arial Narrow" w:eastAsia="Arial Narrow" w:hAnsi="Arial Narrow" w:cs="Arial Narrow"/>
                <w:sz w:val="20"/>
                <w:szCs w:val="20"/>
              </w:rPr>
              <w:t>68.29</w:t>
            </w:r>
            <w:r>
              <w:rPr>
                <w:rFonts w:ascii="Arial Narrow" w:eastAsia="Arial Narrow" w:hAnsi="Arial Narrow" w:cs="Arial Narrow"/>
                <w:sz w:val="20"/>
                <w:szCs w:val="20"/>
              </w:rPr>
              <w:t>)</w:t>
            </w:r>
          </w:p>
        </w:tc>
        <w:tc>
          <w:tcPr>
            <w:tcW w:w="1502" w:type="dxa"/>
            <w:vAlign w:val="center"/>
          </w:tcPr>
          <w:p w:rsidR="005904EC" w:rsidRPr="006D54D5" w:rsidRDefault="005904EC" w:rsidP="004D3918">
            <w:pPr>
              <w:keepNext/>
              <w:keepLines/>
              <w:jc w:val="center"/>
              <w:rPr>
                <w:rFonts w:ascii="Arial Narrow" w:eastAsia="Arial Narrow" w:hAnsi="Arial Narrow" w:cs="Arial Narrow"/>
                <w:b/>
                <w:sz w:val="20"/>
                <w:szCs w:val="20"/>
              </w:rPr>
            </w:pPr>
            <w:r w:rsidRPr="006D54D5">
              <w:rPr>
                <w:rFonts w:ascii="Arial Narrow" w:eastAsia="Arial Narrow" w:hAnsi="Arial Narrow" w:cs="Arial Narrow"/>
                <w:b/>
                <w:color w:val="000000" w:themeColor="text1"/>
                <w:sz w:val="20"/>
                <w:szCs w:val="20"/>
              </w:rPr>
              <w:t>0.19 (0.02, 0.37)</w:t>
            </w:r>
          </w:p>
        </w:tc>
        <w:tc>
          <w:tcPr>
            <w:tcW w:w="1503" w:type="dxa"/>
            <w:vAlign w:val="center"/>
          </w:tcPr>
          <w:p w:rsidR="005904EC" w:rsidRPr="006D54D5" w:rsidRDefault="005904EC" w:rsidP="004D3918">
            <w:pPr>
              <w:keepNext/>
              <w:keepLines/>
              <w:jc w:val="center"/>
              <w:rPr>
                <w:rFonts w:ascii="Arial Narrow" w:eastAsia="Arial Narrow" w:hAnsi="Arial Narrow" w:cs="Arial Narrow"/>
                <w:b/>
                <w:sz w:val="20"/>
                <w:szCs w:val="20"/>
              </w:rPr>
            </w:pPr>
            <w:r w:rsidRPr="006D54D5">
              <w:rPr>
                <w:rFonts w:ascii="Arial Narrow" w:eastAsia="Arial Narrow" w:hAnsi="Arial Narrow" w:cs="Arial Narrow"/>
                <w:b/>
                <w:color w:val="000000" w:themeColor="text1"/>
                <w:sz w:val="20"/>
                <w:szCs w:val="20"/>
              </w:rPr>
              <w:t>0.19 (0.02, 0.37)</w:t>
            </w:r>
          </w:p>
        </w:tc>
      </w:tr>
      <w:tr w:rsidR="005904EC" w:rsidTr="004D3918">
        <w:trPr>
          <w:trHeight w:val="284"/>
        </w:trPr>
        <w:tc>
          <w:tcPr>
            <w:tcW w:w="1838" w:type="dxa"/>
            <w:vAlign w:val="center"/>
          </w:tcPr>
          <w:p w:rsidR="005904EC" w:rsidRDefault="005904EC" w:rsidP="004D3918">
            <w:pPr>
              <w:keepNext/>
              <w:keepLines/>
              <w:rPr>
                <w:rFonts w:ascii="Arial Narrow" w:eastAsia="Arial Narrow" w:hAnsi="Arial Narrow" w:cs="Arial Narrow"/>
                <w:sz w:val="20"/>
                <w:szCs w:val="20"/>
              </w:rPr>
            </w:pPr>
            <w:r>
              <w:rPr>
                <w:rFonts w:ascii="Arial Narrow" w:eastAsia="Arial Narrow" w:hAnsi="Arial Narrow" w:cs="Arial Narrow"/>
                <w:b/>
                <w:bCs/>
                <w:sz w:val="20"/>
                <w:szCs w:val="20"/>
              </w:rPr>
              <w:t>IGA 0/1 at W</w:t>
            </w:r>
            <w:r w:rsidRPr="6A8F74B3">
              <w:rPr>
                <w:rFonts w:ascii="Arial Narrow" w:eastAsia="Arial Narrow" w:hAnsi="Arial Narrow" w:cs="Arial Narrow"/>
                <w:b/>
                <w:bCs/>
                <w:sz w:val="20"/>
                <w:szCs w:val="20"/>
              </w:rPr>
              <w:t>eek 52</w:t>
            </w:r>
          </w:p>
        </w:tc>
        <w:tc>
          <w:tcPr>
            <w:tcW w:w="1390" w:type="dxa"/>
            <w:vAlign w:val="center"/>
          </w:tcPr>
          <w:p w:rsidR="005904EC" w:rsidRDefault="005904EC" w:rsidP="004D3918">
            <w:pPr>
              <w:keepNext/>
              <w:keepLines/>
              <w:jc w:val="center"/>
              <w:rPr>
                <w:rFonts w:ascii="Arial Narrow" w:eastAsia="Arial Narrow" w:hAnsi="Arial Narrow" w:cs="Arial Narrow"/>
                <w:sz w:val="20"/>
                <w:szCs w:val="20"/>
              </w:rPr>
            </w:pPr>
            <w:r w:rsidRPr="029D5890">
              <w:rPr>
                <w:rFonts w:ascii="Arial Narrow" w:eastAsia="Arial Narrow" w:hAnsi="Arial Narrow" w:cs="Arial Narrow"/>
                <w:sz w:val="20"/>
                <w:szCs w:val="20"/>
              </w:rPr>
              <w:t>29/40</w:t>
            </w:r>
            <w:r>
              <w:rPr>
                <w:rFonts w:ascii="Arial Narrow" w:eastAsia="Arial Narrow" w:hAnsi="Arial Narrow" w:cs="Arial Narrow"/>
                <w:sz w:val="20"/>
                <w:szCs w:val="20"/>
              </w:rPr>
              <w:t xml:space="preserve"> (</w:t>
            </w:r>
            <w:r w:rsidRPr="029D5890">
              <w:rPr>
                <w:rFonts w:ascii="Arial Narrow" w:eastAsia="Arial Narrow" w:hAnsi="Arial Narrow" w:cs="Arial Narrow"/>
                <w:sz w:val="20"/>
                <w:szCs w:val="20"/>
              </w:rPr>
              <w:t>72.5</w:t>
            </w:r>
            <w:r>
              <w:rPr>
                <w:rFonts w:ascii="Arial Narrow" w:eastAsia="Arial Narrow" w:hAnsi="Arial Narrow" w:cs="Arial Narrow"/>
                <w:sz w:val="20"/>
                <w:szCs w:val="20"/>
              </w:rPr>
              <w:t>)</w:t>
            </w:r>
          </w:p>
        </w:tc>
        <w:tc>
          <w:tcPr>
            <w:tcW w:w="1390" w:type="dxa"/>
            <w:vAlign w:val="center"/>
          </w:tcPr>
          <w:p w:rsidR="005904EC" w:rsidRDefault="005904EC" w:rsidP="004D3918">
            <w:pPr>
              <w:keepNext/>
              <w:keepLines/>
              <w:jc w:val="center"/>
              <w:rPr>
                <w:rFonts w:ascii="Arial Narrow" w:eastAsia="Arial Narrow" w:hAnsi="Arial Narrow" w:cs="Arial Narrow"/>
                <w:sz w:val="20"/>
                <w:szCs w:val="20"/>
              </w:rPr>
            </w:pPr>
            <w:r w:rsidRPr="029D5890">
              <w:rPr>
                <w:rFonts w:ascii="Arial Narrow" w:eastAsia="Arial Narrow" w:hAnsi="Arial Narrow" w:cs="Arial Narrow"/>
                <w:sz w:val="20"/>
                <w:szCs w:val="20"/>
              </w:rPr>
              <w:t>30/40</w:t>
            </w:r>
            <w:r>
              <w:rPr>
                <w:rFonts w:ascii="Arial Narrow" w:eastAsia="Arial Narrow" w:hAnsi="Arial Narrow" w:cs="Arial Narrow"/>
                <w:sz w:val="20"/>
                <w:szCs w:val="20"/>
              </w:rPr>
              <w:t xml:space="preserve"> (</w:t>
            </w:r>
            <w:r w:rsidRPr="029D5890">
              <w:rPr>
                <w:rFonts w:ascii="Arial Narrow" w:eastAsia="Arial Narrow" w:hAnsi="Arial Narrow" w:cs="Arial Narrow"/>
                <w:sz w:val="20"/>
                <w:szCs w:val="20"/>
              </w:rPr>
              <w:t>75.0</w:t>
            </w:r>
            <w:r>
              <w:rPr>
                <w:rFonts w:ascii="Arial Narrow" w:eastAsia="Arial Narrow" w:hAnsi="Arial Narrow" w:cs="Arial Narrow"/>
                <w:sz w:val="20"/>
                <w:szCs w:val="20"/>
              </w:rPr>
              <w:t>)</w:t>
            </w:r>
          </w:p>
        </w:tc>
        <w:tc>
          <w:tcPr>
            <w:tcW w:w="1391" w:type="dxa"/>
            <w:vAlign w:val="center"/>
          </w:tcPr>
          <w:p w:rsidR="005904EC" w:rsidRDefault="005904EC" w:rsidP="004D3918">
            <w:pPr>
              <w:keepNext/>
              <w:keepLines/>
              <w:jc w:val="center"/>
              <w:rPr>
                <w:rFonts w:ascii="Arial Narrow" w:eastAsia="Arial Narrow" w:hAnsi="Arial Narrow" w:cs="Arial Narrow"/>
                <w:sz w:val="20"/>
                <w:szCs w:val="20"/>
              </w:rPr>
            </w:pPr>
            <w:r w:rsidRPr="029D5890">
              <w:rPr>
                <w:rFonts w:ascii="Arial Narrow" w:eastAsia="Arial Narrow" w:hAnsi="Arial Narrow" w:cs="Arial Narrow"/>
                <w:sz w:val="20"/>
                <w:szCs w:val="20"/>
              </w:rPr>
              <w:t>23/41</w:t>
            </w:r>
            <w:r>
              <w:rPr>
                <w:rFonts w:ascii="Arial Narrow" w:eastAsia="Arial Narrow" w:hAnsi="Arial Narrow" w:cs="Arial Narrow"/>
                <w:sz w:val="20"/>
                <w:szCs w:val="20"/>
              </w:rPr>
              <w:t xml:space="preserve"> (</w:t>
            </w:r>
            <w:r w:rsidRPr="029D5890">
              <w:rPr>
                <w:rFonts w:ascii="Arial Narrow" w:eastAsia="Arial Narrow" w:hAnsi="Arial Narrow" w:cs="Arial Narrow"/>
                <w:sz w:val="20"/>
                <w:szCs w:val="20"/>
              </w:rPr>
              <w:t>56.1</w:t>
            </w:r>
            <w:r>
              <w:rPr>
                <w:rFonts w:ascii="Arial Narrow" w:eastAsia="Arial Narrow" w:hAnsi="Arial Narrow" w:cs="Arial Narrow"/>
                <w:sz w:val="20"/>
                <w:szCs w:val="20"/>
              </w:rPr>
              <w:t>)</w:t>
            </w:r>
          </w:p>
        </w:tc>
        <w:tc>
          <w:tcPr>
            <w:tcW w:w="1502" w:type="dxa"/>
            <w:vAlign w:val="center"/>
          </w:tcPr>
          <w:p w:rsidR="005904EC" w:rsidRPr="006D54D5" w:rsidRDefault="005904EC" w:rsidP="004D3918">
            <w:pPr>
              <w:keepNext/>
              <w:keepLines/>
              <w:jc w:val="center"/>
              <w:rPr>
                <w:rFonts w:ascii="Arial Narrow" w:eastAsia="Arial Narrow" w:hAnsi="Arial Narrow" w:cs="Arial Narrow"/>
                <w:sz w:val="20"/>
                <w:szCs w:val="20"/>
              </w:rPr>
            </w:pPr>
            <w:r w:rsidRPr="006D54D5">
              <w:rPr>
                <w:rFonts w:ascii="Arial Narrow" w:eastAsia="Arial Narrow" w:hAnsi="Arial Narrow" w:cs="Arial Narrow"/>
                <w:color w:val="000000" w:themeColor="text1"/>
                <w:sz w:val="20"/>
                <w:szCs w:val="20"/>
              </w:rPr>
              <w:t>0.16 (-0.04, 0.37)</w:t>
            </w:r>
          </w:p>
        </w:tc>
        <w:tc>
          <w:tcPr>
            <w:tcW w:w="1503" w:type="dxa"/>
            <w:vAlign w:val="center"/>
          </w:tcPr>
          <w:p w:rsidR="005904EC" w:rsidRPr="006D54D5" w:rsidRDefault="005904EC" w:rsidP="004D3918">
            <w:pPr>
              <w:keepNext/>
              <w:keepLines/>
              <w:jc w:val="center"/>
              <w:rPr>
                <w:rFonts w:ascii="Arial Narrow" w:eastAsia="Arial Narrow" w:hAnsi="Arial Narrow" w:cs="Arial Narrow"/>
                <w:sz w:val="20"/>
                <w:szCs w:val="20"/>
              </w:rPr>
            </w:pPr>
            <w:r w:rsidRPr="006D54D5">
              <w:rPr>
                <w:rFonts w:ascii="Arial Narrow" w:eastAsia="Arial Narrow" w:hAnsi="Arial Narrow" w:cs="Arial Narrow"/>
                <w:color w:val="000000" w:themeColor="text1"/>
                <w:sz w:val="20"/>
                <w:szCs w:val="20"/>
              </w:rPr>
              <w:t>0.19 (-0.01, 0.39)</w:t>
            </w:r>
          </w:p>
        </w:tc>
      </w:tr>
    </w:tbl>
    <w:p w:rsidR="005904EC" w:rsidRDefault="004274D9" w:rsidP="006D54D5">
      <w:pPr>
        <w:keepNext/>
        <w:keepLines/>
        <w:jc w:val="both"/>
        <w:rPr>
          <w:rFonts w:ascii="Arial Narrow" w:eastAsia="Arial Narrow" w:hAnsi="Arial Narrow" w:cs="Arial Narrow"/>
          <w:sz w:val="18"/>
          <w:szCs w:val="18"/>
        </w:rPr>
      </w:pPr>
      <w:r>
        <w:rPr>
          <w:rFonts w:ascii="Arial Narrow" w:eastAsia="Arial Narrow" w:hAnsi="Arial Narrow" w:cs="Arial Narrow"/>
          <w:sz w:val="18"/>
          <w:szCs w:val="18"/>
        </w:rPr>
        <w:t>Source: Table 2.30, p91</w:t>
      </w:r>
      <w:r w:rsidR="005904EC" w:rsidRPr="029D5890">
        <w:rPr>
          <w:rFonts w:ascii="Arial Narrow" w:eastAsia="Arial Narrow" w:hAnsi="Arial Narrow" w:cs="Arial Narrow"/>
          <w:sz w:val="18"/>
          <w:szCs w:val="18"/>
        </w:rPr>
        <w:t xml:space="preserve"> of the submission</w:t>
      </w:r>
      <w:r w:rsidR="006D54D5">
        <w:rPr>
          <w:rFonts w:ascii="Arial Narrow" w:eastAsia="Arial Narrow" w:hAnsi="Arial Narrow" w:cs="Arial Narrow"/>
          <w:sz w:val="18"/>
          <w:szCs w:val="18"/>
        </w:rPr>
        <w:t>.</w:t>
      </w:r>
    </w:p>
    <w:p w:rsidR="005904EC" w:rsidRDefault="005904EC" w:rsidP="006D54D5">
      <w:pPr>
        <w:keepNext/>
        <w:keepLines/>
        <w:jc w:val="both"/>
        <w:rPr>
          <w:rFonts w:ascii="Arial Narrow" w:eastAsia="Arial Narrow" w:hAnsi="Arial Narrow" w:cs="Arial Narrow"/>
          <w:sz w:val="18"/>
          <w:szCs w:val="18"/>
        </w:rPr>
      </w:pPr>
      <w:r w:rsidRPr="6A8F74B3">
        <w:rPr>
          <w:rFonts w:ascii="Arial Narrow" w:eastAsia="Arial Narrow" w:hAnsi="Arial Narrow" w:cs="Arial Narrow"/>
          <w:sz w:val="18"/>
          <w:szCs w:val="18"/>
        </w:rPr>
        <w:t xml:space="preserve">CI = confidence interval; </w:t>
      </w:r>
      <w:r w:rsidR="00B73EF5" w:rsidRPr="6A8F74B3">
        <w:rPr>
          <w:rFonts w:ascii="Arial Narrow" w:eastAsia="Arial Narrow" w:hAnsi="Arial Narrow" w:cs="Arial Narrow"/>
          <w:sz w:val="18"/>
          <w:szCs w:val="18"/>
        </w:rPr>
        <w:t xml:space="preserve">HD = high dose; IGA = </w:t>
      </w:r>
      <w:r w:rsidR="00B73EF5" w:rsidRPr="6A8F74B3">
        <w:rPr>
          <w:rFonts w:ascii="Arial Narrow" w:eastAsia="Arial Narrow" w:hAnsi="Arial Narrow" w:cs="Arial Narrow"/>
          <w:color w:val="000000" w:themeColor="text1"/>
          <w:sz w:val="18"/>
          <w:szCs w:val="18"/>
        </w:rPr>
        <w:t>Investigator’s Global Assessment;</w:t>
      </w:r>
      <w:r w:rsidR="00B73EF5">
        <w:rPr>
          <w:rFonts w:ascii="Arial Narrow" w:eastAsia="Arial Narrow" w:hAnsi="Arial Narrow" w:cs="Arial Narrow"/>
          <w:color w:val="000000" w:themeColor="text1"/>
          <w:sz w:val="18"/>
          <w:szCs w:val="18"/>
        </w:rPr>
        <w:t xml:space="preserve"> </w:t>
      </w:r>
      <w:r w:rsidRPr="6A8F74B3">
        <w:rPr>
          <w:rFonts w:ascii="Arial Narrow" w:eastAsia="Arial Narrow" w:hAnsi="Arial Narrow" w:cs="Arial Narrow"/>
          <w:sz w:val="18"/>
          <w:szCs w:val="18"/>
        </w:rPr>
        <w:t xml:space="preserve">LD = low dose; n = number of participants with event; N = total participants in group; PASI = Psoriasis Area and Severity Index; RD = risk difference; </w:t>
      </w:r>
      <w:r>
        <w:rPr>
          <w:rFonts w:ascii="Arial Narrow" w:eastAsia="Arial Narrow" w:hAnsi="Arial Narrow" w:cs="Arial Narrow"/>
          <w:sz w:val="18"/>
          <w:szCs w:val="18"/>
        </w:rPr>
        <w:t>SKB = secukinumab.</w:t>
      </w:r>
      <w:r w:rsidRPr="6A8F74B3">
        <w:rPr>
          <w:rFonts w:ascii="Arial Narrow" w:eastAsia="Arial Narrow" w:hAnsi="Arial Narrow" w:cs="Arial Narrow"/>
          <w:sz w:val="18"/>
          <w:szCs w:val="18"/>
        </w:rPr>
        <w:t xml:space="preserve"> </w:t>
      </w:r>
    </w:p>
    <w:p w:rsidR="006D54D5" w:rsidRDefault="00BC1A97" w:rsidP="006D54D5">
      <w:pPr>
        <w:keepNext/>
        <w:keepLines/>
        <w:jc w:val="both"/>
        <w:rPr>
          <w:rFonts w:ascii="Arial Narrow" w:eastAsia="Arial Narrow" w:hAnsi="Arial Narrow" w:cs="Arial Narrow"/>
          <w:sz w:val="18"/>
          <w:szCs w:val="18"/>
        </w:rPr>
      </w:pPr>
      <w:r>
        <w:rPr>
          <w:rFonts w:ascii="Arial Narrow" w:eastAsia="Arial Narrow" w:hAnsi="Arial Narrow" w:cs="Arial Narrow"/>
          <w:b/>
          <w:bCs/>
          <w:sz w:val="18"/>
          <w:szCs w:val="18"/>
        </w:rPr>
        <w:t>B</w:t>
      </w:r>
      <w:r w:rsidR="005904EC" w:rsidRPr="6A8F74B3">
        <w:rPr>
          <w:rFonts w:ascii="Arial Narrow" w:eastAsia="Arial Narrow" w:hAnsi="Arial Narrow" w:cs="Arial Narrow"/>
          <w:b/>
          <w:bCs/>
          <w:sz w:val="18"/>
          <w:szCs w:val="18"/>
        </w:rPr>
        <w:t xml:space="preserve">old </w:t>
      </w:r>
      <w:r>
        <w:rPr>
          <w:rFonts w:ascii="Arial Narrow" w:eastAsia="Arial Narrow" w:hAnsi="Arial Narrow" w:cs="Arial Narrow"/>
          <w:sz w:val="18"/>
          <w:szCs w:val="18"/>
        </w:rPr>
        <w:t xml:space="preserve">indicates </w:t>
      </w:r>
      <w:r w:rsidR="005904EC" w:rsidRPr="6A8F74B3">
        <w:rPr>
          <w:rFonts w:ascii="Arial Narrow" w:eastAsia="Arial Narrow" w:hAnsi="Arial Narrow" w:cs="Arial Narrow"/>
          <w:sz w:val="18"/>
          <w:szCs w:val="18"/>
        </w:rPr>
        <w:t>statistical significan</w:t>
      </w:r>
      <w:r>
        <w:rPr>
          <w:rFonts w:ascii="Arial Narrow" w:eastAsia="Arial Narrow" w:hAnsi="Arial Narrow" w:cs="Arial Narrow"/>
          <w:sz w:val="18"/>
          <w:szCs w:val="18"/>
        </w:rPr>
        <w:t>ce.</w:t>
      </w:r>
    </w:p>
    <w:p w:rsidR="5C861A6A" w:rsidRDefault="006D54D5" w:rsidP="005904EC">
      <w:pPr>
        <w:keepNext/>
        <w:keepLines/>
      </w:pPr>
      <w:r w:rsidRPr="006D54D5">
        <w:rPr>
          <w:rFonts w:ascii="Arial Narrow" w:eastAsia="Arial Narrow" w:hAnsi="Arial Narrow" w:cs="Arial Narrow"/>
          <w:sz w:val="18"/>
          <w:szCs w:val="18"/>
          <w:vertAlign w:val="superscript"/>
        </w:rPr>
        <w:t>a</w:t>
      </w:r>
      <w:r>
        <w:rPr>
          <w:rFonts w:ascii="Arial Narrow" w:eastAsia="Arial Narrow" w:hAnsi="Arial Narrow" w:cs="Arial Narrow"/>
          <w:sz w:val="18"/>
          <w:szCs w:val="18"/>
        </w:rPr>
        <w:t xml:space="preserve"> Calculated during the evaluation.</w:t>
      </w:r>
      <w:r w:rsidR="5C861A6A">
        <w:br/>
      </w:r>
    </w:p>
    <w:p w:rsidR="29B08AD7" w:rsidRPr="00C6105C" w:rsidRDefault="1CD5C541" w:rsidP="005A0E10">
      <w:pPr>
        <w:pStyle w:val="ListParagraph"/>
        <w:numPr>
          <w:ilvl w:val="1"/>
          <w:numId w:val="1"/>
        </w:numPr>
        <w:spacing w:after="160"/>
        <w:rPr>
          <w:rFonts w:eastAsiaTheme="minorEastAsia" w:cstheme="minorBidi"/>
        </w:rPr>
      </w:pPr>
      <w:r w:rsidRPr="6A8F74B3">
        <w:t>On the basis of the direct comparison presented by the submission, for every 100 patients treated with secukinumab in comparison with etanercept:</w:t>
      </w:r>
    </w:p>
    <w:p w:rsidR="29B08AD7" w:rsidRDefault="1CD5C541" w:rsidP="00D30BDE">
      <w:pPr>
        <w:pStyle w:val="ListBullet"/>
        <w:tabs>
          <w:tab w:val="clear" w:pos="360"/>
          <w:tab w:val="clear" w:pos="785"/>
          <w:tab w:val="num" w:pos="1134"/>
        </w:tabs>
        <w:spacing w:after="120"/>
        <w:ind w:left="993" w:hanging="284"/>
        <w:contextualSpacing w:val="0"/>
        <w:jc w:val="both"/>
      </w:pPr>
      <w:r w:rsidRPr="6A8F74B3">
        <w:rPr>
          <w:rFonts w:ascii="Calibri" w:hAnsi="Calibri"/>
        </w:rPr>
        <w:t xml:space="preserve">Approximately </w:t>
      </w:r>
      <w:r w:rsidR="7CBFFF64" w:rsidRPr="6A8F74B3">
        <w:rPr>
          <w:rFonts w:ascii="Calibri" w:hAnsi="Calibri"/>
        </w:rPr>
        <w:t>36</w:t>
      </w:r>
      <w:r w:rsidRPr="6A8F74B3">
        <w:rPr>
          <w:rFonts w:ascii="Calibri" w:hAnsi="Calibri"/>
        </w:rPr>
        <w:t xml:space="preserve"> </w:t>
      </w:r>
      <w:r w:rsidR="00C6105C">
        <w:rPr>
          <w:rFonts w:ascii="Calibri" w:hAnsi="Calibri"/>
        </w:rPr>
        <w:t>additional</w:t>
      </w:r>
      <w:r w:rsidR="00C6105C" w:rsidRPr="6A8F74B3">
        <w:rPr>
          <w:rFonts w:ascii="Calibri" w:hAnsi="Calibri"/>
        </w:rPr>
        <w:t xml:space="preserve"> </w:t>
      </w:r>
      <w:r w:rsidRPr="6A8F74B3">
        <w:rPr>
          <w:rFonts w:ascii="Calibri" w:hAnsi="Calibri"/>
        </w:rPr>
        <w:t xml:space="preserve">patients </w:t>
      </w:r>
      <w:r w:rsidR="342023BD" w:rsidRPr="6A8F74B3">
        <w:rPr>
          <w:rFonts w:ascii="Calibri" w:hAnsi="Calibri"/>
        </w:rPr>
        <w:t xml:space="preserve">on </w:t>
      </w:r>
      <w:r w:rsidR="00FB5796">
        <w:rPr>
          <w:rFonts w:ascii="Calibri" w:hAnsi="Calibri"/>
        </w:rPr>
        <w:t>LD</w:t>
      </w:r>
      <w:r w:rsidR="047DDEAA" w:rsidRPr="6A8F74B3">
        <w:rPr>
          <w:rFonts w:ascii="Calibri" w:hAnsi="Calibri"/>
        </w:rPr>
        <w:t xml:space="preserve"> secukinumab </w:t>
      </w:r>
      <w:r w:rsidRPr="6A8F74B3">
        <w:rPr>
          <w:rFonts w:ascii="Calibri" w:hAnsi="Calibri"/>
        </w:rPr>
        <w:t>would have a</w:t>
      </w:r>
      <w:r w:rsidR="00DA2AF6">
        <w:rPr>
          <w:rFonts w:ascii="Calibri" w:hAnsi="Calibri"/>
        </w:rPr>
        <w:t>n</w:t>
      </w:r>
      <w:r w:rsidR="53F9BB0B" w:rsidRPr="6A8F74B3">
        <w:rPr>
          <w:rFonts w:ascii="Calibri" w:hAnsi="Calibri"/>
        </w:rPr>
        <w:t xml:space="preserve"> IGA 0/1 response</w:t>
      </w:r>
      <w:r w:rsidRPr="6A8F74B3">
        <w:rPr>
          <w:rFonts w:ascii="Calibri" w:hAnsi="Calibri"/>
        </w:rPr>
        <w:t xml:space="preserve"> </w:t>
      </w:r>
      <w:r w:rsidR="00DA2AF6">
        <w:rPr>
          <w:rFonts w:ascii="Calibri" w:hAnsi="Calibri"/>
        </w:rPr>
        <w:t>at Week 12</w:t>
      </w:r>
      <w:r w:rsidRPr="6A8F74B3">
        <w:rPr>
          <w:rFonts w:ascii="Calibri" w:hAnsi="Calibri"/>
        </w:rPr>
        <w:t xml:space="preserve">. </w:t>
      </w:r>
    </w:p>
    <w:p w:rsidR="4EA5F6A4" w:rsidRPr="00C6105C" w:rsidRDefault="0236BA63" w:rsidP="00C6105C">
      <w:pPr>
        <w:pStyle w:val="ListBullet"/>
        <w:tabs>
          <w:tab w:val="clear" w:pos="360"/>
          <w:tab w:val="clear" w:pos="785"/>
          <w:tab w:val="num" w:pos="1134"/>
        </w:tabs>
        <w:spacing w:after="120"/>
        <w:ind w:left="993" w:hanging="284"/>
        <w:contextualSpacing w:val="0"/>
        <w:jc w:val="both"/>
        <w:rPr>
          <w:rFonts w:eastAsiaTheme="minorEastAsia" w:cstheme="minorBidi"/>
          <w:i/>
          <w:iCs/>
        </w:rPr>
      </w:pPr>
      <w:r w:rsidRPr="6A8F74B3">
        <w:rPr>
          <w:rFonts w:ascii="Calibri" w:hAnsi="Calibri"/>
        </w:rPr>
        <w:t xml:space="preserve"> Approximately </w:t>
      </w:r>
      <w:r w:rsidR="47D1FD1A" w:rsidRPr="6A8F74B3">
        <w:rPr>
          <w:rFonts w:ascii="Calibri" w:hAnsi="Calibri"/>
        </w:rPr>
        <w:t>26</w:t>
      </w:r>
      <w:r w:rsidRPr="6A8F74B3">
        <w:rPr>
          <w:rFonts w:ascii="Calibri" w:hAnsi="Calibri"/>
        </w:rPr>
        <w:t xml:space="preserve"> </w:t>
      </w:r>
      <w:r w:rsidR="00C6105C">
        <w:rPr>
          <w:rFonts w:ascii="Calibri" w:hAnsi="Calibri"/>
        </w:rPr>
        <w:t>additional</w:t>
      </w:r>
      <w:r w:rsidR="00C6105C" w:rsidRPr="6A8F74B3">
        <w:rPr>
          <w:rFonts w:ascii="Calibri" w:hAnsi="Calibri"/>
        </w:rPr>
        <w:t xml:space="preserve"> </w:t>
      </w:r>
      <w:r w:rsidRPr="6A8F74B3">
        <w:rPr>
          <w:rFonts w:ascii="Calibri" w:hAnsi="Calibri"/>
        </w:rPr>
        <w:t>patients</w:t>
      </w:r>
      <w:r w:rsidR="03C64FE7" w:rsidRPr="6A8F74B3">
        <w:rPr>
          <w:rFonts w:ascii="Calibri" w:hAnsi="Calibri"/>
        </w:rPr>
        <w:t xml:space="preserve"> on </w:t>
      </w:r>
      <w:r w:rsidR="00FB5796">
        <w:rPr>
          <w:rFonts w:ascii="Calibri" w:hAnsi="Calibri"/>
        </w:rPr>
        <w:t>HD</w:t>
      </w:r>
      <w:r w:rsidR="03C64FE7" w:rsidRPr="6A8F74B3">
        <w:rPr>
          <w:rFonts w:ascii="Calibri" w:hAnsi="Calibri"/>
        </w:rPr>
        <w:t xml:space="preserve"> secukinumab</w:t>
      </w:r>
      <w:r w:rsidRPr="6A8F74B3">
        <w:rPr>
          <w:rFonts w:ascii="Calibri" w:hAnsi="Calibri"/>
        </w:rPr>
        <w:t xml:space="preserve"> would have a</w:t>
      </w:r>
      <w:r w:rsidR="00DA2AF6">
        <w:rPr>
          <w:rFonts w:ascii="Calibri" w:hAnsi="Calibri"/>
        </w:rPr>
        <w:t>n</w:t>
      </w:r>
      <w:r w:rsidRPr="6A8F74B3">
        <w:rPr>
          <w:rFonts w:ascii="Calibri" w:hAnsi="Calibri"/>
        </w:rPr>
        <w:t xml:space="preserve"> </w:t>
      </w:r>
      <w:r w:rsidR="7CAC062B" w:rsidRPr="6A8F74B3">
        <w:rPr>
          <w:rFonts w:ascii="Calibri" w:hAnsi="Calibri"/>
        </w:rPr>
        <w:t>IGA 0/1</w:t>
      </w:r>
      <w:r w:rsidRPr="6A8F74B3">
        <w:rPr>
          <w:rFonts w:ascii="Calibri" w:hAnsi="Calibri"/>
        </w:rPr>
        <w:t xml:space="preserve"> response </w:t>
      </w:r>
      <w:r w:rsidR="009D7734">
        <w:rPr>
          <w:rFonts w:ascii="Calibri" w:hAnsi="Calibri"/>
        </w:rPr>
        <w:t>at Week 12</w:t>
      </w:r>
      <w:r w:rsidRPr="6A8F74B3">
        <w:rPr>
          <w:rFonts w:ascii="Calibri" w:hAnsi="Calibri"/>
        </w:rPr>
        <w:t>.</w:t>
      </w:r>
    </w:p>
    <w:p w:rsidR="00C6105C" w:rsidRPr="00C6105C" w:rsidRDefault="00C6105C" w:rsidP="00D30BDE">
      <w:pPr>
        <w:pStyle w:val="ListBullet"/>
        <w:tabs>
          <w:tab w:val="clear" w:pos="360"/>
          <w:tab w:val="clear" w:pos="785"/>
          <w:tab w:val="num" w:pos="1134"/>
        </w:tabs>
        <w:spacing w:after="120"/>
        <w:ind w:left="993" w:hanging="284"/>
        <w:contextualSpacing w:val="0"/>
        <w:jc w:val="both"/>
        <w:rPr>
          <w:rFonts w:eastAsiaTheme="minorEastAsia" w:cstheme="minorBidi"/>
          <w:i/>
          <w:iCs/>
        </w:rPr>
      </w:pPr>
      <w:r w:rsidRPr="6A8F74B3">
        <w:t>Approximately</w:t>
      </w:r>
      <w:r>
        <w:t xml:space="preserve"> 19 additional</w:t>
      </w:r>
      <w:r w:rsidRPr="6A8F74B3">
        <w:t xml:space="preserve"> patients </w:t>
      </w:r>
      <w:r w:rsidRPr="6A8F74B3">
        <w:rPr>
          <w:rFonts w:ascii="Calibri" w:hAnsi="Calibri"/>
        </w:rPr>
        <w:t xml:space="preserve">on </w:t>
      </w:r>
      <w:r>
        <w:rPr>
          <w:rFonts w:ascii="Calibri" w:hAnsi="Calibri"/>
        </w:rPr>
        <w:t>LD</w:t>
      </w:r>
      <w:r w:rsidRPr="6A8F74B3">
        <w:rPr>
          <w:rFonts w:ascii="Calibri" w:hAnsi="Calibri"/>
        </w:rPr>
        <w:t xml:space="preserve"> </w:t>
      </w:r>
      <w:r w:rsidR="00E11ADF">
        <w:rPr>
          <w:rFonts w:ascii="Calibri" w:hAnsi="Calibri"/>
        </w:rPr>
        <w:t xml:space="preserve">and HD </w:t>
      </w:r>
      <w:r w:rsidRPr="6A8F74B3">
        <w:rPr>
          <w:rFonts w:ascii="Calibri" w:hAnsi="Calibri"/>
        </w:rPr>
        <w:t xml:space="preserve">secukinumab </w:t>
      </w:r>
      <w:r w:rsidRPr="6A8F74B3">
        <w:t>would</w:t>
      </w:r>
      <w:r w:rsidR="00C405F7">
        <w:t xml:space="preserve"> have a</w:t>
      </w:r>
      <w:r w:rsidRPr="6A8F74B3">
        <w:t xml:space="preserve"> </w:t>
      </w:r>
      <w:r w:rsidR="00C405F7">
        <w:t>P</w:t>
      </w:r>
      <w:r>
        <w:t>ASI 75 response at W</w:t>
      </w:r>
      <w:r w:rsidRPr="6A8F74B3">
        <w:t>eek 52.</w:t>
      </w:r>
    </w:p>
    <w:p w:rsidR="00BB36A1" w:rsidRPr="00C9624D" w:rsidRDefault="00BB36A1" w:rsidP="00BB36A1">
      <w:pPr>
        <w:pStyle w:val="4-SubsectionHeading"/>
      </w:pPr>
      <w:bookmarkStart w:id="25" w:name="_Toc22897644"/>
      <w:bookmarkStart w:id="26" w:name="_Toc82600276"/>
      <w:r w:rsidRPr="00C9624D">
        <w:t>Clinical claim</w:t>
      </w:r>
      <w:bookmarkEnd w:id="25"/>
      <w:bookmarkEnd w:id="26"/>
    </w:p>
    <w:p w:rsidR="00696347" w:rsidRPr="00696347" w:rsidRDefault="00696347" w:rsidP="005E2068">
      <w:pPr>
        <w:pStyle w:val="5-SubsectionSubheading"/>
        <w:rPr>
          <w:rStyle w:val="normaltextrun"/>
          <w:rFonts w:eastAsiaTheme="minorEastAsia" w:cstheme="minorBidi"/>
          <w:color w:val="0066FF"/>
        </w:rPr>
      </w:pPr>
      <w:r>
        <w:rPr>
          <w:lang w:val="en-US"/>
        </w:rPr>
        <w:t>D</w:t>
      </w:r>
      <w:r w:rsidRPr="00A92795">
        <w:rPr>
          <w:lang w:val="en-US"/>
        </w:rPr>
        <w:t>irect comparison between secukinumab and etanercept</w:t>
      </w:r>
    </w:p>
    <w:p w:rsidR="00BB36A1" w:rsidRPr="0000305F" w:rsidRDefault="00C405F7" w:rsidP="00BB36A1">
      <w:pPr>
        <w:pStyle w:val="3-BodyText"/>
        <w:rPr>
          <w:rStyle w:val="eop"/>
          <w:rFonts w:eastAsiaTheme="minorEastAsia" w:cstheme="minorBidi"/>
          <w:color w:val="0066FF"/>
        </w:rPr>
      </w:pPr>
      <w:r>
        <w:rPr>
          <w:rStyle w:val="normaltextrun"/>
          <w:rFonts w:ascii="Calibri" w:hAnsi="Calibri" w:cs="Calibri"/>
          <w:color w:val="000000"/>
          <w:shd w:val="clear" w:color="auto" w:fill="FFFFFF"/>
        </w:rPr>
        <w:t xml:space="preserve">The submission described secukinumab as having superior </w:t>
      </w:r>
      <w:r w:rsidR="000568CB">
        <w:rPr>
          <w:rStyle w:val="normaltextrun"/>
          <w:rFonts w:ascii="Calibri" w:hAnsi="Calibri" w:cs="Calibri"/>
          <w:color w:val="000000"/>
          <w:shd w:val="clear" w:color="auto" w:fill="FFFFFF"/>
        </w:rPr>
        <w:t>effectiveness over</w:t>
      </w:r>
      <w:r w:rsidR="003F5774">
        <w:rPr>
          <w:rStyle w:val="normaltextrun"/>
          <w:rFonts w:ascii="Calibri" w:hAnsi="Calibri" w:cs="Calibri"/>
          <w:color w:val="000000"/>
          <w:shd w:val="clear" w:color="auto" w:fill="FFFFFF"/>
        </w:rPr>
        <w:t xml:space="preserve"> the</w:t>
      </w:r>
      <w:r w:rsidR="000568CB">
        <w:rPr>
          <w:rStyle w:val="normaltextrun"/>
          <w:rFonts w:ascii="Calibri" w:hAnsi="Calibri" w:cs="Calibri"/>
          <w:color w:val="000000"/>
          <w:shd w:val="clear" w:color="auto" w:fill="FFFFFF"/>
        </w:rPr>
        <w:t xml:space="preserve"> main comparator (</w:t>
      </w:r>
      <w:r w:rsidR="000568CB" w:rsidRPr="0000305F">
        <w:rPr>
          <w:rStyle w:val="normaltextrun"/>
          <w:rFonts w:ascii="Calibri" w:hAnsi="Calibri" w:cs="Calibri"/>
          <w:color w:val="000000"/>
          <w:shd w:val="clear" w:color="auto" w:fill="FFFFFF"/>
        </w:rPr>
        <w:t>etanercept</w:t>
      </w:r>
      <w:r w:rsidR="000568CB" w:rsidRPr="0000305F">
        <w:rPr>
          <w:rStyle w:val="normaltextrun"/>
          <w:rFonts w:ascii="Calibri" w:hAnsi="Calibri" w:cs="Calibri"/>
          <w:shd w:val="clear" w:color="auto" w:fill="FFFFFF"/>
        </w:rPr>
        <w:t>)</w:t>
      </w:r>
      <w:r w:rsidRPr="0000305F">
        <w:rPr>
          <w:rStyle w:val="normaltextrun"/>
          <w:rFonts w:ascii="Calibri" w:hAnsi="Calibri" w:cs="Calibri"/>
          <w:shd w:val="clear" w:color="auto" w:fill="FFFFFF"/>
        </w:rPr>
        <w:t xml:space="preserve"> </w:t>
      </w:r>
      <w:r w:rsidR="000568CB" w:rsidRPr="0000305F">
        <w:rPr>
          <w:rStyle w:val="normaltextrun"/>
          <w:rFonts w:ascii="Calibri" w:hAnsi="Calibri" w:cs="Calibri"/>
          <w:shd w:val="clear" w:color="auto" w:fill="FFFFFF"/>
        </w:rPr>
        <w:t>based on a direct comparison. The claim w</w:t>
      </w:r>
      <w:r w:rsidR="003F5774">
        <w:rPr>
          <w:rStyle w:val="normaltextrun"/>
          <w:rFonts w:ascii="Calibri" w:hAnsi="Calibri" w:cs="Calibri"/>
          <w:shd w:val="clear" w:color="auto" w:fill="FFFFFF"/>
        </w:rPr>
        <w:t>as</w:t>
      </w:r>
      <w:r w:rsidR="000568CB" w:rsidRPr="0000305F">
        <w:rPr>
          <w:rStyle w:val="normaltextrun"/>
          <w:rFonts w:ascii="Calibri" w:hAnsi="Calibri" w:cs="Calibri"/>
          <w:shd w:val="clear" w:color="auto" w:fill="FFFFFF"/>
        </w:rPr>
        <w:t xml:space="preserve"> based on the main trial population of </w:t>
      </w:r>
      <w:r w:rsidR="00162EA1" w:rsidRPr="0000305F">
        <w:rPr>
          <w:rStyle w:val="normaltextrun"/>
          <w:rFonts w:ascii="Calibri" w:hAnsi="Calibri" w:cs="Calibri"/>
          <w:shd w:val="clear" w:color="auto" w:fill="FFFFFF"/>
        </w:rPr>
        <w:t>Study 2310</w:t>
      </w:r>
      <w:r w:rsidR="000568CB" w:rsidRPr="0000305F">
        <w:rPr>
          <w:rStyle w:val="normaltextrun"/>
          <w:rFonts w:ascii="Calibri" w:hAnsi="Calibri" w:cs="Calibri"/>
          <w:shd w:val="clear" w:color="auto" w:fill="FFFFFF"/>
        </w:rPr>
        <w:t xml:space="preserve"> as measured by</w:t>
      </w:r>
      <w:r w:rsidRPr="0000305F">
        <w:rPr>
          <w:rStyle w:val="eop"/>
          <w:rFonts w:ascii="Calibri" w:hAnsi="Calibri" w:cs="Calibri"/>
          <w:shd w:val="clear" w:color="auto" w:fill="FFFFFF"/>
        </w:rPr>
        <w:t xml:space="preserve"> </w:t>
      </w:r>
      <w:r w:rsidR="000568CB" w:rsidRPr="0000305F">
        <w:rPr>
          <w:rFonts w:ascii="Calibri" w:eastAsia="Calibri" w:hAnsi="Calibri" w:cs="Calibri"/>
          <w:color w:val="000000" w:themeColor="text1"/>
        </w:rPr>
        <w:t xml:space="preserve">PASI 75 response and IGA 0/1. </w:t>
      </w:r>
    </w:p>
    <w:p w:rsidR="00BB36A1" w:rsidRPr="0000305F" w:rsidRDefault="344D8500" w:rsidP="009B6D68">
      <w:pPr>
        <w:pStyle w:val="3-BodyText"/>
        <w:rPr>
          <w:color w:val="000000" w:themeColor="text1"/>
        </w:rPr>
      </w:pPr>
      <w:bookmarkStart w:id="27" w:name="_Ref88575673"/>
      <w:r w:rsidRPr="0000305F">
        <w:rPr>
          <w:rStyle w:val="normaltextrun"/>
          <w:rFonts w:ascii="Calibri" w:hAnsi="Calibri" w:cs="Calibri"/>
          <w:iCs/>
          <w:color w:val="000000"/>
          <w:shd w:val="clear" w:color="auto" w:fill="FFFFFF"/>
        </w:rPr>
        <w:t>The</w:t>
      </w:r>
      <w:r w:rsidR="00A36B82" w:rsidRPr="0000305F">
        <w:rPr>
          <w:rStyle w:val="normaltextrun"/>
          <w:rFonts w:ascii="Calibri" w:hAnsi="Calibri" w:cs="Calibri"/>
          <w:iCs/>
          <w:color w:val="000000"/>
          <w:shd w:val="clear" w:color="auto" w:fill="FFFFFF"/>
        </w:rPr>
        <w:t xml:space="preserve"> ESC agreed with the evaluation that</w:t>
      </w:r>
      <w:r w:rsidRPr="0000305F">
        <w:rPr>
          <w:rStyle w:val="normaltextrun"/>
          <w:rFonts w:ascii="Calibri" w:hAnsi="Calibri" w:cs="Calibri"/>
          <w:iCs/>
          <w:color w:val="000000"/>
          <w:shd w:val="clear" w:color="auto" w:fill="FFFFFF"/>
        </w:rPr>
        <w:t xml:space="preserve"> clinical cla</w:t>
      </w:r>
      <w:r w:rsidR="00C405F7" w:rsidRPr="0000305F">
        <w:rPr>
          <w:rStyle w:val="normaltextrun"/>
          <w:rFonts w:ascii="Calibri" w:hAnsi="Calibri" w:cs="Calibri"/>
          <w:iCs/>
          <w:color w:val="000000"/>
          <w:shd w:val="clear" w:color="auto" w:fill="FFFFFF"/>
        </w:rPr>
        <w:t xml:space="preserve">im of superior effectiveness of secukinumab </w:t>
      </w:r>
      <w:r w:rsidRPr="0000305F">
        <w:rPr>
          <w:rStyle w:val="normaltextrun"/>
          <w:rFonts w:ascii="Calibri" w:hAnsi="Calibri" w:cs="Calibri"/>
          <w:iCs/>
          <w:color w:val="000000"/>
          <w:shd w:val="clear" w:color="auto" w:fill="FFFFFF"/>
        </w:rPr>
        <w:t xml:space="preserve">over etanercept </w:t>
      </w:r>
      <w:r w:rsidR="00C405F7" w:rsidRPr="0000305F">
        <w:rPr>
          <w:rStyle w:val="normaltextrun"/>
          <w:rFonts w:ascii="Calibri" w:hAnsi="Calibri" w:cs="Calibri"/>
          <w:iCs/>
          <w:color w:val="000000"/>
          <w:shd w:val="clear" w:color="auto" w:fill="FFFFFF"/>
        </w:rPr>
        <w:t xml:space="preserve">is uncertain </w:t>
      </w:r>
      <w:r w:rsidRPr="0000305F">
        <w:rPr>
          <w:rStyle w:val="normaltextrun"/>
          <w:rFonts w:ascii="Calibri" w:hAnsi="Calibri" w:cs="Calibri"/>
          <w:iCs/>
          <w:color w:val="000000"/>
          <w:shd w:val="clear" w:color="auto" w:fill="FFFFFF"/>
        </w:rPr>
        <w:t>because:</w:t>
      </w:r>
      <w:bookmarkEnd w:id="27"/>
    </w:p>
    <w:p w:rsidR="009B6D68" w:rsidRPr="0000305F" w:rsidRDefault="009B6D68" w:rsidP="005A0E10">
      <w:pPr>
        <w:pStyle w:val="ListBullet"/>
        <w:numPr>
          <w:ilvl w:val="0"/>
          <w:numId w:val="8"/>
        </w:numPr>
        <w:spacing w:after="120"/>
        <w:ind w:left="1077" w:hanging="357"/>
        <w:contextualSpacing w:val="0"/>
        <w:jc w:val="both"/>
        <w:rPr>
          <w:rFonts w:eastAsia="Calibri" w:cs="Calibri"/>
          <w:iCs/>
        </w:rPr>
      </w:pPr>
      <w:r w:rsidRPr="0000305F">
        <w:rPr>
          <w:rFonts w:ascii="Calibri" w:eastAsia="Calibri" w:hAnsi="Calibri" w:cs="Calibri"/>
          <w:iCs/>
          <w:color w:val="000000" w:themeColor="text1"/>
        </w:rPr>
        <w:t>A statistically significant favourable result for secukinumab compared to etanercept was observed for IGA 0/1 but not PASI 75 at Week 12 in Study 2310. A statistically significant favourable result for secukinumab compared to etanercept was observed for PASI 75 but not IGA 0/1 at Week 52 in Study 2310. The ESC noted the lack of superiority for secukinumab with respect to PASI 75 at Week 12, and that the result was only marginally significant at Week 52.</w:t>
      </w:r>
    </w:p>
    <w:p w:rsidR="009B6D68" w:rsidRPr="00702B59" w:rsidRDefault="009B6D68" w:rsidP="005A0E10">
      <w:pPr>
        <w:pStyle w:val="ListBullet"/>
        <w:numPr>
          <w:ilvl w:val="0"/>
          <w:numId w:val="8"/>
        </w:numPr>
        <w:spacing w:after="120"/>
        <w:ind w:left="1077" w:hanging="357"/>
        <w:contextualSpacing w:val="0"/>
        <w:jc w:val="both"/>
        <w:rPr>
          <w:rFonts w:eastAsia="Calibri" w:cs="Calibri"/>
          <w:iCs/>
        </w:rPr>
      </w:pPr>
      <w:r w:rsidRPr="0000305F">
        <w:rPr>
          <w:iCs/>
        </w:rPr>
        <w:t xml:space="preserve">There was an overdosing error in 45% of secukinumab patients (36/80 total, 20/40 in HD, 16/40 in LD) which increases the uncertainty in the Week 52 analysis of secukinumab. </w:t>
      </w:r>
      <w:r w:rsidRPr="0000305F">
        <w:t>The an</w:t>
      </w:r>
      <w:r w:rsidR="00C615D8">
        <w:t xml:space="preserve">alysis provided in the PSCR </w:t>
      </w:r>
      <w:r w:rsidRPr="0000305F">
        <w:t xml:space="preserve">suggests that patients who were not affected by the dosing error had lower response rates at Week 52 compared to those </w:t>
      </w:r>
      <w:r w:rsidRPr="00702B59">
        <w:t>who were affected (</w:t>
      </w:r>
      <w:r w:rsidR="00194E21" w:rsidRPr="00702B59">
        <w:t>paragraph 6.8</w:t>
      </w:r>
      <w:r w:rsidRPr="00702B59">
        <w:t>).</w:t>
      </w:r>
    </w:p>
    <w:p w:rsidR="00BB36A1" w:rsidRPr="0000305F" w:rsidRDefault="00BB36A1" w:rsidP="005A0E10">
      <w:pPr>
        <w:pStyle w:val="ListBullet"/>
        <w:numPr>
          <w:ilvl w:val="0"/>
          <w:numId w:val="8"/>
        </w:numPr>
        <w:spacing w:after="120"/>
        <w:ind w:left="1077" w:hanging="357"/>
        <w:contextualSpacing w:val="0"/>
        <w:jc w:val="both"/>
        <w:rPr>
          <w:rFonts w:eastAsia="Calibri" w:cs="Calibri"/>
          <w:iCs/>
        </w:rPr>
      </w:pPr>
      <w:r w:rsidRPr="0000305F">
        <w:rPr>
          <w:iCs/>
        </w:rPr>
        <w:t>Unmasking of the main comparator, etanercept, due to the dosing regime</w:t>
      </w:r>
      <w:r w:rsidR="005E50F8" w:rsidRPr="0000305F">
        <w:rPr>
          <w:iCs/>
        </w:rPr>
        <w:t>n</w:t>
      </w:r>
      <w:r w:rsidRPr="0000305F">
        <w:rPr>
          <w:iCs/>
        </w:rPr>
        <w:t xml:space="preserve"> of etanercept (weekly) vs secukinumab (monthly)</w:t>
      </w:r>
      <w:r w:rsidR="00173E38" w:rsidRPr="0000305F">
        <w:rPr>
          <w:iCs/>
        </w:rPr>
        <w:t>, may impact treatment effect.</w:t>
      </w:r>
      <w:r w:rsidRPr="0000305F">
        <w:rPr>
          <w:iCs/>
        </w:rPr>
        <w:t xml:space="preserve"> </w:t>
      </w:r>
    </w:p>
    <w:p w:rsidR="00474A2B" w:rsidRPr="0000305F" w:rsidRDefault="00474A2B" w:rsidP="005A0E10">
      <w:pPr>
        <w:pStyle w:val="ListBullet"/>
        <w:numPr>
          <w:ilvl w:val="0"/>
          <w:numId w:val="8"/>
        </w:numPr>
        <w:spacing w:after="120"/>
        <w:contextualSpacing w:val="0"/>
        <w:jc w:val="both"/>
        <w:rPr>
          <w:rStyle w:val="normaltextrun"/>
          <w:rFonts w:eastAsiaTheme="minorEastAsia" w:cstheme="minorBidi"/>
          <w:iCs/>
          <w:color w:val="000000" w:themeColor="text1"/>
          <w:lang w:eastAsia="en-US"/>
        </w:rPr>
      </w:pPr>
      <w:r w:rsidRPr="0000305F">
        <w:rPr>
          <w:iCs/>
        </w:rPr>
        <w:t xml:space="preserve">Inadequate source, specification and application </w:t>
      </w:r>
      <w:r w:rsidRPr="00846D01">
        <w:rPr>
          <w:iCs/>
        </w:rPr>
        <w:t>of a MCID (paragraph 6.2</w:t>
      </w:r>
      <w:r w:rsidR="00194E21" w:rsidRPr="00846D01">
        <w:rPr>
          <w:iCs/>
        </w:rPr>
        <w:t>1</w:t>
      </w:r>
      <w:r w:rsidRPr="00846D01">
        <w:rPr>
          <w:iCs/>
        </w:rPr>
        <w:t>)</w:t>
      </w:r>
      <w:r w:rsidR="00846D01" w:rsidRPr="00846D01">
        <w:rPr>
          <w:iCs/>
        </w:rPr>
        <w:t>.</w:t>
      </w:r>
    </w:p>
    <w:p w:rsidR="00BB36A1" w:rsidRPr="00696347" w:rsidRDefault="003C0ED5" w:rsidP="00BB36A1">
      <w:pPr>
        <w:pStyle w:val="3-BodyText"/>
        <w:rPr>
          <w:color w:val="000000" w:themeColor="text1"/>
        </w:rPr>
      </w:pPr>
      <w:r>
        <w:rPr>
          <w:rFonts w:ascii="Calibri" w:eastAsia="Calibri" w:hAnsi="Calibri" w:cs="Calibri"/>
          <w:iCs/>
          <w:color w:val="000000" w:themeColor="text1"/>
        </w:rPr>
        <w:t>T</w:t>
      </w:r>
      <w:r w:rsidR="000568CB" w:rsidRPr="0000305F">
        <w:rPr>
          <w:rFonts w:ascii="Calibri" w:eastAsia="Calibri" w:hAnsi="Calibri" w:cs="Calibri"/>
          <w:iCs/>
          <w:color w:val="000000" w:themeColor="text1"/>
        </w:rPr>
        <w:t xml:space="preserve">he PBAC </w:t>
      </w:r>
      <w:r>
        <w:rPr>
          <w:rFonts w:ascii="Calibri" w:eastAsia="Calibri" w:hAnsi="Calibri" w:cs="Calibri"/>
          <w:iCs/>
          <w:color w:val="000000" w:themeColor="text1"/>
        </w:rPr>
        <w:t xml:space="preserve">recalled it had </w:t>
      </w:r>
      <w:r w:rsidR="000568CB" w:rsidRPr="0000305F">
        <w:rPr>
          <w:rFonts w:ascii="Calibri" w:eastAsia="Calibri" w:hAnsi="Calibri" w:cs="Calibri"/>
          <w:iCs/>
          <w:color w:val="000000" w:themeColor="text1"/>
        </w:rPr>
        <w:t xml:space="preserve">previously considered </w:t>
      </w:r>
      <w:r>
        <w:rPr>
          <w:rFonts w:ascii="Calibri" w:eastAsia="Calibri" w:hAnsi="Calibri" w:cs="Calibri"/>
          <w:iCs/>
          <w:color w:val="000000" w:themeColor="text1"/>
        </w:rPr>
        <w:t xml:space="preserve">a claim of </w:t>
      </w:r>
      <w:r w:rsidRPr="0000305F">
        <w:rPr>
          <w:rFonts w:ascii="Calibri" w:eastAsia="Calibri" w:hAnsi="Calibri" w:cs="Calibri"/>
          <w:iCs/>
          <w:color w:val="000000" w:themeColor="text1"/>
        </w:rPr>
        <w:t>superiority</w:t>
      </w:r>
      <w:r w:rsidRPr="0000305F" w:rsidDel="003C0ED5">
        <w:rPr>
          <w:rFonts w:ascii="Calibri" w:eastAsia="Calibri" w:hAnsi="Calibri" w:cs="Calibri"/>
          <w:iCs/>
          <w:color w:val="000000" w:themeColor="text1"/>
        </w:rPr>
        <w:t xml:space="preserve"> </w:t>
      </w:r>
      <w:r>
        <w:rPr>
          <w:rFonts w:ascii="Calibri" w:eastAsia="Calibri" w:hAnsi="Calibri" w:cs="Calibri"/>
          <w:iCs/>
          <w:color w:val="000000" w:themeColor="text1"/>
        </w:rPr>
        <w:t xml:space="preserve">for </w:t>
      </w:r>
      <w:r w:rsidR="000568CB" w:rsidRPr="0000305F">
        <w:rPr>
          <w:rFonts w:ascii="Calibri" w:eastAsia="Calibri" w:hAnsi="Calibri" w:cs="Calibri"/>
          <w:iCs/>
          <w:color w:val="000000" w:themeColor="text1"/>
        </w:rPr>
        <w:t>ustekinumab</w:t>
      </w:r>
      <w:r>
        <w:rPr>
          <w:rFonts w:ascii="Calibri" w:eastAsia="Calibri" w:hAnsi="Calibri" w:cs="Calibri"/>
          <w:iCs/>
          <w:color w:val="000000" w:themeColor="text1"/>
        </w:rPr>
        <w:t xml:space="preserve"> over etanercept was reasonable </w:t>
      </w:r>
      <w:r w:rsidR="000568CB" w:rsidRPr="0000305F">
        <w:rPr>
          <w:rFonts w:ascii="Calibri" w:eastAsia="Calibri" w:hAnsi="Calibri" w:cs="Calibri"/>
          <w:iCs/>
          <w:color w:val="000000" w:themeColor="text1"/>
        </w:rPr>
        <w:t>in the context of an unmet need for an alternative to etanercept, which is limited to 24 weeks</w:t>
      </w:r>
      <w:r w:rsidR="009B4CA7">
        <w:rPr>
          <w:rFonts w:ascii="Calibri" w:eastAsia="Calibri" w:hAnsi="Calibri" w:cs="Calibri"/>
          <w:iCs/>
          <w:color w:val="000000" w:themeColor="text1"/>
        </w:rPr>
        <w:t xml:space="preserve"> of</w:t>
      </w:r>
      <w:r w:rsidR="000568CB" w:rsidRPr="0000305F">
        <w:rPr>
          <w:rFonts w:ascii="Calibri" w:eastAsia="Calibri" w:hAnsi="Calibri" w:cs="Calibri"/>
          <w:iCs/>
          <w:color w:val="000000" w:themeColor="text1"/>
        </w:rPr>
        <w:t xml:space="preserve"> treatment due to its safety profile (para</w:t>
      </w:r>
      <w:r w:rsidR="5872031E" w:rsidRPr="0000305F">
        <w:rPr>
          <w:rFonts w:ascii="Calibri" w:eastAsia="Calibri" w:hAnsi="Calibri" w:cs="Calibri"/>
          <w:iCs/>
          <w:color w:val="000000" w:themeColor="text1"/>
        </w:rPr>
        <w:t>graph</w:t>
      </w:r>
      <w:r w:rsidR="000568CB" w:rsidRPr="0000305F">
        <w:rPr>
          <w:rFonts w:ascii="Calibri" w:eastAsia="Calibri" w:hAnsi="Calibri" w:cs="Calibri"/>
          <w:iCs/>
          <w:color w:val="000000" w:themeColor="text1"/>
        </w:rPr>
        <w:t xml:space="preserve"> 6.41</w:t>
      </w:r>
      <w:r w:rsidR="5872031E" w:rsidRPr="0000305F">
        <w:rPr>
          <w:rFonts w:ascii="Calibri" w:eastAsia="Calibri" w:hAnsi="Calibri" w:cs="Calibri"/>
          <w:iCs/>
          <w:color w:val="000000" w:themeColor="text1"/>
        </w:rPr>
        <w:t>,</w:t>
      </w:r>
      <w:r w:rsidR="000568CB" w:rsidRPr="0000305F">
        <w:rPr>
          <w:rFonts w:ascii="Calibri" w:eastAsia="Calibri" w:hAnsi="Calibri" w:cs="Calibri"/>
          <w:iCs/>
          <w:color w:val="000000" w:themeColor="text1"/>
        </w:rPr>
        <w:t xml:space="preserve"> ustekinumab PSD</w:t>
      </w:r>
      <w:r w:rsidR="5872031E" w:rsidRPr="0000305F">
        <w:rPr>
          <w:rFonts w:ascii="Calibri" w:eastAsia="Calibri" w:hAnsi="Calibri" w:cs="Calibri"/>
          <w:iCs/>
          <w:color w:val="000000" w:themeColor="text1"/>
        </w:rPr>
        <w:t>, March 2021</w:t>
      </w:r>
      <w:r w:rsidR="000568CB" w:rsidRPr="0000305F">
        <w:rPr>
          <w:rFonts w:ascii="Calibri" w:eastAsia="Calibri" w:hAnsi="Calibri" w:cs="Calibri"/>
          <w:iCs/>
          <w:color w:val="000000" w:themeColor="text1"/>
        </w:rPr>
        <w:t>).</w:t>
      </w:r>
    </w:p>
    <w:p w:rsidR="00696347" w:rsidRPr="005A0E10" w:rsidRDefault="00687AA0" w:rsidP="005A0E10">
      <w:pPr>
        <w:pStyle w:val="3-BodyText"/>
        <w:widowControl w:val="0"/>
        <w:rPr>
          <w:szCs w:val="20"/>
        </w:rPr>
      </w:pPr>
      <w:r>
        <w:rPr>
          <w:szCs w:val="20"/>
        </w:rPr>
        <w:t>The PBAC noted that while the PASI 75 outcome was not significantly different between secukinumab and etanercept at Week 12, the point estimate favoured secukinumab and the confidence intervals were wide due to small patient numbers.</w:t>
      </w:r>
      <w:r w:rsidR="0033074F">
        <w:rPr>
          <w:szCs w:val="20"/>
        </w:rPr>
        <w:t xml:space="preserve"> </w:t>
      </w:r>
      <w:r w:rsidRPr="00AA24A8">
        <w:rPr>
          <w:iCs/>
        </w:rPr>
        <w:t>The</w:t>
      </w:r>
      <w:r w:rsidRPr="00AA24A8">
        <w:t xml:space="preserve"> PBAC considered that the </w:t>
      </w:r>
      <w:r w:rsidRPr="006E15FC">
        <w:t xml:space="preserve">claim of </w:t>
      </w:r>
      <w:r>
        <w:t>superior</w:t>
      </w:r>
      <w:r w:rsidRPr="006E15FC">
        <w:t xml:space="preserve"> comparative effectiveness of secukinumab compared to </w:t>
      </w:r>
      <w:r>
        <w:t>etanercept</w:t>
      </w:r>
      <w:r w:rsidRPr="006E15FC">
        <w:t xml:space="preserve"> was uncertain but reasonable</w:t>
      </w:r>
      <w:r>
        <w:t>.</w:t>
      </w:r>
    </w:p>
    <w:p w:rsidR="00696347" w:rsidRPr="0000305F" w:rsidRDefault="00CF4A64" w:rsidP="00696347">
      <w:pPr>
        <w:pStyle w:val="3-BodyText"/>
        <w:rPr>
          <w:color w:val="000000" w:themeColor="text1"/>
        </w:rPr>
      </w:pPr>
      <w:r w:rsidRPr="00CF4A64">
        <w:rPr>
          <w:rFonts w:eastAsia="Calibri"/>
        </w:rPr>
        <w:t xml:space="preserve">The submission described secukinumab as equivalent in terms of safety compared to etanercept. The ESC agreed with the evaluation </w:t>
      </w:r>
      <w:r w:rsidRPr="00CF4A64">
        <w:rPr>
          <w:rFonts w:eastAsia="Calibri"/>
          <w:iCs/>
        </w:rPr>
        <w:t xml:space="preserve">that this claim may be reasonable, however noted there were limited comparative safety data presented in the submission to support a claim of equivalent safety. </w:t>
      </w:r>
      <w:r w:rsidR="00696347" w:rsidRPr="00CF4A64">
        <w:rPr>
          <w:szCs w:val="20"/>
        </w:rPr>
        <w:t xml:space="preserve">The PBAC considered that the claim of </w:t>
      </w:r>
      <w:r w:rsidRPr="00CF4A64">
        <w:rPr>
          <w:szCs w:val="20"/>
        </w:rPr>
        <w:t xml:space="preserve">equivalent </w:t>
      </w:r>
      <w:r w:rsidR="00696347" w:rsidRPr="00CF4A64">
        <w:rPr>
          <w:szCs w:val="20"/>
        </w:rPr>
        <w:t>comparative safety was reasonable.</w:t>
      </w:r>
    </w:p>
    <w:p w:rsidR="00696347" w:rsidRPr="00696347" w:rsidRDefault="00696347" w:rsidP="005E2068">
      <w:pPr>
        <w:pStyle w:val="5-SubsectionSubheading"/>
      </w:pPr>
      <w:r w:rsidRPr="00A92795">
        <w:rPr>
          <w:lang w:val="en-US"/>
        </w:rPr>
        <w:t>Indirect comparison between secukinumab and ustekinumab</w:t>
      </w:r>
    </w:p>
    <w:p w:rsidR="00BB36A1" w:rsidRPr="0000305F" w:rsidRDefault="000568CB" w:rsidP="00BB36A1">
      <w:pPr>
        <w:pStyle w:val="3-BodyText"/>
        <w:rPr>
          <w:color w:val="000000" w:themeColor="text1"/>
        </w:rPr>
      </w:pPr>
      <w:r w:rsidRPr="0000305F">
        <w:rPr>
          <w:rFonts w:ascii="Calibri" w:eastAsia="Calibri" w:hAnsi="Calibri" w:cs="Calibri"/>
        </w:rPr>
        <w:t xml:space="preserve">The submission described secukinumab as having non-inferior effectiveness over </w:t>
      </w:r>
      <w:r w:rsidR="004E5A5A" w:rsidRPr="0000305F">
        <w:rPr>
          <w:rFonts w:ascii="Calibri" w:eastAsia="Calibri" w:hAnsi="Calibri" w:cs="Calibri"/>
        </w:rPr>
        <w:t xml:space="preserve">the </w:t>
      </w:r>
      <w:r w:rsidRPr="0000305F">
        <w:rPr>
          <w:rFonts w:ascii="Calibri" w:eastAsia="Calibri" w:hAnsi="Calibri" w:cs="Calibri"/>
        </w:rPr>
        <w:t>secondary comparator (ustekinumab) based on an indirect comparison. The claim was based on CADMUS</w:t>
      </w:r>
      <w:r w:rsidR="00E362FD" w:rsidRPr="0000305F">
        <w:rPr>
          <w:rFonts w:ascii="Calibri" w:eastAsia="Calibri" w:hAnsi="Calibri" w:cs="Calibri"/>
        </w:rPr>
        <w:t xml:space="preserve"> and</w:t>
      </w:r>
      <w:r w:rsidRPr="0000305F">
        <w:rPr>
          <w:rFonts w:ascii="Calibri" w:eastAsia="Calibri" w:hAnsi="Calibri" w:cs="Calibri"/>
        </w:rPr>
        <w:t xml:space="preserve"> </w:t>
      </w:r>
      <w:r w:rsidR="00162EA1" w:rsidRPr="0000305F">
        <w:rPr>
          <w:rFonts w:ascii="Calibri" w:eastAsia="Calibri" w:hAnsi="Calibri" w:cs="Calibri"/>
        </w:rPr>
        <w:t>Study 2310</w:t>
      </w:r>
      <w:r w:rsidRPr="0000305F">
        <w:rPr>
          <w:rFonts w:ascii="Calibri" w:eastAsia="Calibri" w:hAnsi="Calibri" w:cs="Calibri"/>
        </w:rPr>
        <w:t xml:space="preserve">, as measured by PASI 75 response at </w:t>
      </w:r>
      <w:r w:rsidR="4B7817D3" w:rsidRPr="0000305F">
        <w:rPr>
          <w:rFonts w:ascii="Calibri" w:eastAsia="Calibri" w:hAnsi="Calibri" w:cs="Calibri"/>
        </w:rPr>
        <w:t>W</w:t>
      </w:r>
      <w:r w:rsidRPr="0000305F">
        <w:rPr>
          <w:rFonts w:ascii="Calibri" w:eastAsia="Calibri" w:hAnsi="Calibri" w:cs="Calibri"/>
        </w:rPr>
        <w:t>eek 12.</w:t>
      </w:r>
    </w:p>
    <w:p w:rsidR="00BB36A1" w:rsidRPr="0000305F" w:rsidRDefault="000568CB" w:rsidP="00BB36A1">
      <w:pPr>
        <w:pStyle w:val="3-BodyText"/>
        <w:rPr>
          <w:color w:val="000000" w:themeColor="text1"/>
        </w:rPr>
      </w:pPr>
      <w:r w:rsidRPr="0000305F">
        <w:rPr>
          <w:rFonts w:ascii="Calibri" w:eastAsia="Calibri" w:hAnsi="Calibri" w:cs="Calibri"/>
        </w:rPr>
        <w:t>The</w:t>
      </w:r>
      <w:r w:rsidR="00A36B82" w:rsidRPr="0000305F">
        <w:rPr>
          <w:rFonts w:ascii="Calibri" w:eastAsia="Calibri" w:hAnsi="Calibri" w:cs="Calibri"/>
        </w:rPr>
        <w:t xml:space="preserve"> evaluation considered the</w:t>
      </w:r>
      <w:r w:rsidRPr="0000305F">
        <w:rPr>
          <w:rFonts w:ascii="Calibri" w:eastAsia="Calibri" w:hAnsi="Calibri" w:cs="Calibri"/>
        </w:rPr>
        <w:t xml:space="preserve"> claim</w:t>
      </w:r>
      <w:r w:rsidR="009B4CA7">
        <w:rPr>
          <w:rFonts w:ascii="Calibri" w:eastAsia="Calibri" w:hAnsi="Calibri" w:cs="Calibri"/>
        </w:rPr>
        <w:t xml:space="preserve"> may not</w:t>
      </w:r>
      <w:r w:rsidR="00A36B82" w:rsidRPr="0000305F">
        <w:rPr>
          <w:rFonts w:ascii="Calibri" w:eastAsia="Calibri" w:hAnsi="Calibri" w:cs="Calibri"/>
        </w:rPr>
        <w:t xml:space="preserve"> be</w:t>
      </w:r>
      <w:r w:rsidRPr="0000305F">
        <w:rPr>
          <w:rFonts w:ascii="Calibri" w:eastAsia="Calibri" w:hAnsi="Calibri" w:cs="Calibri"/>
        </w:rPr>
        <w:t xml:space="preserve"> adequately supported for the following reasons:</w:t>
      </w:r>
    </w:p>
    <w:p w:rsidR="000D4E97" w:rsidRPr="00FD5CF2" w:rsidRDefault="00F448E7" w:rsidP="00F02CF4">
      <w:pPr>
        <w:pStyle w:val="3-BodyText"/>
        <w:numPr>
          <w:ilvl w:val="0"/>
          <w:numId w:val="7"/>
        </w:numPr>
        <w:rPr>
          <w:rStyle w:val="normaltextrun"/>
          <w:rFonts w:eastAsiaTheme="minorEastAsia" w:cstheme="minorBidi"/>
          <w:iCs/>
          <w:color w:val="000000" w:themeColor="text1"/>
          <w:lang w:eastAsia="en-US"/>
        </w:rPr>
      </w:pPr>
      <w:r w:rsidRPr="00FD5CF2">
        <w:rPr>
          <w:iCs/>
        </w:rPr>
        <w:t>Inadequate</w:t>
      </w:r>
      <w:r w:rsidR="004F2068" w:rsidRPr="00FD5CF2">
        <w:rPr>
          <w:iCs/>
        </w:rPr>
        <w:t xml:space="preserve"> source</w:t>
      </w:r>
      <w:r w:rsidRPr="00FD5CF2">
        <w:rPr>
          <w:iCs/>
        </w:rPr>
        <w:t xml:space="preserve">, specification </w:t>
      </w:r>
      <w:r w:rsidR="00474A2B" w:rsidRPr="00FD5CF2">
        <w:rPr>
          <w:iCs/>
        </w:rPr>
        <w:t>and</w:t>
      </w:r>
      <w:r w:rsidRPr="00FD5CF2">
        <w:rPr>
          <w:iCs/>
        </w:rPr>
        <w:t xml:space="preserve"> application of a </w:t>
      </w:r>
      <w:r w:rsidR="0068781B" w:rsidRPr="00FD5CF2">
        <w:rPr>
          <w:iCs/>
        </w:rPr>
        <w:t xml:space="preserve">non-inferiority margin </w:t>
      </w:r>
      <w:r w:rsidR="004F2068" w:rsidRPr="00C95380">
        <w:rPr>
          <w:iCs/>
        </w:rPr>
        <w:t>(paragraph 6.2</w:t>
      </w:r>
      <w:r w:rsidR="00194E21" w:rsidRPr="00C95380">
        <w:rPr>
          <w:iCs/>
        </w:rPr>
        <w:t>0</w:t>
      </w:r>
      <w:r w:rsidR="004F2068" w:rsidRPr="00C95380">
        <w:rPr>
          <w:iCs/>
        </w:rPr>
        <w:t>)</w:t>
      </w:r>
      <w:r w:rsidR="005E50F8" w:rsidRPr="00C95380">
        <w:rPr>
          <w:iCs/>
        </w:rPr>
        <w:t>.</w:t>
      </w:r>
      <w:r w:rsidR="005E50F8" w:rsidRPr="00FD5CF2">
        <w:rPr>
          <w:iCs/>
        </w:rPr>
        <w:t xml:space="preserve"> The evaluation noted that </w:t>
      </w:r>
      <w:r w:rsidR="0068781B" w:rsidRPr="00FD5CF2">
        <w:rPr>
          <w:iCs/>
        </w:rPr>
        <w:t>the proposed 10% margin was not met.</w:t>
      </w:r>
      <w:r w:rsidR="00B56103">
        <w:rPr>
          <w:iCs/>
        </w:rPr>
        <w:t xml:space="preserve"> The PSCR noted </w:t>
      </w:r>
      <w:r w:rsidR="00E20048" w:rsidRPr="00FD5CF2">
        <w:rPr>
          <w:iCs/>
        </w:rPr>
        <w:t>that the 10% non-inferiority margin previously</w:t>
      </w:r>
      <w:r w:rsidR="00FF12FB" w:rsidRPr="00FD5CF2">
        <w:rPr>
          <w:iCs/>
        </w:rPr>
        <w:t xml:space="preserve"> applied to the guselkumab and risankizumab submissions was for adults, </w:t>
      </w:r>
      <w:r w:rsidR="00FF12FB" w:rsidRPr="0000305F">
        <w:t>there is no published non-inferiority margins in paediatric CPP identified during the evaluation, nor has the PBAC previously accepted any specific non-inferiority margin.</w:t>
      </w:r>
      <w:r w:rsidR="00FF12FB" w:rsidRPr="00FD5CF2">
        <w:rPr>
          <w:iCs/>
        </w:rPr>
        <w:t xml:space="preserve"> </w:t>
      </w:r>
    </w:p>
    <w:p w:rsidR="00BB36A1" w:rsidRPr="00D2346B" w:rsidRDefault="00D2346B" w:rsidP="00F02CF4">
      <w:pPr>
        <w:pStyle w:val="ListBullet"/>
        <w:numPr>
          <w:ilvl w:val="0"/>
          <w:numId w:val="7"/>
        </w:numPr>
        <w:spacing w:after="120"/>
        <w:ind w:left="1077" w:hanging="357"/>
        <w:contextualSpacing w:val="0"/>
        <w:jc w:val="both"/>
        <w:rPr>
          <w:rFonts w:eastAsia="Calibri" w:cs="Calibri"/>
          <w:iCs/>
        </w:rPr>
      </w:pPr>
      <w:r>
        <w:rPr>
          <w:rFonts w:eastAsia="Calibri" w:cs="Calibri"/>
          <w:iCs/>
          <w:color w:val="000000" w:themeColor="text1"/>
        </w:rPr>
        <w:t xml:space="preserve">Both Study 2310 and the CADMUS trial had </w:t>
      </w:r>
      <w:r>
        <w:rPr>
          <w:iCs/>
        </w:rPr>
        <w:t>s</w:t>
      </w:r>
      <w:r w:rsidR="00BB36A1" w:rsidRPr="009B4CA7">
        <w:rPr>
          <w:iCs/>
        </w:rPr>
        <w:t>mall sample sizes</w:t>
      </w:r>
      <w:r w:rsidR="00E160F8" w:rsidRPr="009B4CA7">
        <w:rPr>
          <w:iCs/>
        </w:rPr>
        <w:t>.</w:t>
      </w:r>
      <w:r w:rsidR="00BB36A1" w:rsidRPr="009B4CA7">
        <w:rPr>
          <w:iCs/>
        </w:rPr>
        <w:t xml:space="preserve"> </w:t>
      </w:r>
    </w:p>
    <w:p w:rsidR="000C092E" w:rsidRPr="0000305F" w:rsidRDefault="000C092E" w:rsidP="005A0E10">
      <w:pPr>
        <w:pStyle w:val="ListBullet"/>
        <w:numPr>
          <w:ilvl w:val="0"/>
          <w:numId w:val="7"/>
        </w:numPr>
        <w:spacing w:after="120"/>
        <w:ind w:left="1077" w:hanging="357"/>
        <w:contextualSpacing w:val="0"/>
        <w:jc w:val="both"/>
        <w:rPr>
          <w:rFonts w:eastAsia="Calibri" w:cs="Calibri"/>
        </w:rPr>
      </w:pPr>
      <w:r w:rsidRPr="0000305F">
        <w:rPr>
          <w:rFonts w:cstheme="minorHAnsi"/>
        </w:rPr>
        <w:t xml:space="preserve">While not statistically significant, the point estimate for the primary outcome (PASI 75) favoured ustekinumab over secukinumab at Week 12 </w:t>
      </w:r>
      <w:r w:rsidRPr="0000305F">
        <w:rPr>
          <w:iCs/>
        </w:rPr>
        <w:t>(secukinumab combined doses vs ustekinumab OR=0.63, 95% CI: 0.12, 3.27)</w:t>
      </w:r>
      <w:r w:rsidRPr="0000305F">
        <w:rPr>
          <w:rFonts w:cstheme="minorHAnsi"/>
          <w:sz w:val="22"/>
          <w:szCs w:val="22"/>
        </w:rPr>
        <w:t>.</w:t>
      </w:r>
    </w:p>
    <w:p w:rsidR="00D2346B" w:rsidRPr="00D2346B" w:rsidRDefault="00D2346B" w:rsidP="00D2346B">
      <w:pPr>
        <w:pStyle w:val="3-BodyText"/>
        <w:rPr>
          <w:rFonts w:eastAsiaTheme="minorEastAsia" w:cstheme="minorBidi"/>
          <w:iCs/>
          <w:color w:val="000000" w:themeColor="text1"/>
        </w:rPr>
      </w:pPr>
      <w:r w:rsidRPr="00D2346B">
        <w:rPr>
          <w:rFonts w:eastAsiaTheme="minorEastAsia" w:cstheme="minorBidi"/>
          <w:iCs/>
          <w:color w:val="000000" w:themeColor="text1"/>
        </w:rPr>
        <w:t xml:space="preserve">The trial populations are different to the proposed eligible PBS population, in terms of: </w:t>
      </w:r>
    </w:p>
    <w:p w:rsidR="00D2346B" w:rsidRPr="00D2346B" w:rsidRDefault="00D2346B" w:rsidP="00D2346B">
      <w:pPr>
        <w:pStyle w:val="3-BodyText"/>
        <w:numPr>
          <w:ilvl w:val="0"/>
          <w:numId w:val="26"/>
        </w:numPr>
        <w:ind w:left="1134" w:hanging="425"/>
        <w:rPr>
          <w:rFonts w:eastAsiaTheme="minorEastAsia" w:cstheme="minorBidi"/>
          <w:iCs/>
          <w:color w:val="000000" w:themeColor="text1"/>
        </w:rPr>
      </w:pPr>
      <w:r w:rsidRPr="00D2346B">
        <w:rPr>
          <w:rFonts w:eastAsiaTheme="minorEastAsia" w:cstheme="minorBidi"/>
          <w:iCs/>
          <w:color w:val="000000" w:themeColor="text1"/>
        </w:rPr>
        <w:t xml:space="preserve">The number of prior systemic treatments failed. The proposed PBS population must have failed to achieve an adequate response to at least 2 of 3 prior treatments (phototherapy, methotrexate or acitretin).  The 2310 and CADMUS trials did not require patients to meet </w:t>
      </w:r>
      <w:r w:rsidR="00541E1C" w:rsidRPr="00D2346B">
        <w:rPr>
          <w:rFonts w:eastAsiaTheme="minorEastAsia" w:cstheme="minorBidi"/>
          <w:iCs/>
          <w:color w:val="000000" w:themeColor="text1"/>
        </w:rPr>
        <w:t>this criterion</w:t>
      </w:r>
      <w:r w:rsidRPr="00D2346B">
        <w:rPr>
          <w:rFonts w:eastAsiaTheme="minorEastAsia" w:cstheme="minorBidi"/>
          <w:iCs/>
          <w:color w:val="000000" w:themeColor="text1"/>
        </w:rPr>
        <w:t>.</w:t>
      </w:r>
    </w:p>
    <w:p w:rsidR="00D2346B" w:rsidRPr="00D2346B" w:rsidRDefault="00D2346B" w:rsidP="00D2346B">
      <w:pPr>
        <w:pStyle w:val="3-BodyText"/>
        <w:numPr>
          <w:ilvl w:val="0"/>
          <w:numId w:val="26"/>
        </w:numPr>
        <w:ind w:left="1134" w:hanging="425"/>
        <w:rPr>
          <w:rFonts w:eastAsiaTheme="minorEastAsia" w:cstheme="minorBidi"/>
          <w:iCs/>
          <w:color w:val="000000" w:themeColor="text1"/>
        </w:rPr>
      </w:pPr>
      <w:r w:rsidRPr="00D2346B">
        <w:rPr>
          <w:rFonts w:eastAsiaTheme="minorEastAsia" w:cstheme="minorBidi"/>
          <w:iCs/>
          <w:color w:val="000000" w:themeColor="text1"/>
        </w:rPr>
        <w:t xml:space="preserve">The presence of lesions prior to treatment. The proposed PBS population must have lesions present for at least 6 months from the time of initial diagnosis. The 2310 and CADMUS trials did not require patients to meet </w:t>
      </w:r>
      <w:r w:rsidR="00541E1C" w:rsidRPr="00D2346B">
        <w:rPr>
          <w:rFonts w:eastAsiaTheme="minorEastAsia" w:cstheme="minorBidi"/>
          <w:iCs/>
          <w:color w:val="000000" w:themeColor="text1"/>
        </w:rPr>
        <w:t>this criterion</w:t>
      </w:r>
      <w:r w:rsidRPr="00D2346B">
        <w:rPr>
          <w:rFonts w:eastAsiaTheme="minorEastAsia" w:cstheme="minorBidi"/>
          <w:iCs/>
          <w:color w:val="000000" w:themeColor="text1"/>
        </w:rPr>
        <w:t>.</w:t>
      </w:r>
    </w:p>
    <w:p w:rsidR="00D2346B" w:rsidRPr="00D2346B" w:rsidRDefault="00D2346B" w:rsidP="00D2346B">
      <w:pPr>
        <w:pStyle w:val="3-BodyText"/>
        <w:numPr>
          <w:ilvl w:val="0"/>
          <w:numId w:val="26"/>
        </w:numPr>
        <w:ind w:left="1134" w:hanging="425"/>
        <w:rPr>
          <w:rFonts w:eastAsiaTheme="minorEastAsia" w:cstheme="minorBidi"/>
          <w:iCs/>
          <w:color w:val="000000" w:themeColor="text1"/>
        </w:rPr>
      </w:pPr>
      <w:r w:rsidRPr="00D2346B">
        <w:rPr>
          <w:rFonts w:eastAsiaTheme="minorEastAsia" w:cstheme="minorBidi"/>
          <w:iCs/>
          <w:color w:val="000000" w:themeColor="text1"/>
        </w:rPr>
        <w:t>Child’s age (12-17 years in CADMUS and 6-18 years old in Study 2310, compared to under 18 years in the proposed restriction).</w:t>
      </w:r>
    </w:p>
    <w:p w:rsidR="00840318" w:rsidRPr="0000305F" w:rsidRDefault="000568CB" w:rsidP="00840318">
      <w:pPr>
        <w:pStyle w:val="3-BodyText"/>
        <w:rPr>
          <w:rFonts w:eastAsiaTheme="minorEastAsia" w:cstheme="minorBidi"/>
          <w:iCs/>
          <w:color w:val="000000" w:themeColor="text1"/>
        </w:rPr>
      </w:pPr>
      <w:r w:rsidRPr="0000305F">
        <w:rPr>
          <w:rFonts w:eastAsia="Calibri"/>
        </w:rPr>
        <w:t xml:space="preserve">The submission described secukinumab as equivalent in terms of safety compared to ustekinumab. </w:t>
      </w:r>
      <w:r w:rsidR="00377EA7" w:rsidRPr="0000305F">
        <w:rPr>
          <w:rFonts w:eastAsia="Calibri"/>
        </w:rPr>
        <w:t>The</w:t>
      </w:r>
      <w:r w:rsidR="002E0099" w:rsidRPr="0000305F">
        <w:rPr>
          <w:rFonts w:eastAsia="Calibri"/>
        </w:rPr>
        <w:t xml:space="preserve"> ESC agreed with the</w:t>
      </w:r>
      <w:r w:rsidR="00377EA7" w:rsidRPr="0000305F">
        <w:rPr>
          <w:rFonts w:eastAsia="Calibri"/>
        </w:rPr>
        <w:t xml:space="preserve"> evaluation </w:t>
      </w:r>
      <w:r w:rsidR="00377EA7" w:rsidRPr="0000305F">
        <w:rPr>
          <w:rFonts w:eastAsia="Calibri"/>
          <w:iCs/>
        </w:rPr>
        <w:t>that t</w:t>
      </w:r>
      <w:r w:rsidRPr="0000305F">
        <w:rPr>
          <w:rFonts w:eastAsia="Calibri"/>
          <w:iCs/>
        </w:rPr>
        <w:t>his claim may be reasonable</w:t>
      </w:r>
      <w:r w:rsidR="00377EA7" w:rsidRPr="0000305F">
        <w:rPr>
          <w:rFonts w:eastAsia="Calibri"/>
          <w:iCs/>
        </w:rPr>
        <w:t>,</w:t>
      </w:r>
      <w:r w:rsidRPr="0000305F">
        <w:rPr>
          <w:rFonts w:eastAsia="Calibri"/>
          <w:iCs/>
        </w:rPr>
        <w:t xml:space="preserve"> however</w:t>
      </w:r>
      <w:r w:rsidR="00377EA7" w:rsidRPr="0000305F">
        <w:rPr>
          <w:rFonts w:eastAsia="Calibri"/>
          <w:iCs/>
        </w:rPr>
        <w:t xml:space="preserve"> noted</w:t>
      </w:r>
      <w:r w:rsidRPr="0000305F">
        <w:rPr>
          <w:rFonts w:eastAsia="Calibri"/>
          <w:iCs/>
        </w:rPr>
        <w:t xml:space="preserve"> there were limited comparative safety data presented in the submission to support a claim of equivalent safety. </w:t>
      </w:r>
      <w:r w:rsidRPr="0000305F">
        <w:rPr>
          <w:rFonts w:ascii="Calibri" w:eastAsia="Calibri" w:hAnsi="Calibri" w:cs="Calibri"/>
          <w:iCs/>
          <w:color w:val="000000" w:themeColor="text1"/>
        </w:rPr>
        <w:t>Previously, the PBAC considered that secukinumab for adults</w:t>
      </w:r>
      <w:r w:rsidR="0C63ED45" w:rsidRPr="0000305F">
        <w:rPr>
          <w:rFonts w:ascii="Calibri" w:eastAsia="Calibri" w:hAnsi="Calibri" w:cs="Calibri"/>
          <w:iCs/>
          <w:color w:val="000000" w:themeColor="text1"/>
        </w:rPr>
        <w:t xml:space="preserve"> with</w:t>
      </w:r>
      <w:r w:rsidRPr="0000305F">
        <w:rPr>
          <w:rFonts w:ascii="Calibri" w:eastAsia="Calibri" w:hAnsi="Calibri" w:cs="Calibri"/>
          <w:iCs/>
          <w:color w:val="000000" w:themeColor="text1"/>
        </w:rPr>
        <w:t xml:space="preserve"> severe </w:t>
      </w:r>
      <w:r w:rsidR="0C63ED45" w:rsidRPr="0000305F">
        <w:rPr>
          <w:rFonts w:ascii="Calibri" w:eastAsia="Calibri" w:hAnsi="Calibri" w:cs="Calibri"/>
          <w:iCs/>
          <w:color w:val="000000" w:themeColor="text1"/>
        </w:rPr>
        <w:t>CPP</w:t>
      </w:r>
      <w:r w:rsidRPr="0000305F">
        <w:rPr>
          <w:rFonts w:ascii="Calibri" w:eastAsia="Calibri" w:hAnsi="Calibri" w:cs="Calibri"/>
          <w:iCs/>
          <w:color w:val="000000" w:themeColor="text1"/>
        </w:rPr>
        <w:t xml:space="preserve"> is likely to be non-inferior to ustekinumab in terms of comparative efficacy and safety (para</w:t>
      </w:r>
      <w:r w:rsidR="0C63ED45" w:rsidRPr="0000305F">
        <w:rPr>
          <w:rFonts w:ascii="Calibri" w:eastAsia="Calibri" w:hAnsi="Calibri" w:cs="Calibri"/>
          <w:iCs/>
          <w:color w:val="000000" w:themeColor="text1"/>
        </w:rPr>
        <w:t>graph</w:t>
      </w:r>
      <w:r w:rsidRPr="0000305F">
        <w:rPr>
          <w:rFonts w:ascii="Calibri" w:eastAsia="Calibri" w:hAnsi="Calibri" w:cs="Calibri"/>
          <w:iCs/>
          <w:color w:val="000000" w:themeColor="text1"/>
        </w:rPr>
        <w:t xml:space="preserve"> 7.3</w:t>
      </w:r>
      <w:r w:rsidR="0C63ED45" w:rsidRPr="0000305F">
        <w:rPr>
          <w:rFonts w:ascii="Calibri" w:eastAsia="Calibri" w:hAnsi="Calibri" w:cs="Calibri"/>
          <w:iCs/>
          <w:color w:val="000000" w:themeColor="text1"/>
        </w:rPr>
        <w:t>,</w:t>
      </w:r>
      <w:r w:rsidRPr="0000305F">
        <w:rPr>
          <w:rFonts w:ascii="Calibri" w:eastAsia="Calibri" w:hAnsi="Calibri" w:cs="Calibri"/>
          <w:iCs/>
          <w:color w:val="000000" w:themeColor="text1"/>
        </w:rPr>
        <w:t xml:space="preserve"> secukinumab</w:t>
      </w:r>
      <w:r w:rsidR="0C63ED45" w:rsidRPr="0000305F">
        <w:rPr>
          <w:rFonts w:ascii="Calibri" w:eastAsia="Calibri" w:hAnsi="Calibri" w:cs="Calibri"/>
          <w:iCs/>
          <w:color w:val="000000" w:themeColor="text1"/>
        </w:rPr>
        <w:t xml:space="preserve"> PSD,</w:t>
      </w:r>
      <w:r w:rsidRPr="0000305F">
        <w:rPr>
          <w:rFonts w:ascii="Calibri" w:eastAsia="Calibri" w:hAnsi="Calibri" w:cs="Calibri"/>
          <w:iCs/>
          <w:color w:val="000000" w:themeColor="text1"/>
        </w:rPr>
        <w:t xml:space="preserve"> March 2015). Ustekinumab is considered to have non-inferior safety compared to etanercept</w:t>
      </w:r>
      <w:r w:rsidR="31E7F9EF" w:rsidRPr="0000305F">
        <w:rPr>
          <w:rFonts w:ascii="Calibri" w:eastAsia="Calibri" w:hAnsi="Calibri" w:cs="Calibri"/>
          <w:iCs/>
          <w:color w:val="000000" w:themeColor="text1"/>
        </w:rPr>
        <w:t xml:space="preserve"> in</w:t>
      </w:r>
      <w:r w:rsidR="42AB3697" w:rsidRPr="0000305F">
        <w:rPr>
          <w:rFonts w:ascii="Calibri" w:eastAsia="Calibri" w:hAnsi="Calibri" w:cs="Calibri"/>
          <w:iCs/>
          <w:color w:val="000000" w:themeColor="text1"/>
        </w:rPr>
        <w:t xml:space="preserve"> the</w:t>
      </w:r>
      <w:r w:rsidR="31E7F9EF" w:rsidRPr="0000305F">
        <w:rPr>
          <w:rFonts w:ascii="Calibri" w:eastAsia="Calibri" w:hAnsi="Calibri" w:cs="Calibri"/>
          <w:iCs/>
          <w:color w:val="000000" w:themeColor="text1"/>
        </w:rPr>
        <w:t xml:space="preserve"> paediatric population</w:t>
      </w:r>
      <w:r w:rsidRPr="0000305F">
        <w:rPr>
          <w:rFonts w:ascii="Calibri" w:eastAsia="Calibri" w:hAnsi="Calibri" w:cs="Calibri"/>
          <w:iCs/>
          <w:color w:val="000000" w:themeColor="text1"/>
        </w:rPr>
        <w:t xml:space="preserve"> (para</w:t>
      </w:r>
      <w:r w:rsidR="0C63ED45" w:rsidRPr="0000305F">
        <w:rPr>
          <w:rFonts w:ascii="Calibri" w:eastAsia="Calibri" w:hAnsi="Calibri" w:cs="Calibri"/>
          <w:iCs/>
          <w:color w:val="000000" w:themeColor="text1"/>
        </w:rPr>
        <w:t>graph</w:t>
      </w:r>
      <w:r w:rsidRPr="0000305F">
        <w:rPr>
          <w:rFonts w:ascii="Calibri" w:eastAsia="Calibri" w:hAnsi="Calibri" w:cs="Calibri"/>
          <w:iCs/>
          <w:color w:val="000000" w:themeColor="text1"/>
        </w:rPr>
        <w:t xml:space="preserve"> 6.43, ustekinumab PSD, March 2021)</w:t>
      </w:r>
      <w:r w:rsidR="0C63ED45" w:rsidRPr="0000305F">
        <w:rPr>
          <w:rFonts w:ascii="Calibri" w:eastAsia="Calibri" w:hAnsi="Calibri" w:cs="Calibri"/>
          <w:iCs/>
          <w:color w:val="000000" w:themeColor="text1"/>
        </w:rPr>
        <w:t>.</w:t>
      </w:r>
    </w:p>
    <w:p w:rsidR="00377EA7" w:rsidRPr="00BA48DD" w:rsidRDefault="00377EA7" w:rsidP="00840318">
      <w:pPr>
        <w:pStyle w:val="3-BodyText"/>
        <w:rPr>
          <w:rFonts w:eastAsiaTheme="minorEastAsia" w:cstheme="minorBidi"/>
          <w:iCs/>
          <w:color w:val="000000" w:themeColor="text1"/>
        </w:rPr>
      </w:pPr>
      <w:r w:rsidRPr="00BA48DD">
        <w:rPr>
          <w:rFonts w:eastAsia="Calibri"/>
        </w:rPr>
        <w:t>The ESC considered the non-inferiority claim against ustekinumab</w:t>
      </w:r>
      <w:r w:rsidR="002E0099" w:rsidRPr="00BA48DD">
        <w:rPr>
          <w:rFonts w:eastAsia="Calibri"/>
        </w:rPr>
        <w:t xml:space="preserve"> with respect to efficacy</w:t>
      </w:r>
      <w:r w:rsidRPr="00BA48DD">
        <w:rPr>
          <w:rFonts w:eastAsia="Calibri"/>
        </w:rPr>
        <w:t xml:space="preserve"> to be uncertain. The ESC noted</w:t>
      </w:r>
      <w:r w:rsidR="00C67B06" w:rsidRPr="00BA48DD">
        <w:rPr>
          <w:rFonts w:eastAsia="Calibri"/>
        </w:rPr>
        <w:t xml:space="preserve"> the significant transitivity issues and</w:t>
      </w:r>
      <w:r w:rsidRPr="00BA48DD">
        <w:rPr>
          <w:rFonts w:eastAsia="Calibri"/>
        </w:rPr>
        <w:t xml:space="preserve"> the</w:t>
      </w:r>
      <w:r w:rsidRPr="00BA48DD">
        <w:t xml:space="preserve"> wide confidence intervals that cross the nominated non-inferiority margin of 10%, indicating secukinumab could </w:t>
      </w:r>
      <w:r w:rsidR="00C75ADA" w:rsidRPr="00BA48DD">
        <w:t>have</w:t>
      </w:r>
      <w:r w:rsidRPr="00BA48DD">
        <w:t xml:space="preserve"> inferior</w:t>
      </w:r>
      <w:r w:rsidR="00C75ADA" w:rsidRPr="00BA48DD">
        <w:t xml:space="preserve"> efficacy</w:t>
      </w:r>
      <w:r w:rsidRPr="00BA48DD">
        <w:t>. The ESC acknowledged that the</w:t>
      </w:r>
      <w:r w:rsidR="005F216E" w:rsidRPr="00BA48DD">
        <w:t xml:space="preserve"> wide confidence intervals may be associated with the</w:t>
      </w:r>
      <w:r w:rsidRPr="00BA48DD">
        <w:t xml:space="preserve"> small sample sizes in the studies.</w:t>
      </w:r>
    </w:p>
    <w:p w:rsidR="00242BA5" w:rsidRPr="00BA48DD" w:rsidRDefault="00B56103" w:rsidP="00242BA5">
      <w:pPr>
        <w:pStyle w:val="3-BodyText"/>
        <w:rPr>
          <w:rFonts w:eastAsiaTheme="minorEastAsia" w:cstheme="minorBidi"/>
          <w:iCs/>
          <w:color w:val="000000" w:themeColor="text1"/>
        </w:rPr>
      </w:pPr>
      <w:r>
        <w:rPr>
          <w:rFonts w:eastAsiaTheme="minorEastAsia" w:cstheme="minorBidi"/>
          <w:iCs/>
          <w:color w:val="000000" w:themeColor="text1"/>
        </w:rPr>
        <w:t>The pre-PBAC response stated</w:t>
      </w:r>
      <w:r w:rsidR="001A1D88" w:rsidRPr="00BA48DD">
        <w:rPr>
          <w:rFonts w:eastAsiaTheme="minorEastAsia" w:cstheme="minorBidi"/>
          <w:iCs/>
          <w:color w:val="000000" w:themeColor="text1"/>
        </w:rPr>
        <w:t xml:space="preserve"> that there are</w:t>
      </w:r>
      <w:r w:rsidR="00242BA5" w:rsidRPr="00BA48DD">
        <w:rPr>
          <w:rFonts w:eastAsiaTheme="minorEastAsia" w:cstheme="minorBidi"/>
          <w:iCs/>
          <w:color w:val="000000" w:themeColor="text1"/>
        </w:rPr>
        <w:t xml:space="preserve"> no published non-inferiority margins in paediatric CPP identified during the evaluation, nor has the PBAC previously accepted any specific non-inferiority margin. </w:t>
      </w:r>
      <w:r w:rsidR="001A1D88" w:rsidRPr="00BA48DD">
        <w:rPr>
          <w:rFonts w:eastAsiaTheme="minorEastAsia" w:cstheme="minorBidi"/>
          <w:iCs/>
          <w:color w:val="000000" w:themeColor="text1"/>
        </w:rPr>
        <w:t>The Sponsor noted that for</w:t>
      </w:r>
      <w:r w:rsidR="00242BA5" w:rsidRPr="00BA48DD">
        <w:rPr>
          <w:rFonts w:eastAsiaTheme="minorEastAsia" w:cstheme="minorBidi"/>
          <w:iCs/>
          <w:color w:val="000000" w:themeColor="text1"/>
        </w:rPr>
        <w:t xml:space="preserve"> ustekinumab </w:t>
      </w:r>
      <w:r w:rsidR="001A1D88" w:rsidRPr="00BA48DD">
        <w:rPr>
          <w:rFonts w:eastAsiaTheme="minorEastAsia" w:cstheme="minorBidi"/>
          <w:iCs/>
          <w:color w:val="000000" w:themeColor="text1"/>
        </w:rPr>
        <w:t xml:space="preserve">in </w:t>
      </w:r>
      <w:r w:rsidR="00242BA5" w:rsidRPr="00BA48DD">
        <w:rPr>
          <w:rFonts w:eastAsiaTheme="minorEastAsia" w:cstheme="minorBidi"/>
          <w:iCs/>
          <w:color w:val="000000" w:themeColor="text1"/>
        </w:rPr>
        <w:t xml:space="preserve">paediatric </w:t>
      </w:r>
      <w:r w:rsidR="001A1D88" w:rsidRPr="00BA48DD">
        <w:rPr>
          <w:rFonts w:eastAsiaTheme="minorEastAsia" w:cstheme="minorBidi"/>
          <w:iCs/>
          <w:color w:val="000000" w:themeColor="text1"/>
        </w:rPr>
        <w:t>CPP</w:t>
      </w:r>
      <w:r w:rsidR="00242BA5" w:rsidRPr="00BA48DD">
        <w:rPr>
          <w:rFonts w:eastAsiaTheme="minorEastAsia" w:cstheme="minorBidi"/>
          <w:iCs/>
          <w:color w:val="000000" w:themeColor="text1"/>
        </w:rPr>
        <w:t>, a claim of superiority was</w:t>
      </w:r>
      <w:r w:rsidR="001A1D88" w:rsidRPr="00BA48DD">
        <w:rPr>
          <w:rFonts w:eastAsiaTheme="minorEastAsia" w:cstheme="minorBidi"/>
          <w:iCs/>
          <w:color w:val="000000" w:themeColor="text1"/>
        </w:rPr>
        <w:t xml:space="preserve"> accepted by the PBAC</w:t>
      </w:r>
      <w:r w:rsidR="00242BA5" w:rsidRPr="00BA48DD">
        <w:rPr>
          <w:rFonts w:eastAsiaTheme="minorEastAsia" w:cstheme="minorBidi"/>
          <w:iCs/>
          <w:color w:val="000000" w:themeColor="text1"/>
        </w:rPr>
        <w:t xml:space="preserve"> based on </w:t>
      </w:r>
      <w:r w:rsidR="001A1D88" w:rsidRPr="00BA48DD">
        <w:rPr>
          <w:rFonts w:eastAsiaTheme="minorEastAsia" w:cstheme="minorBidi"/>
          <w:iCs/>
          <w:color w:val="000000" w:themeColor="text1"/>
        </w:rPr>
        <w:t>the indirect comparison in PASI </w:t>
      </w:r>
      <w:r w:rsidR="00242BA5" w:rsidRPr="00BA48DD">
        <w:rPr>
          <w:rFonts w:eastAsiaTheme="minorEastAsia" w:cstheme="minorBidi"/>
          <w:iCs/>
          <w:color w:val="000000" w:themeColor="text1"/>
        </w:rPr>
        <w:t xml:space="preserve">75 response </w:t>
      </w:r>
      <w:r w:rsidR="001A1D88" w:rsidRPr="00BA48DD">
        <w:rPr>
          <w:rFonts w:eastAsiaTheme="minorEastAsia" w:cstheme="minorBidi"/>
          <w:iCs/>
          <w:color w:val="000000" w:themeColor="text1"/>
        </w:rPr>
        <w:t>compared with etanercept at W</w:t>
      </w:r>
      <w:r w:rsidR="00242BA5" w:rsidRPr="00BA48DD">
        <w:rPr>
          <w:rFonts w:eastAsiaTheme="minorEastAsia" w:cstheme="minorBidi"/>
          <w:iCs/>
          <w:color w:val="000000" w:themeColor="text1"/>
        </w:rPr>
        <w:t>eek 12 (RD</w:t>
      </w:r>
      <w:r w:rsidR="001A1D88" w:rsidRPr="00BA48DD">
        <w:rPr>
          <w:rFonts w:eastAsiaTheme="minorEastAsia" w:cstheme="minorBidi"/>
          <w:iCs/>
          <w:color w:val="000000" w:themeColor="text1"/>
        </w:rPr>
        <w:t xml:space="preserve"> </w:t>
      </w:r>
      <w:r w:rsidR="00242BA5" w:rsidRPr="00BA48DD">
        <w:rPr>
          <w:rFonts w:eastAsiaTheme="minorEastAsia" w:cstheme="minorBidi"/>
          <w:iCs/>
          <w:color w:val="000000" w:themeColor="text1"/>
        </w:rPr>
        <w:t>=</w:t>
      </w:r>
      <w:r w:rsidR="001A1D88" w:rsidRPr="00BA48DD">
        <w:rPr>
          <w:rFonts w:eastAsiaTheme="minorEastAsia" w:cstheme="minorBidi"/>
          <w:iCs/>
          <w:color w:val="000000" w:themeColor="text1"/>
        </w:rPr>
        <w:t xml:space="preserve"> </w:t>
      </w:r>
      <w:r w:rsidR="00242BA5" w:rsidRPr="00BA48DD">
        <w:rPr>
          <w:rFonts w:eastAsiaTheme="minorEastAsia" w:cstheme="minorBidi"/>
          <w:iCs/>
          <w:color w:val="000000" w:themeColor="text1"/>
        </w:rPr>
        <w:t xml:space="preserve">0.27, 95% CI 0.09, 0.44). The lower risk </w:t>
      </w:r>
      <w:r w:rsidR="001A1D88" w:rsidRPr="00BA48DD">
        <w:rPr>
          <w:rFonts w:eastAsiaTheme="minorEastAsia" w:cstheme="minorBidi"/>
          <w:iCs/>
          <w:color w:val="000000" w:themeColor="text1"/>
        </w:rPr>
        <w:t>difference confidence interval was</w:t>
      </w:r>
      <w:r w:rsidR="00242BA5" w:rsidRPr="00BA48DD">
        <w:rPr>
          <w:rFonts w:eastAsiaTheme="minorEastAsia" w:cstheme="minorBidi"/>
          <w:iCs/>
          <w:color w:val="000000" w:themeColor="text1"/>
        </w:rPr>
        <w:t xml:space="preserve"> outside t</w:t>
      </w:r>
      <w:r w:rsidR="001A1D88" w:rsidRPr="00BA48DD">
        <w:rPr>
          <w:rFonts w:eastAsiaTheme="minorEastAsia" w:cstheme="minorBidi"/>
          <w:iCs/>
          <w:color w:val="000000" w:themeColor="text1"/>
        </w:rPr>
        <w:t xml:space="preserve">he proposed 10% margin </w:t>
      </w:r>
      <w:r w:rsidR="00242BA5" w:rsidRPr="00BA48DD">
        <w:rPr>
          <w:rFonts w:eastAsiaTheme="minorEastAsia" w:cstheme="minorBidi"/>
          <w:iCs/>
          <w:color w:val="000000" w:themeColor="text1"/>
        </w:rPr>
        <w:t>(ustekinumab PSD</w:t>
      </w:r>
      <w:r w:rsidR="001A1D88" w:rsidRPr="00BA48DD">
        <w:rPr>
          <w:rFonts w:eastAsiaTheme="minorEastAsia" w:cstheme="minorBidi"/>
          <w:iCs/>
          <w:color w:val="000000" w:themeColor="text1"/>
        </w:rPr>
        <w:t>, March 2021, Table 7</w:t>
      </w:r>
      <w:r w:rsidR="00242BA5" w:rsidRPr="00BA48DD">
        <w:rPr>
          <w:rFonts w:eastAsiaTheme="minorEastAsia" w:cstheme="minorBidi"/>
          <w:iCs/>
          <w:color w:val="000000" w:themeColor="text1"/>
        </w:rPr>
        <w:t xml:space="preserve">). </w:t>
      </w:r>
    </w:p>
    <w:p w:rsidR="00AA24A8" w:rsidRPr="006E15FC" w:rsidRDefault="00AA24A8" w:rsidP="00AA24A8">
      <w:pPr>
        <w:pStyle w:val="3-BodyText"/>
        <w:rPr>
          <w:szCs w:val="20"/>
        </w:rPr>
      </w:pPr>
      <w:r w:rsidRPr="00AA24A8">
        <w:rPr>
          <w:iCs/>
        </w:rPr>
        <w:t>The</w:t>
      </w:r>
      <w:r w:rsidRPr="00AA24A8">
        <w:t xml:space="preserve"> PBAC considered that the </w:t>
      </w:r>
      <w:r w:rsidRPr="006E15FC">
        <w:t>claim of non-inferior comparative effectiveness of secukinumab compared to ustekinumab was uncertain but reasonable</w:t>
      </w:r>
      <w:r w:rsidR="0022355E" w:rsidRPr="006E15FC">
        <w:t xml:space="preserve">, </w:t>
      </w:r>
      <w:r w:rsidR="006E15FC" w:rsidRPr="006E15FC">
        <w:t>noting</w:t>
      </w:r>
      <w:r w:rsidR="0022355E" w:rsidRPr="006E15FC">
        <w:t xml:space="preserve"> that the PASI 75 response rate was similar across treatments (</w:t>
      </w:r>
      <w:r w:rsidR="00543509" w:rsidRPr="006E15FC">
        <w:t>approximately 80%, Table 5)</w:t>
      </w:r>
      <w:r w:rsidRPr="006E15FC">
        <w:t>. It</w:t>
      </w:r>
      <w:r w:rsidR="00543509" w:rsidRPr="006E15FC">
        <w:t xml:space="preserve"> also</w:t>
      </w:r>
      <w:r w:rsidRPr="006E15FC">
        <w:t xml:space="preserve"> noted that some transitivity issues between the trials may have favoured ustekinumab, such as:</w:t>
      </w:r>
      <w:r w:rsidRPr="006E15FC">
        <w:rPr>
          <w:szCs w:val="20"/>
        </w:rPr>
        <w:t xml:space="preserve"> </w:t>
      </w:r>
    </w:p>
    <w:p w:rsidR="00AA24A8" w:rsidRPr="00C165DC" w:rsidRDefault="00AA24A8" w:rsidP="0022355E">
      <w:pPr>
        <w:pStyle w:val="3-BodyText"/>
        <w:numPr>
          <w:ilvl w:val="0"/>
          <w:numId w:val="25"/>
        </w:numPr>
        <w:rPr>
          <w:szCs w:val="20"/>
        </w:rPr>
      </w:pPr>
      <w:r w:rsidRPr="00AA24A8">
        <w:rPr>
          <w:szCs w:val="20"/>
        </w:rPr>
        <w:t>Study 2310 did not allow a topical corticosteroid treatment for the face, scalp, hands, feet and genitoanal area after the patient had been randomised</w:t>
      </w:r>
      <w:r>
        <w:rPr>
          <w:szCs w:val="20"/>
        </w:rPr>
        <w:t xml:space="preserve">, and </w:t>
      </w:r>
      <w:r>
        <w:t xml:space="preserve">ustekinumab would be expected to perform better in the CADMUS trial because of allowed topical </w:t>
      </w:r>
      <w:r w:rsidRPr="00C165DC">
        <w:t>corticosteroid use</w:t>
      </w:r>
      <w:r w:rsidRPr="00C165DC">
        <w:rPr>
          <w:szCs w:val="20"/>
        </w:rPr>
        <w:t xml:space="preserve"> (paragraph 6.11).</w:t>
      </w:r>
    </w:p>
    <w:p w:rsidR="00D57C6D" w:rsidRPr="00AA24A8" w:rsidRDefault="00AA24A8" w:rsidP="00AA24A8">
      <w:pPr>
        <w:pStyle w:val="3-BodyText"/>
        <w:numPr>
          <w:ilvl w:val="0"/>
          <w:numId w:val="25"/>
        </w:numPr>
        <w:rPr>
          <w:szCs w:val="20"/>
        </w:rPr>
      </w:pPr>
      <w:r w:rsidRPr="00E663C3">
        <w:rPr>
          <w:rFonts w:ascii="Calibri" w:eastAsia="Calibri" w:hAnsi="Calibri" w:cs="Calibri"/>
          <w:iCs/>
          <w:color w:val="000000" w:themeColor="text1"/>
        </w:rPr>
        <w:t xml:space="preserve">In CADMUS, the severity grade </w:t>
      </w:r>
      <w:r w:rsidRPr="00C165DC">
        <w:rPr>
          <w:rFonts w:ascii="Calibri" w:eastAsia="Calibri" w:hAnsi="Calibri" w:cs="Calibri"/>
          <w:iCs/>
          <w:color w:val="000000" w:themeColor="text1"/>
        </w:rPr>
        <w:t>was PASI &gt;12 (moderate-to-severe) while Study 2310 included only with PASI ≥20 (severe) (paragraph 6.13).</w:t>
      </w:r>
    </w:p>
    <w:p w:rsidR="00D57C6D" w:rsidRPr="00EC2CEE" w:rsidRDefault="00EC2CEE" w:rsidP="00D57C6D">
      <w:pPr>
        <w:pStyle w:val="3-BodyText"/>
        <w:rPr>
          <w:rFonts w:eastAsiaTheme="minorEastAsia" w:cstheme="minorBidi"/>
          <w:iCs/>
          <w:color w:val="000000" w:themeColor="text1"/>
        </w:rPr>
      </w:pPr>
      <w:r w:rsidRPr="00EC2CEE">
        <w:rPr>
          <w:szCs w:val="20"/>
        </w:rPr>
        <w:t xml:space="preserve">While the PBAC acknowledged the uncertainties with the indirect safety comparison between secukinumab </w:t>
      </w:r>
      <w:r w:rsidRPr="00C165DC">
        <w:rPr>
          <w:szCs w:val="20"/>
        </w:rPr>
        <w:t>and ustekinumab (paragraph 6.28), it considered</w:t>
      </w:r>
      <w:r w:rsidRPr="00EC2CEE">
        <w:rPr>
          <w:szCs w:val="20"/>
        </w:rPr>
        <w:t xml:space="preserve"> that the claim of non-inferior comparative safety was reasonable, noting that </w:t>
      </w:r>
      <w:r w:rsidRPr="00EC2CEE">
        <w:rPr>
          <w:rFonts w:ascii="Calibri" w:eastAsia="Calibri" w:hAnsi="Calibri" w:cs="Calibri"/>
          <w:iCs/>
          <w:color w:val="000000" w:themeColor="text1"/>
        </w:rPr>
        <w:t>it previously</w:t>
      </w:r>
      <w:r>
        <w:rPr>
          <w:rFonts w:ascii="Calibri" w:eastAsia="Calibri" w:hAnsi="Calibri" w:cs="Calibri"/>
          <w:iCs/>
          <w:color w:val="000000" w:themeColor="text1"/>
        </w:rPr>
        <w:t xml:space="preserve"> accepted non-inferior safety for</w:t>
      </w:r>
      <w:r w:rsidRPr="00EC2CEE">
        <w:rPr>
          <w:rFonts w:ascii="Calibri" w:eastAsia="Calibri" w:hAnsi="Calibri" w:cs="Calibri"/>
          <w:iCs/>
          <w:color w:val="000000" w:themeColor="text1"/>
        </w:rPr>
        <w:t xml:space="preserve"> secukinumab </w:t>
      </w:r>
      <w:r>
        <w:rPr>
          <w:rFonts w:ascii="Calibri" w:eastAsia="Calibri" w:hAnsi="Calibri" w:cs="Calibri"/>
          <w:iCs/>
          <w:color w:val="000000" w:themeColor="text1"/>
        </w:rPr>
        <w:t>compared to</w:t>
      </w:r>
      <w:r w:rsidRPr="00EC2CEE">
        <w:rPr>
          <w:rFonts w:ascii="Calibri" w:eastAsia="Calibri" w:hAnsi="Calibri" w:cs="Calibri"/>
          <w:iCs/>
          <w:color w:val="000000" w:themeColor="text1"/>
        </w:rPr>
        <w:t xml:space="preserve"> ustekinumab</w:t>
      </w:r>
      <w:r>
        <w:rPr>
          <w:rFonts w:ascii="Calibri" w:eastAsia="Calibri" w:hAnsi="Calibri" w:cs="Calibri"/>
          <w:iCs/>
          <w:color w:val="000000" w:themeColor="text1"/>
        </w:rPr>
        <w:t xml:space="preserve"> in</w:t>
      </w:r>
      <w:r w:rsidRPr="00EC2CEE">
        <w:rPr>
          <w:rFonts w:ascii="Calibri" w:eastAsia="Calibri" w:hAnsi="Calibri" w:cs="Calibri"/>
          <w:iCs/>
          <w:color w:val="000000" w:themeColor="text1"/>
        </w:rPr>
        <w:t xml:space="preserve"> adults with severe CPP (March 2015)</w:t>
      </w:r>
      <w:r w:rsidRPr="00EC2CEE">
        <w:rPr>
          <w:szCs w:val="20"/>
        </w:rPr>
        <w:t>.</w:t>
      </w:r>
    </w:p>
    <w:p w:rsidR="00BB36A1" w:rsidRPr="00C9624D" w:rsidRDefault="00BB36A1" w:rsidP="00BB36A1">
      <w:pPr>
        <w:pStyle w:val="4-SubsectionHeading"/>
      </w:pPr>
      <w:bookmarkStart w:id="28" w:name="_Toc22897645"/>
      <w:bookmarkStart w:id="29" w:name="_Toc82600277"/>
      <w:r w:rsidRPr="00C9624D">
        <w:t>Economic analysis</w:t>
      </w:r>
      <w:bookmarkEnd w:id="28"/>
      <w:bookmarkEnd w:id="29"/>
      <w:r w:rsidRPr="00C9624D">
        <w:t xml:space="preserve"> </w:t>
      </w:r>
    </w:p>
    <w:p w:rsidR="00B17D34" w:rsidRPr="00B17D34" w:rsidRDefault="00B17D34" w:rsidP="005E2068">
      <w:pPr>
        <w:pStyle w:val="5-SubsectionSubheading"/>
        <w:rPr>
          <w:iCs/>
        </w:rPr>
      </w:pPr>
      <w:r w:rsidRPr="00A92795">
        <w:rPr>
          <w:lang w:val="en-US"/>
        </w:rPr>
        <w:t>Indirect comparison between secukinumab and ustekinumab</w:t>
      </w:r>
    </w:p>
    <w:p w:rsidR="00BB36A1" w:rsidRPr="00E663C3" w:rsidRDefault="000568CB" w:rsidP="00BB36A1">
      <w:pPr>
        <w:pStyle w:val="3-BodyText"/>
        <w:rPr>
          <w:iCs/>
          <w:color w:val="000000" w:themeColor="text1"/>
          <w:lang w:eastAsia="zh-CN"/>
        </w:rPr>
      </w:pPr>
      <w:r w:rsidRPr="6A8F74B3">
        <w:rPr>
          <w:color w:val="000000" w:themeColor="text1"/>
          <w:lang w:eastAsia="zh-CN"/>
        </w:rPr>
        <w:t xml:space="preserve">The submission presented a </w:t>
      </w:r>
      <w:r w:rsidR="00D30BDE">
        <w:rPr>
          <w:color w:val="000000" w:themeColor="text1"/>
          <w:lang w:eastAsia="zh-CN"/>
        </w:rPr>
        <w:t xml:space="preserve">CMA </w:t>
      </w:r>
      <w:r w:rsidRPr="6A8F74B3">
        <w:rPr>
          <w:color w:val="000000" w:themeColor="text1"/>
          <w:lang w:eastAsia="zh-CN"/>
        </w:rPr>
        <w:t>comparing secukinumab and ustekinumab, based on the clinical evidence that secukinumab is demonstrated to have non-inferior effectiveness to ustekinumab</w:t>
      </w:r>
      <w:r w:rsidRPr="00E663C3">
        <w:rPr>
          <w:iCs/>
          <w:color w:val="000000" w:themeColor="text1"/>
          <w:lang w:eastAsia="zh-CN"/>
        </w:rPr>
        <w:t>. Given the clinical claim of non-inferior effectiveness and safety over ustekinumab</w:t>
      </w:r>
      <w:r w:rsidR="2A322D12" w:rsidRPr="00E663C3">
        <w:rPr>
          <w:iCs/>
          <w:color w:val="000000" w:themeColor="text1"/>
          <w:lang w:eastAsia="zh-CN"/>
        </w:rPr>
        <w:t>,</w:t>
      </w:r>
      <w:r w:rsidR="00C6098D" w:rsidRPr="00E663C3">
        <w:rPr>
          <w:iCs/>
          <w:color w:val="000000" w:themeColor="text1"/>
          <w:lang w:eastAsia="zh-CN"/>
        </w:rPr>
        <w:t xml:space="preserve"> the choice of a cost-</w:t>
      </w:r>
      <w:r w:rsidRPr="00E663C3">
        <w:rPr>
          <w:iCs/>
          <w:color w:val="000000" w:themeColor="text1"/>
          <w:lang w:eastAsia="zh-CN"/>
        </w:rPr>
        <w:t xml:space="preserve">minimisation economic evaluation method is reasonable. </w:t>
      </w:r>
    </w:p>
    <w:p w:rsidR="00777A03" w:rsidRPr="000A7B7B" w:rsidRDefault="000568CB" w:rsidP="00BB36A1">
      <w:pPr>
        <w:pStyle w:val="3-BodyText"/>
        <w:rPr>
          <w:i/>
          <w:iCs/>
        </w:rPr>
      </w:pPr>
      <w:r>
        <w:t xml:space="preserve">The </w:t>
      </w:r>
      <w:r w:rsidR="55B173E5">
        <w:t xml:space="preserve">submission stated </w:t>
      </w:r>
      <w:r>
        <w:t>equi-effective doses were secukinumab weight-based dosing</w:t>
      </w:r>
      <w:r w:rsidR="07E4B484">
        <w:t xml:space="preserve"> </w:t>
      </w:r>
      <w:r>
        <w:t>for Week 0, 1, 2, 3 and 4 followed by the same dose once a month over 2 years</w:t>
      </w:r>
      <w:r w:rsidR="73578BDF">
        <w:t>,</w:t>
      </w:r>
      <w:r>
        <w:t xml:space="preserve"> and ustekinumab weight-based dosing for Week 0, 4 and followed by the same dose every 12 weeks over 2 years</w:t>
      </w:r>
      <w:r w:rsidR="4086EFC6">
        <w:t>. The recommended doses are presented in</w:t>
      </w:r>
      <w:r w:rsidR="74D346DD">
        <w:t xml:space="preserve"> Table </w:t>
      </w:r>
      <w:r w:rsidR="39AFEA97">
        <w:t>1</w:t>
      </w:r>
      <w:r w:rsidR="002564B8">
        <w:t>0</w:t>
      </w:r>
      <w:r>
        <w:t xml:space="preserve">. </w:t>
      </w:r>
    </w:p>
    <w:p w:rsidR="000A7B7B" w:rsidRPr="000A7B7B" w:rsidRDefault="000A7B7B" w:rsidP="008306A3">
      <w:pPr>
        <w:keepNext/>
        <w:keepLines/>
        <w:rPr>
          <w:rStyle w:val="CommentReference"/>
          <w:rFonts w:eastAsia="Arial Narrow" w:cs="Arial Narrow"/>
          <w:color w:val="000000" w:themeColor="text1"/>
          <w:lang w:val="en-US"/>
        </w:rPr>
      </w:pPr>
      <w:r w:rsidRPr="029D5890">
        <w:rPr>
          <w:rStyle w:val="CommentReference"/>
          <w:rFonts w:eastAsia="Arial Narrow" w:cs="Arial Narrow"/>
          <w:color w:val="000000" w:themeColor="text1"/>
          <w:lang w:val="en-US"/>
        </w:rPr>
        <w:t xml:space="preserve">Table </w:t>
      </w:r>
      <w:r w:rsidR="6DE423A9" w:rsidRPr="029D5890">
        <w:rPr>
          <w:rStyle w:val="CommentReference"/>
          <w:rFonts w:eastAsia="Arial Narrow" w:cs="Arial Narrow"/>
          <w:color w:val="000000" w:themeColor="text1"/>
          <w:lang w:val="en-US"/>
        </w:rPr>
        <w:t>1</w:t>
      </w:r>
      <w:r w:rsidR="002564B8">
        <w:rPr>
          <w:rStyle w:val="CommentReference"/>
          <w:rFonts w:eastAsia="Arial Narrow" w:cs="Arial Narrow"/>
          <w:color w:val="000000" w:themeColor="text1"/>
          <w:lang w:val="en-US"/>
        </w:rPr>
        <w:t>0:</w:t>
      </w:r>
      <w:r w:rsidRPr="029D5890">
        <w:rPr>
          <w:rStyle w:val="CommentReference"/>
          <w:rFonts w:eastAsia="Arial Narrow" w:cs="Arial Narrow"/>
          <w:color w:val="000000" w:themeColor="text1"/>
          <w:lang w:val="en-US"/>
        </w:rPr>
        <w:t xml:space="preserve"> </w:t>
      </w:r>
      <w:r w:rsidR="006A7548" w:rsidRPr="029D5890">
        <w:rPr>
          <w:rStyle w:val="CommentReference"/>
          <w:rFonts w:eastAsia="Arial Narrow" w:cs="Arial Narrow"/>
          <w:color w:val="000000" w:themeColor="text1"/>
          <w:lang w:val="en-US"/>
        </w:rPr>
        <w:t>Recommended dose of secukinumab and ustekinumab for paedia</w:t>
      </w:r>
      <w:r w:rsidR="003D674C" w:rsidRPr="029D5890">
        <w:rPr>
          <w:rStyle w:val="CommentReference"/>
          <w:rFonts w:eastAsia="Arial Narrow" w:cs="Arial Narrow"/>
          <w:color w:val="000000" w:themeColor="text1"/>
          <w:lang w:val="en-US"/>
        </w:rPr>
        <w:t>t</w:t>
      </w:r>
      <w:r w:rsidR="006A7548" w:rsidRPr="029D5890">
        <w:rPr>
          <w:rStyle w:val="CommentReference"/>
          <w:rFonts w:eastAsia="Arial Narrow" w:cs="Arial Narrow"/>
          <w:color w:val="000000" w:themeColor="text1"/>
          <w:lang w:val="en-US"/>
        </w:rPr>
        <w:t>ric pso</w:t>
      </w:r>
      <w:r w:rsidR="00DD5BA4" w:rsidRPr="029D5890">
        <w:rPr>
          <w:rStyle w:val="CommentReference"/>
          <w:rFonts w:eastAsia="Arial Narrow" w:cs="Arial Narrow"/>
          <w:color w:val="000000" w:themeColor="text1"/>
          <w:lang w:val="en-US"/>
        </w:rPr>
        <w:t>riasis</w:t>
      </w:r>
    </w:p>
    <w:tbl>
      <w:tblPr>
        <w:tblStyle w:val="TableGrid"/>
        <w:tblW w:w="9072" w:type="dxa"/>
        <w:tblInd w:w="-5" w:type="dxa"/>
        <w:tblLook w:val="04A0" w:firstRow="1" w:lastRow="0" w:firstColumn="1" w:lastColumn="0" w:noHBand="0" w:noVBand="1"/>
        <w:tblCaption w:val="Table 10: Recommended dose of secukinumab and ustekinumab for paediatric psoriasis"/>
      </w:tblPr>
      <w:tblGrid>
        <w:gridCol w:w="1985"/>
        <w:gridCol w:w="3402"/>
        <w:gridCol w:w="3685"/>
      </w:tblGrid>
      <w:tr w:rsidR="007E2295" w:rsidTr="00551EB3">
        <w:trPr>
          <w:tblHeader/>
        </w:trPr>
        <w:tc>
          <w:tcPr>
            <w:tcW w:w="1985" w:type="dxa"/>
          </w:tcPr>
          <w:p w:rsidR="00DD5BA4" w:rsidRPr="008C62D9" w:rsidRDefault="00DD5BA4" w:rsidP="008306A3">
            <w:pPr>
              <w:keepNext/>
              <w:keepLines/>
              <w:ind w:left="22" w:hanging="22"/>
              <w:jc w:val="center"/>
              <w:rPr>
                <w:rFonts w:ascii="Arial Narrow" w:eastAsia="Arial Narrow" w:hAnsi="Arial Narrow" w:cs="Arial Narrow"/>
                <w:b/>
                <w:bCs/>
                <w:sz w:val="20"/>
                <w:szCs w:val="20"/>
              </w:rPr>
            </w:pPr>
          </w:p>
        </w:tc>
        <w:tc>
          <w:tcPr>
            <w:tcW w:w="3402" w:type="dxa"/>
          </w:tcPr>
          <w:p w:rsidR="00DD5BA4" w:rsidRPr="008C62D9" w:rsidRDefault="00DD5BA4" w:rsidP="008306A3">
            <w:pPr>
              <w:keepNext/>
              <w:keepLines/>
              <w:ind w:left="22" w:hanging="22"/>
              <w:jc w:val="center"/>
              <w:rPr>
                <w:rFonts w:ascii="Arial Narrow" w:eastAsia="Arial Narrow" w:hAnsi="Arial Narrow" w:cs="Arial Narrow"/>
                <w:b/>
                <w:bCs/>
                <w:sz w:val="20"/>
                <w:szCs w:val="20"/>
              </w:rPr>
            </w:pPr>
            <w:r w:rsidRPr="008C62D9">
              <w:rPr>
                <w:rFonts w:ascii="Arial Narrow" w:eastAsia="Arial Narrow" w:hAnsi="Arial Narrow" w:cs="Arial Narrow"/>
                <w:b/>
                <w:bCs/>
                <w:sz w:val="20"/>
                <w:szCs w:val="20"/>
              </w:rPr>
              <w:t>Body weight at the time of dosing</w:t>
            </w:r>
          </w:p>
        </w:tc>
        <w:tc>
          <w:tcPr>
            <w:tcW w:w="3685" w:type="dxa"/>
          </w:tcPr>
          <w:p w:rsidR="00DD5BA4" w:rsidRPr="008C62D9" w:rsidRDefault="00DD5BA4" w:rsidP="008306A3">
            <w:pPr>
              <w:keepNext/>
              <w:keepLines/>
              <w:ind w:right="631"/>
              <w:jc w:val="center"/>
              <w:rPr>
                <w:rFonts w:ascii="Arial Narrow" w:eastAsia="Arial Narrow" w:hAnsi="Arial Narrow" w:cs="Arial Narrow"/>
                <w:b/>
                <w:bCs/>
                <w:sz w:val="20"/>
                <w:szCs w:val="20"/>
              </w:rPr>
            </w:pPr>
            <w:r w:rsidRPr="008C62D9">
              <w:rPr>
                <w:rFonts w:ascii="Arial Narrow" w:eastAsia="Arial Narrow" w:hAnsi="Arial Narrow" w:cs="Arial Narrow"/>
                <w:b/>
                <w:bCs/>
                <w:sz w:val="20"/>
                <w:szCs w:val="20"/>
              </w:rPr>
              <w:t xml:space="preserve">Recommended Dose </w:t>
            </w:r>
          </w:p>
        </w:tc>
      </w:tr>
      <w:tr w:rsidR="007E2295" w:rsidTr="00DD5BA4">
        <w:tc>
          <w:tcPr>
            <w:tcW w:w="1985" w:type="dxa"/>
          </w:tcPr>
          <w:p w:rsidR="00DD5BA4" w:rsidRPr="0005184A" w:rsidRDefault="00DD5BA4" w:rsidP="008306A3">
            <w:pPr>
              <w:keepNext/>
              <w:keepLines/>
              <w:rPr>
                <w:rFonts w:ascii="Arial Narrow" w:eastAsia="Arial Narrow" w:hAnsi="Arial Narrow" w:cs="Arial Narrow"/>
                <w:sz w:val="20"/>
                <w:szCs w:val="20"/>
              </w:rPr>
            </w:pPr>
            <w:r w:rsidRPr="0005184A">
              <w:rPr>
                <w:rFonts w:ascii="Arial Narrow" w:eastAsia="Arial Narrow" w:hAnsi="Arial Narrow" w:cs="Arial Narrow"/>
                <w:sz w:val="20"/>
                <w:szCs w:val="20"/>
              </w:rPr>
              <w:t>Secukinumab</w:t>
            </w:r>
          </w:p>
        </w:tc>
        <w:tc>
          <w:tcPr>
            <w:tcW w:w="3402" w:type="dxa"/>
          </w:tcPr>
          <w:p w:rsidR="00DD5BA4" w:rsidRPr="0005184A" w:rsidRDefault="001206A4" w:rsidP="008306A3">
            <w:pPr>
              <w:keepNext/>
              <w:keepLines/>
              <w:rPr>
                <w:rFonts w:ascii="Arial Narrow" w:eastAsia="Arial Narrow" w:hAnsi="Arial Narrow" w:cs="Arial Narrow"/>
                <w:sz w:val="20"/>
                <w:szCs w:val="20"/>
              </w:rPr>
            </w:pPr>
            <w:r w:rsidRPr="0005184A">
              <w:rPr>
                <w:rFonts w:ascii="Arial Narrow" w:eastAsia="Arial Narrow" w:hAnsi="Arial Narrow" w:cs="Arial Narrow"/>
                <w:sz w:val="20"/>
                <w:szCs w:val="20"/>
              </w:rPr>
              <w:t>&lt;25</w:t>
            </w:r>
            <w:r w:rsidR="003608AE">
              <w:rPr>
                <w:rFonts w:ascii="Arial Narrow" w:eastAsia="Arial Narrow" w:hAnsi="Arial Narrow" w:cs="Arial Narrow"/>
                <w:sz w:val="20"/>
                <w:szCs w:val="20"/>
              </w:rPr>
              <w:t xml:space="preserve"> </w:t>
            </w:r>
            <w:r w:rsidRPr="0005184A">
              <w:rPr>
                <w:rFonts w:ascii="Arial Narrow" w:eastAsia="Arial Narrow" w:hAnsi="Arial Narrow" w:cs="Arial Narrow"/>
                <w:sz w:val="20"/>
                <w:szCs w:val="20"/>
              </w:rPr>
              <w:t>kg</w:t>
            </w:r>
          </w:p>
        </w:tc>
        <w:tc>
          <w:tcPr>
            <w:tcW w:w="3685" w:type="dxa"/>
          </w:tcPr>
          <w:p w:rsidR="00DD5BA4" w:rsidRPr="0005184A" w:rsidRDefault="001206A4" w:rsidP="008306A3">
            <w:pPr>
              <w:keepNext/>
              <w:keepLines/>
              <w:rPr>
                <w:rFonts w:ascii="Arial Narrow" w:eastAsia="Arial Narrow" w:hAnsi="Arial Narrow" w:cs="Arial Narrow"/>
                <w:sz w:val="20"/>
                <w:szCs w:val="20"/>
              </w:rPr>
            </w:pPr>
            <w:r w:rsidRPr="0005184A">
              <w:rPr>
                <w:rFonts w:ascii="Arial Narrow" w:eastAsia="Arial Narrow" w:hAnsi="Arial Narrow" w:cs="Arial Narrow"/>
                <w:sz w:val="20"/>
                <w:szCs w:val="20"/>
              </w:rPr>
              <w:t>75</w:t>
            </w:r>
            <w:r w:rsidR="003608AE">
              <w:rPr>
                <w:rFonts w:ascii="Arial Narrow" w:eastAsia="Arial Narrow" w:hAnsi="Arial Narrow" w:cs="Arial Narrow"/>
                <w:sz w:val="20"/>
                <w:szCs w:val="20"/>
              </w:rPr>
              <w:t xml:space="preserve"> </w:t>
            </w:r>
            <w:r w:rsidRPr="0005184A">
              <w:rPr>
                <w:rFonts w:ascii="Arial Narrow" w:eastAsia="Arial Narrow" w:hAnsi="Arial Narrow" w:cs="Arial Narrow"/>
                <w:sz w:val="20"/>
                <w:szCs w:val="20"/>
              </w:rPr>
              <w:t>mg</w:t>
            </w:r>
          </w:p>
        </w:tc>
      </w:tr>
      <w:tr w:rsidR="007E2295" w:rsidTr="00DD5BA4">
        <w:tc>
          <w:tcPr>
            <w:tcW w:w="1985" w:type="dxa"/>
          </w:tcPr>
          <w:p w:rsidR="00DD5BA4" w:rsidRPr="0005184A" w:rsidRDefault="00DD5BA4" w:rsidP="008306A3">
            <w:pPr>
              <w:keepNext/>
              <w:keepLines/>
              <w:rPr>
                <w:rFonts w:ascii="Arial Narrow" w:eastAsia="Arial Narrow" w:hAnsi="Arial Narrow" w:cs="Arial Narrow"/>
                <w:sz w:val="20"/>
                <w:szCs w:val="20"/>
              </w:rPr>
            </w:pPr>
          </w:p>
        </w:tc>
        <w:tc>
          <w:tcPr>
            <w:tcW w:w="3402" w:type="dxa"/>
          </w:tcPr>
          <w:p w:rsidR="00DD5BA4" w:rsidRPr="0005184A" w:rsidRDefault="001206A4" w:rsidP="008306A3">
            <w:pPr>
              <w:keepNext/>
              <w:keepLines/>
              <w:rPr>
                <w:rFonts w:ascii="Arial Narrow" w:eastAsia="Arial Narrow" w:hAnsi="Arial Narrow" w:cs="Arial Narrow"/>
                <w:sz w:val="20"/>
                <w:szCs w:val="20"/>
              </w:rPr>
            </w:pPr>
            <w:r w:rsidRPr="0005184A">
              <w:rPr>
                <w:rFonts w:ascii="Arial Narrow" w:eastAsia="Arial Narrow" w:hAnsi="Arial Narrow" w:cs="Arial Narrow"/>
                <w:sz w:val="20"/>
                <w:szCs w:val="20"/>
              </w:rPr>
              <w:t>25 to &lt;50</w:t>
            </w:r>
            <w:r w:rsidR="003608AE">
              <w:rPr>
                <w:rFonts w:ascii="Arial Narrow" w:eastAsia="Arial Narrow" w:hAnsi="Arial Narrow" w:cs="Arial Narrow"/>
                <w:sz w:val="20"/>
                <w:szCs w:val="20"/>
              </w:rPr>
              <w:t xml:space="preserve"> </w:t>
            </w:r>
            <w:r w:rsidRPr="0005184A">
              <w:rPr>
                <w:rFonts w:ascii="Arial Narrow" w:eastAsia="Arial Narrow" w:hAnsi="Arial Narrow" w:cs="Arial Narrow"/>
                <w:sz w:val="20"/>
                <w:szCs w:val="20"/>
              </w:rPr>
              <w:t>kg</w:t>
            </w:r>
          </w:p>
        </w:tc>
        <w:tc>
          <w:tcPr>
            <w:tcW w:w="3685" w:type="dxa"/>
          </w:tcPr>
          <w:p w:rsidR="00DD5BA4" w:rsidRPr="0005184A" w:rsidRDefault="001206A4" w:rsidP="008306A3">
            <w:pPr>
              <w:keepNext/>
              <w:keepLines/>
              <w:rPr>
                <w:rFonts w:ascii="Arial Narrow" w:eastAsia="Arial Narrow" w:hAnsi="Arial Narrow" w:cs="Arial Narrow"/>
                <w:sz w:val="20"/>
                <w:szCs w:val="20"/>
              </w:rPr>
            </w:pPr>
            <w:r w:rsidRPr="0005184A">
              <w:rPr>
                <w:rFonts w:ascii="Arial Narrow" w:eastAsia="Arial Narrow" w:hAnsi="Arial Narrow" w:cs="Arial Narrow"/>
                <w:sz w:val="20"/>
                <w:szCs w:val="20"/>
              </w:rPr>
              <w:t>75</w:t>
            </w:r>
            <w:r w:rsidR="003608AE">
              <w:rPr>
                <w:rFonts w:ascii="Arial Narrow" w:eastAsia="Arial Narrow" w:hAnsi="Arial Narrow" w:cs="Arial Narrow"/>
                <w:sz w:val="20"/>
                <w:szCs w:val="20"/>
              </w:rPr>
              <w:t xml:space="preserve"> </w:t>
            </w:r>
            <w:r w:rsidRPr="0005184A">
              <w:rPr>
                <w:rFonts w:ascii="Arial Narrow" w:eastAsia="Arial Narrow" w:hAnsi="Arial Narrow" w:cs="Arial Narrow"/>
                <w:sz w:val="20"/>
                <w:szCs w:val="20"/>
              </w:rPr>
              <w:t>mg (may be increased to 150</w:t>
            </w:r>
            <w:r w:rsidR="003608AE">
              <w:rPr>
                <w:rFonts w:ascii="Arial Narrow" w:eastAsia="Arial Narrow" w:hAnsi="Arial Narrow" w:cs="Arial Narrow"/>
                <w:sz w:val="20"/>
                <w:szCs w:val="20"/>
              </w:rPr>
              <w:t xml:space="preserve"> </w:t>
            </w:r>
            <w:r w:rsidRPr="0005184A">
              <w:rPr>
                <w:rFonts w:ascii="Arial Narrow" w:eastAsia="Arial Narrow" w:hAnsi="Arial Narrow" w:cs="Arial Narrow"/>
                <w:sz w:val="20"/>
                <w:szCs w:val="20"/>
              </w:rPr>
              <w:t>mg)</w:t>
            </w:r>
          </w:p>
        </w:tc>
      </w:tr>
      <w:tr w:rsidR="007E2295" w:rsidTr="00DD5BA4">
        <w:tc>
          <w:tcPr>
            <w:tcW w:w="1985" w:type="dxa"/>
          </w:tcPr>
          <w:p w:rsidR="00DD5BA4" w:rsidRPr="0005184A" w:rsidRDefault="00DD5BA4" w:rsidP="008306A3">
            <w:pPr>
              <w:keepNext/>
              <w:keepLines/>
              <w:rPr>
                <w:rFonts w:ascii="Arial Narrow" w:eastAsia="Arial Narrow" w:hAnsi="Arial Narrow" w:cs="Arial Narrow"/>
                <w:sz w:val="20"/>
                <w:szCs w:val="20"/>
              </w:rPr>
            </w:pPr>
          </w:p>
        </w:tc>
        <w:tc>
          <w:tcPr>
            <w:tcW w:w="3402" w:type="dxa"/>
          </w:tcPr>
          <w:p w:rsidR="00DD5BA4" w:rsidRPr="0005184A" w:rsidRDefault="003608AE" w:rsidP="008306A3">
            <w:pPr>
              <w:keepNext/>
              <w:keepLines/>
              <w:rPr>
                <w:rFonts w:ascii="Arial Narrow" w:eastAsia="Arial Narrow" w:hAnsi="Arial Narrow" w:cs="Arial Narrow"/>
                <w:sz w:val="20"/>
                <w:szCs w:val="20"/>
              </w:rPr>
            </w:pPr>
            <w:r>
              <w:rPr>
                <w:rFonts w:ascii="Arial Narrow" w:eastAsia="Arial Narrow" w:hAnsi="Arial Narrow" w:cs="Arial Narrow"/>
                <w:sz w:val="20"/>
                <w:szCs w:val="20"/>
              </w:rPr>
              <w:t>≥</w:t>
            </w:r>
            <w:r w:rsidR="001206A4" w:rsidRPr="0005184A">
              <w:rPr>
                <w:rFonts w:ascii="Arial Narrow" w:eastAsia="Arial Narrow" w:hAnsi="Arial Narrow" w:cs="Arial Narrow"/>
                <w:sz w:val="20"/>
                <w:szCs w:val="20"/>
              </w:rPr>
              <w:t>50</w:t>
            </w:r>
            <w:r>
              <w:rPr>
                <w:rFonts w:ascii="Arial Narrow" w:eastAsia="Arial Narrow" w:hAnsi="Arial Narrow" w:cs="Arial Narrow"/>
                <w:sz w:val="20"/>
                <w:szCs w:val="20"/>
              </w:rPr>
              <w:t xml:space="preserve"> </w:t>
            </w:r>
            <w:r w:rsidR="001206A4" w:rsidRPr="0005184A">
              <w:rPr>
                <w:rFonts w:ascii="Arial Narrow" w:eastAsia="Arial Narrow" w:hAnsi="Arial Narrow" w:cs="Arial Narrow"/>
                <w:sz w:val="20"/>
                <w:szCs w:val="20"/>
              </w:rPr>
              <w:t>kg</w:t>
            </w:r>
          </w:p>
        </w:tc>
        <w:tc>
          <w:tcPr>
            <w:tcW w:w="3685" w:type="dxa"/>
          </w:tcPr>
          <w:p w:rsidR="00DD5BA4" w:rsidRPr="0005184A" w:rsidRDefault="001206A4" w:rsidP="008306A3">
            <w:pPr>
              <w:keepNext/>
              <w:keepLines/>
              <w:rPr>
                <w:rFonts w:ascii="Arial Narrow" w:eastAsia="Arial Narrow" w:hAnsi="Arial Narrow" w:cs="Arial Narrow"/>
                <w:sz w:val="20"/>
                <w:szCs w:val="20"/>
              </w:rPr>
            </w:pPr>
            <w:r w:rsidRPr="0005184A">
              <w:rPr>
                <w:rFonts w:ascii="Arial Narrow" w:eastAsia="Arial Narrow" w:hAnsi="Arial Narrow" w:cs="Arial Narrow"/>
                <w:sz w:val="20"/>
                <w:szCs w:val="20"/>
              </w:rPr>
              <w:t>150</w:t>
            </w:r>
            <w:r w:rsidR="003608AE">
              <w:rPr>
                <w:rFonts w:ascii="Arial Narrow" w:eastAsia="Arial Narrow" w:hAnsi="Arial Narrow" w:cs="Arial Narrow"/>
                <w:sz w:val="20"/>
                <w:szCs w:val="20"/>
              </w:rPr>
              <w:t xml:space="preserve"> </w:t>
            </w:r>
            <w:r w:rsidRPr="0005184A">
              <w:rPr>
                <w:rFonts w:ascii="Arial Narrow" w:eastAsia="Arial Narrow" w:hAnsi="Arial Narrow" w:cs="Arial Narrow"/>
                <w:sz w:val="20"/>
                <w:szCs w:val="20"/>
              </w:rPr>
              <w:t>mg (may be increased to 300 mg</w:t>
            </w:r>
            <w:r w:rsidR="005739CD">
              <w:rPr>
                <w:rFonts w:ascii="Arial Narrow" w:eastAsia="Arial Narrow" w:hAnsi="Arial Narrow" w:cs="Arial Narrow"/>
                <w:sz w:val="20"/>
                <w:szCs w:val="20"/>
              </w:rPr>
              <w:t>)</w:t>
            </w:r>
          </w:p>
        </w:tc>
      </w:tr>
      <w:tr w:rsidR="007E2295" w:rsidTr="00DD5BA4">
        <w:tc>
          <w:tcPr>
            <w:tcW w:w="1985" w:type="dxa"/>
          </w:tcPr>
          <w:p w:rsidR="00DD5BA4" w:rsidRPr="0005184A" w:rsidRDefault="001206A4" w:rsidP="008306A3">
            <w:pPr>
              <w:keepNext/>
              <w:keepLines/>
              <w:rPr>
                <w:rFonts w:ascii="Arial Narrow" w:eastAsia="Arial Narrow" w:hAnsi="Arial Narrow" w:cs="Arial Narrow"/>
                <w:sz w:val="20"/>
                <w:szCs w:val="20"/>
              </w:rPr>
            </w:pPr>
            <w:r w:rsidRPr="0005184A">
              <w:rPr>
                <w:rFonts w:ascii="Arial Narrow" w:eastAsia="Arial Narrow" w:hAnsi="Arial Narrow" w:cs="Arial Narrow"/>
                <w:sz w:val="20"/>
                <w:szCs w:val="20"/>
              </w:rPr>
              <w:t>Ustekinumab</w:t>
            </w:r>
          </w:p>
        </w:tc>
        <w:tc>
          <w:tcPr>
            <w:tcW w:w="3402" w:type="dxa"/>
          </w:tcPr>
          <w:p w:rsidR="00DD5BA4" w:rsidRPr="0005184A" w:rsidRDefault="001206A4" w:rsidP="008306A3">
            <w:pPr>
              <w:keepNext/>
              <w:keepLines/>
              <w:rPr>
                <w:rFonts w:ascii="Arial Narrow" w:eastAsia="Arial Narrow" w:hAnsi="Arial Narrow" w:cs="Arial Narrow"/>
                <w:sz w:val="20"/>
                <w:szCs w:val="20"/>
              </w:rPr>
            </w:pPr>
            <w:r w:rsidRPr="0005184A">
              <w:rPr>
                <w:rFonts w:ascii="Arial Narrow" w:eastAsia="Arial Narrow" w:hAnsi="Arial Narrow" w:cs="Arial Narrow"/>
                <w:sz w:val="20"/>
                <w:szCs w:val="20"/>
              </w:rPr>
              <w:t>&lt;60</w:t>
            </w:r>
            <w:r w:rsidR="003608AE">
              <w:rPr>
                <w:rFonts w:ascii="Arial Narrow" w:eastAsia="Arial Narrow" w:hAnsi="Arial Narrow" w:cs="Arial Narrow"/>
                <w:sz w:val="20"/>
                <w:szCs w:val="20"/>
              </w:rPr>
              <w:t xml:space="preserve"> </w:t>
            </w:r>
            <w:r w:rsidRPr="0005184A">
              <w:rPr>
                <w:rFonts w:ascii="Arial Narrow" w:eastAsia="Arial Narrow" w:hAnsi="Arial Narrow" w:cs="Arial Narrow"/>
                <w:sz w:val="20"/>
                <w:szCs w:val="20"/>
              </w:rPr>
              <w:t>kg</w:t>
            </w:r>
          </w:p>
        </w:tc>
        <w:tc>
          <w:tcPr>
            <w:tcW w:w="3685" w:type="dxa"/>
          </w:tcPr>
          <w:p w:rsidR="00DD5BA4" w:rsidRPr="0005184A" w:rsidRDefault="001206A4" w:rsidP="008306A3">
            <w:pPr>
              <w:keepNext/>
              <w:keepLines/>
              <w:rPr>
                <w:rFonts w:ascii="Arial Narrow" w:eastAsia="Arial Narrow" w:hAnsi="Arial Narrow" w:cs="Arial Narrow"/>
                <w:sz w:val="20"/>
                <w:szCs w:val="20"/>
              </w:rPr>
            </w:pPr>
            <w:r w:rsidRPr="0005184A">
              <w:rPr>
                <w:rFonts w:ascii="Arial Narrow" w:eastAsia="Arial Narrow" w:hAnsi="Arial Narrow" w:cs="Arial Narrow"/>
                <w:sz w:val="20"/>
                <w:szCs w:val="20"/>
              </w:rPr>
              <w:t>0.75</w:t>
            </w:r>
            <w:r w:rsidR="003608AE">
              <w:rPr>
                <w:rFonts w:ascii="Arial Narrow" w:eastAsia="Arial Narrow" w:hAnsi="Arial Narrow" w:cs="Arial Narrow"/>
                <w:sz w:val="20"/>
                <w:szCs w:val="20"/>
              </w:rPr>
              <w:t xml:space="preserve"> </w:t>
            </w:r>
            <w:r w:rsidRPr="0005184A">
              <w:rPr>
                <w:rFonts w:ascii="Arial Narrow" w:eastAsia="Arial Narrow" w:hAnsi="Arial Narrow" w:cs="Arial Narrow"/>
                <w:sz w:val="20"/>
                <w:szCs w:val="20"/>
              </w:rPr>
              <w:t>mg/kg</w:t>
            </w:r>
          </w:p>
        </w:tc>
      </w:tr>
      <w:tr w:rsidR="007E2295" w:rsidTr="00DD5BA4">
        <w:tc>
          <w:tcPr>
            <w:tcW w:w="1985" w:type="dxa"/>
          </w:tcPr>
          <w:p w:rsidR="00DD5BA4" w:rsidRPr="0005184A" w:rsidRDefault="00DD5BA4" w:rsidP="008306A3">
            <w:pPr>
              <w:keepNext/>
              <w:keepLines/>
              <w:rPr>
                <w:rFonts w:ascii="Arial Narrow" w:eastAsia="Arial Narrow" w:hAnsi="Arial Narrow" w:cs="Arial Narrow"/>
                <w:sz w:val="20"/>
                <w:szCs w:val="20"/>
              </w:rPr>
            </w:pPr>
          </w:p>
        </w:tc>
        <w:tc>
          <w:tcPr>
            <w:tcW w:w="3402" w:type="dxa"/>
          </w:tcPr>
          <w:p w:rsidR="00DD5BA4" w:rsidRPr="0005184A" w:rsidRDefault="001206A4" w:rsidP="008306A3">
            <w:pPr>
              <w:keepNext/>
              <w:keepLines/>
              <w:rPr>
                <w:rFonts w:ascii="Arial Narrow" w:eastAsia="Arial Narrow" w:hAnsi="Arial Narrow" w:cs="Arial Narrow"/>
                <w:sz w:val="20"/>
                <w:szCs w:val="20"/>
              </w:rPr>
            </w:pPr>
            <w:r w:rsidRPr="0005184A">
              <w:rPr>
                <w:rFonts w:ascii="Arial Narrow" w:eastAsia="Arial Narrow" w:hAnsi="Arial Narrow" w:cs="Arial Narrow"/>
                <w:sz w:val="20"/>
                <w:szCs w:val="20"/>
              </w:rPr>
              <w:t>60-100</w:t>
            </w:r>
            <w:r w:rsidR="003608AE">
              <w:rPr>
                <w:rFonts w:ascii="Arial Narrow" w:eastAsia="Arial Narrow" w:hAnsi="Arial Narrow" w:cs="Arial Narrow"/>
                <w:sz w:val="20"/>
                <w:szCs w:val="20"/>
              </w:rPr>
              <w:t xml:space="preserve"> </w:t>
            </w:r>
            <w:r w:rsidRPr="0005184A">
              <w:rPr>
                <w:rFonts w:ascii="Arial Narrow" w:eastAsia="Arial Narrow" w:hAnsi="Arial Narrow" w:cs="Arial Narrow"/>
                <w:sz w:val="20"/>
                <w:szCs w:val="20"/>
              </w:rPr>
              <w:t>kg</w:t>
            </w:r>
          </w:p>
        </w:tc>
        <w:tc>
          <w:tcPr>
            <w:tcW w:w="3685" w:type="dxa"/>
          </w:tcPr>
          <w:p w:rsidR="00DD5BA4" w:rsidRPr="0005184A" w:rsidRDefault="001206A4" w:rsidP="008306A3">
            <w:pPr>
              <w:keepNext/>
              <w:keepLines/>
              <w:rPr>
                <w:rFonts w:ascii="Arial Narrow" w:eastAsia="Arial Narrow" w:hAnsi="Arial Narrow" w:cs="Arial Narrow"/>
                <w:sz w:val="20"/>
                <w:szCs w:val="20"/>
              </w:rPr>
            </w:pPr>
            <w:r w:rsidRPr="0005184A">
              <w:rPr>
                <w:rFonts w:ascii="Arial Narrow" w:eastAsia="Arial Narrow" w:hAnsi="Arial Narrow" w:cs="Arial Narrow"/>
                <w:sz w:val="20"/>
                <w:szCs w:val="20"/>
              </w:rPr>
              <w:t>45</w:t>
            </w:r>
            <w:r w:rsidR="003608AE">
              <w:rPr>
                <w:rFonts w:ascii="Arial Narrow" w:eastAsia="Arial Narrow" w:hAnsi="Arial Narrow" w:cs="Arial Narrow"/>
                <w:sz w:val="20"/>
                <w:szCs w:val="20"/>
              </w:rPr>
              <w:t xml:space="preserve"> </w:t>
            </w:r>
            <w:r w:rsidRPr="0005184A">
              <w:rPr>
                <w:rFonts w:ascii="Arial Narrow" w:eastAsia="Arial Narrow" w:hAnsi="Arial Narrow" w:cs="Arial Narrow"/>
                <w:sz w:val="20"/>
                <w:szCs w:val="20"/>
              </w:rPr>
              <w:t>mg</w:t>
            </w:r>
          </w:p>
        </w:tc>
      </w:tr>
      <w:tr w:rsidR="007E2295" w:rsidTr="00DD5BA4">
        <w:tc>
          <w:tcPr>
            <w:tcW w:w="1985" w:type="dxa"/>
          </w:tcPr>
          <w:p w:rsidR="00DD5BA4" w:rsidRPr="0005184A" w:rsidRDefault="00DD5BA4" w:rsidP="008306A3">
            <w:pPr>
              <w:keepNext/>
              <w:keepLines/>
              <w:rPr>
                <w:rFonts w:ascii="Arial Narrow" w:eastAsia="Arial Narrow" w:hAnsi="Arial Narrow" w:cs="Arial Narrow"/>
                <w:sz w:val="20"/>
                <w:szCs w:val="20"/>
              </w:rPr>
            </w:pPr>
          </w:p>
        </w:tc>
        <w:tc>
          <w:tcPr>
            <w:tcW w:w="3402" w:type="dxa"/>
          </w:tcPr>
          <w:p w:rsidR="00DD5BA4" w:rsidRPr="0005184A" w:rsidRDefault="001206A4" w:rsidP="008306A3">
            <w:pPr>
              <w:keepNext/>
              <w:keepLines/>
              <w:rPr>
                <w:rFonts w:ascii="Arial Narrow" w:eastAsia="Arial Narrow" w:hAnsi="Arial Narrow" w:cs="Arial Narrow"/>
                <w:sz w:val="20"/>
                <w:szCs w:val="20"/>
              </w:rPr>
            </w:pPr>
            <w:r w:rsidRPr="0005184A">
              <w:rPr>
                <w:rFonts w:ascii="Arial Narrow" w:eastAsia="Arial Narrow" w:hAnsi="Arial Narrow" w:cs="Arial Narrow"/>
                <w:sz w:val="20"/>
                <w:szCs w:val="20"/>
              </w:rPr>
              <w:t>&gt;100 kg</w:t>
            </w:r>
          </w:p>
        </w:tc>
        <w:tc>
          <w:tcPr>
            <w:tcW w:w="3685" w:type="dxa"/>
          </w:tcPr>
          <w:p w:rsidR="00DD5BA4" w:rsidRPr="0005184A" w:rsidRDefault="001206A4" w:rsidP="008306A3">
            <w:pPr>
              <w:keepNext/>
              <w:keepLines/>
              <w:rPr>
                <w:rFonts w:ascii="Arial Narrow" w:eastAsia="Arial Narrow" w:hAnsi="Arial Narrow" w:cs="Arial Narrow"/>
                <w:sz w:val="20"/>
                <w:szCs w:val="20"/>
              </w:rPr>
            </w:pPr>
            <w:r w:rsidRPr="0005184A">
              <w:rPr>
                <w:rFonts w:ascii="Arial Narrow" w:eastAsia="Arial Narrow" w:hAnsi="Arial Narrow" w:cs="Arial Narrow"/>
                <w:sz w:val="20"/>
                <w:szCs w:val="20"/>
              </w:rPr>
              <w:t>90</w:t>
            </w:r>
            <w:r w:rsidR="003608AE">
              <w:rPr>
                <w:rFonts w:ascii="Arial Narrow" w:eastAsia="Arial Narrow" w:hAnsi="Arial Narrow" w:cs="Arial Narrow"/>
                <w:sz w:val="20"/>
                <w:szCs w:val="20"/>
              </w:rPr>
              <w:t xml:space="preserve"> </w:t>
            </w:r>
            <w:r w:rsidRPr="0005184A">
              <w:rPr>
                <w:rFonts w:ascii="Arial Narrow" w:eastAsia="Arial Narrow" w:hAnsi="Arial Narrow" w:cs="Arial Narrow"/>
                <w:sz w:val="20"/>
                <w:szCs w:val="20"/>
              </w:rPr>
              <w:t>mg</w:t>
            </w:r>
          </w:p>
        </w:tc>
      </w:tr>
    </w:tbl>
    <w:p w:rsidR="006A4E40" w:rsidRPr="00B92102" w:rsidRDefault="00B92102" w:rsidP="008306A3">
      <w:pPr>
        <w:pStyle w:val="TableFigureFooter"/>
        <w:keepNext/>
        <w:keepLines/>
        <w:rPr>
          <w:rFonts w:eastAsia="Arial Narrow" w:cs="Arial Narrow"/>
          <w:color w:val="000000" w:themeColor="text1"/>
          <w:szCs w:val="18"/>
        </w:rPr>
      </w:pPr>
      <w:r w:rsidRPr="00B92102">
        <w:rPr>
          <w:rFonts w:eastAsia="Arial Narrow" w:cs="Arial Narrow"/>
          <w:color w:val="000000" w:themeColor="text1"/>
          <w:szCs w:val="18"/>
        </w:rPr>
        <w:t xml:space="preserve">Source: </w:t>
      </w:r>
      <w:r w:rsidR="00DF1F91">
        <w:rPr>
          <w:rFonts w:eastAsia="Arial Narrow" w:cs="Arial Narrow"/>
          <w:color w:val="000000" w:themeColor="text1"/>
          <w:szCs w:val="18"/>
        </w:rPr>
        <w:t>T</w:t>
      </w:r>
      <w:r w:rsidR="00E20AC1">
        <w:rPr>
          <w:rFonts w:eastAsia="Arial Narrow" w:cs="Arial Narrow"/>
          <w:color w:val="000000" w:themeColor="text1"/>
          <w:szCs w:val="18"/>
        </w:rPr>
        <w:t xml:space="preserve">able </w:t>
      </w:r>
      <w:r w:rsidR="005259E7">
        <w:rPr>
          <w:rFonts w:eastAsia="Arial Narrow" w:cs="Arial Narrow"/>
          <w:color w:val="000000" w:themeColor="text1"/>
          <w:szCs w:val="18"/>
        </w:rPr>
        <w:t>1.5</w:t>
      </w:r>
      <w:r w:rsidR="00FE1EBE">
        <w:rPr>
          <w:rFonts w:eastAsia="Arial Narrow" w:cs="Arial Narrow"/>
          <w:color w:val="000000" w:themeColor="text1"/>
          <w:szCs w:val="18"/>
        </w:rPr>
        <w:t>, p</w:t>
      </w:r>
      <w:r w:rsidR="005259E7">
        <w:rPr>
          <w:rFonts w:eastAsia="Arial Narrow" w:cs="Arial Narrow"/>
          <w:color w:val="000000" w:themeColor="text1"/>
          <w:szCs w:val="18"/>
        </w:rPr>
        <w:t>40</w:t>
      </w:r>
      <w:r w:rsidR="00DF1F91">
        <w:rPr>
          <w:rFonts w:eastAsia="Arial Narrow" w:cs="Arial Narrow"/>
          <w:color w:val="000000" w:themeColor="text1"/>
          <w:szCs w:val="18"/>
        </w:rPr>
        <w:t xml:space="preserve"> of the submission, </w:t>
      </w:r>
      <w:r w:rsidR="00096394">
        <w:rPr>
          <w:rFonts w:eastAsia="Arial Narrow" w:cs="Arial Narrow"/>
          <w:color w:val="000000" w:themeColor="text1"/>
          <w:szCs w:val="18"/>
        </w:rPr>
        <w:t xml:space="preserve">Table </w:t>
      </w:r>
      <w:r w:rsidR="001B5601">
        <w:rPr>
          <w:rFonts w:eastAsia="Arial Narrow" w:cs="Arial Narrow"/>
          <w:color w:val="000000" w:themeColor="text1"/>
          <w:szCs w:val="18"/>
        </w:rPr>
        <w:t xml:space="preserve">1a, p2 of </w:t>
      </w:r>
      <w:r w:rsidR="00D60DDC">
        <w:rPr>
          <w:rFonts w:eastAsia="Arial Narrow" w:cs="Arial Narrow"/>
          <w:color w:val="000000" w:themeColor="text1"/>
          <w:szCs w:val="18"/>
        </w:rPr>
        <w:t>ustekinumab PI</w:t>
      </w:r>
    </w:p>
    <w:p w:rsidR="007A31F6" w:rsidRPr="00FC42F2" w:rsidRDefault="2AE57927" w:rsidP="00FC42F2">
      <w:pPr>
        <w:pStyle w:val="3-BodyText"/>
        <w:rPr>
          <w:color w:val="000000" w:themeColor="text1"/>
        </w:rPr>
      </w:pPr>
      <w:r>
        <w:t xml:space="preserve">The </w:t>
      </w:r>
      <w:r w:rsidR="004B42F9">
        <w:t>S</w:t>
      </w:r>
      <w:r>
        <w:t>ponsor propose</w:t>
      </w:r>
      <w:r w:rsidR="003B3B2C">
        <w:t>d</w:t>
      </w:r>
      <w:r>
        <w:t xml:space="preserve"> </w:t>
      </w:r>
      <w:r w:rsidR="000A226E">
        <w:rPr>
          <w:color w:val="000000" w:themeColor="text1"/>
        </w:rPr>
        <w:t>the same price</w:t>
      </w:r>
      <w:r w:rsidRPr="6A8F74B3">
        <w:rPr>
          <w:color w:val="000000" w:themeColor="text1"/>
        </w:rPr>
        <w:t xml:space="preserve"> </w:t>
      </w:r>
      <w:r>
        <w:t xml:space="preserve">for secukinumab </w:t>
      </w:r>
      <w:r w:rsidR="000C0FB1" w:rsidRPr="00D97F95">
        <w:t>across</w:t>
      </w:r>
      <w:r>
        <w:t xml:space="preserve"> the three strengths (75</w:t>
      </w:r>
      <w:r w:rsidR="00C6098D">
        <w:t> </w:t>
      </w:r>
      <w:r>
        <w:t>mg/0.5</w:t>
      </w:r>
      <w:r w:rsidR="00C6098D">
        <w:t> </w:t>
      </w:r>
      <w:r>
        <w:t>mL, 150</w:t>
      </w:r>
      <w:r w:rsidR="00C6098D">
        <w:t> </w:t>
      </w:r>
      <w:r>
        <w:t>mg/1</w:t>
      </w:r>
      <w:r w:rsidR="00C6098D">
        <w:t> </w:t>
      </w:r>
      <w:r>
        <w:t>mL and 300</w:t>
      </w:r>
      <w:r w:rsidR="00C6098D">
        <w:t> </w:t>
      </w:r>
      <w:r>
        <w:t>mg/2</w:t>
      </w:r>
      <w:r w:rsidR="00C6098D">
        <w:t> </w:t>
      </w:r>
      <w:r>
        <w:t>mL)</w:t>
      </w:r>
      <w:r w:rsidR="003D2A1A">
        <w:t>. The</w:t>
      </w:r>
      <w:r w:rsidR="000A226E">
        <w:t xml:space="preserve"> cost minimisation calculation</w:t>
      </w:r>
      <w:r w:rsidR="003D2A1A">
        <w:t xml:space="preserve"> presented in the submission was conducted based on 150 mg secukinumab and 45 mg of ustekinumab. </w:t>
      </w:r>
    </w:p>
    <w:p w:rsidR="00BB36A1" w:rsidRDefault="2A01AA8D" w:rsidP="00DE1B65">
      <w:pPr>
        <w:pStyle w:val="3-BodyText"/>
        <w:rPr>
          <w:iCs/>
        </w:rPr>
      </w:pPr>
      <w:r w:rsidRPr="00E663C3">
        <w:rPr>
          <w:iCs/>
        </w:rPr>
        <w:t xml:space="preserve">The frequency of use is consistent with the approved PI for ustekinumab and the approved PI for secukinumab, but there is inconsistency in the exact dosing frequency of secukinumab across the clinical trial (four-weekly) and </w:t>
      </w:r>
      <w:r w:rsidR="7D406072" w:rsidRPr="00E663C3">
        <w:rPr>
          <w:iCs/>
        </w:rPr>
        <w:t xml:space="preserve">the </w:t>
      </w:r>
      <w:r w:rsidRPr="00E663C3">
        <w:rPr>
          <w:iCs/>
        </w:rPr>
        <w:t xml:space="preserve">PI (monthly). </w:t>
      </w:r>
      <w:r w:rsidR="71754D07" w:rsidRPr="00E663C3">
        <w:rPr>
          <w:iCs/>
        </w:rPr>
        <w:t>T</w:t>
      </w:r>
      <w:r w:rsidR="00022976" w:rsidRPr="00E663C3">
        <w:rPr>
          <w:iCs/>
        </w:rPr>
        <w:t xml:space="preserve">he PBAC previously considered patients would likely find four-weekly dosing with secukinumab less confusing than monthly dosing, and “therefore considered four-weekly dosing was the most appropriate frame of reference for considering equi-effective doses.” (paragraph 7.2, </w:t>
      </w:r>
      <w:r w:rsidR="5872031E" w:rsidRPr="00E663C3">
        <w:rPr>
          <w:iCs/>
        </w:rPr>
        <w:t>s</w:t>
      </w:r>
      <w:r w:rsidR="00022976" w:rsidRPr="00E663C3">
        <w:rPr>
          <w:iCs/>
        </w:rPr>
        <w:t xml:space="preserve">ecukinumab </w:t>
      </w:r>
      <w:r w:rsidR="00F31E78">
        <w:rPr>
          <w:iCs/>
        </w:rPr>
        <w:t>ankylosing spondylitis</w:t>
      </w:r>
      <w:r w:rsidR="00022976" w:rsidRPr="00E663C3">
        <w:rPr>
          <w:iCs/>
        </w:rPr>
        <w:t xml:space="preserve"> PSD</w:t>
      </w:r>
      <w:r w:rsidR="736D2357" w:rsidRPr="00E663C3">
        <w:rPr>
          <w:iCs/>
        </w:rPr>
        <w:t>,</w:t>
      </w:r>
      <w:r w:rsidR="00022976" w:rsidRPr="00E663C3">
        <w:rPr>
          <w:iCs/>
        </w:rPr>
        <w:t xml:space="preserve"> March 2016). </w:t>
      </w:r>
      <w:r w:rsidR="03EC61B5" w:rsidRPr="00E663C3">
        <w:rPr>
          <w:iCs/>
        </w:rPr>
        <w:t xml:space="preserve">As a </w:t>
      </w:r>
      <w:r w:rsidR="00066319" w:rsidRPr="00E663C3">
        <w:rPr>
          <w:iCs/>
        </w:rPr>
        <w:t>result,</w:t>
      </w:r>
      <w:r w:rsidR="03EC61B5" w:rsidRPr="00E663C3">
        <w:rPr>
          <w:iCs/>
        </w:rPr>
        <w:t xml:space="preserve"> a</w:t>
      </w:r>
      <w:r w:rsidRPr="00E663C3">
        <w:rPr>
          <w:iCs/>
        </w:rPr>
        <w:t xml:space="preserve"> sensitivity analysis was conducted during evaluation using four-weekly as the dosing frequency for secukinumab. </w:t>
      </w:r>
    </w:p>
    <w:p w:rsidR="000678BA" w:rsidRPr="0000305F" w:rsidRDefault="000678BA" w:rsidP="000678BA">
      <w:pPr>
        <w:pStyle w:val="3-BodyText"/>
      </w:pPr>
      <w:r w:rsidRPr="0000305F">
        <w:t>The ESC estimated the equi-effective doses for secukinumab and ustekinumab to be:</w:t>
      </w:r>
    </w:p>
    <w:p w:rsidR="009B2064" w:rsidRPr="0000305F" w:rsidRDefault="009B2064" w:rsidP="005A0E10">
      <w:pPr>
        <w:pStyle w:val="3-BodyText"/>
        <w:numPr>
          <w:ilvl w:val="0"/>
          <w:numId w:val="14"/>
        </w:numPr>
      </w:pPr>
      <w:r w:rsidRPr="0000305F">
        <w:t>Secukinumab (75 mg, 150 mg, or 300 mg) weight-based dosing at Week 0, 1, 2, 3 and 4, and then every 4 weeks over 2 years, and</w:t>
      </w:r>
    </w:p>
    <w:p w:rsidR="000678BA" w:rsidRPr="0000305F" w:rsidRDefault="009B2064" w:rsidP="005A0E10">
      <w:pPr>
        <w:pStyle w:val="3-BodyText"/>
        <w:numPr>
          <w:ilvl w:val="0"/>
          <w:numId w:val="14"/>
        </w:numPr>
      </w:pPr>
      <w:r w:rsidRPr="0000305F">
        <w:t>Ustekinumab (45 mg) weight-based dosing at Week 0 and 4, and then every 12 weeks over 2 years.</w:t>
      </w:r>
    </w:p>
    <w:p w:rsidR="00BB36A1" w:rsidRPr="00E663C3" w:rsidRDefault="2A01AA8D" w:rsidP="00BB36A1">
      <w:pPr>
        <w:pStyle w:val="3-BodyText"/>
        <w:rPr>
          <w:color w:val="0066FF"/>
        </w:rPr>
      </w:pPr>
      <w:r>
        <w:t xml:space="preserve">The submission claimed no administration costs given the proposed medicine will be administered in the same form as the comparators (as subcutaneous injection via pre-filled syringe or pen). </w:t>
      </w:r>
      <w:r w:rsidRPr="00E663C3">
        <w:rPr>
          <w:iCs/>
        </w:rPr>
        <w:t>This is reasonable.</w:t>
      </w:r>
      <w:r w:rsidRPr="00E663C3">
        <w:t xml:space="preserve"> The submission claimed no difference in the safety or toxicity profiles between secukinumab and </w:t>
      </w:r>
      <w:r w:rsidR="003D2A1A" w:rsidRPr="00E663C3">
        <w:t>ustekinumab</w:t>
      </w:r>
      <w:r w:rsidRPr="00E663C3">
        <w:t xml:space="preserve"> and applied no additional costs on safety and toxicity management. </w:t>
      </w:r>
      <w:r w:rsidRPr="00E663C3">
        <w:rPr>
          <w:iCs/>
        </w:rPr>
        <w:t xml:space="preserve">This </w:t>
      </w:r>
      <w:r w:rsidR="645CBE58" w:rsidRPr="00E663C3">
        <w:rPr>
          <w:iCs/>
        </w:rPr>
        <w:t>is</w:t>
      </w:r>
      <w:r w:rsidRPr="00E663C3">
        <w:rPr>
          <w:iCs/>
        </w:rPr>
        <w:t xml:space="preserve"> reasonable based on the non-inferior safety claims over</w:t>
      </w:r>
      <w:r w:rsidR="003D2A1A" w:rsidRPr="00E663C3">
        <w:rPr>
          <w:iCs/>
        </w:rPr>
        <w:t xml:space="preserve"> ustekinumab</w:t>
      </w:r>
      <w:r w:rsidRPr="00E663C3">
        <w:rPr>
          <w:iCs/>
        </w:rPr>
        <w:t>.</w:t>
      </w:r>
      <w:r w:rsidRPr="00E663C3">
        <w:rPr>
          <w:color w:val="0066FF"/>
        </w:rPr>
        <w:t xml:space="preserve"> </w:t>
      </w:r>
    </w:p>
    <w:p w:rsidR="0006210C" w:rsidRPr="00CF7530" w:rsidRDefault="7CE5C767" w:rsidP="0006210C">
      <w:pPr>
        <w:pStyle w:val="3-BodyText"/>
      </w:pPr>
      <w:r>
        <w:t xml:space="preserve">The results of the </w:t>
      </w:r>
      <w:r w:rsidR="00D30BDE">
        <w:t>CMA</w:t>
      </w:r>
      <w:r>
        <w:t xml:space="preserve"> are presented in Table </w:t>
      </w:r>
      <w:r w:rsidR="2F039F79">
        <w:t>1</w:t>
      </w:r>
      <w:r w:rsidR="002564B8">
        <w:t>1</w:t>
      </w:r>
      <w:r>
        <w:t>.</w:t>
      </w:r>
    </w:p>
    <w:p w:rsidR="008803D3" w:rsidRPr="00656188" w:rsidRDefault="00135A72" w:rsidP="005E3BE0">
      <w:pPr>
        <w:pStyle w:val="PBACcaption"/>
        <w:keepNext/>
        <w:keepLines/>
        <w:rPr>
          <w:rStyle w:val="CommentReference"/>
          <w:b/>
        </w:rPr>
      </w:pPr>
      <w:r w:rsidRPr="029D5890">
        <w:rPr>
          <w:rStyle w:val="CommentReference"/>
          <w:b/>
        </w:rPr>
        <w:t xml:space="preserve">Table </w:t>
      </w:r>
      <w:r w:rsidR="2644B309" w:rsidRPr="029D5890">
        <w:rPr>
          <w:rStyle w:val="CommentReference"/>
          <w:b/>
          <w:bCs/>
        </w:rPr>
        <w:t>1</w:t>
      </w:r>
      <w:r w:rsidR="002564B8">
        <w:rPr>
          <w:rStyle w:val="CommentReference"/>
          <w:b/>
          <w:bCs/>
        </w:rPr>
        <w:t>1</w:t>
      </w:r>
      <w:r w:rsidR="008803D3" w:rsidRPr="029D5890">
        <w:rPr>
          <w:rStyle w:val="CommentReference"/>
          <w:b/>
        </w:rPr>
        <w:t xml:space="preserve">: Results of the cost-minimisation </w:t>
      </w:r>
      <w:r w:rsidR="000E75B4">
        <w:rPr>
          <w:rStyle w:val="CommentReference"/>
          <w:b/>
        </w:rPr>
        <w:t>approach</w:t>
      </w:r>
      <w:r w:rsidR="000E75B4" w:rsidRPr="029D5890">
        <w:rPr>
          <w:rStyle w:val="CommentReference"/>
          <w:b/>
        </w:rPr>
        <w:t xml:space="preserve"> </w:t>
      </w:r>
      <w:r w:rsidR="006B5AB1" w:rsidRPr="029D5890">
        <w:rPr>
          <w:rStyle w:val="CommentReference"/>
          <w:b/>
        </w:rPr>
        <w:t>using published prices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1892"/>
        <w:gridCol w:w="1793"/>
        <w:gridCol w:w="2054"/>
      </w:tblGrid>
      <w:tr w:rsidR="007115A8" w:rsidRPr="00383B78" w:rsidTr="007115A8">
        <w:tc>
          <w:tcPr>
            <w:tcW w:w="1818" w:type="pct"/>
          </w:tcPr>
          <w:p w:rsidR="007115A8" w:rsidRDefault="007115A8" w:rsidP="005E3BE0">
            <w:pPr>
              <w:pStyle w:val="In-tableHeading"/>
              <w:keepLines/>
            </w:pPr>
          </w:p>
        </w:tc>
        <w:tc>
          <w:tcPr>
            <w:tcW w:w="3182" w:type="pct"/>
            <w:gridSpan w:val="3"/>
          </w:tcPr>
          <w:p w:rsidR="007115A8" w:rsidRDefault="007115A8" w:rsidP="005E3BE0">
            <w:pPr>
              <w:pStyle w:val="In-tableHeading"/>
              <w:keepLines/>
              <w:jc w:val="center"/>
            </w:pPr>
            <w:r>
              <w:t>Cost minimisation</w:t>
            </w:r>
            <w:r w:rsidR="000E75B4">
              <w:t xml:space="preserve"> calculation</w:t>
            </w:r>
          </w:p>
        </w:tc>
      </w:tr>
      <w:tr w:rsidR="007115A8" w:rsidRPr="00383B78" w:rsidTr="007115A8">
        <w:tc>
          <w:tcPr>
            <w:tcW w:w="1818" w:type="pct"/>
          </w:tcPr>
          <w:p w:rsidR="007115A8" w:rsidRPr="00383B78" w:rsidRDefault="007115A8" w:rsidP="005E3BE0">
            <w:pPr>
              <w:pStyle w:val="In-tableHeading"/>
              <w:keepLines/>
            </w:pPr>
            <w:r>
              <w:t>Component</w:t>
            </w:r>
          </w:p>
        </w:tc>
        <w:tc>
          <w:tcPr>
            <w:tcW w:w="1049" w:type="pct"/>
          </w:tcPr>
          <w:p w:rsidR="007115A8" w:rsidRPr="00383B78" w:rsidRDefault="007115A8" w:rsidP="005E3BE0">
            <w:pPr>
              <w:pStyle w:val="In-tableHeading"/>
              <w:keepLines/>
              <w:jc w:val="center"/>
            </w:pPr>
            <w:r>
              <w:t>Secukinumab (monthly dose)</w:t>
            </w:r>
          </w:p>
        </w:tc>
        <w:tc>
          <w:tcPr>
            <w:tcW w:w="994" w:type="pct"/>
          </w:tcPr>
          <w:p w:rsidR="007115A8" w:rsidRPr="009F4945" w:rsidRDefault="007115A8" w:rsidP="005E3BE0">
            <w:pPr>
              <w:pStyle w:val="In-tableHeading"/>
              <w:keepLines/>
              <w:jc w:val="center"/>
              <w:rPr>
                <w:iCs/>
              </w:rPr>
            </w:pPr>
            <w:r w:rsidRPr="009F4945">
              <w:rPr>
                <w:iCs/>
              </w:rPr>
              <w:t>Secukinumab (four-weekly dose)</w:t>
            </w:r>
            <w:r w:rsidR="009F4945" w:rsidRPr="009F4945">
              <w:rPr>
                <w:iCs/>
                <w:vertAlign w:val="superscript"/>
              </w:rPr>
              <w:t>a</w:t>
            </w:r>
          </w:p>
        </w:tc>
        <w:tc>
          <w:tcPr>
            <w:tcW w:w="1139" w:type="pct"/>
          </w:tcPr>
          <w:p w:rsidR="007115A8" w:rsidRPr="00383B78" w:rsidRDefault="007115A8" w:rsidP="005E3BE0">
            <w:pPr>
              <w:pStyle w:val="In-tableHeading"/>
              <w:keepLines/>
              <w:jc w:val="center"/>
            </w:pPr>
            <w:r>
              <w:t xml:space="preserve">Ustekinumab </w:t>
            </w:r>
          </w:p>
        </w:tc>
      </w:tr>
      <w:tr w:rsidR="007115A8" w:rsidTr="007115A8">
        <w:tc>
          <w:tcPr>
            <w:tcW w:w="1818" w:type="pct"/>
          </w:tcPr>
          <w:p w:rsidR="007115A8" w:rsidRDefault="007115A8" w:rsidP="005E3BE0">
            <w:pPr>
              <w:pStyle w:val="TableText0"/>
              <w:keepLines/>
            </w:pPr>
            <w:r>
              <w:t>Cost per dose (AEMP)</w:t>
            </w:r>
          </w:p>
        </w:tc>
        <w:tc>
          <w:tcPr>
            <w:tcW w:w="1049" w:type="pct"/>
          </w:tcPr>
          <w:p w:rsidR="007115A8" w:rsidRDefault="007115A8" w:rsidP="005E3BE0">
            <w:pPr>
              <w:pStyle w:val="TableText0"/>
              <w:keepLines/>
              <w:jc w:val="center"/>
            </w:pPr>
            <w:r w:rsidRPr="00DF54F7">
              <w:t>$1307.38</w:t>
            </w:r>
          </w:p>
        </w:tc>
        <w:tc>
          <w:tcPr>
            <w:tcW w:w="994" w:type="pct"/>
          </w:tcPr>
          <w:p w:rsidR="007115A8" w:rsidRPr="009F4945" w:rsidRDefault="007115A8" w:rsidP="005E3BE0">
            <w:pPr>
              <w:pStyle w:val="TableText0"/>
              <w:keepLines/>
              <w:jc w:val="center"/>
              <w:rPr>
                <w:iCs/>
              </w:rPr>
            </w:pPr>
            <w:r w:rsidRPr="009F4945">
              <w:rPr>
                <w:iCs/>
              </w:rPr>
              <w:t>$1217.21</w:t>
            </w:r>
          </w:p>
        </w:tc>
        <w:tc>
          <w:tcPr>
            <w:tcW w:w="1139" w:type="pct"/>
          </w:tcPr>
          <w:p w:rsidR="007115A8" w:rsidRDefault="007115A8" w:rsidP="005E3BE0">
            <w:pPr>
              <w:pStyle w:val="TableText0"/>
              <w:keepLines/>
              <w:jc w:val="center"/>
            </w:pPr>
            <w:r>
              <w:t>$3782.07</w:t>
            </w:r>
            <w:r w:rsidR="009F4945">
              <w:rPr>
                <w:vertAlign w:val="superscript"/>
              </w:rPr>
              <w:t>b</w:t>
            </w:r>
          </w:p>
        </w:tc>
      </w:tr>
      <w:tr w:rsidR="007115A8" w:rsidTr="007115A8">
        <w:tc>
          <w:tcPr>
            <w:tcW w:w="1818" w:type="pct"/>
          </w:tcPr>
          <w:p w:rsidR="007115A8" w:rsidRDefault="007115A8" w:rsidP="005E3BE0">
            <w:pPr>
              <w:pStyle w:val="TableText0"/>
              <w:keepLines/>
            </w:pPr>
            <w:r>
              <w:t>Dose duration</w:t>
            </w:r>
          </w:p>
        </w:tc>
        <w:tc>
          <w:tcPr>
            <w:tcW w:w="1049" w:type="pct"/>
          </w:tcPr>
          <w:p w:rsidR="007115A8" w:rsidRDefault="007115A8" w:rsidP="005E3BE0">
            <w:pPr>
              <w:pStyle w:val="TableText0"/>
              <w:keepLines/>
              <w:jc w:val="center"/>
            </w:pPr>
            <w:r>
              <w:t>two years</w:t>
            </w:r>
          </w:p>
        </w:tc>
        <w:tc>
          <w:tcPr>
            <w:tcW w:w="994" w:type="pct"/>
          </w:tcPr>
          <w:p w:rsidR="007115A8" w:rsidRPr="009F4945" w:rsidRDefault="007115A8" w:rsidP="005E3BE0">
            <w:pPr>
              <w:pStyle w:val="TableText0"/>
              <w:keepLines/>
              <w:jc w:val="center"/>
              <w:rPr>
                <w:iCs/>
              </w:rPr>
            </w:pPr>
            <w:r w:rsidRPr="009F4945">
              <w:rPr>
                <w:iCs/>
              </w:rPr>
              <w:t>two years</w:t>
            </w:r>
          </w:p>
        </w:tc>
        <w:tc>
          <w:tcPr>
            <w:tcW w:w="1139" w:type="pct"/>
          </w:tcPr>
          <w:p w:rsidR="007115A8" w:rsidRDefault="007115A8" w:rsidP="005E3BE0">
            <w:pPr>
              <w:pStyle w:val="TableText0"/>
              <w:keepLines/>
              <w:jc w:val="center"/>
            </w:pPr>
            <w:r>
              <w:t>two years</w:t>
            </w:r>
          </w:p>
        </w:tc>
      </w:tr>
      <w:tr w:rsidR="007115A8" w:rsidTr="007115A8">
        <w:tc>
          <w:tcPr>
            <w:tcW w:w="1818" w:type="pct"/>
          </w:tcPr>
          <w:p w:rsidR="007115A8" w:rsidRDefault="007115A8" w:rsidP="005E3BE0">
            <w:pPr>
              <w:pStyle w:val="TableText0"/>
              <w:keepLines/>
            </w:pPr>
            <w:r>
              <w:t>Doses over two years</w:t>
            </w:r>
          </w:p>
        </w:tc>
        <w:tc>
          <w:tcPr>
            <w:tcW w:w="1049" w:type="pct"/>
          </w:tcPr>
          <w:p w:rsidR="007115A8" w:rsidRDefault="007115A8" w:rsidP="005E3BE0">
            <w:pPr>
              <w:pStyle w:val="TableText0"/>
              <w:keepLines/>
              <w:jc w:val="center"/>
            </w:pPr>
            <w:r>
              <w:t>27</w:t>
            </w:r>
          </w:p>
        </w:tc>
        <w:tc>
          <w:tcPr>
            <w:tcW w:w="994" w:type="pct"/>
          </w:tcPr>
          <w:p w:rsidR="007115A8" w:rsidRPr="009F4945" w:rsidRDefault="007115A8" w:rsidP="005E3BE0">
            <w:pPr>
              <w:pStyle w:val="TableText0"/>
              <w:keepLines/>
              <w:jc w:val="center"/>
              <w:rPr>
                <w:iCs/>
              </w:rPr>
            </w:pPr>
            <w:r w:rsidRPr="009F4945">
              <w:rPr>
                <w:iCs/>
              </w:rPr>
              <w:t>29</w:t>
            </w:r>
          </w:p>
        </w:tc>
        <w:tc>
          <w:tcPr>
            <w:tcW w:w="1139" w:type="pct"/>
          </w:tcPr>
          <w:p w:rsidR="007115A8" w:rsidRPr="009F4945" w:rsidRDefault="007115A8" w:rsidP="005E3BE0">
            <w:pPr>
              <w:pStyle w:val="TableText0"/>
              <w:keepLines/>
              <w:jc w:val="center"/>
              <w:rPr>
                <w:iCs/>
              </w:rPr>
            </w:pPr>
            <w:r w:rsidRPr="009F4945">
              <w:rPr>
                <w:iCs/>
              </w:rPr>
              <w:t>9.3333</w:t>
            </w:r>
          </w:p>
        </w:tc>
      </w:tr>
      <w:tr w:rsidR="007115A8" w:rsidTr="007115A8">
        <w:tc>
          <w:tcPr>
            <w:tcW w:w="1818" w:type="pct"/>
          </w:tcPr>
          <w:p w:rsidR="007115A8" w:rsidRDefault="007115A8" w:rsidP="005E3BE0">
            <w:pPr>
              <w:pStyle w:val="TableText0"/>
              <w:keepLines/>
            </w:pPr>
            <w:r>
              <w:t xml:space="preserve">Total medicine cost over 2 yrs </w:t>
            </w:r>
          </w:p>
        </w:tc>
        <w:tc>
          <w:tcPr>
            <w:tcW w:w="1049" w:type="pct"/>
          </w:tcPr>
          <w:p w:rsidR="007115A8" w:rsidRDefault="007115A8" w:rsidP="005E3BE0">
            <w:pPr>
              <w:pStyle w:val="TableText0"/>
              <w:keepLines/>
              <w:jc w:val="center"/>
            </w:pPr>
            <w:r w:rsidRPr="00D119A7">
              <w:t>$35,299</w:t>
            </w:r>
          </w:p>
        </w:tc>
        <w:tc>
          <w:tcPr>
            <w:tcW w:w="994" w:type="pct"/>
          </w:tcPr>
          <w:p w:rsidR="007115A8" w:rsidRPr="009F4945" w:rsidRDefault="007115A8" w:rsidP="005E3BE0">
            <w:pPr>
              <w:pStyle w:val="TableText0"/>
              <w:keepLines/>
              <w:jc w:val="center"/>
              <w:rPr>
                <w:iCs/>
              </w:rPr>
            </w:pPr>
            <w:r w:rsidRPr="009F4945">
              <w:rPr>
                <w:iCs/>
              </w:rPr>
              <w:t>$35,299</w:t>
            </w:r>
          </w:p>
        </w:tc>
        <w:tc>
          <w:tcPr>
            <w:tcW w:w="1139" w:type="pct"/>
          </w:tcPr>
          <w:p w:rsidR="007115A8" w:rsidRDefault="007115A8" w:rsidP="005E3BE0">
            <w:pPr>
              <w:pStyle w:val="TableText0"/>
              <w:keepLines/>
              <w:jc w:val="center"/>
            </w:pPr>
            <w:r>
              <w:t>$35,299</w:t>
            </w:r>
          </w:p>
        </w:tc>
      </w:tr>
    </w:tbl>
    <w:p w:rsidR="0006210C" w:rsidRDefault="008803D3" w:rsidP="005E2068">
      <w:pPr>
        <w:pStyle w:val="TableFigureFooter"/>
        <w:rPr>
          <w:iCs/>
        </w:rPr>
      </w:pPr>
      <w:r w:rsidRPr="00E0044F">
        <w:t>Source: Table 3.3, p126 of the submission.</w:t>
      </w:r>
      <w:r w:rsidR="00D87167" w:rsidRPr="00E0044F">
        <w:t xml:space="preserve"> </w:t>
      </w:r>
    </w:p>
    <w:p w:rsidR="00E0044F" w:rsidRDefault="00E0044F" w:rsidP="005E2068">
      <w:pPr>
        <w:pStyle w:val="TableFigureFooter"/>
        <w:rPr>
          <w:iCs/>
        </w:rPr>
      </w:pPr>
      <w:r>
        <w:rPr>
          <w:iCs/>
        </w:rPr>
        <w:t>AEMP = approved ex-manufacturer price.</w:t>
      </w:r>
    </w:p>
    <w:p w:rsidR="009F4945" w:rsidRPr="009F4945" w:rsidRDefault="009F4945" w:rsidP="005E2068">
      <w:pPr>
        <w:pStyle w:val="TableFigureFooter"/>
        <w:rPr>
          <w:iCs/>
        </w:rPr>
      </w:pPr>
      <w:r w:rsidRPr="009F4945">
        <w:rPr>
          <w:iCs/>
          <w:vertAlign w:val="superscript"/>
        </w:rPr>
        <w:t xml:space="preserve">a </w:t>
      </w:r>
      <w:r w:rsidRPr="009F4945">
        <w:rPr>
          <w:iCs/>
        </w:rPr>
        <w:t>Modified during the evaluation.</w:t>
      </w:r>
    </w:p>
    <w:p w:rsidR="00056AAC" w:rsidRPr="009F4945" w:rsidRDefault="009F4945" w:rsidP="005E2068">
      <w:pPr>
        <w:pStyle w:val="TableFigureFooter"/>
        <w:rPr>
          <w:iCs/>
        </w:rPr>
      </w:pPr>
      <w:r w:rsidRPr="009F4945">
        <w:rPr>
          <w:iCs/>
          <w:vertAlign w:val="superscript"/>
        </w:rPr>
        <w:t>b</w:t>
      </w:r>
      <w:r w:rsidRPr="009F4945">
        <w:rPr>
          <w:iCs/>
        </w:rPr>
        <w:t xml:space="preserve"> </w:t>
      </w:r>
      <w:r w:rsidR="00056AAC" w:rsidRPr="009F4945">
        <w:rPr>
          <w:iCs/>
        </w:rPr>
        <w:t>The pu</w:t>
      </w:r>
      <w:r w:rsidR="005219C2" w:rsidRPr="009F4945">
        <w:rPr>
          <w:iCs/>
        </w:rPr>
        <w:t xml:space="preserve">blished AEMP for </w:t>
      </w:r>
      <w:r w:rsidR="00541E1C" w:rsidRPr="009F4945">
        <w:rPr>
          <w:iCs/>
        </w:rPr>
        <w:t>ustekinumab is</w:t>
      </w:r>
      <w:r w:rsidR="005219C2" w:rsidRPr="009F4945">
        <w:rPr>
          <w:iCs/>
        </w:rPr>
        <w:t xml:space="preserve"> $3,809.08. Ustekinumab was listed on the PBS for paediatric severe CPP on 1 October 2021, with the same published AEMP.</w:t>
      </w:r>
    </w:p>
    <w:p w:rsidR="0006210C" w:rsidRPr="005060EA" w:rsidRDefault="7CE5C767" w:rsidP="0006210C">
      <w:pPr>
        <w:pStyle w:val="3-BodyText"/>
      </w:pPr>
      <w:r>
        <w:t xml:space="preserve">There is a special pricing arrangement for ustekinumab, however the effective price </w:t>
      </w:r>
      <w:r w:rsidR="7B5DFC7C">
        <w:t>was</w:t>
      </w:r>
      <w:r>
        <w:t xml:space="preserve"> not available</w:t>
      </w:r>
      <w:r w:rsidR="7B5DFC7C">
        <w:t xml:space="preserve"> to the Sponsor</w:t>
      </w:r>
      <w:r>
        <w:t xml:space="preserve">. As a </w:t>
      </w:r>
      <w:r w:rsidR="00066319">
        <w:t>result,</w:t>
      </w:r>
      <w:r>
        <w:t xml:space="preserve"> the</w:t>
      </w:r>
      <w:r w:rsidR="03DE3747">
        <w:t xml:space="preserve"> Sponsor conducted the</w:t>
      </w:r>
      <w:r>
        <w:t xml:space="preserve"> </w:t>
      </w:r>
      <w:r w:rsidR="26F12B08">
        <w:t>cost minim</w:t>
      </w:r>
      <w:r w:rsidR="5C062566">
        <w:t xml:space="preserve">isation </w:t>
      </w:r>
      <w:r w:rsidR="60605805">
        <w:t xml:space="preserve">analysis </w:t>
      </w:r>
      <w:r>
        <w:t>using</w:t>
      </w:r>
      <w:r w:rsidR="161CBDEA">
        <w:t xml:space="preserve"> the</w:t>
      </w:r>
      <w:r>
        <w:t xml:space="preserve"> published price o</w:t>
      </w:r>
      <w:r w:rsidR="4CDDE9EA">
        <w:t>nly.</w:t>
      </w:r>
    </w:p>
    <w:p w:rsidR="004075F0" w:rsidRPr="0000305F" w:rsidRDefault="7CE5C767" w:rsidP="00B26AA0">
      <w:pPr>
        <w:pStyle w:val="3-BodyText"/>
        <w:rPr>
          <w:color w:val="0066FF"/>
        </w:rPr>
      </w:pPr>
      <w:r w:rsidRPr="0000305F">
        <w:t xml:space="preserve">On the basis of equivalence to the ustekinumab cost over two years, the </w:t>
      </w:r>
      <w:r w:rsidR="005219C2" w:rsidRPr="0000305F">
        <w:t>ex-manufacturer price (</w:t>
      </w:r>
      <w:r w:rsidRPr="0000305F">
        <w:t>EMP</w:t>
      </w:r>
      <w:r w:rsidR="005219C2" w:rsidRPr="0000305F">
        <w:t>)</w:t>
      </w:r>
      <w:r w:rsidRPr="0000305F">
        <w:t xml:space="preserve"> for secukinumab in paediatric psoriasis was calculated as $1,307.38 in the submission</w:t>
      </w:r>
      <w:r w:rsidR="00FE3090" w:rsidRPr="0000305F">
        <w:t xml:space="preserve"> using published prices</w:t>
      </w:r>
      <w:r w:rsidR="000C0FB1" w:rsidRPr="0000305F">
        <w:t xml:space="preserve"> of us</w:t>
      </w:r>
      <w:r w:rsidR="00066319" w:rsidRPr="0000305F">
        <w:t>t</w:t>
      </w:r>
      <w:r w:rsidR="000C0FB1" w:rsidRPr="0000305F">
        <w:t>ekinumab</w:t>
      </w:r>
      <w:r w:rsidR="00986843" w:rsidRPr="0000305F">
        <w:t>,</w:t>
      </w:r>
      <w:r w:rsidR="3496D1AA" w:rsidRPr="0000305F">
        <w:t xml:space="preserve"> </w:t>
      </w:r>
      <w:r w:rsidR="1DF02F36" w:rsidRPr="0000305F">
        <w:rPr>
          <w:iCs/>
        </w:rPr>
        <w:t>adjusted</w:t>
      </w:r>
      <w:r w:rsidR="008306A3" w:rsidRPr="0000305F">
        <w:rPr>
          <w:iCs/>
        </w:rPr>
        <w:t xml:space="preserve"> during the evaluation</w:t>
      </w:r>
      <w:r w:rsidR="1DF02F36" w:rsidRPr="0000305F">
        <w:rPr>
          <w:iCs/>
        </w:rPr>
        <w:t xml:space="preserve"> to</w:t>
      </w:r>
      <w:r w:rsidR="29A86091" w:rsidRPr="0000305F">
        <w:rPr>
          <w:iCs/>
        </w:rPr>
        <w:t xml:space="preserve"> </w:t>
      </w:r>
      <w:r w:rsidR="3180F51C" w:rsidRPr="0000305F">
        <w:rPr>
          <w:iCs/>
        </w:rPr>
        <w:t xml:space="preserve">$1,217.21 if using four-weekly as </w:t>
      </w:r>
      <w:r w:rsidR="05F33102" w:rsidRPr="0000305F">
        <w:rPr>
          <w:iCs/>
        </w:rPr>
        <w:t>dosing frequency</w:t>
      </w:r>
      <w:r w:rsidRPr="0000305F">
        <w:t xml:space="preserve">. </w:t>
      </w:r>
    </w:p>
    <w:p w:rsidR="000020C8" w:rsidRPr="0000305F" w:rsidRDefault="004075F0" w:rsidP="000678BA">
      <w:pPr>
        <w:pStyle w:val="3-BodyText"/>
        <w:rPr>
          <w:color w:val="0066FF"/>
        </w:rPr>
      </w:pPr>
      <w:r w:rsidRPr="0000305F">
        <w:t>T</w:t>
      </w:r>
      <w:r w:rsidR="0487D32A" w:rsidRPr="0000305F">
        <w:t>he submission stated the requested EMP for secukinumab in paediatric psoriasis is $</w:t>
      </w:r>
      <w:r w:rsidR="00824E74">
        <w:rPr>
          <w:noProof/>
          <w:color w:val="000000"/>
          <w:highlight w:val="black"/>
        </w:rPr>
        <w:t>'''''''</w:t>
      </w:r>
      <w:r w:rsidR="000B0EEF">
        <w:t xml:space="preserve"> per dose</w:t>
      </w:r>
      <w:r w:rsidR="00B26AA0" w:rsidRPr="0000305F">
        <w:t>, stating that “On the basis of equivalence to the secukinumab price for adults in the same indication, the requested AEMP for secukinumab in</w:t>
      </w:r>
      <w:r w:rsidRPr="0000305F">
        <w:t xml:space="preserve"> paediatric psoriasis is $</w:t>
      </w:r>
      <w:r w:rsidR="00824E74">
        <w:rPr>
          <w:noProof/>
          <w:color w:val="000000"/>
          <w:highlight w:val="black"/>
        </w:rPr>
        <w:t>'''''''</w:t>
      </w:r>
      <w:r w:rsidR="00B26AA0" w:rsidRPr="0000305F">
        <w:t xml:space="preserve"> (instead of $1,307.38).”</w:t>
      </w:r>
      <w:r w:rsidRPr="0000305F">
        <w:t xml:space="preserve"> This ambiguously compared the proposed effective price ($</w:t>
      </w:r>
      <w:r w:rsidR="00824E74">
        <w:rPr>
          <w:noProof/>
          <w:color w:val="000000"/>
          <w:highlight w:val="black"/>
        </w:rPr>
        <w:t>'''''''</w:t>
      </w:r>
      <w:r w:rsidRPr="0000305F">
        <w:t>)</w:t>
      </w:r>
      <w:r w:rsidR="002E3D24" w:rsidRPr="0000305F">
        <w:t xml:space="preserve"> to the</w:t>
      </w:r>
      <w:r w:rsidR="00056AAC" w:rsidRPr="0000305F">
        <w:t xml:space="preserve"> published</w:t>
      </w:r>
      <w:r w:rsidRPr="0000305F">
        <w:t xml:space="preserve"> cost-minimised price ($1,307.38) derived from the ustekinumab published price.</w:t>
      </w:r>
      <w:r w:rsidR="00B26AA0" w:rsidRPr="0000305F">
        <w:t xml:space="preserve"> T</w:t>
      </w:r>
      <w:r w:rsidR="00AC2597" w:rsidRPr="0000305F">
        <w:t>he S</w:t>
      </w:r>
      <w:r w:rsidR="00FE3090" w:rsidRPr="0000305F">
        <w:t xml:space="preserve">ponsor clarified in the PSCR </w:t>
      </w:r>
      <w:r w:rsidR="008306A3" w:rsidRPr="0000305F">
        <w:t xml:space="preserve">that </w:t>
      </w:r>
      <w:r w:rsidR="00AC2597" w:rsidRPr="0000305F">
        <w:t>the requested effective EMP</w:t>
      </w:r>
      <w:r w:rsidR="008306A3" w:rsidRPr="0000305F">
        <w:t xml:space="preserve"> ($</w:t>
      </w:r>
      <w:r w:rsidR="00824E74">
        <w:rPr>
          <w:noProof/>
          <w:color w:val="000000"/>
          <w:highlight w:val="black"/>
        </w:rPr>
        <w:t>'''''''</w:t>
      </w:r>
      <w:r w:rsidR="008306A3" w:rsidRPr="0000305F">
        <w:t>)</w:t>
      </w:r>
      <w:r w:rsidR="00B26AA0" w:rsidRPr="0000305F">
        <w:t xml:space="preserve"> </w:t>
      </w:r>
      <w:r w:rsidR="00FE3090" w:rsidRPr="0000305F">
        <w:t>was the price for secukinumab in adult severe CPP when first listed in this indication</w:t>
      </w:r>
      <w:r w:rsidR="0067485A" w:rsidRPr="0000305F">
        <w:t xml:space="preserve"> (March 2015</w:t>
      </w:r>
      <w:r w:rsidR="00FE3090" w:rsidRPr="0000305F">
        <w:t>, cost-minimised to adalimumab [AEMP $</w:t>
      </w:r>
      <w:r w:rsidR="00824E74">
        <w:rPr>
          <w:noProof/>
          <w:color w:val="000000"/>
          <w:highlight w:val="black"/>
        </w:rPr>
        <w:t>''''''''''''</w:t>
      </w:r>
      <w:r w:rsidR="00FE3090" w:rsidRPr="0000305F">
        <w:t>]).</w:t>
      </w:r>
    </w:p>
    <w:p w:rsidR="00B5278F" w:rsidRPr="0000305F" w:rsidRDefault="006521C1" w:rsidP="005F48FE">
      <w:pPr>
        <w:pStyle w:val="3-BodyText"/>
      </w:pPr>
      <w:r w:rsidRPr="0000305F">
        <w:t xml:space="preserve">The ESC </w:t>
      </w:r>
      <w:r w:rsidR="00C169BE" w:rsidRPr="0000305F">
        <w:t>considered</w:t>
      </w:r>
      <w:r w:rsidRPr="0000305F">
        <w:t xml:space="preserve"> that</w:t>
      </w:r>
      <w:r w:rsidR="00AA27E1" w:rsidRPr="0000305F">
        <w:t>,</w:t>
      </w:r>
      <w:r w:rsidR="00DF4074" w:rsidRPr="0000305F">
        <w:t xml:space="preserve"> if the PBAC accept the claim of</w:t>
      </w:r>
      <w:r w:rsidR="00AA27E1" w:rsidRPr="0000305F">
        <w:t xml:space="preserve"> non-inferiority, i</w:t>
      </w:r>
      <w:r w:rsidRPr="0000305F">
        <w:t>t</w:t>
      </w:r>
      <w:r w:rsidR="00AA27E1" w:rsidRPr="0000305F">
        <w:t xml:space="preserve"> would</w:t>
      </w:r>
      <w:r w:rsidRPr="0000305F">
        <w:t xml:space="preserve"> be appropriate to conduct a CMA against ustekinumab</w:t>
      </w:r>
      <w:r w:rsidR="005D5E28" w:rsidRPr="0000305F">
        <w:t xml:space="preserve">, </w:t>
      </w:r>
      <w:r w:rsidR="00AA27E1" w:rsidRPr="0000305F">
        <w:t xml:space="preserve">using the effective price for paediatric </w:t>
      </w:r>
      <w:r w:rsidR="005D5E28" w:rsidRPr="0000305F">
        <w:t>CPP and</w:t>
      </w:r>
      <w:r w:rsidR="00AA27E1" w:rsidRPr="0000305F">
        <w:t xml:space="preserve"> the </w:t>
      </w:r>
      <w:r w:rsidR="00AA27E1" w:rsidRPr="009064CF">
        <w:t xml:space="preserve">equi-effective doses in paragraph </w:t>
      </w:r>
      <w:r w:rsidR="005D5E28" w:rsidRPr="009064CF">
        <w:t>6.</w:t>
      </w:r>
      <w:r w:rsidR="009064CF" w:rsidRPr="009064CF">
        <w:t>48</w:t>
      </w:r>
      <w:r w:rsidR="00AA27E1" w:rsidRPr="009064CF">
        <w:t>.</w:t>
      </w:r>
      <w:r w:rsidR="00AA27E1" w:rsidRPr="0000305F">
        <w:t xml:space="preserve"> </w:t>
      </w:r>
      <w:r w:rsidRPr="0000305F">
        <w:t xml:space="preserve"> </w:t>
      </w:r>
    </w:p>
    <w:p w:rsidR="00E94C62" w:rsidRDefault="00E94C62" w:rsidP="00032259">
      <w:pPr>
        <w:pStyle w:val="4-SubsectionHeading"/>
      </w:pPr>
      <w:bookmarkStart w:id="30" w:name="_Toc22897646"/>
      <w:bookmarkStart w:id="31" w:name="_Toc82600278"/>
      <w:r w:rsidRPr="002C2775">
        <w:t>Drug</w:t>
      </w:r>
      <w:r>
        <w:t xml:space="preserve"> </w:t>
      </w:r>
      <w:r w:rsidRPr="002C2775">
        <w:t>cost/patient/year</w:t>
      </w:r>
      <w:bookmarkEnd w:id="30"/>
      <w:bookmarkEnd w:id="31"/>
    </w:p>
    <w:p w:rsidR="00E94C62" w:rsidRPr="00E663C3" w:rsidRDefault="6325DAA9" w:rsidP="00CF7530">
      <w:pPr>
        <w:pStyle w:val="3-BodyText"/>
        <w:rPr>
          <w:iCs/>
        </w:rPr>
      </w:pPr>
      <w:r w:rsidRPr="00E663C3">
        <w:rPr>
          <w:iCs/>
        </w:rPr>
        <w:t>In the submission, assuming a DPMQ of $</w:t>
      </w:r>
      <w:r w:rsidR="00824E74">
        <w:rPr>
          <w:iCs/>
          <w:noProof/>
          <w:color w:val="000000"/>
          <w:highlight w:val="black"/>
        </w:rPr>
        <w:t>'''''''''''''</w:t>
      </w:r>
      <w:r w:rsidRPr="00E663C3">
        <w:rPr>
          <w:iCs/>
        </w:rPr>
        <w:t xml:space="preserve"> (MQ = 1) and $</w:t>
      </w:r>
      <w:r w:rsidR="00824E74">
        <w:rPr>
          <w:iCs/>
          <w:noProof/>
          <w:color w:val="000000"/>
          <w:highlight w:val="black"/>
        </w:rPr>
        <w:t>'''''''''''''''''</w:t>
      </w:r>
      <w:r w:rsidRPr="00E663C3">
        <w:rPr>
          <w:iCs/>
        </w:rPr>
        <w:t xml:space="preserve"> (MQ = 4) and 12 scripts required for the first year of treatment inclusive of initial and continuing therapy with loading regimen, the cost per patient per year for secukinumab is $</w:t>
      </w:r>
      <w:r w:rsidR="00824E74">
        <w:rPr>
          <w:iCs/>
          <w:noProof/>
          <w:color w:val="000000"/>
          <w:highlight w:val="black"/>
        </w:rPr>
        <w:t>''''''''''''</w:t>
      </w:r>
      <w:r w:rsidRPr="00E663C3">
        <w:rPr>
          <w:iCs/>
        </w:rPr>
        <w:t>. Using the updated DPMQ of $</w:t>
      </w:r>
      <w:r w:rsidR="00824E74">
        <w:rPr>
          <w:iCs/>
          <w:noProof/>
          <w:color w:val="000000"/>
          <w:highlight w:val="black"/>
        </w:rPr>
        <w:t>''''''''''''</w:t>
      </w:r>
      <w:r w:rsidRPr="00E663C3">
        <w:rPr>
          <w:iCs/>
        </w:rPr>
        <w:t xml:space="preserve"> (MQ = 1) and $</w:t>
      </w:r>
      <w:r w:rsidR="00824E74">
        <w:rPr>
          <w:iCs/>
          <w:noProof/>
          <w:color w:val="000000"/>
          <w:highlight w:val="black"/>
        </w:rPr>
        <w:t>''''''''''''''''''</w:t>
      </w:r>
      <w:r w:rsidRPr="00E663C3">
        <w:rPr>
          <w:iCs/>
        </w:rPr>
        <w:t xml:space="preserve"> (MQ = 4) based on the 1 July 2021 mark-ups, the cost per patient per year for secukinumab slightly increased to $</w:t>
      </w:r>
      <w:r w:rsidR="00824E74">
        <w:rPr>
          <w:iCs/>
          <w:noProof/>
          <w:color w:val="000000"/>
          <w:highlight w:val="black"/>
        </w:rPr>
        <w:t>''''''''''''</w:t>
      </w:r>
      <w:r w:rsidRPr="00E663C3">
        <w:rPr>
          <w:iCs/>
        </w:rPr>
        <w:t>. For ustekinumab using the published price for current indication DPMQ of $3943.17 (MQ = 1) and 5 scripts required for the first year of treatment with loading regimen, the cost per patient per year is $19,716.</w:t>
      </w:r>
    </w:p>
    <w:p w:rsidR="00BB36A1" w:rsidRPr="00C9624D" w:rsidRDefault="00BB36A1" w:rsidP="00BB36A1">
      <w:pPr>
        <w:pStyle w:val="4-SubsectionHeading"/>
      </w:pPr>
      <w:bookmarkStart w:id="32" w:name="_Toc22897647"/>
      <w:bookmarkStart w:id="33" w:name="_Toc82600279"/>
      <w:r w:rsidRPr="00C9624D">
        <w:t>Estimated PBS usage &amp; financial implications</w:t>
      </w:r>
      <w:bookmarkEnd w:id="32"/>
      <w:bookmarkEnd w:id="33"/>
    </w:p>
    <w:p w:rsidR="007E7290" w:rsidRPr="007E7290" w:rsidRDefault="2A01AA8D" w:rsidP="00BB36A1">
      <w:pPr>
        <w:pStyle w:val="3-BodyText"/>
        <w:rPr>
          <w:color w:val="0066FF"/>
        </w:rPr>
      </w:pPr>
      <w:r>
        <w:t xml:space="preserve">This submission </w:t>
      </w:r>
      <w:r w:rsidR="007E7290">
        <w:t xml:space="preserve">was not </w:t>
      </w:r>
      <w:r>
        <w:t xml:space="preserve">considered </w:t>
      </w:r>
      <w:r w:rsidRPr="00C405F7">
        <w:t xml:space="preserve">by DUSC. </w:t>
      </w:r>
    </w:p>
    <w:p w:rsidR="00BB36A1" w:rsidRPr="00E663C3" w:rsidRDefault="2A01AA8D" w:rsidP="00BB36A1">
      <w:pPr>
        <w:pStyle w:val="3-BodyText"/>
        <w:rPr>
          <w:color w:val="0066FF"/>
        </w:rPr>
      </w:pPr>
      <w:r w:rsidRPr="6A8F74B3">
        <w:rPr>
          <w:color w:val="000000" w:themeColor="text1"/>
        </w:rPr>
        <w:t>The submission used a market share approach by starting with etanercept scripts and applying market growth, with these scripts then split based on the estimated market share of ustekinumab and etanercept.</w:t>
      </w:r>
      <w:r w:rsidR="002564B8">
        <w:rPr>
          <w:color w:val="000000" w:themeColor="text1"/>
        </w:rPr>
        <w:t xml:space="preserve"> Key inputs for the financial estimates are shown in Table 12.</w:t>
      </w:r>
      <w:r w:rsidRPr="6A8F74B3">
        <w:rPr>
          <w:color w:val="000000" w:themeColor="text1"/>
        </w:rPr>
        <w:t xml:space="preserve"> The uptake of secukinumab is then applied. </w:t>
      </w:r>
      <w:r w:rsidRPr="00E663C3">
        <w:rPr>
          <w:iCs/>
          <w:color w:val="000000" w:themeColor="text1"/>
        </w:rPr>
        <w:t>This approach is reasonable given the proposed medicine is expected to represent a direct substitution of etanercept and ustekinumab. An alternative method would be a mixed market share and epidemiological approach which was used in the submission of ustekinumab for paediatric severe psoriasis (para</w:t>
      </w:r>
      <w:r w:rsidR="27F94599" w:rsidRPr="00E663C3">
        <w:rPr>
          <w:iCs/>
          <w:color w:val="000000" w:themeColor="text1"/>
        </w:rPr>
        <w:t>graph</w:t>
      </w:r>
      <w:r w:rsidRPr="00E663C3">
        <w:rPr>
          <w:iCs/>
          <w:color w:val="000000" w:themeColor="text1"/>
        </w:rPr>
        <w:t xml:space="preserve"> 6.59, ustekinumab</w:t>
      </w:r>
      <w:r w:rsidR="27F94599" w:rsidRPr="00E663C3">
        <w:rPr>
          <w:iCs/>
          <w:color w:val="000000" w:themeColor="text1"/>
        </w:rPr>
        <w:t xml:space="preserve"> PSD</w:t>
      </w:r>
      <w:r w:rsidRPr="00E663C3">
        <w:rPr>
          <w:iCs/>
          <w:color w:val="000000" w:themeColor="text1"/>
        </w:rPr>
        <w:t>, March 2021).</w:t>
      </w:r>
    </w:p>
    <w:p w:rsidR="00BB36A1" w:rsidRDefault="00BB36A1" w:rsidP="00BB36A1">
      <w:pPr>
        <w:pStyle w:val="TableFigureHeading"/>
      </w:pPr>
      <w:r w:rsidRPr="029D5890">
        <w:rPr>
          <w:rStyle w:val="CommentReference"/>
          <w:b/>
        </w:rPr>
        <w:t xml:space="preserve">Table </w:t>
      </w:r>
      <w:r w:rsidR="074B4B2B" w:rsidRPr="029D5890">
        <w:rPr>
          <w:rStyle w:val="CommentReference"/>
          <w:b/>
        </w:rPr>
        <w:t>1</w:t>
      </w:r>
      <w:r w:rsidR="002564B8">
        <w:rPr>
          <w:rStyle w:val="CommentReference"/>
          <w:b/>
        </w:rPr>
        <w:t>2</w:t>
      </w:r>
      <w:r w:rsidRPr="029D5890">
        <w:rPr>
          <w:rStyle w:val="CommentReference"/>
          <w:b/>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2110"/>
        <w:gridCol w:w="5194"/>
      </w:tblGrid>
      <w:tr w:rsidR="00BB36A1" w:rsidRPr="00E663C3" w:rsidTr="773FD54D">
        <w:trPr>
          <w:tblHeader/>
        </w:trPr>
        <w:tc>
          <w:tcPr>
            <w:tcW w:w="950" w:type="pct"/>
            <w:shd w:val="clear" w:color="auto" w:fill="auto"/>
            <w:vAlign w:val="center"/>
          </w:tcPr>
          <w:p w:rsidR="00BB36A1" w:rsidRPr="00E663C3" w:rsidRDefault="00BB36A1" w:rsidP="00BB6B65">
            <w:pPr>
              <w:pStyle w:val="In-tableHeading"/>
            </w:pPr>
            <w:r w:rsidRPr="00E663C3">
              <w:t>Parameter</w:t>
            </w:r>
          </w:p>
        </w:tc>
        <w:tc>
          <w:tcPr>
            <w:tcW w:w="1170" w:type="pct"/>
            <w:shd w:val="clear" w:color="auto" w:fill="auto"/>
            <w:vAlign w:val="center"/>
          </w:tcPr>
          <w:p w:rsidR="00BB36A1" w:rsidRPr="00E663C3" w:rsidRDefault="00BB36A1" w:rsidP="00BB6B65">
            <w:pPr>
              <w:pStyle w:val="In-tableHeading"/>
            </w:pPr>
            <w:r w:rsidRPr="00E663C3">
              <w:t>Value applied and source</w:t>
            </w:r>
          </w:p>
        </w:tc>
        <w:tc>
          <w:tcPr>
            <w:tcW w:w="2880" w:type="pct"/>
            <w:shd w:val="clear" w:color="auto" w:fill="auto"/>
            <w:vAlign w:val="center"/>
          </w:tcPr>
          <w:p w:rsidR="00BB36A1" w:rsidRPr="00E663C3" w:rsidRDefault="00BB36A1" w:rsidP="00BB6B65">
            <w:pPr>
              <w:pStyle w:val="In-tableHeading"/>
            </w:pPr>
            <w:r w:rsidRPr="00E663C3">
              <w:t>Comment</w:t>
            </w:r>
          </w:p>
        </w:tc>
      </w:tr>
      <w:tr w:rsidR="00BB36A1" w:rsidRPr="00E663C3" w:rsidTr="773FD54D">
        <w:tc>
          <w:tcPr>
            <w:tcW w:w="950" w:type="pct"/>
            <w:shd w:val="clear" w:color="auto" w:fill="auto"/>
            <w:vAlign w:val="center"/>
          </w:tcPr>
          <w:p w:rsidR="00BB36A1" w:rsidRPr="00E663C3" w:rsidRDefault="00BB36A1" w:rsidP="00BB6B65">
            <w:pPr>
              <w:pStyle w:val="TableText0"/>
              <w:rPr>
                <w:lang w:val="en-US"/>
              </w:rPr>
            </w:pPr>
            <w:r w:rsidRPr="00E663C3">
              <w:t>Market size for etanercept (scripts) in 2021</w:t>
            </w:r>
          </w:p>
        </w:tc>
        <w:tc>
          <w:tcPr>
            <w:tcW w:w="1170" w:type="pct"/>
            <w:shd w:val="clear" w:color="auto" w:fill="auto"/>
            <w:vAlign w:val="center"/>
          </w:tcPr>
          <w:p w:rsidR="00BB36A1" w:rsidRPr="00E663C3" w:rsidRDefault="00BB36A1" w:rsidP="00BB6B65">
            <w:pPr>
              <w:pStyle w:val="TableText0"/>
            </w:pPr>
            <w:r w:rsidRPr="00E663C3">
              <w:t xml:space="preserve">250 </w:t>
            </w:r>
          </w:p>
          <w:p w:rsidR="00BB36A1" w:rsidRPr="00E663C3" w:rsidRDefault="00BB36A1" w:rsidP="00BB6B65">
            <w:pPr>
              <w:pStyle w:val="TableText0"/>
              <w:rPr>
                <w:lang w:val="en-US"/>
              </w:rPr>
            </w:pPr>
            <w:r w:rsidRPr="00E663C3">
              <w:t>Source: The Medicare Statistics database</w:t>
            </w:r>
          </w:p>
        </w:tc>
        <w:tc>
          <w:tcPr>
            <w:tcW w:w="2880" w:type="pct"/>
            <w:shd w:val="clear" w:color="auto" w:fill="auto"/>
            <w:vAlign w:val="center"/>
          </w:tcPr>
          <w:p w:rsidR="00BB36A1" w:rsidRPr="00E663C3" w:rsidRDefault="00BB36A1" w:rsidP="00BB6B65">
            <w:pPr>
              <w:pStyle w:val="TableText0"/>
              <w:rPr>
                <w:lang w:val="en-US"/>
              </w:rPr>
            </w:pPr>
            <w:r w:rsidRPr="00E663C3">
              <w:rPr>
                <w:iCs/>
              </w:rPr>
              <w:t xml:space="preserve">This </w:t>
            </w:r>
            <w:r w:rsidRPr="00E663C3">
              <w:rPr>
                <w:rFonts w:hint="eastAsia"/>
                <w:iCs/>
                <w:lang w:eastAsia="zh-CN"/>
              </w:rPr>
              <w:t>es</w:t>
            </w:r>
            <w:r w:rsidRPr="00E663C3">
              <w:rPr>
                <w:iCs/>
                <w:lang w:eastAsia="zh-CN"/>
              </w:rPr>
              <w:t xml:space="preserve">timation is uncertain but </w:t>
            </w:r>
            <w:r w:rsidRPr="00E663C3">
              <w:rPr>
                <w:iCs/>
              </w:rPr>
              <w:t>reasonable.</w:t>
            </w:r>
          </w:p>
        </w:tc>
      </w:tr>
      <w:tr w:rsidR="00BB36A1" w:rsidRPr="00E663C3" w:rsidTr="773FD54D">
        <w:tc>
          <w:tcPr>
            <w:tcW w:w="950" w:type="pct"/>
            <w:shd w:val="clear" w:color="auto" w:fill="auto"/>
            <w:vAlign w:val="center"/>
          </w:tcPr>
          <w:p w:rsidR="00BB36A1" w:rsidRPr="00E663C3" w:rsidRDefault="00BB36A1" w:rsidP="00BB6B65">
            <w:pPr>
              <w:pStyle w:val="TableText0"/>
              <w:rPr>
                <w:lang w:val="en-US"/>
              </w:rPr>
            </w:pPr>
            <w:r w:rsidRPr="00E663C3">
              <w:t xml:space="preserve">Market growth </w:t>
            </w:r>
          </w:p>
        </w:tc>
        <w:tc>
          <w:tcPr>
            <w:tcW w:w="1170" w:type="pct"/>
            <w:shd w:val="clear" w:color="auto" w:fill="auto"/>
            <w:vAlign w:val="center"/>
          </w:tcPr>
          <w:p w:rsidR="00BB36A1" w:rsidRPr="00E663C3" w:rsidRDefault="00BB36A1" w:rsidP="00BB6B65">
            <w:pPr>
              <w:pStyle w:val="TableText0"/>
            </w:pPr>
            <w:r w:rsidRPr="00E663C3">
              <w:t>Yr 1-2: 10%</w:t>
            </w:r>
          </w:p>
          <w:p w:rsidR="00BB36A1" w:rsidRPr="00E663C3" w:rsidRDefault="00BB36A1" w:rsidP="00BB6B65">
            <w:pPr>
              <w:pStyle w:val="TableText0"/>
            </w:pPr>
            <w:r w:rsidRPr="00E663C3">
              <w:t>Yr 2-6:  2 %</w:t>
            </w:r>
          </w:p>
          <w:p w:rsidR="00BB36A1" w:rsidRPr="00E663C3" w:rsidRDefault="00BB36A1" w:rsidP="00BB6B65">
            <w:pPr>
              <w:pStyle w:val="TableText0"/>
              <w:rPr>
                <w:lang w:val="en-US"/>
              </w:rPr>
            </w:pPr>
            <w:r w:rsidRPr="00E663C3">
              <w:t>Source: Assumption</w:t>
            </w:r>
          </w:p>
        </w:tc>
        <w:tc>
          <w:tcPr>
            <w:tcW w:w="2880" w:type="pct"/>
            <w:shd w:val="clear" w:color="auto" w:fill="auto"/>
            <w:vAlign w:val="center"/>
          </w:tcPr>
          <w:p w:rsidR="00BB36A1" w:rsidRPr="00E663C3" w:rsidRDefault="00BB36A1" w:rsidP="00BB6B65">
            <w:pPr>
              <w:pStyle w:val="TableText0"/>
              <w:rPr>
                <w:lang w:val="en-US"/>
              </w:rPr>
            </w:pPr>
            <w:r w:rsidRPr="00E663C3">
              <w:rPr>
                <w:iCs/>
              </w:rPr>
              <w:t xml:space="preserve">This is uncertain and may underestimate the market growth. A higher estimated number of additional patients initiating ustekinumab beyond those replacing etanercept were applied in Y1 in the ustekinumab PSD. </w:t>
            </w:r>
          </w:p>
        </w:tc>
      </w:tr>
      <w:tr w:rsidR="00BB36A1" w:rsidRPr="00E663C3" w:rsidTr="773FD54D">
        <w:tc>
          <w:tcPr>
            <w:tcW w:w="950" w:type="pct"/>
            <w:shd w:val="clear" w:color="auto" w:fill="auto"/>
            <w:vAlign w:val="center"/>
          </w:tcPr>
          <w:p w:rsidR="00BB36A1" w:rsidRPr="00E663C3" w:rsidRDefault="00BB36A1" w:rsidP="00BB6B65">
            <w:pPr>
              <w:pStyle w:val="TableText0"/>
              <w:rPr>
                <w:lang w:val="en-US"/>
              </w:rPr>
            </w:pPr>
            <w:r w:rsidRPr="00E663C3">
              <w:t xml:space="preserve">Ustekinumab market share </w:t>
            </w:r>
            <w:r w:rsidRPr="00E663C3">
              <w:rPr>
                <w:rFonts w:hint="eastAsia"/>
                <w:lang w:eastAsia="zh-CN"/>
              </w:rPr>
              <w:t>in</w:t>
            </w:r>
            <w:r w:rsidRPr="00E663C3">
              <w:rPr>
                <w:lang w:eastAsia="zh-CN"/>
              </w:rPr>
              <w:t xml:space="preserve"> absence of a PBS listing for secukinumab</w:t>
            </w:r>
          </w:p>
        </w:tc>
        <w:tc>
          <w:tcPr>
            <w:tcW w:w="1170" w:type="pct"/>
            <w:shd w:val="clear" w:color="auto" w:fill="auto"/>
            <w:vAlign w:val="center"/>
          </w:tcPr>
          <w:p w:rsidR="00BB36A1" w:rsidRPr="00E663C3" w:rsidRDefault="00BB36A1" w:rsidP="00BB6B65">
            <w:pPr>
              <w:pStyle w:val="TableText0"/>
            </w:pPr>
            <w:r w:rsidRPr="00E663C3">
              <w:t>Yr 1: 30%</w:t>
            </w:r>
          </w:p>
          <w:p w:rsidR="00BB36A1" w:rsidRPr="00E663C3" w:rsidRDefault="00BB36A1" w:rsidP="00BB6B65">
            <w:pPr>
              <w:pStyle w:val="TableText0"/>
            </w:pPr>
            <w:r w:rsidRPr="00E663C3">
              <w:t>Yr 2: 40%</w:t>
            </w:r>
          </w:p>
          <w:p w:rsidR="00BB36A1" w:rsidRPr="00E663C3" w:rsidRDefault="00BB36A1" w:rsidP="00BB6B65">
            <w:pPr>
              <w:pStyle w:val="TableText0"/>
            </w:pPr>
            <w:r w:rsidRPr="00E663C3">
              <w:t>Yr 3-6: 50%</w:t>
            </w:r>
          </w:p>
          <w:p w:rsidR="00BB36A1" w:rsidRPr="00E663C3" w:rsidRDefault="00BB36A1" w:rsidP="00BB6B65">
            <w:pPr>
              <w:pStyle w:val="TableText0"/>
              <w:rPr>
                <w:lang w:val="en-US"/>
              </w:rPr>
            </w:pPr>
            <w:r w:rsidRPr="00E663C3">
              <w:t xml:space="preserve">Source: The PBS 10% sample in the juvenile idiopathic arthritis (JIA) market </w:t>
            </w:r>
          </w:p>
        </w:tc>
        <w:tc>
          <w:tcPr>
            <w:tcW w:w="2880" w:type="pct"/>
            <w:shd w:val="clear" w:color="auto" w:fill="auto"/>
            <w:vAlign w:val="center"/>
          </w:tcPr>
          <w:p w:rsidR="00BB36A1" w:rsidRPr="00E663C3" w:rsidRDefault="00BB36A1" w:rsidP="00BB6B65">
            <w:pPr>
              <w:pStyle w:val="TableText0"/>
              <w:rPr>
                <w:lang w:val="en-US"/>
              </w:rPr>
            </w:pPr>
            <w:r w:rsidRPr="00E663C3">
              <w:rPr>
                <w:iCs/>
              </w:rPr>
              <w:t xml:space="preserve">It is unclear if the </w:t>
            </w:r>
            <w:r w:rsidR="00F000F1" w:rsidRPr="00E663C3">
              <w:rPr>
                <w:iCs/>
              </w:rPr>
              <w:t>juvenile idiopathic arthrit</w:t>
            </w:r>
            <w:r w:rsidR="003B14EB" w:rsidRPr="00E663C3">
              <w:rPr>
                <w:iCs/>
              </w:rPr>
              <w:t>is (</w:t>
            </w:r>
            <w:r w:rsidRPr="00E663C3">
              <w:rPr>
                <w:iCs/>
              </w:rPr>
              <w:t>JIA</w:t>
            </w:r>
            <w:r w:rsidR="003B14EB" w:rsidRPr="00E663C3">
              <w:rPr>
                <w:iCs/>
              </w:rPr>
              <w:t>)</w:t>
            </w:r>
            <w:r w:rsidRPr="00E663C3">
              <w:rPr>
                <w:iCs/>
              </w:rPr>
              <w:t xml:space="preserve"> market would be a good proxy since the comparative effectiveness is different between the two pairs of comparators: adalimumab was found to be non-inferior over etanercept for JIA (p6, adalimumab PSD, March 2010), while ustekinumab was found to be superior over etanercept for paediatric psoriasis. </w:t>
            </w:r>
          </w:p>
        </w:tc>
      </w:tr>
      <w:tr w:rsidR="00BB36A1" w:rsidRPr="00E663C3" w:rsidTr="773FD54D">
        <w:tc>
          <w:tcPr>
            <w:tcW w:w="950" w:type="pct"/>
            <w:shd w:val="clear" w:color="auto" w:fill="auto"/>
            <w:vAlign w:val="center"/>
          </w:tcPr>
          <w:p w:rsidR="00BB36A1" w:rsidRPr="00E663C3" w:rsidRDefault="00BB36A1" w:rsidP="00BB6B65">
            <w:pPr>
              <w:pStyle w:val="TableText0"/>
              <w:rPr>
                <w:lang w:val="en-US"/>
              </w:rPr>
            </w:pPr>
            <w:r w:rsidRPr="00E663C3">
              <w:rPr>
                <w:lang w:eastAsia="zh-CN"/>
              </w:rPr>
              <w:t>Secukinumab</w:t>
            </w:r>
            <w:r w:rsidRPr="00E663C3">
              <w:t xml:space="preserve"> market share</w:t>
            </w:r>
          </w:p>
        </w:tc>
        <w:tc>
          <w:tcPr>
            <w:tcW w:w="1170" w:type="pct"/>
            <w:shd w:val="clear" w:color="auto" w:fill="auto"/>
            <w:vAlign w:val="center"/>
          </w:tcPr>
          <w:p w:rsidR="00BB36A1" w:rsidRPr="00E663C3" w:rsidRDefault="00BB36A1" w:rsidP="00BB6B65">
            <w:pPr>
              <w:pStyle w:val="TableText0"/>
            </w:pPr>
            <w:r w:rsidRPr="00E663C3">
              <w:t>Yr 1: 10%; Yr 2: 15%</w:t>
            </w:r>
          </w:p>
          <w:p w:rsidR="00BB36A1" w:rsidRPr="00E663C3" w:rsidRDefault="00BB36A1" w:rsidP="00BB6B65">
            <w:pPr>
              <w:pStyle w:val="TableText0"/>
            </w:pPr>
            <w:r w:rsidRPr="00E663C3">
              <w:t>Yr 3: 20%; Yr 4: 25%</w:t>
            </w:r>
          </w:p>
          <w:p w:rsidR="00BB36A1" w:rsidRPr="00E663C3" w:rsidRDefault="00BB36A1" w:rsidP="00BB6B65">
            <w:pPr>
              <w:pStyle w:val="TableText0"/>
            </w:pPr>
            <w:r w:rsidRPr="00E663C3">
              <w:t>Yr 5: 30%; Yr 6: 33%</w:t>
            </w:r>
          </w:p>
          <w:p w:rsidR="00BB36A1" w:rsidRPr="00E663C3" w:rsidRDefault="00BB36A1" w:rsidP="00BB6B65">
            <w:pPr>
              <w:pStyle w:val="TableText0"/>
              <w:rPr>
                <w:lang w:val="en-US"/>
              </w:rPr>
            </w:pPr>
            <w:r w:rsidRPr="00E663C3">
              <w:t>Source: Assumption</w:t>
            </w:r>
          </w:p>
        </w:tc>
        <w:tc>
          <w:tcPr>
            <w:tcW w:w="2880" w:type="pct"/>
            <w:shd w:val="clear" w:color="auto" w:fill="auto"/>
            <w:vAlign w:val="center"/>
          </w:tcPr>
          <w:p w:rsidR="00BB36A1" w:rsidRPr="00E663C3" w:rsidRDefault="00BB36A1" w:rsidP="00BB6B65">
            <w:pPr>
              <w:pStyle w:val="TableText0"/>
              <w:rPr>
                <w:lang w:val="en-US"/>
              </w:rPr>
            </w:pPr>
            <w:r w:rsidRPr="00E663C3">
              <w:rPr>
                <w:iCs/>
                <w:color w:val="000000" w:themeColor="text1"/>
                <w:lang w:eastAsia="zh-CN"/>
              </w:rPr>
              <w:t xml:space="preserve">This is uncertain. </w:t>
            </w:r>
            <w:r w:rsidRPr="00E663C3">
              <w:rPr>
                <w:iCs/>
                <w:color w:val="000000" w:themeColor="text1"/>
              </w:rPr>
              <w:t xml:space="preserve">It is possible that </w:t>
            </w:r>
            <w:r w:rsidRPr="00E663C3">
              <w:rPr>
                <w:iCs/>
              </w:rPr>
              <w:t>secukinumab</w:t>
            </w:r>
            <w:r w:rsidRPr="00E663C3">
              <w:rPr>
                <w:iCs/>
                <w:color w:val="000000" w:themeColor="text1"/>
              </w:rPr>
              <w:t xml:space="preserve"> will share a bigger market with </w:t>
            </w:r>
            <w:r w:rsidRPr="00E663C3">
              <w:rPr>
                <w:iCs/>
              </w:rPr>
              <w:t>ustekinumab</w:t>
            </w:r>
            <w:r w:rsidRPr="00E663C3">
              <w:rPr>
                <w:iCs/>
                <w:color w:val="000000" w:themeColor="text1"/>
              </w:rPr>
              <w:t xml:space="preserve"> since both of these medicines are claimed to be superior to </w:t>
            </w:r>
            <w:r w:rsidRPr="00E663C3">
              <w:rPr>
                <w:iCs/>
              </w:rPr>
              <w:t>etanercept</w:t>
            </w:r>
            <w:r w:rsidRPr="00E663C3">
              <w:rPr>
                <w:iCs/>
                <w:color w:val="000000" w:themeColor="text1"/>
              </w:rPr>
              <w:t>. It</w:t>
            </w:r>
            <w:r w:rsidR="00541E1C">
              <w:rPr>
                <w:iCs/>
                <w:color w:val="000000" w:themeColor="text1"/>
              </w:rPr>
              <w:t xml:space="preserve"> i</w:t>
            </w:r>
            <w:r w:rsidRPr="00E663C3">
              <w:rPr>
                <w:iCs/>
                <w:color w:val="000000" w:themeColor="text1"/>
              </w:rPr>
              <w:t xml:space="preserve">s also possible that </w:t>
            </w:r>
            <w:r w:rsidRPr="00E663C3">
              <w:rPr>
                <w:iCs/>
              </w:rPr>
              <w:t>secukinumab</w:t>
            </w:r>
            <w:r w:rsidRPr="00E663C3">
              <w:rPr>
                <w:iCs/>
                <w:color w:val="000000" w:themeColor="text1"/>
              </w:rPr>
              <w:t xml:space="preserve"> will have a smaller market share since a similar biologic treatment is near market (ustekinumab) with many patients expected to stay with first biologic due to prohibitive switching rules in the indication.</w:t>
            </w:r>
          </w:p>
        </w:tc>
      </w:tr>
      <w:tr w:rsidR="00BB36A1" w:rsidRPr="00E663C3" w:rsidTr="773FD54D">
        <w:tc>
          <w:tcPr>
            <w:tcW w:w="950" w:type="pct"/>
            <w:shd w:val="clear" w:color="auto" w:fill="auto"/>
            <w:vAlign w:val="center"/>
          </w:tcPr>
          <w:p w:rsidR="00BB36A1" w:rsidRPr="00E663C3" w:rsidRDefault="00BB36A1" w:rsidP="00BB6B65">
            <w:pPr>
              <w:pStyle w:val="TableText0"/>
              <w:rPr>
                <w:lang w:val="en-US"/>
              </w:rPr>
            </w:pPr>
            <w:r w:rsidRPr="00E663C3">
              <w:rPr>
                <w:lang w:eastAsia="zh-CN"/>
              </w:rPr>
              <w:t>Annual script number for secukinumab and the comparators</w:t>
            </w:r>
          </w:p>
        </w:tc>
        <w:tc>
          <w:tcPr>
            <w:tcW w:w="1170" w:type="pct"/>
            <w:shd w:val="clear" w:color="auto" w:fill="auto"/>
            <w:vAlign w:val="center"/>
          </w:tcPr>
          <w:p w:rsidR="00BB36A1" w:rsidRPr="00E663C3" w:rsidRDefault="00BB36A1" w:rsidP="00BB6B65">
            <w:pPr>
              <w:pStyle w:val="TableText0"/>
            </w:pPr>
            <w:r w:rsidRPr="00E663C3">
              <w:t>E</w:t>
            </w:r>
            <w:r w:rsidR="000B22AF" w:rsidRPr="00E663C3">
              <w:t>tanercept</w:t>
            </w:r>
            <w:r w:rsidRPr="00E663C3">
              <w:t xml:space="preserve"> 13</w:t>
            </w:r>
          </w:p>
          <w:p w:rsidR="00BB36A1" w:rsidRPr="00E663C3" w:rsidRDefault="00BB36A1" w:rsidP="00BB6B65">
            <w:pPr>
              <w:pStyle w:val="TableText0"/>
            </w:pPr>
            <w:r w:rsidRPr="00E663C3">
              <w:t>U</w:t>
            </w:r>
            <w:r w:rsidR="000B22AF" w:rsidRPr="00E663C3">
              <w:t>stekinumab</w:t>
            </w:r>
            <w:r w:rsidRPr="00E663C3">
              <w:t>: 4.33</w:t>
            </w:r>
          </w:p>
          <w:p w:rsidR="00BB36A1" w:rsidRPr="00E663C3" w:rsidRDefault="00BB36A1" w:rsidP="00BB6B65">
            <w:pPr>
              <w:pStyle w:val="TableText0"/>
            </w:pPr>
            <w:r w:rsidRPr="00E663C3">
              <w:t>S</w:t>
            </w:r>
            <w:r w:rsidR="000B22AF" w:rsidRPr="00E663C3">
              <w:t>ecukinumab</w:t>
            </w:r>
            <w:r w:rsidRPr="00E663C3">
              <w:t xml:space="preserve">: 12 </w:t>
            </w:r>
          </w:p>
          <w:p w:rsidR="00BB36A1" w:rsidRPr="00E663C3" w:rsidRDefault="00BB36A1" w:rsidP="00BB6B65">
            <w:pPr>
              <w:pStyle w:val="TableText0"/>
            </w:pPr>
            <w:r w:rsidRPr="00E663C3">
              <w:t>Source: PBS restrictions, PIs and clinicians’ input.</w:t>
            </w:r>
          </w:p>
          <w:p w:rsidR="00BB36A1" w:rsidRPr="00E663C3" w:rsidRDefault="00BB36A1" w:rsidP="00BB6B65">
            <w:pPr>
              <w:pStyle w:val="TableText0"/>
              <w:rPr>
                <w:lang w:val="en-US"/>
              </w:rPr>
            </w:pPr>
          </w:p>
        </w:tc>
        <w:tc>
          <w:tcPr>
            <w:tcW w:w="2880" w:type="pct"/>
            <w:shd w:val="clear" w:color="auto" w:fill="auto"/>
            <w:vAlign w:val="center"/>
          </w:tcPr>
          <w:p w:rsidR="00BB36A1" w:rsidRPr="00E663C3" w:rsidRDefault="00BB36A1" w:rsidP="00BB6B65">
            <w:pPr>
              <w:pStyle w:val="TableText0"/>
              <w:rPr>
                <w:iCs/>
              </w:rPr>
            </w:pPr>
            <w:r w:rsidRPr="00E663C3">
              <w:rPr>
                <w:iCs/>
              </w:rPr>
              <w:t xml:space="preserve">The assumption on script number for etanercept is uncertain. The </w:t>
            </w:r>
            <w:r w:rsidR="004B42F9">
              <w:rPr>
                <w:iCs/>
              </w:rPr>
              <w:t>S</w:t>
            </w:r>
            <w:r w:rsidRPr="00E663C3">
              <w:rPr>
                <w:iCs/>
              </w:rPr>
              <w:t>ponsor tested the impact of 5 etanercept scripts per year in sensitivity analysis based on the ustekinumab PSD (para</w:t>
            </w:r>
            <w:r w:rsidR="00C6243A" w:rsidRPr="00E663C3">
              <w:rPr>
                <w:iCs/>
              </w:rPr>
              <w:t>graph</w:t>
            </w:r>
            <w:r w:rsidRPr="00E663C3">
              <w:rPr>
                <w:iCs/>
              </w:rPr>
              <w:t xml:space="preserve"> 6.64</w:t>
            </w:r>
            <w:r w:rsidRPr="00E663C3">
              <w:rPr>
                <w:rFonts w:hint="eastAsia"/>
                <w:iCs/>
              </w:rPr>
              <w:t>,</w:t>
            </w:r>
            <w:r w:rsidRPr="00E663C3">
              <w:rPr>
                <w:iCs/>
              </w:rPr>
              <w:t xml:space="preserve"> ustekinumab PSD, March 2021). </w:t>
            </w:r>
          </w:p>
          <w:p w:rsidR="00BB36A1" w:rsidRPr="00E663C3" w:rsidRDefault="00BB36A1" w:rsidP="00BB6B65">
            <w:pPr>
              <w:pStyle w:val="TableText0"/>
              <w:rPr>
                <w:lang w:val="en-US"/>
              </w:rPr>
            </w:pPr>
            <w:r w:rsidRPr="00E663C3">
              <w:rPr>
                <w:iCs/>
              </w:rPr>
              <w:t>Monthly script</w:t>
            </w:r>
            <w:r w:rsidR="00684E32">
              <w:rPr>
                <w:iCs/>
              </w:rPr>
              <w:t>s</w:t>
            </w:r>
            <w:r w:rsidRPr="00E663C3">
              <w:rPr>
                <w:iCs/>
              </w:rPr>
              <w:t xml:space="preserve"> was used as the dosing frequency for secukinumab when calculating annual script number</w:t>
            </w:r>
            <w:r w:rsidR="00684E32">
              <w:rPr>
                <w:iCs/>
              </w:rPr>
              <w:t>s</w:t>
            </w:r>
            <w:r w:rsidRPr="00E663C3">
              <w:rPr>
                <w:iCs/>
              </w:rPr>
              <w:t xml:space="preserve">. This is consistent with the approved PI but inconsistent with the clinical trial where four-weekly </w:t>
            </w:r>
            <w:r w:rsidR="00684E32">
              <w:rPr>
                <w:iCs/>
              </w:rPr>
              <w:t xml:space="preserve">dosing </w:t>
            </w:r>
            <w:r w:rsidRPr="00E663C3">
              <w:rPr>
                <w:iCs/>
              </w:rPr>
              <w:t>was used as the frequency.</w:t>
            </w:r>
            <w:r w:rsidRPr="00E663C3">
              <w:rPr>
                <w:iCs/>
                <w:color w:val="C00000"/>
              </w:rPr>
              <w:t xml:space="preserve"> </w:t>
            </w:r>
          </w:p>
        </w:tc>
      </w:tr>
      <w:tr w:rsidR="00BB36A1" w:rsidRPr="00E663C3" w:rsidTr="773FD54D">
        <w:tc>
          <w:tcPr>
            <w:tcW w:w="950" w:type="pct"/>
            <w:shd w:val="clear" w:color="auto" w:fill="auto"/>
            <w:vAlign w:val="center"/>
          </w:tcPr>
          <w:p w:rsidR="00BB36A1" w:rsidRPr="00E663C3" w:rsidRDefault="00BB36A1" w:rsidP="00BB6B65">
            <w:pPr>
              <w:pStyle w:val="TableText0"/>
              <w:rPr>
                <w:lang w:val="en-US"/>
              </w:rPr>
            </w:pPr>
            <w:r w:rsidRPr="00E663C3">
              <w:rPr>
                <w:lang w:eastAsia="zh-CN"/>
              </w:rPr>
              <w:t>S</w:t>
            </w:r>
            <w:r w:rsidRPr="00E663C3">
              <w:rPr>
                <w:rFonts w:hint="eastAsia"/>
                <w:lang w:eastAsia="zh-CN"/>
              </w:rPr>
              <w:t>crip</w:t>
            </w:r>
            <w:r w:rsidR="00F241E8" w:rsidRPr="00E663C3">
              <w:rPr>
                <w:lang w:eastAsia="zh-CN"/>
              </w:rPr>
              <w:t>t</w:t>
            </w:r>
            <w:r w:rsidRPr="00E663C3">
              <w:rPr>
                <w:lang w:eastAsia="zh-CN"/>
              </w:rPr>
              <w:t xml:space="preserve"> breakdown for secukinumab (initial)</w:t>
            </w:r>
          </w:p>
        </w:tc>
        <w:tc>
          <w:tcPr>
            <w:tcW w:w="1170" w:type="pct"/>
            <w:shd w:val="clear" w:color="auto" w:fill="auto"/>
            <w:vAlign w:val="center"/>
          </w:tcPr>
          <w:p w:rsidR="00BB36A1" w:rsidRPr="00E663C3" w:rsidRDefault="00BB36A1" w:rsidP="00BB6B65">
            <w:pPr>
              <w:pStyle w:val="TableText0"/>
            </w:pPr>
            <w:r w:rsidRPr="00E663C3">
              <w:t>Yr 1: 10%</w:t>
            </w:r>
          </w:p>
          <w:p w:rsidR="00BB36A1" w:rsidRPr="00E663C3" w:rsidRDefault="00BB36A1" w:rsidP="00BB6B65">
            <w:pPr>
              <w:pStyle w:val="TableText0"/>
            </w:pPr>
            <w:r w:rsidRPr="00E663C3">
              <w:t>Yr 2-6: 5%</w:t>
            </w:r>
          </w:p>
          <w:p w:rsidR="00BB36A1" w:rsidRPr="00E663C3" w:rsidRDefault="00BB36A1" w:rsidP="00BB6B65">
            <w:pPr>
              <w:pStyle w:val="TableText0"/>
              <w:rPr>
                <w:lang w:val="en-US"/>
              </w:rPr>
            </w:pPr>
            <w:r w:rsidRPr="00E663C3">
              <w:t>Source: Assumption</w:t>
            </w:r>
          </w:p>
        </w:tc>
        <w:tc>
          <w:tcPr>
            <w:tcW w:w="2880" w:type="pct"/>
            <w:shd w:val="clear" w:color="auto" w:fill="auto"/>
            <w:vAlign w:val="center"/>
          </w:tcPr>
          <w:p w:rsidR="00BB36A1" w:rsidRPr="00E663C3" w:rsidRDefault="00BB36A1" w:rsidP="00BB6B65">
            <w:pPr>
              <w:pStyle w:val="TableText0"/>
              <w:rPr>
                <w:lang w:val="en-US"/>
              </w:rPr>
            </w:pPr>
            <w:r w:rsidRPr="00E663C3">
              <w:rPr>
                <w:iCs/>
              </w:rPr>
              <w:t xml:space="preserve">This is uncertain and may underestimate the financial impact of secukinumab. The proportion of patients initiating scripts for secukinumab was higher in the adult psoriasis market after listing.   </w:t>
            </w:r>
          </w:p>
        </w:tc>
      </w:tr>
    </w:tbl>
    <w:p w:rsidR="00BB36A1" w:rsidRPr="00C6243A" w:rsidRDefault="00BB36A1" w:rsidP="00C6243A">
      <w:pPr>
        <w:pStyle w:val="TableFigureFooter"/>
      </w:pPr>
      <w:r w:rsidRPr="007925DF">
        <w:t>Source: Table</w:t>
      </w:r>
      <w:r>
        <w:t xml:space="preserve"> 4.4-12, p129-133 of the submission</w:t>
      </w:r>
    </w:p>
    <w:p w:rsidR="00BB36A1" w:rsidRPr="0000305F" w:rsidRDefault="2A01AA8D" w:rsidP="0068383A">
      <w:pPr>
        <w:pStyle w:val="3-BodyText"/>
        <w:rPr>
          <w:color w:val="000000" w:themeColor="text1"/>
        </w:rPr>
      </w:pPr>
      <w:r w:rsidRPr="0000305F">
        <w:rPr>
          <w:color w:val="000000" w:themeColor="text1"/>
        </w:rPr>
        <w:t xml:space="preserve">The estimated financial implications of listing secukinumab for paediatric severe CPP are presented in </w:t>
      </w:r>
      <w:r w:rsidR="002564B8" w:rsidRPr="0000305F">
        <w:rPr>
          <w:color w:val="000000" w:themeColor="text1"/>
        </w:rPr>
        <w:t>Table 13</w:t>
      </w:r>
      <w:r w:rsidRPr="0000305F">
        <w:rPr>
          <w:color w:val="000000" w:themeColor="text1"/>
        </w:rPr>
        <w:t>.</w:t>
      </w:r>
      <w:r w:rsidR="00C615D8">
        <w:rPr>
          <w:color w:val="000000" w:themeColor="text1"/>
        </w:rPr>
        <w:t xml:space="preserve"> The PSCR clarified </w:t>
      </w:r>
      <w:r w:rsidR="0068383A" w:rsidRPr="0000305F">
        <w:rPr>
          <w:color w:val="000000" w:themeColor="text1"/>
        </w:rPr>
        <w:t>that the proposed prices (EMP $</w:t>
      </w:r>
      <w:r w:rsidR="00824E74">
        <w:rPr>
          <w:noProof/>
          <w:color w:val="000000"/>
          <w:highlight w:val="black"/>
        </w:rPr>
        <w:t>''''''''''''''</w:t>
      </w:r>
      <w:r w:rsidR="0068383A" w:rsidRPr="0000305F">
        <w:rPr>
          <w:color w:val="000000" w:themeColor="text1"/>
        </w:rPr>
        <w:t>, DPMQ $</w:t>
      </w:r>
      <w:r w:rsidR="00824E74">
        <w:rPr>
          <w:noProof/>
          <w:color w:val="000000"/>
          <w:highlight w:val="black"/>
        </w:rPr>
        <w:t>''''''''''''</w:t>
      </w:r>
      <w:r w:rsidR="0068383A" w:rsidRPr="0000305F">
        <w:rPr>
          <w:color w:val="000000" w:themeColor="text1"/>
        </w:rPr>
        <w:t>) are proposed effective prices for paediatric severe CPP, not published prices. However, this price was used together with the published prices of the comparators in the submission’s estimation of the financial impact.</w:t>
      </w:r>
    </w:p>
    <w:p w:rsidR="00BB36A1" w:rsidRPr="00263C39" w:rsidRDefault="00BB36A1" w:rsidP="00BB36A1">
      <w:pPr>
        <w:pStyle w:val="TableFigureHeading"/>
      </w:pPr>
      <w:r w:rsidRPr="029D5890">
        <w:rPr>
          <w:rStyle w:val="CommentReference"/>
          <w:b/>
        </w:rPr>
        <w:t xml:space="preserve">Table </w:t>
      </w:r>
      <w:r w:rsidR="3574A85A" w:rsidRPr="029D5890">
        <w:rPr>
          <w:rStyle w:val="CommentReference"/>
          <w:b/>
        </w:rPr>
        <w:t>1</w:t>
      </w:r>
      <w:r w:rsidR="002564B8">
        <w:rPr>
          <w:rStyle w:val="CommentReference"/>
          <w:b/>
        </w:rPr>
        <w:t>3</w:t>
      </w:r>
      <w:r w:rsidRPr="029D5890">
        <w:rPr>
          <w:rStyle w:val="CommentReference"/>
          <w:b/>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BB36A1" w:rsidRPr="00D1078F" w:rsidTr="00BB6B65">
        <w:trPr>
          <w:tblHeader/>
        </w:trPr>
        <w:tc>
          <w:tcPr>
            <w:tcW w:w="1116" w:type="pct"/>
            <w:shd w:val="clear" w:color="auto" w:fill="auto"/>
            <w:vAlign w:val="center"/>
          </w:tcPr>
          <w:p w:rsidR="00BB36A1" w:rsidRPr="003639A6" w:rsidRDefault="00BB36A1" w:rsidP="00BB6B65">
            <w:pPr>
              <w:pStyle w:val="In-tableHeading"/>
              <w:jc w:val="center"/>
            </w:pPr>
          </w:p>
        </w:tc>
        <w:tc>
          <w:tcPr>
            <w:tcW w:w="647" w:type="pct"/>
            <w:shd w:val="clear" w:color="auto" w:fill="auto"/>
            <w:vAlign w:val="center"/>
          </w:tcPr>
          <w:p w:rsidR="00BB36A1" w:rsidRPr="00D1078F" w:rsidRDefault="00BB36A1" w:rsidP="00BB6B65">
            <w:pPr>
              <w:pStyle w:val="In-tableHeading"/>
              <w:jc w:val="center"/>
            </w:pPr>
            <w:r w:rsidRPr="00D1078F">
              <w:t>Year 1</w:t>
            </w:r>
          </w:p>
        </w:tc>
        <w:tc>
          <w:tcPr>
            <w:tcW w:w="647" w:type="pct"/>
            <w:shd w:val="clear" w:color="auto" w:fill="auto"/>
            <w:vAlign w:val="center"/>
          </w:tcPr>
          <w:p w:rsidR="00BB36A1" w:rsidRPr="00D1078F" w:rsidRDefault="00BB36A1" w:rsidP="00BB6B65">
            <w:pPr>
              <w:pStyle w:val="In-tableHeading"/>
              <w:jc w:val="center"/>
            </w:pPr>
            <w:r w:rsidRPr="00D1078F">
              <w:t>Year 2</w:t>
            </w:r>
          </w:p>
        </w:tc>
        <w:tc>
          <w:tcPr>
            <w:tcW w:w="647" w:type="pct"/>
            <w:shd w:val="clear" w:color="auto" w:fill="auto"/>
            <w:vAlign w:val="center"/>
          </w:tcPr>
          <w:p w:rsidR="00BB36A1" w:rsidRPr="00D1078F" w:rsidRDefault="00BB36A1" w:rsidP="00BB6B65">
            <w:pPr>
              <w:pStyle w:val="In-tableHeading"/>
              <w:jc w:val="center"/>
            </w:pPr>
            <w:r w:rsidRPr="00D1078F">
              <w:t>Year 3</w:t>
            </w:r>
          </w:p>
        </w:tc>
        <w:tc>
          <w:tcPr>
            <w:tcW w:w="647" w:type="pct"/>
            <w:shd w:val="clear" w:color="auto" w:fill="auto"/>
            <w:vAlign w:val="center"/>
          </w:tcPr>
          <w:p w:rsidR="00BB36A1" w:rsidRPr="00D1078F" w:rsidRDefault="00BB36A1" w:rsidP="00BB6B65">
            <w:pPr>
              <w:pStyle w:val="In-tableHeading"/>
              <w:jc w:val="center"/>
            </w:pPr>
            <w:r w:rsidRPr="00D1078F">
              <w:t>Year 4</w:t>
            </w:r>
          </w:p>
        </w:tc>
        <w:tc>
          <w:tcPr>
            <w:tcW w:w="647" w:type="pct"/>
            <w:shd w:val="clear" w:color="auto" w:fill="auto"/>
            <w:vAlign w:val="center"/>
          </w:tcPr>
          <w:p w:rsidR="00BB36A1" w:rsidRPr="00D1078F" w:rsidRDefault="00BB36A1" w:rsidP="00BB6B65">
            <w:pPr>
              <w:pStyle w:val="In-tableHeading"/>
              <w:jc w:val="center"/>
            </w:pPr>
            <w:r w:rsidRPr="00D1078F">
              <w:t>Year 5</w:t>
            </w:r>
          </w:p>
        </w:tc>
        <w:tc>
          <w:tcPr>
            <w:tcW w:w="649" w:type="pct"/>
          </w:tcPr>
          <w:p w:rsidR="00BB36A1" w:rsidRPr="00D1078F" w:rsidRDefault="00BB36A1" w:rsidP="00BB6B65">
            <w:pPr>
              <w:pStyle w:val="In-tableHeading"/>
              <w:jc w:val="center"/>
            </w:pPr>
            <w:r w:rsidRPr="00D1078F">
              <w:t>Year 6</w:t>
            </w:r>
          </w:p>
        </w:tc>
      </w:tr>
      <w:tr w:rsidR="00BB36A1" w:rsidRPr="00D1078F" w:rsidTr="00BB6B65">
        <w:tc>
          <w:tcPr>
            <w:tcW w:w="5000" w:type="pct"/>
            <w:gridSpan w:val="7"/>
            <w:shd w:val="clear" w:color="auto" w:fill="auto"/>
            <w:vAlign w:val="center"/>
          </w:tcPr>
          <w:p w:rsidR="00BB36A1" w:rsidRPr="00D1078F" w:rsidRDefault="00BB36A1" w:rsidP="00BB6B65">
            <w:pPr>
              <w:pStyle w:val="In-tableHeading"/>
              <w:rPr>
                <w:bCs/>
                <w:color w:val="000000"/>
              </w:rPr>
            </w:pPr>
            <w:r w:rsidRPr="00D1078F">
              <w:rPr>
                <w:bCs/>
                <w:color w:val="000000"/>
              </w:rPr>
              <w:t>Estimated extent of use</w:t>
            </w:r>
          </w:p>
        </w:tc>
      </w:tr>
      <w:tr w:rsidR="00BB36A1" w:rsidRPr="003639A6" w:rsidTr="00BB6B65">
        <w:tc>
          <w:tcPr>
            <w:tcW w:w="1116" w:type="pct"/>
            <w:shd w:val="clear" w:color="auto" w:fill="auto"/>
            <w:vAlign w:val="center"/>
          </w:tcPr>
          <w:p w:rsidR="00BB36A1" w:rsidRPr="003639A6" w:rsidRDefault="00BB36A1" w:rsidP="00BB6B65">
            <w:pPr>
              <w:pStyle w:val="TableText0"/>
              <w:rPr>
                <w:rFonts w:ascii="Times" w:hAnsi="Times"/>
              </w:rPr>
            </w:pPr>
            <w:r w:rsidRPr="003639A6">
              <w:t xml:space="preserve">Number of </w:t>
            </w:r>
            <w:r>
              <w:t>scripts</w:t>
            </w:r>
            <w:r w:rsidRPr="003639A6">
              <w:t xml:space="preserve"> dispensed</w:t>
            </w:r>
            <w:r w:rsidRPr="003639A6">
              <w:rPr>
                <w:vertAlign w:val="superscript"/>
              </w:rPr>
              <w:t>a</w:t>
            </w:r>
          </w:p>
        </w:tc>
        <w:tc>
          <w:tcPr>
            <w:tcW w:w="647" w:type="pct"/>
            <w:shd w:val="clear" w:color="auto" w:fill="auto"/>
            <w:vAlign w:val="center"/>
          </w:tcPr>
          <w:p w:rsidR="00BB36A1" w:rsidRPr="00824E74" w:rsidRDefault="00824E74" w:rsidP="00BB6B65">
            <w:pPr>
              <w:pStyle w:val="TableText0"/>
              <w:jc w:val="center"/>
              <w:rPr>
                <w:color w:val="000000"/>
              </w:rPr>
            </w:pPr>
            <w:r>
              <w:rPr>
                <w:rFonts w:cs="Arial"/>
                <w:noProof/>
                <w:color w:val="000000"/>
                <w:highlight w:val="black"/>
              </w:rPr>
              <w:t>''''''</w:t>
            </w:r>
            <w:r w:rsidR="007F73EA">
              <w:rPr>
                <w:vertAlign w:val="superscript"/>
              </w:rPr>
              <w:t>1</w:t>
            </w:r>
          </w:p>
        </w:tc>
        <w:tc>
          <w:tcPr>
            <w:tcW w:w="647" w:type="pct"/>
            <w:shd w:val="clear" w:color="auto" w:fill="auto"/>
            <w:vAlign w:val="center"/>
          </w:tcPr>
          <w:p w:rsidR="00BB36A1" w:rsidRPr="00824E74" w:rsidRDefault="00824E74" w:rsidP="00BB6B65">
            <w:pPr>
              <w:pStyle w:val="TableText0"/>
              <w:jc w:val="center"/>
              <w:rPr>
                <w:color w:val="000000"/>
              </w:rPr>
            </w:pPr>
            <w:r>
              <w:rPr>
                <w:rFonts w:cs="Arial"/>
                <w:noProof/>
                <w:color w:val="000000"/>
                <w:highlight w:val="black"/>
              </w:rPr>
              <w:t>''''''</w:t>
            </w:r>
            <w:r w:rsidR="007F73EA">
              <w:rPr>
                <w:vertAlign w:val="superscript"/>
              </w:rPr>
              <w:t>1</w:t>
            </w:r>
          </w:p>
        </w:tc>
        <w:tc>
          <w:tcPr>
            <w:tcW w:w="647" w:type="pct"/>
            <w:shd w:val="clear" w:color="auto" w:fill="auto"/>
            <w:vAlign w:val="center"/>
          </w:tcPr>
          <w:p w:rsidR="00BB36A1" w:rsidRPr="00824E74" w:rsidRDefault="00824E74" w:rsidP="00BB6B65">
            <w:pPr>
              <w:pStyle w:val="TableText0"/>
              <w:jc w:val="center"/>
              <w:rPr>
                <w:color w:val="000000"/>
              </w:rPr>
            </w:pPr>
            <w:r>
              <w:rPr>
                <w:rFonts w:cs="Arial"/>
                <w:noProof/>
                <w:color w:val="000000"/>
                <w:highlight w:val="black"/>
              </w:rPr>
              <w:t>''''''</w:t>
            </w:r>
            <w:r w:rsidR="007F73EA">
              <w:rPr>
                <w:vertAlign w:val="superscript"/>
              </w:rPr>
              <w:t>1</w:t>
            </w:r>
          </w:p>
        </w:tc>
        <w:tc>
          <w:tcPr>
            <w:tcW w:w="647" w:type="pct"/>
            <w:shd w:val="clear" w:color="auto" w:fill="auto"/>
            <w:vAlign w:val="center"/>
          </w:tcPr>
          <w:p w:rsidR="00BB36A1" w:rsidRPr="00824E74" w:rsidRDefault="00824E74" w:rsidP="00BB6B65">
            <w:pPr>
              <w:pStyle w:val="TableText0"/>
              <w:jc w:val="center"/>
              <w:rPr>
                <w:color w:val="000000"/>
              </w:rPr>
            </w:pPr>
            <w:r>
              <w:rPr>
                <w:rFonts w:cs="Arial"/>
                <w:noProof/>
                <w:color w:val="000000"/>
                <w:highlight w:val="black"/>
              </w:rPr>
              <w:t>''''''</w:t>
            </w:r>
            <w:r w:rsidR="007F73EA">
              <w:rPr>
                <w:vertAlign w:val="superscript"/>
              </w:rPr>
              <w:t>1</w:t>
            </w:r>
          </w:p>
        </w:tc>
        <w:tc>
          <w:tcPr>
            <w:tcW w:w="647" w:type="pct"/>
            <w:shd w:val="clear" w:color="auto" w:fill="auto"/>
            <w:vAlign w:val="center"/>
          </w:tcPr>
          <w:p w:rsidR="00BB36A1" w:rsidRPr="00824E74" w:rsidRDefault="00824E74" w:rsidP="00BB6B65">
            <w:pPr>
              <w:pStyle w:val="TableText0"/>
              <w:jc w:val="center"/>
              <w:rPr>
                <w:color w:val="000000"/>
              </w:rPr>
            </w:pPr>
            <w:r>
              <w:rPr>
                <w:rFonts w:cs="Arial"/>
                <w:noProof/>
                <w:color w:val="000000"/>
                <w:highlight w:val="black"/>
              </w:rPr>
              <w:t>'''''''</w:t>
            </w:r>
            <w:r w:rsidR="007F73EA">
              <w:rPr>
                <w:vertAlign w:val="superscript"/>
              </w:rPr>
              <w:t>1</w:t>
            </w:r>
          </w:p>
        </w:tc>
        <w:tc>
          <w:tcPr>
            <w:tcW w:w="649" w:type="pct"/>
            <w:vAlign w:val="center"/>
          </w:tcPr>
          <w:p w:rsidR="00BB36A1" w:rsidRPr="00824E74" w:rsidRDefault="00824E74" w:rsidP="00BB6B65">
            <w:pPr>
              <w:pStyle w:val="TableText0"/>
              <w:jc w:val="center"/>
              <w:rPr>
                <w:color w:val="000000"/>
              </w:rPr>
            </w:pPr>
            <w:r>
              <w:rPr>
                <w:rFonts w:cs="Arial"/>
                <w:noProof/>
                <w:color w:val="000000"/>
                <w:highlight w:val="black"/>
              </w:rPr>
              <w:t>''''''''''</w:t>
            </w:r>
            <w:r w:rsidR="007F73EA">
              <w:rPr>
                <w:vertAlign w:val="superscript"/>
              </w:rPr>
              <w:t>1</w:t>
            </w:r>
          </w:p>
        </w:tc>
      </w:tr>
      <w:tr w:rsidR="00BB36A1" w:rsidRPr="00D1078F" w:rsidTr="00BB6B65">
        <w:tc>
          <w:tcPr>
            <w:tcW w:w="5000" w:type="pct"/>
            <w:gridSpan w:val="7"/>
            <w:shd w:val="clear" w:color="auto" w:fill="auto"/>
            <w:vAlign w:val="center"/>
          </w:tcPr>
          <w:p w:rsidR="00BB36A1" w:rsidRPr="00D1078F" w:rsidRDefault="00BB36A1" w:rsidP="00BB6B65">
            <w:pPr>
              <w:pStyle w:val="In-tableHeading"/>
            </w:pPr>
            <w:r w:rsidRPr="00D1078F">
              <w:t xml:space="preserve">Estimated </w:t>
            </w:r>
            <w:r>
              <w:t>financial implications of secukinumab</w:t>
            </w:r>
          </w:p>
        </w:tc>
      </w:tr>
      <w:tr w:rsidR="00BB36A1" w:rsidRPr="003639A6" w:rsidTr="00BB6B65">
        <w:tc>
          <w:tcPr>
            <w:tcW w:w="1116" w:type="pct"/>
            <w:shd w:val="clear" w:color="auto" w:fill="auto"/>
            <w:vAlign w:val="center"/>
          </w:tcPr>
          <w:p w:rsidR="00BB36A1" w:rsidRDefault="00BB36A1" w:rsidP="00BB6B65">
            <w:pPr>
              <w:pStyle w:val="TableText0"/>
              <w:rPr>
                <w:sz w:val="19"/>
                <w:szCs w:val="19"/>
              </w:rPr>
            </w:pPr>
            <w:r>
              <w:rPr>
                <w:sz w:val="19"/>
                <w:szCs w:val="19"/>
              </w:rPr>
              <w:t>Cost to PBS/RPBS less copayments (corrected)</w:t>
            </w:r>
            <w:r w:rsidR="00FD3603" w:rsidRPr="00FD3603">
              <w:rPr>
                <w:sz w:val="19"/>
                <w:szCs w:val="19"/>
                <w:vertAlign w:val="superscript"/>
              </w:rPr>
              <w:t>b</w:t>
            </w:r>
          </w:p>
        </w:tc>
        <w:tc>
          <w:tcPr>
            <w:tcW w:w="647" w:type="pct"/>
            <w:shd w:val="clear" w:color="auto" w:fill="auto"/>
            <w:vAlign w:val="center"/>
          </w:tcPr>
          <w:p w:rsidR="00BB36A1" w:rsidRPr="00824E74" w:rsidRDefault="00824E74" w:rsidP="00BB6B65">
            <w:pPr>
              <w:pStyle w:val="TableText0"/>
              <w:jc w:val="center"/>
              <w:rPr>
                <w:highlight w:val="yellow"/>
              </w:rPr>
            </w:pPr>
            <w:r>
              <w:rPr>
                <w:rFonts w:cs="Arial"/>
                <w:iCs/>
                <w:noProof/>
                <w:color w:val="000000"/>
                <w:highlight w:val="black"/>
              </w:rPr>
              <w:t>''''''''''''''''''''</w:t>
            </w:r>
            <w:r w:rsidR="007F73EA">
              <w:rPr>
                <w:vertAlign w:val="superscript"/>
              </w:rPr>
              <w:t>2</w:t>
            </w:r>
          </w:p>
        </w:tc>
        <w:tc>
          <w:tcPr>
            <w:tcW w:w="647" w:type="pct"/>
            <w:shd w:val="clear" w:color="auto" w:fill="auto"/>
            <w:vAlign w:val="center"/>
          </w:tcPr>
          <w:p w:rsidR="00BB36A1" w:rsidRPr="00824E74" w:rsidRDefault="00824E74" w:rsidP="00B56103">
            <w:pPr>
              <w:pStyle w:val="TableText0"/>
              <w:jc w:val="center"/>
              <w:rPr>
                <w:highlight w:val="yellow"/>
              </w:rPr>
            </w:pPr>
            <w:r>
              <w:rPr>
                <w:rFonts w:cs="Arial"/>
                <w:iCs/>
                <w:noProof/>
                <w:color w:val="000000"/>
                <w:highlight w:val="black"/>
              </w:rPr>
              <w:t>''''''</w:t>
            </w:r>
            <w:r w:rsidR="00B56103">
              <w:rPr>
                <w:rFonts w:cs="Arial"/>
                <w:iCs/>
                <w:noProof/>
                <w:color w:val="000000"/>
                <w:highlight w:val="black"/>
              </w:rPr>
              <w:t xml:space="preserve">      </w:t>
            </w:r>
            <w:r>
              <w:rPr>
                <w:rFonts w:cs="Arial"/>
                <w:iCs/>
                <w:noProof/>
                <w:color w:val="000000"/>
                <w:highlight w:val="black"/>
              </w:rPr>
              <w:t>''''''''</w:t>
            </w:r>
            <w:r w:rsidR="007F73EA">
              <w:rPr>
                <w:vertAlign w:val="superscript"/>
              </w:rPr>
              <w:t>2</w:t>
            </w:r>
          </w:p>
        </w:tc>
        <w:tc>
          <w:tcPr>
            <w:tcW w:w="647" w:type="pct"/>
            <w:shd w:val="clear" w:color="auto" w:fill="auto"/>
            <w:vAlign w:val="center"/>
          </w:tcPr>
          <w:p w:rsidR="00BB36A1" w:rsidRPr="00824E74" w:rsidRDefault="00824E74" w:rsidP="00BB6B65">
            <w:pPr>
              <w:pStyle w:val="TableText0"/>
              <w:jc w:val="center"/>
              <w:rPr>
                <w:highlight w:val="yellow"/>
              </w:rPr>
            </w:pPr>
            <w:r>
              <w:rPr>
                <w:rFonts w:cs="Arial"/>
                <w:iCs/>
                <w:noProof/>
                <w:color w:val="000000"/>
                <w:highlight w:val="black"/>
              </w:rPr>
              <w:t>'''''''''''''''''''''</w:t>
            </w:r>
            <w:r w:rsidR="007F73EA">
              <w:rPr>
                <w:vertAlign w:val="superscript"/>
              </w:rPr>
              <w:t>2</w:t>
            </w:r>
          </w:p>
        </w:tc>
        <w:tc>
          <w:tcPr>
            <w:tcW w:w="647" w:type="pct"/>
            <w:shd w:val="clear" w:color="auto" w:fill="auto"/>
            <w:vAlign w:val="center"/>
          </w:tcPr>
          <w:p w:rsidR="00BB36A1" w:rsidRPr="00824E74" w:rsidRDefault="00824E74" w:rsidP="00BB6B65">
            <w:pPr>
              <w:pStyle w:val="TableText0"/>
              <w:jc w:val="center"/>
              <w:rPr>
                <w:highlight w:val="yellow"/>
              </w:rPr>
            </w:pPr>
            <w:r>
              <w:rPr>
                <w:rFonts w:cs="Arial"/>
                <w:iCs/>
                <w:noProof/>
                <w:color w:val="000000"/>
                <w:highlight w:val="black"/>
              </w:rPr>
              <w:t>''''''''''''''''''''</w:t>
            </w:r>
            <w:r w:rsidR="007F73EA">
              <w:rPr>
                <w:vertAlign w:val="superscript"/>
              </w:rPr>
              <w:t>2</w:t>
            </w:r>
          </w:p>
        </w:tc>
        <w:tc>
          <w:tcPr>
            <w:tcW w:w="647" w:type="pct"/>
            <w:shd w:val="clear" w:color="auto" w:fill="auto"/>
            <w:vAlign w:val="center"/>
          </w:tcPr>
          <w:p w:rsidR="00BB36A1" w:rsidRPr="00824E74" w:rsidRDefault="00824E74" w:rsidP="00BB6B65">
            <w:pPr>
              <w:pStyle w:val="TableText0"/>
              <w:jc w:val="center"/>
              <w:rPr>
                <w:highlight w:val="yellow"/>
              </w:rPr>
            </w:pPr>
            <w:r>
              <w:rPr>
                <w:rFonts w:cs="Arial"/>
                <w:iCs/>
                <w:noProof/>
                <w:color w:val="000000"/>
                <w:highlight w:val="black"/>
              </w:rPr>
              <w:t>''''''''''''''''''''</w:t>
            </w:r>
            <w:r w:rsidR="007F73EA">
              <w:rPr>
                <w:vertAlign w:val="superscript"/>
              </w:rPr>
              <w:t>2</w:t>
            </w:r>
          </w:p>
        </w:tc>
        <w:tc>
          <w:tcPr>
            <w:tcW w:w="649" w:type="pct"/>
            <w:vAlign w:val="center"/>
          </w:tcPr>
          <w:p w:rsidR="00BB36A1" w:rsidRPr="00824E74" w:rsidRDefault="00824E74" w:rsidP="00BB6B65">
            <w:pPr>
              <w:pStyle w:val="TableText0"/>
              <w:jc w:val="center"/>
              <w:rPr>
                <w:highlight w:val="yellow"/>
              </w:rPr>
            </w:pPr>
            <w:r>
              <w:rPr>
                <w:rFonts w:cs="Arial"/>
                <w:iCs/>
                <w:noProof/>
                <w:color w:val="000000"/>
                <w:highlight w:val="black"/>
              </w:rPr>
              <w:t>''''''''''''''''''''</w:t>
            </w:r>
            <w:r w:rsidR="007F73EA">
              <w:rPr>
                <w:vertAlign w:val="superscript"/>
              </w:rPr>
              <w:t>2</w:t>
            </w:r>
          </w:p>
        </w:tc>
      </w:tr>
      <w:tr w:rsidR="00BB36A1" w:rsidRPr="003639A6" w:rsidTr="00BB6B65">
        <w:tc>
          <w:tcPr>
            <w:tcW w:w="5000" w:type="pct"/>
            <w:gridSpan w:val="7"/>
            <w:shd w:val="clear" w:color="auto" w:fill="auto"/>
            <w:vAlign w:val="center"/>
          </w:tcPr>
          <w:p w:rsidR="00BB36A1" w:rsidRPr="0009627A" w:rsidRDefault="00BB36A1" w:rsidP="00BB6B65">
            <w:pPr>
              <w:pStyle w:val="TableText0"/>
              <w:rPr>
                <w:b/>
              </w:rPr>
            </w:pPr>
            <w:r w:rsidRPr="0009627A">
              <w:rPr>
                <w:b/>
              </w:rPr>
              <w:t>Estimated financial implications for etanercept and ustekinumab</w:t>
            </w:r>
          </w:p>
        </w:tc>
      </w:tr>
      <w:tr w:rsidR="00BB36A1" w:rsidRPr="003639A6" w:rsidTr="00BB6B65">
        <w:tc>
          <w:tcPr>
            <w:tcW w:w="1116" w:type="pct"/>
            <w:shd w:val="clear" w:color="auto" w:fill="auto"/>
            <w:vAlign w:val="center"/>
          </w:tcPr>
          <w:p w:rsidR="00BB36A1" w:rsidRDefault="00BB36A1" w:rsidP="00BB6B65">
            <w:pPr>
              <w:pStyle w:val="TableText0"/>
              <w:rPr>
                <w:sz w:val="19"/>
                <w:szCs w:val="19"/>
              </w:rPr>
            </w:pPr>
            <w:r>
              <w:rPr>
                <w:sz w:val="19"/>
                <w:szCs w:val="19"/>
              </w:rPr>
              <w:t>Cost to PBS/RPBS less copayments</w:t>
            </w:r>
          </w:p>
        </w:tc>
        <w:tc>
          <w:tcPr>
            <w:tcW w:w="647" w:type="pct"/>
            <w:shd w:val="clear" w:color="auto" w:fill="auto"/>
            <w:vAlign w:val="center"/>
          </w:tcPr>
          <w:p w:rsidR="00BB36A1" w:rsidRPr="003639A6" w:rsidRDefault="00BB36A1" w:rsidP="00BB6B65">
            <w:pPr>
              <w:pStyle w:val="TableText0"/>
              <w:jc w:val="center"/>
            </w:pPr>
            <w:r w:rsidRPr="0045748C">
              <w:rPr>
                <w:rFonts w:cs="Arial"/>
                <w:color w:val="000000"/>
              </w:rPr>
              <w:t>-</w:t>
            </w:r>
            <w:r w:rsidR="00824E74">
              <w:rPr>
                <w:rFonts w:cs="Arial"/>
                <w:noProof/>
                <w:color w:val="000000"/>
                <w:highlight w:val="black"/>
              </w:rPr>
              <w:t>'''''''''''''''''''''</w:t>
            </w:r>
            <w:r w:rsidR="007F73EA">
              <w:rPr>
                <w:vertAlign w:val="superscript"/>
              </w:rPr>
              <w:t>2</w:t>
            </w:r>
          </w:p>
        </w:tc>
        <w:tc>
          <w:tcPr>
            <w:tcW w:w="647" w:type="pct"/>
            <w:shd w:val="clear" w:color="auto" w:fill="auto"/>
            <w:vAlign w:val="center"/>
          </w:tcPr>
          <w:p w:rsidR="00BB36A1" w:rsidRPr="003639A6" w:rsidRDefault="00BB36A1" w:rsidP="00BB6B65">
            <w:pPr>
              <w:pStyle w:val="TableText0"/>
              <w:jc w:val="center"/>
            </w:pPr>
            <w:r w:rsidRPr="0045748C">
              <w:rPr>
                <w:rFonts w:cs="Arial"/>
                <w:color w:val="000000"/>
              </w:rPr>
              <w:t>-</w:t>
            </w:r>
            <w:r w:rsidR="00824E74">
              <w:rPr>
                <w:rFonts w:cs="Arial"/>
                <w:noProof/>
                <w:color w:val="000000"/>
                <w:highlight w:val="black"/>
              </w:rPr>
              <w:t>'''''''''''''''''''</w:t>
            </w:r>
            <w:r w:rsidR="007F73EA">
              <w:rPr>
                <w:vertAlign w:val="superscript"/>
              </w:rPr>
              <w:t>2</w:t>
            </w:r>
          </w:p>
        </w:tc>
        <w:tc>
          <w:tcPr>
            <w:tcW w:w="647" w:type="pct"/>
            <w:shd w:val="clear" w:color="auto" w:fill="auto"/>
            <w:vAlign w:val="center"/>
          </w:tcPr>
          <w:p w:rsidR="00BB36A1" w:rsidRPr="003639A6" w:rsidRDefault="00BB36A1" w:rsidP="00BB6B65">
            <w:pPr>
              <w:pStyle w:val="TableText0"/>
              <w:jc w:val="center"/>
            </w:pPr>
            <w:r w:rsidRPr="0045748C">
              <w:rPr>
                <w:rFonts w:cs="Arial"/>
                <w:color w:val="000000"/>
              </w:rPr>
              <w:t>-</w:t>
            </w:r>
            <w:r w:rsidR="00824E74">
              <w:rPr>
                <w:rFonts w:cs="Arial"/>
                <w:noProof/>
                <w:color w:val="000000"/>
                <w:highlight w:val="black"/>
              </w:rPr>
              <w:t>'''''''''''''''''''''</w:t>
            </w:r>
            <w:r w:rsidR="007F73EA">
              <w:rPr>
                <w:vertAlign w:val="superscript"/>
              </w:rPr>
              <w:t>2</w:t>
            </w:r>
          </w:p>
        </w:tc>
        <w:tc>
          <w:tcPr>
            <w:tcW w:w="647" w:type="pct"/>
            <w:shd w:val="clear" w:color="auto" w:fill="auto"/>
            <w:vAlign w:val="center"/>
          </w:tcPr>
          <w:p w:rsidR="00BB36A1" w:rsidRPr="003639A6" w:rsidRDefault="00BB36A1" w:rsidP="00BB6B65">
            <w:pPr>
              <w:pStyle w:val="TableText0"/>
              <w:jc w:val="center"/>
            </w:pPr>
            <w:r w:rsidRPr="0045748C">
              <w:rPr>
                <w:rFonts w:cs="Arial"/>
                <w:color w:val="000000"/>
              </w:rPr>
              <w:t>-</w:t>
            </w:r>
            <w:r w:rsidR="00824E74">
              <w:rPr>
                <w:rFonts w:cs="Arial"/>
                <w:noProof/>
                <w:color w:val="000000"/>
                <w:highlight w:val="black"/>
              </w:rPr>
              <w:t>''''''''''''''''''''</w:t>
            </w:r>
            <w:r w:rsidR="007F73EA">
              <w:rPr>
                <w:vertAlign w:val="superscript"/>
              </w:rPr>
              <w:t>2</w:t>
            </w:r>
          </w:p>
        </w:tc>
        <w:tc>
          <w:tcPr>
            <w:tcW w:w="647" w:type="pct"/>
            <w:shd w:val="clear" w:color="auto" w:fill="auto"/>
            <w:vAlign w:val="center"/>
          </w:tcPr>
          <w:p w:rsidR="00BB36A1" w:rsidRPr="003639A6" w:rsidRDefault="00BB36A1" w:rsidP="00BB6B65">
            <w:pPr>
              <w:pStyle w:val="TableText0"/>
              <w:jc w:val="center"/>
            </w:pPr>
            <w:r w:rsidRPr="0045748C">
              <w:rPr>
                <w:rFonts w:cs="Arial"/>
                <w:color w:val="000000"/>
              </w:rPr>
              <w:t>-</w:t>
            </w:r>
            <w:r w:rsidR="00824E74">
              <w:rPr>
                <w:rFonts w:cs="Arial"/>
                <w:noProof/>
                <w:color w:val="000000"/>
                <w:highlight w:val="black"/>
              </w:rPr>
              <w:t>'''''''''''''''''''''''</w:t>
            </w:r>
            <w:r w:rsidR="007F73EA">
              <w:rPr>
                <w:vertAlign w:val="superscript"/>
              </w:rPr>
              <w:t>2</w:t>
            </w:r>
          </w:p>
        </w:tc>
        <w:tc>
          <w:tcPr>
            <w:tcW w:w="649" w:type="pct"/>
            <w:vAlign w:val="center"/>
          </w:tcPr>
          <w:p w:rsidR="00BB36A1" w:rsidRPr="003639A6" w:rsidRDefault="00BB36A1" w:rsidP="00BB6B65">
            <w:pPr>
              <w:pStyle w:val="TableText0"/>
              <w:jc w:val="center"/>
            </w:pPr>
            <w:r w:rsidRPr="0045748C">
              <w:rPr>
                <w:rFonts w:cs="Arial"/>
                <w:color w:val="000000"/>
              </w:rPr>
              <w:t>-</w:t>
            </w:r>
            <w:r w:rsidR="00824E74">
              <w:rPr>
                <w:rFonts w:cs="Arial"/>
                <w:noProof/>
                <w:color w:val="000000"/>
                <w:highlight w:val="black"/>
              </w:rPr>
              <w:t>''''''''''''''''''''''</w:t>
            </w:r>
            <w:r w:rsidR="007F73EA">
              <w:rPr>
                <w:vertAlign w:val="superscript"/>
              </w:rPr>
              <w:t>2</w:t>
            </w:r>
          </w:p>
        </w:tc>
      </w:tr>
      <w:tr w:rsidR="00BB36A1" w:rsidRPr="00FC22AB" w:rsidTr="00BB6B65">
        <w:tc>
          <w:tcPr>
            <w:tcW w:w="5000" w:type="pct"/>
            <w:gridSpan w:val="7"/>
            <w:shd w:val="clear" w:color="auto" w:fill="auto"/>
            <w:vAlign w:val="center"/>
          </w:tcPr>
          <w:p w:rsidR="00BB36A1" w:rsidRPr="00FC22AB" w:rsidRDefault="00BB36A1" w:rsidP="00BB6B65">
            <w:pPr>
              <w:pStyle w:val="In-tableHeading"/>
            </w:pPr>
            <w:r w:rsidRPr="00FC22AB">
              <w:t>Net financial implications</w:t>
            </w:r>
            <w:r w:rsidRPr="00FC22AB">
              <w:rPr>
                <w:color w:val="4BACC6" w:themeColor="accent5"/>
              </w:rPr>
              <w:t xml:space="preserve"> </w:t>
            </w:r>
          </w:p>
        </w:tc>
      </w:tr>
      <w:tr w:rsidR="00BB36A1" w:rsidRPr="003639A6" w:rsidTr="00BB6B65">
        <w:tc>
          <w:tcPr>
            <w:tcW w:w="1116" w:type="pct"/>
            <w:shd w:val="clear" w:color="auto" w:fill="auto"/>
            <w:vAlign w:val="center"/>
          </w:tcPr>
          <w:p w:rsidR="00BB36A1" w:rsidRDefault="00BB36A1" w:rsidP="00BB6B65">
            <w:pPr>
              <w:pStyle w:val="TableText0"/>
              <w:rPr>
                <w:sz w:val="19"/>
                <w:szCs w:val="19"/>
              </w:rPr>
            </w:pPr>
            <w:r>
              <w:rPr>
                <w:sz w:val="19"/>
                <w:szCs w:val="19"/>
              </w:rPr>
              <w:t>Net cost to PBS/RPBS (corrected)</w:t>
            </w:r>
            <w:r w:rsidR="00FD3603" w:rsidRPr="00FD3603">
              <w:rPr>
                <w:sz w:val="19"/>
                <w:szCs w:val="19"/>
                <w:vertAlign w:val="superscript"/>
              </w:rPr>
              <w:t>b</w:t>
            </w:r>
          </w:p>
        </w:tc>
        <w:tc>
          <w:tcPr>
            <w:tcW w:w="647" w:type="pct"/>
            <w:shd w:val="clear" w:color="auto" w:fill="auto"/>
            <w:vAlign w:val="center"/>
          </w:tcPr>
          <w:p w:rsidR="00BB36A1" w:rsidRPr="00824E74" w:rsidRDefault="00824E74" w:rsidP="00BB6B65">
            <w:pPr>
              <w:pStyle w:val="TableText0"/>
              <w:jc w:val="center"/>
              <w:rPr>
                <w:highlight w:val="yellow"/>
              </w:rPr>
            </w:pPr>
            <w:r>
              <w:rPr>
                <w:iCs/>
                <w:noProof/>
                <w:color w:val="000000"/>
                <w:highlight w:val="black"/>
              </w:rPr>
              <w:t>'''''''''''</w:t>
            </w:r>
            <w:r w:rsidR="007F73EA">
              <w:rPr>
                <w:vertAlign w:val="superscript"/>
              </w:rPr>
              <w:t>2</w:t>
            </w:r>
          </w:p>
        </w:tc>
        <w:tc>
          <w:tcPr>
            <w:tcW w:w="647" w:type="pct"/>
            <w:shd w:val="clear" w:color="auto" w:fill="auto"/>
            <w:vAlign w:val="center"/>
          </w:tcPr>
          <w:p w:rsidR="00BB36A1" w:rsidRPr="00FD3603" w:rsidRDefault="00BB36A1" w:rsidP="00BB6B65">
            <w:pPr>
              <w:pStyle w:val="TableText0"/>
              <w:jc w:val="center"/>
              <w:rPr>
                <w:highlight w:val="yellow"/>
              </w:rPr>
            </w:pPr>
            <w:r w:rsidRPr="00FD3603">
              <w:rPr>
                <w:iCs/>
              </w:rPr>
              <w:t>-</w:t>
            </w:r>
            <w:r w:rsidR="00824E74">
              <w:rPr>
                <w:iCs/>
                <w:noProof/>
                <w:color w:val="000000"/>
                <w:highlight w:val="black"/>
              </w:rPr>
              <w:t>'''''''''''''''''</w:t>
            </w:r>
            <w:r w:rsidR="007F73EA">
              <w:rPr>
                <w:vertAlign w:val="superscript"/>
              </w:rPr>
              <w:t>2</w:t>
            </w:r>
          </w:p>
        </w:tc>
        <w:tc>
          <w:tcPr>
            <w:tcW w:w="647" w:type="pct"/>
            <w:shd w:val="clear" w:color="auto" w:fill="auto"/>
            <w:vAlign w:val="center"/>
          </w:tcPr>
          <w:p w:rsidR="00BB36A1" w:rsidRPr="00FD3603" w:rsidRDefault="00BB36A1" w:rsidP="00BB6B65">
            <w:pPr>
              <w:pStyle w:val="TableText0"/>
              <w:jc w:val="center"/>
              <w:rPr>
                <w:highlight w:val="yellow"/>
              </w:rPr>
            </w:pPr>
            <w:r w:rsidRPr="00FD3603">
              <w:rPr>
                <w:iCs/>
              </w:rPr>
              <w:t>-</w:t>
            </w:r>
            <w:r w:rsidR="00824E74">
              <w:rPr>
                <w:iCs/>
                <w:noProof/>
                <w:color w:val="000000"/>
                <w:highlight w:val="black"/>
              </w:rPr>
              <w:t>''''''''''''''''''</w:t>
            </w:r>
            <w:r w:rsidR="007F73EA">
              <w:rPr>
                <w:vertAlign w:val="superscript"/>
              </w:rPr>
              <w:t>2</w:t>
            </w:r>
          </w:p>
        </w:tc>
        <w:tc>
          <w:tcPr>
            <w:tcW w:w="647" w:type="pct"/>
            <w:shd w:val="clear" w:color="auto" w:fill="auto"/>
            <w:vAlign w:val="center"/>
          </w:tcPr>
          <w:p w:rsidR="00BB36A1" w:rsidRPr="00FD3603" w:rsidRDefault="00BB36A1" w:rsidP="00BB6B65">
            <w:pPr>
              <w:pStyle w:val="TableText0"/>
              <w:jc w:val="center"/>
              <w:rPr>
                <w:highlight w:val="yellow"/>
              </w:rPr>
            </w:pPr>
            <w:r w:rsidRPr="00FD3603">
              <w:rPr>
                <w:iCs/>
              </w:rPr>
              <w:t>-</w:t>
            </w:r>
            <w:r w:rsidR="00824E74">
              <w:rPr>
                <w:iCs/>
                <w:noProof/>
                <w:color w:val="000000"/>
                <w:highlight w:val="black"/>
              </w:rPr>
              <w:t>'''''''''''''''''''</w:t>
            </w:r>
            <w:r w:rsidR="007F73EA">
              <w:rPr>
                <w:vertAlign w:val="superscript"/>
              </w:rPr>
              <w:t>2</w:t>
            </w:r>
          </w:p>
        </w:tc>
        <w:tc>
          <w:tcPr>
            <w:tcW w:w="647" w:type="pct"/>
            <w:shd w:val="clear" w:color="auto" w:fill="auto"/>
            <w:vAlign w:val="center"/>
          </w:tcPr>
          <w:p w:rsidR="00BB36A1" w:rsidRPr="00FD3603" w:rsidRDefault="00BB36A1" w:rsidP="00BB6B65">
            <w:pPr>
              <w:pStyle w:val="TableText0"/>
              <w:jc w:val="center"/>
              <w:rPr>
                <w:highlight w:val="yellow"/>
              </w:rPr>
            </w:pPr>
            <w:r w:rsidRPr="00FD3603">
              <w:rPr>
                <w:iCs/>
              </w:rPr>
              <w:t>-</w:t>
            </w:r>
            <w:r w:rsidR="00824E74">
              <w:rPr>
                <w:iCs/>
                <w:noProof/>
                <w:color w:val="000000"/>
                <w:highlight w:val="black"/>
              </w:rPr>
              <w:t>''''''''''''''''''</w:t>
            </w:r>
            <w:r w:rsidR="007F73EA">
              <w:rPr>
                <w:vertAlign w:val="superscript"/>
              </w:rPr>
              <w:t>2</w:t>
            </w:r>
          </w:p>
        </w:tc>
        <w:tc>
          <w:tcPr>
            <w:tcW w:w="649" w:type="pct"/>
            <w:vAlign w:val="center"/>
          </w:tcPr>
          <w:p w:rsidR="00BB36A1" w:rsidRPr="00FD3603" w:rsidRDefault="00BB36A1" w:rsidP="00BB6B65">
            <w:pPr>
              <w:pStyle w:val="TableText0"/>
              <w:jc w:val="center"/>
              <w:rPr>
                <w:highlight w:val="yellow"/>
              </w:rPr>
            </w:pPr>
            <w:r w:rsidRPr="00FD3603">
              <w:rPr>
                <w:iCs/>
              </w:rPr>
              <w:t>-</w:t>
            </w:r>
            <w:r w:rsidR="00824E74">
              <w:rPr>
                <w:iCs/>
                <w:noProof/>
                <w:color w:val="000000"/>
                <w:highlight w:val="black"/>
              </w:rPr>
              <w:t>''''''''''''''''''''</w:t>
            </w:r>
            <w:r w:rsidR="007F73EA">
              <w:rPr>
                <w:vertAlign w:val="superscript"/>
              </w:rPr>
              <w:t>2</w:t>
            </w:r>
          </w:p>
        </w:tc>
      </w:tr>
    </w:tbl>
    <w:p w:rsidR="00BB36A1" w:rsidRPr="00FD3603" w:rsidRDefault="00BB36A1" w:rsidP="00BB36A1">
      <w:pPr>
        <w:pStyle w:val="TableFigureFooter"/>
        <w:rPr>
          <w:rStyle w:val="CommentReference"/>
          <w:b w:val="0"/>
          <w:sz w:val="18"/>
          <w:szCs w:val="22"/>
        </w:rPr>
      </w:pPr>
      <w:r>
        <w:t xml:space="preserve">Source: Table 4.12, p133; Table 4.18, p135 </w:t>
      </w:r>
      <w:r w:rsidRPr="00D13A3E">
        <w:t xml:space="preserve">of the </w:t>
      </w:r>
      <w:r>
        <w:t xml:space="preserve">submission. </w:t>
      </w:r>
    </w:p>
    <w:p w:rsidR="00BB36A1" w:rsidRDefault="00BB36A1" w:rsidP="00BB36A1">
      <w:pPr>
        <w:pStyle w:val="TableFigureFooter"/>
      </w:pPr>
      <w:r w:rsidRPr="003639A6">
        <w:rPr>
          <w:vertAlign w:val="superscript"/>
        </w:rPr>
        <w:t>a</w:t>
      </w:r>
      <w:r>
        <w:t xml:space="preserve"> </w:t>
      </w:r>
      <w:r w:rsidRPr="003639A6">
        <w:t xml:space="preserve">Assuming </w:t>
      </w:r>
      <w:r>
        <w:t>12</w:t>
      </w:r>
      <w:r w:rsidRPr="003639A6">
        <w:t xml:space="preserve"> per year as estimated by the submission.</w:t>
      </w:r>
    </w:p>
    <w:p w:rsidR="00FD3603" w:rsidRDefault="00FD3603" w:rsidP="00BB36A1">
      <w:pPr>
        <w:pStyle w:val="TableFigureFooter"/>
      </w:pPr>
      <w:r w:rsidRPr="00FD3603">
        <w:rPr>
          <w:vertAlign w:val="superscript"/>
        </w:rPr>
        <w:t>b</w:t>
      </w:r>
      <w:r>
        <w:t xml:space="preserve"> </w:t>
      </w:r>
      <w:r w:rsidRPr="00FD3603">
        <w:t>Corrected during the evaluation using the DPMQ generated using the 1 July 2021 mark-ups</w:t>
      </w:r>
      <w:r>
        <w:t>.</w:t>
      </w:r>
    </w:p>
    <w:p w:rsidR="007F73EA" w:rsidRPr="007F73EA" w:rsidRDefault="007F73EA" w:rsidP="00BB36A1">
      <w:pPr>
        <w:pStyle w:val="TableFigureFooter"/>
        <w:rPr>
          <w:i/>
        </w:rPr>
      </w:pPr>
      <w:r w:rsidRPr="007F73EA">
        <w:rPr>
          <w:i/>
        </w:rPr>
        <w:t>The redacted values correspond to the following ranges:</w:t>
      </w:r>
    </w:p>
    <w:p w:rsidR="007F73EA" w:rsidRPr="007F73EA" w:rsidRDefault="007F73EA" w:rsidP="00BB36A1">
      <w:pPr>
        <w:pStyle w:val="TableFigureFooter"/>
        <w:rPr>
          <w:i/>
        </w:rPr>
      </w:pPr>
      <w:r w:rsidRPr="007F73EA">
        <w:rPr>
          <w:i/>
          <w:vertAlign w:val="superscript"/>
        </w:rPr>
        <w:t>1</w:t>
      </w:r>
      <w:r w:rsidRPr="007F73EA">
        <w:rPr>
          <w:i/>
        </w:rPr>
        <w:t xml:space="preserve"> &lt; 500</w:t>
      </w:r>
    </w:p>
    <w:p w:rsidR="007F73EA" w:rsidRPr="007F73EA" w:rsidRDefault="007F73EA" w:rsidP="00BB36A1">
      <w:pPr>
        <w:pStyle w:val="TableFigureFooter"/>
        <w:rPr>
          <w:i/>
        </w:rPr>
      </w:pPr>
      <w:r w:rsidRPr="007F73EA">
        <w:rPr>
          <w:i/>
          <w:vertAlign w:val="superscript"/>
        </w:rPr>
        <w:t>2</w:t>
      </w:r>
      <w:r w:rsidRPr="007F73EA">
        <w:rPr>
          <w:i/>
        </w:rPr>
        <w:t xml:space="preserve"> $0 to &lt; $10 million</w:t>
      </w:r>
    </w:p>
    <w:p w:rsidR="00BB36A1" w:rsidRPr="00E663C3" w:rsidRDefault="2A01AA8D" w:rsidP="00BB36A1">
      <w:pPr>
        <w:pStyle w:val="3-BodyText"/>
      </w:pPr>
      <w:r>
        <w:t xml:space="preserve">The </w:t>
      </w:r>
      <w:r w:rsidR="5D5B7560">
        <w:t xml:space="preserve">net </w:t>
      </w:r>
      <w:r>
        <w:t>cost</w:t>
      </w:r>
      <w:r w:rsidR="56B95A98">
        <w:t xml:space="preserve"> saving</w:t>
      </w:r>
      <w:r>
        <w:t xml:space="preserve"> to the PBS/RPBS of listing secukinumab </w:t>
      </w:r>
      <w:r w:rsidR="5D5B7560">
        <w:t>is</w:t>
      </w:r>
      <w:r>
        <w:t xml:space="preserve"> estimated to be $</w:t>
      </w:r>
      <w:r w:rsidR="00660CF8">
        <w:t xml:space="preserve">0 to &lt; $10 million </w:t>
      </w:r>
      <w:r>
        <w:t>in Year 6</w:t>
      </w:r>
      <w:r w:rsidR="10C16D5B">
        <w:t xml:space="preserve"> based on the </w:t>
      </w:r>
      <w:r w:rsidR="29613E1D">
        <w:t>corrected price generated using the 1 July 2021 mark-ups</w:t>
      </w:r>
      <w:r w:rsidR="0009627A">
        <w:t xml:space="preserve"> (based on the published price of ustekinumab)</w:t>
      </w:r>
      <w:r>
        <w:t xml:space="preserve">. </w:t>
      </w:r>
    </w:p>
    <w:p w:rsidR="00BB36A1" w:rsidRPr="00E663C3" w:rsidRDefault="2A01AA8D" w:rsidP="00BB36A1">
      <w:pPr>
        <w:pStyle w:val="3-BodyText"/>
        <w:rPr>
          <w:color w:val="0066FF"/>
        </w:rPr>
      </w:pPr>
      <w:r w:rsidRPr="00E663C3">
        <w:rPr>
          <w:iCs/>
          <w:color w:val="000000" w:themeColor="text1"/>
          <w:lang w:eastAsia="zh-CN"/>
        </w:rPr>
        <w:t>The estimate</w:t>
      </w:r>
      <w:r w:rsidR="4084B165" w:rsidRPr="00E663C3">
        <w:rPr>
          <w:iCs/>
          <w:color w:val="000000" w:themeColor="text1"/>
          <w:lang w:eastAsia="zh-CN"/>
        </w:rPr>
        <w:t>d</w:t>
      </w:r>
      <w:r w:rsidRPr="00E663C3">
        <w:rPr>
          <w:iCs/>
          <w:color w:val="000000" w:themeColor="text1"/>
          <w:lang w:eastAsia="zh-CN"/>
        </w:rPr>
        <w:t xml:space="preserve"> financial impact may be underestimated. There would be net financial costs to the PBS if different assumptions were used on the annual scripts for etanercept, and the split of initiating/continuing scripts for secukinumab: assuming 5 scripts of etanercept per year will cost the PBS </w:t>
      </w:r>
      <w:r w:rsidRPr="00E663C3">
        <w:rPr>
          <w:iCs/>
        </w:rPr>
        <w:t>$</w:t>
      </w:r>
      <w:r w:rsidR="00660CF8">
        <w:rPr>
          <w:iCs/>
        </w:rPr>
        <w:t>0 to &lt; $10 million</w:t>
      </w:r>
      <w:r w:rsidRPr="00E663C3">
        <w:rPr>
          <w:iCs/>
          <w:color w:val="000000" w:themeColor="text1"/>
          <w:lang w:eastAsia="zh-CN"/>
        </w:rPr>
        <w:t xml:space="preserve"> in </w:t>
      </w:r>
      <w:r w:rsidR="3061234B" w:rsidRPr="00E663C3">
        <w:rPr>
          <w:iCs/>
          <w:color w:val="000000" w:themeColor="text1"/>
          <w:lang w:eastAsia="zh-CN"/>
        </w:rPr>
        <w:t>Y</w:t>
      </w:r>
      <w:r w:rsidRPr="00E663C3">
        <w:rPr>
          <w:iCs/>
          <w:color w:val="000000" w:themeColor="text1"/>
          <w:lang w:eastAsia="zh-CN"/>
        </w:rPr>
        <w:t xml:space="preserve">ear 6; </w:t>
      </w:r>
      <w:r w:rsidR="00431D9D">
        <w:rPr>
          <w:iCs/>
          <w:color w:val="000000" w:themeColor="text1"/>
          <w:lang w:eastAsia="zh-CN"/>
        </w:rPr>
        <w:t xml:space="preserve">and </w:t>
      </w:r>
      <w:r w:rsidRPr="00E663C3">
        <w:rPr>
          <w:iCs/>
          <w:color w:val="000000" w:themeColor="text1"/>
          <w:lang w:eastAsia="zh-CN"/>
        </w:rPr>
        <w:t>assuming a higher proportion of initial scripts for secukinumab as in the adult psoriasis market will cost the PBS $</w:t>
      </w:r>
      <w:r w:rsidR="00660CF8">
        <w:rPr>
          <w:iCs/>
          <w:color w:val="000000" w:themeColor="text1"/>
          <w:lang w:eastAsia="zh-CN"/>
        </w:rPr>
        <w:t>0 to &lt; $10 million</w:t>
      </w:r>
      <w:r w:rsidRPr="00E663C3">
        <w:rPr>
          <w:iCs/>
          <w:color w:val="000000" w:themeColor="text1"/>
          <w:lang w:eastAsia="zh-CN"/>
        </w:rPr>
        <w:t xml:space="preserve"> in </w:t>
      </w:r>
      <w:r w:rsidR="3061234B" w:rsidRPr="00E663C3">
        <w:rPr>
          <w:iCs/>
          <w:color w:val="000000" w:themeColor="text1"/>
          <w:lang w:eastAsia="zh-CN"/>
        </w:rPr>
        <w:t>Y</w:t>
      </w:r>
      <w:r w:rsidRPr="00E663C3">
        <w:rPr>
          <w:iCs/>
          <w:color w:val="000000" w:themeColor="text1"/>
          <w:lang w:eastAsia="zh-CN"/>
        </w:rPr>
        <w:t>ear 1, $</w:t>
      </w:r>
      <w:r w:rsidR="00660CF8">
        <w:rPr>
          <w:iCs/>
          <w:color w:val="000000" w:themeColor="text1"/>
          <w:lang w:eastAsia="zh-CN"/>
        </w:rPr>
        <w:t>0 to &lt; $10 million</w:t>
      </w:r>
      <w:r w:rsidRPr="00E663C3">
        <w:rPr>
          <w:iCs/>
          <w:color w:val="000000" w:themeColor="text1"/>
          <w:lang w:eastAsia="zh-CN"/>
        </w:rPr>
        <w:t xml:space="preserve"> in </w:t>
      </w:r>
      <w:r w:rsidR="3061234B" w:rsidRPr="00E663C3">
        <w:rPr>
          <w:iCs/>
          <w:color w:val="000000" w:themeColor="text1"/>
          <w:lang w:eastAsia="zh-CN"/>
        </w:rPr>
        <w:t>Y</w:t>
      </w:r>
      <w:r w:rsidRPr="00E663C3">
        <w:rPr>
          <w:iCs/>
          <w:color w:val="000000" w:themeColor="text1"/>
          <w:lang w:eastAsia="zh-CN"/>
        </w:rPr>
        <w:t xml:space="preserve">ear 2, and minor costs from </w:t>
      </w:r>
      <w:r w:rsidR="3061234B" w:rsidRPr="00E663C3">
        <w:rPr>
          <w:iCs/>
          <w:color w:val="000000" w:themeColor="text1"/>
          <w:lang w:eastAsia="zh-CN"/>
        </w:rPr>
        <w:t>Y</w:t>
      </w:r>
      <w:r w:rsidRPr="00E663C3">
        <w:rPr>
          <w:iCs/>
          <w:color w:val="000000" w:themeColor="text1"/>
          <w:lang w:eastAsia="zh-CN"/>
        </w:rPr>
        <w:t>ear 3 to 6.</w:t>
      </w:r>
      <w:r w:rsidRPr="00E663C3">
        <w:rPr>
          <w:color w:val="000000" w:themeColor="text1"/>
          <w:lang w:eastAsia="zh-CN"/>
        </w:rPr>
        <w:t xml:space="preserve">    </w:t>
      </w:r>
    </w:p>
    <w:p w:rsidR="00BB36A1" w:rsidRPr="00633E43" w:rsidRDefault="00633E43" w:rsidP="005B2C02">
      <w:pPr>
        <w:pStyle w:val="3-BodyText"/>
        <w:rPr>
          <w:color w:val="0066FF"/>
        </w:rPr>
      </w:pPr>
      <w:r w:rsidRPr="00633E43">
        <w:t>The submission requested a grandfathering clause for paediatric patients currently receiving secukinumab as trial patients or under the patient familiarisation and compassionate use programs.</w:t>
      </w:r>
      <w:r w:rsidR="005B2C02">
        <w:t xml:space="preserve"> </w:t>
      </w:r>
      <w:r w:rsidR="005B2C02" w:rsidRPr="005B2C02">
        <w:rPr>
          <w:rFonts w:ascii="Calibri" w:eastAsia="Calibri" w:hAnsi="Calibri"/>
        </w:rPr>
        <w:t>The submission did not state the proposed number of grandfathered patients</w:t>
      </w:r>
      <w:r w:rsidR="005B2C02">
        <w:rPr>
          <w:rFonts w:ascii="Calibri" w:eastAsia="Calibri" w:hAnsi="Calibri"/>
        </w:rPr>
        <w:t>, a</w:t>
      </w:r>
      <w:r w:rsidR="005B2C02">
        <w:rPr>
          <w:iCs/>
          <w:color w:val="000000" w:themeColor="text1"/>
        </w:rPr>
        <w:t>nd they</w:t>
      </w:r>
      <w:r w:rsidR="2A01AA8D" w:rsidRPr="00E663C3">
        <w:rPr>
          <w:iCs/>
          <w:color w:val="000000" w:themeColor="text1"/>
        </w:rPr>
        <w:t xml:space="preserve"> were not counted separately in the </w:t>
      </w:r>
      <w:r w:rsidR="00066319" w:rsidRPr="00E663C3">
        <w:rPr>
          <w:iCs/>
          <w:color w:val="000000" w:themeColor="text1"/>
        </w:rPr>
        <w:t>submission but</w:t>
      </w:r>
      <w:r w:rsidR="2A01AA8D" w:rsidRPr="00E663C3">
        <w:rPr>
          <w:iCs/>
          <w:color w:val="000000" w:themeColor="text1"/>
        </w:rPr>
        <w:t xml:space="preserve"> </w:t>
      </w:r>
      <w:r>
        <w:rPr>
          <w:iCs/>
          <w:color w:val="000000" w:themeColor="text1"/>
        </w:rPr>
        <w:t>may</w:t>
      </w:r>
      <w:r w:rsidRPr="00E663C3">
        <w:rPr>
          <w:iCs/>
          <w:color w:val="000000" w:themeColor="text1"/>
        </w:rPr>
        <w:t xml:space="preserve"> </w:t>
      </w:r>
      <w:r w:rsidR="2A01AA8D" w:rsidRPr="00E663C3">
        <w:rPr>
          <w:iCs/>
          <w:color w:val="000000" w:themeColor="text1"/>
        </w:rPr>
        <w:t>already be covered in the predicted market for etanercept in 2021</w:t>
      </w:r>
      <w:r w:rsidR="005B2C02">
        <w:rPr>
          <w:iCs/>
          <w:color w:val="000000" w:themeColor="text1"/>
        </w:rPr>
        <w:t>,</w:t>
      </w:r>
      <w:r w:rsidR="2A01AA8D" w:rsidRPr="00E663C3">
        <w:rPr>
          <w:iCs/>
          <w:color w:val="000000" w:themeColor="text1"/>
        </w:rPr>
        <w:t xml:space="preserve"> given a higher script number was used comparing to the observed script number for etanercept in 2020. </w:t>
      </w:r>
    </w:p>
    <w:p w:rsidR="00BB36A1" w:rsidRPr="00C9624D" w:rsidRDefault="00BB36A1" w:rsidP="00BB36A1">
      <w:pPr>
        <w:pStyle w:val="4-SubsectionHeading"/>
      </w:pPr>
      <w:bookmarkStart w:id="34" w:name="_Toc22897649"/>
      <w:bookmarkStart w:id="35" w:name="_Toc82600281"/>
      <w:r w:rsidRPr="00C9624D">
        <w:t>Financial Management – Risk Sharing Arrangements</w:t>
      </w:r>
      <w:bookmarkEnd w:id="34"/>
      <w:bookmarkEnd w:id="35"/>
    </w:p>
    <w:p w:rsidR="00BB36A1" w:rsidRPr="00E96B7E" w:rsidRDefault="2A01AA8D" w:rsidP="00E96B7E">
      <w:pPr>
        <w:pStyle w:val="3-BodyText"/>
        <w:rPr>
          <w:color w:val="0066FF"/>
        </w:rPr>
      </w:pPr>
      <w:r w:rsidRPr="6A8F74B3">
        <w:rPr>
          <w:color w:val="000000" w:themeColor="text1"/>
        </w:rPr>
        <w:t xml:space="preserve">The submission did not propose a risk-sharing arrangement. </w:t>
      </w:r>
      <w:r w:rsidR="00600971">
        <w:rPr>
          <w:color w:val="000000" w:themeColor="text1"/>
        </w:rPr>
        <w:t>For</w:t>
      </w:r>
      <w:r w:rsidRPr="6A8F74B3">
        <w:rPr>
          <w:color w:val="000000" w:themeColor="text1"/>
        </w:rPr>
        <w:t xml:space="preserve"> ustekinumab</w:t>
      </w:r>
      <w:r w:rsidR="00600971">
        <w:rPr>
          <w:color w:val="000000" w:themeColor="text1"/>
        </w:rPr>
        <w:t>,</w:t>
      </w:r>
      <w:r w:rsidRPr="6A8F74B3">
        <w:rPr>
          <w:color w:val="000000" w:themeColor="text1"/>
        </w:rPr>
        <w:t xml:space="preserve"> the PBAC considered that there was a risk of ustekinumab</w:t>
      </w:r>
      <w:r w:rsidR="5B8C3BB6" w:rsidRPr="6A8F74B3">
        <w:rPr>
          <w:color w:val="000000" w:themeColor="text1"/>
        </w:rPr>
        <w:t xml:space="preserve"> use outside the restriction</w:t>
      </w:r>
      <w:r w:rsidRPr="6A8F74B3">
        <w:rPr>
          <w:color w:val="000000" w:themeColor="text1"/>
        </w:rPr>
        <w:t xml:space="preserve"> to less severe patients, given that ustekinumab has superior effectiveness and a lower frequency of injections</w:t>
      </w:r>
      <w:r w:rsidR="005D41B4">
        <w:rPr>
          <w:color w:val="000000" w:themeColor="text1"/>
        </w:rPr>
        <w:t xml:space="preserve"> (3 monthly)</w:t>
      </w:r>
      <w:r w:rsidRPr="6A8F74B3">
        <w:rPr>
          <w:color w:val="000000" w:themeColor="text1"/>
        </w:rPr>
        <w:t xml:space="preserve"> compared to etanercept </w:t>
      </w:r>
      <w:r w:rsidR="005D41B4">
        <w:rPr>
          <w:color w:val="000000" w:themeColor="text1"/>
        </w:rPr>
        <w:t xml:space="preserve">(weekly) </w:t>
      </w:r>
      <w:r w:rsidRPr="6A8F74B3">
        <w:rPr>
          <w:color w:val="000000" w:themeColor="text1"/>
        </w:rPr>
        <w:t>(para</w:t>
      </w:r>
      <w:r w:rsidR="5B8C3BB6" w:rsidRPr="6A8F74B3">
        <w:rPr>
          <w:color w:val="000000" w:themeColor="text1"/>
        </w:rPr>
        <w:t>graph</w:t>
      </w:r>
      <w:r w:rsidRPr="6A8F74B3">
        <w:rPr>
          <w:color w:val="000000" w:themeColor="text1"/>
        </w:rPr>
        <w:t xml:space="preserve"> 6.66 ustekinumab PSD, March 2021). The </w:t>
      </w:r>
      <w:r w:rsidR="004B42F9">
        <w:rPr>
          <w:color w:val="000000" w:themeColor="text1"/>
        </w:rPr>
        <w:t>S</w:t>
      </w:r>
      <w:r w:rsidRPr="6A8F74B3">
        <w:rPr>
          <w:color w:val="000000" w:themeColor="text1"/>
        </w:rPr>
        <w:t>ponsor for secukinumab claimed that this was not expected to be applicable to secukinumab since the frequency of administration for secukinumab is more often (monthly) than ustekinumab (3</w:t>
      </w:r>
      <w:r w:rsidR="005D41B4">
        <w:rPr>
          <w:color w:val="000000" w:themeColor="text1"/>
        </w:rPr>
        <w:t> </w:t>
      </w:r>
      <w:r w:rsidRPr="6A8F74B3">
        <w:rPr>
          <w:color w:val="000000" w:themeColor="text1"/>
        </w:rPr>
        <w:t xml:space="preserve">monthly).  </w:t>
      </w:r>
      <w:r w:rsidRPr="00E663C3">
        <w:rPr>
          <w:iCs/>
          <w:color w:val="000000" w:themeColor="text1"/>
        </w:rPr>
        <w:t>The risk of secukinumab</w:t>
      </w:r>
      <w:r w:rsidR="5B8C3BB6" w:rsidRPr="00E663C3">
        <w:rPr>
          <w:iCs/>
          <w:color w:val="000000" w:themeColor="text1"/>
        </w:rPr>
        <w:t xml:space="preserve"> use outside the proposed restriction</w:t>
      </w:r>
      <w:r w:rsidRPr="00E663C3">
        <w:rPr>
          <w:iCs/>
          <w:color w:val="000000" w:themeColor="text1"/>
        </w:rPr>
        <w:t xml:space="preserve"> </w:t>
      </w:r>
      <w:r w:rsidRPr="00E663C3">
        <w:rPr>
          <w:iCs/>
        </w:rPr>
        <w:t>remains</w:t>
      </w:r>
      <w:r w:rsidR="5B8C3BB6" w:rsidRPr="00E663C3">
        <w:rPr>
          <w:iCs/>
        </w:rPr>
        <w:t>,</w:t>
      </w:r>
      <w:r w:rsidRPr="00E663C3">
        <w:rPr>
          <w:iCs/>
        </w:rPr>
        <w:t xml:space="preserve"> given </w:t>
      </w:r>
      <w:r w:rsidR="1C74785A" w:rsidRPr="00E663C3">
        <w:rPr>
          <w:iCs/>
        </w:rPr>
        <w:t>the</w:t>
      </w:r>
      <w:r w:rsidRPr="00E663C3">
        <w:rPr>
          <w:iCs/>
        </w:rPr>
        <w:t xml:space="preserve"> frequency of injections</w:t>
      </w:r>
      <w:r w:rsidR="1C74785A" w:rsidRPr="00E663C3">
        <w:rPr>
          <w:iCs/>
        </w:rPr>
        <w:t xml:space="preserve"> for secukinumab (monthly)</w:t>
      </w:r>
      <w:r w:rsidRPr="00E663C3">
        <w:rPr>
          <w:iCs/>
        </w:rPr>
        <w:t xml:space="preserve"> is still less often compared to etanercept (weekly).</w:t>
      </w:r>
      <w:r w:rsidRPr="00E663C3">
        <w:rPr>
          <w:color w:val="000000" w:themeColor="text1"/>
        </w:rPr>
        <w:t xml:space="preserve"> </w:t>
      </w:r>
    </w:p>
    <w:p w:rsidR="00263C85" w:rsidRPr="00512590" w:rsidRDefault="00263C85" w:rsidP="00263C85">
      <w:pPr>
        <w:spacing w:after="120"/>
        <w:ind w:left="720"/>
        <w:rPr>
          <w:rFonts w:ascii="Calibri" w:eastAsia="Calibri" w:hAnsi="Calibri"/>
          <w:szCs w:val="22"/>
        </w:rPr>
      </w:pPr>
      <w:r w:rsidRPr="00C33D30">
        <w:rPr>
          <w:i/>
        </w:rPr>
        <w:t>For more detail on PBAC’s view, see section 7 PBAC outcome.</w:t>
      </w:r>
    </w:p>
    <w:p w:rsidR="00FD6C94" w:rsidRPr="0090150D" w:rsidRDefault="00FD6C94" w:rsidP="00B56103">
      <w:pPr>
        <w:pStyle w:val="2-SectionHeading"/>
      </w:pPr>
      <w:bookmarkStart w:id="36" w:name="_Hlk76381249"/>
      <w:bookmarkStart w:id="37" w:name="_Hlk76377955"/>
      <w:r w:rsidRPr="0090150D">
        <w:t>PBAC Outcome</w:t>
      </w:r>
    </w:p>
    <w:p w:rsidR="00FD6C94" w:rsidRPr="00CE42B4" w:rsidRDefault="002D3854" w:rsidP="005A0E10">
      <w:pPr>
        <w:widowControl w:val="0"/>
        <w:numPr>
          <w:ilvl w:val="1"/>
          <w:numId w:val="1"/>
        </w:numPr>
        <w:spacing w:after="120"/>
        <w:jc w:val="both"/>
        <w:rPr>
          <w:rFonts w:cs="Arial"/>
          <w:snapToGrid w:val="0"/>
          <w:lang w:val="en-GB"/>
        </w:rPr>
      </w:pPr>
      <w:r w:rsidRPr="00CE42B4">
        <w:rPr>
          <w:rFonts w:cs="Arial"/>
          <w:snapToGrid w:val="0"/>
          <w:lang w:val="en-GB"/>
        </w:rPr>
        <w:t xml:space="preserve">The PBAC recommended the listing of </w:t>
      </w:r>
      <w:r>
        <w:rPr>
          <w:rFonts w:cs="Arial"/>
          <w:snapToGrid w:val="0"/>
          <w:lang w:val="en-GB"/>
        </w:rPr>
        <w:t xml:space="preserve">secukinumab on the General Schedule for the </w:t>
      </w:r>
      <w:r w:rsidRPr="00E401F0">
        <w:rPr>
          <w:bCs/>
        </w:rPr>
        <w:t xml:space="preserve">treatment of </w:t>
      </w:r>
      <w:r w:rsidRPr="00DC0807">
        <w:t>paediatric patients with severe chronic plaque psoriasis (CPP)</w:t>
      </w:r>
      <w:r>
        <w:rPr>
          <w:rFonts w:cs="Arial"/>
          <w:snapToGrid w:val="0"/>
          <w:lang w:val="en-GB"/>
        </w:rPr>
        <w:t xml:space="preserve">. The PBAC’s recommendation was based on, among other matters, its assessment that secukinumab </w:t>
      </w:r>
      <w:r w:rsidRPr="00E401F0">
        <w:rPr>
          <w:bCs/>
        </w:rPr>
        <w:t>would be cost-effective at a price no greater than the price fo</w:t>
      </w:r>
      <w:r>
        <w:rPr>
          <w:bCs/>
        </w:rPr>
        <w:t>r ustekinumab in the same indication for the paediatric population</w:t>
      </w:r>
      <w:r w:rsidRPr="00CE42B4">
        <w:rPr>
          <w:rFonts w:cs="Arial"/>
          <w:snapToGrid w:val="0"/>
          <w:lang w:val="en-GB"/>
        </w:rPr>
        <w:t>.</w:t>
      </w:r>
    </w:p>
    <w:p w:rsidR="00FD6C94" w:rsidRPr="004E0886" w:rsidRDefault="00C10507" w:rsidP="004E0886">
      <w:pPr>
        <w:widowControl w:val="0"/>
        <w:numPr>
          <w:ilvl w:val="1"/>
          <w:numId w:val="1"/>
        </w:numPr>
        <w:spacing w:after="120"/>
        <w:jc w:val="both"/>
        <w:rPr>
          <w:rFonts w:cs="Arial"/>
          <w:snapToGrid w:val="0"/>
          <w:lang w:val="en-GB"/>
        </w:rPr>
      </w:pPr>
      <w:r w:rsidRPr="00841223">
        <w:rPr>
          <w:bCs/>
        </w:rPr>
        <w:t xml:space="preserve">The PBAC considered that the equi-effective doses are </w:t>
      </w:r>
      <w:r>
        <w:rPr>
          <w:bCs/>
        </w:rPr>
        <w:t xml:space="preserve">secukinumab </w:t>
      </w:r>
      <w:r w:rsidRPr="0000305F">
        <w:t>(75 mg, 150 mg, or 300 mg) weight-based dosing at Week 0, 1, 2, 3 and 4, and then every 4 weeks, and</w:t>
      </w:r>
      <w:r>
        <w:t xml:space="preserve"> </w:t>
      </w:r>
      <w:r w:rsidR="00136823">
        <w:t>u</w:t>
      </w:r>
      <w:r w:rsidR="00136823" w:rsidRPr="0000305F">
        <w:t xml:space="preserve">stekinumab </w:t>
      </w:r>
      <w:r w:rsidRPr="0000305F">
        <w:t>(45 mg</w:t>
      </w:r>
      <w:r w:rsidR="00760FDD">
        <w:t xml:space="preserve"> or 90 mg</w:t>
      </w:r>
      <w:r w:rsidRPr="0000305F">
        <w:t>) weight-based dosing at Week 0 and 4, and then every 12 weeks.</w:t>
      </w:r>
      <w:r w:rsidR="00136823">
        <w:t xml:space="preserve"> The cost-minimisation</w:t>
      </w:r>
      <w:r w:rsidR="00F82240">
        <w:t xml:space="preserve"> calculation</w:t>
      </w:r>
      <w:r w:rsidR="00136823">
        <w:t xml:space="preserve"> should be performed over two years. </w:t>
      </w:r>
    </w:p>
    <w:p w:rsidR="00FD6C94" w:rsidRPr="00CE42B4" w:rsidRDefault="00AF150F" w:rsidP="005A0E10">
      <w:pPr>
        <w:widowControl w:val="0"/>
        <w:numPr>
          <w:ilvl w:val="1"/>
          <w:numId w:val="1"/>
        </w:numPr>
        <w:spacing w:after="120"/>
        <w:jc w:val="both"/>
        <w:rPr>
          <w:rFonts w:cs="Arial"/>
          <w:snapToGrid w:val="0"/>
          <w:lang w:val="en-GB"/>
        </w:rPr>
      </w:pPr>
      <w:r>
        <w:rPr>
          <w:rFonts w:cs="Arial"/>
          <w:snapToGrid w:val="0"/>
          <w:lang w:val="en-GB"/>
        </w:rPr>
        <w:t>The PBAC noted that ustekinumab was listed on the PBS</w:t>
      </w:r>
      <w:r w:rsidR="00136823">
        <w:rPr>
          <w:rFonts w:cs="Arial"/>
          <w:snapToGrid w:val="0"/>
          <w:lang w:val="en-GB"/>
        </w:rPr>
        <w:t xml:space="preserve"> for severe CPP in paediatric patients</w:t>
      </w:r>
      <w:r>
        <w:rPr>
          <w:rFonts w:cs="Arial"/>
          <w:snapToGrid w:val="0"/>
          <w:lang w:val="en-GB"/>
        </w:rPr>
        <w:t xml:space="preserve"> on 1 October</w:t>
      </w:r>
      <w:r w:rsidR="00150C7E">
        <w:rPr>
          <w:rFonts w:cs="Arial"/>
          <w:snapToGrid w:val="0"/>
          <w:lang w:val="en-GB"/>
        </w:rPr>
        <w:t xml:space="preserve"> 2021</w:t>
      </w:r>
      <w:r>
        <w:rPr>
          <w:rFonts w:cs="Arial"/>
          <w:snapToGrid w:val="0"/>
          <w:lang w:val="en-GB"/>
        </w:rPr>
        <w:t>. The PBAC commented that when etanercept was the only medicine available on the PBS for this population, the Australasian College of Dermatologists indicated there was substantial unmet need for an alternative class of medication. The PBAC noted the positive consumer comments received from healthcare professionals that supported the use of secukinumab in paediatric patients.</w:t>
      </w:r>
    </w:p>
    <w:p w:rsidR="004B42F9" w:rsidRDefault="004B42F9" w:rsidP="005A0E10">
      <w:pPr>
        <w:widowControl w:val="0"/>
        <w:numPr>
          <w:ilvl w:val="1"/>
          <w:numId w:val="1"/>
        </w:numPr>
        <w:spacing w:after="120"/>
        <w:jc w:val="both"/>
        <w:rPr>
          <w:rFonts w:cs="Arial"/>
          <w:snapToGrid w:val="0"/>
          <w:lang w:val="en-GB"/>
        </w:rPr>
      </w:pPr>
      <w:r>
        <w:rPr>
          <w:rFonts w:cs="Arial"/>
          <w:snapToGrid w:val="0"/>
          <w:lang w:val="en-GB"/>
        </w:rPr>
        <w:t xml:space="preserve">The PBAC noted that the restrictions for secukinumab (and those for ustekinumab and etanercept) were complex, and as written Authority Required listings, will need to </w:t>
      </w:r>
      <w:r w:rsidR="00150C7E">
        <w:rPr>
          <w:rFonts w:cs="Arial"/>
          <w:snapToGrid w:val="0"/>
          <w:lang w:val="en-GB"/>
        </w:rPr>
        <w:t xml:space="preserve">be </w:t>
      </w:r>
      <w:r>
        <w:rPr>
          <w:rFonts w:cs="Arial"/>
          <w:snapToGrid w:val="0"/>
          <w:lang w:val="en-GB"/>
        </w:rPr>
        <w:t>finalised in consultation with Services Australia and the Sponsor. Noting that there may be revisions required to the proposed secukinumab restrictions, with flow on changes to the ustekinumab and etanercept listings where appropriate, the PBAC considered that:</w:t>
      </w:r>
    </w:p>
    <w:p w:rsidR="00767138" w:rsidRDefault="00767138" w:rsidP="005A0E10">
      <w:pPr>
        <w:pStyle w:val="ListParagraph"/>
        <w:widowControl w:val="0"/>
        <w:numPr>
          <w:ilvl w:val="0"/>
          <w:numId w:val="21"/>
        </w:numPr>
        <w:rPr>
          <w:bCs/>
        </w:rPr>
      </w:pPr>
      <w:r w:rsidRPr="00DC0807">
        <w:rPr>
          <w:bCs/>
        </w:rPr>
        <w:t xml:space="preserve">The restriction for </w:t>
      </w:r>
      <w:r>
        <w:rPr>
          <w:bCs/>
        </w:rPr>
        <w:t>s</w:t>
      </w:r>
      <w:r w:rsidR="008B6A14">
        <w:rPr>
          <w:bCs/>
        </w:rPr>
        <w:t>ecukinumab</w:t>
      </w:r>
      <w:r w:rsidRPr="00DC0807">
        <w:rPr>
          <w:bCs/>
        </w:rPr>
        <w:t xml:space="preserve"> should align to the </w:t>
      </w:r>
      <w:r>
        <w:rPr>
          <w:bCs/>
        </w:rPr>
        <w:t xml:space="preserve">general </w:t>
      </w:r>
      <w:r w:rsidRPr="00DC0807">
        <w:rPr>
          <w:bCs/>
        </w:rPr>
        <w:t xml:space="preserve">concepts of initiation, continuation, and balance of supply. </w:t>
      </w:r>
      <w:r>
        <w:rPr>
          <w:bCs/>
        </w:rPr>
        <w:t>A g</w:t>
      </w:r>
      <w:r w:rsidRPr="00DC0807">
        <w:rPr>
          <w:bCs/>
        </w:rPr>
        <w:t>randfather</w:t>
      </w:r>
      <w:r>
        <w:rPr>
          <w:bCs/>
        </w:rPr>
        <w:t>ing restriction s</w:t>
      </w:r>
      <w:r w:rsidRPr="00DC0807">
        <w:rPr>
          <w:bCs/>
        </w:rPr>
        <w:t xml:space="preserve">hould be </w:t>
      </w:r>
      <w:r w:rsidR="00BC1991">
        <w:rPr>
          <w:bCs/>
        </w:rPr>
        <w:t>in operation for 12 months after listing</w:t>
      </w:r>
      <w:r w:rsidRPr="00DC0807">
        <w:rPr>
          <w:bCs/>
        </w:rPr>
        <w:t>.</w:t>
      </w:r>
    </w:p>
    <w:p w:rsidR="00767138" w:rsidRDefault="0017555A" w:rsidP="005A0E10">
      <w:pPr>
        <w:pStyle w:val="ListParagraph"/>
        <w:widowControl w:val="0"/>
        <w:numPr>
          <w:ilvl w:val="0"/>
          <w:numId w:val="21"/>
        </w:numPr>
        <w:rPr>
          <w:bCs/>
        </w:rPr>
      </w:pPr>
      <w:r w:rsidRPr="00DC0807">
        <w:rPr>
          <w:bCs/>
        </w:rPr>
        <w:t xml:space="preserve">Patients </w:t>
      </w:r>
      <w:r>
        <w:rPr>
          <w:bCs/>
        </w:rPr>
        <w:t>can swap between secukinumab, ustekinumab and etanercept without having to experience a disease flare within a treatment cycle</w:t>
      </w:r>
      <w:r w:rsidRPr="00DC0807">
        <w:rPr>
          <w:bCs/>
        </w:rPr>
        <w:t xml:space="preserve">. Patients should be allowed to trial and fail </w:t>
      </w:r>
      <w:r>
        <w:rPr>
          <w:bCs/>
        </w:rPr>
        <w:t xml:space="preserve">therapy </w:t>
      </w:r>
      <w:r w:rsidRPr="00DC0807">
        <w:rPr>
          <w:bCs/>
        </w:rPr>
        <w:t xml:space="preserve">no more than 3 times </w:t>
      </w:r>
      <w:r>
        <w:rPr>
          <w:bCs/>
        </w:rPr>
        <w:t>within a treatment cycle</w:t>
      </w:r>
      <w:r w:rsidR="00AF4B66">
        <w:rPr>
          <w:bCs/>
        </w:rPr>
        <w:t xml:space="preserve"> (once with each agent)</w:t>
      </w:r>
      <w:r>
        <w:rPr>
          <w:bCs/>
        </w:rPr>
        <w:t>, before</w:t>
      </w:r>
      <w:r w:rsidRPr="00DC0807">
        <w:rPr>
          <w:bCs/>
        </w:rPr>
        <w:t xml:space="preserve"> taking</w:t>
      </w:r>
      <w:r w:rsidR="00AF4B66">
        <w:rPr>
          <w:bCs/>
        </w:rPr>
        <w:t xml:space="preserve"> a treatment break of at least </w:t>
      </w:r>
      <w:r w:rsidRPr="00DC0807">
        <w:rPr>
          <w:bCs/>
        </w:rPr>
        <w:t>5 years</w:t>
      </w:r>
      <w:r w:rsidR="00967BA7">
        <w:rPr>
          <w:bCs/>
        </w:rPr>
        <w:t>.</w:t>
      </w:r>
    </w:p>
    <w:p w:rsidR="00FD6C94" w:rsidRPr="00025175" w:rsidRDefault="005D747E" w:rsidP="005A0E10">
      <w:pPr>
        <w:pStyle w:val="ListParagraph"/>
        <w:widowControl w:val="0"/>
        <w:numPr>
          <w:ilvl w:val="0"/>
          <w:numId w:val="21"/>
        </w:numPr>
        <w:rPr>
          <w:bCs/>
        </w:rPr>
      </w:pPr>
      <w:r w:rsidRPr="002B4814">
        <w:rPr>
          <w:bCs/>
        </w:rPr>
        <w:t>Definitions and instructions for determining response (and inadequate response to prior therapies) should align with the existing paediatric listings for etanercept and</w:t>
      </w:r>
      <w:r w:rsidR="00AC1449">
        <w:rPr>
          <w:bCs/>
        </w:rPr>
        <w:t xml:space="preserve"> ustekinumab for CPP. A</w:t>
      </w:r>
      <w:r w:rsidRPr="002B4814">
        <w:rPr>
          <w:bCs/>
        </w:rPr>
        <w:t>ssessment of response to access continuing</w:t>
      </w:r>
      <w:r w:rsidR="00AC1449">
        <w:rPr>
          <w:bCs/>
        </w:rPr>
        <w:t xml:space="preserve"> secukinumab</w:t>
      </w:r>
      <w:r w:rsidRPr="002B4814">
        <w:rPr>
          <w:bCs/>
        </w:rPr>
        <w:t xml:space="preserve"> therapy should take place</w:t>
      </w:r>
      <w:r w:rsidR="007D13E2" w:rsidRPr="002B4814">
        <w:rPr>
          <w:bCs/>
        </w:rPr>
        <w:t xml:space="preserve"> after 12 weeks</w:t>
      </w:r>
      <w:r w:rsidRPr="002B4814">
        <w:rPr>
          <w:bCs/>
        </w:rPr>
        <w:t xml:space="preserve"> </w:t>
      </w:r>
      <w:r w:rsidR="007D13E2" w:rsidRPr="002B4814">
        <w:rPr>
          <w:bCs/>
        </w:rPr>
        <w:t xml:space="preserve">of therapy </w:t>
      </w:r>
      <w:r w:rsidR="00F94E46">
        <w:rPr>
          <w:bCs/>
        </w:rPr>
        <w:t>(</w:t>
      </w:r>
      <w:r w:rsidR="007D13E2" w:rsidRPr="002B4814">
        <w:rPr>
          <w:bCs/>
        </w:rPr>
        <w:t xml:space="preserve">assessment of response occurs after </w:t>
      </w:r>
      <w:r w:rsidR="002B4814" w:rsidRPr="002B4814">
        <w:rPr>
          <w:bCs/>
        </w:rPr>
        <w:t>24</w:t>
      </w:r>
      <w:r w:rsidR="000D11C4">
        <w:rPr>
          <w:bCs/>
        </w:rPr>
        <w:t xml:space="preserve"> weeks for ustekinumab and</w:t>
      </w:r>
      <w:r w:rsidR="002B4814" w:rsidRPr="002B4814">
        <w:rPr>
          <w:bCs/>
        </w:rPr>
        <w:t xml:space="preserve"> after 12 weeks for etanercept</w:t>
      </w:r>
      <w:r w:rsidR="00F94E46">
        <w:rPr>
          <w:bCs/>
        </w:rPr>
        <w:t>)</w:t>
      </w:r>
      <w:r w:rsidR="002B4814" w:rsidRPr="002B4814">
        <w:rPr>
          <w:bCs/>
        </w:rPr>
        <w:t>.</w:t>
      </w:r>
    </w:p>
    <w:p w:rsidR="00FD6C94" w:rsidRPr="00CE42B4" w:rsidRDefault="004E0886" w:rsidP="005A0E10">
      <w:pPr>
        <w:widowControl w:val="0"/>
        <w:numPr>
          <w:ilvl w:val="1"/>
          <w:numId w:val="1"/>
        </w:numPr>
        <w:spacing w:after="120"/>
        <w:jc w:val="both"/>
        <w:rPr>
          <w:rFonts w:cs="Arial"/>
          <w:snapToGrid w:val="0"/>
          <w:lang w:val="en-GB"/>
        </w:rPr>
      </w:pPr>
      <w:r>
        <w:rPr>
          <w:rFonts w:cs="Arial"/>
          <w:snapToGrid w:val="0"/>
          <w:lang w:val="en-GB"/>
        </w:rPr>
        <w:t>The PBAC agreed with the submission that</w:t>
      </w:r>
      <w:r w:rsidR="00495423">
        <w:rPr>
          <w:rFonts w:cs="Arial"/>
          <w:snapToGrid w:val="0"/>
          <w:lang w:val="en-GB"/>
        </w:rPr>
        <w:t xml:space="preserve"> the clinical place for secukinumab is as an alternative to etanercept (and ustekinumab), and that the choice and order of these therapies will likely depend on clinician discretion and patient preference.</w:t>
      </w:r>
    </w:p>
    <w:p w:rsidR="00FD6C94" w:rsidRPr="00651CC3" w:rsidRDefault="00495423" w:rsidP="00651CC3">
      <w:pPr>
        <w:widowControl w:val="0"/>
        <w:numPr>
          <w:ilvl w:val="1"/>
          <w:numId w:val="1"/>
        </w:numPr>
        <w:spacing w:after="120"/>
        <w:jc w:val="both"/>
        <w:rPr>
          <w:rFonts w:cs="Arial"/>
          <w:snapToGrid w:val="0"/>
          <w:lang w:val="en-GB"/>
        </w:rPr>
      </w:pPr>
      <w:r w:rsidRPr="0047057B">
        <w:rPr>
          <w:rFonts w:cs="Calibri"/>
          <w:lang w:eastAsia="en-AU"/>
        </w:rPr>
        <w:t xml:space="preserve">The PBAC considered that the nominated main comparator of etanercept was appropriate, as it was the only biologic currently PBS listed for severe CPP in paediatric patients </w:t>
      </w:r>
      <w:r w:rsidR="003F7791" w:rsidRPr="0047057B">
        <w:rPr>
          <w:rFonts w:cs="Calibri"/>
          <w:lang w:eastAsia="en-AU"/>
        </w:rPr>
        <w:t>at the time the</w:t>
      </w:r>
      <w:r w:rsidR="00A21F2B">
        <w:rPr>
          <w:rFonts w:cs="Calibri"/>
          <w:lang w:eastAsia="en-AU"/>
        </w:rPr>
        <w:t xml:space="preserve"> submission</w:t>
      </w:r>
      <w:r w:rsidR="003F7791" w:rsidRPr="0047057B">
        <w:rPr>
          <w:rFonts w:cs="Calibri"/>
          <w:lang w:eastAsia="en-AU"/>
        </w:rPr>
        <w:t xml:space="preserve"> was</w:t>
      </w:r>
      <w:r w:rsidR="00A21F2B">
        <w:rPr>
          <w:rFonts w:cs="Calibri"/>
          <w:lang w:eastAsia="en-AU"/>
        </w:rPr>
        <w:t xml:space="preserve"> lodged</w:t>
      </w:r>
      <w:r w:rsidRPr="0047057B">
        <w:rPr>
          <w:rFonts w:cs="Calibri"/>
          <w:lang w:eastAsia="en-AU"/>
        </w:rPr>
        <w:t>.</w:t>
      </w:r>
      <w:r w:rsidR="003F7791" w:rsidRPr="0047057B">
        <w:rPr>
          <w:rFonts w:cs="Calibri"/>
          <w:lang w:eastAsia="en-AU"/>
        </w:rPr>
        <w:t xml:space="preserve"> On the 1 October 2021, the near-market comparator, ustekinumab, was PBS listed for the same indication and population, and the PBAC indicated that</w:t>
      </w:r>
      <w:r w:rsidR="0033308B" w:rsidRPr="0047057B">
        <w:rPr>
          <w:rFonts w:cs="Calibri"/>
          <w:lang w:eastAsia="en-AU"/>
        </w:rPr>
        <w:t xml:space="preserve">, as </w:t>
      </w:r>
      <w:r w:rsidR="00651CC3" w:rsidRPr="0047057B">
        <w:rPr>
          <w:rFonts w:cs="Calibri"/>
          <w:lang w:eastAsia="en-AU"/>
        </w:rPr>
        <w:t xml:space="preserve">a biological </w:t>
      </w:r>
      <w:r w:rsidR="0033308B" w:rsidRPr="0047057B">
        <w:rPr>
          <w:rFonts w:cs="Calibri"/>
          <w:lang w:eastAsia="en-AU"/>
        </w:rPr>
        <w:t>agent most likely to be replaced by secukinumab, ustekinumab could be considered the main comparator at the time of its consideration.</w:t>
      </w:r>
    </w:p>
    <w:p w:rsidR="00FD6C94" w:rsidRPr="006A4359" w:rsidRDefault="001A3B07" w:rsidP="002755FE">
      <w:pPr>
        <w:widowControl w:val="0"/>
        <w:numPr>
          <w:ilvl w:val="1"/>
          <w:numId w:val="1"/>
        </w:numPr>
        <w:spacing w:after="120"/>
        <w:jc w:val="both"/>
        <w:rPr>
          <w:rFonts w:cs="Arial"/>
          <w:snapToGrid w:val="0"/>
          <w:lang w:val="en-GB"/>
        </w:rPr>
      </w:pPr>
      <w:r>
        <w:rPr>
          <w:rFonts w:cs="Arial"/>
          <w:snapToGrid w:val="0"/>
          <w:lang w:val="en-GB"/>
        </w:rPr>
        <w:t>The PBAC noted several issues with the reliability of the trial evidence presented in the submission.</w:t>
      </w:r>
      <w:r w:rsidR="006C24F9">
        <w:rPr>
          <w:rFonts w:cs="Arial"/>
          <w:snapToGrid w:val="0"/>
          <w:lang w:val="en-GB"/>
        </w:rPr>
        <w:t xml:space="preserve"> Study 2310 had an overdosing error in 45% of secukinumab patients, and a moderate risk of bias due to the unblinding of participants to etanercept treatment.</w:t>
      </w:r>
      <w:r w:rsidR="002755FE">
        <w:rPr>
          <w:rFonts w:cs="Arial"/>
          <w:snapToGrid w:val="0"/>
          <w:lang w:val="en-GB"/>
        </w:rPr>
        <w:t xml:space="preserve"> </w:t>
      </w:r>
      <w:r w:rsidRPr="002755FE">
        <w:rPr>
          <w:rFonts w:cs="Arial"/>
          <w:snapToGrid w:val="0"/>
          <w:lang w:val="en-GB"/>
        </w:rPr>
        <w:t xml:space="preserve">Consistent with its consideration of ustekinumab for paediatric severe CPP in March 2021, the PBAC noted the small sample size of the </w:t>
      </w:r>
      <w:r w:rsidRPr="00B25D18">
        <w:rPr>
          <w:rFonts w:cs="Arial"/>
          <w:snapToGrid w:val="0"/>
          <w:lang w:val="en-GB"/>
        </w:rPr>
        <w:t>CADMUS</w:t>
      </w:r>
      <w:r w:rsidR="00B25D18">
        <w:rPr>
          <w:rFonts w:cs="Arial"/>
          <w:snapToGrid w:val="0"/>
          <w:lang w:val="en-GB"/>
        </w:rPr>
        <w:t xml:space="preserve"> [and Study 2310]</w:t>
      </w:r>
      <w:r w:rsidRPr="002755FE">
        <w:rPr>
          <w:rFonts w:cs="Arial"/>
          <w:snapToGrid w:val="0"/>
          <w:lang w:val="en-GB"/>
        </w:rPr>
        <w:t xml:space="preserve"> arms</w:t>
      </w:r>
      <w:r w:rsidR="00B25D18">
        <w:rPr>
          <w:rFonts w:cs="Arial"/>
          <w:snapToGrid w:val="0"/>
          <w:lang w:val="en-GB"/>
        </w:rPr>
        <w:t>,</w:t>
      </w:r>
      <w:r w:rsidRPr="002755FE">
        <w:rPr>
          <w:rFonts w:cs="Arial"/>
          <w:snapToGrid w:val="0"/>
          <w:lang w:val="en-GB"/>
        </w:rPr>
        <w:t xml:space="preserve"> and applicability to the PBS population in terms o</w:t>
      </w:r>
      <w:r w:rsidR="0032141D" w:rsidRPr="002755FE">
        <w:rPr>
          <w:rFonts w:cs="Arial"/>
          <w:snapToGrid w:val="0"/>
          <w:lang w:val="en-GB"/>
        </w:rPr>
        <w:t xml:space="preserve">f disease severity and prior/concomitant treatments. However, the PBAC considered that in the context of the available evidence, the overall findings of </w:t>
      </w:r>
      <w:r w:rsidR="007D1CBE">
        <w:rPr>
          <w:rFonts w:cs="Arial"/>
          <w:snapToGrid w:val="0"/>
          <w:lang w:val="en-GB"/>
        </w:rPr>
        <w:t>both</w:t>
      </w:r>
      <w:r w:rsidR="0032141D" w:rsidRPr="002755FE">
        <w:rPr>
          <w:rFonts w:cs="Arial"/>
          <w:snapToGrid w:val="0"/>
          <w:lang w:val="en-GB"/>
        </w:rPr>
        <w:t xml:space="preserve"> trials were likely applicable </w:t>
      </w:r>
      <w:r w:rsidR="0032141D" w:rsidRPr="002755FE">
        <w:rPr>
          <w:bCs/>
        </w:rPr>
        <w:t>to the proposed PBS population (baseline PASI score &gt;15 and patients who received 2 of prior methotrexate, acitretin or phototherapy).</w:t>
      </w:r>
    </w:p>
    <w:p w:rsidR="006A4359" w:rsidRPr="00686629" w:rsidRDefault="006A4359" w:rsidP="002755FE">
      <w:pPr>
        <w:widowControl w:val="0"/>
        <w:numPr>
          <w:ilvl w:val="1"/>
          <w:numId w:val="1"/>
        </w:numPr>
        <w:spacing w:after="120"/>
        <w:jc w:val="both"/>
        <w:rPr>
          <w:rFonts w:cs="Arial"/>
          <w:snapToGrid w:val="0"/>
          <w:lang w:val="en-GB"/>
        </w:rPr>
      </w:pPr>
      <w:r>
        <w:rPr>
          <w:rFonts w:cs="Arial"/>
          <w:snapToGrid w:val="0"/>
          <w:lang w:val="en-GB"/>
        </w:rPr>
        <w:t xml:space="preserve">In terms of comparative benefits, the submission presented a direct treatment comparison against etanercept. </w:t>
      </w:r>
      <w:r w:rsidR="00686629" w:rsidRPr="00AA24A8">
        <w:rPr>
          <w:iCs/>
        </w:rPr>
        <w:t>The</w:t>
      </w:r>
      <w:r w:rsidR="00686629" w:rsidRPr="00AA24A8">
        <w:t xml:space="preserve"> PBAC </w:t>
      </w:r>
      <w:r w:rsidR="000B0B6A">
        <w:t xml:space="preserve">noted </w:t>
      </w:r>
      <w:r w:rsidR="00686629" w:rsidRPr="00AA24A8">
        <w:t xml:space="preserve">the </w:t>
      </w:r>
      <w:r w:rsidR="00686629" w:rsidRPr="006E15FC">
        <w:t xml:space="preserve">claim of </w:t>
      </w:r>
      <w:r w:rsidR="00686629">
        <w:t>superior</w:t>
      </w:r>
      <w:r w:rsidR="00686629" w:rsidRPr="006E15FC">
        <w:t xml:space="preserve"> comparative effectiveness of secukinumab compared to </w:t>
      </w:r>
      <w:r w:rsidR="00686629">
        <w:t>etanercept</w:t>
      </w:r>
      <w:r w:rsidR="00686629" w:rsidRPr="006E15FC">
        <w:t xml:space="preserve"> was uncertain </w:t>
      </w:r>
      <w:r w:rsidR="000B0B6A">
        <w:t xml:space="preserve">(as discussed in paragraph 6.32) </w:t>
      </w:r>
      <w:r w:rsidR="00686629" w:rsidRPr="006E15FC">
        <w:t xml:space="preserve">but </w:t>
      </w:r>
      <w:r w:rsidR="000B0B6A">
        <w:t xml:space="preserve">considered that, overall, it was </w:t>
      </w:r>
      <w:r w:rsidR="00686629" w:rsidRPr="006E15FC">
        <w:t>reasonable</w:t>
      </w:r>
      <w:r w:rsidR="00686629">
        <w:t xml:space="preserve">. </w:t>
      </w:r>
      <w:r w:rsidR="00686629">
        <w:rPr>
          <w:szCs w:val="20"/>
        </w:rPr>
        <w:t>The PBAC considered that, despite the availability of ustekinumab for this population, there remained a need for additional treatment options.</w:t>
      </w:r>
      <w:r>
        <w:rPr>
          <w:szCs w:val="20"/>
        </w:rPr>
        <w:t xml:space="preserve"> </w:t>
      </w:r>
      <w:r w:rsidR="008C14D3">
        <w:rPr>
          <w:rFonts w:eastAsia="Calibri"/>
        </w:rPr>
        <w:t>The PBAC accepted the clinical claim that secukinumab is</w:t>
      </w:r>
      <w:r w:rsidR="008C14D3" w:rsidRPr="00CF4A64">
        <w:rPr>
          <w:rFonts w:eastAsia="Calibri"/>
        </w:rPr>
        <w:t xml:space="preserve"> equivalent in terms of safety compared to etanercept.</w:t>
      </w:r>
      <w:r w:rsidR="008C14D3">
        <w:rPr>
          <w:rFonts w:eastAsia="Calibri"/>
        </w:rPr>
        <w:t xml:space="preserve"> </w:t>
      </w:r>
    </w:p>
    <w:p w:rsidR="006A4359" w:rsidRPr="00624C8E" w:rsidRDefault="006A4359" w:rsidP="002755FE">
      <w:pPr>
        <w:widowControl w:val="0"/>
        <w:numPr>
          <w:ilvl w:val="1"/>
          <w:numId w:val="1"/>
        </w:numPr>
        <w:spacing w:after="120"/>
        <w:jc w:val="both"/>
        <w:rPr>
          <w:rFonts w:cs="Arial"/>
          <w:snapToGrid w:val="0"/>
          <w:lang w:val="en-GB"/>
        </w:rPr>
      </w:pPr>
      <w:r>
        <w:rPr>
          <w:rFonts w:cs="Arial"/>
          <w:snapToGrid w:val="0"/>
          <w:lang w:val="en-GB"/>
        </w:rPr>
        <w:t>The submission also presented an indirect comparison against ustekinumab using placebo as the common reference.</w:t>
      </w:r>
      <w:r w:rsidR="00BF54D6">
        <w:rPr>
          <w:rFonts w:cs="Arial"/>
          <w:snapToGrid w:val="0"/>
          <w:lang w:val="en-GB"/>
        </w:rPr>
        <w:t xml:space="preserve"> While the PBAC acknowledged the uncertainties associated with the c</w:t>
      </w:r>
      <w:r w:rsidR="0065118A">
        <w:rPr>
          <w:rFonts w:cs="Arial"/>
          <w:snapToGrid w:val="0"/>
          <w:lang w:val="en-GB"/>
        </w:rPr>
        <w:t>linical claim of non-inferior effectiveness</w:t>
      </w:r>
      <w:r w:rsidR="00BF54D6">
        <w:rPr>
          <w:rFonts w:cs="Arial"/>
          <w:snapToGrid w:val="0"/>
          <w:lang w:val="en-GB"/>
        </w:rPr>
        <w:t xml:space="preserve"> (inadequate source, specification and application of a non-inferiority margin, small sample sizes, point estimate favouring ustekinumab), </w:t>
      </w:r>
      <w:r w:rsidR="006948B4">
        <w:rPr>
          <w:rFonts w:cs="Arial"/>
          <w:snapToGrid w:val="0"/>
          <w:lang w:val="en-GB"/>
        </w:rPr>
        <w:t>it considered it was reasonable in the context of several factors that may have favoured ustekinumab (concomitant topical corticosteroid use allowe</w:t>
      </w:r>
      <w:r w:rsidR="006B600B">
        <w:rPr>
          <w:rFonts w:cs="Arial"/>
          <w:snapToGrid w:val="0"/>
          <w:lang w:val="en-GB"/>
        </w:rPr>
        <w:t>d in CADMUS but not Study 2310</w:t>
      </w:r>
      <w:r w:rsidR="006948B4">
        <w:rPr>
          <w:rFonts w:cs="Arial"/>
          <w:snapToGrid w:val="0"/>
          <w:lang w:val="en-GB"/>
        </w:rPr>
        <w:t xml:space="preserve">, and moderate-to-severe patients in CADMUS compared to severe patients in Study 2310). </w:t>
      </w:r>
      <w:r w:rsidR="0065118A">
        <w:rPr>
          <w:rFonts w:cs="Arial"/>
          <w:snapToGrid w:val="0"/>
          <w:lang w:val="en-GB"/>
        </w:rPr>
        <w:t>The PBAC</w:t>
      </w:r>
      <w:r w:rsidR="000A7B6B">
        <w:rPr>
          <w:rFonts w:cs="Arial"/>
          <w:snapToGrid w:val="0"/>
          <w:lang w:val="en-GB"/>
        </w:rPr>
        <w:t xml:space="preserve"> also</w:t>
      </w:r>
      <w:r w:rsidR="0065118A">
        <w:rPr>
          <w:rFonts w:cs="Arial"/>
          <w:snapToGrid w:val="0"/>
          <w:lang w:val="en-GB"/>
        </w:rPr>
        <w:t xml:space="preserve"> acknowledged the uncertainties associated with the indirect safety claim of non-inferiority, but </w:t>
      </w:r>
      <w:r w:rsidR="0065118A" w:rsidRPr="00624C8E">
        <w:rPr>
          <w:rFonts w:cs="Arial"/>
          <w:snapToGrid w:val="0"/>
          <w:lang w:val="en-GB"/>
        </w:rPr>
        <w:t xml:space="preserve">overall considered the claim was reasonable. The PBAC recalled that </w:t>
      </w:r>
      <w:r w:rsidR="0065118A" w:rsidRPr="00624C8E">
        <w:t xml:space="preserve">it considered that secukinumab for adults with severe CPP is likely to be non-inferior to ustekinumab in terms of comparative efficacy and safety (paragraph 7.3, secukinumab </w:t>
      </w:r>
      <w:r w:rsidR="00F67EE2">
        <w:t>PSD</w:t>
      </w:r>
      <w:r w:rsidR="0065118A" w:rsidRPr="00624C8E">
        <w:t>, March 2015).</w:t>
      </w:r>
    </w:p>
    <w:p w:rsidR="00FD6C94" w:rsidRPr="006C24F9" w:rsidRDefault="00431D9D" w:rsidP="006C24F9">
      <w:pPr>
        <w:widowControl w:val="0"/>
        <w:numPr>
          <w:ilvl w:val="1"/>
          <w:numId w:val="1"/>
        </w:numPr>
        <w:spacing w:after="120"/>
        <w:jc w:val="both"/>
      </w:pPr>
      <w:r>
        <w:rPr>
          <w:rFonts w:cs="Arial"/>
          <w:snapToGrid w:val="0"/>
          <w:lang w:val="en-GB"/>
        </w:rPr>
        <w:t xml:space="preserve">The PBAC considered there is a risk of secukinumab use outside the restriction to less severe patients and noted that </w:t>
      </w:r>
      <w:r w:rsidRPr="00E663C3">
        <w:rPr>
          <w:iCs/>
        </w:rPr>
        <w:t>the frequency of injections for secukinumab (monthly) is less often compared to etanercept (weekly).</w:t>
      </w:r>
      <w:r>
        <w:rPr>
          <w:iCs/>
        </w:rPr>
        <w:t xml:space="preserve"> The PBAC </w:t>
      </w:r>
      <w:r w:rsidR="00A21F2B">
        <w:rPr>
          <w:iCs/>
        </w:rPr>
        <w:t>advised</w:t>
      </w:r>
      <w:r>
        <w:rPr>
          <w:iCs/>
        </w:rPr>
        <w:t xml:space="preserve"> that secukinumab </w:t>
      </w:r>
      <w:r w:rsidR="00207564">
        <w:rPr>
          <w:iCs/>
        </w:rPr>
        <w:t>should be subject to the same</w:t>
      </w:r>
      <w:r>
        <w:rPr>
          <w:iCs/>
        </w:rPr>
        <w:t xml:space="preserve"> Risk Sharing Arrangement in place for ustekinumab</w:t>
      </w:r>
      <w:r w:rsidR="00207564">
        <w:rPr>
          <w:iCs/>
        </w:rPr>
        <w:t xml:space="preserve"> in this population</w:t>
      </w:r>
      <w:r>
        <w:rPr>
          <w:iCs/>
        </w:rPr>
        <w:t>.</w:t>
      </w:r>
    </w:p>
    <w:p w:rsidR="00FD6C94" w:rsidRPr="006179EA" w:rsidRDefault="006179EA" w:rsidP="005A0E10">
      <w:pPr>
        <w:widowControl w:val="0"/>
        <w:numPr>
          <w:ilvl w:val="1"/>
          <w:numId w:val="1"/>
        </w:numPr>
        <w:spacing w:after="120"/>
        <w:jc w:val="both"/>
        <w:rPr>
          <w:rFonts w:cstheme="minorHAnsi"/>
        </w:rPr>
      </w:pPr>
      <w:r w:rsidRPr="006179EA">
        <w:rPr>
          <w:rFonts w:cstheme="minorHAnsi"/>
          <w:lang w:val="en-GB"/>
        </w:rPr>
        <w:t xml:space="preserve">The PBAC noted that its recommendation was on a cost-minimisation basis and advised that, because </w:t>
      </w:r>
      <w:r>
        <w:rPr>
          <w:rFonts w:cstheme="minorHAnsi"/>
          <w:lang w:val="en-GB"/>
        </w:rPr>
        <w:t>secukinumab</w:t>
      </w:r>
      <w:r w:rsidRPr="006179EA">
        <w:rPr>
          <w:rFonts w:cstheme="minorHAnsi"/>
          <w:lang w:val="en-GB"/>
        </w:rPr>
        <w:t xml:space="preserve"> is not expected to provide a substantial</w:t>
      </w:r>
      <w:r w:rsidRPr="006179EA">
        <w:rPr>
          <w:bCs/>
          <w:lang w:val="en-GB"/>
        </w:rPr>
        <w:t xml:space="preserve"> and clinically relevant improvement in efficacy, or reduction of toxicity, over ustekinumab, or not expected to address a high and urgent unmet clinical need given the presence of an alternative therapy, the criteria prescribed by the </w:t>
      </w:r>
      <w:r w:rsidRPr="006179EA">
        <w:rPr>
          <w:bCs/>
          <w:i/>
          <w:lang w:val="en-GB"/>
        </w:rPr>
        <w:t>National Health (Pharmaceuticals and Vaccines – Cost Recovery) Regulations 2009</w:t>
      </w:r>
      <w:r w:rsidRPr="006179EA">
        <w:rPr>
          <w:bCs/>
          <w:lang w:val="en-GB"/>
        </w:rPr>
        <w:t xml:space="preserve"> for Pricing Pathway A were not met.</w:t>
      </w:r>
    </w:p>
    <w:p w:rsidR="00FD6C94" w:rsidRPr="00A3074D" w:rsidRDefault="006179EA" w:rsidP="005A0E10">
      <w:pPr>
        <w:widowControl w:val="0"/>
        <w:numPr>
          <w:ilvl w:val="1"/>
          <w:numId w:val="1"/>
        </w:numPr>
        <w:spacing w:after="120"/>
        <w:jc w:val="both"/>
        <w:rPr>
          <w:rFonts w:cs="Arial"/>
          <w:bCs/>
          <w:i/>
          <w:snapToGrid w:val="0"/>
          <w:lang w:val="en-GB"/>
        </w:rPr>
      </w:pPr>
      <w:r w:rsidRPr="00525B39">
        <w:rPr>
          <w:rFonts w:cs="Arial"/>
          <w:bCs/>
          <w:snapToGrid w:val="0"/>
          <w:lang w:val="en-GB"/>
        </w:rPr>
        <w:t>The PBA</w:t>
      </w:r>
      <w:r>
        <w:rPr>
          <w:rFonts w:cs="Arial"/>
          <w:bCs/>
          <w:snapToGrid w:val="0"/>
          <w:lang w:val="en-GB"/>
        </w:rPr>
        <w:t xml:space="preserve">C noted that this submission </w:t>
      </w:r>
      <w:r w:rsidRPr="00525B39">
        <w:rPr>
          <w:rFonts w:cs="Arial"/>
          <w:bCs/>
          <w:snapToGrid w:val="0"/>
          <w:lang w:val="en-GB"/>
        </w:rPr>
        <w:t>is not eligible for an Independent Review</w:t>
      </w:r>
      <w:r>
        <w:rPr>
          <w:rFonts w:cs="Arial"/>
          <w:bCs/>
          <w:snapToGrid w:val="0"/>
          <w:lang w:val="en-GB"/>
        </w:rPr>
        <w:t xml:space="preserve"> as it received a positive recommendation</w:t>
      </w:r>
      <w:r w:rsidRPr="00525B39">
        <w:rPr>
          <w:rFonts w:cs="Arial"/>
          <w:bCs/>
          <w:snapToGrid w:val="0"/>
          <w:lang w:val="en-GB"/>
        </w:rPr>
        <w:t>.</w:t>
      </w:r>
    </w:p>
    <w:p w:rsidR="00FD6C94" w:rsidRPr="00525B39" w:rsidRDefault="00FD6C94" w:rsidP="00FD6C94">
      <w:pPr>
        <w:spacing w:before="240"/>
        <w:jc w:val="both"/>
        <w:rPr>
          <w:rFonts w:cs="Arial"/>
          <w:b/>
          <w:bCs/>
          <w:snapToGrid w:val="0"/>
          <w:lang w:val="en-GB"/>
        </w:rPr>
      </w:pPr>
      <w:r w:rsidRPr="00525B39">
        <w:rPr>
          <w:rFonts w:cs="Arial"/>
          <w:b/>
          <w:bCs/>
          <w:snapToGrid w:val="0"/>
          <w:lang w:val="en-GB"/>
        </w:rPr>
        <w:t>Outcome:</w:t>
      </w:r>
    </w:p>
    <w:p w:rsidR="00FD6C94" w:rsidRPr="00525B39" w:rsidRDefault="00BD16F3" w:rsidP="00FD6C94">
      <w:pPr>
        <w:jc w:val="both"/>
        <w:rPr>
          <w:rFonts w:cs="Arial"/>
          <w:bCs/>
          <w:snapToGrid w:val="0"/>
          <w:lang w:val="en-GB"/>
        </w:rPr>
      </w:pPr>
      <w:r>
        <w:rPr>
          <w:rFonts w:cs="Arial"/>
          <w:bCs/>
          <w:snapToGrid w:val="0"/>
          <w:lang w:val="en-GB"/>
        </w:rPr>
        <w:t>Recommended</w:t>
      </w:r>
    </w:p>
    <w:bookmarkEnd w:id="36"/>
    <w:p w:rsidR="00FD6C94" w:rsidRPr="00B56103" w:rsidRDefault="00FD6C94" w:rsidP="00B56103">
      <w:pPr>
        <w:pStyle w:val="2-SectionHeading"/>
      </w:pPr>
      <w:r w:rsidRPr="00B56103">
        <w:t>Recommended listing</w:t>
      </w:r>
    </w:p>
    <w:p w:rsidR="00B151C1" w:rsidRDefault="00F137C1" w:rsidP="00F137C1">
      <w:pPr>
        <w:ind w:left="720"/>
      </w:pPr>
      <w:r>
        <w:t>Restriction to be finalised</w:t>
      </w:r>
      <w:r w:rsidR="00F82240">
        <w:t>.</w:t>
      </w:r>
    </w:p>
    <w:p w:rsidR="00FD6C94" w:rsidRPr="00574FA7" w:rsidRDefault="00FD6C94" w:rsidP="00FD6C94">
      <w:pPr>
        <w:jc w:val="both"/>
        <w:rPr>
          <w:rFonts w:cs="Arial"/>
          <w:bCs/>
          <w:snapToGrid w:val="0"/>
          <w:lang w:val="en-GB"/>
        </w:rPr>
      </w:pPr>
    </w:p>
    <w:bookmarkEnd w:id="37"/>
    <w:p w:rsidR="00F17A99" w:rsidRPr="00B56103" w:rsidRDefault="00F17A99" w:rsidP="00B56103">
      <w:pPr>
        <w:pStyle w:val="2-SectionHeading"/>
      </w:pPr>
      <w:r w:rsidRPr="00B56103">
        <w:t>Context for Decision</w:t>
      </w:r>
    </w:p>
    <w:p w:rsidR="00F17A99" w:rsidRPr="007129F2" w:rsidRDefault="00F17A99" w:rsidP="00F17A99">
      <w:pPr>
        <w:spacing w:after="120"/>
        <w:ind w:left="720"/>
        <w:jc w:val="both"/>
        <w:rPr>
          <w:rFonts w:cs="Arial"/>
          <w:bCs/>
          <w:lang w:val="en-GB"/>
        </w:rPr>
      </w:pPr>
      <w:r w:rsidRPr="007129F2">
        <w:rPr>
          <w:rFonts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F17A99" w:rsidRPr="00F17A99" w:rsidRDefault="00F17A99" w:rsidP="00B56103">
      <w:pPr>
        <w:pStyle w:val="2-SectionHeading"/>
        <w:rPr>
          <w:bCs/>
          <w:lang w:val="en-GB"/>
        </w:rPr>
      </w:pPr>
      <w:r w:rsidRPr="00F17A99">
        <w:rPr>
          <w:bCs/>
          <w:lang w:val="en-GB"/>
        </w:rPr>
        <w:t>Sponsor’s Comment</w:t>
      </w:r>
    </w:p>
    <w:p w:rsidR="00BB36A1" w:rsidRPr="00757706" w:rsidRDefault="00F17A99" w:rsidP="00DA3FBA">
      <w:pPr>
        <w:spacing w:after="160"/>
        <w:ind w:left="720"/>
      </w:pPr>
      <w:r w:rsidRPr="00C07617">
        <w:rPr>
          <w:rFonts w:cs="Arial"/>
          <w:bCs/>
        </w:rPr>
        <w:t>The sponsor had no comment.</w:t>
      </w:r>
      <w:bookmarkEnd w:id="0"/>
      <w:bookmarkEnd w:id="1"/>
      <w:bookmarkEnd w:id="2"/>
    </w:p>
    <w:sectPr w:rsidR="00BB36A1" w:rsidRPr="00757706" w:rsidSect="00251006">
      <w:headerReference w:type="even" r:id="rId8"/>
      <w:headerReference w:type="default" r:id="rId9"/>
      <w:footerReference w:type="even" r:id="rId10"/>
      <w:footerReference w:type="default" r:id="rId11"/>
      <w:headerReference w:type="first" r:id="rId12"/>
      <w:footerReference w:type="first" r:id="rId13"/>
      <w:footnotePr>
        <w:numFmt w:val="lowerLetter"/>
        <w:numRestart w:val="eachPage"/>
      </w:footnotePr>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5D8" w:rsidRDefault="00C615D8" w:rsidP="00124A51">
      <w:r>
        <w:separator/>
      </w:r>
    </w:p>
    <w:p w:rsidR="00C615D8" w:rsidRDefault="00C615D8"/>
  </w:endnote>
  <w:endnote w:type="continuationSeparator" w:id="0">
    <w:p w:rsidR="00C615D8" w:rsidRDefault="00C615D8" w:rsidP="00124A51">
      <w:r>
        <w:continuationSeparator/>
      </w:r>
    </w:p>
    <w:p w:rsidR="00C615D8" w:rsidRDefault="00C615D8"/>
  </w:endnote>
  <w:endnote w:type="continuationNotice" w:id="1">
    <w:p w:rsidR="00C615D8" w:rsidRDefault="00C61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Constantia"/>
    <w:charset w:val="00"/>
    <w:family w:val="roman"/>
    <w:pitch w:val="variable"/>
    <w:sig w:usb0="00000287" w:usb1="00000000" w:usb2="00000000" w:usb3="00000000" w:csb0="0000009F" w:csb1="00000000"/>
  </w:font>
  <w:font w:name="News Gothic MT">
    <w:altName w:val="MS Gothic"/>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D8" w:rsidRDefault="00C61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D8" w:rsidRDefault="00C615D8">
    <w:pPr>
      <w:pStyle w:val="Footer"/>
      <w:jc w:val="center"/>
    </w:pPr>
  </w:p>
  <w:p w:rsidR="00C615D8" w:rsidRPr="007C1CD9" w:rsidRDefault="00101853" w:rsidP="006D1848">
    <w:pPr>
      <w:pStyle w:val="Footer"/>
      <w:jc w:val="center"/>
    </w:pPr>
    <w:sdt>
      <w:sdtPr>
        <w:id w:val="1888299175"/>
        <w:docPartObj>
          <w:docPartGallery w:val="Page Numbers (Bottom of Page)"/>
          <w:docPartUnique/>
        </w:docPartObj>
      </w:sdtPr>
      <w:sdtEndPr>
        <w:rPr>
          <w:noProof/>
        </w:rPr>
      </w:sdtEndPr>
      <w:sdtContent>
        <w:r w:rsidR="00C615D8" w:rsidRPr="000006DC">
          <w:rPr>
            <w:b/>
          </w:rPr>
          <w:fldChar w:fldCharType="begin"/>
        </w:r>
        <w:r w:rsidR="00C615D8" w:rsidRPr="000006DC">
          <w:rPr>
            <w:b/>
          </w:rPr>
          <w:instrText xml:space="preserve"> PAGE   \* MERGEFORMAT </w:instrText>
        </w:r>
        <w:r w:rsidR="00C615D8" w:rsidRPr="000006DC">
          <w:rPr>
            <w:b/>
          </w:rPr>
          <w:fldChar w:fldCharType="separate"/>
        </w:r>
        <w:r>
          <w:rPr>
            <w:b/>
            <w:noProof/>
          </w:rPr>
          <w:t>25</w:t>
        </w:r>
        <w:r w:rsidR="00C615D8" w:rsidRPr="000006DC">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D8" w:rsidRDefault="00C615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5D8" w:rsidRDefault="00C615D8" w:rsidP="00124A51">
      <w:r>
        <w:separator/>
      </w:r>
    </w:p>
    <w:p w:rsidR="00C615D8" w:rsidRDefault="00C615D8"/>
  </w:footnote>
  <w:footnote w:type="continuationSeparator" w:id="0">
    <w:p w:rsidR="00C615D8" w:rsidRDefault="00C615D8" w:rsidP="00124A51">
      <w:r>
        <w:continuationSeparator/>
      </w:r>
    </w:p>
    <w:p w:rsidR="00C615D8" w:rsidRDefault="00C615D8"/>
  </w:footnote>
  <w:footnote w:type="continuationNotice" w:id="1">
    <w:p w:rsidR="00C615D8" w:rsidRDefault="00C615D8"/>
  </w:footnote>
  <w:footnote w:id="2">
    <w:p w:rsidR="00C615D8" w:rsidRDefault="00C615D8">
      <w:pPr>
        <w:pStyle w:val="FootnoteText"/>
      </w:pPr>
      <w:r>
        <w:rPr>
          <w:rStyle w:val="FootnoteReference"/>
        </w:rPr>
        <w:footnoteRef/>
      </w:r>
      <w:r>
        <w:t xml:space="preserve"> </w:t>
      </w:r>
      <w:r w:rsidRPr="005E2068">
        <w:t>Patients weighing ≥50 kg received 150 mg (low dose group) and 300 mg (high dose group); patients weighing 25 to &lt;50 kg received 75 mg (low dose group) and 150 mg (high dose group); and patients weighing &lt;25 kg received 75 mg for both dose groups.</w:t>
      </w:r>
    </w:p>
  </w:footnote>
  <w:footnote w:id="3">
    <w:p w:rsidR="00C615D8" w:rsidRDefault="00C615D8" w:rsidP="00967ED8">
      <w:pPr>
        <w:pStyle w:val="FootnoteText"/>
        <w:jc w:val="both"/>
      </w:pPr>
      <w:r w:rsidRPr="00955DD9">
        <w:rPr>
          <w:rStyle w:val="FootnoteReference"/>
        </w:rPr>
        <w:footnoteRef/>
      </w:r>
      <w:r w:rsidRPr="00955DD9">
        <w:t xml:space="preserve"> Langley RG et al. </w:t>
      </w:r>
      <w:r>
        <w:t xml:space="preserve">Patient-reported outcomes in pediatric patients with psoriasis undergoing etanercept treatment: 12-week results from a phase III randomized controlled trial. </w:t>
      </w:r>
      <w:r w:rsidRPr="00955DD9">
        <w:t>J Am Acad Dermatol 2011;64:64-70.</w:t>
      </w:r>
    </w:p>
  </w:footnote>
  <w:footnote w:id="4">
    <w:p w:rsidR="00C615D8" w:rsidRDefault="00C615D8" w:rsidP="00967ED8">
      <w:pPr>
        <w:pStyle w:val="FootnoteText"/>
        <w:jc w:val="both"/>
      </w:pPr>
      <w:r>
        <w:rPr>
          <w:rStyle w:val="FootnoteReference"/>
        </w:rPr>
        <w:footnoteRef/>
      </w:r>
      <w:r>
        <w:t xml:space="preserve"> Study </w:t>
      </w:r>
      <w:r w:rsidRPr="0000305F">
        <w:rPr>
          <w:rFonts w:ascii="Calibri" w:hAnsi="Calibri"/>
          <w:lang w:val="en-US"/>
        </w:rPr>
        <w:t>20030211</w:t>
      </w:r>
      <w:r>
        <w:rPr>
          <w:rFonts w:ascii="Calibri" w:hAnsi="Calibri"/>
          <w:lang w:val="en-US"/>
        </w:rPr>
        <w:t xml:space="preserve"> was </w:t>
      </w:r>
      <w:r w:rsidRPr="0000305F">
        <w:rPr>
          <w:rFonts w:eastAsia="Calibri" w:cs="Calibri"/>
          <w:color w:val="000000" w:themeColor="text1"/>
        </w:rPr>
        <w:t xml:space="preserve">a phase III, double-blind, randomised, placebo-controlled </w:t>
      </w:r>
      <w:r>
        <w:rPr>
          <w:rFonts w:eastAsia="Calibri" w:cs="Calibri"/>
          <w:color w:val="000000" w:themeColor="text1"/>
        </w:rPr>
        <w:t>trial</w:t>
      </w:r>
      <w:r w:rsidRPr="0000305F">
        <w:rPr>
          <w:rFonts w:eastAsia="Calibri" w:cs="Calibri"/>
          <w:color w:val="000000" w:themeColor="text1"/>
        </w:rPr>
        <w:t xml:space="preserve"> in moderate-to-severe plaque psoriasis, aged 4 to 17 years, comparing etanercept to placebo</w:t>
      </w:r>
      <w:r>
        <w:rPr>
          <w:rFonts w:ascii="Calibri" w:hAnsi="Calibri"/>
          <w:lang w:val="en-US"/>
        </w:rPr>
        <w:t>.</w:t>
      </w:r>
    </w:p>
  </w:footnote>
  <w:footnote w:id="5">
    <w:p w:rsidR="00C615D8" w:rsidRPr="00FE54A3" w:rsidRDefault="00C615D8" w:rsidP="00967ED8">
      <w:pPr>
        <w:pStyle w:val="CommentText"/>
        <w:jc w:val="both"/>
        <w:rPr>
          <w:rFonts w:cstheme="minorHAnsi"/>
          <w:szCs w:val="20"/>
          <w:lang w:eastAsia="en-AU"/>
        </w:rPr>
      </w:pPr>
      <w:r w:rsidRPr="00FE54A3">
        <w:rPr>
          <w:rStyle w:val="FootnoteReference"/>
          <w:rFonts w:cstheme="minorHAnsi"/>
          <w:szCs w:val="20"/>
        </w:rPr>
        <w:footnoteRef/>
      </w:r>
      <w:r w:rsidRPr="00FE54A3">
        <w:rPr>
          <w:rFonts w:cstheme="minorHAnsi"/>
          <w:szCs w:val="20"/>
        </w:rPr>
        <w:t xml:space="preserve"> </w:t>
      </w:r>
      <w:r w:rsidRPr="00FE54A3">
        <w:rPr>
          <w:rFonts w:cstheme="minorHAnsi"/>
          <w:szCs w:val="20"/>
          <w:shd w:val="clear" w:color="auto" w:fill="FFFFFF"/>
        </w:rPr>
        <w:t>Waters A, Sandhu D, Beattie P, Ezughah F, Lewis-Jones S. </w:t>
      </w:r>
      <w:hyperlink r:id="rId1" w:history="1">
        <w:r w:rsidRPr="00955DD9">
          <w:rPr>
            <w:rStyle w:val="Hyperlink"/>
            <w:rFonts w:cstheme="minorHAnsi"/>
            <w:color w:val="auto"/>
            <w:szCs w:val="20"/>
            <w:u w:val="none"/>
            <w:shd w:val="clear" w:color="auto" w:fill="FFFFFF"/>
          </w:rPr>
          <w:t>Severity stratification of Children’s Dermatology Life Quality Index (CDLQI) scores</w:t>
        </w:r>
      </w:hyperlink>
      <w:r w:rsidRPr="00FE54A3">
        <w:rPr>
          <w:rFonts w:cstheme="minorHAnsi"/>
          <w:szCs w:val="20"/>
          <w:shd w:val="clear" w:color="auto" w:fill="FFFFFF"/>
        </w:rPr>
        <w:t>. Br J Dermatol 2010; 163 (Suppl 1): 121.</w:t>
      </w:r>
    </w:p>
    <w:p w:rsidR="00C615D8" w:rsidRPr="00FE6700" w:rsidRDefault="00C615D8" w:rsidP="00AC7791">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D8" w:rsidRDefault="00C615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D8" w:rsidRPr="00056684" w:rsidRDefault="00C615D8" w:rsidP="000006DC">
    <w:pPr>
      <w:pStyle w:val="Header"/>
      <w:ind w:left="360"/>
      <w:rPr>
        <w:rFonts w:cs="Arial"/>
        <w:i/>
        <w:color w:val="808080"/>
      </w:rPr>
    </w:pPr>
    <w:r>
      <w:rPr>
        <w:rFonts w:cs="Arial"/>
        <w:i/>
        <w:color w:val="808080"/>
      </w:rPr>
      <w:t>Public Summary Document</w:t>
    </w:r>
    <w:r w:rsidRPr="00056684">
      <w:rPr>
        <w:rFonts w:cs="Arial"/>
        <w:i/>
        <w:color w:val="808080"/>
      </w:rPr>
      <w:t xml:space="preserve"> – </w:t>
    </w:r>
    <w:r>
      <w:rPr>
        <w:rFonts w:cs="Arial"/>
        <w:i/>
        <w:color w:val="808080"/>
      </w:rPr>
      <w:t>November 2021</w:t>
    </w:r>
    <w:r w:rsidRPr="00056684">
      <w:rPr>
        <w:rFonts w:cs="Arial"/>
        <w:i/>
        <w:color w:val="808080"/>
      </w:rPr>
      <w:t xml:space="preserve"> PBAC Meeting</w:t>
    </w:r>
  </w:p>
  <w:p w:rsidR="00C615D8" w:rsidRDefault="00C615D8" w:rsidP="000006DC"/>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15D8" w:rsidRDefault="00C615D8">
    <w:pPr>
      <w:pStyle w:val="Header"/>
    </w:pPr>
  </w:p>
</w:hdr>
</file>

<file path=word/intelligence.xml><?xml version="1.0" encoding="utf-8"?>
<int:Intelligence xmlns:int="http://schemas.microsoft.com/office/intelligence/2019/intelligence">
  <int:IntelligenceSettings/>
  <int:Manifest>
    <int:WordHash hashCode="b4+wOJIZgrM3UK" id="x3kBBVlk"/>
  </int:Manifest>
  <int:Observations>
    <int:Content id="x3kBBVlk">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A5B6E326"/>
    <w:lvl w:ilvl="0">
      <w:start w:val="1"/>
      <w:numFmt w:val="bullet"/>
      <w:pStyle w:val="ListBullet"/>
      <w:lvlText w:val=""/>
      <w:lvlJc w:val="left"/>
      <w:pPr>
        <w:tabs>
          <w:tab w:val="num" w:pos="785"/>
        </w:tabs>
        <w:ind w:left="785" w:hanging="360"/>
      </w:pPr>
      <w:rPr>
        <w:rFonts w:ascii="Symbol" w:hAnsi="Symbol" w:hint="default"/>
      </w:rPr>
    </w:lvl>
  </w:abstractNum>
  <w:abstractNum w:abstractNumId="1" w15:restartNumberingAfterBreak="0">
    <w:nsid w:val="02756D8B"/>
    <w:multiLevelType w:val="hybridMultilevel"/>
    <w:tmpl w:val="8144A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722F2"/>
    <w:multiLevelType w:val="hybridMultilevel"/>
    <w:tmpl w:val="01069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2A3E0B"/>
    <w:multiLevelType w:val="hybridMultilevel"/>
    <w:tmpl w:val="EFEA67EC"/>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4" w15:restartNumberingAfterBreak="0">
    <w:nsid w:val="17CA5CB5"/>
    <w:multiLevelType w:val="hybridMultilevel"/>
    <w:tmpl w:val="BE44BD6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3643214"/>
    <w:multiLevelType w:val="hybridMultilevel"/>
    <w:tmpl w:val="9C54DC7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5234F60"/>
    <w:multiLevelType w:val="hybridMultilevel"/>
    <w:tmpl w:val="FFFFFFFF"/>
    <w:lvl w:ilvl="0" w:tplc="BF44379E">
      <w:start w:val="1"/>
      <w:numFmt w:val="bullet"/>
      <w:lvlText w:val="o"/>
      <w:lvlJc w:val="left"/>
      <w:pPr>
        <w:ind w:left="1080" w:hanging="360"/>
      </w:pPr>
      <w:rPr>
        <w:rFonts w:ascii="Courier New" w:hAnsi="Courier New" w:hint="default"/>
      </w:rPr>
    </w:lvl>
    <w:lvl w:ilvl="1" w:tplc="37FE5EDE">
      <w:start w:val="1"/>
      <w:numFmt w:val="bullet"/>
      <w:lvlText w:val="o"/>
      <w:lvlJc w:val="left"/>
      <w:pPr>
        <w:ind w:left="1800" w:hanging="360"/>
      </w:pPr>
      <w:rPr>
        <w:rFonts w:ascii="Courier New" w:hAnsi="Courier New" w:hint="default"/>
      </w:rPr>
    </w:lvl>
    <w:lvl w:ilvl="2" w:tplc="FABC8758">
      <w:start w:val="1"/>
      <w:numFmt w:val="bullet"/>
      <w:lvlText w:val=""/>
      <w:lvlJc w:val="left"/>
      <w:pPr>
        <w:ind w:left="2520" w:hanging="360"/>
      </w:pPr>
      <w:rPr>
        <w:rFonts w:ascii="Wingdings" w:hAnsi="Wingdings" w:hint="default"/>
      </w:rPr>
    </w:lvl>
    <w:lvl w:ilvl="3" w:tplc="BC78C2B0">
      <w:start w:val="1"/>
      <w:numFmt w:val="bullet"/>
      <w:lvlText w:val=""/>
      <w:lvlJc w:val="left"/>
      <w:pPr>
        <w:ind w:left="3240" w:hanging="360"/>
      </w:pPr>
      <w:rPr>
        <w:rFonts w:ascii="Symbol" w:hAnsi="Symbol" w:hint="default"/>
      </w:rPr>
    </w:lvl>
    <w:lvl w:ilvl="4" w:tplc="81926104">
      <w:start w:val="1"/>
      <w:numFmt w:val="bullet"/>
      <w:lvlText w:val="o"/>
      <w:lvlJc w:val="left"/>
      <w:pPr>
        <w:ind w:left="3960" w:hanging="360"/>
      </w:pPr>
      <w:rPr>
        <w:rFonts w:ascii="Courier New" w:hAnsi="Courier New" w:hint="default"/>
      </w:rPr>
    </w:lvl>
    <w:lvl w:ilvl="5" w:tplc="461067C4">
      <w:start w:val="1"/>
      <w:numFmt w:val="bullet"/>
      <w:lvlText w:val=""/>
      <w:lvlJc w:val="left"/>
      <w:pPr>
        <w:ind w:left="4680" w:hanging="360"/>
      </w:pPr>
      <w:rPr>
        <w:rFonts w:ascii="Wingdings" w:hAnsi="Wingdings" w:hint="default"/>
      </w:rPr>
    </w:lvl>
    <w:lvl w:ilvl="6" w:tplc="49302382">
      <w:start w:val="1"/>
      <w:numFmt w:val="bullet"/>
      <w:lvlText w:val=""/>
      <w:lvlJc w:val="left"/>
      <w:pPr>
        <w:ind w:left="5400" w:hanging="360"/>
      </w:pPr>
      <w:rPr>
        <w:rFonts w:ascii="Symbol" w:hAnsi="Symbol" w:hint="default"/>
      </w:rPr>
    </w:lvl>
    <w:lvl w:ilvl="7" w:tplc="A6EC2CC4">
      <w:start w:val="1"/>
      <w:numFmt w:val="bullet"/>
      <w:lvlText w:val="o"/>
      <w:lvlJc w:val="left"/>
      <w:pPr>
        <w:ind w:left="6120" w:hanging="360"/>
      </w:pPr>
      <w:rPr>
        <w:rFonts w:ascii="Courier New" w:hAnsi="Courier New" w:hint="default"/>
      </w:rPr>
    </w:lvl>
    <w:lvl w:ilvl="8" w:tplc="A4B2B2A4">
      <w:start w:val="1"/>
      <w:numFmt w:val="bullet"/>
      <w:lvlText w:val=""/>
      <w:lvlJc w:val="left"/>
      <w:pPr>
        <w:ind w:left="6840" w:hanging="360"/>
      </w:pPr>
      <w:rPr>
        <w:rFonts w:ascii="Wingdings" w:hAnsi="Wingdings" w:hint="default"/>
      </w:rPr>
    </w:lvl>
  </w:abstractNum>
  <w:abstractNum w:abstractNumId="9" w15:restartNumberingAfterBreak="0">
    <w:nsid w:val="36A50F3D"/>
    <w:multiLevelType w:val="hybridMultilevel"/>
    <w:tmpl w:val="A53C8D0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CA5379D"/>
    <w:multiLevelType w:val="multilevel"/>
    <w:tmpl w:val="87EA8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AC2A8A"/>
    <w:multiLevelType w:val="hybridMultilevel"/>
    <w:tmpl w:val="7C544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5F7266"/>
    <w:multiLevelType w:val="hybridMultilevel"/>
    <w:tmpl w:val="281C3620"/>
    <w:lvl w:ilvl="0" w:tplc="86BE8D6E">
      <w:start w:val="1"/>
      <w:numFmt w:val="decimal"/>
      <w:lvlText w:val="%1."/>
      <w:lvlJc w:val="left"/>
      <w:pPr>
        <w:ind w:left="720" w:hanging="360"/>
      </w:pPr>
      <w:rPr>
        <w:rFonts w:ascii="Calibri" w:hAnsi="Calibri" w:cs="Calibr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604276"/>
    <w:multiLevelType w:val="hybridMultilevel"/>
    <w:tmpl w:val="FFFFFFFF"/>
    <w:lvl w:ilvl="0" w:tplc="D5C8EA22">
      <w:start w:val="1"/>
      <w:numFmt w:val="bullet"/>
      <w:lvlText w:val=""/>
      <w:lvlJc w:val="left"/>
      <w:pPr>
        <w:ind w:left="720" w:hanging="360"/>
      </w:pPr>
      <w:rPr>
        <w:rFonts w:ascii="Symbol" w:hAnsi="Symbol" w:hint="default"/>
      </w:rPr>
    </w:lvl>
    <w:lvl w:ilvl="1" w:tplc="DC6A6680">
      <w:start w:val="1"/>
      <w:numFmt w:val="bullet"/>
      <w:lvlText w:val="o"/>
      <w:lvlJc w:val="left"/>
      <w:pPr>
        <w:ind w:left="1440" w:hanging="360"/>
      </w:pPr>
      <w:rPr>
        <w:rFonts w:ascii="Courier New" w:hAnsi="Courier New" w:hint="default"/>
      </w:rPr>
    </w:lvl>
    <w:lvl w:ilvl="2" w:tplc="CF0800B4">
      <w:start w:val="1"/>
      <w:numFmt w:val="bullet"/>
      <w:lvlText w:val=""/>
      <w:lvlJc w:val="left"/>
      <w:pPr>
        <w:ind w:left="2160" w:hanging="360"/>
      </w:pPr>
      <w:rPr>
        <w:rFonts w:ascii="Wingdings" w:hAnsi="Wingdings" w:hint="default"/>
      </w:rPr>
    </w:lvl>
    <w:lvl w:ilvl="3" w:tplc="36F00246">
      <w:start w:val="1"/>
      <w:numFmt w:val="bullet"/>
      <w:lvlText w:val=""/>
      <w:lvlJc w:val="left"/>
      <w:pPr>
        <w:ind w:left="2880" w:hanging="360"/>
      </w:pPr>
      <w:rPr>
        <w:rFonts w:ascii="Symbol" w:hAnsi="Symbol" w:hint="default"/>
      </w:rPr>
    </w:lvl>
    <w:lvl w:ilvl="4" w:tplc="80E431C0">
      <w:start w:val="1"/>
      <w:numFmt w:val="bullet"/>
      <w:lvlText w:val="o"/>
      <w:lvlJc w:val="left"/>
      <w:pPr>
        <w:ind w:left="3600" w:hanging="360"/>
      </w:pPr>
      <w:rPr>
        <w:rFonts w:ascii="Courier New" w:hAnsi="Courier New" w:hint="default"/>
      </w:rPr>
    </w:lvl>
    <w:lvl w:ilvl="5" w:tplc="DE34EA8E">
      <w:start w:val="1"/>
      <w:numFmt w:val="bullet"/>
      <w:lvlText w:val=""/>
      <w:lvlJc w:val="left"/>
      <w:pPr>
        <w:ind w:left="4320" w:hanging="360"/>
      </w:pPr>
      <w:rPr>
        <w:rFonts w:ascii="Wingdings" w:hAnsi="Wingdings" w:hint="default"/>
      </w:rPr>
    </w:lvl>
    <w:lvl w:ilvl="6" w:tplc="D1FA1502">
      <w:start w:val="1"/>
      <w:numFmt w:val="bullet"/>
      <w:lvlText w:val=""/>
      <w:lvlJc w:val="left"/>
      <w:pPr>
        <w:ind w:left="5040" w:hanging="360"/>
      </w:pPr>
      <w:rPr>
        <w:rFonts w:ascii="Symbol" w:hAnsi="Symbol" w:hint="default"/>
      </w:rPr>
    </w:lvl>
    <w:lvl w:ilvl="7" w:tplc="586C8D2A">
      <w:start w:val="1"/>
      <w:numFmt w:val="bullet"/>
      <w:lvlText w:val="o"/>
      <w:lvlJc w:val="left"/>
      <w:pPr>
        <w:ind w:left="5760" w:hanging="360"/>
      </w:pPr>
      <w:rPr>
        <w:rFonts w:ascii="Courier New" w:hAnsi="Courier New" w:hint="default"/>
      </w:rPr>
    </w:lvl>
    <w:lvl w:ilvl="8" w:tplc="07F46A98">
      <w:start w:val="1"/>
      <w:numFmt w:val="bullet"/>
      <w:lvlText w:val=""/>
      <w:lvlJc w:val="left"/>
      <w:pPr>
        <w:ind w:left="6480" w:hanging="360"/>
      </w:pPr>
      <w:rPr>
        <w:rFonts w:ascii="Wingdings" w:hAnsi="Wingdings" w:hint="default"/>
      </w:rPr>
    </w:lvl>
  </w:abstractNum>
  <w:abstractNum w:abstractNumId="15" w15:restartNumberingAfterBreak="0">
    <w:nsid w:val="458D67A6"/>
    <w:multiLevelType w:val="hybridMultilevel"/>
    <w:tmpl w:val="50821D2A"/>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1D0D16"/>
    <w:multiLevelType w:val="hybridMultilevel"/>
    <w:tmpl w:val="FFFFFFFF"/>
    <w:lvl w:ilvl="0" w:tplc="6C0C8F94">
      <w:start w:val="1"/>
      <w:numFmt w:val="bullet"/>
      <w:lvlText w:val=""/>
      <w:lvlJc w:val="left"/>
      <w:pPr>
        <w:ind w:left="720" w:hanging="360"/>
      </w:pPr>
      <w:rPr>
        <w:rFonts w:ascii="Symbol" w:hAnsi="Symbol" w:hint="default"/>
      </w:rPr>
    </w:lvl>
    <w:lvl w:ilvl="1" w:tplc="AC34BB08">
      <w:start w:val="1"/>
      <w:numFmt w:val="bullet"/>
      <w:lvlText w:val="o"/>
      <w:lvlJc w:val="left"/>
      <w:pPr>
        <w:ind w:left="1440" w:hanging="360"/>
      </w:pPr>
      <w:rPr>
        <w:rFonts w:ascii="Courier New" w:hAnsi="Courier New" w:hint="default"/>
      </w:rPr>
    </w:lvl>
    <w:lvl w:ilvl="2" w:tplc="C4F8D9D6">
      <w:start w:val="1"/>
      <w:numFmt w:val="bullet"/>
      <w:lvlText w:val=""/>
      <w:lvlJc w:val="left"/>
      <w:pPr>
        <w:ind w:left="2160" w:hanging="360"/>
      </w:pPr>
      <w:rPr>
        <w:rFonts w:ascii="Wingdings" w:hAnsi="Wingdings" w:hint="default"/>
      </w:rPr>
    </w:lvl>
    <w:lvl w:ilvl="3" w:tplc="96C8F75C">
      <w:start w:val="1"/>
      <w:numFmt w:val="bullet"/>
      <w:lvlText w:val=""/>
      <w:lvlJc w:val="left"/>
      <w:pPr>
        <w:ind w:left="2880" w:hanging="360"/>
      </w:pPr>
      <w:rPr>
        <w:rFonts w:ascii="Symbol" w:hAnsi="Symbol" w:hint="default"/>
      </w:rPr>
    </w:lvl>
    <w:lvl w:ilvl="4" w:tplc="2216291A">
      <w:start w:val="1"/>
      <w:numFmt w:val="bullet"/>
      <w:lvlText w:val="o"/>
      <w:lvlJc w:val="left"/>
      <w:pPr>
        <w:ind w:left="3600" w:hanging="360"/>
      </w:pPr>
      <w:rPr>
        <w:rFonts w:ascii="Courier New" w:hAnsi="Courier New" w:hint="default"/>
      </w:rPr>
    </w:lvl>
    <w:lvl w:ilvl="5" w:tplc="4A5053E2">
      <w:start w:val="1"/>
      <w:numFmt w:val="bullet"/>
      <w:lvlText w:val=""/>
      <w:lvlJc w:val="left"/>
      <w:pPr>
        <w:ind w:left="4320" w:hanging="360"/>
      </w:pPr>
      <w:rPr>
        <w:rFonts w:ascii="Wingdings" w:hAnsi="Wingdings" w:hint="default"/>
      </w:rPr>
    </w:lvl>
    <w:lvl w:ilvl="6" w:tplc="86504B3E">
      <w:start w:val="1"/>
      <w:numFmt w:val="bullet"/>
      <w:lvlText w:val=""/>
      <w:lvlJc w:val="left"/>
      <w:pPr>
        <w:ind w:left="5040" w:hanging="360"/>
      </w:pPr>
      <w:rPr>
        <w:rFonts w:ascii="Symbol" w:hAnsi="Symbol" w:hint="default"/>
      </w:rPr>
    </w:lvl>
    <w:lvl w:ilvl="7" w:tplc="03563248">
      <w:start w:val="1"/>
      <w:numFmt w:val="bullet"/>
      <w:lvlText w:val="o"/>
      <w:lvlJc w:val="left"/>
      <w:pPr>
        <w:ind w:left="5760" w:hanging="360"/>
      </w:pPr>
      <w:rPr>
        <w:rFonts w:ascii="Courier New" w:hAnsi="Courier New" w:hint="default"/>
      </w:rPr>
    </w:lvl>
    <w:lvl w:ilvl="8" w:tplc="5010F5FA">
      <w:start w:val="1"/>
      <w:numFmt w:val="bullet"/>
      <w:lvlText w:val=""/>
      <w:lvlJc w:val="left"/>
      <w:pPr>
        <w:ind w:left="6480" w:hanging="360"/>
      </w:pPr>
      <w:rPr>
        <w:rFonts w:ascii="Wingdings" w:hAnsi="Wingdings" w:hint="default"/>
      </w:rPr>
    </w:lvl>
  </w:abstractNum>
  <w:abstractNum w:abstractNumId="17" w15:restartNumberingAfterBreak="0">
    <w:nsid w:val="50CD0AC9"/>
    <w:multiLevelType w:val="hybridMultilevel"/>
    <w:tmpl w:val="FFFFFFFF"/>
    <w:lvl w:ilvl="0" w:tplc="C55E6088">
      <w:start w:val="1"/>
      <w:numFmt w:val="bullet"/>
      <w:lvlText w:val=""/>
      <w:lvlJc w:val="left"/>
      <w:pPr>
        <w:ind w:left="1080" w:hanging="360"/>
      </w:pPr>
      <w:rPr>
        <w:rFonts w:ascii="Symbol" w:hAnsi="Symbol" w:hint="default"/>
      </w:rPr>
    </w:lvl>
    <w:lvl w:ilvl="1" w:tplc="C804DB64">
      <w:start w:val="1"/>
      <w:numFmt w:val="bullet"/>
      <w:lvlText w:val="o"/>
      <w:lvlJc w:val="left"/>
      <w:pPr>
        <w:ind w:left="1800" w:hanging="360"/>
      </w:pPr>
      <w:rPr>
        <w:rFonts w:ascii="Courier New" w:hAnsi="Courier New" w:hint="default"/>
      </w:rPr>
    </w:lvl>
    <w:lvl w:ilvl="2" w:tplc="203049AC">
      <w:start w:val="1"/>
      <w:numFmt w:val="bullet"/>
      <w:lvlText w:val=""/>
      <w:lvlJc w:val="left"/>
      <w:pPr>
        <w:ind w:left="2520" w:hanging="360"/>
      </w:pPr>
      <w:rPr>
        <w:rFonts w:ascii="Wingdings" w:hAnsi="Wingdings" w:hint="default"/>
      </w:rPr>
    </w:lvl>
    <w:lvl w:ilvl="3" w:tplc="AA1A5C34">
      <w:start w:val="1"/>
      <w:numFmt w:val="bullet"/>
      <w:lvlText w:val=""/>
      <w:lvlJc w:val="left"/>
      <w:pPr>
        <w:ind w:left="3240" w:hanging="360"/>
      </w:pPr>
      <w:rPr>
        <w:rFonts w:ascii="Symbol" w:hAnsi="Symbol" w:hint="default"/>
      </w:rPr>
    </w:lvl>
    <w:lvl w:ilvl="4" w:tplc="B0427E30">
      <w:start w:val="1"/>
      <w:numFmt w:val="bullet"/>
      <w:lvlText w:val="o"/>
      <w:lvlJc w:val="left"/>
      <w:pPr>
        <w:ind w:left="3960" w:hanging="360"/>
      </w:pPr>
      <w:rPr>
        <w:rFonts w:ascii="Courier New" w:hAnsi="Courier New" w:hint="default"/>
      </w:rPr>
    </w:lvl>
    <w:lvl w:ilvl="5" w:tplc="7E90E0CA">
      <w:start w:val="1"/>
      <w:numFmt w:val="bullet"/>
      <w:lvlText w:val=""/>
      <w:lvlJc w:val="left"/>
      <w:pPr>
        <w:ind w:left="4680" w:hanging="360"/>
      </w:pPr>
      <w:rPr>
        <w:rFonts w:ascii="Wingdings" w:hAnsi="Wingdings" w:hint="default"/>
      </w:rPr>
    </w:lvl>
    <w:lvl w:ilvl="6" w:tplc="325AF918">
      <w:start w:val="1"/>
      <w:numFmt w:val="bullet"/>
      <w:lvlText w:val=""/>
      <w:lvlJc w:val="left"/>
      <w:pPr>
        <w:ind w:left="5400" w:hanging="360"/>
      </w:pPr>
      <w:rPr>
        <w:rFonts w:ascii="Symbol" w:hAnsi="Symbol" w:hint="default"/>
      </w:rPr>
    </w:lvl>
    <w:lvl w:ilvl="7" w:tplc="9140B8F2">
      <w:start w:val="1"/>
      <w:numFmt w:val="bullet"/>
      <w:lvlText w:val="o"/>
      <w:lvlJc w:val="left"/>
      <w:pPr>
        <w:ind w:left="6120" w:hanging="360"/>
      </w:pPr>
      <w:rPr>
        <w:rFonts w:ascii="Courier New" w:hAnsi="Courier New" w:hint="default"/>
      </w:rPr>
    </w:lvl>
    <w:lvl w:ilvl="8" w:tplc="9E0493D0">
      <w:start w:val="1"/>
      <w:numFmt w:val="bullet"/>
      <w:lvlText w:val=""/>
      <w:lvlJc w:val="left"/>
      <w:pPr>
        <w:ind w:left="6840" w:hanging="360"/>
      </w:pPr>
      <w:rPr>
        <w:rFonts w:ascii="Wingdings" w:hAnsi="Wingdings" w:hint="default"/>
      </w:rPr>
    </w:lvl>
  </w:abstractNum>
  <w:abstractNum w:abstractNumId="18"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3E3FA0"/>
    <w:multiLevelType w:val="hybridMultilevel"/>
    <w:tmpl w:val="FFFFFFFF"/>
    <w:lvl w:ilvl="0" w:tplc="517C75EE">
      <w:start w:val="1"/>
      <w:numFmt w:val="bullet"/>
      <w:lvlText w:val="·"/>
      <w:lvlJc w:val="left"/>
      <w:pPr>
        <w:ind w:left="720" w:hanging="360"/>
      </w:pPr>
      <w:rPr>
        <w:rFonts w:ascii="Symbol" w:hAnsi="Symbol" w:hint="default"/>
      </w:rPr>
    </w:lvl>
    <w:lvl w:ilvl="1" w:tplc="C526FB70">
      <w:start w:val="1"/>
      <w:numFmt w:val="bullet"/>
      <w:lvlText w:val="o"/>
      <w:lvlJc w:val="left"/>
      <w:pPr>
        <w:ind w:left="1440" w:hanging="360"/>
      </w:pPr>
      <w:rPr>
        <w:rFonts w:ascii="Courier New" w:hAnsi="Courier New" w:hint="default"/>
      </w:rPr>
    </w:lvl>
    <w:lvl w:ilvl="2" w:tplc="A3DCC6FC">
      <w:start w:val="1"/>
      <w:numFmt w:val="bullet"/>
      <w:lvlText w:val=""/>
      <w:lvlJc w:val="left"/>
      <w:pPr>
        <w:ind w:left="2160" w:hanging="360"/>
      </w:pPr>
      <w:rPr>
        <w:rFonts w:ascii="Wingdings" w:hAnsi="Wingdings" w:hint="default"/>
      </w:rPr>
    </w:lvl>
    <w:lvl w:ilvl="3" w:tplc="4CACEBD0">
      <w:start w:val="1"/>
      <w:numFmt w:val="bullet"/>
      <w:lvlText w:val=""/>
      <w:lvlJc w:val="left"/>
      <w:pPr>
        <w:ind w:left="2880" w:hanging="360"/>
      </w:pPr>
      <w:rPr>
        <w:rFonts w:ascii="Symbol" w:hAnsi="Symbol" w:hint="default"/>
      </w:rPr>
    </w:lvl>
    <w:lvl w:ilvl="4" w:tplc="354877D4">
      <w:start w:val="1"/>
      <w:numFmt w:val="bullet"/>
      <w:lvlText w:val="o"/>
      <w:lvlJc w:val="left"/>
      <w:pPr>
        <w:ind w:left="3600" w:hanging="360"/>
      </w:pPr>
      <w:rPr>
        <w:rFonts w:ascii="Courier New" w:hAnsi="Courier New" w:hint="default"/>
      </w:rPr>
    </w:lvl>
    <w:lvl w:ilvl="5" w:tplc="75A6C5EC">
      <w:start w:val="1"/>
      <w:numFmt w:val="bullet"/>
      <w:lvlText w:val=""/>
      <w:lvlJc w:val="left"/>
      <w:pPr>
        <w:ind w:left="4320" w:hanging="360"/>
      </w:pPr>
      <w:rPr>
        <w:rFonts w:ascii="Wingdings" w:hAnsi="Wingdings" w:hint="default"/>
      </w:rPr>
    </w:lvl>
    <w:lvl w:ilvl="6" w:tplc="69B0F3A4">
      <w:start w:val="1"/>
      <w:numFmt w:val="bullet"/>
      <w:lvlText w:val=""/>
      <w:lvlJc w:val="left"/>
      <w:pPr>
        <w:ind w:left="5040" w:hanging="360"/>
      </w:pPr>
      <w:rPr>
        <w:rFonts w:ascii="Symbol" w:hAnsi="Symbol" w:hint="default"/>
      </w:rPr>
    </w:lvl>
    <w:lvl w:ilvl="7" w:tplc="5EC2BCDA">
      <w:start w:val="1"/>
      <w:numFmt w:val="bullet"/>
      <w:lvlText w:val="o"/>
      <w:lvlJc w:val="left"/>
      <w:pPr>
        <w:ind w:left="5760" w:hanging="360"/>
      </w:pPr>
      <w:rPr>
        <w:rFonts w:ascii="Courier New" w:hAnsi="Courier New" w:hint="default"/>
      </w:rPr>
    </w:lvl>
    <w:lvl w:ilvl="8" w:tplc="70D638C6">
      <w:start w:val="1"/>
      <w:numFmt w:val="bullet"/>
      <w:lvlText w:val=""/>
      <w:lvlJc w:val="left"/>
      <w:pPr>
        <w:ind w:left="6480" w:hanging="360"/>
      </w:pPr>
      <w:rPr>
        <w:rFonts w:ascii="Wingdings" w:hAnsi="Wingdings" w:hint="default"/>
      </w:rPr>
    </w:lvl>
  </w:abstractNum>
  <w:abstractNum w:abstractNumId="21" w15:restartNumberingAfterBreak="0">
    <w:nsid w:val="5FDD5A26"/>
    <w:multiLevelType w:val="hybridMultilevel"/>
    <w:tmpl w:val="FFFFFFFF"/>
    <w:lvl w:ilvl="0" w:tplc="3F4CC152">
      <w:start w:val="1"/>
      <w:numFmt w:val="bullet"/>
      <w:lvlText w:val="o"/>
      <w:lvlJc w:val="left"/>
      <w:pPr>
        <w:ind w:left="1080" w:hanging="360"/>
      </w:pPr>
      <w:rPr>
        <w:rFonts w:ascii="Courier New" w:hAnsi="Courier New" w:hint="default"/>
      </w:rPr>
    </w:lvl>
    <w:lvl w:ilvl="1" w:tplc="205CC328">
      <w:start w:val="1"/>
      <w:numFmt w:val="bullet"/>
      <w:lvlText w:val="o"/>
      <w:lvlJc w:val="left"/>
      <w:pPr>
        <w:ind w:left="1800" w:hanging="360"/>
      </w:pPr>
      <w:rPr>
        <w:rFonts w:ascii="Courier New" w:hAnsi="Courier New" w:hint="default"/>
      </w:rPr>
    </w:lvl>
    <w:lvl w:ilvl="2" w:tplc="4FAE4E32">
      <w:start w:val="1"/>
      <w:numFmt w:val="bullet"/>
      <w:lvlText w:val=""/>
      <w:lvlJc w:val="left"/>
      <w:pPr>
        <w:ind w:left="2520" w:hanging="360"/>
      </w:pPr>
      <w:rPr>
        <w:rFonts w:ascii="Wingdings" w:hAnsi="Wingdings" w:hint="default"/>
      </w:rPr>
    </w:lvl>
    <w:lvl w:ilvl="3" w:tplc="685C2E42">
      <w:start w:val="1"/>
      <w:numFmt w:val="bullet"/>
      <w:lvlText w:val=""/>
      <w:lvlJc w:val="left"/>
      <w:pPr>
        <w:ind w:left="3240" w:hanging="360"/>
      </w:pPr>
      <w:rPr>
        <w:rFonts w:ascii="Symbol" w:hAnsi="Symbol" w:hint="default"/>
      </w:rPr>
    </w:lvl>
    <w:lvl w:ilvl="4" w:tplc="1FCC434C">
      <w:start w:val="1"/>
      <w:numFmt w:val="bullet"/>
      <w:lvlText w:val="o"/>
      <w:lvlJc w:val="left"/>
      <w:pPr>
        <w:ind w:left="3960" w:hanging="360"/>
      </w:pPr>
      <w:rPr>
        <w:rFonts w:ascii="Courier New" w:hAnsi="Courier New" w:hint="default"/>
      </w:rPr>
    </w:lvl>
    <w:lvl w:ilvl="5" w:tplc="241A7F0C">
      <w:start w:val="1"/>
      <w:numFmt w:val="bullet"/>
      <w:lvlText w:val=""/>
      <w:lvlJc w:val="left"/>
      <w:pPr>
        <w:ind w:left="4680" w:hanging="360"/>
      </w:pPr>
      <w:rPr>
        <w:rFonts w:ascii="Wingdings" w:hAnsi="Wingdings" w:hint="default"/>
      </w:rPr>
    </w:lvl>
    <w:lvl w:ilvl="6" w:tplc="8D322AB6">
      <w:start w:val="1"/>
      <w:numFmt w:val="bullet"/>
      <w:lvlText w:val=""/>
      <w:lvlJc w:val="left"/>
      <w:pPr>
        <w:ind w:left="5400" w:hanging="360"/>
      </w:pPr>
      <w:rPr>
        <w:rFonts w:ascii="Symbol" w:hAnsi="Symbol" w:hint="default"/>
      </w:rPr>
    </w:lvl>
    <w:lvl w:ilvl="7" w:tplc="D848CA98">
      <w:start w:val="1"/>
      <w:numFmt w:val="bullet"/>
      <w:lvlText w:val="o"/>
      <w:lvlJc w:val="left"/>
      <w:pPr>
        <w:ind w:left="6120" w:hanging="360"/>
      </w:pPr>
      <w:rPr>
        <w:rFonts w:ascii="Courier New" w:hAnsi="Courier New" w:hint="default"/>
      </w:rPr>
    </w:lvl>
    <w:lvl w:ilvl="8" w:tplc="CFB87462">
      <w:start w:val="1"/>
      <w:numFmt w:val="bullet"/>
      <w:lvlText w:val=""/>
      <w:lvlJc w:val="left"/>
      <w:pPr>
        <w:ind w:left="6840" w:hanging="360"/>
      </w:pPr>
      <w:rPr>
        <w:rFonts w:ascii="Wingdings" w:hAnsi="Wingdings" w:hint="default"/>
      </w:rPr>
    </w:lvl>
  </w:abstractNum>
  <w:abstractNum w:abstractNumId="22" w15:restartNumberingAfterBreak="0">
    <w:nsid w:val="60E0390D"/>
    <w:multiLevelType w:val="hybridMultilevel"/>
    <w:tmpl w:val="FFFFFFFF"/>
    <w:lvl w:ilvl="0" w:tplc="D46A6E8E">
      <w:start w:val="1"/>
      <w:numFmt w:val="bullet"/>
      <w:lvlText w:val="·"/>
      <w:lvlJc w:val="left"/>
      <w:pPr>
        <w:ind w:left="720" w:hanging="360"/>
      </w:pPr>
      <w:rPr>
        <w:rFonts w:ascii="Symbol" w:hAnsi="Symbol" w:hint="default"/>
      </w:rPr>
    </w:lvl>
    <w:lvl w:ilvl="1" w:tplc="97DECF44">
      <w:start w:val="1"/>
      <w:numFmt w:val="bullet"/>
      <w:lvlText w:val="o"/>
      <w:lvlJc w:val="left"/>
      <w:pPr>
        <w:ind w:left="1440" w:hanging="360"/>
      </w:pPr>
      <w:rPr>
        <w:rFonts w:ascii="Courier New" w:hAnsi="Courier New" w:hint="default"/>
      </w:rPr>
    </w:lvl>
    <w:lvl w:ilvl="2" w:tplc="F38E0E8A">
      <w:start w:val="1"/>
      <w:numFmt w:val="bullet"/>
      <w:lvlText w:val=""/>
      <w:lvlJc w:val="left"/>
      <w:pPr>
        <w:ind w:left="2160" w:hanging="360"/>
      </w:pPr>
      <w:rPr>
        <w:rFonts w:ascii="Wingdings" w:hAnsi="Wingdings" w:hint="default"/>
      </w:rPr>
    </w:lvl>
    <w:lvl w:ilvl="3" w:tplc="3ADA1F78">
      <w:start w:val="1"/>
      <w:numFmt w:val="bullet"/>
      <w:lvlText w:val=""/>
      <w:lvlJc w:val="left"/>
      <w:pPr>
        <w:ind w:left="2880" w:hanging="360"/>
      </w:pPr>
      <w:rPr>
        <w:rFonts w:ascii="Symbol" w:hAnsi="Symbol" w:hint="default"/>
      </w:rPr>
    </w:lvl>
    <w:lvl w:ilvl="4" w:tplc="A7782EA2">
      <w:start w:val="1"/>
      <w:numFmt w:val="bullet"/>
      <w:lvlText w:val="o"/>
      <w:lvlJc w:val="left"/>
      <w:pPr>
        <w:ind w:left="3600" w:hanging="360"/>
      </w:pPr>
      <w:rPr>
        <w:rFonts w:ascii="Courier New" w:hAnsi="Courier New" w:hint="default"/>
      </w:rPr>
    </w:lvl>
    <w:lvl w:ilvl="5" w:tplc="81AAC4BA">
      <w:start w:val="1"/>
      <w:numFmt w:val="bullet"/>
      <w:lvlText w:val=""/>
      <w:lvlJc w:val="left"/>
      <w:pPr>
        <w:ind w:left="4320" w:hanging="360"/>
      </w:pPr>
      <w:rPr>
        <w:rFonts w:ascii="Wingdings" w:hAnsi="Wingdings" w:hint="default"/>
      </w:rPr>
    </w:lvl>
    <w:lvl w:ilvl="6" w:tplc="A5FADCBC">
      <w:start w:val="1"/>
      <w:numFmt w:val="bullet"/>
      <w:lvlText w:val=""/>
      <w:lvlJc w:val="left"/>
      <w:pPr>
        <w:ind w:left="5040" w:hanging="360"/>
      </w:pPr>
      <w:rPr>
        <w:rFonts w:ascii="Symbol" w:hAnsi="Symbol" w:hint="default"/>
      </w:rPr>
    </w:lvl>
    <w:lvl w:ilvl="7" w:tplc="C67648B2">
      <w:start w:val="1"/>
      <w:numFmt w:val="bullet"/>
      <w:lvlText w:val="o"/>
      <w:lvlJc w:val="left"/>
      <w:pPr>
        <w:ind w:left="5760" w:hanging="360"/>
      </w:pPr>
      <w:rPr>
        <w:rFonts w:ascii="Courier New" w:hAnsi="Courier New" w:hint="default"/>
      </w:rPr>
    </w:lvl>
    <w:lvl w:ilvl="8" w:tplc="3A3C8116">
      <w:start w:val="1"/>
      <w:numFmt w:val="bullet"/>
      <w:lvlText w:val=""/>
      <w:lvlJc w:val="left"/>
      <w:pPr>
        <w:ind w:left="6480" w:hanging="360"/>
      </w:pPr>
      <w:rPr>
        <w:rFonts w:ascii="Wingdings" w:hAnsi="Wingdings" w:hint="default"/>
      </w:rPr>
    </w:lvl>
  </w:abstractNum>
  <w:abstractNum w:abstractNumId="23" w15:restartNumberingAfterBreak="0">
    <w:nsid w:val="62D016AB"/>
    <w:multiLevelType w:val="hybridMultilevel"/>
    <w:tmpl w:val="A20E99AC"/>
    <w:lvl w:ilvl="0" w:tplc="0C090001">
      <w:start w:val="1"/>
      <w:numFmt w:val="bullet"/>
      <w:lvlText w:val=""/>
      <w:lvlJc w:val="left"/>
      <w:pPr>
        <w:ind w:left="381" w:hanging="360"/>
      </w:pPr>
      <w:rPr>
        <w:rFonts w:ascii="Symbol" w:hAnsi="Symbol" w:hint="default"/>
      </w:rPr>
    </w:lvl>
    <w:lvl w:ilvl="1" w:tplc="0C090003" w:tentative="1">
      <w:start w:val="1"/>
      <w:numFmt w:val="bullet"/>
      <w:lvlText w:val="o"/>
      <w:lvlJc w:val="left"/>
      <w:pPr>
        <w:ind w:left="1101" w:hanging="360"/>
      </w:pPr>
      <w:rPr>
        <w:rFonts w:ascii="Courier New" w:hAnsi="Courier New" w:cs="Courier New" w:hint="default"/>
      </w:rPr>
    </w:lvl>
    <w:lvl w:ilvl="2" w:tplc="0C090005" w:tentative="1">
      <w:start w:val="1"/>
      <w:numFmt w:val="bullet"/>
      <w:lvlText w:val=""/>
      <w:lvlJc w:val="left"/>
      <w:pPr>
        <w:ind w:left="1821" w:hanging="360"/>
      </w:pPr>
      <w:rPr>
        <w:rFonts w:ascii="Wingdings" w:hAnsi="Wingdings" w:hint="default"/>
      </w:rPr>
    </w:lvl>
    <w:lvl w:ilvl="3" w:tplc="0C090001" w:tentative="1">
      <w:start w:val="1"/>
      <w:numFmt w:val="bullet"/>
      <w:lvlText w:val=""/>
      <w:lvlJc w:val="left"/>
      <w:pPr>
        <w:ind w:left="2541" w:hanging="360"/>
      </w:pPr>
      <w:rPr>
        <w:rFonts w:ascii="Symbol" w:hAnsi="Symbol" w:hint="default"/>
      </w:rPr>
    </w:lvl>
    <w:lvl w:ilvl="4" w:tplc="0C090003" w:tentative="1">
      <w:start w:val="1"/>
      <w:numFmt w:val="bullet"/>
      <w:lvlText w:val="o"/>
      <w:lvlJc w:val="left"/>
      <w:pPr>
        <w:ind w:left="3261" w:hanging="360"/>
      </w:pPr>
      <w:rPr>
        <w:rFonts w:ascii="Courier New" w:hAnsi="Courier New" w:cs="Courier New" w:hint="default"/>
      </w:rPr>
    </w:lvl>
    <w:lvl w:ilvl="5" w:tplc="0C090005" w:tentative="1">
      <w:start w:val="1"/>
      <w:numFmt w:val="bullet"/>
      <w:lvlText w:val=""/>
      <w:lvlJc w:val="left"/>
      <w:pPr>
        <w:ind w:left="3981" w:hanging="360"/>
      </w:pPr>
      <w:rPr>
        <w:rFonts w:ascii="Wingdings" w:hAnsi="Wingdings" w:hint="default"/>
      </w:rPr>
    </w:lvl>
    <w:lvl w:ilvl="6" w:tplc="0C090001" w:tentative="1">
      <w:start w:val="1"/>
      <w:numFmt w:val="bullet"/>
      <w:lvlText w:val=""/>
      <w:lvlJc w:val="left"/>
      <w:pPr>
        <w:ind w:left="4701" w:hanging="360"/>
      </w:pPr>
      <w:rPr>
        <w:rFonts w:ascii="Symbol" w:hAnsi="Symbol" w:hint="default"/>
      </w:rPr>
    </w:lvl>
    <w:lvl w:ilvl="7" w:tplc="0C090003" w:tentative="1">
      <w:start w:val="1"/>
      <w:numFmt w:val="bullet"/>
      <w:lvlText w:val="o"/>
      <w:lvlJc w:val="left"/>
      <w:pPr>
        <w:ind w:left="5421" w:hanging="360"/>
      </w:pPr>
      <w:rPr>
        <w:rFonts w:ascii="Courier New" w:hAnsi="Courier New" w:cs="Courier New" w:hint="default"/>
      </w:rPr>
    </w:lvl>
    <w:lvl w:ilvl="8" w:tplc="0C090005" w:tentative="1">
      <w:start w:val="1"/>
      <w:numFmt w:val="bullet"/>
      <w:lvlText w:val=""/>
      <w:lvlJc w:val="left"/>
      <w:pPr>
        <w:ind w:left="6141" w:hanging="360"/>
      </w:pPr>
      <w:rPr>
        <w:rFonts w:ascii="Wingdings" w:hAnsi="Wingdings" w:hint="default"/>
      </w:rPr>
    </w:lvl>
  </w:abstractNum>
  <w:abstractNum w:abstractNumId="24" w15:restartNumberingAfterBreak="0">
    <w:nsid w:val="69301763"/>
    <w:multiLevelType w:val="hybridMultilevel"/>
    <w:tmpl w:val="BD9809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69BB0161"/>
    <w:multiLevelType w:val="hybridMultilevel"/>
    <w:tmpl w:val="FFFFFFFF"/>
    <w:lvl w:ilvl="0" w:tplc="3EB89BBE">
      <w:start w:val="1"/>
      <w:numFmt w:val="bullet"/>
      <w:lvlText w:val=""/>
      <w:lvlJc w:val="left"/>
      <w:pPr>
        <w:ind w:left="720" w:hanging="360"/>
      </w:pPr>
      <w:rPr>
        <w:rFonts w:ascii="Symbol" w:hAnsi="Symbol" w:hint="default"/>
      </w:rPr>
    </w:lvl>
    <w:lvl w:ilvl="1" w:tplc="61B85CE4">
      <w:start w:val="1"/>
      <w:numFmt w:val="bullet"/>
      <w:lvlText w:val="o"/>
      <w:lvlJc w:val="left"/>
      <w:pPr>
        <w:ind w:left="1440" w:hanging="360"/>
      </w:pPr>
      <w:rPr>
        <w:rFonts w:ascii="Courier New" w:hAnsi="Courier New" w:hint="default"/>
      </w:rPr>
    </w:lvl>
    <w:lvl w:ilvl="2" w:tplc="0E9A6C36">
      <w:start w:val="1"/>
      <w:numFmt w:val="bullet"/>
      <w:lvlText w:val=""/>
      <w:lvlJc w:val="left"/>
      <w:pPr>
        <w:ind w:left="2160" w:hanging="360"/>
      </w:pPr>
      <w:rPr>
        <w:rFonts w:ascii="Wingdings" w:hAnsi="Wingdings" w:hint="default"/>
      </w:rPr>
    </w:lvl>
    <w:lvl w:ilvl="3" w:tplc="F302294E">
      <w:start w:val="1"/>
      <w:numFmt w:val="bullet"/>
      <w:lvlText w:val=""/>
      <w:lvlJc w:val="left"/>
      <w:pPr>
        <w:ind w:left="2880" w:hanging="360"/>
      </w:pPr>
      <w:rPr>
        <w:rFonts w:ascii="Symbol" w:hAnsi="Symbol" w:hint="default"/>
      </w:rPr>
    </w:lvl>
    <w:lvl w:ilvl="4" w:tplc="0326064E">
      <w:start w:val="1"/>
      <w:numFmt w:val="bullet"/>
      <w:lvlText w:val="o"/>
      <w:lvlJc w:val="left"/>
      <w:pPr>
        <w:ind w:left="3600" w:hanging="360"/>
      </w:pPr>
      <w:rPr>
        <w:rFonts w:ascii="Courier New" w:hAnsi="Courier New" w:hint="default"/>
      </w:rPr>
    </w:lvl>
    <w:lvl w:ilvl="5" w:tplc="311C87C2">
      <w:start w:val="1"/>
      <w:numFmt w:val="bullet"/>
      <w:lvlText w:val=""/>
      <w:lvlJc w:val="left"/>
      <w:pPr>
        <w:ind w:left="4320" w:hanging="360"/>
      </w:pPr>
      <w:rPr>
        <w:rFonts w:ascii="Wingdings" w:hAnsi="Wingdings" w:hint="default"/>
      </w:rPr>
    </w:lvl>
    <w:lvl w:ilvl="6" w:tplc="ABC0747C">
      <w:start w:val="1"/>
      <w:numFmt w:val="bullet"/>
      <w:lvlText w:val=""/>
      <w:lvlJc w:val="left"/>
      <w:pPr>
        <w:ind w:left="5040" w:hanging="360"/>
      </w:pPr>
      <w:rPr>
        <w:rFonts w:ascii="Symbol" w:hAnsi="Symbol" w:hint="default"/>
      </w:rPr>
    </w:lvl>
    <w:lvl w:ilvl="7" w:tplc="3814DA4E">
      <w:start w:val="1"/>
      <w:numFmt w:val="bullet"/>
      <w:lvlText w:val="o"/>
      <w:lvlJc w:val="left"/>
      <w:pPr>
        <w:ind w:left="5760" w:hanging="360"/>
      </w:pPr>
      <w:rPr>
        <w:rFonts w:ascii="Courier New" w:hAnsi="Courier New" w:hint="default"/>
      </w:rPr>
    </w:lvl>
    <w:lvl w:ilvl="8" w:tplc="75B4001E">
      <w:start w:val="1"/>
      <w:numFmt w:val="bullet"/>
      <w:lvlText w:val=""/>
      <w:lvlJc w:val="left"/>
      <w:pPr>
        <w:ind w:left="6480" w:hanging="360"/>
      </w:pPr>
      <w:rPr>
        <w:rFonts w:ascii="Wingdings" w:hAnsi="Wingdings" w:hint="default"/>
      </w:rPr>
    </w:lvl>
  </w:abstractNum>
  <w:abstractNum w:abstractNumId="26" w15:restartNumberingAfterBreak="0">
    <w:nsid w:val="737358A7"/>
    <w:multiLevelType w:val="hybridMultilevel"/>
    <w:tmpl w:val="FFFFFFFF"/>
    <w:lvl w:ilvl="0" w:tplc="AAC4B0B2">
      <w:start w:val="1"/>
      <w:numFmt w:val="bullet"/>
      <w:lvlText w:val=""/>
      <w:lvlJc w:val="left"/>
      <w:pPr>
        <w:ind w:left="1080" w:hanging="360"/>
      </w:pPr>
      <w:rPr>
        <w:rFonts w:ascii="Symbol" w:hAnsi="Symbol" w:hint="default"/>
      </w:rPr>
    </w:lvl>
    <w:lvl w:ilvl="1" w:tplc="329E4684">
      <w:start w:val="1"/>
      <w:numFmt w:val="bullet"/>
      <w:lvlText w:val="o"/>
      <w:lvlJc w:val="left"/>
      <w:pPr>
        <w:ind w:left="1800" w:hanging="360"/>
      </w:pPr>
      <w:rPr>
        <w:rFonts w:ascii="Courier New" w:hAnsi="Courier New" w:hint="default"/>
      </w:rPr>
    </w:lvl>
    <w:lvl w:ilvl="2" w:tplc="866C3FE6">
      <w:start w:val="1"/>
      <w:numFmt w:val="bullet"/>
      <w:lvlText w:val=""/>
      <w:lvlJc w:val="left"/>
      <w:pPr>
        <w:ind w:left="2520" w:hanging="360"/>
      </w:pPr>
      <w:rPr>
        <w:rFonts w:ascii="Wingdings" w:hAnsi="Wingdings" w:hint="default"/>
      </w:rPr>
    </w:lvl>
    <w:lvl w:ilvl="3" w:tplc="AD82FE46">
      <w:start w:val="1"/>
      <w:numFmt w:val="bullet"/>
      <w:lvlText w:val=""/>
      <w:lvlJc w:val="left"/>
      <w:pPr>
        <w:ind w:left="3240" w:hanging="360"/>
      </w:pPr>
      <w:rPr>
        <w:rFonts w:ascii="Symbol" w:hAnsi="Symbol" w:hint="default"/>
      </w:rPr>
    </w:lvl>
    <w:lvl w:ilvl="4" w:tplc="786894C4">
      <w:start w:val="1"/>
      <w:numFmt w:val="bullet"/>
      <w:lvlText w:val="o"/>
      <w:lvlJc w:val="left"/>
      <w:pPr>
        <w:ind w:left="3960" w:hanging="360"/>
      </w:pPr>
      <w:rPr>
        <w:rFonts w:ascii="Courier New" w:hAnsi="Courier New" w:hint="default"/>
      </w:rPr>
    </w:lvl>
    <w:lvl w:ilvl="5" w:tplc="9A789DFE">
      <w:start w:val="1"/>
      <w:numFmt w:val="bullet"/>
      <w:lvlText w:val=""/>
      <w:lvlJc w:val="left"/>
      <w:pPr>
        <w:ind w:left="4680" w:hanging="360"/>
      </w:pPr>
      <w:rPr>
        <w:rFonts w:ascii="Wingdings" w:hAnsi="Wingdings" w:hint="default"/>
      </w:rPr>
    </w:lvl>
    <w:lvl w:ilvl="6" w:tplc="990015F8">
      <w:start w:val="1"/>
      <w:numFmt w:val="bullet"/>
      <w:lvlText w:val=""/>
      <w:lvlJc w:val="left"/>
      <w:pPr>
        <w:ind w:left="5400" w:hanging="360"/>
      </w:pPr>
      <w:rPr>
        <w:rFonts w:ascii="Symbol" w:hAnsi="Symbol" w:hint="default"/>
      </w:rPr>
    </w:lvl>
    <w:lvl w:ilvl="7" w:tplc="2960CA5E">
      <w:start w:val="1"/>
      <w:numFmt w:val="bullet"/>
      <w:lvlText w:val="o"/>
      <w:lvlJc w:val="left"/>
      <w:pPr>
        <w:ind w:left="6120" w:hanging="360"/>
      </w:pPr>
      <w:rPr>
        <w:rFonts w:ascii="Courier New" w:hAnsi="Courier New" w:hint="default"/>
      </w:rPr>
    </w:lvl>
    <w:lvl w:ilvl="8" w:tplc="0C42C02C">
      <w:start w:val="1"/>
      <w:numFmt w:val="bullet"/>
      <w:lvlText w:val=""/>
      <w:lvlJc w:val="left"/>
      <w:pPr>
        <w:ind w:left="6840" w:hanging="360"/>
      </w:pPr>
      <w:rPr>
        <w:rFonts w:ascii="Wingdings" w:hAnsi="Wingdings" w:hint="default"/>
      </w:rPr>
    </w:lvl>
  </w:abstractNum>
  <w:abstractNum w:abstractNumId="27" w15:restartNumberingAfterBreak="0">
    <w:nsid w:val="784D033C"/>
    <w:multiLevelType w:val="multilevel"/>
    <w:tmpl w:val="45FC285E"/>
    <w:lvl w:ilvl="0">
      <w:start w:val="1"/>
      <w:numFmt w:val="decimal"/>
      <w:pStyle w:val="2-SectionHeading"/>
      <w:lvlText w:val="%1"/>
      <w:lvlJc w:val="left"/>
      <w:pPr>
        <w:ind w:left="720" w:hanging="720"/>
      </w:pPr>
      <w:rPr>
        <w:b/>
      </w:rPr>
    </w:lvl>
    <w:lvl w:ilvl="1">
      <w:start w:val="1"/>
      <w:numFmt w:val="decimal"/>
      <w:pStyle w:val="3-BodyText"/>
      <w:lvlText w:val="%1.%2"/>
      <w:lvlJc w:val="left"/>
      <w:pPr>
        <w:ind w:left="720" w:hanging="720"/>
      </w:pPr>
      <w:rPr>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7"/>
  </w:num>
  <w:num w:numId="2">
    <w:abstractNumId w:val="13"/>
  </w:num>
  <w:num w:numId="3">
    <w:abstractNumId w:val="15"/>
  </w:num>
  <w:num w:numId="4">
    <w:abstractNumId w:val="0"/>
  </w:num>
  <w:num w:numId="5">
    <w:abstractNumId w:val="6"/>
  </w:num>
  <w:num w:numId="6">
    <w:abstractNumId w:val="7"/>
  </w:num>
  <w:num w:numId="7">
    <w:abstractNumId w:val="17"/>
  </w:num>
  <w:num w:numId="8">
    <w:abstractNumId w:val="26"/>
  </w:num>
  <w:num w:numId="9">
    <w:abstractNumId w:val="25"/>
  </w:num>
  <w:num w:numId="10">
    <w:abstractNumId w:val="21"/>
  </w:num>
  <w:num w:numId="11">
    <w:abstractNumId w:val="8"/>
  </w:num>
  <w:num w:numId="12">
    <w:abstractNumId w:val="14"/>
  </w:num>
  <w:num w:numId="13">
    <w:abstractNumId w:val="16"/>
  </w:num>
  <w:num w:numId="14">
    <w:abstractNumId w:val="3"/>
  </w:num>
  <w:num w:numId="15">
    <w:abstractNumId w:val="22"/>
  </w:num>
  <w:num w:numId="16">
    <w:abstractNumId w:val="20"/>
  </w:num>
  <w:num w:numId="17">
    <w:abstractNumId w:val="18"/>
  </w:num>
  <w:num w:numId="18">
    <w:abstractNumId w:val="19"/>
  </w:num>
  <w:num w:numId="19">
    <w:abstractNumId w:val="5"/>
  </w:num>
  <w:num w:numId="20">
    <w:abstractNumId w:val="10"/>
  </w:num>
  <w:num w:numId="21">
    <w:abstractNumId w:val="24"/>
  </w:num>
  <w:num w:numId="22">
    <w:abstractNumId w:val="11"/>
  </w:num>
  <w:num w:numId="23">
    <w:abstractNumId w:val="1"/>
  </w:num>
  <w:num w:numId="24">
    <w:abstractNumId w:val="2"/>
  </w:num>
  <w:num w:numId="25">
    <w:abstractNumId w:val="9"/>
  </w:num>
  <w:num w:numId="26">
    <w:abstractNumId w:val="4"/>
  </w:num>
  <w:num w:numId="27">
    <w:abstractNumId w:val="23"/>
  </w:num>
  <w:num w:numId="28">
    <w:abstractNumId w:val="27"/>
  </w:num>
  <w:num w:numId="29">
    <w:abstractNumId w:val="27"/>
  </w:num>
  <w:num w:numId="30">
    <w:abstractNumId w:val="12"/>
  </w:num>
  <w:num w:numId="31">
    <w:abstractNumId w:val="27"/>
  </w:num>
  <w:num w:numId="32">
    <w:abstractNumId w:val="27"/>
  </w:num>
  <w:num w:numId="33">
    <w:abstractNumId w:val="2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AU"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6"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numFmt w:val="lowerLette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0szQxMTCxsDAysTRQ0lEKTi0uzszPAykwqQUA9ln2hiwAAAA="/>
  </w:docVars>
  <w:rsids>
    <w:rsidRoot w:val="00E65E79"/>
    <w:rsid w:val="000000A9"/>
    <w:rsid w:val="000006DC"/>
    <w:rsid w:val="00000787"/>
    <w:rsid w:val="00000790"/>
    <w:rsid w:val="00000DB5"/>
    <w:rsid w:val="0000110B"/>
    <w:rsid w:val="000020C8"/>
    <w:rsid w:val="000023C0"/>
    <w:rsid w:val="000023E8"/>
    <w:rsid w:val="00002521"/>
    <w:rsid w:val="00002A3C"/>
    <w:rsid w:val="00002EF2"/>
    <w:rsid w:val="0000302A"/>
    <w:rsid w:val="0000305F"/>
    <w:rsid w:val="000032A9"/>
    <w:rsid w:val="00003499"/>
    <w:rsid w:val="000039B7"/>
    <w:rsid w:val="000053BE"/>
    <w:rsid w:val="000062C0"/>
    <w:rsid w:val="0000639A"/>
    <w:rsid w:val="00006455"/>
    <w:rsid w:val="00006681"/>
    <w:rsid w:val="0000718A"/>
    <w:rsid w:val="000103BD"/>
    <w:rsid w:val="0001058F"/>
    <w:rsid w:val="0001079F"/>
    <w:rsid w:val="00010BDA"/>
    <w:rsid w:val="00010D2A"/>
    <w:rsid w:val="00010D53"/>
    <w:rsid w:val="0001107A"/>
    <w:rsid w:val="0001157A"/>
    <w:rsid w:val="00011B58"/>
    <w:rsid w:val="00011C82"/>
    <w:rsid w:val="00013247"/>
    <w:rsid w:val="000138DB"/>
    <w:rsid w:val="00013906"/>
    <w:rsid w:val="00014151"/>
    <w:rsid w:val="0001417D"/>
    <w:rsid w:val="000145BE"/>
    <w:rsid w:val="00014F51"/>
    <w:rsid w:val="000155A0"/>
    <w:rsid w:val="00015886"/>
    <w:rsid w:val="00015E7F"/>
    <w:rsid w:val="000162EF"/>
    <w:rsid w:val="0001742F"/>
    <w:rsid w:val="00017D3C"/>
    <w:rsid w:val="00020435"/>
    <w:rsid w:val="000207C9"/>
    <w:rsid w:val="000210FD"/>
    <w:rsid w:val="00021CAC"/>
    <w:rsid w:val="00021E2D"/>
    <w:rsid w:val="0002225F"/>
    <w:rsid w:val="00022976"/>
    <w:rsid w:val="000232D1"/>
    <w:rsid w:val="00023763"/>
    <w:rsid w:val="00023C9A"/>
    <w:rsid w:val="00025175"/>
    <w:rsid w:val="000259E6"/>
    <w:rsid w:val="00025DAE"/>
    <w:rsid w:val="000269D1"/>
    <w:rsid w:val="00026A7E"/>
    <w:rsid w:val="00026C60"/>
    <w:rsid w:val="0002709A"/>
    <w:rsid w:val="000274B8"/>
    <w:rsid w:val="000301DF"/>
    <w:rsid w:val="00031B2F"/>
    <w:rsid w:val="00032259"/>
    <w:rsid w:val="00032BEA"/>
    <w:rsid w:val="00032EB6"/>
    <w:rsid w:val="00033313"/>
    <w:rsid w:val="000335E0"/>
    <w:rsid w:val="00033863"/>
    <w:rsid w:val="0003390B"/>
    <w:rsid w:val="00033F1B"/>
    <w:rsid w:val="00034809"/>
    <w:rsid w:val="00034FFD"/>
    <w:rsid w:val="000357CD"/>
    <w:rsid w:val="00035DC0"/>
    <w:rsid w:val="00035DF3"/>
    <w:rsid w:val="000360A1"/>
    <w:rsid w:val="00036326"/>
    <w:rsid w:val="00036829"/>
    <w:rsid w:val="000369F5"/>
    <w:rsid w:val="00037125"/>
    <w:rsid w:val="00037373"/>
    <w:rsid w:val="00037A0A"/>
    <w:rsid w:val="00037A6A"/>
    <w:rsid w:val="00037D47"/>
    <w:rsid w:val="0004034A"/>
    <w:rsid w:val="00040895"/>
    <w:rsid w:val="00041202"/>
    <w:rsid w:val="00041D36"/>
    <w:rsid w:val="0004243D"/>
    <w:rsid w:val="000434EA"/>
    <w:rsid w:val="000435EE"/>
    <w:rsid w:val="000437DF"/>
    <w:rsid w:val="0004392D"/>
    <w:rsid w:val="00043C37"/>
    <w:rsid w:val="000440C9"/>
    <w:rsid w:val="00044676"/>
    <w:rsid w:val="00045017"/>
    <w:rsid w:val="0004513C"/>
    <w:rsid w:val="00045A2B"/>
    <w:rsid w:val="00045C01"/>
    <w:rsid w:val="0004698F"/>
    <w:rsid w:val="00047A35"/>
    <w:rsid w:val="00047BB8"/>
    <w:rsid w:val="00047E13"/>
    <w:rsid w:val="000502E8"/>
    <w:rsid w:val="00050C8E"/>
    <w:rsid w:val="0005184A"/>
    <w:rsid w:val="00051866"/>
    <w:rsid w:val="000522AF"/>
    <w:rsid w:val="000527C1"/>
    <w:rsid w:val="00052897"/>
    <w:rsid w:val="000529CD"/>
    <w:rsid w:val="00052CD3"/>
    <w:rsid w:val="00053596"/>
    <w:rsid w:val="000537A2"/>
    <w:rsid w:val="00053834"/>
    <w:rsid w:val="000539D0"/>
    <w:rsid w:val="00053C59"/>
    <w:rsid w:val="00054621"/>
    <w:rsid w:val="000546D7"/>
    <w:rsid w:val="00055276"/>
    <w:rsid w:val="00055336"/>
    <w:rsid w:val="000553EE"/>
    <w:rsid w:val="0005559D"/>
    <w:rsid w:val="000568CB"/>
    <w:rsid w:val="00056AAC"/>
    <w:rsid w:val="00056E02"/>
    <w:rsid w:val="00056ECF"/>
    <w:rsid w:val="00057CE6"/>
    <w:rsid w:val="0006011C"/>
    <w:rsid w:val="000604DF"/>
    <w:rsid w:val="0006075E"/>
    <w:rsid w:val="000609CF"/>
    <w:rsid w:val="00061753"/>
    <w:rsid w:val="0006210C"/>
    <w:rsid w:val="00064DA0"/>
    <w:rsid w:val="00064FB0"/>
    <w:rsid w:val="000653B5"/>
    <w:rsid w:val="00065637"/>
    <w:rsid w:val="00065960"/>
    <w:rsid w:val="00066270"/>
    <w:rsid w:val="00066319"/>
    <w:rsid w:val="00066360"/>
    <w:rsid w:val="0006672E"/>
    <w:rsid w:val="000667AE"/>
    <w:rsid w:val="00066ACD"/>
    <w:rsid w:val="00066AF8"/>
    <w:rsid w:val="000678BA"/>
    <w:rsid w:val="00071248"/>
    <w:rsid w:val="000712B9"/>
    <w:rsid w:val="000716A6"/>
    <w:rsid w:val="00071944"/>
    <w:rsid w:val="00071C5C"/>
    <w:rsid w:val="00071E29"/>
    <w:rsid w:val="000720B9"/>
    <w:rsid w:val="0007251E"/>
    <w:rsid w:val="00072920"/>
    <w:rsid w:val="0007301C"/>
    <w:rsid w:val="000737F7"/>
    <w:rsid w:val="00073DC0"/>
    <w:rsid w:val="000747A0"/>
    <w:rsid w:val="000756D9"/>
    <w:rsid w:val="000758DC"/>
    <w:rsid w:val="0007672F"/>
    <w:rsid w:val="00076B54"/>
    <w:rsid w:val="0007720D"/>
    <w:rsid w:val="00077256"/>
    <w:rsid w:val="000774F0"/>
    <w:rsid w:val="00077EDC"/>
    <w:rsid w:val="000802D9"/>
    <w:rsid w:val="0008043D"/>
    <w:rsid w:val="00080909"/>
    <w:rsid w:val="00080A0C"/>
    <w:rsid w:val="00080ACC"/>
    <w:rsid w:val="000811EF"/>
    <w:rsid w:val="000812CA"/>
    <w:rsid w:val="000813EC"/>
    <w:rsid w:val="00081E63"/>
    <w:rsid w:val="000823BC"/>
    <w:rsid w:val="0008258D"/>
    <w:rsid w:val="000829D2"/>
    <w:rsid w:val="00083357"/>
    <w:rsid w:val="00083E99"/>
    <w:rsid w:val="00084250"/>
    <w:rsid w:val="000844D4"/>
    <w:rsid w:val="00084746"/>
    <w:rsid w:val="00084FA8"/>
    <w:rsid w:val="000853D3"/>
    <w:rsid w:val="000856C5"/>
    <w:rsid w:val="00085A80"/>
    <w:rsid w:val="00085C31"/>
    <w:rsid w:val="00085D18"/>
    <w:rsid w:val="00086237"/>
    <w:rsid w:val="0008626D"/>
    <w:rsid w:val="000862DF"/>
    <w:rsid w:val="0008787F"/>
    <w:rsid w:val="00087B4D"/>
    <w:rsid w:val="00087D24"/>
    <w:rsid w:val="000902D9"/>
    <w:rsid w:val="000907DA"/>
    <w:rsid w:val="00090C7E"/>
    <w:rsid w:val="00091BED"/>
    <w:rsid w:val="000922F0"/>
    <w:rsid w:val="000925BF"/>
    <w:rsid w:val="00092600"/>
    <w:rsid w:val="0009262B"/>
    <w:rsid w:val="00092979"/>
    <w:rsid w:val="00093310"/>
    <w:rsid w:val="00093325"/>
    <w:rsid w:val="000937D4"/>
    <w:rsid w:val="00093AFF"/>
    <w:rsid w:val="00093B99"/>
    <w:rsid w:val="0009445C"/>
    <w:rsid w:val="000948A8"/>
    <w:rsid w:val="00094AFF"/>
    <w:rsid w:val="00094C72"/>
    <w:rsid w:val="00094D2B"/>
    <w:rsid w:val="00094F85"/>
    <w:rsid w:val="00095200"/>
    <w:rsid w:val="00095FE5"/>
    <w:rsid w:val="0009627A"/>
    <w:rsid w:val="00096284"/>
    <w:rsid w:val="00096394"/>
    <w:rsid w:val="000964D2"/>
    <w:rsid w:val="000970D6"/>
    <w:rsid w:val="00097306"/>
    <w:rsid w:val="00097364"/>
    <w:rsid w:val="000977BC"/>
    <w:rsid w:val="00097CD9"/>
    <w:rsid w:val="000A02A5"/>
    <w:rsid w:val="000A0419"/>
    <w:rsid w:val="000A0506"/>
    <w:rsid w:val="000A0B6A"/>
    <w:rsid w:val="000A0DD3"/>
    <w:rsid w:val="000A1828"/>
    <w:rsid w:val="000A1A8E"/>
    <w:rsid w:val="000A1AC1"/>
    <w:rsid w:val="000A1BC0"/>
    <w:rsid w:val="000A21ED"/>
    <w:rsid w:val="000A226E"/>
    <w:rsid w:val="000A33AD"/>
    <w:rsid w:val="000A35D3"/>
    <w:rsid w:val="000A36A7"/>
    <w:rsid w:val="000A37EE"/>
    <w:rsid w:val="000A3F68"/>
    <w:rsid w:val="000A4348"/>
    <w:rsid w:val="000A4C65"/>
    <w:rsid w:val="000A4C97"/>
    <w:rsid w:val="000A4F74"/>
    <w:rsid w:val="000A5686"/>
    <w:rsid w:val="000A6039"/>
    <w:rsid w:val="000A64EF"/>
    <w:rsid w:val="000A6CDC"/>
    <w:rsid w:val="000A7061"/>
    <w:rsid w:val="000A72BA"/>
    <w:rsid w:val="000A7453"/>
    <w:rsid w:val="000A7862"/>
    <w:rsid w:val="000A7B6B"/>
    <w:rsid w:val="000A7B7B"/>
    <w:rsid w:val="000A7D08"/>
    <w:rsid w:val="000B0121"/>
    <w:rsid w:val="000B0670"/>
    <w:rsid w:val="000B06FC"/>
    <w:rsid w:val="000B0B6A"/>
    <w:rsid w:val="000B0B95"/>
    <w:rsid w:val="000B0D00"/>
    <w:rsid w:val="000B0E75"/>
    <w:rsid w:val="000B0EEF"/>
    <w:rsid w:val="000B0F8B"/>
    <w:rsid w:val="000B22AF"/>
    <w:rsid w:val="000B2A63"/>
    <w:rsid w:val="000B2BD3"/>
    <w:rsid w:val="000B2D25"/>
    <w:rsid w:val="000B2DCB"/>
    <w:rsid w:val="000B3294"/>
    <w:rsid w:val="000B33CB"/>
    <w:rsid w:val="000B3825"/>
    <w:rsid w:val="000B45B0"/>
    <w:rsid w:val="000B45C4"/>
    <w:rsid w:val="000B51D8"/>
    <w:rsid w:val="000B5CE0"/>
    <w:rsid w:val="000B5E87"/>
    <w:rsid w:val="000B6CAC"/>
    <w:rsid w:val="000B70B6"/>
    <w:rsid w:val="000B74CD"/>
    <w:rsid w:val="000B7612"/>
    <w:rsid w:val="000B78AE"/>
    <w:rsid w:val="000B7B90"/>
    <w:rsid w:val="000C092E"/>
    <w:rsid w:val="000C0937"/>
    <w:rsid w:val="000C0B23"/>
    <w:rsid w:val="000C0DBE"/>
    <w:rsid w:val="000C0FB1"/>
    <w:rsid w:val="000C14D1"/>
    <w:rsid w:val="000C15BB"/>
    <w:rsid w:val="000C22FA"/>
    <w:rsid w:val="000C24F7"/>
    <w:rsid w:val="000C2B12"/>
    <w:rsid w:val="000C3DF9"/>
    <w:rsid w:val="000C4204"/>
    <w:rsid w:val="000C50FC"/>
    <w:rsid w:val="000C5E2B"/>
    <w:rsid w:val="000C6713"/>
    <w:rsid w:val="000C7001"/>
    <w:rsid w:val="000C7EE0"/>
    <w:rsid w:val="000D0782"/>
    <w:rsid w:val="000D08A4"/>
    <w:rsid w:val="000D0FA9"/>
    <w:rsid w:val="000D11C4"/>
    <w:rsid w:val="000D1250"/>
    <w:rsid w:val="000D1BFC"/>
    <w:rsid w:val="000D1D5D"/>
    <w:rsid w:val="000D1F45"/>
    <w:rsid w:val="000D1F82"/>
    <w:rsid w:val="000D244F"/>
    <w:rsid w:val="000D266C"/>
    <w:rsid w:val="000D281A"/>
    <w:rsid w:val="000D2848"/>
    <w:rsid w:val="000D326A"/>
    <w:rsid w:val="000D3498"/>
    <w:rsid w:val="000D3CD5"/>
    <w:rsid w:val="000D4022"/>
    <w:rsid w:val="000D4470"/>
    <w:rsid w:val="000D4BEA"/>
    <w:rsid w:val="000D4E97"/>
    <w:rsid w:val="000D51FB"/>
    <w:rsid w:val="000D5EDF"/>
    <w:rsid w:val="000D5F39"/>
    <w:rsid w:val="000D6D1B"/>
    <w:rsid w:val="000D7F12"/>
    <w:rsid w:val="000D7F85"/>
    <w:rsid w:val="000E00FE"/>
    <w:rsid w:val="000E0385"/>
    <w:rsid w:val="000E0640"/>
    <w:rsid w:val="000E090F"/>
    <w:rsid w:val="000E12A4"/>
    <w:rsid w:val="000E135D"/>
    <w:rsid w:val="000E327E"/>
    <w:rsid w:val="000E354D"/>
    <w:rsid w:val="000E37F6"/>
    <w:rsid w:val="000E40F8"/>
    <w:rsid w:val="000E4205"/>
    <w:rsid w:val="000E51EC"/>
    <w:rsid w:val="000E5764"/>
    <w:rsid w:val="000E6FC9"/>
    <w:rsid w:val="000E7259"/>
    <w:rsid w:val="000E75B4"/>
    <w:rsid w:val="000E7953"/>
    <w:rsid w:val="000F00BA"/>
    <w:rsid w:val="000F0D7B"/>
    <w:rsid w:val="000F1811"/>
    <w:rsid w:val="000F1CB8"/>
    <w:rsid w:val="000F219F"/>
    <w:rsid w:val="000F22F1"/>
    <w:rsid w:val="000F2483"/>
    <w:rsid w:val="000F2C0D"/>
    <w:rsid w:val="000F316A"/>
    <w:rsid w:val="000F31EC"/>
    <w:rsid w:val="000F3C74"/>
    <w:rsid w:val="000F4BB8"/>
    <w:rsid w:val="000F4FA9"/>
    <w:rsid w:val="000F50EC"/>
    <w:rsid w:val="000F53FB"/>
    <w:rsid w:val="000F68E2"/>
    <w:rsid w:val="000F7088"/>
    <w:rsid w:val="000F7127"/>
    <w:rsid w:val="000F7B54"/>
    <w:rsid w:val="001005F8"/>
    <w:rsid w:val="00100872"/>
    <w:rsid w:val="00100DF6"/>
    <w:rsid w:val="00100F8A"/>
    <w:rsid w:val="00101853"/>
    <w:rsid w:val="00101AB7"/>
    <w:rsid w:val="00101C0B"/>
    <w:rsid w:val="0010215D"/>
    <w:rsid w:val="001021E2"/>
    <w:rsid w:val="00102811"/>
    <w:rsid w:val="0010294D"/>
    <w:rsid w:val="00103026"/>
    <w:rsid w:val="001037D0"/>
    <w:rsid w:val="00103FDB"/>
    <w:rsid w:val="0010452E"/>
    <w:rsid w:val="0010545A"/>
    <w:rsid w:val="00105528"/>
    <w:rsid w:val="00105AE2"/>
    <w:rsid w:val="00105CDF"/>
    <w:rsid w:val="00105E14"/>
    <w:rsid w:val="001060C6"/>
    <w:rsid w:val="0010634A"/>
    <w:rsid w:val="0010639F"/>
    <w:rsid w:val="00106A6E"/>
    <w:rsid w:val="00106B80"/>
    <w:rsid w:val="00107043"/>
    <w:rsid w:val="00107435"/>
    <w:rsid w:val="00107525"/>
    <w:rsid w:val="00107B7D"/>
    <w:rsid w:val="00107C87"/>
    <w:rsid w:val="0011025A"/>
    <w:rsid w:val="0011032E"/>
    <w:rsid w:val="001104F3"/>
    <w:rsid w:val="001108F4"/>
    <w:rsid w:val="0011116D"/>
    <w:rsid w:val="00111334"/>
    <w:rsid w:val="0011166D"/>
    <w:rsid w:val="001116BE"/>
    <w:rsid w:val="00111D09"/>
    <w:rsid w:val="0011258B"/>
    <w:rsid w:val="00112E39"/>
    <w:rsid w:val="0011348B"/>
    <w:rsid w:val="00113538"/>
    <w:rsid w:val="00114143"/>
    <w:rsid w:val="001146A3"/>
    <w:rsid w:val="00114C1A"/>
    <w:rsid w:val="00114EAE"/>
    <w:rsid w:val="001154C6"/>
    <w:rsid w:val="00115982"/>
    <w:rsid w:val="00115F87"/>
    <w:rsid w:val="0011653F"/>
    <w:rsid w:val="001166C4"/>
    <w:rsid w:val="00116C53"/>
    <w:rsid w:val="0011773B"/>
    <w:rsid w:val="00117908"/>
    <w:rsid w:val="00117933"/>
    <w:rsid w:val="00120051"/>
    <w:rsid w:val="001200A9"/>
    <w:rsid w:val="001203BE"/>
    <w:rsid w:val="001203DE"/>
    <w:rsid w:val="00120405"/>
    <w:rsid w:val="001206A4"/>
    <w:rsid w:val="00120939"/>
    <w:rsid w:val="00120C47"/>
    <w:rsid w:val="001211CF"/>
    <w:rsid w:val="00121535"/>
    <w:rsid w:val="0012171C"/>
    <w:rsid w:val="00121799"/>
    <w:rsid w:val="001217D1"/>
    <w:rsid w:val="00121931"/>
    <w:rsid w:val="00121B88"/>
    <w:rsid w:val="001222C3"/>
    <w:rsid w:val="001222FC"/>
    <w:rsid w:val="0012237A"/>
    <w:rsid w:val="001223A9"/>
    <w:rsid w:val="00122CAD"/>
    <w:rsid w:val="001238B5"/>
    <w:rsid w:val="00123902"/>
    <w:rsid w:val="0012399F"/>
    <w:rsid w:val="00124104"/>
    <w:rsid w:val="001243F4"/>
    <w:rsid w:val="00124A51"/>
    <w:rsid w:val="001257A8"/>
    <w:rsid w:val="00125C8D"/>
    <w:rsid w:val="00125EF6"/>
    <w:rsid w:val="00126621"/>
    <w:rsid w:val="00126713"/>
    <w:rsid w:val="00126767"/>
    <w:rsid w:val="00126B1D"/>
    <w:rsid w:val="00126B39"/>
    <w:rsid w:val="001301E9"/>
    <w:rsid w:val="00130515"/>
    <w:rsid w:val="001307D8"/>
    <w:rsid w:val="00131A9E"/>
    <w:rsid w:val="00131D82"/>
    <w:rsid w:val="00132B22"/>
    <w:rsid w:val="00132B96"/>
    <w:rsid w:val="00132E0C"/>
    <w:rsid w:val="0013316B"/>
    <w:rsid w:val="00133761"/>
    <w:rsid w:val="00133D36"/>
    <w:rsid w:val="001343DB"/>
    <w:rsid w:val="00134597"/>
    <w:rsid w:val="0013470B"/>
    <w:rsid w:val="0013481B"/>
    <w:rsid w:val="00134B4A"/>
    <w:rsid w:val="00134CDD"/>
    <w:rsid w:val="00134E78"/>
    <w:rsid w:val="00135A72"/>
    <w:rsid w:val="0013677D"/>
    <w:rsid w:val="00136818"/>
    <w:rsid w:val="00136823"/>
    <w:rsid w:val="00137217"/>
    <w:rsid w:val="00137645"/>
    <w:rsid w:val="0014015A"/>
    <w:rsid w:val="00140585"/>
    <w:rsid w:val="00140A81"/>
    <w:rsid w:val="00140B16"/>
    <w:rsid w:val="00140C29"/>
    <w:rsid w:val="00140E99"/>
    <w:rsid w:val="00141C6A"/>
    <w:rsid w:val="00141F48"/>
    <w:rsid w:val="00142015"/>
    <w:rsid w:val="00142DC3"/>
    <w:rsid w:val="00143283"/>
    <w:rsid w:val="001438FF"/>
    <w:rsid w:val="00143F67"/>
    <w:rsid w:val="00145540"/>
    <w:rsid w:val="001456B0"/>
    <w:rsid w:val="00145ABD"/>
    <w:rsid w:val="001465F1"/>
    <w:rsid w:val="00146766"/>
    <w:rsid w:val="0014794B"/>
    <w:rsid w:val="00150029"/>
    <w:rsid w:val="001509BF"/>
    <w:rsid w:val="00150B1D"/>
    <w:rsid w:val="00150C7E"/>
    <w:rsid w:val="001510F5"/>
    <w:rsid w:val="00152099"/>
    <w:rsid w:val="00152349"/>
    <w:rsid w:val="00153006"/>
    <w:rsid w:val="001530F3"/>
    <w:rsid w:val="0015312E"/>
    <w:rsid w:val="0015317F"/>
    <w:rsid w:val="00153B5F"/>
    <w:rsid w:val="00153D22"/>
    <w:rsid w:val="001547D3"/>
    <w:rsid w:val="00154A86"/>
    <w:rsid w:val="00154E7B"/>
    <w:rsid w:val="00155053"/>
    <w:rsid w:val="00155618"/>
    <w:rsid w:val="00155700"/>
    <w:rsid w:val="00155C7F"/>
    <w:rsid w:val="001562A2"/>
    <w:rsid w:val="00156330"/>
    <w:rsid w:val="00156458"/>
    <w:rsid w:val="0015658B"/>
    <w:rsid w:val="00156831"/>
    <w:rsid w:val="00156C48"/>
    <w:rsid w:val="00156F4C"/>
    <w:rsid w:val="00156F8F"/>
    <w:rsid w:val="00157130"/>
    <w:rsid w:val="00157360"/>
    <w:rsid w:val="001576B1"/>
    <w:rsid w:val="00157EB8"/>
    <w:rsid w:val="00157F01"/>
    <w:rsid w:val="0016047B"/>
    <w:rsid w:val="00160A4C"/>
    <w:rsid w:val="00160BB0"/>
    <w:rsid w:val="00160C07"/>
    <w:rsid w:val="00162913"/>
    <w:rsid w:val="00162D8B"/>
    <w:rsid w:val="00162EA1"/>
    <w:rsid w:val="00163EFF"/>
    <w:rsid w:val="00163F66"/>
    <w:rsid w:val="0016466F"/>
    <w:rsid w:val="001660F2"/>
    <w:rsid w:val="001661FB"/>
    <w:rsid w:val="001671A0"/>
    <w:rsid w:val="001671A1"/>
    <w:rsid w:val="001675D4"/>
    <w:rsid w:val="0016767F"/>
    <w:rsid w:val="0017064A"/>
    <w:rsid w:val="00170913"/>
    <w:rsid w:val="0017175B"/>
    <w:rsid w:val="00172545"/>
    <w:rsid w:val="001730C9"/>
    <w:rsid w:val="0017314D"/>
    <w:rsid w:val="0017326D"/>
    <w:rsid w:val="00173565"/>
    <w:rsid w:val="001735AA"/>
    <w:rsid w:val="00173A88"/>
    <w:rsid w:val="00173AB8"/>
    <w:rsid w:val="00173B07"/>
    <w:rsid w:val="00173E38"/>
    <w:rsid w:val="00173F75"/>
    <w:rsid w:val="00174955"/>
    <w:rsid w:val="00174BC7"/>
    <w:rsid w:val="001751FA"/>
    <w:rsid w:val="001754C6"/>
    <w:rsid w:val="0017555A"/>
    <w:rsid w:val="00175786"/>
    <w:rsid w:val="001757C8"/>
    <w:rsid w:val="00176517"/>
    <w:rsid w:val="00176FD5"/>
    <w:rsid w:val="001801FB"/>
    <w:rsid w:val="00180EFA"/>
    <w:rsid w:val="0018181C"/>
    <w:rsid w:val="001818F5"/>
    <w:rsid w:val="00181BDB"/>
    <w:rsid w:val="00181D9C"/>
    <w:rsid w:val="00182C67"/>
    <w:rsid w:val="00182DB6"/>
    <w:rsid w:val="00183836"/>
    <w:rsid w:val="0018389A"/>
    <w:rsid w:val="00183D15"/>
    <w:rsid w:val="00183D26"/>
    <w:rsid w:val="00184379"/>
    <w:rsid w:val="00184401"/>
    <w:rsid w:val="001844E5"/>
    <w:rsid w:val="001848CB"/>
    <w:rsid w:val="00184B0E"/>
    <w:rsid w:val="001853BF"/>
    <w:rsid w:val="001855FF"/>
    <w:rsid w:val="00186F2D"/>
    <w:rsid w:val="00187083"/>
    <w:rsid w:val="0018752F"/>
    <w:rsid w:val="00187A25"/>
    <w:rsid w:val="00187A4F"/>
    <w:rsid w:val="00187CF5"/>
    <w:rsid w:val="00187F56"/>
    <w:rsid w:val="001900CB"/>
    <w:rsid w:val="00190407"/>
    <w:rsid w:val="0019140C"/>
    <w:rsid w:val="00191597"/>
    <w:rsid w:val="001915A3"/>
    <w:rsid w:val="00191773"/>
    <w:rsid w:val="00191B69"/>
    <w:rsid w:val="00192200"/>
    <w:rsid w:val="00192DCB"/>
    <w:rsid w:val="00193553"/>
    <w:rsid w:val="00193838"/>
    <w:rsid w:val="00194AD8"/>
    <w:rsid w:val="00194E21"/>
    <w:rsid w:val="00194F94"/>
    <w:rsid w:val="00195222"/>
    <w:rsid w:val="00195508"/>
    <w:rsid w:val="0019557E"/>
    <w:rsid w:val="0019570E"/>
    <w:rsid w:val="001958CC"/>
    <w:rsid w:val="00196092"/>
    <w:rsid w:val="001962CA"/>
    <w:rsid w:val="001975D8"/>
    <w:rsid w:val="0019782C"/>
    <w:rsid w:val="0019796B"/>
    <w:rsid w:val="001A00B9"/>
    <w:rsid w:val="001A042E"/>
    <w:rsid w:val="001A0C45"/>
    <w:rsid w:val="001A0D66"/>
    <w:rsid w:val="001A178E"/>
    <w:rsid w:val="001A1897"/>
    <w:rsid w:val="001A1929"/>
    <w:rsid w:val="001A19DC"/>
    <w:rsid w:val="001A1D88"/>
    <w:rsid w:val="001A2021"/>
    <w:rsid w:val="001A213E"/>
    <w:rsid w:val="001A23BA"/>
    <w:rsid w:val="001A2836"/>
    <w:rsid w:val="001A2916"/>
    <w:rsid w:val="001A2E58"/>
    <w:rsid w:val="001A32A1"/>
    <w:rsid w:val="001A343D"/>
    <w:rsid w:val="001A3587"/>
    <w:rsid w:val="001A3A10"/>
    <w:rsid w:val="001A3B07"/>
    <w:rsid w:val="001A43FA"/>
    <w:rsid w:val="001A4594"/>
    <w:rsid w:val="001A47C5"/>
    <w:rsid w:val="001A5059"/>
    <w:rsid w:val="001A5477"/>
    <w:rsid w:val="001A59FB"/>
    <w:rsid w:val="001A5E9E"/>
    <w:rsid w:val="001A6257"/>
    <w:rsid w:val="001A6354"/>
    <w:rsid w:val="001A6366"/>
    <w:rsid w:val="001A693D"/>
    <w:rsid w:val="001A7479"/>
    <w:rsid w:val="001A77BE"/>
    <w:rsid w:val="001A7821"/>
    <w:rsid w:val="001A7AE8"/>
    <w:rsid w:val="001A7BD0"/>
    <w:rsid w:val="001A7D0F"/>
    <w:rsid w:val="001B048C"/>
    <w:rsid w:val="001B12E0"/>
    <w:rsid w:val="001B1D10"/>
    <w:rsid w:val="001B204E"/>
    <w:rsid w:val="001B2290"/>
    <w:rsid w:val="001B2372"/>
    <w:rsid w:val="001B2840"/>
    <w:rsid w:val="001B2A3B"/>
    <w:rsid w:val="001B2D53"/>
    <w:rsid w:val="001B3443"/>
    <w:rsid w:val="001B3AAF"/>
    <w:rsid w:val="001B3B51"/>
    <w:rsid w:val="001B3F5F"/>
    <w:rsid w:val="001B4533"/>
    <w:rsid w:val="001B45C4"/>
    <w:rsid w:val="001B488B"/>
    <w:rsid w:val="001B4C72"/>
    <w:rsid w:val="001B4D20"/>
    <w:rsid w:val="001B531E"/>
    <w:rsid w:val="001B5601"/>
    <w:rsid w:val="001B5857"/>
    <w:rsid w:val="001B611B"/>
    <w:rsid w:val="001B650B"/>
    <w:rsid w:val="001B71C2"/>
    <w:rsid w:val="001B7617"/>
    <w:rsid w:val="001B7AE5"/>
    <w:rsid w:val="001C148F"/>
    <w:rsid w:val="001C19D4"/>
    <w:rsid w:val="001C2204"/>
    <w:rsid w:val="001C2533"/>
    <w:rsid w:val="001C2A9B"/>
    <w:rsid w:val="001C2C57"/>
    <w:rsid w:val="001C3D98"/>
    <w:rsid w:val="001C3E35"/>
    <w:rsid w:val="001C4299"/>
    <w:rsid w:val="001C4554"/>
    <w:rsid w:val="001C4874"/>
    <w:rsid w:val="001C4A85"/>
    <w:rsid w:val="001C4CEA"/>
    <w:rsid w:val="001C54CD"/>
    <w:rsid w:val="001C559F"/>
    <w:rsid w:val="001C5797"/>
    <w:rsid w:val="001C5F94"/>
    <w:rsid w:val="001C6490"/>
    <w:rsid w:val="001C664D"/>
    <w:rsid w:val="001C6BDC"/>
    <w:rsid w:val="001C6E66"/>
    <w:rsid w:val="001D04C7"/>
    <w:rsid w:val="001D0DE0"/>
    <w:rsid w:val="001D1100"/>
    <w:rsid w:val="001D1391"/>
    <w:rsid w:val="001D22F8"/>
    <w:rsid w:val="001D2317"/>
    <w:rsid w:val="001D240D"/>
    <w:rsid w:val="001D25A8"/>
    <w:rsid w:val="001D25D7"/>
    <w:rsid w:val="001D28DE"/>
    <w:rsid w:val="001D37A9"/>
    <w:rsid w:val="001D482E"/>
    <w:rsid w:val="001D50B2"/>
    <w:rsid w:val="001D52FA"/>
    <w:rsid w:val="001D5753"/>
    <w:rsid w:val="001D5FA2"/>
    <w:rsid w:val="001D641A"/>
    <w:rsid w:val="001D6791"/>
    <w:rsid w:val="001D6988"/>
    <w:rsid w:val="001D6A86"/>
    <w:rsid w:val="001D715E"/>
    <w:rsid w:val="001D7645"/>
    <w:rsid w:val="001E0552"/>
    <w:rsid w:val="001E11D7"/>
    <w:rsid w:val="001E1E86"/>
    <w:rsid w:val="001E1EB7"/>
    <w:rsid w:val="001E1EEE"/>
    <w:rsid w:val="001E238E"/>
    <w:rsid w:val="001E2483"/>
    <w:rsid w:val="001E2B1E"/>
    <w:rsid w:val="001E2CFF"/>
    <w:rsid w:val="001E2F24"/>
    <w:rsid w:val="001E30D4"/>
    <w:rsid w:val="001E32F8"/>
    <w:rsid w:val="001E34DF"/>
    <w:rsid w:val="001E35F6"/>
    <w:rsid w:val="001E3AB7"/>
    <w:rsid w:val="001E4401"/>
    <w:rsid w:val="001E47EB"/>
    <w:rsid w:val="001E4EA7"/>
    <w:rsid w:val="001E5196"/>
    <w:rsid w:val="001E52EB"/>
    <w:rsid w:val="001E583F"/>
    <w:rsid w:val="001E5A40"/>
    <w:rsid w:val="001E5F1B"/>
    <w:rsid w:val="001E61D2"/>
    <w:rsid w:val="001E6794"/>
    <w:rsid w:val="001E6890"/>
    <w:rsid w:val="001E6CE6"/>
    <w:rsid w:val="001E719F"/>
    <w:rsid w:val="001E740C"/>
    <w:rsid w:val="001E750B"/>
    <w:rsid w:val="001E7B63"/>
    <w:rsid w:val="001E7C9F"/>
    <w:rsid w:val="001F0393"/>
    <w:rsid w:val="001F0593"/>
    <w:rsid w:val="001F0C41"/>
    <w:rsid w:val="001F1235"/>
    <w:rsid w:val="001F1CB3"/>
    <w:rsid w:val="001F1D6B"/>
    <w:rsid w:val="001F1FB3"/>
    <w:rsid w:val="001F207B"/>
    <w:rsid w:val="001F2693"/>
    <w:rsid w:val="001F283F"/>
    <w:rsid w:val="001F29F8"/>
    <w:rsid w:val="001F2A80"/>
    <w:rsid w:val="001F38B3"/>
    <w:rsid w:val="001F38B5"/>
    <w:rsid w:val="001F39B2"/>
    <w:rsid w:val="001F3CAE"/>
    <w:rsid w:val="001F3E17"/>
    <w:rsid w:val="001F3F0A"/>
    <w:rsid w:val="001F4081"/>
    <w:rsid w:val="001F41C5"/>
    <w:rsid w:val="001F4DB2"/>
    <w:rsid w:val="001F56F0"/>
    <w:rsid w:val="001F5C16"/>
    <w:rsid w:val="001F6F64"/>
    <w:rsid w:val="001F7030"/>
    <w:rsid w:val="001F7361"/>
    <w:rsid w:val="001F75C9"/>
    <w:rsid w:val="001F76B6"/>
    <w:rsid w:val="001F774D"/>
    <w:rsid w:val="002007C9"/>
    <w:rsid w:val="002011B0"/>
    <w:rsid w:val="00202387"/>
    <w:rsid w:val="00202CB1"/>
    <w:rsid w:val="00202CDC"/>
    <w:rsid w:val="00202ED5"/>
    <w:rsid w:val="00203181"/>
    <w:rsid w:val="00203783"/>
    <w:rsid w:val="0020385F"/>
    <w:rsid w:val="00203D09"/>
    <w:rsid w:val="00203F73"/>
    <w:rsid w:val="0020419A"/>
    <w:rsid w:val="002046ED"/>
    <w:rsid w:val="00204EAA"/>
    <w:rsid w:val="0020508D"/>
    <w:rsid w:val="00205096"/>
    <w:rsid w:val="00205128"/>
    <w:rsid w:val="00205F9C"/>
    <w:rsid w:val="0020604B"/>
    <w:rsid w:val="002068A0"/>
    <w:rsid w:val="00207021"/>
    <w:rsid w:val="0020732F"/>
    <w:rsid w:val="00207564"/>
    <w:rsid w:val="00207657"/>
    <w:rsid w:val="002079AF"/>
    <w:rsid w:val="00207C5D"/>
    <w:rsid w:val="00207D00"/>
    <w:rsid w:val="00207E8B"/>
    <w:rsid w:val="00210351"/>
    <w:rsid w:val="002105C1"/>
    <w:rsid w:val="00211AEC"/>
    <w:rsid w:val="00211F5A"/>
    <w:rsid w:val="002126AB"/>
    <w:rsid w:val="00212B4E"/>
    <w:rsid w:val="00212B9B"/>
    <w:rsid w:val="00213D4D"/>
    <w:rsid w:val="00213EF5"/>
    <w:rsid w:val="00214077"/>
    <w:rsid w:val="0021441F"/>
    <w:rsid w:val="00214AE3"/>
    <w:rsid w:val="00214B86"/>
    <w:rsid w:val="00215025"/>
    <w:rsid w:val="002153DA"/>
    <w:rsid w:val="00215A2A"/>
    <w:rsid w:val="00216BF5"/>
    <w:rsid w:val="00216CDC"/>
    <w:rsid w:val="002173EE"/>
    <w:rsid w:val="0021766F"/>
    <w:rsid w:val="00217886"/>
    <w:rsid w:val="00220787"/>
    <w:rsid w:val="00220BC0"/>
    <w:rsid w:val="00220DC4"/>
    <w:rsid w:val="00221034"/>
    <w:rsid w:val="0022167A"/>
    <w:rsid w:val="00221C6E"/>
    <w:rsid w:val="00221FC4"/>
    <w:rsid w:val="002221AB"/>
    <w:rsid w:val="00222291"/>
    <w:rsid w:val="002222A8"/>
    <w:rsid w:val="002227CF"/>
    <w:rsid w:val="00222ED0"/>
    <w:rsid w:val="0022355E"/>
    <w:rsid w:val="0022361D"/>
    <w:rsid w:val="00223B49"/>
    <w:rsid w:val="00223D5A"/>
    <w:rsid w:val="00223E29"/>
    <w:rsid w:val="002240EF"/>
    <w:rsid w:val="002244CF"/>
    <w:rsid w:val="00224DD4"/>
    <w:rsid w:val="00225786"/>
    <w:rsid w:val="00225B9D"/>
    <w:rsid w:val="00226408"/>
    <w:rsid w:val="00227854"/>
    <w:rsid w:val="002278A0"/>
    <w:rsid w:val="00227EF1"/>
    <w:rsid w:val="002309CC"/>
    <w:rsid w:val="00230E78"/>
    <w:rsid w:val="00230F64"/>
    <w:rsid w:val="0023209F"/>
    <w:rsid w:val="0023242E"/>
    <w:rsid w:val="002328C8"/>
    <w:rsid w:val="002331D7"/>
    <w:rsid w:val="00233207"/>
    <w:rsid w:val="0023397F"/>
    <w:rsid w:val="00233C01"/>
    <w:rsid w:val="00233E35"/>
    <w:rsid w:val="0023413C"/>
    <w:rsid w:val="0023444C"/>
    <w:rsid w:val="002346F0"/>
    <w:rsid w:val="00234F18"/>
    <w:rsid w:val="002360CB"/>
    <w:rsid w:val="00236172"/>
    <w:rsid w:val="0023629D"/>
    <w:rsid w:val="00237255"/>
    <w:rsid w:val="002373A5"/>
    <w:rsid w:val="00237508"/>
    <w:rsid w:val="0023756F"/>
    <w:rsid w:val="00237620"/>
    <w:rsid w:val="002376DA"/>
    <w:rsid w:val="002406FC"/>
    <w:rsid w:val="002424AF"/>
    <w:rsid w:val="00242BA5"/>
    <w:rsid w:val="0024310E"/>
    <w:rsid w:val="0024314D"/>
    <w:rsid w:val="0024325E"/>
    <w:rsid w:val="002439DC"/>
    <w:rsid w:val="00243A0E"/>
    <w:rsid w:val="00243D69"/>
    <w:rsid w:val="002441D2"/>
    <w:rsid w:val="00244D62"/>
    <w:rsid w:val="00244DC8"/>
    <w:rsid w:val="00244DE2"/>
    <w:rsid w:val="002451C0"/>
    <w:rsid w:val="002454CD"/>
    <w:rsid w:val="002458BA"/>
    <w:rsid w:val="00245B44"/>
    <w:rsid w:val="00245CE9"/>
    <w:rsid w:val="00245D2F"/>
    <w:rsid w:val="0024636C"/>
    <w:rsid w:val="00247925"/>
    <w:rsid w:val="00247E31"/>
    <w:rsid w:val="00247F3C"/>
    <w:rsid w:val="00250DE6"/>
    <w:rsid w:val="00251006"/>
    <w:rsid w:val="00251014"/>
    <w:rsid w:val="002517BA"/>
    <w:rsid w:val="00251F5A"/>
    <w:rsid w:val="002524D5"/>
    <w:rsid w:val="002529C9"/>
    <w:rsid w:val="00252FDF"/>
    <w:rsid w:val="002534BA"/>
    <w:rsid w:val="00253504"/>
    <w:rsid w:val="0025393F"/>
    <w:rsid w:val="00253B1D"/>
    <w:rsid w:val="00254DCF"/>
    <w:rsid w:val="00255253"/>
    <w:rsid w:val="0025534B"/>
    <w:rsid w:val="002559FA"/>
    <w:rsid w:val="00255B05"/>
    <w:rsid w:val="00255BB7"/>
    <w:rsid w:val="00255F20"/>
    <w:rsid w:val="002564B8"/>
    <w:rsid w:val="002570A1"/>
    <w:rsid w:val="00257541"/>
    <w:rsid w:val="00257A39"/>
    <w:rsid w:val="00257AC4"/>
    <w:rsid w:val="00257E14"/>
    <w:rsid w:val="00260364"/>
    <w:rsid w:val="0026057E"/>
    <w:rsid w:val="0026134F"/>
    <w:rsid w:val="00261787"/>
    <w:rsid w:val="00261791"/>
    <w:rsid w:val="00261EEF"/>
    <w:rsid w:val="002620D6"/>
    <w:rsid w:val="002629A8"/>
    <w:rsid w:val="00262A1A"/>
    <w:rsid w:val="00262A87"/>
    <w:rsid w:val="00263233"/>
    <w:rsid w:val="00263C85"/>
    <w:rsid w:val="00263CE4"/>
    <w:rsid w:val="002647F9"/>
    <w:rsid w:val="00264BB8"/>
    <w:rsid w:val="00264D26"/>
    <w:rsid w:val="00264D67"/>
    <w:rsid w:val="0026625F"/>
    <w:rsid w:val="0026670F"/>
    <w:rsid w:val="00267642"/>
    <w:rsid w:val="00267AD9"/>
    <w:rsid w:val="00267AEA"/>
    <w:rsid w:val="00267CF2"/>
    <w:rsid w:val="002700E6"/>
    <w:rsid w:val="002705C4"/>
    <w:rsid w:val="002706FA"/>
    <w:rsid w:val="00270F88"/>
    <w:rsid w:val="00271013"/>
    <w:rsid w:val="00271290"/>
    <w:rsid w:val="00271F9B"/>
    <w:rsid w:val="002728C0"/>
    <w:rsid w:val="0027294B"/>
    <w:rsid w:val="00272C76"/>
    <w:rsid w:val="0027312C"/>
    <w:rsid w:val="00273306"/>
    <w:rsid w:val="0027335F"/>
    <w:rsid w:val="00273EA0"/>
    <w:rsid w:val="00273EB4"/>
    <w:rsid w:val="0027416C"/>
    <w:rsid w:val="00274682"/>
    <w:rsid w:val="00274891"/>
    <w:rsid w:val="00274974"/>
    <w:rsid w:val="002751AB"/>
    <w:rsid w:val="0027548D"/>
    <w:rsid w:val="002755FE"/>
    <w:rsid w:val="00275C5A"/>
    <w:rsid w:val="0027665C"/>
    <w:rsid w:val="00276B60"/>
    <w:rsid w:val="00276EFD"/>
    <w:rsid w:val="0027781B"/>
    <w:rsid w:val="00277BE9"/>
    <w:rsid w:val="00277D94"/>
    <w:rsid w:val="00277DAD"/>
    <w:rsid w:val="00280256"/>
    <w:rsid w:val="0028052B"/>
    <w:rsid w:val="00281014"/>
    <w:rsid w:val="002826CD"/>
    <w:rsid w:val="00282CA4"/>
    <w:rsid w:val="002836B8"/>
    <w:rsid w:val="00284C97"/>
    <w:rsid w:val="00284EB8"/>
    <w:rsid w:val="00285847"/>
    <w:rsid w:val="00285AE0"/>
    <w:rsid w:val="00285EB9"/>
    <w:rsid w:val="0028665D"/>
    <w:rsid w:val="00286A8F"/>
    <w:rsid w:val="00287A8E"/>
    <w:rsid w:val="00287C62"/>
    <w:rsid w:val="002904EB"/>
    <w:rsid w:val="00290504"/>
    <w:rsid w:val="00290A04"/>
    <w:rsid w:val="00290E84"/>
    <w:rsid w:val="002922A7"/>
    <w:rsid w:val="0029243F"/>
    <w:rsid w:val="002925E3"/>
    <w:rsid w:val="0029278C"/>
    <w:rsid w:val="00292A2D"/>
    <w:rsid w:val="00292AEA"/>
    <w:rsid w:val="002935BD"/>
    <w:rsid w:val="00293CF5"/>
    <w:rsid w:val="00294328"/>
    <w:rsid w:val="0029445D"/>
    <w:rsid w:val="00294848"/>
    <w:rsid w:val="0029589A"/>
    <w:rsid w:val="0029690A"/>
    <w:rsid w:val="002A01A3"/>
    <w:rsid w:val="002A0F19"/>
    <w:rsid w:val="002A14AB"/>
    <w:rsid w:val="002A181F"/>
    <w:rsid w:val="002A1BE5"/>
    <w:rsid w:val="002A238E"/>
    <w:rsid w:val="002A2ADE"/>
    <w:rsid w:val="002A2E9E"/>
    <w:rsid w:val="002A2F50"/>
    <w:rsid w:val="002A3D75"/>
    <w:rsid w:val="002A3DDF"/>
    <w:rsid w:val="002A41D2"/>
    <w:rsid w:val="002A4286"/>
    <w:rsid w:val="002A4312"/>
    <w:rsid w:val="002A481C"/>
    <w:rsid w:val="002A4BE7"/>
    <w:rsid w:val="002A5AB7"/>
    <w:rsid w:val="002A71A6"/>
    <w:rsid w:val="002A784F"/>
    <w:rsid w:val="002A7CD2"/>
    <w:rsid w:val="002B05A1"/>
    <w:rsid w:val="002B0981"/>
    <w:rsid w:val="002B09A4"/>
    <w:rsid w:val="002B0D6D"/>
    <w:rsid w:val="002B1204"/>
    <w:rsid w:val="002B1603"/>
    <w:rsid w:val="002B1C1F"/>
    <w:rsid w:val="002B1EAD"/>
    <w:rsid w:val="002B1FCB"/>
    <w:rsid w:val="002B1FDF"/>
    <w:rsid w:val="002B3496"/>
    <w:rsid w:val="002B3F81"/>
    <w:rsid w:val="002B3F9C"/>
    <w:rsid w:val="002B432F"/>
    <w:rsid w:val="002B4338"/>
    <w:rsid w:val="002B46AE"/>
    <w:rsid w:val="002B4814"/>
    <w:rsid w:val="002B4883"/>
    <w:rsid w:val="002B4BE5"/>
    <w:rsid w:val="002B4E26"/>
    <w:rsid w:val="002B51F2"/>
    <w:rsid w:val="002B5DEA"/>
    <w:rsid w:val="002B62B3"/>
    <w:rsid w:val="002B65D7"/>
    <w:rsid w:val="002B6754"/>
    <w:rsid w:val="002B6CCE"/>
    <w:rsid w:val="002B7669"/>
    <w:rsid w:val="002B7B09"/>
    <w:rsid w:val="002B7CC3"/>
    <w:rsid w:val="002B7DB0"/>
    <w:rsid w:val="002BE99E"/>
    <w:rsid w:val="002C0047"/>
    <w:rsid w:val="002C025A"/>
    <w:rsid w:val="002C027C"/>
    <w:rsid w:val="002C032E"/>
    <w:rsid w:val="002C04F4"/>
    <w:rsid w:val="002C0E7E"/>
    <w:rsid w:val="002C2510"/>
    <w:rsid w:val="002C2775"/>
    <w:rsid w:val="002C27C1"/>
    <w:rsid w:val="002C3139"/>
    <w:rsid w:val="002C3A7E"/>
    <w:rsid w:val="002C3B43"/>
    <w:rsid w:val="002C3B71"/>
    <w:rsid w:val="002C3D0D"/>
    <w:rsid w:val="002C4484"/>
    <w:rsid w:val="002C45ED"/>
    <w:rsid w:val="002C4FF1"/>
    <w:rsid w:val="002C5099"/>
    <w:rsid w:val="002C5889"/>
    <w:rsid w:val="002C5E71"/>
    <w:rsid w:val="002C6422"/>
    <w:rsid w:val="002C71CE"/>
    <w:rsid w:val="002C71E5"/>
    <w:rsid w:val="002C7B5E"/>
    <w:rsid w:val="002D0574"/>
    <w:rsid w:val="002D08F8"/>
    <w:rsid w:val="002D0F18"/>
    <w:rsid w:val="002D10E5"/>
    <w:rsid w:val="002D172C"/>
    <w:rsid w:val="002D1E26"/>
    <w:rsid w:val="002D2A3F"/>
    <w:rsid w:val="002D2B44"/>
    <w:rsid w:val="002D2BC0"/>
    <w:rsid w:val="002D2D9B"/>
    <w:rsid w:val="002D2E0D"/>
    <w:rsid w:val="002D3854"/>
    <w:rsid w:val="002D3AE0"/>
    <w:rsid w:val="002D3ED0"/>
    <w:rsid w:val="002D458F"/>
    <w:rsid w:val="002D577C"/>
    <w:rsid w:val="002D58E9"/>
    <w:rsid w:val="002D5A0E"/>
    <w:rsid w:val="002D5A53"/>
    <w:rsid w:val="002D5D4A"/>
    <w:rsid w:val="002D5E7D"/>
    <w:rsid w:val="002D6073"/>
    <w:rsid w:val="002D6747"/>
    <w:rsid w:val="002D6888"/>
    <w:rsid w:val="002D6DCF"/>
    <w:rsid w:val="002D76A3"/>
    <w:rsid w:val="002D79D0"/>
    <w:rsid w:val="002DDB61"/>
    <w:rsid w:val="002E0099"/>
    <w:rsid w:val="002E0143"/>
    <w:rsid w:val="002E0AC7"/>
    <w:rsid w:val="002E0C81"/>
    <w:rsid w:val="002E0D1D"/>
    <w:rsid w:val="002E1071"/>
    <w:rsid w:val="002E15B9"/>
    <w:rsid w:val="002E1669"/>
    <w:rsid w:val="002E1AD9"/>
    <w:rsid w:val="002E1BE3"/>
    <w:rsid w:val="002E1FB5"/>
    <w:rsid w:val="002E2158"/>
    <w:rsid w:val="002E2346"/>
    <w:rsid w:val="002E2A20"/>
    <w:rsid w:val="002E3023"/>
    <w:rsid w:val="002E3D24"/>
    <w:rsid w:val="002E4170"/>
    <w:rsid w:val="002E4947"/>
    <w:rsid w:val="002E4F02"/>
    <w:rsid w:val="002E50D0"/>
    <w:rsid w:val="002E67DF"/>
    <w:rsid w:val="002E737F"/>
    <w:rsid w:val="002E7722"/>
    <w:rsid w:val="002F07BA"/>
    <w:rsid w:val="002F07F1"/>
    <w:rsid w:val="002F0DA9"/>
    <w:rsid w:val="002F1014"/>
    <w:rsid w:val="002F1249"/>
    <w:rsid w:val="002F1844"/>
    <w:rsid w:val="002F1A5F"/>
    <w:rsid w:val="002F1BE9"/>
    <w:rsid w:val="002F1C05"/>
    <w:rsid w:val="002F1FE1"/>
    <w:rsid w:val="002F282F"/>
    <w:rsid w:val="002F2F82"/>
    <w:rsid w:val="002F3158"/>
    <w:rsid w:val="002F3258"/>
    <w:rsid w:val="002F3AE0"/>
    <w:rsid w:val="002F3B19"/>
    <w:rsid w:val="002F5065"/>
    <w:rsid w:val="002F62F3"/>
    <w:rsid w:val="002F643C"/>
    <w:rsid w:val="002F6D60"/>
    <w:rsid w:val="002F71C0"/>
    <w:rsid w:val="002F7399"/>
    <w:rsid w:val="002F74F1"/>
    <w:rsid w:val="002F7885"/>
    <w:rsid w:val="002F78E9"/>
    <w:rsid w:val="002F7C4D"/>
    <w:rsid w:val="003003B6"/>
    <w:rsid w:val="00300BAE"/>
    <w:rsid w:val="00301017"/>
    <w:rsid w:val="0030155F"/>
    <w:rsid w:val="00301DAC"/>
    <w:rsid w:val="00302646"/>
    <w:rsid w:val="00302B4D"/>
    <w:rsid w:val="00303328"/>
    <w:rsid w:val="00304C20"/>
    <w:rsid w:val="0030587B"/>
    <w:rsid w:val="0030591F"/>
    <w:rsid w:val="00306142"/>
    <w:rsid w:val="0030690B"/>
    <w:rsid w:val="003069FF"/>
    <w:rsid w:val="00306D98"/>
    <w:rsid w:val="00306F49"/>
    <w:rsid w:val="00306FF6"/>
    <w:rsid w:val="003077C2"/>
    <w:rsid w:val="003077D1"/>
    <w:rsid w:val="003077E7"/>
    <w:rsid w:val="0030786C"/>
    <w:rsid w:val="00310113"/>
    <w:rsid w:val="0031031A"/>
    <w:rsid w:val="0031031F"/>
    <w:rsid w:val="00310981"/>
    <w:rsid w:val="00310BE5"/>
    <w:rsid w:val="00310F84"/>
    <w:rsid w:val="00311105"/>
    <w:rsid w:val="003117FA"/>
    <w:rsid w:val="0031184F"/>
    <w:rsid w:val="00311AB1"/>
    <w:rsid w:val="003120E3"/>
    <w:rsid w:val="003124CC"/>
    <w:rsid w:val="003124D9"/>
    <w:rsid w:val="00312594"/>
    <w:rsid w:val="00312970"/>
    <w:rsid w:val="00313201"/>
    <w:rsid w:val="00314CDA"/>
    <w:rsid w:val="003153BA"/>
    <w:rsid w:val="00315498"/>
    <w:rsid w:val="00315D74"/>
    <w:rsid w:val="00315EF8"/>
    <w:rsid w:val="003163C7"/>
    <w:rsid w:val="00316474"/>
    <w:rsid w:val="00316564"/>
    <w:rsid w:val="00317C50"/>
    <w:rsid w:val="00320B7F"/>
    <w:rsid w:val="00320DFB"/>
    <w:rsid w:val="00321103"/>
    <w:rsid w:val="0032141D"/>
    <w:rsid w:val="00322107"/>
    <w:rsid w:val="00322355"/>
    <w:rsid w:val="003227E6"/>
    <w:rsid w:val="00322846"/>
    <w:rsid w:val="00322DC5"/>
    <w:rsid w:val="00322DCD"/>
    <w:rsid w:val="003232C9"/>
    <w:rsid w:val="00323823"/>
    <w:rsid w:val="0032476A"/>
    <w:rsid w:val="003247AF"/>
    <w:rsid w:val="003250C7"/>
    <w:rsid w:val="0032595C"/>
    <w:rsid w:val="00325DF7"/>
    <w:rsid w:val="00326413"/>
    <w:rsid w:val="0032642D"/>
    <w:rsid w:val="003264EE"/>
    <w:rsid w:val="00326C97"/>
    <w:rsid w:val="00326DA7"/>
    <w:rsid w:val="00326DD1"/>
    <w:rsid w:val="003270E4"/>
    <w:rsid w:val="0032744D"/>
    <w:rsid w:val="00327C97"/>
    <w:rsid w:val="0033074F"/>
    <w:rsid w:val="00330DAA"/>
    <w:rsid w:val="00330DEA"/>
    <w:rsid w:val="00330F5C"/>
    <w:rsid w:val="00331674"/>
    <w:rsid w:val="003318A6"/>
    <w:rsid w:val="00331B51"/>
    <w:rsid w:val="0033205F"/>
    <w:rsid w:val="003326BD"/>
    <w:rsid w:val="00332776"/>
    <w:rsid w:val="00332ABC"/>
    <w:rsid w:val="0033308B"/>
    <w:rsid w:val="003337DE"/>
    <w:rsid w:val="00333FF4"/>
    <w:rsid w:val="00333FFC"/>
    <w:rsid w:val="003341E1"/>
    <w:rsid w:val="00334736"/>
    <w:rsid w:val="00334F67"/>
    <w:rsid w:val="00335008"/>
    <w:rsid w:val="00335D47"/>
    <w:rsid w:val="00335D89"/>
    <w:rsid w:val="00335DF2"/>
    <w:rsid w:val="00336083"/>
    <w:rsid w:val="003366C9"/>
    <w:rsid w:val="003369FF"/>
    <w:rsid w:val="003371B0"/>
    <w:rsid w:val="0033729A"/>
    <w:rsid w:val="0033738A"/>
    <w:rsid w:val="00337D38"/>
    <w:rsid w:val="00337E10"/>
    <w:rsid w:val="00340042"/>
    <w:rsid w:val="00340126"/>
    <w:rsid w:val="00340DF1"/>
    <w:rsid w:val="00342E70"/>
    <w:rsid w:val="00343FD0"/>
    <w:rsid w:val="00344196"/>
    <w:rsid w:val="0034504C"/>
    <w:rsid w:val="00345052"/>
    <w:rsid w:val="00345163"/>
    <w:rsid w:val="00345443"/>
    <w:rsid w:val="00345E3D"/>
    <w:rsid w:val="003478CB"/>
    <w:rsid w:val="00347DE7"/>
    <w:rsid w:val="003503A4"/>
    <w:rsid w:val="00350BA9"/>
    <w:rsid w:val="00350D88"/>
    <w:rsid w:val="0035100B"/>
    <w:rsid w:val="003517F9"/>
    <w:rsid w:val="00351BA9"/>
    <w:rsid w:val="00352AD5"/>
    <w:rsid w:val="00352B67"/>
    <w:rsid w:val="003531A9"/>
    <w:rsid w:val="003532D1"/>
    <w:rsid w:val="00354F64"/>
    <w:rsid w:val="003558D7"/>
    <w:rsid w:val="00355E9F"/>
    <w:rsid w:val="0035620E"/>
    <w:rsid w:val="00356916"/>
    <w:rsid w:val="00356B10"/>
    <w:rsid w:val="00356B64"/>
    <w:rsid w:val="0035706F"/>
    <w:rsid w:val="00357819"/>
    <w:rsid w:val="00360053"/>
    <w:rsid w:val="003602A1"/>
    <w:rsid w:val="00360326"/>
    <w:rsid w:val="00360345"/>
    <w:rsid w:val="0036085F"/>
    <w:rsid w:val="003608AE"/>
    <w:rsid w:val="00360B14"/>
    <w:rsid w:val="00360C70"/>
    <w:rsid w:val="00360CA4"/>
    <w:rsid w:val="00360D60"/>
    <w:rsid w:val="00361A05"/>
    <w:rsid w:val="00361F6C"/>
    <w:rsid w:val="003624C4"/>
    <w:rsid w:val="0036271A"/>
    <w:rsid w:val="00362CD8"/>
    <w:rsid w:val="00363B00"/>
    <w:rsid w:val="0036412B"/>
    <w:rsid w:val="0036490D"/>
    <w:rsid w:val="00364C59"/>
    <w:rsid w:val="0036522D"/>
    <w:rsid w:val="003654AC"/>
    <w:rsid w:val="003654AF"/>
    <w:rsid w:val="0036772E"/>
    <w:rsid w:val="00367AA9"/>
    <w:rsid w:val="00367FA5"/>
    <w:rsid w:val="003701C6"/>
    <w:rsid w:val="003710CF"/>
    <w:rsid w:val="0037157D"/>
    <w:rsid w:val="00371A14"/>
    <w:rsid w:val="00371FC4"/>
    <w:rsid w:val="0037230B"/>
    <w:rsid w:val="00372587"/>
    <w:rsid w:val="00372B3A"/>
    <w:rsid w:val="003731CE"/>
    <w:rsid w:val="003732D2"/>
    <w:rsid w:val="00373456"/>
    <w:rsid w:val="0037358A"/>
    <w:rsid w:val="003739C5"/>
    <w:rsid w:val="003739CA"/>
    <w:rsid w:val="003739F1"/>
    <w:rsid w:val="00374238"/>
    <w:rsid w:val="003743B3"/>
    <w:rsid w:val="003744D0"/>
    <w:rsid w:val="00374619"/>
    <w:rsid w:val="00374886"/>
    <w:rsid w:val="00374968"/>
    <w:rsid w:val="00374A0C"/>
    <w:rsid w:val="00374AC6"/>
    <w:rsid w:val="003750F6"/>
    <w:rsid w:val="00375358"/>
    <w:rsid w:val="00375AAE"/>
    <w:rsid w:val="003760FC"/>
    <w:rsid w:val="00376A84"/>
    <w:rsid w:val="00376DAA"/>
    <w:rsid w:val="003772FE"/>
    <w:rsid w:val="00377330"/>
    <w:rsid w:val="0037739C"/>
    <w:rsid w:val="003777FF"/>
    <w:rsid w:val="003779F2"/>
    <w:rsid w:val="00377EA7"/>
    <w:rsid w:val="0038047E"/>
    <w:rsid w:val="003807A4"/>
    <w:rsid w:val="0038130A"/>
    <w:rsid w:val="00381483"/>
    <w:rsid w:val="0038196B"/>
    <w:rsid w:val="003819FD"/>
    <w:rsid w:val="0038216B"/>
    <w:rsid w:val="003822C2"/>
    <w:rsid w:val="003822F7"/>
    <w:rsid w:val="00382516"/>
    <w:rsid w:val="003826AC"/>
    <w:rsid w:val="003826CB"/>
    <w:rsid w:val="003830AF"/>
    <w:rsid w:val="0038365C"/>
    <w:rsid w:val="0038369B"/>
    <w:rsid w:val="003839A5"/>
    <w:rsid w:val="00383B78"/>
    <w:rsid w:val="00383F54"/>
    <w:rsid w:val="003841B3"/>
    <w:rsid w:val="00385A9D"/>
    <w:rsid w:val="00385EAB"/>
    <w:rsid w:val="00386D9F"/>
    <w:rsid w:val="003873C2"/>
    <w:rsid w:val="00390034"/>
    <w:rsid w:val="003902B1"/>
    <w:rsid w:val="003906EB"/>
    <w:rsid w:val="00390D01"/>
    <w:rsid w:val="0039179C"/>
    <w:rsid w:val="0039255D"/>
    <w:rsid w:val="0039291A"/>
    <w:rsid w:val="00392B9D"/>
    <w:rsid w:val="003936A2"/>
    <w:rsid w:val="003941A3"/>
    <w:rsid w:val="00394C0F"/>
    <w:rsid w:val="00395941"/>
    <w:rsid w:val="00395EB9"/>
    <w:rsid w:val="00396896"/>
    <w:rsid w:val="00396AEA"/>
    <w:rsid w:val="00396FD0"/>
    <w:rsid w:val="003972B9"/>
    <w:rsid w:val="00397DD0"/>
    <w:rsid w:val="003A03EB"/>
    <w:rsid w:val="003A0971"/>
    <w:rsid w:val="003A0CB3"/>
    <w:rsid w:val="003A0D61"/>
    <w:rsid w:val="003A0D8E"/>
    <w:rsid w:val="003A1911"/>
    <w:rsid w:val="003A1A7A"/>
    <w:rsid w:val="003A2392"/>
    <w:rsid w:val="003A23C0"/>
    <w:rsid w:val="003A24A0"/>
    <w:rsid w:val="003A2831"/>
    <w:rsid w:val="003A2978"/>
    <w:rsid w:val="003A3CB6"/>
    <w:rsid w:val="003A3ED1"/>
    <w:rsid w:val="003A44DB"/>
    <w:rsid w:val="003A4ADB"/>
    <w:rsid w:val="003A511B"/>
    <w:rsid w:val="003A5AD5"/>
    <w:rsid w:val="003A5C60"/>
    <w:rsid w:val="003A5DFF"/>
    <w:rsid w:val="003A6009"/>
    <w:rsid w:val="003A757B"/>
    <w:rsid w:val="003B0779"/>
    <w:rsid w:val="003B0808"/>
    <w:rsid w:val="003B08DC"/>
    <w:rsid w:val="003B0B77"/>
    <w:rsid w:val="003B1226"/>
    <w:rsid w:val="003B14EB"/>
    <w:rsid w:val="003B1A45"/>
    <w:rsid w:val="003B2495"/>
    <w:rsid w:val="003B33E8"/>
    <w:rsid w:val="003B3497"/>
    <w:rsid w:val="003B3872"/>
    <w:rsid w:val="003B3971"/>
    <w:rsid w:val="003B3B2C"/>
    <w:rsid w:val="003B4706"/>
    <w:rsid w:val="003B4C6A"/>
    <w:rsid w:val="003B4D39"/>
    <w:rsid w:val="003B55D1"/>
    <w:rsid w:val="003B580F"/>
    <w:rsid w:val="003B58B0"/>
    <w:rsid w:val="003B5B61"/>
    <w:rsid w:val="003B62E5"/>
    <w:rsid w:val="003B6861"/>
    <w:rsid w:val="003B6D47"/>
    <w:rsid w:val="003B75B1"/>
    <w:rsid w:val="003C0097"/>
    <w:rsid w:val="003C0419"/>
    <w:rsid w:val="003C0610"/>
    <w:rsid w:val="003C0ED5"/>
    <w:rsid w:val="003C1009"/>
    <w:rsid w:val="003C1654"/>
    <w:rsid w:val="003C1A7C"/>
    <w:rsid w:val="003C1B36"/>
    <w:rsid w:val="003C1FF6"/>
    <w:rsid w:val="003C217D"/>
    <w:rsid w:val="003C285A"/>
    <w:rsid w:val="003C2E78"/>
    <w:rsid w:val="003C3260"/>
    <w:rsid w:val="003C3BF3"/>
    <w:rsid w:val="003C5542"/>
    <w:rsid w:val="003C5EEB"/>
    <w:rsid w:val="003C61ED"/>
    <w:rsid w:val="003C66C0"/>
    <w:rsid w:val="003C6796"/>
    <w:rsid w:val="003C6A21"/>
    <w:rsid w:val="003C6DBE"/>
    <w:rsid w:val="003C74D7"/>
    <w:rsid w:val="003C7988"/>
    <w:rsid w:val="003C7D19"/>
    <w:rsid w:val="003C7D2F"/>
    <w:rsid w:val="003D1200"/>
    <w:rsid w:val="003D15A0"/>
    <w:rsid w:val="003D1828"/>
    <w:rsid w:val="003D1DE4"/>
    <w:rsid w:val="003D1E9A"/>
    <w:rsid w:val="003D2422"/>
    <w:rsid w:val="003D2A1A"/>
    <w:rsid w:val="003D31F1"/>
    <w:rsid w:val="003D39A1"/>
    <w:rsid w:val="003D3A76"/>
    <w:rsid w:val="003D3C12"/>
    <w:rsid w:val="003D3DB8"/>
    <w:rsid w:val="003D3FBF"/>
    <w:rsid w:val="003D4046"/>
    <w:rsid w:val="003D43DF"/>
    <w:rsid w:val="003D476F"/>
    <w:rsid w:val="003D49FE"/>
    <w:rsid w:val="003D4A30"/>
    <w:rsid w:val="003D53A8"/>
    <w:rsid w:val="003D550E"/>
    <w:rsid w:val="003D5A75"/>
    <w:rsid w:val="003D61D1"/>
    <w:rsid w:val="003D65EE"/>
    <w:rsid w:val="003D674C"/>
    <w:rsid w:val="003D6D9A"/>
    <w:rsid w:val="003D7452"/>
    <w:rsid w:val="003D79BB"/>
    <w:rsid w:val="003D7C98"/>
    <w:rsid w:val="003D7D9D"/>
    <w:rsid w:val="003E0543"/>
    <w:rsid w:val="003E0A51"/>
    <w:rsid w:val="003E1E1C"/>
    <w:rsid w:val="003E25AC"/>
    <w:rsid w:val="003E28E7"/>
    <w:rsid w:val="003E427E"/>
    <w:rsid w:val="003E4397"/>
    <w:rsid w:val="003E4482"/>
    <w:rsid w:val="003E5593"/>
    <w:rsid w:val="003E59C7"/>
    <w:rsid w:val="003E600F"/>
    <w:rsid w:val="003E61E0"/>
    <w:rsid w:val="003E68F0"/>
    <w:rsid w:val="003E749E"/>
    <w:rsid w:val="003E75CD"/>
    <w:rsid w:val="003F00FA"/>
    <w:rsid w:val="003F0BD1"/>
    <w:rsid w:val="003F0CFC"/>
    <w:rsid w:val="003F129D"/>
    <w:rsid w:val="003F15E9"/>
    <w:rsid w:val="003F18F0"/>
    <w:rsid w:val="003F195B"/>
    <w:rsid w:val="003F1A95"/>
    <w:rsid w:val="003F1BDA"/>
    <w:rsid w:val="003F21E9"/>
    <w:rsid w:val="003F2DAB"/>
    <w:rsid w:val="003F2E9D"/>
    <w:rsid w:val="003F36AB"/>
    <w:rsid w:val="003F38B6"/>
    <w:rsid w:val="003F3C8C"/>
    <w:rsid w:val="003F4156"/>
    <w:rsid w:val="003F4249"/>
    <w:rsid w:val="003F4702"/>
    <w:rsid w:val="003F5738"/>
    <w:rsid w:val="003F5774"/>
    <w:rsid w:val="003F5A43"/>
    <w:rsid w:val="003F5ABF"/>
    <w:rsid w:val="003F5ADF"/>
    <w:rsid w:val="003F6020"/>
    <w:rsid w:val="003F66B9"/>
    <w:rsid w:val="003F6FFF"/>
    <w:rsid w:val="003F7791"/>
    <w:rsid w:val="004007F0"/>
    <w:rsid w:val="00400A2F"/>
    <w:rsid w:val="00400AC2"/>
    <w:rsid w:val="00400B29"/>
    <w:rsid w:val="00401078"/>
    <w:rsid w:val="00401414"/>
    <w:rsid w:val="00401C1D"/>
    <w:rsid w:val="004026F4"/>
    <w:rsid w:val="00402BE3"/>
    <w:rsid w:val="00403183"/>
    <w:rsid w:val="0040318F"/>
    <w:rsid w:val="004034CF"/>
    <w:rsid w:val="0040385F"/>
    <w:rsid w:val="0040444D"/>
    <w:rsid w:val="0040504B"/>
    <w:rsid w:val="004059F4"/>
    <w:rsid w:val="00406249"/>
    <w:rsid w:val="00406870"/>
    <w:rsid w:val="00406C4F"/>
    <w:rsid w:val="00407589"/>
    <w:rsid w:val="004075F0"/>
    <w:rsid w:val="00407D31"/>
    <w:rsid w:val="00407FE5"/>
    <w:rsid w:val="004101B0"/>
    <w:rsid w:val="00410326"/>
    <w:rsid w:val="00410708"/>
    <w:rsid w:val="00410DBF"/>
    <w:rsid w:val="00410EC7"/>
    <w:rsid w:val="004112F1"/>
    <w:rsid w:val="00411B39"/>
    <w:rsid w:val="0041242C"/>
    <w:rsid w:val="004127A7"/>
    <w:rsid w:val="004130DA"/>
    <w:rsid w:val="00413300"/>
    <w:rsid w:val="004139DD"/>
    <w:rsid w:val="00413A1E"/>
    <w:rsid w:val="00414129"/>
    <w:rsid w:val="00414476"/>
    <w:rsid w:val="0041475E"/>
    <w:rsid w:val="00414C2E"/>
    <w:rsid w:val="00415163"/>
    <w:rsid w:val="004151CF"/>
    <w:rsid w:val="00415ED1"/>
    <w:rsid w:val="00415EF8"/>
    <w:rsid w:val="00416364"/>
    <w:rsid w:val="00416A55"/>
    <w:rsid w:val="004176A5"/>
    <w:rsid w:val="00420034"/>
    <w:rsid w:val="0042047F"/>
    <w:rsid w:val="00420510"/>
    <w:rsid w:val="004206AA"/>
    <w:rsid w:val="00420AA6"/>
    <w:rsid w:val="00420B9F"/>
    <w:rsid w:val="0042192C"/>
    <w:rsid w:val="00421981"/>
    <w:rsid w:val="00422260"/>
    <w:rsid w:val="00422D6E"/>
    <w:rsid w:val="00423A11"/>
    <w:rsid w:val="00423A2D"/>
    <w:rsid w:val="0042413F"/>
    <w:rsid w:val="00424282"/>
    <w:rsid w:val="004244AA"/>
    <w:rsid w:val="004244DF"/>
    <w:rsid w:val="004248C7"/>
    <w:rsid w:val="00424C3A"/>
    <w:rsid w:val="00424F07"/>
    <w:rsid w:val="00425678"/>
    <w:rsid w:val="00425964"/>
    <w:rsid w:val="00426246"/>
    <w:rsid w:val="0042652D"/>
    <w:rsid w:val="00426DBF"/>
    <w:rsid w:val="00426E40"/>
    <w:rsid w:val="004274D9"/>
    <w:rsid w:val="004274F1"/>
    <w:rsid w:val="0042774A"/>
    <w:rsid w:val="00427F74"/>
    <w:rsid w:val="00427FC1"/>
    <w:rsid w:val="004314A9"/>
    <w:rsid w:val="004315B4"/>
    <w:rsid w:val="004319F8"/>
    <w:rsid w:val="00431D9D"/>
    <w:rsid w:val="00431E55"/>
    <w:rsid w:val="00431ED4"/>
    <w:rsid w:val="004321F6"/>
    <w:rsid w:val="00432403"/>
    <w:rsid w:val="00432ED1"/>
    <w:rsid w:val="00433044"/>
    <w:rsid w:val="00433097"/>
    <w:rsid w:val="004332AD"/>
    <w:rsid w:val="00434088"/>
    <w:rsid w:val="0043430A"/>
    <w:rsid w:val="00434399"/>
    <w:rsid w:val="00434697"/>
    <w:rsid w:val="004347F2"/>
    <w:rsid w:val="0043503B"/>
    <w:rsid w:val="0043509E"/>
    <w:rsid w:val="00435848"/>
    <w:rsid w:val="00436244"/>
    <w:rsid w:val="0043647D"/>
    <w:rsid w:val="00436CE5"/>
    <w:rsid w:val="00436DA4"/>
    <w:rsid w:val="004375B9"/>
    <w:rsid w:val="00437A73"/>
    <w:rsid w:val="00437B82"/>
    <w:rsid w:val="00437CD6"/>
    <w:rsid w:val="0044066D"/>
    <w:rsid w:val="00440BCC"/>
    <w:rsid w:val="004411B2"/>
    <w:rsid w:val="004414D7"/>
    <w:rsid w:val="0044236F"/>
    <w:rsid w:val="004428D0"/>
    <w:rsid w:val="004429A4"/>
    <w:rsid w:val="0044334E"/>
    <w:rsid w:val="0044405C"/>
    <w:rsid w:val="00444185"/>
    <w:rsid w:val="004443A7"/>
    <w:rsid w:val="0044442C"/>
    <w:rsid w:val="00444EFF"/>
    <w:rsid w:val="00445935"/>
    <w:rsid w:val="00445941"/>
    <w:rsid w:val="00445A2C"/>
    <w:rsid w:val="00445B93"/>
    <w:rsid w:val="00445DB9"/>
    <w:rsid w:val="004463F8"/>
    <w:rsid w:val="004464EB"/>
    <w:rsid w:val="00447427"/>
    <w:rsid w:val="004479D1"/>
    <w:rsid w:val="00447D26"/>
    <w:rsid w:val="00447DFC"/>
    <w:rsid w:val="0044D4B7"/>
    <w:rsid w:val="00450262"/>
    <w:rsid w:val="0045072F"/>
    <w:rsid w:val="004509A6"/>
    <w:rsid w:val="00450B96"/>
    <w:rsid w:val="00452798"/>
    <w:rsid w:val="00452FEB"/>
    <w:rsid w:val="00453031"/>
    <w:rsid w:val="0045310B"/>
    <w:rsid w:val="00453153"/>
    <w:rsid w:val="00453CC7"/>
    <w:rsid w:val="00454ABE"/>
    <w:rsid w:val="004550BB"/>
    <w:rsid w:val="0045564A"/>
    <w:rsid w:val="00455D2C"/>
    <w:rsid w:val="00455D45"/>
    <w:rsid w:val="00456320"/>
    <w:rsid w:val="004564B1"/>
    <w:rsid w:val="004569BF"/>
    <w:rsid w:val="00456DE8"/>
    <w:rsid w:val="004570CB"/>
    <w:rsid w:val="0045748C"/>
    <w:rsid w:val="00457972"/>
    <w:rsid w:val="00457E18"/>
    <w:rsid w:val="004601B9"/>
    <w:rsid w:val="00461614"/>
    <w:rsid w:val="004620D8"/>
    <w:rsid w:val="00462DA2"/>
    <w:rsid w:val="00462FB7"/>
    <w:rsid w:val="0046364C"/>
    <w:rsid w:val="00463744"/>
    <w:rsid w:val="0046391F"/>
    <w:rsid w:val="004642A4"/>
    <w:rsid w:val="00464595"/>
    <w:rsid w:val="00464C27"/>
    <w:rsid w:val="004651E7"/>
    <w:rsid w:val="004658B5"/>
    <w:rsid w:val="004660A9"/>
    <w:rsid w:val="0046689A"/>
    <w:rsid w:val="0046696C"/>
    <w:rsid w:val="00466D04"/>
    <w:rsid w:val="00467529"/>
    <w:rsid w:val="00467593"/>
    <w:rsid w:val="0046DD29"/>
    <w:rsid w:val="0046EF37"/>
    <w:rsid w:val="0047057B"/>
    <w:rsid w:val="004708BC"/>
    <w:rsid w:val="00471785"/>
    <w:rsid w:val="004717E3"/>
    <w:rsid w:val="00471EA5"/>
    <w:rsid w:val="0047220D"/>
    <w:rsid w:val="00472A79"/>
    <w:rsid w:val="00473F19"/>
    <w:rsid w:val="00474A2B"/>
    <w:rsid w:val="00474A69"/>
    <w:rsid w:val="00474DAA"/>
    <w:rsid w:val="00474F93"/>
    <w:rsid w:val="00475025"/>
    <w:rsid w:val="004751FE"/>
    <w:rsid w:val="00475A39"/>
    <w:rsid w:val="00475E22"/>
    <w:rsid w:val="004766C0"/>
    <w:rsid w:val="0047723E"/>
    <w:rsid w:val="004779A4"/>
    <w:rsid w:val="0047F906"/>
    <w:rsid w:val="00480285"/>
    <w:rsid w:val="00480312"/>
    <w:rsid w:val="0048067F"/>
    <w:rsid w:val="00480769"/>
    <w:rsid w:val="0048088E"/>
    <w:rsid w:val="00480F2B"/>
    <w:rsid w:val="00480F60"/>
    <w:rsid w:val="00481033"/>
    <w:rsid w:val="00481166"/>
    <w:rsid w:val="00481312"/>
    <w:rsid w:val="00481718"/>
    <w:rsid w:val="00482720"/>
    <w:rsid w:val="00482B8E"/>
    <w:rsid w:val="00482BD0"/>
    <w:rsid w:val="0048313D"/>
    <w:rsid w:val="004832DD"/>
    <w:rsid w:val="004835E7"/>
    <w:rsid w:val="00483E5E"/>
    <w:rsid w:val="00483F96"/>
    <w:rsid w:val="00484636"/>
    <w:rsid w:val="00484E8A"/>
    <w:rsid w:val="00484E8E"/>
    <w:rsid w:val="004854D7"/>
    <w:rsid w:val="00485518"/>
    <w:rsid w:val="00485562"/>
    <w:rsid w:val="00485FBC"/>
    <w:rsid w:val="004867E2"/>
    <w:rsid w:val="00486F56"/>
    <w:rsid w:val="004872C5"/>
    <w:rsid w:val="00487A5C"/>
    <w:rsid w:val="00490087"/>
    <w:rsid w:val="0049043B"/>
    <w:rsid w:val="00490549"/>
    <w:rsid w:val="00490B17"/>
    <w:rsid w:val="00490BD0"/>
    <w:rsid w:val="0049166D"/>
    <w:rsid w:val="00491B3A"/>
    <w:rsid w:val="00492215"/>
    <w:rsid w:val="00492400"/>
    <w:rsid w:val="00492514"/>
    <w:rsid w:val="00492AF1"/>
    <w:rsid w:val="00492CFD"/>
    <w:rsid w:val="00493161"/>
    <w:rsid w:val="00493ED4"/>
    <w:rsid w:val="00494207"/>
    <w:rsid w:val="00494BB6"/>
    <w:rsid w:val="00494DD5"/>
    <w:rsid w:val="004950FF"/>
    <w:rsid w:val="00495423"/>
    <w:rsid w:val="004954EB"/>
    <w:rsid w:val="0049575F"/>
    <w:rsid w:val="004962D2"/>
    <w:rsid w:val="00496E0E"/>
    <w:rsid w:val="00496EAF"/>
    <w:rsid w:val="00497F7C"/>
    <w:rsid w:val="004A05F1"/>
    <w:rsid w:val="004A0BD2"/>
    <w:rsid w:val="004A0DA1"/>
    <w:rsid w:val="004A13D6"/>
    <w:rsid w:val="004A140A"/>
    <w:rsid w:val="004A143A"/>
    <w:rsid w:val="004A14BD"/>
    <w:rsid w:val="004A1539"/>
    <w:rsid w:val="004A19AD"/>
    <w:rsid w:val="004A1CE6"/>
    <w:rsid w:val="004A22F5"/>
    <w:rsid w:val="004A279F"/>
    <w:rsid w:val="004A3885"/>
    <w:rsid w:val="004A405F"/>
    <w:rsid w:val="004A4CEE"/>
    <w:rsid w:val="004A4F2E"/>
    <w:rsid w:val="004A52E9"/>
    <w:rsid w:val="004A6040"/>
    <w:rsid w:val="004A6597"/>
    <w:rsid w:val="004A699C"/>
    <w:rsid w:val="004A6E1C"/>
    <w:rsid w:val="004A7002"/>
    <w:rsid w:val="004A7036"/>
    <w:rsid w:val="004A77FA"/>
    <w:rsid w:val="004A7848"/>
    <w:rsid w:val="004A7F99"/>
    <w:rsid w:val="004B03B8"/>
    <w:rsid w:val="004B0886"/>
    <w:rsid w:val="004B1CB4"/>
    <w:rsid w:val="004B2C46"/>
    <w:rsid w:val="004B2F18"/>
    <w:rsid w:val="004B2FB9"/>
    <w:rsid w:val="004B3DDB"/>
    <w:rsid w:val="004B42F9"/>
    <w:rsid w:val="004B440D"/>
    <w:rsid w:val="004B4433"/>
    <w:rsid w:val="004B44FD"/>
    <w:rsid w:val="004B44FE"/>
    <w:rsid w:val="004B4880"/>
    <w:rsid w:val="004B4CCA"/>
    <w:rsid w:val="004B5722"/>
    <w:rsid w:val="004B5CFC"/>
    <w:rsid w:val="004B6042"/>
    <w:rsid w:val="004B63F2"/>
    <w:rsid w:val="004B6656"/>
    <w:rsid w:val="004B6F79"/>
    <w:rsid w:val="004B774D"/>
    <w:rsid w:val="004B7D1C"/>
    <w:rsid w:val="004C069C"/>
    <w:rsid w:val="004C12CB"/>
    <w:rsid w:val="004C1965"/>
    <w:rsid w:val="004C1DB4"/>
    <w:rsid w:val="004C237A"/>
    <w:rsid w:val="004C2807"/>
    <w:rsid w:val="004C34C4"/>
    <w:rsid w:val="004C378D"/>
    <w:rsid w:val="004C39B9"/>
    <w:rsid w:val="004C41EF"/>
    <w:rsid w:val="004C4525"/>
    <w:rsid w:val="004C47A3"/>
    <w:rsid w:val="004C4AED"/>
    <w:rsid w:val="004C6431"/>
    <w:rsid w:val="004C6692"/>
    <w:rsid w:val="004C6DDC"/>
    <w:rsid w:val="004D027A"/>
    <w:rsid w:val="004D08B9"/>
    <w:rsid w:val="004D09F1"/>
    <w:rsid w:val="004D2C2D"/>
    <w:rsid w:val="004D2EC7"/>
    <w:rsid w:val="004D3298"/>
    <w:rsid w:val="004D3918"/>
    <w:rsid w:val="004D3D67"/>
    <w:rsid w:val="004D3FC6"/>
    <w:rsid w:val="004D4342"/>
    <w:rsid w:val="004D45F7"/>
    <w:rsid w:val="004D4FF5"/>
    <w:rsid w:val="004D510C"/>
    <w:rsid w:val="004D5C42"/>
    <w:rsid w:val="004D69B5"/>
    <w:rsid w:val="004D6D7A"/>
    <w:rsid w:val="004D7227"/>
    <w:rsid w:val="004E0886"/>
    <w:rsid w:val="004E0D0B"/>
    <w:rsid w:val="004E0E7F"/>
    <w:rsid w:val="004E0EB8"/>
    <w:rsid w:val="004E0EF3"/>
    <w:rsid w:val="004E1141"/>
    <w:rsid w:val="004E1873"/>
    <w:rsid w:val="004E18E9"/>
    <w:rsid w:val="004E1A72"/>
    <w:rsid w:val="004E1D52"/>
    <w:rsid w:val="004E2724"/>
    <w:rsid w:val="004E2ADC"/>
    <w:rsid w:val="004E37EC"/>
    <w:rsid w:val="004E43B2"/>
    <w:rsid w:val="004E4565"/>
    <w:rsid w:val="004E4DC3"/>
    <w:rsid w:val="004E509A"/>
    <w:rsid w:val="004E557C"/>
    <w:rsid w:val="004E5712"/>
    <w:rsid w:val="004E5A5A"/>
    <w:rsid w:val="004E5AD7"/>
    <w:rsid w:val="004E5BD6"/>
    <w:rsid w:val="004E6BD2"/>
    <w:rsid w:val="004E6F47"/>
    <w:rsid w:val="004E7628"/>
    <w:rsid w:val="004E76B6"/>
    <w:rsid w:val="004F0CBF"/>
    <w:rsid w:val="004F1214"/>
    <w:rsid w:val="004F150A"/>
    <w:rsid w:val="004F1AEC"/>
    <w:rsid w:val="004F1D02"/>
    <w:rsid w:val="004F2068"/>
    <w:rsid w:val="004F2679"/>
    <w:rsid w:val="004F2F21"/>
    <w:rsid w:val="004F343A"/>
    <w:rsid w:val="004F3DE5"/>
    <w:rsid w:val="004F551A"/>
    <w:rsid w:val="004F6629"/>
    <w:rsid w:val="004F6913"/>
    <w:rsid w:val="004F6F3A"/>
    <w:rsid w:val="004F71C9"/>
    <w:rsid w:val="004F722A"/>
    <w:rsid w:val="004F766D"/>
    <w:rsid w:val="004F7865"/>
    <w:rsid w:val="00500ADD"/>
    <w:rsid w:val="00500D46"/>
    <w:rsid w:val="0050116A"/>
    <w:rsid w:val="0050174E"/>
    <w:rsid w:val="00501854"/>
    <w:rsid w:val="00501F5D"/>
    <w:rsid w:val="0050219B"/>
    <w:rsid w:val="00502585"/>
    <w:rsid w:val="005025FD"/>
    <w:rsid w:val="00502C01"/>
    <w:rsid w:val="0050381D"/>
    <w:rsid w:val="0050394E"/>
    <w:rsid w:val="00503E8B"/>
    <w:rsid w:val="00503F17"/>
    <w:rsid w:val="0050451D"/>
    <w:rsid w:val="00504C4F"/>
    <w:rsid w:val="00505B9A"/>
    <w:rsid w:val="005060EA"/>
    <w:rsid w:val="005064B8"/>
    <w:rsid w:val="00506928"/>
    <w:rsid w:val="00506A03"/>
    <w:rsid w:val="00506D20"/>
    <w:rsid w:val="0050755A"/>
    <w:rsid w:val="0050763B"/>
    <w:rsid w:val="0050775E"/>
    <w:rsid w:val="005077EF"/>
    <w:rsid w:val="00507C57"/>
    <w:rsid w:val="005104F1"/>
    <w:rsid w:val="0051099F"/>
    <w:rsid w:val="005116AC"/>
    <w:rsid w:val="00511AD5"/>
    <w:rsid w:val="00511DC7"/>
    <w:rsid w:val="00511FEC"/>
    <w:rsid w:val="00512305"/>
    <w:rsid w:val="0051244A"/>
    <w:rsid w:val="00512590"/>
    <w:rsid w:val="00512AE4"/>
    <w:rsid w:val="00512E22"/>
    <w:rsid w:val="005135D1"/>
    <w:rsid w:val="00513C19"/>
    <w:rsid w:val="005142C5"/>
    <w:rsid w:val="005149B6"/>
    <w:rsid w:val="00514A77"/>
    <w:rsid w:val="0051501B"/>
    <w:rsid w:val="005152B5"/>
    <w:rsid w:val="00515304"/>
    <w:rsid w:val="00515B57"/>
    <w:rsid w:val="0051632B"/>
    <w:rsid w:val="005174A0"/>
    <w:rsid w:val="00517A4D"/>
    <w:rsid w:val="005203DD"/>
    <w:rsid w:val="005209B6"/>
    <w:rsid w:val="00520B57"/>
    <w:rsid w:val="0052123C"/>
    <w:rsid w:val="00521319"/>
    <w:rsid w:val="005219C2"/>
    <w:rsid w:val="00521C23"/>
    <w:rsid w:val="00522430"/>
    <w:rsid w:val="0052258F"/>
    <w:rsid w:val="0052270A"/>
    <w:rsid w:val="00522A89"/>
    <w:rsid w:val="00522BC8"/>
    <w:rsid w:val="00523077"/>
    <w:rsid w:val="00523275"/>
    <w:rsid w:val="00523329"/>
    <w:rsid w:val="00523623"/>
    <w:rsid w:val="00523904"/>
    <w:rsid w:val="00523C28"/>
    <w:rsid w:val="005243F2"/>
    <w:rsid w:val="00524593"/>
    <w:rsid w:val="00524D54"/>
    <w:rsid w:val="00524D82"/>
    <w:rsid w:val="00524F6A"/>
    <w:rsid w:val="00524F83"/>
    <w:rsid w:val="005259E7"/>
    <w:rsid w:val="005259F2"/>
    <w:rsid w:val="00525B50"/>
    <w:rsid w:val="00525C5D"/>
    <w:rsid w:val="00525EFA"/>
    <w:rsid w:val="00526303"/>
    <w:rsid w:val="0052633E"/>
    <w:rsid w:val="00526507"/>
    <w:rsid w:val="005265A2"/>
    <w:rsid w:val="005265FB"/>
    <w:rsid w:val="00526F28"/>
    <w:rsid w:val="00527182"/>
    <w:rsid w:val="005276A2"/>
    <w:rsid w:val="00530D3D"/>
    <w:rsid w:val="005314F8"/>
    <w:rsid w:val="0053176B"/>
    <w:rsid w:val="00531E3B"/>
    <w:rsid w:val="00531FC7"/>
    <w:rsid w:val="005322BB"/>
    <w:rsid w:val="0053254E"/>
    <w:rsid w:val="005326B4"/>
    <w:rsid w:val="00532AC3"/>
    <w:rsid w:val="00533E8F"/>
    <w:rsid w:val="00534A7F"/>
    <w:rsid w:val="005356E0"/>
    <w:rsid w:val="00536270"/>
    <w:rsid w:val="005369A4"/>
    <w:rsid w:val="00536F42"/>
    <w:rsid w:val="00537182"/>
    <w:rsid w:val="00537CDD"/>
    <w:rsid w:val="00537E89"/>
    <w:rsid w:val="005403D1"/>
    <w:rsid w:val="00540D26"/>
    <w:rsid w:val="00540ED0"/>
    <w:rsid w:val="005416F3"/>
    <w:rsid w:val="00541A0F"/>
    <w:rsid w:val="00541E1C"/>
    <w:rsid w:val="00541EDD"/>
    <w:rsid w:val="0054218E"/>
    <w:rsid w:val="00542743"/>
    <w:rsid w:val="00542C2D"/>
    <w:rsid w:val="00543509"/>
    <w:rsid w:val="00543817"/>
    <w:rsid w:val="00543BF4"/>
    <w:rsid w:val="00544103"/>
    <w:rsid w:val="00545022"/>
    <w:rsid w:val="00546694"/>
    <w:rsid w:val="005468AE"/>
    <w:rsid w:val="005478BD"/>
    <w:rsid w:val="005479E3"/>
    <w:rsid w:val="00550B79"/>
    <w:rsid w:val="00550EA3"/>
    <w:rsid w:val="00551985"/>
    <w:rsid w:val="00551EB3"/>
    <w:rsid w:val="00552A5E"/>
    <w:rsid w:val="00552BD3"/>
    <w:rsid w:val="00552E26"/>
    <w:rsid w:val="005532A0"/>
    <w:rsid w:val="0055362B"/>
    <w:rsid w:val="005539E2"/>
    <w:rsid w:val="00553F7A"/>
    <w:rsid w:val="00554012"/>
    <w:rsid w:val="00554470"/>
    <w:rsid w:val="00555109"/>
    <w:rsid w:val="00555A33"/>
    <w:rsid w:val="00555B84"/>
    <w:rsid w:val="005561CA"/>
    <w:rsid w:val="00556B35"/>
    <w:rsid w:val="0055714F"/>
    <w:rsid w:val="0055741A"/>
    <w:rsid w:val="005578D0"/>
    <w:rsid w:val="005579BE"/>
    <w:rsid w:val="005611B7"/>
    <w:rsid w:val="0056162A"/>
    <w:rsid w:val="005618D4"/>
    <w:rsid w:val="00562522"/>
    <w:rsid w:val="00562B5E"/>
    <w:rsid w:val="00562F4C"/>
    <w:rsid w:val="005633CB"/>
    <w:rsid w:val="00564A50"/>
    <w:rsid w:val="00564A73"/>
    <w:rsid w:val="00564AED"/>
    <w:rsid w:val="0056502C"/>
    <w:rsid w:val="00565212"/>
    <w:rsid w:val="00565227"/>
    <w:rsid w:val="005655DF"/>
    <w:rsid w:val="00565DEE"/>
    <w:rsid w:val="00565DF0"/>
    <w:rsid w:val="00565E8F"/>
    <w:rsid w:val="005661ED"/>
    <w:rsid w:val="005664B5"/>
    <w:rsid w:val="0056696F"/>
    <w:rsid w:val="00566ABD"/>
    <w:rsid w:val="005673FD"/>
    <w:rsid w:val="005676B6"/>
    <w:rsid w:val="005700FA"/>
    <w:rsid w:val="00570E5B"/>
    <w:rsid w:val="00571289"/>
    <w:rsid w:val="00571AF4"/>
    <w:rsid w:val="005720E8"/>
    <w:rsid w:val="00572269"/>
    <w:rsid w:val="00572376"/>
    <w:rsid w:val="0057244A"/>
    <w:rsid w:val="00572489"/>
    <w:rsid w:val="00572BEC"/>
    <w:rsid w:val="00572F26"/>
    <w:rsid w:val="005739CD"/>
    <w:rsid w:val="00574E4A"/>
    <w:rsid w:val="005750C5"/>
    <w:rsid w:val="005752DE"/>
    <w:rsid w:val="00575A82"/>
    <w:rsid w:val="00575D8D"/>
    <w:rsid w:val="00575EB4"/>
    <w:rsid w:val="00576972"/>
    <w:rsid w:val="0057757E"/>
    <w:rsid w:val="0058034C"/>
    <w:rsid w:val="005804E1"/>
    <w:rsid w:val="00580C80"/>
    <w:rsid w:val="005818D4"/>
    <w:rsid w:val="00582755"/>
    <w:rsid w:val="00582F5D"/>
    <w:rsid w:val="00583158"/>
    <w:rsid w:val="00583699"/>
    <w:rsid w:val="00583A11"/>
    <w:rsid w:val="00583A8A"/>
    <w:rsid w:val="00583AA7"/>
    <w:rsid w:val="00584026"/>
    <w:rsid w:val="005840E1"/>
    <w:rsid w:val="0058421A"/>
    <w:rsid w:val="00584F04"/>
    <w:rsid w:val="00585CDD"/>
    <w:rsid w:val="005860BE"/>
    <w:rsid w:val="00586618"/>
    <w:rsid w:val="00587058"/>
    <w:rsid w:val="00587682"/>
    <w:rsid w:val="005904EC"/>
    <w:rsid w:val="00590504"/>
    <w:rsid w:val="005908F9"/>
    <w:rsid w:val="00590F5B"/>
    <w:rsid w:val="00591957"/>
    <w:rsid w:val="00591CD9"/>
    <w:rsid w:val="005926DB"/>
    <w:rsid w:val="00592EC5"/>
    <w:rsid w:val="00593823"/>
    <w:rsid w:val="00593900"/>
    <w:rsid w:val="00593ECA"/>
    <w:rsid w:val="00593EEA"/>
    <w:rsid w:val="00594943"/>
    <w:rsid w:val="00594948"/>
    <w:rsid w:val="005949CB"/>
    <w:rsid w:val="00595017"/>
    <w:rsid w:val="005950E3"/>
    <w:rsid w:val="0059659C"/>
    <w:rsid w:val="00597BF9"/>
    <w:rsid w:val="00597C2D"/>
    <w:rsid w:val="005A0330"/>
    <w:rsid w:val="005A0935"/>
    <w:rsid w:val="005A09DB"/>
    <w:rsid w:val="005A0E10"/>
    <w:rsid w:val="005A196C"/>
    <w:rsid w:val="005A1F90"/>
    <w:rsid w:val="005A309A"/>
    <w:rsid w:val="005A333D"/>
    <w:rsid w:val="005A34F6"/>
    <w:rsid w:val="005A373D"/>
    <w:rsid w:val="005A3789"/>
    <w:rsid w:val="005A4BA2"/>
    <w:rsid w:val="005A4E8C"/>
    <w:rsid w:val="005A4ED7"/>
    <w:rsid w:val="005A551A"/>
    <w:rsid w:val="005A5640"/>
    <w:rsid w:val="005A5ABE"/>
    <w:rsid w:val="005A5B5B"/>
    <w:rsid w:val="005A5F31"/>
    <w:rsid w:val="005A6537"/>
    <w:rsid w:val="005A6DA4"/>
    <w:rsid w:val="005A6F97"/>
    <w:rsid w:val="005A70F9"/>
    <w:rsid w:val="005A749A"/>
    <w:rsid w:val="005B0B58"/>
    <w:rsid w:val="005B0BC7"/>
    <w:rsid w:val="005B0D58"/>
    <w:rsid w:val="005B0D67"/>
    <w:rsid w:val="005B0DB4"/>
    <w:rsid w:val="005B0EFA"/>
    <w:rsid w:val="005B0FC8"/>
    <w:rsid w:val="005B13E9"/>
    <w:rsid w:val="005B1E78"/>
    <w:rsid w:val="005B2272"/>
    <w:rsid w:val="005B26D2"/>
    <w:rsid w:val="005B2C02"/>
    <w:rsid w:val="005B2C85"/>
    <w:rsid w:val="005B2D91"/>
    <w:rsid w:val="005B2ED2"/>
    <w:rsid w:val="005B30D3"/>
    <w:rsid w:val="005B37F1"/>
    <w:rsid w:val="005B3995"/>
    <w:rsid w:val="005B39A5"/>
    <w:rsid w:val="005B4468"/>
    <w:rsid w:val="005B470A"/>
    <w:rsid w:val="005B4AE0"/>
    <w:rsid w:val="005B4B32"/>
    <w:rsid w:val="005B4C99"/>
    <w:rsid w:val="005B4E53"/>
    <w:rsid w:val="005B5066"/>
    <w:rsid w:val="005B5163"/>
    <w:rsid w:val="005B5661"/>
    <w:rsid w:val="005B5857"/>
    <w:rsid w:val="005B5AEC"/>
    <w:rsid w:val="005B5FB4"/>
    <w:rsid w:val="005B6982"/>
    <w:rsid w:val="005B6DB1"/>
    <w:rsid w:val="005B710A"/>
    <w:rsid w:val="005B7DF3"/>
    <w:rsid w:val="005C09E3"/>
    <w:rsid w:val="005C17B7"/>
    <w:rsid w:val="005C19C4"/>
    <w:rsid w:val="005C1B83"/>
    <w:rsid w:val="005C21FB"/>
    <w:rsid w:val="005C25FF"/>
    <w:rsid w:val="005C28CD"/>
    <w:rsid w:val="005C2D55"/>
    <w:rsid w:val="005C2DAB"/>
    <w:rsid w:val="005C2E64"/>
    <w:rsid w:val="005C32B5"/>
    <w:rsid w:val="005C346B"/>
    <w:rsid w:val="005C3C62"/>
    <w:rsid w:val="005C60BF"/>
    <w:rsid w:val="005C6543"/>
    <w:rsid w:val="005C65C3"/>
    <w:rsid w:val="005C7B9F"/>
    <w:rsid w:val="005D044D"/>
    <w:rsid w:val="005D09E0"/>
    <w:rsid w:val="005D0ABD"/>
    <w:rsid w:val="005D0B96"/>
    <w:rsid w:val="005D1059"/>
    <w:rsid w:val="005D13A0"/>
    <w:rsid w:val="005D18AD"/>
    <w:rsid w:val="005D1A3B"/>
    <w:rsid w:val="005D219B"/>
    <w:rsid w:val="005D26B4"/>
    <w:rsid w:val="005D2893"/>
    <w:rsid w:val="005D29D2"/>
    <w:rsid w:val="005D32C8"/>
    <w:rsid w:val="005D3312"/>
    <w:rsid w:val="005D3B30"/>
    <w:rsid w:val="005D4016"/>
    <w:rsid w:val="005D41B4"/>
    <w:rsid w:val="005D4909"/>
    <w:rsid w:val="005D4C84"/>
    <w:rsid w:val="005D59BB"/>
    <w:rsid w:val="005D5D0E"/>
    <w:rsid w:val="005D5E28"/>
    <w:rsid w:val="005D6D62"/>
    <w:rsid w:val="005D6F09"/>
    <w:rsid w:val="005D71CA"/>
    <w:rsid w:val="005D747E"/>
    <w:rsid w:val="005D7580"/>
    <w:rsid w:val="005E01E3"/>
    <w:rsid w:val="005E098D"/>
    <w:rsid w:val="005E106F"/>
    <w:rsid w:val="005E11AF"/>
    <w:rsid w:val="005E1659"/>
    <w:rsid w:val="005E185B"/>
    <w:rsid w:val="005E1A71"/>
    <w:rsid w:val="005E2068"/>
    <w:rsid w:val="005E23C4"/>
    <w:rsid w:val="005E2460"/>
    <w:rsid w:val="005E2EA8"/>
    <w:rsid w:val="005E3509"/>
    <w:rsid w:val="005E36B4"/>
    <w:rsid w:val="005E3BE0"/>
    <w:rsid w:val="005E4552"/>
    <w:rsid w:val="005E47B0"/>
    <w:rsid w:val="005E50F8"/>
    <w:rsid w:val="005E52F8"/>
    <w:rsid w:val="005E5831"/>
    <w:rsid w:val="005E5BB0"/>
    <w:rsid w:val="005E60CC"/>
    <w:rsid w:val="005E6168"/>
    <w:rsid w:val="005E6300"/>
    <w:rsid w:val="005E65B9"/>
    <w:rsid w:val="005E6CBC"/>
    <w:rsid w:val="005E6E49"/>
    <w:rsid w:val="005E72FF"/>
    <w:rsid w:val="005E73C0"/>
    <w:rsid w:val="005E73EC"/>
    <w:rsid w:val="005E7FD2"/>
    <w:rsid w:val="005F0D05"/>
    <w:rsid w:val="005F0F4F"/>
    <w:rsid w:val="005F185A"/>
    <w:rsid w:val="005F216E"/>
    <w:rsid w:val="005F248E"/>
    <w:rsid w:val="005F2706"/>
    <w:rsid w:val="005F2802"/>
    <w:rsid w:val="005F2C3F"/>
    <w:rsid w:val="005F36E3"/>
    <w:rsid w:val="005F387B"/>
    <w:rsid w:val="005F45A7"/>
    <w:rsid w:val="005F48FE"/>
    <w:rsid w:val="005F4ACA"/>
    <w:rsid w:val="005F4B8F"/>
    <w:rsid w:val="005F4B96"/>
    <w:rsid w:val="005F53D9"/>
    <w:rsid w:val="005F62FB"/>
    <w:rsid w:val="005F6A8F"/>
    <w:rsid w:val="005F6BB7"/>
    <w:rsid w:val="005F6BD1"/>
    <w:rsid w:val="005F7588"/>
    <w:rsid w:val="00600104"/>
    <w:rsid w:val="00600817"/>
    <w:rsid w:val="00600971"/>
    <w:rsid w:val="00600F43"/>
    <w:rsid w:val="006022D9"/>
    <w:rsid w:val="00602899"/>
    <w:rsid w:val="00603472"/>
    <w:rsid w:val="00603657"/>
    <w:rsid w:val="00603DB9"/>
    <w:rsid w:val="00603E90"/>
    <w:rsid w:val="00604106"/>
    <w:rsid w:val="0060443B"/>
    <w:rsid w:val="00604B96"/>
    <w:rsid w:val="00604CB7"/>
    <w:rsid w:val="00606A1A"/>
    <w:rsid w:val="00606FBA"/>
    <w:rsid w:val="00607669"/>
    <w:rsid w:val="006076F4"/>
    <w:rsid w:val="00607AFD"/>
    <w:rsid w:val="00607BBE"/>
    <w:rsid w:val="0061071F"/>
    <w:rsid w:val="00610BB8"/>
    <w:rsid w:val="00610DB2"/>
    <w:rsid w:val="006118C5"/>
    <w:rsid w:val="00611968"/>
    <w:rsid w:val="00612F97"/>
    <w:rsid w:val="0061345D"/>
    <w:rsid w:val="006145AB"/>
    <w:rsid w:val="006146EB"/>
    <w:rsid w:val="00614BFB"/>
    <w:rsid w:val="0061549B"/>
    <w:rsid w:val="00615591"/>
    <w:rsid w:val="00615AD3"/>
    <w:rsid w:val="00616802"/>
    <w:rsid w:val="00616AC5"/>
    <w:rsid w:val="00617062"/>
    <w:rsid w:val="006170DE"/>
    <w:rsid w:val="006178B5"/>
    <w:rsid w:val="006179EA"/>
    <w:rsid w:val="00617E12"/>
    <w:rsid w:val="00620053"/>
    <w:rsid w:val="00620B7F"/>
    <w:rsid w:val="00620C25"/>
    <w:rsid w:val="00620DCF"/>
    <w:rsid w:val="006210E0"/>
    <w:rsid w:val="00621221"/>
    <w:rsid w:val="00621477"/>
    <w:rsid w:val="00621ADA"/>
    <w:rsid w:val="006224E1"/>
    <w:rsid w:val="00623156"/>
    <w:rsid w:val="006237E3"/>
    <w:rsid w:val="00623F7B"/>
    <w:rsid w:val="00624305"/>
    <w:rsid w:val="00624C8E"/>
    <w:rsid w:val="00625F54"/>
    <w:rsid w:val="0063056C"/>
    <w:rsid w:val="00630C70"/>
    <w:rsid w:val="0063158F"/>
    <w:rsid w:val="006315B0"/>
    <w:rsid w:val="0063187D"/>
    <w:rsid w:val="00631B3A"/>
    <w:rsid w:val="00631D6B"/>
    <w:rsid w:val="00631E7E"/>
    <w:rsid w:val="0063206A"/>
    <w:rsid w:val="00632183"/>
    <w:rsid w:val="006330A1"/>
    <w:rsid w:val="00633E43"/>
    <w:rsid w:val="0063403E"/>
    <w:rsid w:val="0063479F"/>
    <w:rsid w:val="006348A5"/>
    <w:rsid w:val="006352B0"/>
    <w:rsid w:val="006353F0"/>
    <w:rsid w:val="006355E2"/>
    <w:rsid w:val="006357B5"/>
    <w:rsid w:val="006364A1"/>
    <w:rsid w:val="0063678E"/>
    <w:rsid w:val="006367BA"/>
    <w:rsid w:val="00636814"/>
    <w:rsid w:val="0063732F"/>
    <w:rsid w:val="006378A2"/>
    <w:rsid w:val="00637BFD"/>
    <w:rsid w:val="00640E82"/>
    <w:rsid w:val="00640F6F"/>
    <w:rsid w:val="006412E2"/>
    <w:rsid w:val="006417FA"/>
    <w:rsid w:val="00641B0C"/>
    <w:rsid w:val="00641C4E"/>
    <w:rsid w:val="00641FB3"/>
    <w:rsid w:val="00642E1F"/>
    <w:rsid w:val="006430EA"/>
    <w:rsid w:val="00643B2A"/>
    <w:rsid w:val="0064434C"/>
    <w:rsid w:val="00644757"/>
    <w:rsid w:val="006447C6"/>
    <w:rsid w:val="006451DC"/>
    <w:rsid w:val="006453E1"/>
    <w:rsid w:val="00645807"/>
    <w:rsid w:val="00645E8B"/>
    <w:rsid w:val="00646441"/>
    <w:rsid w:val="00646A68"/>
    <w:rsid w:val="00646B80"/>
    <w:rsid w:val="006471CC"/>
    <w:rsid w:val="006473CC"/>
    <w:rsid w:val="00647A29"/>
    <w:rsid w:val="00647B1E"/>
    <w:rsid w:val="0065079F"/>
    <w:rsid w:val="0065098D"/>
    <w:rsid w:val="00650AE3"/>
    <w:rsid w:val="0065118A"/>
    <w:rsid w:val="006514CB"/>
    <w:rsid w:val="00651CC3"/>
    <w:rsid w:val="00651CC9"/>
    <w:rsid w:val="00651D11"/>
    <w:rsid w:val="00651D35"/>
    <w:rsid w:val="00652056"/>
    <w:rsid w:val="0065216B"/>
    <w:rsid w:val="006521C1"/>
    <w:rsid w:val="00652A28"/>
    <w:rsid w:val="00653070"/>
    <w:rsid w:val="0065342C"/>
    <w:rsid w:val="00653783"/>
    <w:rsid w:val="0065379F"/>
    <w:rsid w:val="006538C5"/>
    <w:rsid w:val="00653DF6"/>
    <w:rsid w:val="00653FA9"/>
    <w:rsid w:val="00654A81"/>
    <w:rsid w:val="00654CD7"/>
    <w:rsid w:val="00654D0C"/>
    <w:rsid w:val="006560D6"/>
    <w:rsid w:val="00656188"/>
    <w:rsid w:val="006561EE"/>
    <w:rsid w:val="00656A02"/>
    <w:rsid w:val="0065715A"/>
    <w:rsid w:val="006572A0"/>
    <w:rsid w:val="0065759D"/>
    <w:rsid w:val="00657EC3"/>
    <w:rsid w:val="006603B0"/>
    <w:rsid w:val="00660A61"/>
    <w:rsid w:val="00660AB8"/>
    <w:rsid w:val="00660CF8"/>
    <w:rsid w:val="00660E61"/>
    <w:rsid w:val="006610F1"/>
    <w:rsid w:val="006612A3"/>
    <w:rsid w:val="00661AFA"/>
    <w:rsid w:val="00661B71"/>
    <w:rsid w:val="00661C6B"/>
    <w:rsid w:val="00662113"/>
    <w:rsid w:val="00662470"/>
    <w:rsid w:val="00662471"/>
    <w:rsid w:val="00662BE6"/>
    <w:rsid w:val="00663383"/>
    <w:rsid w:val="00663503"/>
    <w:rsid w:val="006635B3"/>
    <w:rsid w:val="006649D2"/>
    <w:rsid w:val="00664C69"/>
    <w:rsid w:val="006658B3"/>
    <w:rsid w:val="0066778E"/>
    <w:rsid w:val="006705CB"/>
    <w:rsid w:val="00670801"/>
    <w:rsid w:val="00670AEB"/>
    <w:rsid w:val="00670FBE"/>
    <w:rsid w:val="00671004"/>
    <w:rsid w:val="00671341"/>
    <w:rsid w:val="00671527"/>
    <w:rsid w:val="0067155B"/>
    <w:rsid w:val="0067161D"/>
    <w:rsid w:val="0067188A"/>
    <w:rsid w:val="00672646"/>
    <w:rsid w:val="00672868"/>
    <w:rsid w:val="0067485A"/>
    <w:rsid w:val="00674E42"/>
    <w:rsid w:val="00675F08"/>
    <w:rsid w:val="0067702F"/>
    <w:rsid w:val="00677213"/>
    <w:rsid w:val="006800E3"/>
    <w:rsid w:val="0068010E"/>
    <w:rsid w:val="00680221"/>
    <w:rsid w:val="0068050D"/>
    <w:rsid w:val="006813F8"/>
    <w:rsid w:val="00681AAF"/>
    <w:rsid w:val="00682112"/>
    <w:rsid w:val="00682382"/>
    <w:rsid w:val="006826D3"/>
    <w:rsid w:val="00682BA6"/>
    <w:rsid w:val="00682CE1"/>
    <w:rsid w:val="00682E8E"/>
    <w:rsid w:val="006832B0"/>
    <w:rsid w:val="0068383A"/>
    <w:rsid w:val="0068388D"/>
    <w:rsid w:val="00684E32"/>
    <w:rsid w:val="006865D4"/>
    <w:rsid w:val="00686629"/>
    <w:rsid w:val="00686656"/>
    <w:rsid w:val="00686957"/>
    <w:rsid w:val="00686AFC"/>
    <w:rsid w:val="00686C1F"/>
    <w:rsid w:val="006872BA"/>
    <w:rsid w:val="00687610"/>
    <w:rsid w:val="0068781B"/>
    <w:rsid w:val="00687AA0"/>
    <w:rsid w:val="006904B5"/>
    <w:rsid w:val="006904DA"/>
    <w:rsid w:val="00690795"/>
    <w:rsid w:val="00690933"/>
    <w:rsid w:val="0069095C"/>
    <w:rsid w:val="00690DB7"/>
    <w:rsid w:val="006913AB"/>
    <w:rsid w:val="00691546"/>
    <w:rsid w:val="00691648"/>
    <w:rsid w:val="006917D7"/>
    <w:rsid w:val="00691CF3"/>
    <w:rsid w:val="006921C8"/>
    <w:rsid w:val="006924F3"/>
    <w:rsid w:val="00692BB0"/>
    <w:rsid w:val="00693063"/>
    <w:rsid w:val="0069356A"/>
    <w:rsid w:val="00693F0B"/>
    <w:rsid w:val="00693F41"/>
    <w:rsid w:val="0069434C"/>
    <w:rsid w:val="0069443C"/>
    <w:rsid w:val="00694844"/>
    <w:rsid w:val="006948B4"/>
    <w:rsid w:val="00694F44"/>
    <w:rsid w:val="0069534A"/>
    <w:rsid w:val="006953F6"/>
    <w:rsid w:val="00695F02"/>
    <w:rsid w:val="00696347"/>
    <w:rsid w:val="00696F51"/>
    <w:rsid w:val="006975E9"/>
    <w:rsid w:val="006979A5"/>
    <w:rsid w:val="006A0017"/>
    <w:rsid w:val="006A0710"/>
    <w:rsid w:val="006A0FB3"/>
    <w:rsid w:val="006A1002"/>
    <w:rsid w:val="006A193E"/>
    <w:rsid w:val="006A2385"/>
    <w:rsid w:val="006A26A4"/>
    <w:rsid w:val="006A28BD"/>
    <w:rsid w:val="006A335E"/>
    <w:rsid w:val="006A3528"/>
    <w:rsid w:val="006A4359"/>
    <w:rsid w:val="006A48DB"/>
    <w:rsid w:val="006A4E40"/>
    <w:rsid w:val="006A5057"/>
    <w:rsid w:val="006A5100"/>
    <w:rsid w:val="006A540B"/>
    <w:rsid w:val="006A585B"/>
    <w:rsid w:val="006A6B99"/>
    <w:rsid w:val="006A7077"/>
    <w:rsid w:val="006A70DD"/>
    <w:rsid w:val="006A7548"/>
    <w:rsid w:val="006A7E5F"/>
    <w:rsid w:val="006B00B3"/>
    <w:rsid w:val="006B06CC"/>
    <w:rsid w:val="006B0BB5"/>
    <w:rsid w:val="006B1AD9"/>
    <w:rsid w:val="006B1C0B"/>
    <w:rsid w:val="006B2210"/>
    <w:rsid w:val="006B251E"/>
    <w:rsid w:val="006B261B"/>
    <w:rsid w:val="006B2A6B"/>
    <w:rsid w:val="006B2C7B"/>
    <w:rsid w:val="006B2C90"/>
    <w:rsid w:val="006B315E"/>
    <w:rsid w:val="006B32A6"/>
    <w:rsid w:val="006B344D"/>
    <w:rsid w:val="006B35E6"/>
    <w:rsid w:val="006B3F3D"/>
    <w:rsid w:val="006B465A"/>
    <w:rsid w:val="006B4913"/>
    <w:rsid w:val="006B5495"/>
    <w:rsid w:val="006B5AB1"/>
    <w:rsid w:val="006B5E1E"/>
    <w:rsid w:val="006B600B"/>
    <w:rsid w:val="006B6D21"/>
    <w:rsid w:val="006B6DD0"/>
    <w:rsid w:val="006B6DDF"/>
    <w:rsid w:val="006C0399"/>
    <w:rsid w:val="006C083D"/>
    <w:rsid w:val="006C0C9A"/>
    <w:rsid w:val="006C0E8D"/>
    <w:rsid w:val="006C1D73"/>
    <w:rsid w:val="006C1FCA"/>
    <w:rsid w:val="006C24F9"/>
    <w:rsid w:val="006C25DB"/>
    <w:rsid w:val="006C2A46"/>
    <w:rsid w:val="006C2A8E"/>
    <w:rsid w:val="006C2C45"/>
    <w:rsid w:val="006C3255"/>
    <w:rsid w:val="006C3CB5"/>
    <w:rsid w:val="006C3F26"/>
    <w:rsid w:val="006C52C9"/>
    <w:rsid w:val="006C5734"/>
    <w:rsid w:val="006C5912"/>
    <w:rsid w:val="006C6D0F"/>
    <w:rsid w:val="006C715A"/>
    <w:rsid w:val="006D088C"/>
    <w:rsid w:val="006D0A2C"/>
    <w:rsid w:val="006D0D17"/>
    <w:rsid w:val="006D0E20"/>
    <w:rsid w:val="006D145D"/>
    <w:rsid w:val="006D15FB"/>
    <w:rsid w:val="006D1848"/>
    <w:rsid w:val="006D2D6A"/>
    <w:rsid w:val="006D36A7"/>
    <w:rsid w:val="006D392E"/>
    <w:rsid w:val="006D3C7D"/>
    <w:rsid w:val="006D3E2C"/>
    <w:rsid w:val="006D4659"/>
    <w:rsid w:val="006D46C4"/>
    <w:rsid w:val="006D4F6E"/>
    <w:rsid w:val="006D50F5"/>
    <w:rsid w:val="006D54D5"/>
    <w:rsid w:val="006D5785"/>
    <w:rsid w:val="006D5D5F"/>
    <w:rsid w:val="006D68FB"/>
    <w:rsid w:val="006D7139"/>
    <w:rsid w:val="006D7CFB"/>
    <w:rsid w:val="006E0946"/>
    <w:rsid w:val="006E15FC"/>
    <w:rsid w:val="006E17B7"/>
    <w:rsid w:val="006E18D0"/>
    <w:rsid w:val="006E1D1C"/>
    <w:rsid w:val="006E23EF"/>
    <w:rsid w:val="006E2868"/>
    <w:rsid w:val="006E2B99"/>
    <w:rsid w:val="006E2EB6"/>
    <w:rsid w:val="006E374D"/>
    <w:rsid w:val="006E3BC4"/>
    <w:rsid w:val="006E3FC9"/>
    <w:rsid w:val="006E4476"/>
    <w:rsid w:val="006E4754"/>
    <w:rsid w:val="006E4E3D"/>
    <w:rsid w:val="006E5052"/>
    <w:rsid w:val="006E5BFF"/>
    <w:rsid w:val="006E5D36"/>
    <w:rsid w:val="006E6018"/>
    <w:rsid w:val="006E6546"/>
    <w:rsid w:val="006E6989"/>
    <w:rsid w:val="006E6B9C"/>
    <w:rsid w:val="006E6CF4"/>
    <w:rsid w:val="006E740D"/>
    <w:rsid w:val="006E7536"/>
    <w:rsid w:val="006E7943"/>
    <w:rsid w:val="006E7C7D"/>
    <w:rsid w:val="006E7C85"/>
    <w:rsid w:val="006F0721"/>
    <w:rsid w:val="006F0A30"/>
    <w:rsid w:val="006F27AE"/>
    <w:rsid w:val="006F2933"/>
    <w:rsid w:val="006F2952"/>
    <w:rsid w:val="006F2BBF"/>
    <w:rsid w:val="006F2D52"/>
    <w:rsid w:val="006F306C"/>
    <w:rsid w:val="006F3107"/>
    <w:rsid w:val="006F37E8"/>
    <w:rsid w:val="006F3829"/>
    <w:rsid w:val="006F4062"/>
    <w:rsid w:val="006F4C06"/>
    <w:rsid w:val="006F4ED0"/>
    <w:rsid w:val="006F4F83"/>
    <w:rsid w:val="006F577C"/>
    <w:rsid w:val="006F5E6F"/>
    <w:rsid w:val="006F63A5"/>
    <w:rsid w:val="006F6520"/>
    <w:rsid w:val="006F6525"/>
    <w:rsid w:val="006F68FF"/>
    <w:rsid w:val="006F6963"/>
    <w:rsid w:val="006F6A83"/>
    <w:rsid w:val="006F7143"/>
    <w:rsid w:val="006F7C7E"/>
    <w:rsid w:val="0070036E"/>
    <w:rsid w:val="00700464"/>
    <w:rsid w:val="007006CE"/>
    <w:rsid w:val="00700F1A"/>
    <w:rsid w:val="0070128A"/>
    <w:rsid w:val="007013E5"/>
    <w:rsid w:val="007013EC"/>
    <w:rsid w:val="0070142B"/>
    <w:rsid w:val="007021FC"/>
    <w:rsid w:val="0070276E"/>
    <w:rsid w:val="00702A21"/>
    <w:rsid w:val="00702B59"/>
    <w:rsid w:val="00702F8F"/>
    <w:rsid w:val="00703D58"/>
    <w:rsid w:val="00704091"/>
    <w:rsid w:val="00704EFD"/>
    <w:rsid w:val="00705354"/>
    <w:rsid w:val="00705F60"/>
    <w:rsid w:val="007079FC"/>
    <w:rsid w:val="00707DCC"/>
    <w:rsid w:val="00707F86"/>
    <w:rsid w:val="00710623"/>
    <w:rsid w:val="00710DBA"/>
    <w:rsid w:val="0071110A"/>
    <w:rsid w:val="007115A8"/>
    <w:rsid w:val="00711897"/>
    <w:rsid w:val="00711A36"/>
    <w:rsid w:val="00711E07"/>
    <w:rsid w:val="007128DD"/>
    <w:rsid w:val="00712AB3"/>
    <w:rsid w:val="0071405B"/>
    <w:rsid w:val="007143B5"/>
    <w:rsid w:val="00714C26"/>
    <w:rsid w:val="00714D2A"/>
    <w:rsid w:val="0071529C"/>
    <w:rsid w:val="00715750"/>
    <w:rsid w:val="00715EC9"/>
    <w:rsid w:val="00716230"/>
    <w:rsid w:val="007165FA"/>
    <w:rsid w:val="00716C9D"/>
    <w:rsid w:val="007170DA"/>
    <w:rsid w:val="007172AD"/>
    <w:rsid w:val="00720737"/>
    <w:rsid w:val="00720801"/>
    <w:rsid w:val="0072084E"/>
    <w:rsid w:val="00720E7F"/>
    <w:rsid w:val="00721AA8"/>
    <w:rsid w:val="00722663"/>
    <w:rsid w:val="00722985"/>
    <w:rsid w:val="00722B1B"/>
    <w:rsid w:val="00722F7F"/>
    <w:rsid w:val="00723C48"/>
    <w:rsid w:val="0072416F"/>
    <w:rsid w:val="007242D2"/>
    <w:rsid w:val="00724456"/>
    <w:rsid w:val="0072448A"/>
    <w:rsid w:val="007249EE"/>
    <w:rsid w:val="00724B1A"/>
    <w:rsid w:val="007250FF"/>
    <w:rsid w:val="00725599"/>
    <w:rsid w:val="007258BA"/>
    <w:rsid w:val="00725CEC"/>
    <w:rsid w:val="00725F4F"/>
    <w:rsid w:val="00726094"/>
    <w:rsid w:val="007264ED"/>
    <w:rsid w:val="00727C94"/>
    <w:rsid w:val="00730555"/>
    <w:rsid w:val="007318FD"/>
    <w:rsid w:val="00731B0A"/>
    <w:rsid w:val="00731C90"/>
    <w:rsid w:val="00731D51"/>
    <w:rsid w:val="00731EAE"/>
    <w:rsid w:val="00732643"/>
    <w:rsid w:val="00733073"/>
    <w:rsid w:val="007332A0"/>
    <w:rsid w:val="00733E02"/>
    <w:rsid w:val="00735033"/>
    <w:rsid w:val="0073525D"/>
    <w:rsid w:val="00735328"/>
    <w:rsid w:val="00735B6A"/>
    <w:rsid w:val="00736554"/>
    <w:rsid w:val="0073685B"/>
    <w:rsid w:val="0073754E"/>
    <w:rsid w:val="00737829"/>
    <w:rsid w:val="00740B85"/>
    <w:rsid w:val="0074285E"/>
    <w:rsid w:val="00743241"/>
    <w:rsid w:val="00743363"/>
    <w:rsid w:val="0074410E"/>
    <w:rsid w:val="007441BC"/>
    <w:rsid w:val="007449BF"/>
    <w:rsid w:val="007451B1"/>
    <w:rsid w:val="00745413"/>
    <w:rsid w:val="007454FD"/>
    <w:rsid w:val="00745A4E"/>
    <w:rsid w:val="007469C9"/>
    <w:rsid w:val="00746BC0"/>
    <w:rsid w:val="007471E0"/>
    <w:rsid w:val="007475E4"/>
    <w:rsid w:val="00747609"/>
    <w:rsid w:val="00747B1F"/>
    <w:rsid w:val="00750A15"/>
    <w:rsid w:val="007510B4"/>
    <w:rsid w:val="007511C2"/>
    <w:rsid w:val="0075164C"/>
    <w:rsid w:val="007516A9"/>
    <w:rsid w:val="00751D14"/>
    <w:rsid w:val="00752142"/>
    <w:rsid w:val="0075238C"/>
    <w:rsid w:val="007523F9"/>
    <w:rsid w:val="00752509"/>
    <w:rsid w:val="007528FB"/>
    <w:rsid w:val="00752C89"/>
    <w:rsid w:val="00752E94"/>
    <w:rsid w:val="0075337C"/>
    <w:rsid w:val="0075357E"/>
    <w:rsid w:val="00753E61"/>
    <w:rsid w:val="007540BD"/>
    <w:rsid w:val="00754539"/>
    <w:rsid w:val="00754A60"/>
    <w:rsid w:val="0075523D"/>
    <w:rsid w:val="00755480"/>
    <w:rsid w:val="00756448"/>
    <w:rsid w:val="0075663E"/>
    <w:rsid w:val="00757042"/>
    <w:rsid w:val="007573E8"/>
    <w:rsid w:val="00757706"/>
    <w:rsid w:val="007578EC"/>
    <w:rsid w:val="00757E7C"/>
    <w:rsid w:val="00757EA8"/>
    <w:rsid w:val="00760647"/>
    <w:rsid w:val="00760C4E"/>
    <w:rsid w:val="00760D46"/>
    <w:rsid w:val="00760F9E"/>
    <w:rsid w:val="00760FDD"/>
    <w:rsid w:val="007611BD"/>
    <w:rsid w:val="00761379"/>
    <w:rsid w:val="007615B9"/>
    <w:rsid w:val="0076168B"/>
    <w:rsid w:val="007627BE"/>
    <w:rsid w:val="00762A49"/>
    <w:rsid w:val="00762BF2"/>
    <w:rsid w:val="0076349F"/>
    <w:rsid w:val="0076382D"/>
    <w:rsid w:val="00763C5D"/>
    <w:rsid w:val="00763F80"/>
    <w:rsid w:val="00764737"/>
    <w:rsid w:val="00764F03"/>
    <w:rsid w:val="007650DB"/>
    <w:rsid w:val="00765582"/>
    <w:rsid w:val="00765B1A"/>
    <w:rsid w:val="00766737"/>
    <w:rsid w:val="00766EB7"/>
    <w:rsid w:val="00766FBA"/>
    <w:rsid w:val="00767138"/>
    <w:rsid w:val="0076771A"/>
    <w:rsid w:val="00767CEF"/>
    <w:rsid w:val="0077009F"/>
    <w:rsid w:val="007703CB"/>
    <w:rsid w:val="00770AE4"/>
    <w:rsid w:val="00771A8C"/>
    <w:rsid w:val="00772132"/>
    <w:rsid w:val="007721CB"/>
    <w:rsid w:val="0077232B"/>
    <w:rsid w:val="00772353"/>
    <w:rsid w:val="00772A52"/>
    <w:rsid w:val="00772FBC"/>
    <w:rsid w:val="0077305C"/>
    <w:rsid w:val="007731FB"/>
    <w:rsid w:val="00773A24"/>
    <w:rsid w:val="00773E64"/>
    <w:rsid w:val="00773F19"/>
    <w:rsid w:val="0077402A"/>
    <w:rsid w:val="00774A00"/>
    <w:rsid w:val="00775B79"/>
    <w:rsid w:val="00775F15"/>
    <w:rsid w:val="007771E9"/>
    <w:rsid w:val="00777335"/>
    <w:rsid w:val="00777721"/>
    <w:rsid w:val="00777A03"/>
    <w:rsid w:val="00780420"/>
    <w:rsid w:val="00780A23"/>
    <w:rsid w:val="00780C46"/>
    <w:rsid w:val="00781006"/>
    <w:rsid w:val="00781B1A"/>
    <w:rsid w:val="00781F65"/>
    <w:rsid w:val="007838DC"/>
    <w:rsid w:val="007843F2"/>
    <w:rsid w:val="007846D2"/>
    <w:rsid w:val="0078489C"/>
    <w:rsid w:val="00784F8F"/>
    <w:rsid w:val="007850F8"/>
    <w:rsid w:val="00785510"/>
    <w:rsid w:val="00785A9F"/>
    <w:rsid w:val="0078697C"/>
    <w:rsid w:val="00786D32"/>
    <w:rsid w:val="00787955"/>
    <w:rsid w:val="00790970"/>
    <w:rsid w:val="00791916"/>
    <w:rsid w:val="007925DF"/>
    <w:rsid w:val="00792966"/>
    <w:rsid w:val="00793007"/>
    <w:rsid w:val="00793DB6"/>
    <w:rsid w:val="00794329"/>
    <w:rsid w:val="00794B26"/>
    <w:rsid w:val="0079531A"/>
    <w:rsid w:val="007957D4"/>
    <w:rsid w:val="00795B6F"/>
    <w:rsid w:val="00796192"/>
    <w:rsid w:val="0079635B"/>
    <w:rsid w:val="007963FE"/>
    <w:rsid w:val="0079642F"/>
    <w:rsid w:val="00797263"/>
    <w:rsid w:val="0079729B"/>
    <w:rsid w:val="00797945"/>
    <w:rsid w:val="00797A2D"/>
    <w:rsid w:val="00797EE1"/>
    <w:rsid w:val="0079DD9A"/>
    <w:rsid w:val="007A0334"/>
    <w:rsid w:val="007A08AA"/>
    <w:rsid w:val="007A0A12"/>
    <w:rsid w:val="007A132D"/>
    <w:rsid w:val="007A1345"/>
    <w:rsid w:val="007A18E7"/>
    <w:rsid w:val="007A1AFC"/>
    <w:rsid w:val="007A1F26"/>
    <w:rsid w:val="007A20EF"/>
    <w:rsid w:val="007A23DB"/>
    <w:rsid w:val="007A28E2"/>
    <w:rsid w:val="007A2D4D"/>
    <w:rsid w:val="007A2DDB"/>
    <w:rsid w:val="007A31F6"/>
    <w:rsid w:val="007A35B5"/>
    <w:rsid w:val="007A35CB"/>
    <w:rsid w:val="007A39D0"/>
    <w:rsid w:val="007A3C5D"/>
    <w:rsid w:val="007A3EB5"/>
    <w:rsid w:val="007A42C5"/>
    <w:rsid w:val="007A50AB"/>
    <w:rsid w:val="007A5138"/>
    <w:rsid w:val="007A585B"/>
    <w:rsid w:val="007A6098"/>
    <w:rsid w:val="007A6524"/>
    <w:rsid w:val="007A665B"/>
    <w:rsid w:val="007A6928"/>
    <w:rsid w:val="007A6DC3"/>
    <w:rsid w:val="007A70BA"/>
    <w:rsid w:val="007A73B3"/>
    <w:rsid w:val="007A73CC"/>
    <w:rsid w:val="007A761A"/>
    <w:rsid w:val="007A7B8D"/>
    <w:rsid w:val="007A7C61"/>
    <w:rsid w:val="007B0235"/>
    <w:rsid w:val="007B02C9"/>
    <w:rsid w:val="007B0D68"/>
    <w:rsid w:val="007B1046"/>
    <w:rsid w:val="007B2127"/>
    <w:rsid w:val="007B251D"/>
    <w:rsid w:val="007B33EF"/>
    <w:rsid w:val="007B4153"/>
    <w:rsid w:val="007B41D6"/>
    <w:rsid w:val="007B4B0F"/>
    <w:rsid w:val="007B4B6A"/>
    <w:rsid w:val="007B4F30"/>
    <w:rsid w:val="007B4F58"/>
    <w:rsid w:val="007B528D"/>
    <w:rsid w:val="007B57D1"/>
    <w:rsid w:val="007B59D5"/>
    <w:rsid w:val="007B5AE7"/>
    <w:rsid w:val="007B5D04"/>
    <w:rsid w:val="007B5E9D"/>
    <w:rsid w:val="007B5F37"/>
    <w:rsid w:val="007B63CA"/>
    <w:rsid w:val="007B6B8E"/>
    <w:rsid w:val="007B6F03"/>
    <w:rsid w:val="007B70AA"/>
    <w:rsid w:val="007B77D1"/>
    <w:rsid w:val="007B7969"/>
    <w:rsid w:val="007C07C7"/>
    <w:rsid w:val="007C13EA"/>
    <w:rsid w:val="007C1CD9"/>
    <w:rsid w:val="007C1E60"/>
    <w:rsid w:val="007C2310"/>
    <w:rsid w:val="007C2A43"/>
    <w:rsid w:val="007C32EF"/>
    <w:rsid w:val="007C3592"/>
    <w:rsid w:val="007C361D"/>
    <w:rsid w:val="007C3FEC"/>
    <w:rsid w:val="007C416F"/>
    <w:rsid w:val="007C4395"/>
    <w:rsid w:val="007C4B84"/>
    <w:rsid w:val="007C5DD8"/>
    <w:rsid w:val="007C64C5"/>
    <w:rsid w:val="007C6D5A"/>
    <w:rsid w:val="007C6E30"/>
    <w:rsid w:val="007C70FF"/>
    <w:rsid w:val="007C713C"/>
    <w:rsid w:val="007C7173"/>
    <w:rsid w:val="007C77C7"/>
    <w:rsid w:val="007C7C25"/>
    <w:rsid w:val="007C7E9B"/>
    <w:rsid w:val="007D004F"/>
    <w:rsid w:val="007D083B"/>
    <w:rsid w:val="007D0B38"/>
    <w:rsid w:val="007D1262"/>
    <w:rsid w:val="007D13E2"/>
    <w:rsid w:val="007D1BA6"/>
    <w:rsid w:val="007D1CBE"/>
    <w:rsid w:val="007D1E04"/>
    <w:rsid w:val="007D324F"/>
    <w:rsid w:val="007D331D"/>
    <w:rsid w:val="007D35AF"/>
    <w:rsid w:val="007D3715"/>
    <w:rsid w:val="007D3B30"/>
    <w:rsid w:val="007D42B0"/>
    <w:rsid w:val="007D46B0"/>
    <w:rsid w:val="007D477D"/>
    <w:rsid w:val="007D4CDD"/>
    <w:rsid w:val="007D512D"/>
    <w:rsid w:val="007D5440"/>
    <w:rsid w:val="007D64CF"/>
    <w:rsid w:val="007D69EB"/>
    <w:rsid w:val="007D6C41"/>
    <w:rsid w:val="007D700E"/>
    <w:rsid w:val="007D7A1E"/>
    <w:rsid w:val="007E0CFE"/>
    <w:rsid w:val="007E128F"/>
    <w:rsid w:val="007E2295"/>
    <w:rsid w:val="007E2687"/>
    <w:rsid w:val="007E2EAE"/>
    <w:rsid w:val="007E3251"/>
    <w:rsid w:val="007E39FE"/>
    <w:rsid w:val="007E3AC3"/>
    <w:rsid w:val="007E40CA"/>
    <w:rsid w:val="007E45D1"/>
    <w:rsid w:val="007E4810"/>
    <w:rsid w:val="007E4941"/>
    <w:rsid w:val="007E5332"/>
    <w:rsid w:val="007E53AE"/>
    <w:rsid w:val="007E549C"/>
    <w:rsid w:val="007E5599"/>
    <w:rsid w:val="007E63C3"/>
    <w:rsid w:val="007E6576"/>
    <w:rsid w:val="007E686D"/>
    <w:rsid w:val="007E7081"/>
    <w:rsid w:val="007E7181"/>
    <w:rsid w:val="007E7290"/>
    <w:rsid w:val="007E7682"/>
    <w:rsid w:val="007E7990"/>
    <w:rsid w:val="007E7CE8"/>
    <w:rsid w:val="007E7F2A"/>
    <w:rsid w:val="007E7F57"/>
    <w:rsid w:val="007F05E7"/>
    <w:rsid w:val="007F0E57"/>
    <w:rsid w:val="007F1017"/>
    <w:rsid w:val="007F21B1"/>
    <w:rsid w:val="007F2900"/>
    <w:rsid w:val="007F35EF"/>
    <w:rsid w:val="007F3B4A"/>
    <w:rsid w:val="007F40C0"/>
    <w:rsid w:val="007F4A3F"/>
    <w:rsid w:val="007F4A61"/>
    <w:rsid w:val="007F5255"/>
    <w:rsid w:val="007F5426"/>
    <w:rsid w:val="007F566A"/>
    <w:rsid w:val="007F56CC"/>
    <w:rsid w:val="007F60F7"/>
    <w:rsid w:val="007F61C2"/>
    <w:rsid w:val="007F66DD"/>
    <w:rsid w:val="007F68FE"/>
    <w:rsid w:val="007F6B7C"/>
    <w:rsid w:val="007F70C3"/>
    <w:rsid w:val="007F71DC"/>
    <w:rsid w:val="007F73EA"/>
    <w:rsid w:val="007F75CF"/>
    <w:rsid w:val="007F7C31"/>
    <w:rsid w:val="007F7DCA"/>
    <w:rsid w:val="008002E4"/>
    <w:rsid w:val="0080052D"/>
    <w:rsid w:val="00800E8A"/>
    <w:rsid w:val="00800F6E"/>
    <w:rsid w:val="0080112D"/>
    <w:rsid w:val="0080164D"/>
    <w:rsid w:val="00801C8C"/>
    <w:rsid w:val="00801DAC"/>
    <w:rsid w:val="008030A8"/>
    <w:rsid w:val="00803B1A"/>
    <w:rsid w:val="008049E8"/>
    <w:rsid w:val="00804E88"/>
    <w:rsid w:val="00805142"/>
    <w:rsid w:val="00805FCE"/>
    <w:rsid w:val="0080622D"/>
    <w:rsid w:val="00806E17"/>
    <w:rsid w:val="008075D0"/>
    <w:rsid w:val="00807A8B"/>
    <w:rsid w:val="008100C3"/>
    <w:rsid w:val="00810B90"/>
    <w:rsid w:val="00810E7A"/>
    <w:rsid w:val="00811383"/>
    <w:rsid w:val="008113BA"/>
    <w:rsid w:val="008115E5"/>
    <w:rsid w:val="008116A6"/>
    <w:rsid w:val="008118C6"/>
    <w:rsid w:val="00811AAE"/>
    <w:rsid w:val="00812149"/>
    <w:rsid w:val="00812667"/>
    <w:rsid w:val="00812CAC"/>
    <w:rsid w:val="00813645"/>
    <w:rsid w:val="00813741"/>
    <w:rsid w:val="00813D3F"/>
    <w:rsid w:val="008155AC"/>
    <w:rsid w:val="00815CBB"/>
    <w:rsid w:val="00816361"/>
    <w:rsid w:val="00816440"/>
    <w:rsid w:val="008166EF"/>
    <w:rsid w:val="00816FEF"/>
    <w:rsid w:val="008171D5"/>
    <w:rsid w:val="00817487"/>
    <w:rsid w:val="00820024"/>
    <w:rsid w:val="00820A8C"/>
    <w:rsid w:val="00821006"/>
    <w:rsid w:val="008215FB"/>
    <w:rsid w:val="008216D6"/>
    <w:rsid w:val="0082185E"/>
    <w:rsid w:val="0082214B"/>
    <w:rsid w:val="00823067"/>
    <w:rsid w:val="00823174"/>
    <w:rsid w:val="008232E3"/>
    <w:rsid w:val="00823419"/>
    <w:rsid w:val="00823AC4"/>
    <w:rsid w:val="00824226"/>
    <w:rsid w:val="008248F0"/>
    <w:rsid w:val="00824C23"/>
    <w:rsid w:val="00824E74"/>
    <w:rsid w:val="00825751"/>
    <w:rsid w:val="008258E6"/>
    <w:rsid w:val="008260F0"/>
    <w:rsid w:val="008263C1"/>
    <w:rsid w:val="008264EB"/>
    <w:rsid w:val="00826DEE"/>
    <w:rsid w:val="00826F3F"/>
    <w:rsid w:val="0082713E"/>
    <w:rsid w:val="008275E5"/>
    <w:rsid w:val="008275FD"/>
    <w:rsid w:val="00827706"/>
    <w:rsid w:val="00827DA6"/>
    <w:rsid w:val="0083022B"/>
    <w:rsid w:val="008306A3"/>
    <w:rsid w:val="00830780"/>
    <w:rsid w:val="00831710"/>
    <w:rsid w:val="0083226E"/>
    <w:rsid w:val="008323F8"/>
    <w:rsid w:val="00832851"/>
    <w:rsid w:val="00832BBC"/>
    <w:rsid w:val="008333FA"/>
    <w:rsid w:val="00833B05"/>
    <w:rsid w:val="00833C9E"/>
    <w:rsid w:val="00833FB5"/>
    <w:rsid w:val="00834168"/>
    <w:rsid w:val="0083435D"/>
    <w:rsid w:val="008347B8"/>
    <w:rsid w:val="00835204"/>
    <w:rsid w:val="00835B8D"/>
    <w:rsid w:val="00835DAC"/>
    <w:rsid w:val="008360E2"/>
    <w:rsid w:val="0083623A"/>
    <w:rsid w:val="008362B4"/>
    <w:rsid w:val="008369AA"/>
    <w:rsid w:val="00837954"/>
    <w:rsid w:val="00837A99"/>
    <w:rsid w:val="00837B02"/>
    <w:rsid w:val="008402D4"/>
    <w:rsid w:val="00840318"/>
    <w:rsid w:val="00840CA2"/>
    <w:rsid w:val="008411D2"/>
    <w:rsid w:val="0084185A"/>
    <w:rsid w:val="00842317"/>
    <w:rsid w:val="00843106"/>
    <w:rsid w:val="00843243"/>
    <w:rsid w:val="0084374F"/>
    <w:rsid w:val="00843842"/>
    <w:rsid w:val="00843BC9"/>
    <w:rsid w:val="00844595"/>
    <w:rsid w:val="00844A22"/>
    <w:rsid w:val="00845051"/>
    <w:rsid w:val="008454AA"/>
    <w:rsid w:val="00845B73"/>
    <w:rsid w:val="00845E5E"/>
    <w:rsid w:val="008461AC"/>
    <w:rsid w:val="00846D01"/>
    <w:rsid w:val="00846E8A"/>
    <w:rsid w:val="00847703"/>
    <w:rsid w:val="00847827"/>
    <w:rsid w:val="00847C9C"/>
    <w:rsid w:val="00847DF5"/>
    <w:rsid w:val="0085039A"/>
    <w:rsid w:val="008505DF"/>
    <w:rsid w:val="00851399"/>
    <w:rsid w:val="00851CB2"/>
    <w:rsid w:val="008522BD"/>
    <w:rsid w:val="00852358"/>
    <w:rsid w:val="008528C6"/>
    <w:rsid w:val="0085309D"/>
    <w:rsid w:val="00853290"/>
    <w:rsid w:val="00853809"/>
    <w:rsid w:val="00854201"/>
    <w:rsid w:val="00854679"/>
    <w:rsid w:val="008546B5"/>
    <w:rsid w:val="00854EE2"/>
    <w:rsid w:val="00854FD1"/>
    <w:rsid w:val="00855E18"/>
    <w:rsid w:val="00856247"/>
    <w:rsid w:val="008562EB"/>
    <w:rsid w:val="008563D8"/>
    <w:rsid w:val="00856897"/>
    <w:rsid w:val="00856B54"/>
    <w:rsid w:val="00856E9A"/>
    <w:rsid w:val="00857025"/>
    <w:rsid w:val="00857502"/>
    <w:rsid w:val="00857E4F"/>
    <w:rsid w:val="00857E5A"/>
    <w:rsid w:val="0086043C"/>
    <w:rsid w:val="0086075D"/>
    <w:rsid w:val="0086161B"/>
    <w:rsid w:val="008617F0"/>
    <w:rsid w:val="00861BF9"/>
    <w:rsid w:val="00861D9D"/>
    <w:rsid w:val="00862502"/>
    <w:rsid w:val="00862CC1"/>
    <w:rsid w:val="00863216"/>
    <w:rsid w:val="00863404"/>
    <w:rsid w:val="00863B0B"/>
    <w:rsid w:val="00863CB4"/>
    <w:rsid w:val="00863DCE"/>
    <w:rsid w:val="0086540D"/>
    <w:rsid w:val="00865DB8"/>
    <w:rsid w:val="008660D4"/>
    <w:rsid w:val="00866870"/>
    <w:rsid w:val="0086705A"/>
    <w:rsid w:val="00867BB6"/>
    <w:rsid w:val="00870884"/>
    <w:rsid w:val="00870BB3"/>
    <w:rsid w:val="00870E0E"/>
    <w:rsid w:val="00871009"/>
    <w:rsid w:val="00871FA9"/>
    <w:rsid w:val="008722DB"/>
    <w:rsid w:val="008728E9"/>
    <w:rsid w:val="0087298E"/>
    <w:rsid w:val="008729B2"/>
    <w:rsid w:val="00872AB7"/>
    <w:rsid w:val="00872C2F"/>
    <w:rsid w:val="00872D01"/>
    <w:rsid w:val="008737B4"/>
    <w:rsid w:val="008739AA"/>
    <w:rsid w:val="00873BDB"/>
    <w:rsid w:val="00873C7C"/>
    <w:rsid w:val="00873E75"/>
    <w:rsid w:val="0087400A"/>
    <w:rsid w:val="008747ED"/>
    <w:rsid w:val="00874A3E"/>
    <w:rsid w:val="00875258"/>
    <w:rsid w:val="00875B82"/>
    <w:rsid w:val="0087674A"/>
    <w:rsid w:val="008767B6"/>
    <w:rsid w:val="008803D0"/>
    <w:rsid w:val="008803D3"/>
    <w:rsid w:val="00880E23"/>
    <w:rsid w:val="008811EF"/>
    <w:rsid w:val="00881CEC"/>
    <w:rsid w:val="00882759"/>
    <w:rsid w:val="00882773"/>
    <w:rsid w:val="00882874"/>
    <w:rsid w:val="008828B4"/>
    <w:rsid w:val="00882E3C"/>
    <w:rsid w:val="00883782"/>
    <w:rsid w:val="00883787"/>
    <w:rsid w:val="00884BDD"/>
    <w:rsid w:val="00884CC2"/>
    <w:rsid w:val="008855E4"/>
    <w:rsid w:val="00885B2E"/>
    <w:rsid w:val="0088611E"/>
    <w:rsid w:val="0088654A"/>
    <w:rsid w:val="008869A5"/>
    <w:rsid w:val="00886CD2"/>
    <w:rsid w:val="00886EEC"/>
    <w:rsid w:val="008900DC"/>
    <w:rsid w:val="00890381"/>
    <w:rsid w:val="00891E6F"/>
    <w:rsid w:val="00891F95"/>
    <w:rsid w:val="0089275D"/>
    <w:rsid w:val="00892A36"/>
    <w:rsid w:val="00892EBA"/>
    <w:rsid w:val="00892F25"/>
    <w:rsid w:val="0089319C"/>
    <w:rsid w:val="008931B4"/>
    <w:rsid w:val="00893239"/>
    <w:rsid w:val="00893D82"/>
    <w:rsid w:val="00894450"/>
    <w:rsid w:val="00894489"/>
    <w:rsid w:val="00894D04"/>
    <w:rsid w:val="008956E9"/>
    <w:rsid w:val="008963A5"/>
    <w:rsid w:val="00896515"/>
    <w:rsid w:val="00896B25"/>
    <w:rsid w:val="00896D5D"/>
    <w:rsid w:val="00896E9E"/>
    <w:rsid w:val="008970FE"/>
    <w:rsid w:val="008A0D64"/>
    <w:rsid w:val="008A0D87"/>
    <w:rsid w:val="008A12A6"/>
    <w:rsid w:val="008A2138"/>
    <w:rsid w:val="008A264C"/>
    <w:rsid w:val="008A3363"/>
    <w:rsid w:val="008A3371"/>
    <w:rsid w:val="008A3595"/>
    <w:rsid w:val="008A3C3E"/>
    <w:rsid w:val="008A59FD"/>
    <w:rsid w:val="008A648F"/>
    <w:rsid w:val="008A6999"/>
    <w:rsid w:val="008A6E37"/>
    <w:rsid w:val="008A79DE"/>
    <w:rsid w:val="008A7C5A"/>
    <w:rsid w:val="008A7EF3"/>
    <w:rsid w:val="008B0458"/>
    <w:rsid w:val="008B10B7"/>
    <w:rsid w:val="008B14F1"/>
    <w:rsid w:val="008B16F8"/>
    <w:rsid w:val="008B1757"/>
    <w:rsid w:val="008B18A9"/>
    <w:rsid w:val="008B18C2"/>
    <w:rsid w:val="008B1F51"/>
    <w:rsid w:val="008B2079"/>
    <w:rsid w:val="008B2358"/>
    <w:rsid w:val="008B23F4"/>
    <w:rsid w:val="008B27D3"/>
    <w:rsid w:val="008B36A0"/>
    <w:rsid w:val="008B4233"/>
    <w:rsid w:val="008B44C6"/>
    <w:rsid w:val="008B4D3A"/>
    <w:rsid w:val="008B4E83"/>
    <w:rsid w:val="008B50E1"/>
    <w:rsid w:val="008B5418"/>
    <w:rsid w:val="008B67FD"/>
    <w:rsid w:val="008B6A14"/>
    <w:rsid w:val="008B7992"/>
    <w:rsid w:val="008B7A0C"/>
    <w:rsid w:val="008B7A4A"/>
    <w:rsid w:val="008B7D7E"/>
    <w:rsid w:val="008B7EB6"/>
    <w:rsid w:val="008B7F0A"/>
    <w:rsid w:val="008C0263"/>
    <w:rsid w:val="008C109A"/>
    <w:rsid w:val="008C14D3"/>
    <w:rsid w:val="008C18AD"/>
    <w:rsid w:val="008C2914"/>
    <w:rsid w:val="008C2944"/>
    <w:rsid w:val="008C2956"/>
    <w:rsid w:val="008C2A80"/>
    <w:rsid w:val="008C32E2"/>
    <w:rsid w:val="008C3594"/>
    <w:rsid w:val="008C3778"/>
    <w:rsid w:val="008C39EA"/>
    <w:rsid w:val="008C41AA"/>
    <w:rsid w:val="008C4220"/>
    <w:rsid w:val="008C4C18"/>
    <w:rsid w:val="008C5182"/>
    <w:rsid w:val="008C55B5"/>
    <w:rsid w:val="008C5610"/>
    <w:rsid w:val="008C568E"/>
    <w:rsid w:val="008C5739"/>
    <w:rsid w:val="008C5CF8"/>
    <w:rsid w:val="008C5D3B"/>
    <w:rsid w:val="008C5FDD"/>
    <w:rsid w:val="008C62D9"/>
    <w:rsid w:val="008C694F"/>
    <w:rsid w:val="008C6B05"/>
    <w:rsid w:val="008C6BA6"/>
    <w:rsid w:val="008C6E1A"/>
    <w:rsid w:val="008C78C2"/>
    <w:rsid w:val="008C7932"/>
    <w:rsid w:val="008C7A4A"/>
    <w:rsid w:val="008C7ECB"/>
    <w:rsid w:val="008C7F44"/>
    <w:rsid w:val="008D1068"/>
    <w:rsid w:val="008D1102"/>
    <w:rsid w:val="008D1941"/>
    <w:rsid w:val="008D1DFC"/>
    <w:rsid w:val="008D1F5C"/>
    <w:rsid w:val="008D2037"/>
    <w:rsid w:val="008D2352"/>
    <w:rsid w:val="008D2561"/>
    <w:rsid w:val="008D2662"/>
    <w:rsid w:val="008D28D4"/>
    <w:rsid w:val="008D2F49"/>
    <w:rsid w:val="008D31E3"/>
    <w:rsid w:val="008D321D"/>
    <w:rsid w:val="008D3624"/>
    <w:rsid w:val="008D3B86"/>
    <w:rsid w:val="008D4755"/>
    <w:rsid w:val="008D4B9B"/>
    <w:rsid w:val="008D4C3D"/>
    <w:rsid w:val="008D57D7"/>
    <w:rsid w:val="008D6B3D"/>
    <w:rsid w:val="008D6C50"/>
    <w:rsid w:val="008D6EE4"/>
    <w:rsid w:val="008D70A6"/>
    <w:rsid w:val="008D743C"/>
    <w:rsid w:val="008E02D5"/>
    <w:rsid w:val="008E0C13"/>
    <w:rsid w:val="008E0D3C"/>
    <w:rsid w:val="008E104D"/>
    <w:rsid w:val="008E14E7"/>
    <w:rsid w:val="008E1B9E"/>
    <w:rsid w:val="008E297F"/>
    <w:rsid w:val="008E2DD4"/>
    <w:rsid w:val="008E3118"/>
    <w:rsid w:val="008E34FD"/>
    <w:rsid w:val="008E3AC3"/>
    <w:rsid w:val="008E3CE8"/>
    <w:rsid w:val="008E4326"/>
    <w:rsid w:val="008E440E"/>
    <w:rsid w:val="008E49CD"/>
    <w:rsid w:val="008E5220"/>
    <w:rsid w:val="008E55AB"/>
    <w:rsid w:val="008E5B85"/>
    <w:rsid w:val="008E5C55"/>
    <w:rsid w:val="008E5F7E"/>
    <w:rsid w:val="008E622E"/>
    <w:rsid w:val="008E64FB"/>
    <w:rsid w:val="008E6EDE"/>
    <w:rsid w:val="008E76C9"/>
    <w:rsid w:val="008F03BA"/>
    <w:rsid w:val="008F0B58"/>
    <w:rsid w:val="008F11A7"/>
    <w:rsid w:val="008F120A"/>
    <w:rsid w:val="008F1875"/>
    <w:rsid w:val="008F2004"/>
    <w:rsid w:val="008F22CA"/>
    <w:rsid w:val="008F27E0"/>
    <w:rsid w:val="008F2B49"/>
    <w:rsid w:val="008F30D8"/>
    <w:rsid w:val="008F32B0"/>
    <w:rsid w:val="008F3DBA"/>
    <w:rsid w:val="008F3DE5"/>
    <w:rsid w:val="008F48EB"/>
    <w:rsid w:val="008F49F5"/>
    <w:rsid w:val="008F4B55"/>
    <w:rsid w:val="008F4EC0"/>
    <w:rsid w:val="008F4F0B"/>
    <w:rsid w:val="008F4F13"/>
    <w:rsid w:val="008F4F3B"/>
    <w:rsid w:val="008F58BE"/>
    <w:rsid w:val="008F5E9B"/>
    <w:rsid w:val="008F5FE5"/>
    <w:rsid w:val="008F6305"/>
    <w:rsid w:val="008F6685"/>
    <w:rsid w:val="008F7138"/>
    <w:rsid w:val="008F7288"/>
    <w:rsid w:val="008F729F"/>
    <w:rsid w:val="008F748B"/>
    <w:rsid w:val="0090140F"/>
    <w:rsid w:val="0090190B"/>
    <w:rsid w:val="00901C67"/>
    <w:rsid w:val="009023BB"/>
    <w:rsid w:val="00902732"/>
    <w:rsid w:val="00903230"/>
    <w:rsid w:val="00903947"/>
    <w:rsid w:val="00903B4B"/>
    <w:rsid w:val="00903B4E"/>
    <w:rsid w:val="00904114"/>
    <w:rsid w:val="00904637"/>
    <w:rsid w:val="009046C4"/>
    <w:rsid w:val="00904858"/>
    <w:rsid w:val="00904A08"/>
    <w:rsid w:val="00906010"/>
    <w:rsid w:val="009062A5"/>
    <w:rsid w:val="0090632F"/>
    <w:rsid w:val="009064CF"/>
    <w:rsid w:val="00907A24"/>
    <w:rsid w:val="00907BF9"/>
    <w:rsid w:val="00910398"/>
    <w:rsid w:val="00910FA7"/>
    <w:rsid w:val="00911272"/>
    <w:rsid w:val="00911577"/>
    <w:rsid w:val="009115D8"/>
    <w:rsid w:val="0091222B"/>
    <w:rsid w:val="00912415"/>
    <w:rsid w:val="0091270D"/>
    <w:rsid w:val="00912E2C"/>
    <w:rsid w:val="009135A9"/>
    <w:rsid w:val="009135D6"/>
    <w:rsid w:val="00913AA9"/>
    <w:rsid w:val="00913B32"/>
    <w:rsid w:val="00914B02"/>
    <w:rsid w:val="00914C77"/>
    <w:rsid w:val="00915705"/>
    <w:rsid w:val="009157AC"/>
    <w:rsid w:val="00915AB5"/>
    <w:rsid w:val="00915D3D"/>
    <w:rsid w:val="00916D26"/>
    <w:rsid w:val="0091712F"/>
    <w:rsid w:val="00917B51"/>
    <w:rsid w:val="00917D41"/>
    <w:rsid w:val="00917E5C"/>
    <w:rsid w:val="00921ACB"/>
    <w:rsid w:val="009222FA"/>
    <w:rsid w:val="00922676"/>
    <w:rsid w:val="0092325A"/>
    <w:rsid w:val="0092369B"/>
    <w:rsid w:val="009241B3"/>
    <w:rsid w:val="00925AA2"/>
    <w:rsid w:val="00925AA4"/>
    <w:rsid w:val="00925E09"/>
    <w:rsid w:val="009263FE"/>
    <w:rsid w:val="009266E4"/>
    <w:rsid w:val="009267CE"/>
    <w:rsid w:val="00926B28"/>
    <w:rsid w:val="00926CA6"/>
    <w:rsid w:val="00926EEF"/>
    <w:rsid w:val="00927867"/>
    <w:rsid w:val="00927F44"/>
    <w:rsid w:val="00930613"/>
    <w:rsid w:val="0093080F"/>
    <w:rsid w:val="009313D2"/>
    <w:rsid w:val="009315EB"/>
    <w:rsid w:val="00931A9B"/>
    <w:rsid w:val="00931FEB"/>
    <w:rsid w:val="00932A08"/>
    <w:rsid w:val="00932C21"/>
    <w:rsid w:val="00932EF9"/>
    <w:rsid w:val="009337FA"/>
    <w:rsid w:val="00933978"/>
    <w:rsid w:val="00933A76"/>
    <w:rsid w:val="009341E9"/>
    <w:rsid w:val="00934988"/>
    <w:rsid w:val="00934D8C"/>
    <w:rsid w:val="00935E56"/>
    <w:rsid w:val="009361E5"/>
    <w:rsid w:val="00936208"/>
    <w:rsid w:val="00937089"/>
    <w:rsid w:val="009401C6"/>
    <w:rsid w:val="00940EB3"/>
    <w:rsid w:val="00942395"/>
    <w:rsid w:val="0094352A"/>
    <w:rsid w:val="009442F7"/>
    <w:rsid w:val="00944BD9"/>
    <w:rsid w:val="00944D37"/>
    <w:rsid w:val="00944F8A"/>
    <w:rsid w:val="0094502B"/>
    <w:rsid w:val="0094674A"/>
    <w:rsid w:val="00947288"/>
    <w:rsid w:val="00947674"/>
    <w:rsid w:val="00947EA7"/>
    <w:rsid w:val="0095035B"/>
    <w:rsid w:val="00950620"/>
    <w:rsid w:val="00950AE7"/>
    <w:rsid w:val="00950BDA"/>
    <w:rsid w:val="009510A2"/>
    <w:rsid w:val="009512F8"/>
    <w:rsid w:val="00951401"/>
    <w:rsid w:val="00951B52"/>
    <w:rsid w:val="00952422"/>
    <w:rsid w:val="00952EE1"/>
    <w:rsid w:val="00952F69"/>
    <w:rsid w:val="00953257"/>
    <w:rsid w:val="009532CD"/>
    <w:rsid w:val="00953698"/>
    <w:rsid w:val="009537BE"/>
    <w:rsid w:val="00953AB6"/>
    <w:rsid w:val="00953C29"/>
    <w:rsid w:val="00953C43"/>
    <w:rsid w:val="00953E19"/>
    <w:rsid w:val="0095474C"/>
    <w:rsid w:val="00954F7F"/>
    <w:rsid w:val="00955540"/>
    <w:rsid w:val="00955DBE"/>
    <w:rsid w:val="00955DD9"/>
    <w:rsid w:val="00956476"/>
    <w:rsid w:val="00957834"/>
    <w:rsid w:val="009579F4"/>
    <w:rsid w:val="00960B53"/>
    <w:rsid w:val="009614D9"/>
    <w:rsid w:val="009619FC"/>
    <w:rsid w:val="00962BBF"/>
    <w:rsid w:val="00962CB9"/>
    <w:rsid w:val="009639C2"/>
    <w:rsid w:val="00963A77"/>
    <w:rsid w:val="00964312"/>
    <w:rsid w:val="00964F04"/>
    <w:rsid w:val="00964FEB"/>
    <w:rsid w:val="00965B8A"/>
    <w:rsid w:val="00965E20"/>
    <w:rsid w:val="00966168"/>
    <w:rsid w:val="009661EA"/>
    <w:rsid w:val="00966910"/>
    <w:rsid w:val="009669F6"/>
    <w:rsid w:val="0096748F"/>
    <w:rsid w:val="00967AE4"/>
    <w:rsid w:val="00967BA7"/>
    <w:rsid w:val="00967CFE"/>
    <w:rsid w:val="00967ED8"/>
    <w:rsid w:val="0097018C"/>
    <w:rsid w:val="0097071F"/>
    <w:rsid w:val="00970F9E"/>
    <w:rsid w:val="009710BE"/>
    <w:rsid w:val="00971243"/>
    <w:rsid w:val="009717AC"/>
    <w:rsid w:val="00971DB9"/>
    <w:rsid w:val="0097257D"/>
    <w:rsid w:val="009726FB"/>
    <w:rsid w:val="009727ED"/>
    <w:rsid w:val="00972B46"/>
    <w:rsid w:val="00972C13"/>
    <w:rsid w:val="00973FAE"/>
    <w:rsid w:val="00974AF3"/>
    <w:rsid w:val="00974F77"/>
    <w:rsid w:val="0097513B"/>
    <w:rsid w:val="009751C1"/>
    <w:rsid w:val="00975258"/>
    <w:rsid w:val="00975417"/>
    <w:rsid w:val="009755A4"/>
    <w:rsid w:val="009755CF"/>
    <w:rsid w:val="009768A2"/>
    <w:rsid w:val="00977871"/>
    <w:rsid w:val="00977D2D"/>
    <w:rsid w:val="0098009A"/>
    <w:rsid w:val="00980F04"/>
    <w:rsid w:val="009811F1"/>
    <w:rsid w:val="00981224"/>
    <w:rsid w:val="00981549"/>
    <w:rsid w:val="0098170E"/>
    <w:rsid w:val="009819CE"/>
    <w:rsid w:val="00981A15"/>
    <w:rsid w:val="009823FD"/>
    <w:rsid w:val="00982891"/>
    <w:rsid w:val="00982AEA"/>
    <w:rsid w:val="00982C3C"/>
    <w:rsid w:val="00983E57"/>
    <w:rsid w:val="009842A4"/>
    <w:rsid w:val="00984E31"/>
    <w:rsid w:val="00985183"/>
    <w:rsid w:val="0098584C"/>
    <w:rsid w:val="00985DE2"/>
    <w:rsid w:val="00985F56"/>
    <w:rsid w:val="0098675D"/>
    <w:rsid w:val="00986843"/>
    <w:rsid w:val="00986881"/>
    <w:rsid w:val="00986F4C"/>
    <w:rsid w:val="00987E1A"/>
    <w:rsid w:val="00987E46"/>
    <w:rsid w:val="0099103E"/>
    <w:rsid w:val="009910C2"/>
    <w:rsid w:val="009923E7"/>
    <w:rsid w:val="009926E0"/>
    <w:rsid w:val="00993470"/>
    <w:rsid w:val="0099357C"/>
    <w:rsid w:val="0099451E"/>
    <w:rsid w:val="00994574"/>
    <w:rsid w:val="009952F1"/>
    <w:rsid w:val="009956E5"/>
    <w:rsid w:val="00995E6A"/>
    <w:rsid w:val="009967E6"/>
    <w:rsid w:val="00996B1A"/>
    <w:rsid w:val="00996D73"/>
    <w:rsid w:val="00996E5B"/>
    <w:rsid w:val="00997444"/>
    <w:rsid w:val="0099769D"/>
    <w:rsid w:val="0099798A"/>
    <w:rsid w:val="00997B8E"/>
    <w:rsid w:val="009A0192"/>
    <w:rsid w:val="009A13E2"/>
    <w:rsid w:val="009A189C"/>
    <w:rsid w:val="009A1CEC"/>
    <w:rsid w:val="009A1EC7"/>
    <w:rsid w:val="009A22C8"/>
    <w:rsid w:val="009A2466"/>
    <w:rsid w:val="009A2738"/>
    <w:rsid w:val="009A2DCC"/>
    <w:rsid w:val="009A30B4"/>
    <w:rsid w:val="009A34B6"/>
    <w:rsid w:val="009A3C70"/>
    <w:rsid w:val="009A4133"/>
    <w:rsid w:val="009A48E1"/>
    <w:rsid w:val="009A5747"/>
    <w:rsid w:val="009A59B7"/>
    <w:rsid w:val="009A5ABC"/>
    <w:rsid w:val="009A7085"/>
    <w:rsid w:val="009A7272"/>
    <w:rsid w:val="009A7518"/>
    <w:rsid w:val="009A7F10"/>
    <w:rsid w:val="009B04B1"/>
    <w:rsid w:val="009B0F10"/>
    <w:rsid w:val="009B1026"/>
    <w:rsid w:val="009B1126"/>
    <w:rsid w:val="009B1191"/>
    <w:rsid w:val="009B1444"/>
    <w:rsid w:val="009B1EDA"/>
    <w:rsid w:val="009B1F9F"/>
    <w:rsid w:val="009B2064"/>
    <w:rsid w:val="009B22C0"/>
    <w:rsid w:val="009B2429"/>
    <w:rsid w:val="009B2747"/>
    <w:rsid w:val="009B2901"/>
    <w:rsid w:val="009B3779"/>
    <w:rsid w:val="009B3E26"/>
    <w:rsid w:val="009B4CA7"/>
    <w:rsid w:val="009B4CEB"/>
    <w:rsid w:val="009B6D68"/>
    <w:rsid w:val="009B6EE8"/>
    <w:rsid w:val="009B6FCD"/>
    <w:rsid w:val="009B7C45"/>
    <w:rsid w:val="009C064B"/>
    <w:rsid w:val="009C0B6D"/>
    <w:rsid w:val="009C0BA8"/>
    <w:rsid w:val="009C22BE"/>
    <w:rsid w:val="009C3586"/>
    <w:rsid w:val="009C3706"/>
    <w:rsid w:val="009C3A3A"/>
    <w:rsid w:val="009C3C9B"/>
    <w:rsid w:val="009C4D4C"/>
    <w:rsid w:val="009C51A1"/>
    <w:rsid w:val="009C605B"/>
    <w:rsid w:val="009C6B5D"/>
    <w:rsid w:val="009C6C88"/>
    <w:rsid w:val="009C6CD9"/>
    <w:rsid w:val="009C6CEA"/>
    <w:rsid w:val="009C7B6E"/>
    <w:rsid w:val="009C7B85"/>
    <w:rsid w:val="009D0254"/>
    <w:rsid w:val="009D0573"/>
    <w:rsid w:val="009D0645"/>
    <w:rsid w:val="009D145C"/>
    <w:rsid w:val="009D1734"/>
    <w:rsid w:val="009D1A64"/>
    <w:rsid w:val="009D1BD1"/>
    <w:rsid w:val="009D1CDC"/>
    <w:rsid w:val="009D1FC9"/>
    <w:rsid w:val="009D25C7"/>
    <w:rsid w:val="009D34A8"/>
    <w:rsid w:val="009D3593"/>
    <w:rsid w:val="009D3892"/>
    <w:rsid w:val="009D5B91"/>
    <w:rsid w:val="009D5DDB"/>
    <w:rsid w:val="009D6604"/>
    <w:rsid w:val="009D6EB0"/>
    <w:rsid w:val="009D729F"/>
    <w:rsid w:val="009D7734"/>
    <w:rsid w:val="009D792E"/>
    <w:rsid w:val="009D7C0E"/>
    <w:rsid w:val="009E0DFE"/>
    <w:rsid w:val="009E19FD"/>
    <w:rsid w:val="009E24C1"/>
    <w:rsid w:val="009E2602"/>
    <w:rsid w:val="009E31F6"/>
    <w:rsid w:val="009E35E2"/>
    <w:rsid w:val="009E36AC"/>
    <w:rsid w:val="009E3715"/>
    <w:rsid w:val="009E3C95"/>
    <w:rsid w:val="009E3D16"/>
    <w:rsid w:val="009E3EE4"/>
    <w:rsid w:val="009E4982"/>
    <w:rsid w:val="009E4C07"/>
    <w:rsid w:val="009E5505"/>
    <w:rsid w:val="009E567C"/>
    <w:rsid w:val="009E5B35"/>
    <w:rsid w:val="009E619B"/>
    <w:rsid w:val="009E6BDA"/>
    <w:rsid w:val="009E6E99"/>
    <w:rsid w:val="009E6FB1"/>
    <w:rsid w:val="009E707D"/>
    <w:rsid w:val="009E730D"/>
    <w:rsid w:val="009E75AE"/>
    <w:rsid w:val="009E7878"/>
    <w:rsid w:val="009E7B59"/>
    <w:rsid w:val="009E7E3A"/>
    <w:rsid w:val="009E935A"/>
    <w:rsid w:val="009F1181"/>
    <w:rsid w:val="009F12DB"/>
    <w:rsid w:val="009F1329"/>
    <w:rsid w:val="009F2D20"/>
    <w:rsid w:val="009F2D2D"/>
    <w:rsid w:val="009F40E5"/>
    <w:rsid w:val="009F4945"/>
    <w:rsid w:val="009F4A8B"/>
    <w:rsid w:val="009F4F96"/>
    <w:rsid w:val="009F55B8"/>
    <w:rsid w:val="009F5AA0"/>
    <w:rsid w:val="009F5FED"/>
    <w:rsid w:val="009F60B2"/>
    <w:rsid w:val="009F6F40"/>
    <w:rsid w:val="009F72EF"/>
    <w:rsid w:val="00A00006"/>
    <w:rsid w:val="00A00933"/>
    <w:rsid w:val="00A00F86"/>
    <w:rsid w:val="00A01184"/>
    <w:rsid w:val="00A01813"/>
    <w:rsid w:val="00A020BE"/>
    <w:rsid w:val="00A02B5E"/>
    <w:rsid w:val="00A02CB1"/>
    <w:rsid w:val="00A02E5F"/>
    <w:rsid w:val="00A03004"/>
    <w:rsid w:val="00A035B2"/>
    <w:rsid w:val="00A037C2"/>
    <w:rsid w:val="00A037D7"/>
    <w:rsid w:val="00A03D43"/>
    <w:rsid w:val="00A03D9D"/>
    <w:rsid w:val="00A04380"/>
    <w:rsid w:val="00A047D7"/>
    <w:rsid w:val="00A0494D"/>
    <w:rsid w:val="00A05052"/>
    <w:rsid w:val="00A05468"/>
    <w:rsid w:val="00A05472"/>
    <w:rsid w:val="00A05C32"/>
    <w:rsid w:val="00A05CAD"/>
    <w:rsid w:val="00A0623C"/>
    <w:rsid w:val="00A0653F"/>
    <w:rsid w:val="00A06551"/>
    <w:rsid w:val="00A0671F"/>
    <w:rsid w:val="00A070C4"/>
    <w:rsid w:val="00A07290"/>
    <w:rsid w:val="00A07643"/>
    <w:rsid w:val="00A10848"/>
    <w:rsid w:val="00A109B7"/>
    <w:rsid w:val="00A109E2"/>
    <w:rsid w:val="00A11345"/>
    <w:rsid w:val="00A1156E"/>
    <w:rsid w:val="00A11CD0"/>
    <w:rsid w:val="00A127D4"/>
    <w:rsid w:val="00A12C4F"/>
    <w:rsid w:val="00A13316"/>
    <w:rsid w:val="00A136D0"/>
    <w:rsid w:val="00A13822"/>
    <w:rsid w:val="00A13948"/>
    <w:rsid w:val="00A14398"/>
    <w:rsid w:val="00A145C7"/>
    <w:rsid w:val="00A14A54"/>
    <w:rsid w:val="00A15083"/>
    <w:rsid w:val="00A152FE"/>
    <w:rsid w:val="00A1555B"/>
    <w:rsid w:val="00A155C5"/>
    <w:rsid w:val="00A15B41"/>
    <w:rsid w:val="00A15BC7"/>
    <w:rsid w:val="00A15C58"/>
    <w:rsid w:val="00A161D9"/>
    <w:rsid w:val="00A1697F"/>
    <w:rsid w:val="00A16AD8"/>
    <w:rsid w:val="00A16CCB"/>
    <w:rsid w:val="00A173BB"/>
    <w:rsid w:val="00A17DF4"/>
    <w:rsid w:val="00A20312"/>
    <w:rsid w:val="00A21110"/>
    <w:rsid w:val="00A21415"/>
    <w:rsid w:val="00A2172B"/>
    <w:rsid w:val="00A21B26"/>
    <w:rsid w:val="00A21C95"/>
    <w:rsid w:val="00A21CF3"/>
    <w:rsid w:val="00A21F2B"/>
    <w:rsid w:val="00A22961"/>
    <w:rsid w:val="00A22EA4"/>
    <w:rsid w:val="00A23541"/>
    <w:rsid w:val="00A23EAB"/>
    <w:rsid w:val="00A2434D"/>
    <w:rsid w:val="00A24813"/>
    <w:rsid w:val="00A24947"/>
    <w:rsid w:val="00A25122"/>
    <w:rsid w:val="00A25274"/>
    <w:rsid w:val="00A25304"/>
    <w:rsid w:val="00A2618F"/>
    <w:rsid w:val="00A26DFF"/>
    <w:rsid w:val="00A27160"/>
    <w:rsid w:val="00A27AEC"/>
    <w:rsid w:val="00A30247"/>
    <w:rsid w:val="00A3074D"/>
    <w:rsid w:val="00A31037"/>
    <w:rsid w:val="00A31338"/>
    <w:rsid w:val="00A3170A"/>
    <w:rsid w:val="00A3187C"/>
    <w:rsid w:val="00A31C17"/>
    <w:rsid w:val="00A320DB"/>
    <w:rsid w:val="00A3292C"/>
    <w:rsid w:val="00A32A6A"/>
    <w:rsid w:val="00A32EAD"/>
    <w:rsid w:val="00A32EBC"/>
    <w:rsid w:val="00A33F49"/>
    <w:rsid w:val="00A3454F"/>
    <w:rsid w:val="00A346EA"/>
    <w:rsid w:val="00A348FC"/>
    <w:rsid w:val="00A35D16"/>
    <w:rsid w:val="00A367E8"/>
    <w:rsid w:val="00A36B82"/>
    <w:rsid w:val="00A36C69"/>
    <w:rsid w:val="00A37398"/>
    <w:rsid w:val="00A37BCD"/>
    <w:rsid w:val="00A4003D"/>
    <w:rsid w:val="00A40234"/>
    <w:rsid w:val="00A405CD"/>
    <w:rsid w:val="00A406F2"/>
    <w:rsid w:val="00A40F7F"/>
    <w:rsid w:val="00A41689"/>
    <w:rsid w:val="00A419F0"/>
    <w:rsid w:val="00A41E2D"/>
    <w:rsid w:val="00A41FFC"/>
    <w:rsid w:val="00A42592"/>
    <w:rsid w:val="00A428F5"/>
    <w:rsid w:val="00A4333C"/>
    <w:rsid w:val="00A43C59"/>
    <w:rsid w:val="00A44365"/>
    <w:rsid w:val="00A446B4"/>
    <w:rsid w:val="00A44D21"/>
    <w:rsid w:val="00A46575"/>
    <w:rsid w:val="00A47094"/>
    <w:rsid w:val="00A47597"/>
    <w:rsid w:val="00A479A3"/>
    <w:rsid w:val="00A479EB"/>
    <w:rsid w:val="00A47E4E"/>
    <w:rsid w:val="00A50560"/>
    <w:rsid w:val="00A50C31"/>
    <w:rsid w:val="00A50ECD"/>
    <w:rsid w:val="00A50F30"/>
    <w:rsid w:val="00A518F3"/>
    <w:rsid w:val="00A51AC9"/>
    <w:rsid w:val="00A52729"/>
    <w:rsid w:val="00A53675"/>
    <w:rsid w:val="00A5373A"/>
    <w:rsid w:val="00A53F00"/>
    <w:rsid w:val="00A54269"/>
    <w:rsid w:val="00A5511C"/>
    <w:rsid w:val="00A55913"/>
    <w:rsid w:val="00A564D7"/>
    <w:rsid w:val="00A56B6A"/>
    <w:rsid w:val="00A57603"/>
    <w:rsid w:val="00A578DC"/>
    <w:rsid w:val="00A57A54"/>
    <w:rsid w:val="00A6036F"/>
    <w:rsid w:val="00A603DC"/>
    <w:rsid w:val="00A6091D"/>
    <w:rsid w:val="00A6097D"/>
    <w:rsid w:val="00A60A52"/>
    <w:rsid w:val="00A60E0E"/>
    <w:rsid w:val="00A60E8B"/>
    <w:rsid w:val="00A6121C"/>
    <w:rsid w:val="00A612B5"/>
    <w:rsid w:val="00A613DA"/>
    <w:rsid w:val="00A618C2"/>
    <w:rsid w:val="00A62802"/>
    <w:rsid w:val="00A62F48"/>
    <w:rsid w:val="00A6311D"/>
    <w:rsid w:val="00A63731"/>
    <w:rsid w:val="00A640E2"/>
    <w:rsid w:val="00A64890"/>
    <w:rsid w:val="00A64AD4"/>
    <w:rsid w:val="00A64D65"/>
    <w:rsid w:val="00A6535A"/>
    <w:rsid w:val="00A6551B"/>
    <w:rsid w:val="00A66454"/>
    <w:rsid w:val="00A668D9"/>
    <w:rsid w:val="00A6725B"/>
    <w:rsid w:val="00A7014A"/>
    <w:rsid w:val="00A704C4"/>
    <w:rsid w:val="00A70605"/>
    <w:rsid w:val="00A70E5D"/>
    <w:rsid w:val="00A72508"/>
    <w:rsid w:val="00A72729"/>
    <w:rsid w:val="00A73094"/>
    <w:rsid w:val="00A73134"/>
    <w:rsid w:val="00A74DFA"/>
    <w:rsid w:val="00A75109"/>
    <w:rsid w:val="00A75B0B"/>
    <w:rsid w:val="00A76001"/>
    <w:rsid w:val="00A764D6"/>
    <w:rsid w:val="00A76966"/>
    <w:rsid w:val="00A7729A"/>
    <w:rsid w:val="00A777B2"/>
    <w:rsid w:val="00A77E80"/>
    <w:rsid w:val="00A77F0E"/>
    <w:rsid w:val="00A77F3E"/>
    <w:rsid w:val="00A80691"/>
    <w:rsid w:val="00A80D6A"/>
    <w:rsid w:val="00A81B26"/>
    <w:rsid w:val="00A81BA6"/>
    <w:rsid w:val="00A821F9"/>
    <w:rsid w:val="00A822DC"/>
    <w:rsid w:val="00A825D4"/>
    <w:rsid w:val="00A827B7"/>
    <w:rsid w:val="00A828F6"/>
    <w:rsid w:val="00A82B73"/>
    <w:rsid w:val="00A82BB2"/>
    <w:rsid w:val="00A842BE"/>
    <w:rsid w:val="00A84AE9"/>
    <w:rsid w:val="00A85389"/>
    <w:rsid w:val="00A8543F"/>
    <w:rsid w:val="00A85CE1"/>
    <w:rsid w:val="00A86235"/>
    <w:rsid w:val="00A86983"/>
    <w:rsid w:val="00A86E8B"/>
    <w:rsid w:val="00A87164"/>
    <w:rsid w:val="00A871EE"/>
    <w:rsid w:val="00A90C6B"/>
    <w:rsid w:val="00A91004"/>
    <w:rsid w:val="00A91D8A"/>
    <w:rsid w:val="00A92605"/>
    <w:rsid w:val="00A92795"/>
    <w:rsid w:val="00A9288D"/>
    <w:rsid w:val="00A93072"/>
    <w:rsid w:val="00A938BD"/>
    <w:rsid w:val="00A93953"/>
    <w:rsid w:val="00A93DB6"/>
    <w:rsid w:val="00A95505"/>
    <w:rsid w:val="00A956F7"/>
    <w:rsid w:val="00A959D8"/>
    <w:rsid w:val="00A95F67"/>
    <w:rsid w:val="00A9686A"/>
    <w:rsid w:val="00A968D3"/>
    <w:rsid w:val="00A96A35"/>
    <w:rsid w:val="00A96AA9"/>
    <w:rsid w:val="00A97C21"/>
    <w:rsid w:val="00A97CFD"/>
    <w:rsid w:val="00AA055A"/>
    <w:rsid w:val="00AA083A"/>
    <w:rsid w:val="00AA113D"/>
    <w:rsid w:val="00AA11D7"/>
    <w:rsid w:val="00AA24A8"/>
    <w:rsid w:val="00AA27E1"/>
    <w:rsid w:val="00AA2880"/>
    <w:rsid w:val="00AA3133"/>
    <w:rsid w:val="00AA317B"/>
    <w:rsid w:val="00AA4FCD"/>
    <w:rsid w:val="00AA5461"/>
    <w:rsid w:val="00AA5B29"/>
    <w:rsid w:val="00AA5D8A"/>
    <w:rsid w:val="00AA67AB"/>
    <w:rsid w:val="00AA6BD5"/>
    <w:rsid w:val="00AA6BD8"/>
    <w:rsid w:val="00AA6C7D"/>
    <w:rsid w:val="00AA6F02"/>
    <w:rsid w:val="00AA79EA"/>
    <w:rsid w:val="00AA7BA7"/>
    <w:rsid w:val="00AA7C94"/>
    <w:rsid w:val="00AA7E7B"/>
    <w:rsid w:val="00AA7FD6"/>
    <w:rsid w:val="00AB0241"/>
    <w:rsid w:val="00AB042A"/>
    <w:rsid w:val="00AB0813"/>
    <w:rsid w:val="00AB0844"/>
    <w:rsid w:val="00AB09E0"/>
    <w:rsid w:val="00AB13A3"/>
    <w:rsid w:val="00AB19EF"/>
    <w:rsid w:val="00AB1A1E"/>
    <w:rsid w:val="00AB1BA0"/>
    <w:rsid w:val="00AB2686"/>
    <w:rsid w:val="00AB27A0"/>
    <w:rsid w:val="00AB2D34"/>
    <w:rsid w:val="00AB319A"/>
    <w:rsid w:val="00AB3430"/>
    <w:rsid w:val="00AB36A6"/>
    <w:rsid w:val="00AB37B9"/>
    <w:rsid w:val="00AB41BA"/>
    <w:rsid w:val="00AB491B"/>
    <w:rsid w:val="00AB4AD1"/>
    <w:rsid w:val="00AB54EC"/>
    <w:rsid w:val="00AB5E07"/>
    <w:rsid w:val="00AB656D"/>
    <w:rsid w:val="00AB6713"/>
    <w:rsid w:val="00AB6786"/>
    <w:rsid w:val="00AB739F"/>
    <w:rsid w:val="00AB7CFA"/>
    <w:rsid w:val="00AC0033"/>
    <w:rsid w:val="00AC0324"/>
    <w:rsid w:val="00AC0563"/>
    <w:rsid w:val="00AC0F03"/>
    <w:rsid w:val="00AC12B7"/>
    <w:rsid w:val="00AC1449"/>
    <w:rsid w:val="00AC24A3"/>
    <w:rsid w:val="00AC2597"/>
    <w:rsid w:val="00AC296D"/>
    <w:rsid w:val="00AC2CE6"/>
    <w:rsid w:val="00AC302F"/>
    <w:rsid w:val="00AC3420"/>
    <w:rsid w:val="00AC5789"/>
    <w:rsid w:val="00AC5B48"/>
    <w:rsid w:val="00AC6772"/>
    <w:rsid w:val="00AC6B48"/>
    <w:rsid w:val="00AC7370"/>
    <w:rsid w:val="00AC7791"/>
    <w:rsid w:val="00AC7D2E"/>
    <w:rsid w:val="00AC7ED8"/>
    <w:rsid w:val="00AD07AA"/>
    <w:rsid w:val="00AD0850"/>
    <w:rsid w:val="00AD0F8C"/>
    <w:rsid w:val="00AD1450"/>
    <w:rsid w:val="00AD19E9"/>
    <w:rsid w:val="00AD243B"/>
    <w:rsid w:val="00AD4161"/>
    <w:rsid w:val="00AD48FA"/>
    <w:rsid w:val="00AD4E0D"/>
    <w:rsid w:val="00AD4FE9"/>
    <w:rsid w:val="00AD55A5"/>
    <w:rsid w:val="00AD58A3"/>
    <w:rsid w:val="00AD5A48"/>
    <w:rsid w:val="00AD5DD2"/>
    <w:rsid w:val="00AD6502"/>
    <w:rsid w:val="00AD65BD"/>
    <w:rsid w:val="00AD6BFD"/>
    <w:rsid w:val="00AD6DC7"/>
    <w:rsid w:val="00AD71EF"/>
    <w:rsid w:val="00AD7518"/>
    <w:rsid w:val="00AD7AF6"/>
    <w:rsid w:val="00AD7BC0"/>
    <w:rsid w:val="00AE056D"/>
    <w:rsid w:val="00AE0695"/>
    <w:rsid w:val="00AE113D"/>
    <w:rsid w:val="00AE1693"/>
    <w:rsid w:val="00AE16EF"/>
    <w:rsid w:val="00AE17D3"/>
    <w:rsid w:val="00AE18D7"/>
    <w:rsid w:val="00AE1BE8"/>
    <w:rsid w:val="00AE2664"/>
    <w:rsid w:val="00AE2916"/>
    <w:rsid w:val="00AE2EFE"/>
    <w:rsid w:val="00AE31A8"/>
    <w:rsid w:val="00AE3213"/>
    <w:rsid w:val="00AE3E7E"/>
    <w:rsid w:val="00AE4493"/>
    <w:rsid w:val="00AE5782"/>
    <w:rsid w:val="00AE6679"/>
    <w:rsid w:val="00AE761E"/>
    <w:rsid w:val="00AE7716"/>
    <w:rsid w:val="00AE7979"/>
    <w:rsid w:val="00AE79A6"/>
    <w:rsid w:val="00AE7DEB"/>
    <w:rsid w:val="00AE7EAE"/>
    <w:rsid w:val="00AED01F"/>
    <w:rsid w:val="00AF077B"/>
    <w:rsid w:val="00AF0E39"/>
    <w:rsid w:val="00AF0EAF"/>
    <w:rsid w:val="00AF0F9D"/>
    <w:rsid w:val="00AF126F"/>
    <w:rsid w:val="00AF1315"/>
    <w:rsid w:val="00AF1429"/>
    <w:rsid w:val="00AF1457"/>
    <w:rsid w:val="00AF150F"/>
    <w:rsid w:val="00AF19BF"/>
    <w:rsid w:val="00AF1B23"/>
    <w:rsid w:val="00AF1D19"/>
    <w:rsid w:val="00AF274B"/>
    <w:rsid w:val="00AF288E"/>
    <w:rsid w:val="00AF2DC3"/>
    <w:rsid w:val="00AF2F5B"/>
    <w:rsid w:val="00AF2F6F"/>
    <w:rsid w:val="00AF318A"/>
    <w:rsid w:val="00AF44BB"/>
    <w:rsid w:val="00AF44D8"/>
    <w:rsid w:val="00AF4B66"/>
    <w:rsid w:val="00AF4EDB"/>
    <w:rsid w:val="00AF50E2"/>
    <w:rsid w:val="00AF5B72"/>
    <w:rsid w:val="00AF5DA3"/>
    <w:rsid w:val="00AF637C"/>
    <w:rsid w:val="00AF6875"/>
    <w:rsid w:val="00AF6FA3"/>
    <w:rsid w:val="00AF71E1"/>
    <w:rsid w:val="00B006BD"/>
    <w:rsid w:val="00B00B76"/>
    <w:rsid w:val="00B00CDC"/>
    <w:rsid w:val="00B00D04"/>
    <w:rsid w:val="00B01C91"/>
    <w:rsid w:val="00B01CA5"/>
    <w:rsid w:val="00B01D98"/>
    <w:rsid w:val="00B02177"/>
    <w:rsid w:val="00B03073"/>
    <w:rsid w:val="00B032A9"/>
    <w:rsid w:val="00B033E5"/>
    <w:rsid w:val="00B03458"/>
    <w:rsid w:val="00B03A63"/>
    <w:rsid w:val="00B055C2"/>
    <w:rsid w:val="00B05FF4"/>
    <w:rsid w:val="00B06F18"/>
    <w:rsid w:val="00B0779E"/>
    <w:rsid w:val="00B079B7"/>
    <w:rsid w:val="00B07DE7"/>
    <w:rsid w:val="00B10E82"/>
    <w:rsid w:val="00B10F38"/>
    <w:rsid w:val="00B11A03"/>
    <w:rsid w:val="00B12024"/>
    <w:rsid w:val="00B1219F"/>
    <w:rsid w:val="00B122E1"/>
    <w:rsid w:val="00B1272F"/>
    <w:rsid w:val="00B13454"/>
    <w:rsid w:val="00B13649"/>
    <w:rsid w:val="00B1390B"/>
    <w:rsid w:val="00B13A61"/>
    <w:rsid w:val="00B13A7E"/>
    <w:rsid w:val="00B13E88"/>
    <w:rsid w:val="00B14565"/>
    <w:rsid w:val="00B1462D"/>
    <w:rsid w:val="00B149F8"/>
    <w:rsid w:val="00B14BC7"/>
    <w:rsid w:val="00B14CE6"/>
    <w:rsid w:val="00B1503C"/>
    <w:rsid w:val="00B151C1"/>
    <w:rsid w:val="00B15312"/>
    <w:rsid w:val="00B156CE"/>
    <w:rsid w:val="00B15B39"/>
    <w:rsid w:val="00B16915"/>
    <w:rsid w:val="00B16EF0"/>
    <w:rsid w:val="00B1711E"/>
    <w:rsid w:val="00B17417"/>
    <w:rsid w:val="00B17846"/>
    <w:rsid w:val="00B17D34"/>
    <w:rsid w:val="00B201A4"/>
    <w:rsid w:val="00B201D1"/>
    <w:rsid w:val="00B20CBD"/>
    <w:rsid w:val="00B213A6"/>
    <w:rsid w:val="00B21F22"/>
    <w:rsid w:val="00B225EF"/>
    <w:rsid w:val="00B22EAF"/>
    <w:rsid w:val="00B22FB0"/>
    <w:rsid w:val="00B235B0"/>
    <w:rsid w:val="00B237A8"/>
    <w:rsid w:val="00B23807"/>
    <w:rsid w:val="00B23C15"/>
    <w:rsid w:val="00B23FF9"/>
    <w:rsid w:val="00B24561"/>
    <w:rsid w:val="00B24977"/>
    <w:rsid w:val="00B24DF6"/>
    <w:rsid w:val="00B252A4"/>
    <w:rsid w:val="00B25D18"/>
    <w:rsid w:val="00B2609A"/>
    <w:rsid w:val="00B26703"/>
    <w:rsid w:val="00B26A5D"/>
    <w:rsid w:val="00B26AA0"/>
    <w:rsid w:val="00B26DEB"/>
    <w:rsid w:val="00B30807"/>
    <w:rsid w:val="00B321D8"/>
    <w:rsid w:val="00B323AD"/>
    <w:rsid w:val="00B32C7C"/>
    <w:rsid w:val="00B33189"/>
    <w:rsid w:val="00B33D13"/>
    <w:rsid w:val="00B34BC5"/>
    <w:rsid w:val="00B34FE2"/>
    <w:rsid w:val="00B35166"/>
    <w:rsid w:val="00B357D8"/>
    <w:rsid w:val="00B35C23"/>
    <w:rsid w:val="00B36054"/>
    <w:rsid w:val="00B360F4"/>
    <w:rsid w:val="00B3657F"/>
    <w:rsid w:val="00B36736"/>
    <w:rsid w:val="00B36788"/>
    <w:rsid w:val="00B36A00"/>
    <w:rsid w:val="00B36A1F"/>
    <w:rsid w:val="00B36E5D"/>
    <w:rsid w:val="00B37272"/>
    <w:rsid w:val="00B3757D"/>
    <w:rsid w:val="00B37BFC"/>
    <w:rsid w:val="00B40090"/>
    <w:rsid w:val="00B40358"/>
    <w:rsid w:val="00B40DD4"/>
    <w:rsid w:val="00B411AE"/>
    <w:rsid w:val="00B4124E"/>
    <w:rsid w:val="00B41424"/>
    <w:rsid w:val="00B41614"/>
    <w:rsid w:val="00B416CE"/>
    <w:rsid w:val="00B41A1C"/>
    <w:rsid w:val="00B41BB3"/>
    <w:rsid w:val="00B420F6"/>
    <w:rsid w:val="00B42851"/>
    <w:rsid w:val="00B42F50"/>
    <w:rsid w:val="00B42F80"/>
    <w:rsid w:val="00B4358D"/>
    <w:rsid w:val="00B435CB"/>
    <w:rsid w:val="00B438BB"/>
    <w:rsid w:val="00B446C4"/>
    <w:rsid w:val="00B44AF6"/>
    <w:rsid w:val="00B44CB3"/>
    <w:rsid w:val="00B44EE8"/>
    <w:rsid w:val="00B450C7"/>
    <w:rsid w:val="00B4598B"/>
    <w:rsid w:val="00B45A9B"/>
    <w:rsid w:val="00B460A0"/>
    <w:rsid w:val="00B463C5"/>
    <w:rsid w:val="00B465A3"/>
    <w:rsid w:val="00B46DCF"/>
    <w:rsid w:val="00B471C8"/>
    <w:rsid w:val="00B47BCB"/>
    <w:rsid w:val="00B47ED9"/>
    <w:rsid w:val="00B5034A"/>
    <w:rsid w:val="00B505C8"/>
    <w:rsid w:val="00B50666"/>
    <w:rsid w:val="00B5081D"/>
    <w:rsid w:val="00B50DB8"/>
    <w:rsid w:val="00B50E6F"/>
    <w:rsid w:val="00B5278F"/>
    <w:rsid w:val="00B531CA"/>
    <w:rsid w:val="00B53434"/>
    <w:rsid w:val="00B535C8"/>
    <w:rsid w:val="00B53654"/>
    <w:rsid w:val="00B538D3"/>
    <w:rsid w:val="00B53905"/>
    <w:rsid w:val="00B53C4F"/>
    <w:rsid w:val="00B54062"/>
    <w:rsid w:val="00B543C8"/>
    <w:rsid w:val="00B54610"/>
    <w:rsid w:val="00B5468C"/>
    <w:rsid w:val="00B54B5B"/>
    <w:rsid w:val="00B54CF8"/>
    <w:rsid w:val="00B555AE"/>
    <w:rsid w:val="00B5562E"/>
    <w:rsid w:val="00B55729"/>
    <w:rsid w:val="00B55862"/>
    <w:rsid w:val="00B55D65"/>
    <w:rsid w:val="00B56103"/>
    <w:rsid w:val="00B565AA"/>
    <w:rsid w:val="00B56BE8"/>
    <w:rsid w:val="00B57000"/>
    <w:rsid w:val="00B57B12"/>
    <w:rsid w:val="00B57E3A"/>
    <w:rsid w:val="00B60939"/>
    <w:rsid w:val="00B60AFD"/>
    <w:rsid w:val="00B6114C"/>
    <w:rsid w:val="00B6149D"/>
    <w:rsid w:val="00B616BA"/>
    <w:rsid w:val="00B62154"/>
    <w:rsid w:val="00B626E0"/>
    <w:rsid w:val="00B62715"/>
    <w:rsid w:val="00B6296F"/>
    <w:rsid w:val="00B62C10"/>
    <w:rsid w:val="00B62F61"/>
    <w:rsid w:val="00B64BF5"/>
    <w:rsid w:val="00B653B8"/>
    <w:rsid w:val="00B65611"/>
    <w:rsid w:val="00B663CF"/>
    <w:rsid w:val="00B66B5C"/>
    <w:rsid w:val="00B672B9"/>
    <w:rsid w:val="00B674FE"/>
    <w:rsid w:val="00B6753B"/>
    <w:rsid w:val="00B67552"/>
    <w:rsid w:val="00B6773A"/>
    <w:rsid w:val="00B67827"/>
    <w:rsid w:val="00B67934"/>
    <w:rsid w:val="00B67D6C"/>
    <w:rsid w:val="00B70417"/>
    <w:rsid w:val="00B70E8E"/>
    <w:rsid w:val="00B711CB"/>
    <w:rsid w:val="00B71BC3"/>
    <w:rsid w:val="00B737E3"/>
    <w:rsid w:val="00B73924"/>
    <w:rsid w:val="00B73EF5"/>
    <w:rsid w:val="00B74019"/>
    <w:rsid w:val="00B740CA"/>
    <w:rsid w:val="00B74287"/>
    <w:rsid w:val="00B7481F"/>
    <w:rsid w:val="00B74901"/>
    <w:rsid w:val="00B74CE7"/>
    <w:rsid w:val="00B74E22"/>
    <w:rsid w:val="00B7625F"/>
    <w:rsid w:val="00B763C8"/>
    <w:rsid w:val="00B76554"/>
    <w:rsid w:val="00B76C92"/>
    <w:rsid w:val="00B8018A"/>
    <w:rsid w:val="00B80F3F"/>
    <w:rsid w:val="00B81252"/>
    <w:rsid w:val="00B818A4"/>
    <w:rsid w:val="00B8238C"/>
    <w:rsid w:val="00B83096"/>
    <w:rsid w:val="00B84117"/>
    <w:rsid w:val="00B8423D"/>
    <w:rsid w:val="00B84357"/>
    <w:rsid w:val="00B84FAE"/>
    <w:rsid w:val="00B851BC"/>
    <w:rsid w:val="00B85300"/>
    <w:rsid w:val="00B858F0"/>
    <w:rsid w:val="00B85AA2"/>
    <w:rsid w:val="00B8649C"/>
    <w:rsid w:val="00B8670A"/>
    <w:rsid w:val="00B867EE"/>
    <w:rsid w:val="00B8695D"/>
    <w:rsid w:val="00B87507"/>
    <w:rsid w:val="00B8757D"/>
    <w:rsid w:val="00B8770C"/>
    <w:rsid w:val="00B87F02"/>
    <w:rsid w:val="00B87F0A"/>
    <w:rsid w:val="00B901B5"/>
    <w:rsid w:val="00B907B7"/>
    <w:rsid w:val="00B910D4"/>
    <w:rsid w:val="00B9167A"/>
    <w:rsid w:val="00B916EC"/>
    <w:rsid w:val="00B91768"/>
    <w:rsid w:val="00B91E52"/>
    <w:rsid w:val="00B92102"/>
    <w:rsid w:val="00B92D0B"/>
    <w:rsid w:val="00B93D14"/>
    <w:rsid w:val="00B93DB6"/>
    <w:rsid w:val="00B94945"/>
    <w:rsid w:val="00B94DD6"/>
    <w:rsid w:val="00B95088"/>
    <w:rsid w:val="00B96670"/>
    <w:rsid w:val="00B971FE"/>
    <w:rsid w:val="00B97D4F"/>
    <w:rsid w:val="00B97E81"/>
    <w:rsid w:val="00BA0200"/>
    <w:rsid w:val="00BA0426"/>
    <w:rsid w:val="00BA0548"/>
    <w:rsid w:val="00BA153C"/>
    <w:rsid w:val="00BA16D2"/>
    <w:rsid w:val="00BA18CC"/>
    <w:rsid w:val="00BA23B8"/>
    <w:rsid w:val="00BA2A4B"/>
    <w:rsid w:val="00BA2DB8"/>
    <w:rsid w:val="00BA322D"/>
    <w:rsid w:val="00BA3AF9"/>
    <w:rsid w:val="00BA48DD"/>
    <w:rsid w:val="00BA4A39"/>
    <w:rsid w:val="00BA4D36"/>
    <w:rsid w:val="00BA513B"/>
    <w:rsid w:val="00BA5177"/>
    <w:rsid w:val="00BA5CC7"/>
    <w:rsid w:val="00BA60A9"/>
    <w:rsid w:val="00BA63FA"/>
    <w:rsid w:val="00BA6A24"/>
    <w:rsid w:val="00BA7587"/>
    <w:rsid w:val="00BA7E87"/>
    <w:rsid w:val="00BB00B3"/>
    <w:rsid w:val="00BB0BDD"/>
    <w:rsid w:val="00BB15CC"/>
    <w:rsid w:val="00BB176C"/>
    <w:rsid w:val="00BB1946"/>
    <w:rsid w:val="00BB2106"/>
    <w:rsid w:val="00BB27CB"/>
    <w:rsid w:val="00BB2A73"/>
    <w:rsid w:val="00BB320D"/>
    <w:rsid w:val="00BB36A1"/>
    <w:rsid w:val="00BB378C"/>
    <w:rsid w:val="00BB3A45"/>
    <w:rsid w:val="00BB3F70"/>
    <w:rsid w:val="00BB4430"/>
    <w:rsid w:val="00BB4ACC"/>
    <w:rsid w:val="00BB4D18"/>
    <w:rsid w:val="00BB535E"/>
    <w:rsid w:val="00BB53BE"/>
    <w:rsid w:val="00BB55F4"/>
    <w:rsid w:val="00BB56DB"/>
    <w:rsid w:val="00BB6317"/>
    <w:rsid w:val="00BB6654"/>
    <w:rsid w:val="00BB6B65"/>
    <w:rsid w:val="00BB6E81"/>
    <w:rsid w:val="00BB703E"/>
    <w:rsid w:val="00BB732D"/>
    <w:rsid w:val="00BB7405"/>
    <w:rsid w:val="00BB79BD"/>
    <w:rsid w:val="00BC054C"/>
    <w:rsid w:val="00BC0D33"/>
    <w:rsid w:val="00BC186C"/>
    <w:rsid w:val="00BC1991"/>
    <w:rsid w:val="00BC19EC"/>
    <w:rsid w:val="00BC19F5"/>
    <w:rsid w:val="00BC1A2C"/>
    <w:rsid w:val="00BC1A97"/>
    <w:rsid w:val="00BC3631"/>
    <w:rsid w:val="00BC3ED0"/>
    <w:rsid w:val="00BC4C92"/>
    <w:rsid w:val="00BC5013"/>
    <w:rsid w:val="00BC5881"/>
    <w:rsid w:val="00BC591F"/>
    <w:rsid w:val="00BC5EB6"/>
    <w:rsid w:val="00BC5F8D"/>
    <w:rsid w:val="00BC6F8E"/>
    <w:rsid w:val="00BC7053"/>
    <w:rsid w:val="00BC731A"/>
    <w:rsid w:val="00BC75EA"/>
    <w:rsid w:val="00BC7CAB"/>
    <w:rsid w:val="00BC7D6D"/>
    <w:rsid w:val="00BD16F3"/>
    <w:rsid w:val="00BD1A88"/>
    <w:rsid w:val="00BD1C32"/>
    <w:rsid w:val="00BD2108"/>
    <w:rsid w:val="00BD2D34"/>
    <w:rsid w:val="00BD2F89"/>
    <w:rsid w:val="00BD3254"/>
    <w:rsid w:val="00BD5FFF"/>
    <w:rsid w:val="00BD60B5"/>
    <w:rsid w:val="00BD6600"/>
    <w:rsid w:val="00BD678F"/>
    <w:rsid w:val="00BD68A3"/>
    <w:rsid w:val="00BD6938"/>
    <w:rsid w:val="00BD6B09"/>
    <w:rsid w:val="00BD6CF3"/>
    <w:rsid w:val="00BD7C46"/>
    <w:rsid w:val="00BD7EC0"/>
    <w:rsid w:val="00BE0224"/>
    <w:rsid w:val="00BE0ECA"/>
    <w:rsid w:val="00BE17A9"/>
    <w:rsid w:val="00BE1E2A"/>
    <w:rsid w:val="00BE2180"/>
    <w:rsid w:val="00BE21F2"/>
    <w:rsid w:val="00BE23E3"/>
    <w:rsid w:val="00BE270C"/>
    <w:rsid w:val="00BE28BD"/>
    <w:rsid w:val="00BE367F"/>
    <w:rsid w:val="00BE3B6B"/>
    <w:rsid w:val="00BE4275"/>
    <w:rsid w:val="00BE46AD"/>
    <w:rsid w:val="00BE46FD"/>
    <w:rsid w:val="00BE4711"/>
    <w:rsid w:val="00BE4F28"/>
    <w:rsid w:val="00BE540E"/>
    <w:rsid w:val="00BE58F9"/>
    <w:rsid w:val="00BE5D00"/>
    <w:rsid w:val="00BE6E81"/>
    <w:rsid w:val="00BE7D87"/>
    <w:rsid w:val="00BF06AE"/>
    <w:rsid w:val="00BF0F95"/>
    <w:rsid w:val="00BF1A6B"/>
    <w:rsid w:val="00BF2142"/>
    <w:rsid w:val="00BF2433"/>
    <w:rsid w:val="00BF2576"/>
    <w:rsid w:val="00BF2A1B"/>
    <w:rsid w:val="00BF2C16"/>
    <w:rsid w:val="00BF3057"/>
    <w:rsid w:val="00BF3FE5"/>
    <w:rsid w:val="00BF409A"/>
    <w:rsid w:val="00BF43B0"/>
    <w:rsid w:val="00BF468D"/>
    <w:rsid w:val="00BF4E6E"/>
    <w:rsid w:val="00BF54D6"/>
    <w:rsid w:val="00BF5A06"/>
    <w:rsid w:val="00BF5D86"/>
    <w:rsid w:val="00BF61C9"/>
    <w:rsid w:val="00BF6397"/>
    <w:rsid w:val="00BF6444"/>
    <w:rsid w:val="00BF6C2B"/>
    <w:rsid w:val="00BF6C94"/>
    <w:rsid w:val="00BF6FB3"/>
    <w:rsid w:val="00BF719A"/>
    <w:rsid w:val="00BF747F"/>
    <w:rsid w:val="00BF7ED4"/>
    <w:rsid w:val="00C003CE"/>
    <w:rsid w:val="00C00424"/>
    <w:rsid w:val="00C0240E"/>
    <w:rsid w:val="00C03056"/>
    <w:rsid w:val="00C03D7F"/>
    <w:rsid w:val="00C03DFA"/>
    <w:rsid w:val="00C03E2F"/>
    <w:rsid w:val="00C0400C"/>
    <w:rsid w:val="00C045E7"/>
    <w:rsid w:val="00C04FDB"/>
    <w:rsid w:val="00C064D7"/>
    <w:rsid w:val="00C067ED"/>
    <w:rsid w:val="00C071DD"/>
    <w:rsid w:val="00C072CD"/>
    <w:rsid w:val="00C07E3F"/>
    <w:rsid w:val="00C07E66"/>
    <w:rsid w:val="00C1047C"/>
    <w:rsid w:val="00C10507"/>
    <w:rsid w:val="00C107AA"/>
    <w:rsid w:val="00C11103"/>
    <w:rsid w:val="00C11424"/>
    <w:rsid w:val="00C11443"/>
    <w:rsid w:val="00C1179F"/>
    <w:rsid w:val="00C11B56"/>
    <w:rsid w:val="00C1263D"/>
    <w:rsid w:val="00C12C14"/>
    <w:rsid w:val="00C12D9C"/>
    <w:rsid w:val="00C12FB8"/>
    <w:rsid w:val="00C13D50"/>
    <w:rsid w:val="00C1402A"/>
    <w:rsid w:val="00C1410D"/>
    <w:rsid w:val="00C14235"/>
    <w:rsid w:val="00C14735"/>
    <w:rsid w:val="00C14C0A"/>
    <w:rsid w:val="00C15491"/>
    <w:rsid w:val="00C15B46"/>
    <w:rsid w:val="00C15F04"/>
    <w:rsid w:val="00C15F4E"/>
    <w:rsid w:val="00C16542"/>
    <w:rsid w:val="00C165DC"/>
    <w:rsid w:val="00C169BE"/>
    <w:rsid w:val="00C16E26"/>
    <w:rsid w:val="00C16F4B"/>
    <w:rsid w:val="00C17751"/>
    <w:rsid w:val="00C179B3"/>
    <w:rsid w:val="00C17E3F"/>
    <w:rsid w:val="00C17EC4"/>
    <w:rsid w:val="00C17FB4"/>
    <w:rsid w:val="00C200AA"/>
    <w:rsid w:val="00C20274"/>
    <w:rsid w:val="00C20AD2"/>
    <w:rsid w:val="00C21519"/>
    <w:rsid w:val="00C219BF"/>
    <w:rsid w:val="00C22225"/>
    <w:rsid w:val="00C226B3"/>
    <w:rsid w:val="00C22F23"/>
    <w:rsid w:val="00C22FD7"/>
    <w:rsid w:val="00C23525"/>
    <w:rsid w:val="00C23598"/>
    <w:rsid w:val="00C237ED"/>
    <w:rsid w:val="00C23C31"/>
    <w:rsid w:val="00C23C74"/>
    <w:rsid w:val="00C24632"/>
    <w:rsid w:val="00C24F66"/>
    <w:rsid w:val="00C25418"/>
    <w:rsid w:val="00C25751"/>
    <w:rsid w:val="00C25BE8"/>
    <w:rsid w:val="00C25D9C"/>
    <w:rsid w:val="00C25E20"/>
    <w:rsid w:val="00C26891"/>
    <w:rsid w:val="00C2778B"/>
    <w:rsid w:val="00C3026B"/>
    <w:rsid w:val="00C30419"/>
    <w:rsid w:val="00C310FB"/>
    <w:rsid w:val="00C31649"/>
    <w:rsid w:val="00C3168E"/>
    <w:rsid w:val="00C31BC9"/>
    <w:rsid w:val="00C32596"/>
    <w:rsid w:val="00C329D5"/>
    <w:rsid w:val="00C32AD8"/>
    <w:rsid w:val="00C3363C"/>
    <w:rsid w:val="00C33A6E"/>
    <w:rsid w:val="00C33CAD"/>
    <w:rsid w:val="00C3434C"/>
    <w:rsid w:val="00C34CF8"/>
    <w:rsid w:val="00C350CD"/>
    <w:rsid w:val="00C35CCA"/>
    <w:rsid w:val="00C36100"/>
    <w:rsid w:val="00C363F6"/>
    <w:rsid w:val="00C36786"/>
    <w:rsid w:val="00C369F3"/>
    <w:rsid w:val="00C36C84"/>
    <w:rsid w:val="00C37D3B"/>
    <w:rsid w:val="00C40289"/>
    <w:rsid w:val="00C40385"/>
    <w:rsid w:val="00C405F7"/>
    <w:rsid w:val="00C40DEA"/>
    <w:rsid w:val="00C41450"/>
    <w:rsid w:val="00C41768"/>
    <w:rsid w:val="00C41C58"/>
    <w:rsid w:val="00C42048"/>
    <w:rsid w:val="00C42783"/>
    <w:rsid w:val="00C43A1D"/>
    <w:rsid w:val="00C43AED"/>
    <w:rsid w:val="00C45800"/>
    <w:rsid w:val="00C45C14"/>
    <w:rsid w:val="00C46076"/>
    <w:rsid w:val="00C46B58"/>
    <w:rsid w:val="00C47289"/>
    <w:rsid w:val="00C475AA"/>
    <w:rsid w:val="00C5025D"/>
    <w:rsid w:val="00C51012"/>
    <w:rsid w:val="00C51065"/>
    <w:rsid w:val="00C512A9"/>
    <w:rsid w:val="00C51596"/>
    <w:rsid w:val="00C51BCA"/>
    <w:rsid w:val="00C51F7A"/>
    <w:rsid w:val="00C528A3"/>
    <w:rsid w:val="00C52FFF"/>
    <w:rsid w:val="00C5339C"/>
    <w:rsid w:val="00C538AC"/>
    <w:rsid w:val="00C53AF8"/>
    <w:rsid w:val="00C53C98"/>
    <w:rsid w:val="00C54DF6"/>
    <w:rsid w:val="00C54F2F"/>
    <w:rsid w:val="00C552A5"/>
    <w:rsid w:val="00C557B1"/>
    <w:rsid w:val="00C55C8B"/>
    <w:rsid w:val="00C564A3"/>
    <w:rsid w:val="00C56822"/>
    <w:rsid w:val="00C56D03"/>
    <w:rsid w:val="00C56FCF"/>
    <w:rsid w:val="00C57666"/>
    <w:rsid w:val="00C57B6C"/>
    <w:rsid w:val="00C5D319"/>
    <w:rsid w:val="00C5EA24"/>
    <w:rsid w:val="00C6098D"/>
    <w:rsid w:val="00C60D3E"/>
    <w:rsid w:val="00C6105C"/>
    <w:rsid w:val="00C615D8"/>
    <w:rsid w:val="00C62200"/>
    <w:rsid w:val="00C6243A"/>
    <w:rsid w:val="00C6253B"/>
    <w:rsid w:val="00C628A6"/>
    <w:rsid w:val="00C62BBC"/>
    <w:rsid w:val="00C630CB"/>
    <w:rsid w:val="00C64344"/>
    <w:rsid w:val="00C64C4C"/>
    <w:rsid w:val="00C64CC8"/>
    <w:rsid w:val="00C65108"/>
    <w:rsid w:val="00C65576"/>
    <w:rsid w:val="00C65688"/>
    <w:rsid w:val="00C65AD5"/>
    <w:rsid w:val="00C65C54"/>
    <w:rsid w:val="00C66165"/>
    <w:rsid w:val="00C66824"/>
    <w:rsid w:val="00C668C9"/>
    <w:rsid w:val="00C673CB"/>
    <w:rsid w:val="00C67B06"/>
    <w:rsid w:val="00C67C8F"/>
    <w:rsid w:val="00C67ED1"/>
    <w:rsid w:val="00C705E0"/>
    <w:rsid w:val="00C7060A"/>
    <w:rsid w:val="00C70B04"/>
    <w:rsid w:val="00C70B49"/>
    <w:rsid w:val="00C711C9"/>
    <w:rsid w:val="00C7151A"/>
    <w:rsid w:val="00C717E3"/>
    <w:rsid w:val="00C71D89"/>
    <w:rsid w:val="00C71F60"/>
    <w:rsid w:val="00C72241"/>
    <w:rsid w:val="00C72532"/>
    <w:rsid w:val="00C72692"/>
    <w:rsid w:val="00C7279D"/>
    <w:rsid w:val="00C72B01"/>
    <w:rsid w:val="00C72FB7"/>
    <w:rsid w:val="00C73055"/>
    <w:rsid w:val="00C73839"/>
    <w:rsid w:val="00C74606"/>
    <w:rsid w:val="00C74707"/>
    <w:rsid w:val="00C750C8"/>
    <w:rsid w:val="00C7560F"/>
    <w:rsid w:val="00C75961"/>
    <w:rsid w:val="00C75ADA"/>
    <w:rsid w:val="00C7633D"/>
    <w:rsid w:val="00C76370"/>
    <w:rsid w:val="00C768CE"/>
    <w:rsid w:val="00C76900"/>
    <w:rsid w:val="00C76D07"/>
    <w:rsid w:val="00C77A84"/>
    <w:rsid w:val="00C77F92"/>
    <w:rsid w:val="00C80572"/>
    <w:rsid w:val="00C80A0E"/>
    <w:rsid w:val="00C8188F"/>
    <w:rsid w:val="00C81A27"/>
    <w:rsid w:val="00C81B34"/>
    <w:rsid w:val="00C8213F"/>
    <w:rsid w:val="00C82C03"/>
    <w:rsid w:val="00C8371E"/>
    <w:rsid w:val="00C842E0"/>
    <w:rsid w:val="00C84D4B"/>
    <w:rsid w:val="00C85154"/>
    <w:rsid w:val="00C85169"/>
    <w:rsid w:val="00C85612"/>
    <w:rsid w:val="00C857D8"/>
    <w:rsid w:val="00C85D25"/>
    <w:rsid w:val="00C875AD"/>
    <w:rsid w:val="00C8797A"/>
    <w:rsid w:val="00C87F5F"/>
    <w:rsid w:val="00C900B8"/>
    <w:rsid w:val="00C90558"/>
    <w:rsid w:val="00C90BC4"/>
    <w:rsid w:val="00C90C71"/>
    <w:rsid w:val="00C91783"/>
    <w:rsid w:val="00C91FD1"/>
    <w:rsid w:val="00C92258"/>
    <w:rsid w:val="00C931CF"/>
    <w:rsid w:val="00C9378D"/>
    <w:rsid w:val="00C938CF"/>
    <w:rsid w:val="00C93976"/>
    <w:rsid w:val="00C939FE"/>
    <w:rsid w:val="00C93B17"/>
    <w:rsid w:val="00C94053"/>
    <w:rsid w:val="00C94351"/>
    <w:rsid w:val="00C94760"/>
    <w:rsid w:val="00C95380"/>
    <w:rsid w:val="00C9624D"/>
    <w:rsid w:val="00C962DB"/>
    <w:rsid w:val="00C964C2"/>
    <w:rsid w:val="00C967E0"/>
    <w:rsid w:val="00C968B4"/>
    <w:rsid w:val="00C969DA"/>
    <w:rsid w:val="00C96D4E"/>
    <w:rsid w:val="00C97B03"/>
    <w:rsid w:val="00C97C49"/>
    <w:rsid w:val="00C97DAD"/>
    <w:rsid w:val="00CA0058"/>
    <w:rsid w:val="00CA014D"/>
    <w:rsid w:val="00CA0E2C"/>
    <w:rsid w:val="00CA1E5A"/>
    <w:rsid w:val="00CA2408"/>
    <w:rsid w:val="00CA2431"/>
    <w:rsid w:val="00CA2C77"/>
    <w:rsid w:val="00CA3215"/>
    <w:rsid w:val="00CA33B0"/>
    <w:rsid w:val="00CA3BAB"/>
    <w:rsid w:val="00CA444F"/>
    <w:rsid w:val="00CA5245"/>
    <w:rsid w:val="00CA6260"/>
    <w:rsid w:val="00CA6429"/>
    <w:rsid w:val="00CA71F4"/>
    <w:rsid w:val="00CA79E0"/>
    <w:rsid w:val="00CA7B09"/>
    <w:rsid w:val="00CA7E76"/>
    <w:rsid w:val="00CA7EC1"/>
    <w:rsid w:val="00CB08A8"/>
    <w:rsid w:val="00CB0AD4"/>
    <w:rsid w:val="00CB0CA1"/>
    <w:rsid w:val="00CB12A5"/>
    <w:rsid w:val="00CB1468"/>
    <w:rsid w:val="00CB1AB0"/>
    <w:rsid w:val="00CB1BF5"/>
    <w:rsid w:val="00CB1CAC"/>
    <w:rsid w:val="00CB1D70"/>
    <w:rsid w:val="00CB1D92"/>
    <w:rsid w:val="00CB2379"/>
    <w:rsid w:val="00CB2B42"/>
    <w:rsid w:val="00CB2F2A"/>
    <w:rsid w:val="00CB3261"/>
    <w:rsid w:val="00CB35C1"/>
    <w:rsid w:val="00CB398D"/>
    <w:rsid w:val="00CB3CE6"/>
    <w:rsid w:val="00CB41D3"/>
    <w:rsid w:val="00CB4CE6"/>
    <w:rsid w:val="00CB4DD3"/>
    <w:rsid w:val="00CB56C0"/>
    <w:rsid w:val="00CB5B1A"/>
    <w:rsid w:val="00CB5DDD"/>
    <w:rsid w:val="00CB5E6B"/>
    <w:rsid w:val="00CB6340"/>
    <w:rsid w:val="00CB656A"/>
    <w:rsid w:val="00CB69C2"/>
    <w:rsid w:val="00CB6B22"/>
    <w:rsid w:val="00CB7304"/>
    <w:rsid w:val="00CB7987"/>
    <w:rsid w:val="00CB7B69"/>
    <w:rsid w:val="00CB7B78"/>
    <w:rsid w:val="00CB7F5F"/>
    <w:rsid w:val="00CC127E"/>
    <w:rsid w:val="00CC1404"/>
    <w:rsid w:val="00CC1B39"/>
    <w:rsid w:val="00CC1CE8"/>
    <w:rsid w:val="00CC1F73"/>
    <w:rsid w:val="00CC2125"/>
    <w:rsid w:val="00CC213E"/>
    <w:rsid w:val="00CC24F1"/>
    <w:rsid w:val="00CC35EA"/>
    <w:rsid w:val="00CC3848"/>
    <w:rsid w:val="00CC38A1"/>
    <w:rsid w:val="00CC4248"/>
    <w:rsid w:val="00CC452F"/>
    <w:rsid w:val="00CC4592"/>
    <w:rsid w:val="00CC469F"/>
    <w:rsid w:val="00CC4C73"/>
    <w:rsid w:val="00CC5C8F"/>
    <w:rsid w:val="00CC6FB2"/>
    <w:rsid w:val="00CD0869"/>
    <w:rsid w:val="00CD13AB"/>
    <w:rsid w:val="00CD1A2E"/>
    <w:rsid w:val="00CD212D"/>
    <w:rsid w:val="00CD2480"/>
    <w:rsid w:val="00CD2516"/>
    <w:rsid w:val="00CD2CFE"/>
    <w:rsid w:val="00CD3B46"/>
    <w:rsid w:val="00CD3CCC"/>
    <w:rsid w:val="00CD3F77"/>
    <w:rsid w:val="00CD4417"/>
    <w:rsid w:val="00CD4806"/>
    <w:rsid w:val="00CD4D21"/>
    <w:rsid w:val="00CD4D62"/>
    <w:rsid w:val="00CD5AF9"/>
    <w:rsid w:val="00CD5E0D"/>
    <w:rsid w:val="00CD6972"/>
    <w:rsid w:val="00CD6ADC"/>
    <w:rsid w:val="00CD7193"/>
    <w:rsid w:val="00CD71B9"/>
    <w:rsid w:val="00CD79EF"/>
    <w:rsid w:val="00CD7A10"/>
    <w:rsid w:val="00CD7A1B"/>
    <w:rsid w:val="00CD7ECA"/>
    <w:rsid w:val="00CE04C0"/>
    <w:rsid w:val="00CE0566"/>
    <w:rsid w:val="00CE0813"/>
    <w:rsid w:val="00CE2623"/>
    <w:rsid w:val="00CE26A9"/>
    <w:rsid w:val="00CE294F"/>
    <w:rsid w:val="00CE2BDD"/>
    <w:rsid w:val="00CE2E4A"/>
    <w:rsid w:val="00CE2F9B"/>
    <w:rsid w:val="00CE308C"/>
    <w:rsid w:val="00CE38C8"/>
    <w:rsid w:val="00CE3967"/>
    <w:rsid w:val="00CE3AEB"/>
    <w:rsid w:val="00CE4169"/>
    <w:rsid w:val="00CE48F1"/>
    <w:rsid w:val="00CE4A06"/>
    <w:rsid w:val="00CE4BA7"/>
    <w:rsid w:val="00CE4CB3"/>
    <w:rsid w:val="00CE5C3F"/>
    <w:rsid w:val="00CE6073"/>
    <w:rsid w:val="00CE60BB"/>
    <w:rsid w:val="00CE60FA"/>
    <w:rsid w:val="00CE6274"/>
    <w:rsid w:val="00CE672C"/>
    <w:rsid w:val="00CE698F"/>
    <w:rsid w:val="00CE6BF3"/>
    <w:rsid w:val="00CE6CAA"/>
    <w:rsid w:val="00CE6CB5"/>
    <w:rsid w:val="00CE6D0C"/>
    <w:rsid w:val="00CE6EE7"/>
    <w:rsid w:val="00CE7247"/>
    <w:rsid w:val="00CE77B6"/>
    <w:rsid w:val="00CE7D94"/>
    <w:rsid w:val="00CE7E50"/>
    <w:rsid w:val="00CF0414"/>
    <w:rsid w:val="00CF091E"/>
    <w:rsid w:val="00CF189B"/>
    <w:rsid w:val="00CF2A29"/>
    <w:rsid w:val="00CF2B8D"/>
    <w:rsid w:val="00CF2D81"/>
    <w:rsid w:val="00CF2EB1"/>
    <w:rsid w:val="00CF3686"/>
    <w:rsid w:val="00CF3FE9"/>
    <w:rsid w:val="00CF40FA"/>
    <w:rsid w:val="00CF456B"/>
    <w:rsid w:val="00CF4A64"/>
    <w:rsid w:val="00CF4F49"/>
    <w:rsid w:val="00CF50FA"/>
    <w:rsid w:val="00CF5A22"/>
    <w:rsid w:val="00CF6970"/>
    <w:rsid w:val="00CF6E02"/>
    <w:rsid w:val="00CF6EDF"/>
    <w:rsid w:val="00CF706D"/>
    <w:rsid w:val="00CF7116"/>
    <w:rsid w:val="00CF7466"/>
    <w:rsid w:val="00CF7530"/>
    <w:rsid w:val="00CF7599"/>
    <w:rsid w:val="00CF75C1"/>
    <w:rsid w:val="00CF7744"/>
    <w:rsid w:val="00CF77E3"/>
    <w:rsid w:val="00CF7848"/>
    <w:rsid w:val="00CF7F66"/>
    <w:rsid w:val="00D003AF"/>
    <w:rsid w:val="00D01C2D"/>
    <w:rsid w:val="00D0262E"/>
    <w:rsid w:val="00D03460"/>
    <w:rsid w:val="00D034AC"/>
    <w:rsid w:val="00D03968"/>
    <w:rsid w:val="00D03B5D"/>
    <w:rsid w:val="00D03FFD"/>
    <w:rsid w:val="00D040B4"/>
    <w:rsid w:val="00D045CC"/>
    <w:rsid w:val="00D04749"/>
    <w:rsid w:val="00D049BB"/>
    <w:rsid w:val="00D04A25"/>
    <w:rsid w:val="00D05E3D"/>
    <w:rsid w:val="00D060D0"/>
    <w:rsid w:val="00D06139"/>
    <w:rsid w:val="00D061F6"/>
    <w:rsid w:val="00D066F4"/>
    <w:rsid w:val="00D074CC"/>
    <w:rsid w:val="00D078F8"/>
    <w:rsid w:val="00D07B6A"/>
    <w:rsid w:val="00D07C49"/>
    <w:rsid w:val="00D10372"/>
    <w:rsid w:val="00D10E1A"/>
    <w:rsid w:val="00D110BD"/>
    <w:rsid w:val="00D12FBA"/>
    <w:rsid w:val="00D13675"/>
    <w:rsid w:val="00D136F3"/>
    <w:rsid w:val="00D14016"/>
    <w:rsid w:val="00D141E1"/>
    <w:rsid w:val="00D14426"/>
    <w:rsid w:val="00D14A61"/>
    <w:rsid w:val="00D14A7F"/>
    <w:rsid w:val="00D15314"/>
    <w:rsid w:val="00D16444"/>
    <w:rsid w:val="00D16952"/>
    <w:rsid w:val="00D171E0"/>
    <w:rsid w:val="00D174E5"/>
    <w:rsid w:val="00D17813"/>
    <w:rsid w:val="00D17D6C"/>
    <w:rsid w:val="00D20C11"/>
    <w:rsid w:val="00D20D39"/>
    <w:rsid w:val="00D20E14"/>
    <w:rsid w:val="00D2155B"/>
    <w:rsid w:val="00D21819"/>
    <w:rsid w:val="00D21F43"/>
    <w:rsid w:val="00D2259A"/>
    <w:rsid w:val="00D231A2"/>
    <w:rsid w:val="00D2346B"/>
    <w:rsid w:val="00D23CE7"/>
    <w:rsid w:val="00D23D11"/>
    <w:rsid w:val="00D241F2"/>
    <w:rsid w:val="00D242D9"/>
    <w:rsid w:val="00D244B6"/>
    <w:rsid w:val="00D262A5"/>
    <w:rsid w:val="00D26BD7"/>
    <w:rsid w:val="00D2706B"/>
    <w:rsid w:val="00D2754D"/>
    <w:rsid w:val="00D27995"/>
    <w:rsid w:val="00D27B27"/>
    <w:rsid w:val="00D305ED"/>
    <w:rsid w:val="00D30983"/>
    <w:rsid w:val="00D30A9B"/>
    <w:rsid w:val="00D30BDE"/>
    <w:rsid w:val="00D31083"/>
    <w:rsid w:val="00D31F81"/>
    <w:rsid w:val="00D3262E"/>
    <w:rsid w:val="00D32D2F"/>
    <w:rsid w:val="00D33119"/>
    <w:rsid w:val="00D335DC"/>
    <w:rsid w:val="00D33BE9"/>
    <w:rsid w:val="00D33EC9"/>
    <w:rsid w:val="00D33F93"/>
    <w:rsid w:val="00D345A7"/>
    <w:rsid w:val="00D345F2"/>
    <w:rsid w:val="00D35661"/>
    <w:rsid w:val="00D357FF"/>
    <w:rsid w:val="00D3588D"/>
    <w:rsid w:val="00D358F0"/>
    <w:rsid w:val="00D35BD6"/>
    <w:rsid w:val="00D35F98"/>
    <w:rsid w:val="00D364D2"/>
    <w:rsid w:val="00D36843"/>
    <w:rsid w:val="00D37132"/>
    <w:rsid w:val="00D402D2"/>
    <w:rsid w:val="00D4081B"/>
    <w:rsid w:val="00D40CB5"/>
    <w:rsid w:val="00D4119C"/>
    <w:rsid w:val="00D424C7"/>
    <w:rsid w:val="00D43764"/>
    <w:rsid w:val="00D43B21"/>
    <w:rsid w:val="00D43B2A"/>
    <w:rsid w:val="00D43D1A"/>
    <w:rsid w:val="00D43D83"/>
    <w:rsid w:val="00D43E12"/>
    <w:rsid w:val="00D43F86"/>
    <w:rsid w:val="00D44222"/>
    <w:rsid w:val="00D44F38"/>
    <w:rsid w:val="00D4697F"/>
    <w:rsid w:val="00D46C76"/>
    <w:rsid w:val="00D4724C"/>
    <w:rsid w:val="00D47575"/>
    <w:rsid w:val="00D47C38"/>
    <w:rsid w:val="00D5051F"/>
    <w:rsid w:val="00D5149B"/>
    <w:rsid w:val="00D514A0"/>
    <w:rsid w:val="00D51C17"/>
    <w:rsid w:val="00D51CF2"/>
    <w:rsid w:val="00D5243B"/>
    <w:rsid w:val="00D52EAF"/>
    <w:rsid w:val="00D5319D"/>
    <w:rsid w:val="00D533EC"/>
    <w:rsid w:val="00D5488B"/>
    <w:rsid w:val="00D5525C"/>
    <w:rsid w:val="00D555D2"/>
    <w:rsid w:val="00D55D23"/>
    <w:rsid w:val="00D561A1"/>
    <w:rsid w:val="00D56691"/>
    <w:rsid w:val="00D56A27"/>
    <w:rsid w:val="00D56A95"/>
    <w:rsid w:val="00D57121"/>
    <w:rsid w:val="00D57971"/>
    <w:rsid w:val="00D57C6D"/>
    <w:rsid w:val="00D604A6"/>
    <w:rsid w:val="00D60DDC"/>
    <w:rsid w:val="00D61821"/>
    <w:rsid w:val="00D61851"/>
    <w:rsid w:val="00D61C1F"/>
    <w:rsid w:val="00D62601"/>
    <w:rsid w:val="00D63B41"/>
    <w:rsid w:val="00D64352"/>
    <w:rsid w:val="00D646F7"/>
    <w:rsid w:val="00D648C8"/>
    <w:rsid w:val="00D64C15"/>
    <w:rsid w:val="00D65656"/>
    <w:rsid w:val="00D65988"/>
    <w:rsid w:val="00D66274"/>
    <w:rsid w:val="00D66D02"/>
    <w:rsid w:val="00D66F44"/>
    <w:rsid w:val="00D67488"/>
    <w:rsid w:val="00D6760F"/>
    <w:rsid w:val="00D679AA"/>
    <w:rsid w:val="00D679FB"/>
    <w:rsid w:val="00D67A67"/>
    <w:rsid w:val="00D67EC2"/>
    <w:rsid w:val="00D67F21"/>
    <w:rsid w:val="00D70544"/>
    <w:rsid w:val="00D70E54"/>
    <w:rsid w:val="00D70F16"/>
    <w:rsid w:val="00D70F93"/>
    <w:rsid w:val="00D71DF3"/>
    <w:rsid w:val="00D726FF"/>
    <w:rsid w:val="00D72E15"/>
    <w:rsid w:val="00D72F57"/>
    <w:rsid w:val="00D734DB"/>
    <w:rsid w:val="00D739D1"/>
    <w:rsid w:val="00D73CB1"/>
    <w:rsid w:val="00D7447C"/>
    <w:rsid w:val="00D75982"/>
    <w:rsid w:val="00D759FC"/>
    <w:rsid w:val="00D7666C"/>
    <w:rsid w:val="00D76A44"/>
    <w:rsid w:val="00D76AAE"/>
    <w:rsid w:val="00D76C56"/>
    <w:rsid w:val="00D771F6"/>
    <w:rsid w:val="00D80102"/>
    <w:rsid w:val="00D80409"/>
    <w:rsid w:val="00D80814"/>
    <w:rsid w:val="00D815EF"/>
    <w:rsid w:val="00D81E43"/>
    <w:rsid w:val="00D81F26"/>
    <w:rsid w:val="00D82A2B"/>
    <w:rsid w:val="00D836E1"/>
    <w:rsid w:val="00D8493F"/>
    <w:rsid w:val="00D859B2"/>
    <w:rsid w:val="00D86231"/>
    <w:rsid w:val="00D86E0D"/>
    <w:rsid w:val="00D86FB7"/>
    <w:rsid w:val="00D87146"/>
    <w:rsid w:val="00D87167"/>
    <w:rsid w:val="00D871FD"/>
    <w:rsid w:val="00D87230"/>
    <w:rsid w:val="00D87282"/>
    <w:rsid w:val="00D87502"/>
    <w:rsid w:val="00D9096C"/>
    <w:rsid w:val="00D909A3"/>
    <w:rsid w:val="00D90E4D"/>
    <w:rsid w:val="00D912E6"/>
    <w:rsid w:val="00D91547"/>
    <w:rsid w:val="00D91562"/>
    <w:rsid w:val="00D91923"/>
    <w:rsid w:val="00D92840"/>
    <w:rsid w:val="00D92AC8"/>
    <w:rsid w:val="00D93363"/>
    <w:rsid w:val="00D9348F"/>
    <w:rsid w:val="00D934BC"/>
    <w:rsid w:val="00D93753"/>
    <w:rsid w:val="00D95B02"/>
    <w:rsid w:val="00D95C64"/>
    <w:rsid w:val="00D96451"/>
    <w:rsid w:val="00D964D9"/>
    <w:rsid w:val="00D96EC6"/>
    <w:rsid w:val="00D9773F"/>
    <w:rsid w:val="00D97DF1"/>
    <w:rsid w:val="00D97F2D"/>
    <w:rsid w:val="00D97F95"/>
    <w:rsid w:val="00DA02A9"/>
    <w:rsid w:val="00DA0640"/>
    <w:rsid w:val="00DA1347"/>
    <w:rsid w:val="00DA2281"/>
    <w:rsid w:val="00DA29FC"/>
    <w:rsid w:val="00DA2AF6"/>
    <w:rsid w:val="00DA2C5E"/>
    <w:rsid w:val="00DA2D8B"/>
    <w:rsid w:val="00DA3167"/>
    <w:rsid w:val="00DA3FBA"/>
    <w:rsid w:val="00DA47C8"/>
    <w:rsid w:val="00DA4902"/>
    <w:rsid w:val="00DA4DC3"/>
    <w:rsid w:val="00DA54D7"/>
    <w:rsid w:val="00DA5D63"/>
    <w:rsid w:val="00DA66BB"/>
    <w:rsid w:val="00DA67FB"/>
    <w:rsid w:val="00DA6BDB"/>
    <w:rsid w:val="00DA6D5C"/>
    <w:rsid w:val="00DA70AF"/>
    <w:rsid w:val="00DA76BF"/>
    <w:rsid w:val="00DA77A5"/>
    <w:rsid w:val="00DA7B11"/>
    <w:rsid w:val="00DA7E20"/>
    <w:rsid w:val="00DB0EF9"/>
    <w:rsid w:val="00DB158C"/>
    <w:rsid w:val="00DB15E3"/>
    <w:rsid w:val="00DB1DC9"/>
    <w:rsid w:val="00DB1E97"/>
    <w:rsid w:val="00DB269C"/>
    <w:rsid w:val="00DB27ED"/>
    <w:rsid w:val="00DB2BD8"/>
    <w:rsid w:val="00DB2D1F"/>
    <w:rsid w:val="00DB36B0"/>
    <w:rsid w:val="00DB3C91"/>
    <w:rsid w:val="00DB3CF8"/>
    <w:rsid w:val="00DB3DBF"/>
    <w:rsid w:val="00DB3E31"/>
    <w:rsid w:val="00DB3E72"/>
    <w:rsid w:val="00DB4015"/>
    <w:rsid w:val="00DB432D"/>
    <w:rsid w:val="00DB46AB"/>
    <w:rsid w:val="00DB484F"/>
    <w:rsid w:val="00DB58B2"/>
    <w:rsid w:val="00DB5BCE"/>
    <w:rsid w:val="00DB656A"/>
    <w:rsid w:val="00DB76F9"/>
    <w:rsid w:val="00DB781B"/>
    <w:rsid w:val="00DB78F9"/>
    <w:rsid w:val="00DB7EF3"/>
    <w:rsid w:val="00DC030A"/>
    <w:rsid w:val="00DC043E"/>
    <w:rsid w:val="00DC04E7"/>
    <w:rsid w:val="00DC04F6"/>
    <w:rsid w:val="00DC0690"/>
    <w:rsid w:val="00DC099A"/>
    <w:rsid w:val="00DC1113"/>
    <w:rsid w:val="00DC1D38"/>
    <w:rsid w:val="00DC1D65"/>
    <w:rsid w:val="00DC2154"/>
    <w:rsid w:val="00DC25AA"/>
    <w:rsid w:val="00DC394E"/>
    <w:rsid w:val="00DC3C57"/>
    <w:rsid w:val="00DC3F04"/>
    <w:rsid w:val="00DC421C"/>
    <w:rsid w:val="00DC43DA"/>
    <w:rsid w:val="00DC4614"/>
    <w:rsid w:val="00DC533B"/>
    <w:rsid w:val="00DC5501"/>
    <w:rsid w:val="00DC5536"/>
    <w:rsid w:val="00DC6050"/>
    <w:rsid w:val="00DC7154"/>
    <w:rsid w:val="00DC7D69"/>
    <w:rsid w:val="00DC7E8A"/>
    <w:rsid w:val="00DD052D"/>
    <w:rsid w:val="00DD07F5"/>
    <w:rsid w:val="00DD0F78"/>
    <w:rsid w:val="00DD1937"/>
    <w:rsid w:val="00DD1C4A"/>
    <w:rsid w:val="00DD273C"/>
    <w:rsid w:val="00DD3055"/>
    <w:rsid w:val="00DD318F"/>
    <w:rsid w:val="00DD3895"/>
    <w:rsid w:val="00DD3B94"/>
    <w:rsid w:val="00DD3CB7"/>
    <w:rsid w:val="00DD3F28"/>
    <w:rsid w:val="00DD4126"/>
    <w:rsid w:val="00DD4537"/>
    <w:rsid w:val="00DD4E15"/>
    <w:rsid w:val="00DD5024"/>
    <w:rsid w:val="00DD55C1"/>
    <w:rsid w:val="00DD5636"/>
    <w:rsid w:val="00DD5715"/>
    <w:rsid w:val="00DD5BA4"/>
    <w:rsid w:val="00DD6E1B"/>
    <w:rsid w:val="00DD75B8"/>
    <w:rsid w:val="00DD7A92"/>
    <w:rsid w:val="00DD7C69"/>
    <w:rsid w:val="00DD7FDF"/>
    <w:rsid w:val="00DD7FE6"/>
    <w:rsid w:val="00DE1B65"/>
    <w:rsid w:val="00DE1F38"/>
    <w:rsid w:val="00DE2304"/>
    <w:rsid w:val="00DE2CB6"/>
    <w:rsid w:val="00DE3138"/>
    <w:rsid w:val="00DE37CE"/>
    <w:rsid w:val="00DE37F8"/>
    <w:rsid w:val="00DE3C91"/>
    <w:rsid w:val="00DE4FCB"/>
    <w:rsid w:val="00DE50EB"/>
    <w:rsid w:val="00DE5780"/>
    <w:rsid w:val="00DE5D07"/>
    <w:rsid w:val="00DE5DBF"/>
    <w:rsid w:val="00DE6197"/>
    <w:rsid w:val="00DE7180"/>
    <w:rsid w:val="00DE7203"/>
    <w:rsid w:val="00DE72A7"/>
    <w:rsid w:val="00DE7826"/>
    <w:rsid w:val="00DE7832"/>
    <w:rsid w:val="00DE7C9A"/>
    <w:rsid w:val="00DE7F8D"/>
    <w:rsid w:val="00DF02E2"/>
    <w:rsid w:val="00DF052E"/>
    <w:rsid w:val="00DF18FC"/>
    <w:rsid w:val="00DF1F91"/>
    <w:rsid w:val="00DF1FF1"/>
    <w:rsid w:val="00DF2026"/>
    <w:rsid w:val="00DF238C"/>
    <w:rsid w:val="00DF2F7B"/>
    <w:rsid w:val="00DF30C5"/>
    <w:rsid w:val="00DF3292"/>
    <w:rsid w:val="00DF345E"/>
    <w:rsid w:val="00DF4074"/>
    <w:rsid w:val="00DF5480"/>
    <w:rsid w:val="00DF57F5"/>
    <w:rsid w:val="00DF586E"/>
    <w:rsid w:val="00DF5A95"/>
    <w:rsid w:val="00DF5D2B"/>
    <w:rsid w:val="00DF5F49"/>
    <w:rsid w:val="00DF5F9D"/>
    <w:rsid w:val="00DF6061"/>
    <w:rsid w:val="00DF65E6"/>
    <w:rsid w:val="00DF65EF"/>
    <w:rsid w:val="00DF6A05"/>
    <w:rsid w:val="00DF762B"/>
    <w:rsid w:val="00DF7680"/>
    <w:rsid w:val="00DF791F"/>
    <w:rsid w:val="00DF7BA4"/>
    <w:rsid w:val="00E00179"/>
    <w:rsid w:val="00E001C4"/>
    <w:rsid w:val="00E001C7"/>
    <w:rsid w:val="00E0044F"/>
    <w:rsid w:val="00E007E6"/>
    <w:rsid w:val="00E00A5E"/>
    <w:rsid w:val="00E00E8E"/>
    <w:rsid w:val="00E0139C"/>
    <w:rsid w:val="00E014CE"/>
    <w:rsid w:val="00E01614"/>
    <w:rsid w:val="00E02DF3"/>
    <w:rsid w:val="00E0318F"/>
    <w:rsid w:val="00E03C8A"/>
    <w:rsid w:val="00E03D00"/>
    <w:rsid w:val="00E03E66"/>
    <w:rsid w:val="00E046C8"/>
    <w:rsid w:val="00E049C1"/>
    <w:rsid w:val="00E04F1D"/>
    <w:rsid w:val="00E052EE"/>
    <w:rsid w:val="00E0560B"/>
    <w:rsid w:val="00E05630"/>
    <w:rsid w:val="00E05856"/>
    <w:rsid w:val="00E06959"/>
    <w:rsid w:val="00E06AD4"/>
    <w:rsid w:val="00E06DBB"/>
    <w:rsid w:val="00E07021"/>
    <w:rsid w:val="00E07EAB"/>
    <w:rsid w:val="00E10149"/>
    <w:rsid w:val="00E104D9"/>
    <w:rsid w:val="00E10535"/>
    <w:rsid w:val="00E10A53"/>
    <w:rsid w:val="00E10C0B"/>
    <w:rsid w:val="00E10DC6"/>
    <w:rsid w:val="00E11340"/>
    <w:rsid w:val="00E118BB"/>
    <w:rsid w:val="00E11ADF"/>
    <w:rsid w:val="00E11EE9"/>
    <w:rsid w:val="00E122A1"/>
    <w:rsid w:val="00E125C8"/>
    <w:rsid w:val="00E1296B"/>
    <w:rsid w:val="00E12A1F"/>
    <w:rsid w:val="00E12B7F"/>
    <w:rsid w:val="00E13692"/>
    <w:rsid w:val="00E13836"/>
    <w:rsid w:val="00E13CCA"/>
    <w:rsid w:val="00E14C76"/>
    <w:rsid w:val="00E15142"/>
    <w:rsid w:val="00E160F8"/>
    <w:rsid w:val="00E16372"/>
    <w:rsid w:val="00E164AC"/>
    <w:rsid w:val="00E16841"/>
    <w:rsid w:val="00E168F6"/>
    <w:rsid w:val="00E16CE3"/>
    <w:rsid w:val="00E17EA5"/>
    <w:rsid w:val="00E20048"/>
    <w:rsid w:val="00E2030A"/>
    <w:rsid w:val="00E20905"/>
    <w:rsid w:val="00E20AC1"/>
    <w:rsid w:val="00E20E4D"/>
    <w:rsid w:val="00E20ED6"/>
    <w:rsid w:val="00E2120B"/>
    <w:rsid w:val="00E21358"/>
    <w:rsid w:val="00E21703"/>
    <w:rsid w:val="00E2245D"/>
    <w:rsid w:val="00E2249B"/>
    <w:rsid w:val="00E22A0D"/>
    <w:rsid w:val="00E232B0"/>
    <w:rsid w:val="00E23480"/>
    <w:rsid w:val="00E23B3C"/>
    <w:rsid w:val="00E23F94"/>
    <w:rsid w:val="00E24152"/>
    <w:rsid w:val="00E243D5"/>
    <w:rsid w:val="00E244F6"/>
    <w:rsid w:val="00E253C9"/>
    <w:rsid w:val="00E253ED"/>
    <w:rsid w:val="00E25854"/>
    <w:rsid w:val="00E2589B"/>
    <w:rsid w:val="00E25AB0"/>
    <w:rsid w:val="00E25C19"/>
    <w:rsid w:val="00E25D4E"/>
    <w:rsid w:val="00E26028"/>
    <w:rsid w:val="00E26D76"/>
    <w:rsid w:val="00E2771E"/>
    <w:rsid w:val="00E27BF5"/>
    <w:rsid w:val="00E27F22"/>
    <w:rsid w:val="00E301BC"/>
    <w:rsid w:val="00E3020B"/>
    <w:rsid w:val="00E30E9B"/>
    <w:rsid w:val="00E311EF"/>
    <w:rsid w:val="00E32180"/>
    <w:rsid w:val="00E3264D"/>
    <w:rsid w:val="00E33344"/>
    <w:rsid w:val="00E338EA"/>
    <w:rsid w:val="00E34344"/>
    <w:rsid w:val="00E34948"/>
    <w:rsid w:val="00E35635"/>
    <w:rsid w:val="00E35DDF"/>
    <w:rsid w:val="00E35E09"/>
    <w:rsid w:val="00E35F2D"/>
    <w:rsid w:val="00E362FD"/>
    <w:rsid w:val="00E3659C"/>
    <w:rsid w:val="00E36CCC"/>
    <w:rsid w:val="00E373E7"/>
    <w:rsid w:val="00E37569"/>
    <w:rsid w:val="00E3787A"/>
    <w:rsid w:val="00E3F386"/>
    <w:rsid w:val="00E401B2"/>
    <w:rsid w:val="00E404BF"/>
    <w:rsid w:val="00E413E7"/>
    <w:rsid w:val="00E41E10"/>
    <w:rsid w:val="00E41E30"/>
    <w:rsid w:val="00E42052"/>
    <w:rsid w:val="00E42F73"/>
    <w:rsid w:val="00E43D70"/>
    <w:rsid w:val="00E44853"/>
    <w:rsid w:val="00E44E79"/>
    <w:rsid w:val="00E45003"/>
    <w:rsid w:val="00E452F8"/>
    <w:rsid w:val="00E45E0A"/>
    <w:rsid w:val="00E46620"/>
    <w:rsid w:val="00E466F3"/>
    <w:rsid w:val="00E46DCD"/>
    <w:rsid w:val="00E47393"/>
    <w:rsid w:val="00E4762E"/>
    <w:rsid w:val="00E47760"/>
    <w:rsid w:val="00E477D1"/>
    <w:rsid w:val="00E47B2C"/>
    <w:rsid w:val="00E50028"/>
    <w:rsid w:val="00E50EB7"/>
    <w:rsid w:val="00E51560"/>
    <w:rsid w:val="00E515C5"/>
    <w:rsid w:val="00E51CF1"/>
    <w:rsid w:val="00E52A30"/>
    <w:rsid w:val="00E5313B"/>
    <w:rsid w:val="00E53601"/>
    <w:rsid w:val="00E53732"/>
    <w:rsid w:val="00E53DEC"/>
    <w:rsid w:val="00E53FC8"/>
    <w:rsid w:val="00E54347"/>
    <w:rsid w:val="00E54659"/>
    <w:rsid w:val="00E55403"/>
    <w:rsid w:val="00E55424"/>
    <w:rsid w:val="00E55915"/>
    <w:rsid w:val="00E55BB5"/>
    <w:rsid w:val="00E5635E"/>
    <w:rsid w:val="00E60BB8"/>
    <w:rsid w:val="00E60E38"/>
    <w:rsid w:val="00E61661"/>
    <w:rsid w:val="00E61BC2"/>
    <w:rsid w:val="00E62153"/>
    <w:rsid w:val="00E62567"/>
    <w:rsid w:val="00E6261A"/>
    <w:rsid w:val="00E62954"/>
    <w:rsid w:val="00E63A85"/>
    <w:rsid w:val="00E63F5E"/>
    <w:rsid w:val="00E64B7E"/>
    <w:rsid w:val="00E64D5B"/>
    <w:rsid w:val="00E65BFE"/>
    <w:rsid w:val="00E65CDA"/>
    <w:rsid w:val="00E65E79"/>
    <w:rsid w:val="00E663C3"/>
    <w:rsid w:val="00E66BA2"/>
    <w:rsid w:val="00E67416"/>
    <w:rsid w:val="00E70268"/>
    <w:rsid w:val="00E704EF"/>
    <w:rsid w:val="00E705B7"/>
    <w:rsid w:val="00E718B6"/>
    <w:rsid w:val="00E71A35"/>
    <w:rsid w:val="00E7214B"/>
    <w:rsid w:val="00E723BA"/>
    <w:rsid w:val="00E729E4"/>
    <w:rsid w:val="00E72BB4"/>
    <w:rsid w:val="00E73581"/>
    <w:rsid w:val="00E73FA8"/>
    <w:rsid w:val="00E74C21"/>
    <w:rsid w:val="00E752A1"/>
    <w:rsid w:val="00E76360"/>
    <w:rsid w:val="00E765ED"/>
    <w:rsid w:val="00E77872"/>
    <w:rsid w:val="00E77B4A"/>
    <w:rsid w:val="00E8100C"/>
    <w:rsid w:val="00E81A0F"/>
    <w:rsid w:val="00E82891"/>
    <w:rsid w:val="00E82D4E"/>
    <w:rsid w:val="00E833F7"/>
    <w:rsid w:val="00E83504"/>
    <w:rsid w:val="00E83BDF"/>
    <w:rsid w:val="00E83DB0"/>
    <w:rsid w:val="00E8428E"/>
    <w:rsid w:val="00E847DF"/>
    <w:rsid w:val="00E84AAF"/>
    <w:rsid w:val="00E8511D"/>
    <w:rsid w:val="00E85765"/>
    <w:rsid w:val="00E8749B"/>
    <w:rsid w:val="00E8778B"/>
    <w:rsid w:val="00E8795B"/>
    <w:rsid w:val="00E87A1D"/>
    <w:rsid w:val="00E903C8"/>
    <w:rsid w:val="00E9094A"/>
    <w:rsid w:val="00E916B0"/>
    <w:rsid w:val="00E91D35"/>
    <w:rsid w:val="00E92159"/>
    <w:rsid w:val="00E925AA"/>
    <w:rsid w:val="00E926A5"/>
    <w:rsid w:val="00E926B9"/>
    <w:rsid w:val="00E92B6E"/>
    <w:rsid w:val="00E92E25"/>
    <w:rsid w:val="00E931E3"/>
    <w:rsid w:val="00E936A6"/>
    <w:rsid w:val="00E93B8C"/>
    <w:rsid w:val="00E93CF6"/>
    <w:rsid w:val="00E94498"/>
    <w:rsid w:val="00E94A9C"/>
    <w:rsid w:val="00E94B55"/>
    <w:rsid w:val="00E94C62"/>
    <w:rsid w:val="00E9509E"/>
    <w:rsid w:val="00E95777"/>
    <w:rsid w:val="00E959FD"/>
    <w:rsid w:val="00E9623A"/>
    <w:rsid w:val="00E964A3"/>
    <w:rsid w:val="00E967F4"/>
    <w:rsid w:val="00E96B7E"/>
    <w:rsid w:val="00E975B6"/>
    <w:rsid w:val="00E97E4E"/>
    <w:rsid w:val="00E97E53"/>
    <w:rsid w:val="00EA0DCA"/>
    <w:rsid w:val="00EA17C3"/>
    <w:rsid w:val="00EA2298"/>
    <w:rsid w:val="00EA2CAA"/>
    <w:rsid w:val="00EA3864"/>
    <w:rsid w:val="00EA3DC1"/>
    <w:rsid w:val="00EA4371"/>
    <w:rsid w:val="00EA4425"/>
    <w:rsid w:val="00EA4700"/>
    <w:rsid w:val="00EA48F5"/>
    <w:rsid w:val="00EA5225"/>
    <w:rsid w:val="00EA57C2"/>
    <w:rsid w:val="00EA6975"/>
    <w:rsid w:val="00EA6BD6"/>
    <w:rsid w:val="00EA7648"/>
    <w:rsid w:val="00EA7DEB"/>
    <w:rsid w:val="00EA7F1C"/>
    <w:rsid w:val="00EA9674"/>
    <w:rsid w:val="00EB0205"/>
    <w:rsid w:val="00EB0525"/>
    <w:rsid w:val="00EB123E"/>
    <w:rsid w:val="00EB13A8"/>
    <w:rsid w:val="00EB15B6"/>
    <w:rsid w:val="00EB165B"/>
    <w:rsid w:val="00EB173C"/>
    <w:rsid w:val="00EB19CD"/>
    <w:rsid w:val="00EB1B7E"/>
    <w:rsid w:val="00EB1FD2"/>
    <w:rsid w:val="00EB26E7"/>
    <w:rsid w:val="00EB30DD"/>
    <w:rsid w:val="00EB3123"/>
    <w:rsid w:val="00EB331A"/>
    <w:rsid w:val="00EB34AC"/>
    <w:rsid w:val="00EB356C"/>
    <w:rsid w:val="00EB3978"/>
    <w:rsid w:val="00EB3D06"/>
    <w:rsid w:val="00EB3D86"/>
    <w:rsid w:val="00EB4518"/>
    <w:rsid w:val="00EB4916"/>
    <w:rsid w:val="00EB4ABD"/>
    <w:rsid w:val="00EB4B72"/>
    <w:rsid w:val="00EB4D2D"/>
    <w:rsid w:val="00EB54C6"/>
    <w:rsid w:val="00EB5607"/>
    <w:rsid w:val="00EB56E8"/>
    <w:rsid w:val="00EB56FE"/>
    <w:rsid w:val="00EB5F8C"/>
    <w:rsid w:val="00EB65CB"/>
    <w:rsid w:val="00EB770A"/>
    <w:rsid w:val="00EC00C9"/>
    <w:rsid w:val="00EC0239"/>
    <w:rsid w:val="00EC044D"/>
    <w:rsid w:val="00EC0861"/>
    <w:rsid w:val="00EC0BEE"/>
    <w:rsid w:val="00EC0DD9"/>
    <w:rsid w:val="00EC1C0A"/>
    <w:rsid w:val="00EC1DD0"/>
    <w:rsid w:val="00EC2649"/>
    <w:rsid w:val="00EC2CEE"/>
    <w:rsid w:val="00EC2E02"/>
    <w:rsid w:val="00EC31ED"/>
    <w:rsid w:val="00EC3428"/>
    <w:rsid w:val="00EC40D6"/>
    <w:rsid w:val="00EC46B2"/>
    <w:rsid w:val="00EC4F9A"/>
    <w:rsid w:val="00EC577E"/>
    <w:rsid w:val="00EC5836"/>
    <w:rsid w:val="00EC59A1"/>
    <w:rsid w:val="00EC5ACA"/>
    <w:rsid w:val="00EC5B5E"/>
    <w:rsid w:val="00EC5E34"/>
    <w:rsid w:val="00EC6147"/>
    <w:rsid w:val="00EC688C"/>
    <w:rsid w:val="00EC6ED4"/>
    <w:rsid w:val="00EC6FB5"/>
    <w:rsid w:val="00EC75EF"/>
    <w:rsid w:val="00EC7B67"/>
    <w:rsid w:val="00ED005D"/>
    <w:rsid w:val="00ED0E2A"/>
    <w:rsid w:val="00ED1780"/>
    <w:rsid w:val="00ED24F2"/>
    <w:rsid w:val="00ED2AED"/>
    <w:rsid w:val="00ED3F5C"/>
    <w:rsid w:val="00ED492B"/>
    <w:rsid w:val="00ED49CE"/>
    <w:rsid w:val="00ED4A2B"/>
    <w:rsid w:val="00ED57EA"/>
    <w:rsid w:val="00ED58E0"/>
    <w:rsid w:val="00ED5BD4"/>
    <w:rsid w:val="00ED5F38"/>
    <w:rsid w:val="00ED72B1"/>
    <w:rsid w:val="00ED7518"/>
    <w:rsid w:val="00ED7775"/>
    <w:rsid w:val="00EE0361"/>
    <w:rsid w:val="00EE07D3"/>
    <w:rsid w:val="00EE0B3C"/>
    <w:rsid w:val="00EE1040"/>
    <w:rsid w:val="00EE16C0"/>
    <w:rsid w:val="00EE1996"/>
    <w:rsid w:val="00EE1C01"/>
    <w:rsid w:val="00EE1DDE"/>
    <w:rsid w:val="00EE212C"/>
    <w:rsid w:val="00EE22AF"/>
    <w:rsid w:val="00EE324A"/>
    <w:rsid w:val="00EE32B4"/>
    <w:rsid w:val="00EE3555"/>
    <w:rsid w:val="00EE3794"/>
    <w:rsid w:val="00EE3F44"/>
    <w:rsid w:val="00EE448E"/>
    <w:rsid w:val="00EE4523"/>
    <w:rsid w:val="00EE4548"/>
    <w:rsid w:val="00EE48F0"/>
    <w:rsid w:val="00EE625B"/>
    <w:rsid w:val="00EE6D5C"/>
    <w:rsid w:val="00EF0171"/>
    <w:rsid w:val="00EF0F10"/>
    <w:rsid w:val="00EF1726"/>
    <w:rsid w:val="00EF17FF"/>
    <w:rsid w:val="00EF1B25"/>
    <w:rsid w:val="00EF1DA0"/>
    <w:rsid w:val="00EF22C7"/>
    <w:rsid w:val="00EF2ED4"/>
    <w:rsid w:val="00EF33A5"/>
    <w:rsid w:val="00EF36CB"/>
    <w:rsid w:val="00EF4747"/>
    <w:rsid w:val="00EF47D1"/>
    <w:rsid w:val="00EF4B31"/>
    <w:rsid w:val="00EF4BF8"/>
    <w:rsid w:val="00EF5618"/>
    <w:rsid w:val="00EF5969"/>
    <w:rsid w:val="00EF59A0"/>
    <w:rsid w:val="00EF6282"/>
    <w:rsid w:val="00EF7C39"/>
    <w:rsid w:val="00F000F1"/>
    <w:rsid w:val="00F00708"/>
    <w:rsid w:val="00F00718"/>
    <w:rsid w:val="00F00B08"/>
    <w:rsid w:val="00F00DC4"/>
    <w:rsid w:val="00F015F0"/>
    <w:rsid w:val="00F01C9B"/>
    <w:rsid w:val="00F02253"/>
    <w:rsid w:val="00F022B6"/>
    <w:rsid w:val="00F02495"/>
    <w:rsid w:val="00F02CF4"/>
    <w:rsid w:val="00F034D8"/>
    <w:rsid w:val="00F03C2E"/>
    <w:rsid w:val="00F04A66"/>
    <w:rsid w:val="00F04B4B"/>
    <w:rsid w:val="00F0500B"/>
    <w:rsid w:val="00F0516C"/>
    <w:rsid w:val="00F055FA"/>
    <w:rsid w:val="00F06011"/>
    <w:rsid w:val="00F067A2"/>
    <w:rsid w:val="00F06ECD"/>
    <w:rsid w:val="00F06FC0"/>
    <w:rsid w:val="00F07B9E"/>
    <w:rsid w:val="00F07CB9"/>
    <w:rsid w:val="00F10497"/>
    <w:rsid w:val="00F1099F"/>
    <w:rsid w:val="00F1116F"/>
    <w:rsid w:val="00F111CC"/>
    <w:rsid w:val="00F11770"/>
    <w:rsid w:val="00F119F9"/>
    <w:rsid w:val="00F11A5C"/>
    <w:rsid w:val="00F11C42"/>
    <w:rsid w:val="00F11E3F"/>
    <w:rsid w:val="00F1263A"/>
    <w:rsid w:val="00F127DA"/>
    <w:rsid w:val="00F1328E"/>
    <w:rsid w:val="00F137C1"/>
    <w:rsid w:val="00F14798"/>
    <w:rsid w:val="00F148E8"/>
    <w:rsid w:val="00F14BCA"/>
    <w:rsid w:val="00F15526"/>
    <w:rsid w:val="00F15B77"/>
    <w:rsid w:val="00F17A99"/>
    <w:rsid w:val="00F20B06"/>
    <w:rsid w:val="00F20B5E"/>
    <w:rsid w:val="00F2140E"/>
    <w:rsid w:val="00F21820"/>
    <w:rsid w:val="00F21A1D"/>
    <w:rsid w:val="00F223EE"/>
    <w:rsid w:val="00F228B5"/>
    <w:rsid w:val="00F22F69"/>
    <w:rsid w:val="00F2325D"/>
    <w:rsid w:val="00F2332B"/>
    <w:rsid w:val="00F23975"/>
    <w:rsid w:val="00F24103"/>
    <w:rsid w:val="00F241E8"/>
    <w:rsid w:val="00F24567"/>
    <w:rsid w:val="00F24837"/>
    <w:rsid w:val="00F250A5"/>
    <w:rsid w:val="00F256BB"/>
    <w:rsid w:val="00F25753"/>
    <w:rsid w:val="00F2575F"/>
    <w:rsid w:val="00F25C71"/>
    <w:rsid w:val="00F26634"/>
    <w:rsid w:val="00F26879"/>
    <w:rsid w:val="00F2715C"/>
    <w:rsid w:val="00F27460"/>
    <w:rsid w:val="00F27565"/>
    <w:rsid w:val="00F27EEF"/>
    <w:rsid w:val="00F3096F"/>
    <w:rsid w:val="00F30DDF"/>
    <w:rsid w:val="00F30FC1"/>
    <w:rsid w:val="00F310D4"/>
    <w:rsid w:val="00F31D5A"/>
    <w:rsid w:val="00F31E78"/>
    <w:rsid w:val="00F31FEF"/>
    <w:rsid w:val="00F323B2"/>
    <w:rsid w:val="00F323F8"/>
    <w:rsid w:val="00F32B6F"/>
    <w:rsid w:val="00F32D2C"/>
    <w:rsid w:val="00F33975"/>
    <w:rsid w:val="00F33DE9"/>
    <w:rsid w:val="00F349E8"/>
    <w:rsid w:val="00F35131"/>
    <w:rsid w:val="00F351D8"/>
    <w:rsid w:val="00F35216"/>
    <w:rsid w:val="00F35614"/>
    <w:rsid w:val="00F35E35"/>
    <w:rsid w:val="00F35E6D"/>
    <w:rsid w:val="00F3619A"/>
    <w:rsid w:val="00F36328"/>
    <w:rsid w:val="00F370D7"/>
    <w:rsid w:val="00F37312"/>
    <w:rsid w:val="00F376E5"/>
    <w:rsid w:val="00F37766"/>
    <w:rsid w:val="00F37EAE"/>
    <w:rsid w:val="00F40649"/>
    <w:rsid w:val="00F40AAA"/>
    <w:rsid w:val="00F40BA7"/>
    <w:rsid w:val="00F40C00"/>
    <w:rsid w:val="00F40F48"/>
    <w:rsid w:val="00F40F9D"/>
    <w:rsid w:val="00F4159D"/>
    <w:rsid w:val="00F41ACD"/>
    <w:rsid w:val="00F41F38"/>
    <w:rsid w:val="00F41FE9"/>
    <w:rsid w:val="00F420EC"/>
    <w:rsid w:val="00F42E33"/>
    <w:rsid w:val="00F42F89"/>
    <w:rsid w:val="00F434D3"/>
    <w:rsid w:val="00F43CA3"/>
    <w:rsid w:val="00F43DCF"/>
    <w:rsid w:val="00F43E14"/>
    <w:rsid w:val="00F43E1F"/>
    <w:rsid w:val="00F448E7"/>
    <w:rsid w:val="00F44AA8"/>
    <w:rsid w:val="00F469E8"/>
    <w:rsid w:val="00F46B27"/>
    <w:rsid w:val="00F46CB6"/>
    <w:rsid w:val="00F46DF7"/>
    <w:rsid w:val="00F4756D"/>
    <w:rsid w:val="00F479C1"/>
    <w:rsid w:val="00F47DE8"/>
    <w:rsid w:val="00F5063D"/>
    <w:rsid w:val="00F506BD"/>
    <w:rsid w:val="00F511EA"/>
    <w:rsid w:val="00F515EE"/>
    <w:rsid w:val="00F51B49"/>
    <w:rsid w:val="00F528EC"/>
    <w:rsid w:val="00F5301B"/>
    <w:rsid w:val="00F53882"/>
    <w:rsid w:val="00F53BD2"/>
    <w:rsid w:val="00F53D97"/>
    <w:rsid w:val="00F542C1"/>
    <w:rsid w:val="00F55AA5"/>
    <w:rsid w:val="00F55E73"/>
    <w:rsid w:val="00F55EDA"/>
    <w:rsid w:val="00F56384"/>
    <w:rsid w:val="00F56565"/>
    <w:rsid w:val="00F56B42"/>
    <w:rsid w:val="00F56C80"/>
    <w:rsid w:val="00F60092"/>
    <w:rsid w:val="00F60B19"/>
    <w:rsid w:val="00F61119"/>
    <w:rsid w:val="00F6123B"/>
    <w:rsid w:val="00F61C18"/>
    <w:rsid w:val="00F61E23"/>
    <w:rsid w:val="00F62BBF"/>
    <w:rsid w:val="00F64AD2"/>
    <w:rsid w:val="00F64B9A"/>
    <w:rsid w:val="00F65448"/>
    <w:rsid w:val="00F6599D"/>
    <w:rsid w:val="00F65BA9"/>
    <w:rsid w:val="00F65F4B"/>
    <w:rsid w:val="00F6605B"/>
    <w:rsid w:val="00F67942"/>
    <w:rsid w:val="00F67A69"/>
    <w:rsid w:val="00F67EE2"/>
    <w:rsid w:val="00F70192"/>
    <w:rsid w:val="00F704C4"/>
    <w:rsid w:val="00F70BFF"/>
    <w:rsid w:val="00F70C9D"/>
    <w:rsid w:val="00F71593"/>
    <w:rsid w:val="00F71A72"/>
    <w:rsid w:val="00F71C0F"/>
    <w:rsid w:val="00F71EEC"/>
    <w:rsid w:val="00F722E9"/>
    <w:rsid w:val="00F72DA1"/>
    <w:rsid w:val="00F73598"/>
    <w:rsid w:val="00F73609"/>
    <w:rsid w:val="00F745EF"/>
    <w:rsid w:val="00F74876"/>
    <w:rsid w:val="00F74A12"/>
    <w:rsid w:val="00F74CD9"/>
    <w:rsid w:val="00F75396"/>
    <w:rsid w:val="00F76197"/>
    <w:rsid w:val="00F76D96"/>
    <w:rsid w:val="00F76D9F"/>
    <w:rsid w:val="00F80014"/>
    <w:rsid w:val="00F805B7"/>
    <w:rsid w:val="00F80A7B"/>
    <w:rsid w:val="00F80E2A"/>
    <w:rsid w:val="00F80E5D"/>
    <w:rsid w:val="00F81777"/>
    <w:rsid w:val="00F81866"/>
    <w:rsid w:val="00F81E78"/>
    <w:rsid w:val="00F82240"/>
    <w:rsid w:val="00F827DA"/>
    <w:rsid w:val="00F82BC4"/>
    <w:rsid w:val="00F82DFA"/>
    <w:rsid w:val="00F83A7A"/>
    <w:rsid w:val="00F84CE4"/>
    <w:rsid w:val="00F851CE"/>
    <w:rsid w:val="00F8547D"/>
    <w:rsid w:val="00F855E7"/>
    <w:rsid w:val="00F85D07"/>
    <w:rsid w:val="00F8675C"/>
    <w:rsid w:val="00F87457"/>
    <w:rsid w:val="00F87857"/>
    <w:rsid w:val="00F87B32"/>
    <w:rsid w:val="00F87BAC"/>
    <w:rsid w:val="00F87CA0"/>
    <w:rsid w:val="00F87E6C"/>
    <w:rsid w:val="00F90684"/>
    <w:rsid w:val="00F91219"/>
    <w:rsid w:val="00F91A7F"/>
    <w:rsid w:val="00F91AAD"/>
    <w:rsid w:val="00F91C0D"/>
    <w:rsid w:val="00F9204F"/>
    <w:rsid w:val="00F92444"/>
    <w:rsid w:val="00F9297C"/>
    <w:rsid w:val="00F9393E"/>
    <w:rsid w:val="00F93AA9"/>
    <w:rsid w:val="00F93D2A"/>
    <w:rsid w:val="00F94E46"/>
    <w:rsid w:val="00F95775"/>
    <w:rsid w:val="00F95AF4"/>
    <w:rsid w:val="00F96FD0"/>
    <w:rsid w:val="00F9785A"/>
    <w:rsid w:val="00F97A78"/>
    <w:rsid w:val="00F97FDB"/>
    <w:rsid w:val="00FA0B20"/>
    <w:rsid w:val="00FA24E7"/>
    <w:rsid w:val="00FA2A66"/>
    <w:rsid w:val="00FA2DEC"/>
    <w:rsid w:val="00FA36D5"/>
    <w:rsid w:val="00FA4089"/>
    <w:rsid w:val="00FA45E0"/>
    <w:rsid w:val="00FA4BDD"/>
    <w:rsid w:val="00FA4E6B"/>
    <w:rsid w:val="00FA5251"/>
    <w:rsid w:val="00FA52A5"/>
    <w:rsid w:val="00FA56A0"/>
    <w:rsid w:val="00FA5EE6"/>
    <w:rsid w:val="00FA75F0"/>
    <w:rsid w:val="00FA7956"/>
    <w:rsid w:val="00FB000D"/>
    <w:rsid w:val="00FB0513"/>
    <w:rsid w:val="00FB0669"/>
    <w:rsid w:val="00FB0E04"/>
    <w:rsid w:val="00FB13CE"/>
    <w:rsid w:val="00FB1425"/>
    <w:rsid w:val="00FB20B5"/>
    <w:rsid w:val="00FB2FCB"/>
    <w:rsid w:val="00FB40E8"/>
    <w:rsid w:val="00FB45A0"/>
    <w:rsid w:val="00FB479E"/>
    <w:rsid w:val="00FB48B7"/>
    <w:rsid w:val="00FB4E59"/>
    <w:rsid w:val="00FB5796"/>
    <w:rsid w:val="00FB6AC3"/>
    <w:rsid w:val="00FB6B9A"/>
    <w:rsid w:val="00FB7520"/>
    <w:rsid w:val="00FB78F5"/>
    <w:rsid w:val="00FB7C55"/>
    <w:rsid w:val="00FB7D47"/>
    <w:rsid w:val="00FB7FEA"/>
    <w:rsid w:val="00FC1074"/>
    <w:rsid w:val="00FC10F1"/>
    <w:rsid w:val="00FC15E0"/>
    <w:rsid w:val="00FC1736"/>
    <w:rsid w:val="00FC1884"/>
    <w:rsid w:val="00FC1A59"/>
    <w:rsid w:val="00FC1CC0"/>
    <w:rsid w:val="00FC279A"/>
    <w:rsid w:val="00FC371D"/>
    <w:rsid w:val="00FC3CD3"/>
    <w:rsid w:val="00FC42F2"/>
    <w:rsid w:val="00FC4D69"/>
    <w:rsid w:val="00FC5529"/>
    <w:rsid w:val="00FC5B68"/>
    <w:rsid w:val="00FC5E0A"/>
    <w:rsid w:val="00FC5F0B"/>
    <w:rsid w:val="00FC6268"/>
    <w:rsid w:val="00FC7541"/>
    <w:rsid w:val="00FC7B80"/>
    <w:rsid w:val="00FC7C5E"/>
    <w:rsid w:val="00FC7F56"/>
    <w:rsid w:val="00FCA608"/>
    <w:rsid w:val="00FD05AE"/>
    <w:rsid w:val="00FD0A30"/>
    <w:rsid w:val="00FD0DD4"/>
    <w:rsid w:val="00FD1198"/>
    <w:rsid w:val="00FD132A"/>
    <w:rsid w:val="00FD2100"/>
    <w:rsid w:val="00FD2EE0"/>
    <w:rsid w:val="00FD2F74"/>
    <w:rsid w:val="00FD31B8"/>
    <w:rsid w:val="00FD331E"/>
    <w:rsid w:val="00FD3603"/>
    <w:rsid w:val="00FD3EEF"/>
    <w:rsid w:val="00FD436C"/>
    <w:rsid w:val="00FD446D"/>
    <w:rsid w:val="00FD4F05"/>
    <w:rsid w:val="00FD4F2C"/>
    <w:rsid w:val="00FD5CF2"/>
    <w:rsid w:val="00FD6394"/>
    <w:rsid w:val="00FD6B6C"/>
    <w:rsid w:val="00FD6C94"/>
    <w:rsid w:val="00FD6CD6"/>
    <w:rsid w:val="00FD7272"/>
    <w:rsid w:val="00FD7A0D"/>
    <w:rsid w:val="00FD7CF9"/>
    <w:rsid w:val="00FE04BE"/>
    <w:rsid w:val="00FE0655"/>
    <w:rsid w:val="00FE0E6C"/>
    <w:rsid w:val="00FE1027"/>
    <w:rsid w:val="00FE1CDC"/>
    <w:rsid w:val="00FE1E8D"/>
    <w:rsid w:val="00FE1EBE"/>
    <w:rsid w:val="00FE1EEC"/>
    <w:rsid w:val="00FE21AC"/>
    <w:rsid w:val="00FE2434"/>
    <w:rsid w:val="00FE2465"/>
    <w:rsid w:val="00FE26B7"/>
    <w:rsid w:val="00FE3090"/>
    <w:rsid w:val="00FE331A"/>
    <w:rsid w:val="00FE3999"/>
    <w:rsid w:val="00FE3B14"/>
    <w:rsid w:val="00FE447C"/>
    <w:rsid w:val="00FE4810"/>
    <w:rsid w:val="00FE4A75"/>
    <w:rsid w:val="00FE5405"/>
    <w:rsid w:val="00FE54A3"/>
    <w:rsid w:val="00FE59E4"/>
    <w:rsid w:val="00FE6326"/>
    <w:rsid w:val="00FE6430"/>
    <w:rsid w:val="00FE6700"/>
    <w:rsid w:val="00FE6796"/>
    <w:rsid w:val="00FE6967"/>
    <w:rsid w:val="00FE6AD6"/>
    <w:rsid w:val="00FE6DAA"/>
    <w:rsid w:val="00FE70C3"/>
    <w:rsid w:val="00FE75A6"/>
    <w:rsid w:val="00FE7BDF"/>
    <w:rsid w:val="00FF0229"/>
    <w:rsid w:val="00FF0FC3"/>
    <w:rsid w:val="00FF1196"/>
    <w:rsid w:val="00FF12FB"/>
    <w:rsid w:val="00FF1376"/>
    <w:rsid w:val="00FF1611"/>
    <w:rsid w:val="00FF1BCC"/>
    <w:rsid w:val="00FF23B2"/>
    <w:rsid w:val="00FF2695"/>
    <w:rsid w:val="00FF27E3"/>
    <w:rsid w:val="00FF2A54"/>
    <w:rsid w:val="00FF2AD9"/>
    <w:rsid w:val="00FF2BDE"/>
    <w:rsid w:val="00FF2FFF"/>
    <w:rsid w:val="00FF32AC"/>
    <w:rsid w:val="00FF33F5"/>
    <w:rsid w:val="00FF359F"/>
    <w:rsid w:val="00FF3B76"/>
    <w:rsid w:val="00FF3DCF"/>
    <w:rsid w:val="00FF492C"/>
    <w:rsid w:val="00FF4A21"/>
    <w:rsid w:val="00FF58A8"/>
    <w:rsid w:val="00FF5AA3"/>
    <w:rsid w:val="00FF5AD8"/>
    <w:rsid w:val="00FF7C2C"/>
    <w:rsid w:val="0100F3C8"/>
    <w:rsid w:val="0108995E"/>
    <w:rsid w:val="010CA9BF"/>
    <w:rsid w:val="011C5606"/>
    <w:rsid w:val="011FADF9"/>
    <w:rsid w:val="0162B04F"/>
    <w:rsid w:val="01672864"/>
    <w:rsid w:val="0176FEF1"/>
    <w:rsid w:val="017733D7"/>
    <w:rsid w:val="018213AE"/>
    <w:rsid w:val="018A7707"/>
    <w:rsid w:val="018D610F"/>
    <w:rsid w:val="0194E061"/>
    <w:rsid w:val="01AAA060"/>
    <w:rsid w:val="01B1F209"/>
    <w:rsid w:val="01B33C1D"/>
    <w:rsid w:val="01BC62D5"/>
    <w:rsid w:val="01C1A535"/>
    <w:rsid w:val="01C753A1"/>
    <w:rsid w:val="01D0CF9E"/>
    <w:rsid w:val="01D2838D"/>
    <w:rsid w:val="01E75AFD"/>
    <w:rsid w:val="01ED2ED7"/>
    <w:rsid w:val="01EE1B1D"/>
    <w:rsid w:val="01F8111F"/>
    <w:rsid w:val="01FCAABC"/>
    <w:rsid w:val="02004CF8"/>
    <w:rsid w:val="02087035"/>
    <w:rsid w:val="021D3B83"/>
    <w:rsid w:val="0236BA63"/>
    <w:rsid w:val="0245789E"/>
    <w:rsid w:val="025A190C"/>
    <w:rsid w:val="02629F4A"/>
    <w:rsid w:val="026AADB6"/>
    <w:rsid w:val="027387BA"/>
    <w:rsid w:val="0277BC2F"/>
    <w:rsid w:val="027C27B1"/>
    <w:rsid w:val="027CD01F"/>
    <w:rsid w:val="027EDDE5"/>
    <w:rsid w:val="02806DF9"/>
    <w:rsid w:val="028578E6"/>
    <w:rsid w:val="029D13A0"/>
    <w:rsid w:val="029D5890"/>
    <w:rsid w:val="02A10A40"/>
    <w:rsid w:val="02A75278"/>
    <w:rsid w:val="02A929DC"/>
    <w:rsid w:val="02AE5AA2"/>
    <w:rsid w:val="02AF71D4"/>
    <w:rsid w:val="02B42DA5"/>
    <w:rsid w:val="02B81CFE"/>
    <w:rsid w:val="02B93477"/>
    <w:rsid w:val="02BD60C5"/>
    <w:rsid w:val="02C20961"/>
    <w:rsid w:val="02C40E24"/>
    <w:rsid w:val="02C7AA0F"/>
    <w:rsid w:val="02C82E14"/>
    <w:rsid w:val="02DC1C4A"/>
    <w:rsid w:val="02E1A0FD"/>
    <w:rsid w:val="02E7C2BB"/>
    <w:rsid w:val="02E9A89E"/>
    <w:rsid w:val="02EB73D8"/>
    <w:rsid w:val="02EF986D"/>
    <w:rsid w:val="02F92D06"/>
    <w:rsid w:val="02FAE121"/>
    <w:rsid w:val="0303F2DB"/>
    <w:rsid w:val="03177DF9"/>
    <w:rsid w:val="031EC1F8"/>
    <w:rsid w:val="032DF796"/>
    <w:rsid w:val="0332146C"/>
    <w:rsid w:val="0339548D"/>
    <w:rsid w:val="03436CD5"/>
    <w:rsid w:val="034B97B4"/>
    <w:rsid w:val="034DDBFF"/>
    <w:rsid w:val="03677001"/>
    <w:rsid w:val="036A0F67"/>
    <w:rsid w:val="037DF617"/>
    <w:rsid w:val="03924D84"/>
    <w:rsid w:val="03973C2C"/>
    <w:rsid w:val="039EDB39"/>
    <w:rsid w:val="03B7002C"/>
    <w:rsid w:val="03B8F295"/>
    <w:rsid w:val="03B927DB"/>
    <w:rsid w:val="03BB2D96"/>
    <w:rsid w:val="03C01847"/>
    <w:rsid w:val="03C04659"/>
    <w:rsid w:val="03C64FE7"/>
    <w:rsid w:val="03CC3B2F"/>
    <w:rsid w:val="03CF4769"/>
    <w:rsid w:val="03D2E022"/>
    <w:rsid w:val="03DE3747"/>
    <w:rsid w:val="03EC61B5"/>
    <w:rsid w:val="03EFF520"/>
    <w:rsid w:val="03F13B9A"/>
    <w:rsid w:val="03F20242"/>
    <w:rsid w:val="03F2871D"/>
    <w:rsid w:val="03F29C4D"/>
    <w:rsid w:val="03F61D04"/>
    <w:rsid w:val="03F6BC3D"/>
    <w:rsid w:val="03F8FBE6"/>
    <w:rsid w:val="0403AE70"/>
    <w:rsid w:val="0411DACC"/>
    <w:rsid w:val="04302964"/>
    <w:rsid w:val="0430987B"/>
    <w:rsid w:val="0437D74C"/>
    <w:rsid w:val="043F3BFC"/>
    <w:rsid w:val="0444D247"/>
    <w:rsid w:val="045598D1"/>
    <w:rsid w:val="04583D19"/>
    <w:rsid w:val="047DDEAA"/>
    <w:rsid w:val="047F0F8C"/>
    <w:rsid w:val="0485073E"/>
    <w:rsid w:val="04860E92"/>
    <w:rsid w:val="0487D32A"/>
    <w:rsid w:val="048EB77B"/>
    <w:rsid w:val="049048D4"/>
    <w:rsid w:val="0497D4AA"/>
    <w:rsid w:val="049E0805"/>
    <w:rsid w:val="04A69FF6"/>
    <w:rsid w:val="04B26EE1"/>
    <w:rsid w:val="04B56ED1"/>
    <w:rsid w:val="04B5FC3B"/>
    <w:rsid w:val="04B98F84"/>
    <w:rsid w:val="04BCE82A"/>
    <w:rsid w:val="04C0F658"/>
    <w:rsid w:val="04C8AD7D"/>
    <w:rsid w:val="04C9EDB6"/>
    <w:rsid w:val="04DF16E3"/>
    <w:rsid w:val="04ECD38A"/>
    <w:rsid w:val="04F33204"/>
    <w:rsid w:val="04FA8290"/>
    <w:rsid w:val="05022DBC"/>
    <w:rsid w:val="0507DBB9"/>
    <w:rsid w:val="051516A8"/>
    <w:rsid w:val="05277849"/>
    <w:rsid w:val="05289107"/>
    <w:rsid w:val="053FB489"/>
    <w:rsid w:val="05437BD8"/>
    <w:rsid w:val="0548FF23"/>
    <w:rsid w:val="055A091D"/>
    <w:rsid w:val="055A87E2"/>
    <w:rsid w:val="055E36C4"/>
    <w:rsid w:val="05653046"/>
    <w:rsid w:val="056BC708"/>
    <w:rsid w:val="0577903C"/>
    <w:rsid w:val="05785B7E"/>
    <w:rsid w:val="057DA0E3"/>
    <w:rsid w:val="05869B7D"/>
    <w:rsid w:val="058E6FCF"/>
    <w:rsid w:val="0597D343"/>
    <w:rsid w:val="059BDEFA"/>
    <w:rsid w:val="059E3F62"/>
    <w:rsid w:val="059E54CB"/>
    <w:rsid w:val="059F6463"/>
    <w:rsid w:val="05AD2670"/>
    <w:rsid w:val="05B22321"/>
    <w:rsid w:val="05C6CFA1"/>
    <w:rsid w:val="05D1566E"/>
    <w:rsid w:val="05D9CA03"/>
    <w:rsid w:val="05DCA794"/>
    <w:rsid w:val="05DDC651"/>
    <w:rsid w:val="05DFCC38"/>
    <w:rsid w:val="05E88D22"/>
    <w:rsid w:val="05ED488F"/>
    <w:rsid w:val="05EED33C"/>
    <w:rsid w:val="05F33102"/>
    <w:rsid w:val="060A9102"/>
    <w:rsid w:val="060FB06E"/>
    <w:rsid w:val="0628444A"/>
    <w:rsid w:val="062B4BDB"/>
    <w:rsid w:val="06315911"/>
    <w:rsid w:val="0649D41E"/>
    <w:rsid w:val="064AD1CC"/>
    <w:rsid w:val="064FEB6F"/>
    <w:rsid w:val="06544063"/>
    <w:rsid w:val="065BBFA3"/>
    <w:rsid w:val="065FC5A8"/>
    <w:rsid w:val="06649499"/>
    <w:rsid w:val="066567EB"/>
    <w:rsid w:val="066FA4F6"/>
    <w:rsid w:val="0675BE71"/>
    <w:rsid w:val="0678CB9F"/>
    <w:rsid w:val="067A5A64"/>
    <w:rsid w:val="0699B36B"/>
    <w:rsid w:val="069A1CF5"/>
    <w:rsid w:val="06A7EB2D"/>
    <w:rsid w:val="06B0BF44"/>
    <w:rsid w:val="06BA73C6"/>
    <w:rsid w:val="06C08132"/>
    <w:rsid w:val="06CAB914"/>
    <w:rsid w:val="06D6F7F8"/>
    <w:rsid w:val="06DC8741"/>
    <w:rsid w:val="06E61598"/>
    <w:rsid w:val="06E994E8"/>
    <w:rsid w:val="06EE6025"/>
    <w:rsid w:val="070B23AD"/>
    <w:rsid w:val="070CE6CD"/>
    <w:rsid w:val="071F99A7"/>
    <w:rsid w:val="0722AAF8"/>
    <w:rsid w:val="07314C0A"/>
    <w:rsid w:val="0735230C"/>
    <w:rsid w:val="0735904F"/>
    <w:rsid w:val="07360D52"/>
    <w:rsid w:val="07364154"/>
    <w:rsid w:val="07370629"/>
    <w:rsid w:val="07370C98"/>
    <w:rsid w:val="073A0624"/>
    <w:rsid w:val="074B4B2B"/>
    <w:rsid w:val="07510E8D"/>
    <w:rsid w:val="0769AA4D"/>
    <w:rsid w:val="076F3288"/>
    <w:rsid w:val="077E5291"/>
    <w:rsid w:val="07843035"/>
    <w:rsid w:val="078A63E9"/>
    <w:rsid w:val="078B62DB"/>
    <w:rsid w:val="0794EDAB"/>
    <w:rsid w:val="0795F93D"/>
    <w:rsid w:val="07A88598"/>
    <w:rsid w:val="07B539D1"/>
    <w:rsid w:val="07B86994"/>
    <w:rsid w:val="07BC2529"/>
    <w:rsid w:val="07C06341"/>
    <w:rsid w:val="07CCEAAF"/>
    <w:rsid w:val="07DB88C8"/>
    <w:rsid w:val="07E4B484"/>
    <w:rsid w:val="07E629BF"/>
    <w:rsid w:val="07F027A1"/>
    <w:rsid w:val="07F1B146"/>
    <w:rsid w:val="07F67692"/>
    <w:rsid w:val="080127E6"/>
    <w:rsid w:val="0808B996"/>
    <w:rsid w:val="080C2B42"/>
    <w:rsid w:val="081858E5"/>
    <w:rsid w:val="082A5444"/>
    <w:rsid w:val="082A689D"/>
    <w:rsid w:val="0833865F"/>
    <w:rsid w:val="0841EB2B"/>
    <w:rsid w:val="0844E703"/>
    <w:rsid w:val="084CDCD1"/>
    <w:rsid w:val="0860A3C8"/>
    <w:rsid w:val="0862268D"/>
    <w:rsid w:val="0874DF82"/>
    <w:rsid w:val="08845A6E"/>
    <w:rsid w:val="0889B7E6"/>
    <w:rsid w:val="088D08ED"/>
    <w:rsid w:val="0892E26E"/>
    <w:rsid w:val="08933D89"/>
    <w:rsid w:val="089D17A7"/>
    <w:rsid w:val="089F31F3"/>
    <w:rsid w:val="08A16625"/>
    <w:rsid w:val="08A21F84"/>
    <w:rsid w:val="08A9EAAB"/>
    <w:rsid w:val="08C0615D"/>
    <w:rsid w:val="08CF8726"/>
    <w:rsid w:val="08F3811E"/>
    <w:rsid w:val="0905285B"/>
    <w:rsid w:val="0910317C"/>
    <w:rsid w:val="09162A3B"/>
    <w:rsid w:val="091B3F94"/>
    <w:rsid w:val="092207A2"/>
    <w:rsid w:val="09234359"/>
    <w:rsid w:val="0926B59B"/>
    <w:rsid w:val="092F503C"/>
    <w:rsid w:val="0933E7A3"/>
    <w:rsid w:val="093C1FC5"/>
    <w:rsid w:val="0944E954"/>
    <w:rsid w:val="0968F2E0"/>
    <w:rsid w:val="0974722C"/>
    <w:rsid w:val="097C45E7"/>
    <w:rsid w:val="098E0700"/>
    <w:rsid w:val="0996F731"/>
    <w:rsid w:val="099C45AA"/>
    <w:rsid w:val="09A48F28"/>
    <w:rsid w:val="09A5EA42"/>
    <w:rsid w:val="09AD6105"/>
    <w:rsid w:val="09AE4C5D"/>
    <w:rsid w:val="09B08C14"/>
    <w:rsid w:val="09B316FC"/>
    <w:rsid w:val="09C8473D"/>
    <w:rsid w:val="09CB4CD1"/>
    <w:rsid w:val="09CEA4C0"/>
    <w:rsid w:val="09E3CC7F"/>
    <w:rsid w:val="09EBA8F5"/>
    <w:rsid w:val="09ED596B"/>
    <w:rsid w:val="09F2F83B"/>
    <w:rsid w:val="09F3336F"/>
    <w:rsid w:val="09F3F119"/>
    <w:rsid w:val="09FC626B"/>
    <w:rsid w:val="0A022607"/>
    <w:rsid w:val="0A0B86F7"/>
    <w:rsid w:val="0A0D0DCC"/>
    <w:rsid w:val="0A247AF5"/>
    <w:rsid w:val="0A25899C"/>
    <w:rsid w:val="0A2B3D6C"/>
    <w:rsid w:val="0A3F2849"/>
    <w:rsid w:val="0A4D17C5"/>
    <w:rsid w:val="0A5832C0"/>
    <w:rsid w:val="0A66C67C"/>
    <w:rsid w:val="0A673076"/>
    <w:rsid w:val="0A89DCC3"/>
    <w:rsid w:val="0A8B32F1"/>
    <w:rsid w:val="0AA10CE0"/>
    <w:rsid w:val="0AA2175A"/>
    <w:rsid w:val="0AA9FBA4"/>
    <w:rsid w:val="0AD2187F"/>
    <w:rsid w:val="0AE9C93C"/>
    <w:rsid w:val="0AED9746"/>
    <w:rsid w:val="0B02C529"/>
    <w:rsid w:val="0B078963"/>
    <w:rsid w:val="0B12E17B"/>
    <w:rsid w:val="0B158A8C"/>
    <w:rsid w:val="0B1DBFE9"/>
    <w:rsid w:val="0B2D7EE3"/>
    <w:rsid w:val="0B37D9C2"/>
    <w:rsid w:val="0B3CB7EE"/>
    <w:rsid w:val="0B4385EE"/>
    <w:rsid w:val="0B47383B"/>
    <w:rsid w:val="0B4ECB59"/>
    <w:rsid w:val="0B4F3F85"/>
    <w:rsid w:val="0B502E72"/>
    <w:rsid w:val="0B5986EB"/>
    <w:rsid w:val="0B5A4510"/>
    <w:rsid w:val="0B5C1A29"/>
    <w:rsid w:val="0B5F15C8"/>
    <w:rsid w:val="0B6569D9"/>
    <w:rsid w:val="0B669E75"/>
    <w:rsid w:val="0B66CB04"/>
    <w:rsid w:val="0B6D960A"/>
    <w:rsid w:val="0B84D60B"/>
    <w:rsid w:val="0B879469"/>
    <w:rsid w:val="0B88AF7C"/>
    <w:rsid w:val="0B8A2B59"/>
    <w:rsid w:val="0B9BD6C4"/>
    <w:rsid w:val="0BB820C6"/>
    <w:rsid w:val="0BC029E1"/>
    <w:rsid w:val="0BC093CD"/>
    <w:rsid w:val="0BC2C455"/>
    <w:rsid w:val="0BDD7049"/>
    <w:rsid w:val="0BE7CFD3"/>
    <w:rsid w:val="0BE9357C"/>
    <w:rsid w:val="0BEADD23"/>
    <w:rsid w:val="0BED9ECE"/>
    <w:rsid w:val="0C011153"/>
    <w:rsid w:val="0C02A35E"/>
    <w:rsid w:val="0C0BC5F6"/>
    <w:rsid w:val="0C1207AD"/>
    <w:rsid w:val="0C13506C"/>
    <w:rsid w:val="0C2301F7"/>
    <w:rsid w:val="0C251C40"/>
    <w:rsid w:val="0C25BA33"/>
    <w:rsid w:val="0C26DE24"/>
    <w:rsid w:val="0C27867B"/>
    <w:rsid w:val="0C2F93E1"/>
    <w:rsid w:val="0C4216CB"/>
    <w:rsid w:val="0C42A73F"/>
    <w:rsid w:val="0C467F9D"/>
    <w:rsid w:val="0C46A1DF"/>
    <w:rsid w:val="0C4FC1B0"/>
    <w:rsid w:val="0C589B00"/>
    <w:rsid w:val="0C59F57B"/>
    <w:rsid w:val="0C5A28EB"/>
    <w:rsid w:val="0C608B7E"/>
    <w:rsid w:val="0C63ED45"/>
    <w:rsid w:val="0C6E4C18"/>
    <w:rsid w:val="0C6F5E86"/>
    <w:rsid w:val="0C7F9D90"/>
    <w:rsid w:val="0CA2058B"/>
    <w:rsid w:val="0CAF7276"/>
    <w:rsid w:val="0CBAD2C2"/>
    <w:rsid w:val="0CBFECD2"/>
    <w:rsid w:val="0CC12FE8"/>
    <w:rsid w:val="0CCC9F08"/>
    <w:rsid w:val="0CD21A01"/>
    <w:rsid w:val="0CD6D47E"/>
    <w:rsid w:val="0CE972A5"/>
    <w:rsid w:val="0CEA0CAE"/>
    <w:rsid w:val="0CF4EB90"/>
    <w:rsid w:val="0CF82FBB"/>
    <w:rsid w:val="0D052FCE"/>
    <w:rsid w:val="0D19A071"/>
    <w:rsid w:val="0D1E5DAB"/>
    <w:rsid w:val="0D23F648"/>
    <w:rsid w:val="0D3B914D"/>
    <w:rsid w:val="0D4F9260"/>
    <w:rsid w:val="0D5B1898"/>
    <w:rsid w:val="0D5C0DE2"/>
    <w:rsid w:val="0D5D390F"/>
    <w:rsid w:val="0D75BE37"/>
    <w:rsid w:val="0D8DF222"/>
    <w:rsid w:val="0D90B28F"/>
    <w:rsid w:val="0D965CE4"/>
    <w:rsid w:val="0D97F0F1"/>
    <w:rsid w:val="0DA0CBF8"/>
    <w:rsid w:val="0DA80F2C"/>
    <w:rsid w:val="0DAFE543"/>
    <w:rsid w:val="0DBF5AF6"/>
    <w:rsid w:val="0DC77EE1"/>
    <w:rsid w:val="0DCCE4F3"/>
    <w:rsid w:val="0DE996EC"/>
    <w:rsid w:val="0DEC9421"/>
    <w:rsid w:val="0DED20A3"/>
    <w:rsid w:val="0DEF9F40"/>
    <w:rsid w:val="0DF062EB"/>
    <w:rsid w:val="0E005AA8"/>
    <w:rsid w:val="0E0EE345"/>
    <w:rsid w:val="0E170019"/>
    <w:rsid w:val="0E26BD84"/>
    <w:rsid w:val="0E2C20E2"/>
    <w:rsid w:val="0E347572"/>
    <w:rsid w:val="0E3B92A5"/>
    <w:rsid w:val="0E3BFAE5"/>
    <w:rsid w:val="0E42CA85"/>
    <w:rsid w:val="0E5215CD"/>
    <w:rsid w:val="0E66D4F8"/>
    <w:rsid w:val="0E773FF9"/>
    <w:rsid w:val="0E8483C6"/>
    <w:rsid w:val="0E8A1CEF"/>
    <w:rsid w:val="0E8FF8BD"/>
    <w:rsid w:val="0E9386FD"/>
    <w:rsid w:val="0E94279D"/>
    <w:rsid w:val="0E9697A4"/>
    <w:rsid w:val="0E9F2C1E"/>
    <w:rsid w:val="0EB79C35"/>
    <w:rsid w:val="0EC6AF19"/>
    <w:rsid w:val="0EC8F6DF"/>
    <w:rsid w:val="0ED28F3B"/>
    <w:rsid w:val="0EDDFE1D"/>
    <w:rsid w:val="0EE45D76"/>
    <w:rsid w:val="0EE56135"/>
    <w:rsid w:val="0EE5F86A"/>
    <w:rsid w:val="0EF40102"/>
    <w:rsid w:val="0EF89819"/>
    <w:rsid w:val="0EFACD87"/>
    <w:rsid w:val="0EFDF248"/>
    <w:rsid w:val="0EFE6159"/>
    <w:rsid w:val="0F013E98"/>
    <w:rsid w:val="0F05062D"/>
    <w:rsid w:val="0F0B1D2A"/>
    <w:rsid w:val="0F0B55C8"/>
    <w:rsid w:val="0F0CCF11"/>
    <w:rsid w:val="0F212B12"/>
    <w:rsid w:val="0F254EDF"/>
    <w:rsid w:val="0F320C32"/>
    <w:rsid w:val="0F492E36"/>
    <w:rsid w:val="0F4DE508"/>
    <w:rsid w:val="0F5372B7"/>
    <w:rsid w:val="0F57C61C"/>
    <w:rsid w:val="0F5BBF3B"/>
    <w:rsid w:val="0F734611"/>
    <w:rsid w:val="0F74F8D5"/>
    <w:rsid w:val="0F7A161A"/>
    <w:rsid w:val="0F8A48D6"/>
    <w:rsid w:val="0F8D086D"/>
    <w:rsid w:val="0F8DAA53"/>
    <w:rsid w:val="0F8DF813"/>
    <w:rsid w:val="0FABEAB5"/>
    <w:rsid w:val="0FAFBD13"/>
    <w:rsid w:val="0FBE6239"/>
    <w:rsid w:val="0FC0F721"/>
    <w:rsid w:val="0FC298AB"/>
    <w:rsid w:val="0FC3BA71"/>
    <w:rsid w:val="0FCC72DF"/>
    <w:rsid w:val="0FD1DE97"/>
    <w:rsid w:val="0FDBA3AB"/>
    <w:rsid w:val="0FE92F0F"/>
    <w:rsid w:val="0FEA572B"/>
    <w:rsid w:val="0FF02D8A"/>
    <w:rsid w:val="0FF49DD0"/>
    <w:rsid w:val="0FFD48B4"/>
    <w:rsid w:val="10057315"/>
    <w:rsid w:val="10098CBE"/>
    <w:rsid w:val="100B1331"/>
    <w:rsid w:val="100B82E0"/>
    <w:rsid w:val="10137C4F"/>
    <w:rsid w:val="1016D659"/>
    <w:rsid w:val="1029F6E4"/>
    <w:rsid w:val="102CF2E5"/>
    <w:rsid w:val="102DFE48"/>
    <w:rsid w:val="103E087E"/>
    <w:rsid w:val="10440487"/>
    <w:rsid w:val="10460977"/>
    <w:rsid w:val="104AA243"/>
    <w:rsid w:val="106BF921"/>
    <w:rsid w:val="106EE75C"/>
    <w:rsid w:val="107295AA"/>
    <w:rsid w:val="1073BC79"/>
    <w:rsid w:val="107F50AC"/>
    <w:rsid w:val="108811CF"/>
    <w:rsid w:val="10A5E7B8"/>
    <w:rsid w:val="10B3A375"/>
    <w:rsid w:val="10B4A0EC"/>
    <w:rsid w:val="10B72A1B"/>
    <w:rsid w:val="10BAEF78"/>
    <w:rsid w:val="10BECCCB"/>
    <w:rsid w:val="10BFF344"/>
    <w:rsid w:val="10C16D5B"/>
    <w:rsid w:val="10CA448B"/>
    <w:rsid w:val="10CE2F02"/>
    <w:rsid w:val="10CE645D"/>
    <w:rsid w:val="10E309BD"/>
    <w:rsid w:val="10E32685"/>
    <w:rsid w:val="10E9DCA7"/>
    <w:rsid w:val="10EBC06F"/>
    <w:rsid w:val="10EDB3A2"/>
    <w:rsid w:val="10F048B5"/>
    <w:rsid w:val="10F7B200"/>
    <w:rsid w:val="1103FA23"/>
    <w:rsid w:val="11189A16"/>
    <w:rsid w:val="1118DDAA"/>
    <w:rsid w:val="111B4004"/>
    <w:rsid w:val="11209BA7"/>
    <w:rsid w:val="11433828"/>
    <w:rsid w:val="11464F8F"/>
    <w:rsid w:val="114848D1"/>
    <w:rsid w:val="11563C86"/>
    <w:rsid w:val="11613157"/>
    <w:rsid w:val="11657EDC"/>
    <w:rsid w:val="116D06C0"/>
    <w:rsid w:val="117308BE"/>
    <w:rsid w:val="1176084F"/>
    <w:rsid w:val="1182F4A5"/>
    <w:rsid w:val="1196238D"/>
    <w:rsid w:val="119711A4"/>
    <w:rsid w:val="119F0E5F"/>
    <w:rsid w:val="11A637C0"/>
    <w:rsid w:val="11A7E0AC"/>
    <w:rsid w:val="11B5D7AF"/>
    <w:rsid w:val="11B7610D"/>
    <w:rsid w:val="11C87295"/>
    <w:rsid w:val="11CF5D13"/>
    <w:rsid w:val="11CFBE80"/>
    <w:rsid w:val="11D07DDF"/>
    <w:rsid w:val="11D0C6B7"/>
    <w:rsid w:val="11D79757"/>
    <w:rsid w:val="11E1A3CC"/>
    <w:rsid w:val="11EA79BB"/>
    <w:rsid w:val="11F11C6E"/>
    <w:rsid w:val="1206CEAF"/>
    <w:rsid w:val="1221A5C8"/>
    <w:rsid w:val="122F21F9"/>
    <w:rsid w:val="12364470"/>
    <w:rsid w:val="12515E12"/>
    <w:rsid w:val="1252301A"/>
    <w:rsid w:val="12558660"/>
    <w:rsid w:val="12594BE1"/>
    <w:rsid w:val="125DCF75"/>
    <w:rsid w:val="1260213F"/>
    <w:rsid w:val="1260728E"/>
    <w:rsid w:val="126BAB2D"/>
    <w:rsid w:val="127F8D48"/>
    <w:rsid w:val="12803531"/>
    <w:rsid w:val="12975D82"/>
    <w:rsid w:val="129D19C3"/>
    <w:rsid w:val="129F8225"/>
    <w:rsid w:val="12A8A3E4"/>
    <w:rsid w:val="12ABE15C"/>
    <w:rsid w:val="12B2FBA4"/>
    <w:rsid w:val="12B4C7CC"/>
    <w:rsid w:val="12B501EF"/>
    <w:rsid w:val="12BFA25D"/>
    <w:rsid w:val="12D3D28C"/>
    <w:rsid w:val="12D7D036"/>
    <w:rsid w:val="12D7DBE7"/>
    <w:rsid w:val="12DD8908"/>
    <w:rsid w:val="12F5B597"/>
    <w:rsid w:val="12FC92CF"/>
    <w:rsid w:val="130576C0"/>
    <w:rsid w:val="130F09BB"/>
    <w:rsid w:val="131550D1"/>
    <w:rsid w:val="13223C21"/>
    <w:rsid w:val="132E4851"/>
    <w:rsid w:val="13326DF2"/>
    <w:rsid w:val="1341FEEA"/>
    <w:rsid w:val="134B9FF3"/>
    <w:rsid w:val="135A5351"/>
    <w:rsid w:val="135EF9F2"/>
    <w:rsid w:val="13637A5F"/>
    <w:rsid w:val="136C1C14"/>
    <w:rsid w:val="13882D3B"/>
    <w:rsid w:val="138FC638"/>
    <w:rsid w:val="13931D3E"/>
    <w:rsid w:val="1393E3FF"/>
    <w:rsid w:val="13A43DF0"/>
    <w:rsid w:val="13AABEAF"/>
    <w:rsid w:val="13BA8082"/>
    <w:rsid w:val="13C30199"/>
    <w:rsid w:val="13C91DFC"/>
    <w:rsid w:val="13D0CBC5"/>
    <w:rsid w:val="13D3240A"/>
    <w:rsid w:val="13D41591"/>
    <w:rsid w:val="13E80B59"/>
    <w:rsid w:val="140E01BC"/>
    <w:rsid w:val="141AA0C7"/>
    <w:rsid w:val="141CDE28"/>
    <w:rsid w:val="1438F98F"/>
    <w:rsid w:val="1445D535"/>
    <w:rsid w:val="144696FE"/>
    <w:rsid w:val="144DFA60"/>
    <w:rsid w:val="144E810F"/>
    <w:rsid w:val="1454B4AB"/>
    <w:rsid w:val="1456F4D9"/>
    <w:rsid w:val="145CF0C6"/>
    <w:rsid w:val="147293B6"/>
    <w:rsid w:val="14905233"/>
    <w:rsid w:val="1495975D"/>
    <w:rsid w:val="14A82462"/>
    <w:rsid w:val="14AABB19"/>
    <w:rsid w:val="14B7D13F"/>
    <w:rsid w:val="14BBA513"/>
    <w:rsid w:val="14BEB487"/>
    <w:rsid w:val="14BFA28B"/>
    <w:rsid w:val="14C47E12"/>
    <w:rsid w:val="14C7008E"/>
    <w:rsid w:val="14D41EC1"/>
    <w:rsid w:val="14D638CE"/>
    <w:rsid w:val="14D6D783"/>
    <w:rsid w:val="14D9419D"/>
    <w:rsid w:val="14DB8AC8"/>
    <w:rsid w:val="14E7348D"/>
    <w:rsid w:val="14E73FDB"/>
    <w:rsid w:val="14E7BFA6"/>
    <w:rsid w:val="14EB1A91"/>
    <w:rsid w:val="14F0B0B2"/>
    <w:rsid w:val="14F3CAC0"/>
    <w:rsid w:val="14F4F3C9"/>
    <w:rsid w:val="1513E479"/>
    <w:rsid w:val="151C372C"/>
    <w:rsid w:val="151DA4A8"/>
    <w:rsid w:val="1523AE14"/>
    <w:rsid w:val="1529289B"/>
    <w:rsid w:val="153B52F4"/>
    <w:rsid w:val="153EA3E2"/>
    <w:rsid w:val="1548F5AB"/>
    <w:rsid w:val="154EFC77"/>
    <w:rsid w:val="15514EB9"/>
    <w:rsid w:val="1555874C"/>
    <w:rsid w:val="1556F7F6"/>
    <w:rsid w:val="15603630"/>
    <w:rsid w:val="1567E161"/>
    <w:rsid w:val="15687A55"/>
    <w:rsid w:val="156E667F"/>
    <w:rsid w:val="1571EC2C"/>
    <w:rsid w:val="1578F47C"/>
    <w:rsid w:val="1584045E"/>
    <w:rsid w:val="158720FC"/>
    <w:rsid w:val="1589BE08"/>
    <w:rsid w:val="15943241"/>
    <w:rsid w:val="15A17F8E"/>
    <w:rsid w:val="15B347F7"/>
    <w:rsid w:val="15B68D18"/>
    <w:rsid w:val="15C1EF49"/>
    <w:rsid w:val="15D290C6"/>
    <w:rsid w:val="15D3AEB4"/>
    <w:rsid w:val="15D6D142"/>
    <w:rsid w:val="15EFF97A"/>
    <w:rsid w:val="15FE3099"/>
    <w:rsid w:val="1600033E"/>
    <w:rsid w:val="160C5EF6"/>
    <w:rsid w:val="161830C9"/>
    <w:rsid w:val="1619D65F"/>
    <w:rsid w:val="161AB8F8"/>
    <w:rsid w:val="161CBDEA"/>
    <w:rsid w:val="161DB148"/>
    <w:rsid w:val="16289200"/>
    <w:rsid w:val="163FF8B4"/>
    <w:rsid w:val="164C55E5"/>
    <w:rsid w:val="1652DD4D"/>
    <w:rsid w:val="166036E0"/>
    <w:rsid w:val="16632C38"/>
    <w:rsid w:val="167D54A5"/>
    <w:rsid w:val="167FEEFF"/>
    <w:rsid w:val="168182A2"/>
    <w:rsid w:val="168C7912"/>
    <w:rsid w:val="169269A4"/>
    <w:rsid w:val="169E1838"/>
    <w:rsid w:val="16A23B46"/>
    <w:rsid w:val="16A41DE6"/>
    <w:rsid w:val="16A83A12"/>
    <w:rsid w:val="16AF42AF"/>
    <w:rsid w:val="16CB24D7"/>
    <w:rsid w:val="16D28875"/>
    <w:rsid w:val="16D81E96"/>
    <w:rsid w:val="16DC3C46"/>
    <w:rsid w:val="16EBDDDA"/>
    <w:rsid w:val="16EEAB23"/>
    <w:rsid w:val="16EF0339"/>
    <w:rsid w:val="170F78D0"/>
    <w:rsid w:val="1714BE26"/>
    <w:rsid w:val="1714E82A"/>
    <w:rsid w:val="171A057E"/>
    <w:rsid w:val="171F9BAB"/>
    <w:rsid w:val="1733763B"/>
    <w:rsid w:val="1737675E"/>
    <w:rsid w:val="17388B9C"/>
    <w:rsid w:val="1750C80D"/>
    <w:rsid w:val="17528BEB"/>
    <w:rsid w:val="175C1D53"/>
    <w:rsid w:val="175C50B8"/>
    <w:rsid w:val="176CEF5F"/>
    <w:rsid w:val="177A1DF4"/>
    <w:rsid w:val="178E9E2D"/>
    <w:rsid w:val="179234A3"/>
    <w:rsid w:val="17A4D509"/>
    <w:rsid w:val="17B2302A"/>
    <w:rsid w:val="17B52C97"/>
    <w:rsid w:val="17B9441B"/>
    <w:rsid w:val="17BD36B9"/>
    <w:rsid w:val="17C15ABD"/>
    <w:rsid w:val="17C35BDA"/>
    <w:rsid w:val="17C8D08F"/>
    <w:rsid w:val="17CA92CB"/>
    <w:rsid w:val="17CD6F26"/>
    <w:rsid w:val="17D7B060"/>
    <w:rsid w:val="17DDB30C"/>
    <w:rsid w:val="17F47482"/>
    <w:rsid w:val="18036F4C"/>
    <w:rsid w:val="18037FED"/>
    <w:rsid w:val="180B7A86"/>
    <w:rsid w:val="18100667"/>
    <w:rsid w:val="1812CC12"/>
    <w:rsid w:val="1819736B"/>
    <w:rsid w:val="182B8DD4"/>
    <w:rsid w:val="1833C1BE"/>
    <w:rsid w:val="183F1C77"/>
    <w:rsid w:val="1841DB00"/>
    <w:rsid w:val="184DB26F"/>
    <w:rsid w:val="1850EF4C"/>
    <w:rsid w:val="1853784D"/>
    <w:rsid w:val="1860133A"/>
    <w:rsid w:val="18621318"/>
    <w:rsid w:val="18889FFC"/>
    <w:rsid w:val="18934582"/>
    <w:rsid w:val="18941822"/>
    <w:rsid w:val="18A43B01"/>
    <w:rsid w:val="18A8598E"/>
    <w:rsid w:val="18BC8AC9"/>
    <w:rsid w:val="18C0CD90"/>
    <w:rsid w:val="18C5C3B6"/>
    <w:rsid w:val="18CB24AA"/>
    <w:rsid w:val="18CD10F9"/>
    <w:rsid w:val="18D01459"/>
    <w:rsid w:val="18D53FEF"/>
    <w:rsid w:val="18D83613"/>
    <w:rsid w:val="18D8AB17"/>
    <w:rsid w:val="18D8C0BF"/>
    <w:rsid w:val="18DD5702"/>
    <w:rsid w:val="18E0717E"/>
    <w:rsid w:val="18E534A9"/>
    <w:rsid w:val="18E6D468"/>
    <w:rsid w:val="18EF2249"/>
    <w:rsid w:val="18F7047C"/>
    <w:rsid w:val="1906A156"/>
    <w:rsid w:val="190AF03E"/>
    <w:rsid w:val="190C99D4"/>
    <w:rsid w:val="190CC545"/>
    <w:rsid w:val="193019C9"/>
    <w:rsid w:val="194167AA"/>
    <w:rsid w:val="194A025E"/>
    <w:rsid w:val="194A3E82"/>
    <w:rsid w:val="194E46AD"/>
    <w:rsid w:val="195A87E9"/>
    <w:rsid w:val="196D7A55"/>
    <w:rsid w:val="19721F6B"/>
    <w:rsid w:val="1974EC0E"/>
    <w:rsid w:val="19795B1F"/>
    <w:rsid w:val="197F9C55"/>
    <w:rsid w:val="1981FE69"/>
    <w:rsid w:val="1983FBB2"/>
    <w:rsid w:val="1984DD10"/>
    <w:rsid w:val="1997D7A2"/>
    <w:rsid w:val="19AEE327"/>
    <w:rsid w:val="19B66947"/>
    <w:rsid w:val="19C32F77"/>
    <w:rsid w:val="19C42AA2"/>
    <w:rsid w:val="19C83EA7"/>
    <w:rsid w:val="19CDE4D4"/>
    <w:rsid w:val="19D899D4"/>
    <w:rsid w:val="19D8B7E8"/>
    <w:rsid w:val="19DF5053"/>
    <w:rsid w:val="19EE490A"/>
    <w:rsid w:val="19F8E9BC"/>
    <w:rsid w:val="19FDE09F"/>
    <w:rsid w:val="1A1514A2"/>
    <w:rsid w:val="1A1881A5"/>
    <w:rsid w:val="1A1B98B6"/>
    <w:rsid w:val="1A1D9C2F"/>
    <w:rsid w:val="1A21400C"/>
    <w:rsid w:val="1A239F5F"/>
    <w:rsid w:val="1A2A794D"/>
    <w:rsid w:val="1A2AFBB3"/>
    <w:rsid w:val="1A2F17BF"/>
    <w:rsid w:val="1A342770"/>
    <w:rsid w:val="1A471992"/>
    <w:rsid w:val="1A5239A8"/>
    <w:rsid w:val="1A54C042"/>
    <w:rsid w:val="1A5502C4"/>
    <w:rsid w:val="1A573533"/>
    <w:rsid w:val="1A59E3CC"/>
    <w:rsid w:val="1A740674"/>
    <w:rsid w:val="1A8C0323"/>
    <w:rsid w:val="1A948DAD"/>
    <w:rsid w:val="1A97C273"/>
    <w:rsid w:val="1A990A9F"/>
    <w:rsid w:val="1AA0B772"/>
    <w:rsid w:val="1AA87476"/>
    <w:rsid w:val="1AAC7CAC"/>
    <w:rsid w:val="1AAE535E"/>
    <w:rsid w:val="1AB5E203"/>
    <w:rsid w:val="1AB879D3"/>
    <w:rsid w:val="1ABA10E3"/>
    <w:rsid w:val="1ACAC868"/>
    <w:rsid w:val="1AD30D45"/>
    <w:rsid w:val="1AD52CD7"/>
    <w:rsid w:val="1AD8FC21"/>
    <w:rsid w:val="1AF6217D"/>
    <w:rsid w:val="1AF93835"/>
    <w:rsid w:val="1B01A808"/>
    <w:rsid w:val="1B1B7A0C"/>
    <w:rsid w:val="1B1E5193"/>
    <w:rsid w:val="1B27BF69"/>
    <w:rsid w:val="1B29384C"/>
    <w:rsid w:val="1B3250F3"/>
    <w:rsid w:val="1B391557"/>
    <w:rsid w:val="1B41E31C"/>
    <w:rsid w:val="1B46BAA4"/>
    <w:rsid w:val="1B49B5A5"/>
    <w:rsid w:val="1B5B8636"/>
    <w:rsid w:val="1B5DDBB4"/>
    <w:rsid w:val="1B6A032B"/>
    <w:rsid w:val="1B6B588A"/>
    <w:rsid w:val="1B72D02A"/>
    <w:rsid w:val="1B7E62C9"/>
    <w:rsid w:val="1B8D2A47"/>
    <w:rsid w:val="1B909336"/>
    <w:rsid w:val="1B953130"/>
    <w:rsid w:val="1B9B744D"/>
    <w:rsid w:val="1B9BF386"/>
    <w:rsid w:val="1BAAF39D"/>
    <w:rsid w:val="1BB27B81"/>
    <w:rsid w:val="1BB99909"/>
    <w:rsid w:val="1BBA09C9"/>
    <w:rsid w:val="1BBF9E9E"/>
    <w:rsid w:val="1BC3BDF5"/>
    <w:rsid w:val="1BC7B84F"/>
    <w:rsid w:val="1BD32BC2"/>
    <w:rsid w:val="1BD589AB"/>
    <w:rsid w:val="1BD8D48B"/>
    <w:rsid w:val="1BE25B25"/>
    <w:rsid w:val="1BE7D3AA"/>
    <w:rsid w:val="1BE98BB7"/>
    <w:rsid w:val="1BF1A231"/>
    <w:rsid w:val="1BF2583A"/>
    <w:rsid w:val="1BFB79DD"/>
    <w:rsid w:val="1BFDD6F7"/>
    <w:rsid w:val="1C07DEEF"/>
    <w:rsid w:val="1C08B66E"/>
    <w:rsid w:val="1C0D4980"/>
    <w:rsid w:val="1C106181"/>
    <w:rsid w:val="1C209863"/>
    <w:rsid w:val="1C2B481D"/>
    <w:rsid w:val="1C4504BE"/>
    <w:rsid w:val="1C5AEE91"/>
    <w:rsid w:val="1C6F60B0"/>
    <w:rsid w:val="1C71FDD4"/>
    <w:rsid w:val="1C724910"/>
    <w:rsid w:val="1C74785A"/>
    <w:rsid w:val="1C785D1B"/>
    <w:rsid w:val="1C8F8D1A"/>
    <w:rsid w:val="1C994448"/>
    <w:rsid w:val="1CB3ED76"/>
    <w:rsid w:val="1CB4ACAF"/>
    <w:rsid w:val="1CB8166F"/>
    <w:rsid w:val="1CCAE753"/>
    <w:rsid w:val="1CD09E52"/>
    <w:rsid w:val="1CD13351"/>
    <w:rsid w:val="1CD5C541"/>
    <w:rsid w:val="1CE1BFD9"/>
    <w:rsid w:val="1CE4F8D2"/>
    <w:rsid w:val="1CF60CBF"/>
    <w:rsid w:val="1CF8B6FD"/>
    <w:rsid w:val="1CFFEC71"/>
    <w:rsid w:val="1D03B43A"/>
    <w:rsid w:val="1D20E4CD"/>
    <w:rsid w:val="1D2E6923"/>
    <w:rsid w:val="1D32B181"/>
    <w:rsid w:val="1D579542"/>
    <w:rsid w:val="1D64F395"/>
    <w:rsid w:val="1D6994C7"/>
    <w:rsid w:val="1D6FAC11"/>
    <w:rsid w:val="1D6FD7A5"/>
    <w:rsid w:val="1D7100D7"/>
    <w:rsid w:val="1D716F09"/>
    <w:rsid w:val="1D743941"/>
    <w:rsid w:val="1D7C4583"/>
    <w:rsid w:val="1D7F2F29"/>
    <w:rsid w:val="1D838983"/>
    <w:rsid w:val="1D898546"/>
    <w:rsid w:val="1D92E425"/>
    <w:rsid w:val="1D9A85E6"/>
    <w:rsid w:val="1DA2E378"/>
    <w:rsid w:val="1DA525B3"/>
    <w:rsid w:val="1DA7A4BA"/>
    <w:rsid w:val="1DB9E0E4"/>
    <w:rsid w:val="1DBDC187"/>
    <w:rsid w:val="1DBDFC2F"/>
    <w:rsid w:val="1DC61F6C"/>
    <w:rsid w:val="1DC91BDC"/>
    <w:rsid w:val="1DE0C7F8"/>
    <w:rsid w:val="1DE3C53A"/>
    <w:rsid w:val="1DE4E110"/>
    <w:rsid w:val="1DEAE4E3"/>
    <w:rsid w:val="1DF02F36"/>
    <w:rsid w:val="1DF275D7"/>
    <w:rsid w:val="1DF63EDF"/>
    <w:rsid w:val="1DFFA121"/>
    <w:rsid w:val="1DFFAFBF"/>
    <w:rsid w:val="1E06F8BE"/>
    <w:rsid w:val="1E08424D"/>
    <w:rsid w:val="1E1A7A81"/>
    <w:rsid w:val="1E278B1B"/>
    <w:rsid w:val="1E331EB9"/>
    <w:rsid w:val="1E3B666A"/>
    <w:rsid w:val="1E402036"/>
    <w:rsid w:val="1E4D7DA9"/>
    <w:rsid w:val="1E51535E"/>
    <w:rsid w:val="1E584E33"/>
    <w:rsid w:val="1E5CFF6A"/>
    <w:rsid w:val="1E5DCE10"/>
    <w:rsid w:val="1E642E67"/>
    <w:rsid w:val="1E6430D8"/>
    <w:rsid w:val="1E71213B"/>
    <w:rsid w:val="1E713D12"/>
    <w:rsid w:val="1E80E6C9"/>
    <w:rsid w:val="1E88F476"/>
    <w:rsid w:val="1E99A808"/>
    <w:rsid w:val="1EA2BFE6"/>
    <w:rsid w:val="1EAD1B2D"/>
    <w:rsid w:val="1EB2529C"/>
    <w:rsid w:val="1EBA7FBC"/>
    <w:rsid w:val="1EC1B7CA"/>
    <w:rsid w:val="1ECF6184"/>
    <w:rsid w:val="1ED24D51"/>
    <w:rsid w:val="1EE500CA"/>
    <w:rsid w:val="1EEA7BBB"/>
    <w:rsid w:val="1EEF4B35"/>
    <w:rsid w:val="1F01B831"/>
    <w:rsid w:val="1F01EFCB"/>
    <w:rsid w:val="1F0AD4A7"/>
    <w:rsid w:val="1F0B4227"/>
    <w:rsid w:val="1F18BDBC"/>
    <w:rsid w:val="1F1ABBC5"/>
    <w:rsid w:val="1F27FC60"/>
    <w:rsid w:val="1F29C63A"/>
    <w:rsid w:val="1F2F48FB"/>
    <w:rsid w:val="1F31CF3E"/>
    <w:rsid w:val="1F3BCA08"/>
    <w:rsid w:val="1F3E8126"/>
    <w:rsid w:val="1F54C4F2"/>
    <w:rsid w:val="1F567A93"/>
    <w:rsid w:val="1F5B3C56"/>
    <w:rsid w:val="1F5D799D"/>
    <w:rsid w:val="1F63A42B"/>
    <w:rsid w:val="1F6CE57B"/>
    <w:rsid w:val="1F70C200"/>
    <w:rsid w:val="1F71B4C3"/>
    <w:rsid w:val="1F7CC178"/>
    <w:rsid w:val="1F7D4A8F"/>
    <w:rsid w:val="1F853499"/>
    <w:rsid w:val="1F85A8A6"/>
    <w:rsid w:val="1F9AACD0"/>
    <w:rsid w:val="1F9B2981"/>
    <w:rsid w:val="1F9F3011"/>
    <w:rsid w:val="1FB0DCC8"/>
    <w:rsid w:val="1FB41FD3"/>
    <w:rsid w:val="1FBBBEAB"/>
    <w:rsid w:val="1FCD4BC2"/>
    <w:rsid w:val="1FCF6E53"/>
    <w:rsid w:val="1FD8CB28"/>
    <w:rsid w:val="1FFC250B"/>
    <w:rsid w:val="200053EB"/>
    <w:rsid w:val="20110066"/>
    <w:rsid w:val="20195B6C"/>
    <w:rsid w:val="201D4193"/>
    <w:rsid w:val="20227CDC"/>
    <w:rsid w:val="20239634"/>
    <w:rsid w:val="202443A9"/>
    <w:rsid w:val="202510F8"/>
    <w:rsid w:val="202860DF"/>
    <w:rsid w:val="20310A66"/>
    <w:rsid w:val="2034A0D4"/>
    <w:rsid w:val="2037734E"/>
    <w:rsid w:val="20382CD1"/>
    <w:rsid w:val="203A2C87"/>
    <w:rsid w:val="203A840E"/>
    <w:rsid w:val="203D7203"/>
    <w:rsid w:val="203D959C"/>
    <w:rsid w:val="2042DB28"/>
    <w:rsid w:val="2044C951"/>
    <w:rsid w:val="204C2BAA"/>
    <w:rsid w:val="2054F2E2"/>
    <w:rsid w:val="206579A8"/>
    <w:rsid w:val="2067361F"/>
    <w:rsid w:val="206D24FD"/>
    <w:rsid w:val="206D946E"/>
    <w:rsid w:val="2070B0D2"/>
    <w:rsid w:val="20762C63"/>
    <w:rsid w:val="20765414"/>
    <w:rsid w:val="20777FA2"/>
    <w:rsid w:val="207821E6"/>
    <w:rsid w:val="207F84D3"/>
    <w:rsid w:val="2089E3C7"/>
    <w:rsid w:val="208B75F6"/>
    <w:rsid w:val="20A09722"/>
    <w:rsid w:val="20A4B39B"/>
    <w:rsid w:val="20AC37A6"/>
    <w:rsid w:val="20AC8B7D"/>
    <w:rsid w:val="20ACBC8D"/>
    <w:rsid w:val="20B2D602"/>
    <w:rsid w:val="20B49BB6"/>
    <w:rsid w:val="20C613AF"/>
    <w:rsid w:val="20C6B9FC"/>
    <w:rsid w:val="20CF0D87"/>
    <w:rsid w:val="20E11F01"/>
    <w:rsid w:val="20E82122"/>
    <w:rsid w:val="20EF3D5B"/>
    <w:rsid w:val="20FDFE2A"/>
    <w:rsid w:val="21036024"/>
    <w:rsid w:val="213C40AC"/>
    <w:rsid w:val="2154FE18"/>
    <w:rsid w:val="2166D8DE"/>
    <w:rsid w:val="216FC4E7"/>
    <w:rsid w:val="217D4BE2"/>
    <w:rsid w:val="2189B8F6"/>
    <w:rsid w:val="2190376F"/>
    <w:rsid w:val="219F8361"/>
    <w:rsid w:val="21A90383"/>
    <w:rsid w:val="21C30250"/>
    <w:rsid w:val="21D3FC5C"/>
    <w:rsid w:val="21DE5832"/>
    <w:rsid w:val="21F01349"/>
    <w:rsid w:val="21FA6894"/>
    <w:rsid w:val="21FA7D0E"/>
    <w:rsid w:val="21FBB7B0"/>
    <w:rsid w:val="21FC8C36"/>
    <w:rsid w:val="220A0983"/>
    <w:rsid w:val="2210F9EF"/>
    <w:rsid w:val="221E7ED3"/>
    <w:rsid w:val="22245D31"/>
    <w:rsid w:val="2226E5F6"/>
    <w:rsid w:val="222740EE"/>
    <w:rsid w:val="222E1E70"/>
    <w:rsid w:val="223A6020"/>
    <w:rsid w:val="22518101"/>
    <w:rsid w:val="22591F10"/>
    <w:rsid w:val="225EAE78"/>
    <w:rsid w:val="22625573"/>
    <w:rsid w:val="2265EFFC"/>
    <w:rsid w:val="22922443"/>
    <w:rsid w:val="22AB4E3D"/>
    <w:rsid w:val="22ABFB8D"/>
    <w:rsid w:val="22BE47D5"/>
    <w:rsid w:val="22C44DAD"/>
    <w:rsid w:val="22D150FB"/>
    <w:rsid w:val="22D2AA03"/>
    <w:rsid w:val="22D5DA4D"/>
    <w:rsid w:val="230C5340"/>
    <w:rsid w:val="2315991B"/>
    <w:rsid w:val="231DA437"/>
    <w:rsid w:val="23221426"/>
    <w:rsid w:val="23314C4D"/>
    <w:rsid w:val="23351969"/>
    <w:rsid w:val="233AC3A9"/>
    <w:rsid w:val="234E1F1F"/>
    <w:rsid w:val="2355839C"/>
    <w:rsid w:val="23626FCB"/>
    <w:rsid w:val="2369DA43"/>
    <w:rsid w:val="236E548E"/>
    <w:rsid w:val="237DCC0E"/>
    <w:rsid w:val="2382ED3B"/>
    <w:rsid w:val="2384DFC7"/>
    <w:rsid w:val="2385446E"/>
    <w:rsid w:val="2389A34E"/>
    <w:rsid w:val="2390605A"/>
    <w:rsid w:val="2392E624"/>
    <w:rsid w:val="239779D5"/>
    <w:rsid w:val="2397C77F"/>
    <w:rsid w:val="239CDADB"/>
    <w:rsid w:val="239F5523"/>
    <w:rsid w:val="23AFE881"/>
    <w:rsid w:val="23B0BC79"/>
    <w:rsid w:val="23B3B545"/>
    <w:rsid w:val="23B5DA55"/>
    <w:rsid w:val="23B783FA"/>
    <w:rsid w:val="23B9CA56"/>
    <w:rsid w:val="23BC37FE"/>
    <w:rsid w:val="23C693B1"/>
    <w:rsid w:val="23D0F95D"/>
    <w:rsid w:val="23D2CFDF"/>
    <w:rsid w:val="23E4A526"/>
    <w:rsid w:val="23EAD74A"/>
    <w:rsid w:val="23F70A01"/>
    <w:rsid w:val="23F7DFDB"/>
    <w:rsid w:val="23FF6A1C"/>
    <w:rsid w:val="2402F5CA"/>
    <w:rsid w:val="240526C6"/>
    <w:rsid w:val="240EE967"/>
    <w:rsid w:val="2417B126"/>
    <w:rsid w:val="24239EE9"/>
    <w:rsid w:val="242A588D"/>
    <w:rsid w:val="243BD57C"/>
    <w:rsid w:val="243D365B"/>
    <w:rsid w:val="243FF8B6"/>
    <w:rsid w:val="24442463"/>
    <w:rsid w:val="244728BC"/>
    <w:rsid w:val="2449D730"/>
    <w:rsid w:val="24571DCC"/>
    <w:rsid w:val="245AC84A"/>
    <w:rsid w:val="245F56E6"/>
    <w:rsid w:val="2468CDFC"/>
    <w:rsid w:val="246FAE7D"/>
    <w:rsid w:val="2487F4D7"/>
    <w:rsid w:val="248CE9F4"/>
    <w:rsid w:val="2494E117"/>
    <w:rsid w:val="249B6717"/>
    <w:rsid w:val="24AB7237"/>
    <w:rsid w:val="24B75A89"/>
    <w:rsid w:val="24C7B62F"/>
    <w:rsid w:val="24D15F54"/>
    <w:rsid w:val="24D25022"/>
    <w:rsid w:val="24D3EEB8"/>
    <w:rsid w:val="24E6C7FF"/>
    <w:rsid w:val="24F5F12C"/>
    <w:rsid w:val="250178B3"/>
    <w:rsid w:val="2525520E"/>
    <w:rsid w:val="2529FE31"/>
    <w:rsid w:val="252C8D61"/>
    <w:rsid w:val="253C2558"/>
    <w:rsid w:val="2544D8CE"/>
    <w:rsid w:val="2548E5C3"/>
    <w:rsid w:val="254B48E2"/>
    <w:rsid w:val="255C1F55"/>
    <w:rsid w:val="256199C9"/>
    <w:rsid w:val="2564F533"/>
    <w:rsid w:val="25657EF2"/>
    <w:rsid w:val="2568862F"/>
    <w:rsid w:val="25725B76"/>
    <w:rsid w:val="257C4E47"/>
    <w:rsid w:val="257C56C9"/>
    <w:rsid w:val="257DDDBE"/>
    <w:rsid w:val="259178C9"/>
    <w:rsid w:val="2592BCF2"/>
    <w:rsid w:val="25959767"/>
    <w:rsid w:val="259F5CAB"/>
    <w:rsid w:val="25A507B9"/>
    <w:rsid w:val="25B0C6D0"/>
    <w:rsid w:val="25B0EF5A"/>
    <w:rsid w:val="25B38187"/>
    <w:rsid w:val="25B6D3B3"/>
    <w:rsid w:val="25B82926"/>
    <w:rsid w:val="25C675FB"/>
    <w:rsid w:val="25CABE49"/>
    <w:rsid w:val="25CB6C56"/>
    <w:rsid w:val="25CE3ABD"/>
    <w:rsid w:val="25D6A115"/>
    <w:rsid w:val="25E22098"/>
    <w:rsid w:val="25F7DBF3"/>
    <w:rsid w:val="25F94BD9"/>
    <w:rsid w:val="25FEF478"/>
    <w:rsid w:val="25FF4121"/>
    <w:rsid w:val="260A4AC5"/>
    <w:rsid w:val="261BF458"/>
    <w:rsid w:val="261DBEDD"/>
    <w:rsid w:val="261E441D"/>
    <w:rsid w:val="262EB82E"/>
    <w:rsid w:val="2636DBA7"/>
    <w:rsid w:val="26375FA5"/>
    <w:rsid w:val="26380F18"/>
    <w:rsid w:val="263E22CF"/>
    <w:rsid w:val="2642DBB4"/>
    <w:rsid w:val="2644B309"/>
    <w:rsid w:val="2648E84E"/>
    <w:rsid w:val="2653F97B"/>
    <w:rsid w:val="265975B3"/>
    <w:rsid w:val="265C82DD"/>
    <w:rsid w:val="265CD7BD"/>
    <w:rsid w:val="265D2209"/>
    <w:rsid w:val="26602E62"/>
    <w:rsid w:val="26642530"/>
    <w:rsid w:val="26667F24"/>
    <w:rsid w:val="26676D80"/>
    <w:rsid w:val="268B8BE4"/>
    <w:rsid w:val="2693306E"/>
    <w:rsid w:val="26A1809A"/>
    <w:rsid w:val="26B6CE91"/>
    <w:rsid w:val="26BD5AD9"/>
    <w:rsid w:val="26C106EE"/>
    <w:rsid w:val="26CA092D"/>
    <w:rsid w:val="26D6CB1B"/>
    <w:rsid w:val="26E2703F"/>
    <w:rsid w:val="26E76C1C"/>
    <w:rsid w:val="26E9458E"/>
    <w:rsid w:val="26E9C573"/>
    <w:rsid w:val="26EC8D7F"/>
    <w:rsid w:val="26EEF5F7"/>
    <w:rsid w:val="26F12B08"/>
    <w:rsid w:val="26F62032"/>
    <w:rsid w:val="26FADE91"/>
    <w:rsid w:val="2703B2D1"/>
    <w:rsid w:val="270458D5"/>
    <w:rsid w:val="27046D3E"/>
    <w:rsid w:val="270528FC"/>
    <w:rsid w:val="2720493F"/>
    <w:rsid w:val="27226949"/>
    <w:rsid w:val="2722A20B"/>
    <w:rsid w:val="2737BBA6"/>
    <w:rsid w:val="273F530E"/>
    <w:rsid w:val="273F7754"/>
    <w:rsid w:val="2744A0AF"/>
    <w:rsid w:val="274C435A"/>
    <w:rsid w:val="27618A96"/>
    <w:rsid w:val="2761F3A9"/>
    <w:rsid w:val="276A9A4A"/>
    <w:rsid w:val="2781A92D"/>
    <w:rsid w:val="2782521F"/>
    <w:rsid w:val="278B7E26"/>
    <w:rsid w:val="278EC482"/>
    <w:rsid w:val="27B852A5"/>
    <w:rsid w:val="27BD6796"/>
    <w:rsid w:val="27BDFF7A"/>
    <w:rsid w:val="27BF5D99"/>
    <w:rsid w:val="27CB9B5C"/>
    <w:rsid w:val="27F94599"/>
    <w:rsid w:val="2805DDCA"/>
    <w:rsid w:val="28070D9A"/>
    <w:rsid w:val="2808B53E"/>
    <w:rsid w:val="281082B2"/>
    <w:rsid w:val="2810E4E6"/>
    <w:rsid w:val="28154779"/>
    <w:rsid w:val="2816A977"/>
    <w:rsid w:val="282E948D"/>
    <w:rsid w:val="28315526"/>
    <w:rsid w:val="2838A9D7"/>
    <w:rsid w:val="285C147C"/>
    <w:rsid w:val="287411D6"/>
    <w:rsid w:val="2878B5B7"/>
    <w:rsid w:val="287E1375"/>
    <w:rsid w:val="288D6DC8"/>
    <w:rsid w:val="289172B6"/>
    <w:rsid w:val="289D7403"/>
    <w:rsid w:val="28A44F50"/>
    <w:rsid w:val="28B476FD"/>
    <w:rsid w:val="28B8D49E"/>
    <w:rsid w:val="28C259BF"/>
    <w:rsid w:val="28C311EB"/>
    <w:rsid w:val="28C3640F"/>
    <w:rsid w:val="28CDAFA4"/>
    <w:rsid w:val="28D2FDAB"/>
    <w:rsid w:val="28DE8C95"/>
    <w:rsid w:val="28E026E7"/>
    <w:rsid w:val="28E06CA0"/>
    <w:rsid w:val="28FB9254"/>
    <w:rsid w:val="28FBE520"/>
    <w:rsid w:val="28FE9244"/>
    <w:rsid w:val="29008989"/>
    <w:rsid w:val="29048016"/>
    <w:rsid w:val="290793A6"/>
    <w:rsid w:val="2907F788"/>
    <w:rsid w:val="290C37BA"/>
    <w:rsid w:val="291802A2"/>
    <w:rsid w:val="2923E721"/>
    <w:rsid w:val="2937591B"/>
    <w:rsid w:val="2941EB87"/>
    <w:rsid w:val="2948A224"/>
    <w:rsid w:val="29563EEE"/>
    <w:rsid w:val="2958A062"/>
    <w:rsid w:val="2959EC96"/>
    <w:rsid w:val="29613E1D"/>
    <w:rsid w:val="29636793"/>
    <w:rsid w:val="29694846"/>
    <w:rsid w:val="29737C38"/>
    <w:rsid w:val="29777C69"/>
    <w:rsid w:val="2977F1F3"/>
    <w:rsid w:val="298585DE"/>
    <w:rsid w:val="2987317B"/>
    <w:rsid w:val="29895017"/>
    <w:rsid w:val="298BC7B6"/>
    <w:rsid w:val="29932D8D"/>
    <w:rsid w:val="29A86091"/>
    <w:rsid w:val="29A94593"/>
    <w:rsid w:val="29B08AD7"/>
    <w:rsid w:val="29B52FEE"/>
    <w:rsid w:val="29BBD01D"/>
    <w:rsid w:val="29BECD0D"/>
    <w:rsid w:val="29C34F80"/>
    <w:rsid w:val="29DBF50D"/>
    <w:rsid w:val="29E2CA9D"/>
    <w:rsid w:val="29E456BE"/>
    <w:rsid w:val="29EC9AE3"/>
    <w:rsid w:val="29F5B8D5"/>
    <w:rsid w:val="2A01AA8D"/>
    <w:rsid w:val="2A01C861"/>
    <w:rsid w:val="2A190ECB"/>
    <w:rsid w:val="2A31BC80"/>
    <w:rsid w:val="2A322D12"/>
    <w:rsid w:val="2A35CAAE"/>
    <w:rsid w:val="2A36AE33"/>
    <w:rsid w:val="2A3A4566"/>
    <w:rsid w:val="2A3CDF40"/>
    <w:rsid w:val="2A3D0211"/>
    <w:rsid w:val="2A453FB9"/>
    <w:rsid w:val="2A50728F"/>
    <w:rsid w:val="2A5184D0"/>
    <w:rsid w:val="2A574849"/>
    <w:rsid w:val="2A626019"/>
    <w:rsid w:val="2A645EAE"/>
    <w:rsid w:val="2A691A98"/>
    <w:rsid w:val="2A81A925"/>
    <w:rsid w:val="2A87AA4C"/>
    <w:rsid w:val="2A8EC4BA"/>
    <w:rsid w:val="2A94422E"/>
    <w:rsid w:val="2A9499B3"/>
    <w:rsid w:val="2A9B38FF"/>
    <w:rsid w:val="2AA6A96B"/>
    <w:rsid w:val="2AAADEC6"/>
    <w:rsid w:val="2AAC4B1F"/>
    <w:rsid w:val="2ACB6F50"/>
    <w:rsid w:val="2AE57927"/>
    <w:rsid w:val="2AEA0CC3"/>
    <w:rsid w:val="2B0E84C9"/>
    <w:rsid w:val="2B1516A3"/>
    <w:rsid w:val="2B2AE1F4"/>
    <w:rsid w:val="2B2BADE9"/>
    <w:rsid w:val="2B2C00B1"/>
    <w:rsid w:val="2B2D281A"/>
    <w:rsid w:val="2B33E8E1"/>
    <w:rsid w:val="2B41C3A4"/>
    <w:rsid w:val="2B51004F"/>
    <w:rsid w:val="2B733219"/>
    <w:rsid w:val="2B74C679"/>
    <w:rsid w:val="2B775F58"/>
    <w:rsid w:val="2B79A2D0"/>
    <w:rsid w:val="2B7C9F3D"/>
    <w:rsid w:val="2B830A69"/>
    <w:rsid w:val="2B861B42"/>
    <w:rsid w:val="2B8D141F"/>
    <w:rsid w:val="2B98DB25"/>
    <w:rsid w:val="2B9D160E"/>
    <w:rsid w:val="2BAC01A5"/>
    <w:rsid w:val="2BB037FE"/>
    <w:rsid w:val="2BB2E8B1"/>
    <w:rsid w:val="2BB82747"/>
    <w:rsid w:val="2BBC0A1A"/>
    <w:rsid w:val="2BD04D1B"/>
    <w:rsid w:val="2BD38697"/>
    <w:rsid w:val="2BDA28E1"/>
    <w:rsid w:val="2BDC2F0E"/>
    <w:rsid w:val="2BE3310E"/>
    <w:rsid w:val="2BEA5266"/>
    <w:rsid w:val="2BEF6E32"/>
    <w:rsid w:val="2BF6B30A"/>
    <w:rsid w:val="2BFA71B0"/>
    <w:rsid w:val="2BFE31CC"/>
    <w:rsid w:val="2C0E87C1"/>
    <w:rsid w:val="2C131B48"/>
    <w:rsid w:val="2C13E519"/>
    <w:rsid w:val="2C1557CA"/>
    <w:rsid w:val="2C205B1C"/>
    <w:rsid w:val="2C3A4134"/>
    <w:rsid w:val="2C4AA091"/>
    <w:rsid w:val="2C564AEA"/>
    <w:rsid w:val="2C5B4F18"/>
    <w:rsid w:val="2C5C159E"/>
    <w:rsid w:val="2C5CE2AF"/>
    <w:rsid w:val="2C77154C"/>
    <w:rsid w:val="2C7FDB2E"/>
    <w:rsid w:val="2C80AB55"/>
    <w:rsid w:val="2C8AD4D2"/>
    <w:rsid w:val="2C8F2CBC"/>
    <w:rsid w:val="2CA4F2CA"/>
    <w:rsid w:val="2CAE16D8"/>
    <w:rsid w:val="2CB031C4"/>
    <w:rsid w:val="2CC18851"/>
    <w:rsid w:val="2D09636A"/>
    <w:rsid w:val="2D0A723E"/>
    <w:rsid w:val="2D0B1154"/>
    <w:rsid w:val="2D1A2239"/>
    <w:rsid w:val="2D1AB90C"/>
    <w:rsid w:val="2D3274CD"/>
    <w:rsid w:val="2D3552AE"/>
    <w:rsid w:val="2D42213C"/>
    <w:rsid w:val="2D48CAB3"/>
    <w:rsid w:val="2D5DEA38"/>
    <w:rsid w:val="2D5DF3AE"/>
    <w:rsid w:val="2D65E671"/>
    <w:rsid w:val="2D677939"/>
    <w:rsid w:val="2D7E2D8D"/>
    <w:rsid w:val="2D88F7B6"/>
    <w:rsid w:val="2D9013A0"/>
    <w:rsid w:val="2DA905E7"/>
    <w:rsid w:val="2DAC8652"/>
    <w:rsid w:val="2DBC2B7D"/>
    <w:rsid w:val="2DC0C9D4"/>
    <w:rsid w:val="2DC6C1FA"/>
    <w:rsid w:val="2DC7B410"/>
    <w:rsid w:val="2DCBDC49"/>
    <w:rsid w:val="2DD46AE6"/>
    <w:rsid w:val="2DDA4386"/>
    <w:rsid w:val="2DE9D0AA"/>
    <w:rsid w:val="2E036CDC"/>
    <w:rsid w:val="2E056EF4"/>
    <w:rsid w:val="2E079917"/>
    <w:rsid w:val="2E0841F0"/>
    <w:rsid w:val="2E150716"/>
    <w:rsid w:val="2E193850"/>
    <w:rsid w:val="2E264245"/>
    <w:rsid w:val="2E27ED9A"/>
    <w:rsid w:val="2E2CF7FB"/>
    <w:rsid w:val="2E473009"/>
    <w:rsid w:val="2E5BA955"/>
    <w:rsid w:val="2E5F9698"/>
    <w:rsid w:val="2E62B587"/>
    <w:rsid w:val="2E65453D"/>
    <w:rsid w:val="2E6DC7B1"/>
    <w:rsid w:val="2E6F0226"/>
    <w:rsid w:val="2E700C9C"/>
    <w:rsid w:val="2E75C94D"/>
    <w:rsid w:val="2E828B4D"/>
    <w:rsid w:val="2E854ADC"/>
    <w:rsid w:val="2E9BA816"/>
    <w:rsid w:val="2EA82828"/>
    <w:rsid w:val="2EAA8919"/>
    <w:rsid w:val="2EC336A4"/>
    <w:rsid w:val="2ECA6C00"/>
    <w:rsid w:val="2ED4C80F"/>
    <w:rsid w:val="2EE01040"/>
    <w:rsid w:val="2EE8FF67"/>
    <w:rsid w:val="2EEA2ABA"/>
    <w:rsid w:val="2EFEC706"/>
    <w:rsid w:val="2F01D23A"/>
    <w:rsid w:val="2F039F79"/>
    <w:rsid w:val="2F092775"/>
    <w:rsid w:val="2F1273C5"/>
    <w:rsid w:val="2F15B522"/>
    <w:rsid w:val="2F1EC20D"/>
    <w:rsid w:val="2F280213"/>
    <w:rsid w:val="2F2CE3F3"/>
    <w:rsid w:val="2F444FAB"/>
    <w:rsid w:val="2F4A07EC"/>
    <w:rsid w:val="2F51E4F3"/>
    <w:rsid w:val="2F530768"/>
    <w:rsid w:val="2F584E66"/>
    <w:rsid w:val="2F65FDEB"/>
    <w:rsid w:val="2F74F1D6"/>
    <w:rsid w:val="2F7C0A20"/>
    <w:rsid w:val="2F7FC8E4"/>
    <w:rsid w:val="2F813ABA"/>
    <w:rsid w:val="2F82358B"/>
    <w:rsid w:val="2F8681E3"/>
    <w:rsid w:val="2F93A3A5"/>
    <w:rsid w:val="2F9D74A1"/>
    <w:rsid w:val="2FABF7FD"/>
    <w:rsid w:val="2FBAD4F4"/>
    <w:rsid w:val="2FBF69B6"/>
    <w:rsid w:val="2FC0FF53"/>
    <w:rsid w:val="2FCAE4E7"/>
    <w:rsid w:val="2FCB2E0F"/>
    <w:rsid w:val="2FD749E2"/>
    <w:rsid w:val="2FDD3208"/>
    <w:rsid w:val="2FE06E86"/>
    <w:rsid w:val="300AA2CF"/>
    <w:rsid w:val="300D2234"/>
    <w:rsid w:val="301619B3"/>
    <w:rsid w:val="301E1E44"/>
    <w:rsid w:val="30344DB5"/>
    <w:rsid w:val="303BA7AB"/>
    <w:rsid w:val="303F5FD8"/>
    <w:rsid w:val="304DA115"/>
    <w:rsid w:val="3051EA8F"/>
    <w:rsid w:val="305C7A47"/>
    <w:rsid w:val="305E25D6"/>
    <w:rsid w:val="3060B84E"/>
    <w:rsid w:val="3061234B"/>
    <w:rsid w:val="30628B4A"/>
    <w:rsid w:val="306409CB"/>
    <w:rsid w:val="306A860C"/>
    <w:rsid w:val="306B609F"/>
    <w:rsid w:val="306F7955"/>
    <w:rsid w:val="30739AE0"/>
    <w:rsid w:val="3085D83A"/>
    <w:rsid w:val="308EE031"/>
    <w:rsid w:val="3098888C"/>
    <w:rsid w:val="30996D8E"/>
    <w:rsid w:val="30AC7664"/>
    <w:rsid w:val="30ACD17F"/>
    <w:rsid w:val="30B04271"/>
    <w:rsid w:val="30B23260"/>
    <w:rsid w:val="30BEC1E0"/>
    <w:rsid w:val="30CD4B5B"/>
    <w:rsid w:val="30CD69BA"/>
    <w:rsid w:val="30D762C4"/>
    <w:rsid w:val="30EC1D83"/>
    <w:rsid w:val="30EF02F5"/>
    <w:rsid w:val="311C4A60"/>
    <w:rsid w:val="3125CDF1"/>
    <w:rsid w:val="3128CB0B"/>
    <w:rsid w:val="312994B6"/>
    <w:rsid w:val="31335732"/>
    <w:rsid w:val="31446E84"/>
    <w:rsid w:val="314A90EE"/>
    <w:rsid w:val="314E13BA"/>
    <w:rsid w:val="315581F8"/>
    <w:rsid w:val="315842BE"/>
    <w:rsid w:val="317BA332"/>
    <w:rsid w:val="3180F51C"/>
    <w:rsid w:val="318C36B2"/>
    <w:rsid w:val="3191CEF5"/>
    <w:rsid w:val="31935F36"/>
    <w:rsid w:val="31948E26"/>
    <w:rsid w:val="31A22082"/>
    <w:rsid w:val="31BA4520"/>
    <w:rsid w:val="31BB2F07"/>
    <w:rsid w:val="31C0338D"/>
    <w:rsid w:val="31E61D19"/>
    <w:rsid w:val="31E7F9EF"/>
    <w:rsid w:val="31F51B53"/>
    <w:rsid w:val="31FE5C67"/>
    <w:rsid w:val="31FEB9C7"/>
    <w:rsid w:val="3204568F"/>
    <w:rsid w:val="3204F408"/>
    <w:rsid w:val="320863C3"/>
    <w:rsid w:val="32095039"/>
    <w:rsid w:val="320CC079"/>
    <w:rsid w:val="32159906"/>
    <w:rsid w:val="32168341"/>
    <w:rsid w:val="3222387D"/>
    <w:rsid w:val="3224CB6C"/>
    <w:rsid w:val="3227FF63"/>
    <w:rsid w:val="3233B36D"/>
    <w:rsid w:val="323A4EB0"/>
    <w:rsid w:val="323F82D1"/>
    <w:rsid w:val="324251FD"/>
    <w:rsid w:val="32433A73"/>
    <w:rsid w:val="3248FED6"/>
    <w:rsid w:val="327B4427"/>
    <w:rsid w:val="32801517"/>
    <w:rsid w:val="32867592"/>
    <w:rsid w:val="328D3EC0"/>
    <w:rsid w:val="3298BE2B"/>
    <w:rsid w:val="329B2E12"/>
    <w:rsid w:val="32A0B8CC"/>
    <w:rsid w:val="32A6BA7E"/>
    <w:rsid w:val="32B29099"/>
    <w:rsid w:val="32CA3FDF"/>
    <w:rsid w:val="32D4F749"/>
    <w:rsid w:val="32D6365E"/>
    <w:rsid w:val="32DF359D"/>
    <w:rsid w:val="32E36110"/>
    <w:rsid w:val="32F3224D"/>
    <w:rsid w:val="32F3AD85"/>
    <w:rsid w:val="32F4CC0F"/>
    <w:rsid w:val="32FC53F3"/>
    <w:rsid w:val="330B968C"/>
    <w:rsid w:val="3328D5AA"/>
    <w:rsid w:val="3346F5D0"/>
    <w:rsid w:val="334927E9"/>
    <w:rsid w:val="334BDBF2"/>
    <w:rsid w:val="3356A3C4"/>
    <w:rsid w:val="3357ADA2"/>
    <w:rsid w:val="335ABAAF"/>
    <w:rsid w:val="3361293A"/>
    <w:rsid w:val="336C4493"/>
    <w:rsid w:val="3370FA29"/>
    <w:rsid w:val="337775D1"/>
    <w:rsid w:val="33792A4B"/>
    <w:rsid w:val="33859335"/>
    <w:rsid w:val="33887DF3"/>
    <w:rsid w:val="33943000"/>
    <w:rsid w:val="3398D63B"/>
    <w:rsid w:val="3398D8CB"/>
    <w:rsid w:val="339E1980"/>
    <w:rsid w:val="33A8739B"/>
    <w:rsid w:val="33C48CBA"/>
    <w:rsid w:val="33D85191"/>
    <w:rsid w:val="33E0B5F3"/>
    <w:rsid w:val="33E59A2D"/>
    <w:rsid w:val="33EDA3D2"/>
    <w:rsid w:val="33EFB20A"/>
    <w:rsid w:val="33F0349D"/>
    <w:rsid w:val="33F1D4BD"/>
    <w:rsid w:val="340895BD"/>
    <w:rsid w:val="34147A9D"/>
    <w:rsid w:val="3414AC93"/>
    <w:rsid w:val="342023BD"/>
    <w:rsid w:val="34335084"/>
    <w:rsid w:val="34351461"/>
    <w:rsid w:val="343D4402"/>
    <w:rsid w:val="344D8500"/>
    <w:rsid w:val="34502DEE"/>
    <w:rsid w:val="34599973"/>
    <w:rsid w:val="345A1311"/>
    <w:rsid w:val="345A1F7C"/>
    <w:rsid w:val="345ADAAD"/>
    <w:rsid w:val="345BD1AE"/>
    <w:rsid w:val="3467D9F9"/>
    <w:rsid w:val="346D1284"/>
    <w:rsid w:val="3474DF2E"/>
    <w:rsid w:val="347AEF9B"/>
    <w:rsid w:val="3496D1AA"/>
    <w:rsid w:val="34B02EC8"/>
    <w:rsid w:val="34B96F05"/>
    <w:rsid w:val="34BEF558"/>
    <w:rsid w:val="34BEF57E"/>
    <w:rsid w:val="34D459F9"/>
    <w:rsid w:val="34D8FAEE"/>
    <w:rsid w:val="34DB7181"/>
    <w:rsid w:val="34E50894"/>
    <w:rsid w:val="34E9CA1A"/>
    <w:rsid w:val="34EFE9A0"/>
    <w:rsid w:val="34FB3FB7"/>
    <w:rsid w:val="350818E7"/>
    <w:rsid w:val="35132232"/>
    <w:rsid w:val="351DCE33"/>
    <w:rsid w:val="3520DBA2"/>
    <w:rsid w:val="3521E9F9"/>
    <w:rsid w:val="3523B454"/>
    <w:rsid w:val="352FF400"/>
    <w:rsid w:val="353124F2"/>
    <w:rsid w:val="353D0783"/>
    <w:rsid w:val="353ED1C2"/>
    <w:rsid w:val="3544F1F0"/>
    <w:rsid w:val="354FC7EF"/>
    <w:rsid w:val="3556F23A"/>
    <w:rsid w:val="355C9A9C"/>
    <w:rsid w:val="35627892"/>
    <w:rsid w:val="356E6CBF"/>
    <w:rsid w:val="3574A85A"/>
    <w:rsid w:val="3579AA27"/>
    <w:rsid w:val="358282D0"/>
    <w:rsid w:val="35851801"/>
    <w:rsid w:val="35890D9C"/>
    <w:rsid w:val="35983F20"/>
    <w:rsid w:val="359DD035"/>
    <w:rsid w:val="359FBC6C"/>
    <w:rsid w:val="35A26E74"/>
    <w:rsid w:val="35B1B7B5"/>
    <w:rsid w:val="35B1FAE9"/>
    <w:rsid w:val="35BF39ED"/>
    <w:rsid w:val="35CBF0D9"/>
    <w:rsid w:val="35CC6766"/>
    <w:rsid w:val="35CF08F3"/>
    <w:rsid w:val="35CFDCC1"/>
    <w:rsid w:val="35D2F32B"/>
    <w:rsid w:val="35E0DE92"/>
    <w:rsid w:val="35EA1C27"/>
    <w:rsid w:val="35EFB790"/>
    <w:rsid w:val="35F74D7D"/>
    <w:rsid w:val="35F7B7A1"/>
    <w:rsid w:val="35FFCEB4"/>
    <w:rsid w:val="3606FAD6"/>
    <w:rsid w:val="3608D2F8"/>
    <w:rsid w:val="3609FA1B"/>
    <w:rsid w:val="361166E8"/>
    <w:rsid w:val="3612ADC2"/>
    <w:rsid w:val="36184F23"/>
    <w:rsid w:val="361C3D89"/>
    <w:rsid w:val="36200ECE"/>
    <w:rsid w:val="36293A10"/>
    <w:rsid w:val="36316582"/>
    <w:rsid w:val="363449D8"/>
    <w:rsid w:val="36381312"/>
    <w:rsid w:val="3644E7B9"/>
    <w:rsid w:val="3646EF97"/>
    <w:rsid w:val="36481658"/>
    <w:rsid w:val="364B15A0"/>
    <w:rsid w:val="365496DB"/>
    <w:rsid w:val="3656F54F"/>
    <w:rsid w:val="3658D72B"/>
    <w:rsid w:val="365CC71A"/>
    <w:rsid w:val="365DCEEA"/>
    <w:rsid w:val="3664464F"/>
    <w:rsid w:val="3673F236"/>
    <w:rsid w:val="36840074"/>
    <w:rsid w:val="36871F19"/>
    <w:rsid w:val="3688FF12"/>
    <w:rsid w:val="368E8D85"/>
    <w:rsid w:val="36903D1A"/>
    <w:rsid w:val="3691BB2C"/>
    <w:rsid w:val="369355DA"/>
    <w:rsid w:val="36B0421C"/>
    <w:rsid w:val="36C84144"/>
    <w:rsid w:val="36CF4CCB"/>
    <w:rsid w:val="36CFFCAD"/>
    <w:rsid w:val="36D8B8CE"/>
    <w:rsid w:val="36DC96B0"/>
    <w:rsid w:val="36DFD7E8"/>
    <w:rsid w:val="36E05244"/>
    <w:rsid w:val="36E0B9BD"/>
    <w:rsid w:val="36E2B70F"/>
    <w:rsid w:val="36EF0DFA"/>
    <w:rsid w:val="3702AE38"/>
    <w:rsid w:val="3704ED47"/>
    <w:rsid w:val="37093499"/>
    <w:rsid w:val="37187C96"/>
    <w:rsid w:val="371D0C74"/>
    <w:rsid w:val="3734599A"/>
    <w:rsid w:val="3740DA2B"/>
    <w:rsid w:val="374475F1"/>
    <w:rsid w:val="37455EA6"/>
    <w:rsid w:val="3746A247"/>
    <w:rsid w:val="3749EABE"/>
    <w:rsid w:val="37508A0D"/>
    <w:rsid w:val="3753089E"/>
    <w:rsid w:val="375B950D"/>
    <w:rsid w:val="3772AD6C"/>
    <w:rsid w:val="378C0DCD"/>
    <w:rsid w:val="378FBE10"/>
    <w:rsid w:val="378FC71B"/>
    <w:rsid w:val="379E7360"/>
    <w:rsid w:val="37AF4F2D"/>
    <w:rsid w:val="37AF6C9F"/>
    <w:rsid w:val="37BD3005"/>
    <w:rsid w:val="37CFD370"/>
    <w:rsid w:val="37D1DF63"/>
    <w:rsid w:val="37D47448"/>
    <w:rsid w:val="37D61ED0"/>
    <w:rsid w:val="37DFF5B3"/>
    <w:rsid w:val="37E1AEDA"/>
    <w:rsid w:val="37F23666"/>
    <w:rsid w:val="37F736E5"/>
    <w:rsid w:val="37F8B6C2"/>
    <w:rsid w:val="380159F1"/>
    <w:rsid w:val="380ECD21"/>
    <w:rsid w:val="380ED643"/>
    <w:rsid w:val="3812987D"/>
    <w:rsid w:val="38220913"/>
    <w:rsid w:val="38251743"/>
    <w:rsid w:val="382C631D"/>
    <w:rsid w:val="38371F7B"/>
    <w:rsid w:val="383C78A1"/>
    <w:rsid w:val="3847134B"/>
    <w:rsid w:val="385ADBB8"/>
    <w:rsid w:val="387745A4"/>
    <w:rsid w:val="388A6389"/>
    <w:rsid w:val="388E27DB"/>
    <w:rsid w:val="388EF15B"/>
    <w:rsid w:val="38912788"/>
    <w:rsid w:val="38A57574"/>
    <w:rsid w:val="38B2627A"/>
    <w:rsid w:val="38B33326"/>
    <w:rsid w:val="38B72EE8"/>
    <w:rsid w:val="38B9801E"/>
    <w:rsid w:val="38BB508E"/>
    <w:rsid w:val="38C039A5"/>
    <w:rsid w:val="38C5EF57"/>
    <w:rsid w:val="38C87F6D"/>
    <w:rsid w:val="38E2BD91"/>
    <w:rsid w:val="38EF1772"/>
    <w:rsid w:val="390E155D"/>
    <w:rsid w:val="391B7D02"/>
    <w:rsid w:val="392357A3"/>
    <w:rsid w:val="393486E7"/>
    <w:rsid w:val="3946DB6E"/>
    <w:rsid w:val="395AE8C0"/>
    <w:rsid w:val="395FE6F7"/>
    <w:rsid w:val="3969EDF7"/>
    <w:rsid w:val="397AC9F5"/>
    <w:rsid w:val="397B3F7F"/>
    <w:rsid w:val="3980B539"/>
    <w:rsid w:val="3986C7C0"/>
    <w:rsid w:val="39892182"/>
    <w:rsid w:val="3989473B"/>
    <w:rsid w:val="398972B2"/>
    <w:rsid w:val="3995F2C4"/>
    <w:rsid w:val="39A3357F"/>
    <w:rsid w:val="39A8240E"/>
    <w:rsid w:val="39AF7828"/>
    <w:rsid w:val="39AFEA97"/>
    <w:rsid w:val="39B05B28"/>
    <w:rsid w:val="39B1232B"/>
    <w:rsid w:val="39C05177"/>
    <w:rsid w:val="39C66B36"/>
    <w:rsid w:val="39D68DE9"/>
    <w:rsid w:val="39D870F7"/>
    <w:rsid w:val="39DD1022"/>
    <w:rsid w:val="39E11634"/>
    <w:rsid w:val="39E54D40"/>
    <w:rsid w:val="39E5DCE9"/>
    <w:rsid w:val="39F919C2"/>
    <w:rsid w:val="39FCAE7E"/>
    <w:rsid w:val="3A0F8656"/>
    <w:rsid w:val="3A1C0555"/>
    <w:rsid w:val="3A2344E3"/>
    <w:rsid w:val="3A23D4AB"/>
    <w:rsid w:val="3A32E750"/>
    <w:rsid w:val="3A38FFCC"/>
    <w:rsid w:val="3A4B67C6"/>
    <w:rsid w:val="3A582293"/>
    <w:rsid w:val="3A785E49"/>
    <w:rsid w:val="3A7B0D58"/>
    <w:rsid w:val="3A7B70DE"/>
    <w:rsid w:val="3A7E218D"/>
    <w:rsid w:val="3A7F2D60"/>
    <w:rsid w:val="3A803D49"/>
    <w:rsid w:val="3A922D93"/>
    <w:rsid w:val="3A974EC9"/>
    <w:rsid w:val="3A9B7D2B"/>
    <w:rsid w:val="3AB9B0BC"/>
    <w:rsid w:val="3ADAB755"/>
    <w:rsid w:val="3B0253AF"/>
    <w:rsid w:val="3B0A1D53"/>
    <w:rsid w:val="3B0A743D"/>
    <w:rsid w:val="3B14D401"/>
    <w:rsid w:val="3B158108"/>
    <w:rsid w:val="3B1A005F"/>
    <w:rsid w:val="3B21C698"/>
    <w:rsid w:val="3B281611"/>
    <w:rsid w:val="3B44ACAA"/>
    <w:rsid w:val="3B4A1C2F"/>
    <w:rsid w:val="3B58A8AD"/>
    <w:rsid w:val="3B60D531"/>
    <w:rsid w:val="3B7C35A8"/>
    <w:rsid w:val="3B7DE600"/>
    <w:rsid w:val="3B7E8B24"/>
    <w:rsid w:val="3B801F6B"/>
    <w:rsid w:val="3B8E8FD7"/>
    <w:rsid w:val="3BB1E5EA"/>
    <w:rsid w:val="3BB54A16"/>
    <w:rsid w:val="3BBC1C76"/>
    <w:rsid w:val="3BBF1544"/>
    <w:rsid w:val="3BC64C4E"/>
    <w:rsid w:val="3BC869D9"/>
    <w:rsid w:val="3BCEEB17"/>
    <w:rsid w:val="3BD95CB4"/>
    <w:rsid w:val="3BE7B266"/>
    <w:rsid w:val="3BF652AC"/>
    <w:rsid w:val="3BF8F7AB"/>
    <w:rsid w:val="3C1A0C5C"/>
    <w:rsid w:val="3C1C0DAA"/>
    <w:rsid w:val="3C1D7640"/>
    <w:rsid w:val="3C25928B"/>
    <w:rsid w:val="3C2692B6"/>
    <w:rsid w:val="3C276F1E"/>
    <w:rsid w:val="3C3885C8"/>
    <w:rsid w:val="3C5072F2"/>
    <w:rsid w:val="3C51CC16"/>
    <w:rsid w:val="3C610EFA"/>
    <w:rsid w:val="3C62BE3E"/>
    <w:rsid w:val="3C68CD99"/>
    <w:rsid w:val="3C754730"/>
    <w:rsid w:val="3C801B85"/>
    <w:rsid w:val="3C888E1A"/>
    <w:rsid w:val="3C8E68DD"/>
    <w:rsid w:val="3C9FBC83"/>
    <w:rsid w:val="3CA243B6"/>
    <w:rsid w:val="3CA7956F"/>
    <w:rsid w:val="3CAE4298"/>
    <w:rsid w:val="3CAF4125"/>
    <w:rsid w:val="3CB0E53B"/>
    <w:rsid w:val="3CB38EB1"/>
    <w:rsid w:val="3CCFB8E9"/>
    <w:rsid w:val="3CD62068"/>
    <w:rsid w:val="3CE18A3F"/>
    <w:rsid w:val="3CE84DEB"/>
    <w:rsid w:val="3CF5D097"/>
    <w:rsid w:val="3D0056A3"/>
    <w:rsid w:val="3D03258A"/>
    <w:rsid w:val="3D0443FB"/>
    <w:rsid w:val="3D076EFF"/>
    <w:rsid w:val="3D0E154F"/>
    <w:rsid w:val="3D101AF4"/>
    <w:rsid w:val="3D173913"/>
    <w:rsid w:val="3D1B9579"/>
    <w:rsid w:val="3D24279E"/>
    <w:rsid w:val="3D2A1F3B"/>
    <w:rsid w:val="3D2C1848"/>
    <w:rsid w:val="3D3931AA"/>
    <w:rsid w:val="3D48943A"/>
    <w:rsid w:val="3D4C7A1E"/>
    <w:rsid w:val="3D64A343"/>
    <w:rsid w:val="3D6920E5"/>
    <w:rsid w:val="3D6A4AA9"/>
    <w:rsid w:val="3D6CAC23"/>
    <w:rsid w:val="3D7107C1"/>
    <w:rsid w:val="3D788BBA"/>
    <w:rsid w:val="3D99A480"/>
    <w:rsid w:val="3DA09BA0"/>
    <w:rsid w:val="3DAD0415"/>
    <w:rsid w:val="3DB74235"/>
    <w:rsid w:val="3DC6895C"/>
    <w:rsid w:val="3DCD560D"/>
    <w:rsid w:val="3DD18E60"/>
    <w:rsid w:val="3DD1B612"/>
    <w:rsid w:val="3DDB9F37"/>
    <w:rsid w:val="3DF70523"/>
    <w:rsid w:val="3DFBF6D6"/>
    <w:rsid w:val="3E0AE099"/>
    <w:rsid w:val="3E0B069E"/>
    <w:rsid w:val="3E11E75A"/>
    <w:rsid w:val="3E122EA5"/>
    <w:rsid w:val="3E18AE9E"/>
    <w:rsid w:val="3E1A5D07"/>
    <w:rsid w:val="3E21A4C0"/>
    <w:rsid w:val="3E380003"/>
    <w:rsid w:val="3E420565"/>
    <w:rsid w:val="3E4886E8"/>
    <w:rsid w:val="3E4D500C"/>
    <w:rsid w:val="3E6C8944"/>
    <w:rsid w:val="3E6CACA7"/>
    <w:rsid w:val="3E724623"/>
    <w:rsid w:val="3E7BF270"/>
    <w:rsid w:val="3E963872"/>
    <w:rsid w:val="3E986A26"/>
    <w:rsid w:val="3E9D36F9"/>
    <w:rsid w:val="3EA3B593"/>
    <w:rsid w:val="3EB7CCCD"/>
    <w:rsid w:val="3EBF6E45"/>
    <w:rsid w:val="3ECEE507"/>
    <w:rsid w:val="3ED6A75D"/>
    <w:rsid w:val="3ED83FE0"/>
    <w:rsid w:val="3EDC1D8F"/>
    <w:rsid w:val="3EDC301E"/>
    <w:rsid w:val="3EE1F794"/>
    <w:rsid w:val="3EE40305"/>
    <w:rsid w:val="3EE4D476"/>
    <w:rsid w:val="3EE81014"/>
    <w:rsid w:val="3EE83724"/>
    <w:rsid w:val="3EFEAB96"/>
    <w:rsid w:val="3F06093F"/>
    <w:rsid w:val="3F0B5DEF"/>
    <w:rsid w:val="3F0DA688"/>
    <w:rsid w:val="3F0F81C1"/>
    <w:rsid w:val="3F10A9F9"/>
    <w:rsid w:val="3F116AB0"/>
    <w:rsid w:val="3F1DCF15"/>
    <w:rsid w:val="3F247294"/>
    <w:rsid w:val="3F2A657F"/>
    <w:rsid w:val="3F2B060E"/>
    <w:rsid w:val="3F2FEFE2"/>
    <w:rsid w:val="3F3DDA06"/>
    <w:rsid w:val="3F3EF199"/>
    <w:rsid w:val="3F46EEC5"/>
    <w:rsid w:val="3F486B40"/>
    <w:rsid w:val="3F5FF013"/>
    <w:rsid w:val="3F748886"/>
    <w:rsid w:val="3F7CD38A"/>
    <w:rsid w:val="3F82819F"/>
    <w:rsid w:val="3F82B47E"/>
    <w:rsid w:val="3F89BFB5"/>
    <w:rsid w:val="3F95CF8D"/>
    <w:rsid w:val="3F9631C5"/>
    <w:rsid w:val="3F9F10B7"/>
    <w:rsid w:val="3FA1DBC0"/>
    <w:rsid w:val="3FAD5264"/>
    <w:rsid w:val="3FB5CD8B"/>
    <w:rsid w:val="3FBEB34C"/>
    <w:rsid w:val="3FBEF38D"/>
    <w:rsid w:val="3FC8C22B"/>
    <w:rsid w:val="3FD2CAD0"/>
    <w:rsid w:val="3FE73637"/>
    <w:rsid w:val="3FEBA58B"/>
    <w:rsid w:val="3FF8E4E4"/>
    <w:rsid w:val="3FF9189A"/>
    <w:rsid w:val="40027008"/>
    <w:rsid w:val="4006496E"/>
    <w:rsid w:val="4007FC3E"/>
    <w:rsid w:val="401201AA"/>
    <w:rsid w:val="40134C9B"/>
    <w:rsid w:val="404064E5"/>
    <w:rsid w:val="404E48D8"/>
    <w:rsid w:val="405983C9"/>
    <w:rsid w:val="405A59BC"/>
    <w:rsid w:val="4066539A"/>
    <w:rsid w:val="4079C9B4"/>
    <w:rsid w:val="4081B9AD"/>
    <w:rsid w:val="40833463"/>
    <w:rsid w:val="4084B165"/>
    <w:rsid w:val="4086EFC6"/>
    <w:rsid w:val="4089495F"/>
    <w:rsid w:val="40958829"/>
    <w:rsid w:val="4097CD56"/>
    <w:rsid w:val="40A1D9A0"/>
    <w:rsid w:val="40A67B4E"/>
    <w:rsid w:val="40AC5D9D"/>
    <w:rsid w:val="40B380DA"/>
    <w:rsid w:val="40B3AD4D"/>
    <w:rsid w:val="40C39854"/>
    <w:rsid w:val="40CC0D47"/>
    <w:rsid w:val="40D02BD7"/>
    <w:rsid w:val="40D17AF9"/>
    <w:rsid w:val="40E1DF22"/>
    <w:rsid w:val="40E542C5"/>
    <w:rsid w:val="40EC8E34"/>
    <w:rsid w:val="40ED6209"/>
    <w:rsid w:val="40F725CD"/>
    <w:rsid w:val="411FA510"/>
    <w:rsid w:val="412171B5"/>
    <w:rsid w:val="4130C66D"/>
    <w:rsid w:val="413EDD95"/>
    <w:rsid w:val="41461A71"/>
    <w:rsid w:val="4153A0B1"/>
    <w:rsid w:val="4161B45A"/>
    <w:rsid w:val="417387B5"/>
    <w:rsid w:val="41763236"/>
    <w:rsid w:val="417FE559"/>
    <w:rsid w:val="4189577F"/>
    <w:rsid w:val="4189B333"/>
    <w:rsid w:val="418BAC37"/>
    <w:rsid w:val="4192E279"/>
    <w:rsid w:val="419594F3"/>
    <w:rsid w:val="41A49665"/>
    <w:rsid w:val="41C331BB"/>
    <w:rsid w:val="41D60E9D"/>
    <w:rsid w:val="41F56274"/>
    <w:rsid w:val="41F761A0"/>
    <w:rsid w:val="42000E1B"/>
    <w:rsid w:val="42077527"/>
    <w:rsid w:val="420A7F67"/>
    <w:rsid w:val="420B21A2"/>
    <w:rsid w:val="4214784F"/>
    <w:rsid w:val="421DEF23"/>
    <w:rsid w:val="4224BC31"/>
    <w:rsid w:val="422A02DB"/>
    <w:rsid w:val="42320F75"/>
    <w:rsid w:val="423316CF"/>
    <w:rsid w:val="4233CB06"/>
    <w:rsid w:val="42358DD2"/>
    <w:rsid w:val="423B0E06"/>
    <w:rsid w:val="423EEE56"/>
    <w:rsid w:val="424649E4"/>
    <w:rsid w:val="42475FC1"/>
    <w:rsid w:val="42500DD3"/>
    <w:rsid w:val="4254543C"/>
    <w:rsid w:val="425A52D5"/>
    <w:rsid w:val="42681707"/>
    <w:rsid w:val="42702D45"/>
    <w:rsid w:val="427419D2"/>
    <w:rsid w:val="428AF00D"/>
    <w:rsid w:val="42947F30"/>
    <w:rsid w:val="4294B34E"/>
    <w:rsid w:val="4294FA6D"/>
    <w:rsid w:val="429AFC93"/>
    <w:rsid w:val="42A46930"/>
    <w:rsid w:val="42A91D7A"/>
    <w:rsid w:val="42AA0457"/>
    <w:rsid w:val="42AA0761"/>
    <w:rsid w:val="42AB3697"/>
    <w:rsid w:val="42B6A132"/>
    <w:rsid w:val="42BACD12"/>
    <w:rsid w:val="42BFC6BE"/>
    <w:rsid w:val="42C17601"/>
    <w:rsid w:val="42C2B118"/>
    <w:rsid w:val="42C4E815"/>
    <w:rsid w:val="42CB460F"/>
    <w:rsid w:val="42D68CC5"/>
    <w:rsid w:val="42EA3583"/>
    <w:rsid w:val="42F64092"/>
    <w:rsid w:val="42FB48B5"/>
    <w:rsid w:val="4310128C"/>
    <w:rsid w:val="431C1558"/>
    <w:rsid w:val="4327AEA3"/>
    <w:rsid w:val="433AD234"/>
    <w:rsid w:val="4340F6A2"/>
    <w:rsid w:val="43425A18"/>
    <w:rsid w:val="4345CE33"/>
    <w:rsid w:val="43496D43"/>
    <w:rsid w:val="4356152E"/>
    <w:rsid w:val="435918B6"/>
    <w:rsid w:val="4369093E"/>
    <w:rsid w:val="436A47B2"/>
    <w:rsid w:val="436F3CCF"/>
    <w:rsid w:val="438B276C"/>
    <w:rsid w:val="438DD187"/>
    <w:rsid w:val="438DDB3D"/>
    <w:rsid w:val="43979455"/>
    <w:rsid w:val="439C3364"/>
    <w:rsid w:val="43AC93D4"/>
    <w:rsid w:val="43B02AF9"/>
    <w:rsid w:val="43B8C824"/>
    <w:rsid w:val="43BAAA8C"/>
    <w:rsid w:val="43C0B74C"/>
    <w:rsid w:val="43D47C3F"/>
    <w:rsid w:val="43D852A5"/>
    <w:rsid w:val="43E35188"/>
    <w:rsid w:val="43E81E18"/>
    <w:rsid w:val="43E94A1E"/>
    <w:rsid w:val="43F79287"/>
    <w:rsid w:val="43F98CB0"/>
    <w:rsid w:val="43FFDEB2"/>
    <w:rsid w:val="44017DB2"/>
    <w:rsid w:val="440330D2"/>
    <w:rsid w:val="440A6366"/>
    <w:rsid w:val="4416FAB5"/>
    <w:rsid w:val="441CB520"/>
    <w:rsid w:val="442B0857"/>
    <w:rsid w:val="442C762C"/>
    <w:rsid w:val="442DDC6D"/>
    <w:rsid w:val="4430F6F8"/>
    <w:rsid w:val="4439F0B7"/>
    <w:rsid w:val="443C4464"/>
    <w:rsid w:val="445CC0E0"/>
    <w:rsid w:val="445F9B2B"/>
    <w:rsid w:val="4460DF4B"/>
    <w:rsid w:val="44700432"/>
    <w:rsid w:val="44764D40"/>
    <w:rsid w:val="44765AB1"/>
    <w:rsid w:val="447A221D"/>
    <w:rsid w:val="447FB5EB"/>
    <w:rsid w:val="4485F5D0"/>
    <w:rsid w:val="4489B48A"/>
    <w:rsid w:val="448F494D"/>
    <w:rsid w:val="4498447A"/>
    <w:rsid w:val="449E7C98"/>
    <w:rsid w:val="44A564FD"/>
    <w:rsid w:val="44B0E9F3"/>
    <w:rsid w:val="44B5CA4D"/>
    <w:rsid w:val="44B69591"/>
    <w:rsid w:val="44C111A0"/>
    <w:rsid w:val="44C795C5"/>
    <w:rsid w:val="44C84BE8"/>
    <w:rsid w:val="44D0AD5A"/>
    <w:rsid w:val="44E5EFC6"/>
    <w:rsid w:val="44F05871"/>
    <w:rsid w:val="45083114"/>
    <w:rsid w:val="450B5ACC"/>
    <w:rsid w:val="450F7B99"/>
    <w:rsid w:val="451669E5"/>
    <w:rsid w:val="451AE282"/>
    <w:rsid w:val="451D8B81"/>
    <w:rsid w:val="452D1340"/>
    <w:rsid w:val="453030B7"/>
    <w:rsid w:val="45338B06"/>
    <w:rsid w:val="45429D1E"/>
    <w:rsid w:val="45439BA9"/>
    <w:rsid w:val="454915D1"/>
    <w:rsid w:val="454CBD69"/>
    <w:rsid w:val="45562F0B"/>
    <w:rsid w:val="45593C45"/>
    <w:rsid w:val="455AFD8A"/>
    <w:rsid w:val="45624CB1"/>
    <w:rsid w:val="456733DF"/>
    <w:rsid w:val="4579A7A2"/>
    <w:rsid w:val="4590B125"/>
    <w:rsid w:val="459B2FD5"/>
    <w:rsid w:val="459B84B5"/>
    <w:rsid w:val="459F435B"/>
    <w:rsid w:val="45A3F3F8"/>
    <w:rsid w:val="45AE2647"/>
    <w:rsid w:val="45B3EF7F"/>
    <w:rsid w:val="45B7D62F"/>
    <w:rsid w:val="45C52A56"/>
    <w:rsid w:val="45C9768F"/>
    <w:rsid w:val="45CA41B7"/>
    <w:rsid w:val="45CD49B2"/>
    <w:rsid w:val="45D414A2"/>
    <w:rsid w:val="45DBDDC8"/>
    <w:rsid w:val="45E07933"/>
    <w:rsid w:val="45E0FA80"/>
    <w:rsid w:val="45E7ED5D"/>
    <w:rsid w:val="45E7F838"/>
    <w:rsid w:val="45FEE149"/>
    <w:rsid w:val="45FFED91"/>
    <w:rsid w:val="4605E00D"/>
    <w:rsid w:val="460AD388"/>
    <w:rsid w:val="460DDA1D"/>
    <w:rsid w:val="4619B95E"/>
    <w:rsid w:val="461FE81C"/>
    <w:rsid w:val="4620D2EC"/>
    <w:rsid w:val="4626DE69"/>
    <w:rsid w:val="46282783"/>
    <w:rsid w:val="464AA221"/>
    <w:rsid w:val="464BBE35"/>
    <w:rsid w:val="464C1B55"/>
    <w:rsid w:val="464F32FF"/>
    <w:rsid w:val="464F657A"/>
    <w:rsid w:val="465D5E65"/>
    <w:rsid w:val="4664D24F"/>
    <w:rsid w:val="468BBCF6"/>
    <w:rsid w:val="468BEFC7"/>
    <w:rsid w:val="4691CC0E"/>
    <w:rsid w:val="46922B09"/>
    <w:rsid w:val="46984D3B"/>
    <w:rsid w:val="469E9A08"/>
    <w:rsid w:val="469F4268"/>
    <w:rsid w:val="46A91AA1"/>
    <w:rsid w:val="46B049A0"/>
    <w:rsid w:val="46B2F6E6"/>
    <w:rsid w:val="46B4D863"/>
    <w:rsid w:val="46D5CA67"/>
    <w:rsid w:val="46D69E29"/>
    <w:rsid w:val="4709B571"/>
    <w:rsid w:val="470A270E"/>
    <w:rsid w:val="4710886A"/>
    <w:rsid w:val="4717A312"/>
    <w:rsid w:val="4732E4CE"/>
    <w:rsid w:val="47372245"/>
    <w:rsid w:val="4737C6E0"/>
    <w:rsid w:val="473F10EE"/>
    <w:rsid w:val="4746B3CF"/>
    <w:rsid w:val="47472354"/>
    <w:rsid w:val="474CBFF0"/>
    <w:rsid w:val="4750826D"/>
    <w:rsid w:val="47545D58"/>
    <w:rsid w:val="475F71F6"/>
    <w:rsid w:val="47600D9E"/>
    <w:rsid w:val="476D47E7"/>
    <w:rsid w:val="47760FC9"/>
    <w:rsid w:val="4783F08F"/>
    <w:rsid w:val="4784DCBE"/>
    <w:rsid w:val="478A1BC8"/>
    <w:rsid w:val="478EB38E"/>
    <w:rsid w:val="47947966"/>
    <w:rsid w:val="4796B19F"/>
    <w:rsid w:val="4797FCD3"/>
    <w:rsid w:val="479835DB"/>
    <w:rsid w:val="479EC6E2"/>
    <w:rsid w:val="47B023C8"/>
    <w:rsid w:val="47B1C2DF"/>
    <w:rsid w:val="47B86C76"/>
    <w:rsid w:val="47B90A78"/>
    <w:rsid w:val="47B9BAE2"/>
    <w:rsid w:val="47BAEEB7"/>
    <w:rsid w:val="47D1FD1A"/>
    <w:rsid w:val="47DD4A89"/>
    <w:rsid w:val="47E56598"/>
    <w:rsid w:val="47FECAAA"/>
    <w:rsid w:val="480B774E"/>
    <w:rsid w:val="48129F52"/>
    <w:rsid w:val="481533C3"/>
    <w:rsid w:val="481BD98A"/>
    <w:rsid w:val="4828A306"/>
    <w:rsid w:val="482B7ECE"/>
    <w:rsid w:val="482DF4C5"/>
    <w:rsid w:val="483D215D"/>
    <w:rsid w:val="483E7DEF"/>
    <w:rsid w:val="484427F4"/>
    <w:rsid w:val="48481453"/>
    <w:rsid w:val="484AC287"/>
    <w:rsid w:val="484AEEC0"/>
    <w:rsid w:val="484CB179"/>
    <w:rsid w:val="484E1FDC"/>
    <w:rsid w:val="485FCF45"/>
    <w:rsid w:val="486A917A"/>
    <w:rsid w:val="486BA2F2"/>
    <w:rsid w:val="486F72BC"/>
    <w:rsid w:val="488A29A0"/>
    <w:rsid w:val="4896E55C"/>
    <w:rsid w:val="48AE7B45"/>
    <w:rsid w:val="48AEB8AE"/>
    <w:rsid w:val="48B718B6"/>
    <w:rsid w:val="48B80381"/>
    <w:rsid w:val="48C6C921"/>
    <w:rsid w:val="48C79D42"/>
    <w:rsid w:val="48C8CE60"/>
    <w:rsid w:val="48CC63BA"/>
    <w:rsid w:val="48D1038A"/>
    <w:rsid w:val="48D6730C"/>
    <w:rsid w:val="48D6B14C"/>
    <w:rsid w:val="48F05D9A"/>
    <w:rsid w:val="48F6705C"/>
    <w:rsid w:val="49019075"/>
    <w:rsid w:val="490C3546"/>
    <w:rsid w:val="4914D9A4"/>
    <w:rsid w:val="4929C492"/>
    <w:rsid w:val="492D7C49"/>
    <w:rsid w:val="492EE2B9"/>
    <w:rsid w:val="49366377"/>
    <w:rsid w:val="4951E3EF"/>
    <w:rsid w:val="4952AB62"/>
    <w:rsid w:val="495ECFA7"/>
    <w:rsid w:val="4963D464"/>
    <w:rsid w:val="496601B1"/>
    <w:rsid w:val="49677172"/>
    <w:rsid w:val="496CA860"/>
    <w:rsid w:val="49764ACE"/>
    <w:rsid w:val="49772D45"/>
    <w:rsid w:val="497796FD"/>
    <w:rsid w:val="497AA27E"/>
    <w:rsid w:val="497C6D3E"/>
    <w:rsid w:val="497D6323"/>
    <w:rsid w:val="498DFA07"/>
    <w:rsid w:val="4990FED2"/>
    <w:rsid w:val="49961131"/>
    <w:rsid w:val="49974BD4"/>
    <w:rsid w:val="49A5FC05"/>
    <w:rsid w:val="49A97AB1"/>
    <w:rsid w:val="49AA6EF8"/>
    <w:rsid w:val="49B896A0"/>
    <w:rsid w:val="49C1C29A"/>
    <w:rsid w:val="49C1FBC7"/>
    <w:rsid w:val="49C203B4"/>
    <w:rsid w:val="49D5C8CE"/>
    <w:rsid w:val="49E881DA"/>
    <w:rsid w:val="49EC91FC"/>
    <w:rsid w:val="4A06F3E1"/>
    <w:rsid w:val="4A0F133D"/>
    <w:rsid w:val="4A12C475"/>
    <w:rsid w:val="4A131403"/>
    <w:rsid w:val="4A14EF84"/>
    <w:rsid w:val="4A1ABB3E"/>
    <w:rsid w:val="4A1BBBAD"/>
    <w:rsid w:val="4A2047AA"/>
    <w:rsid w:val="4A390CE0"/>
    <w:rsid w:val="4A39FA1C"/>
    <w:rsid w:val="4A48A383"/>
    <w:rsid w:val="4A49D6C3"/>
    <w:rsid w:val="4A4AF029"/>
    <w:rsid w:val="4A629F30"/>
    <w:rsid w:val="4A6BDE3B"/>
    <w:rsid w:val="4A7826CE"/>
    <w:rsid w:val="4A8548C3"/>
    <w:rsid w:val="4A863AA0"/>
    <w:rsid w:val="4A8F4D2D"/>
    <w:rsid w:val="4A968EF0"/>
    <w:rsid w:val="4AA61F11"/>
    <w:rsid w:val="4AAF4315"/>
    <w:rsid w:val="4AB02BB0"/>
    <w:rsid w:val="4AB465CF"/>
    <w:rsid w:val="4AB7A541"/>
    <w:rsid w:val="4ABD05D1"/>
    <w:rsid w:val="4AC68E59"/>
    <w:rsid w:val="4AC8F2FA"/>
    <w:rsid w:val="4ACE5EED"/>
    <w:rsid w:val="4ADEC50F"/>
    <w:rsid w:val="4AE9268E"/>
    <w:rsid w:val="4AF72DB4"/>
    <w:rsid w:val="4B013ADD"/>
    <w:rsid w:val="4B0E8FA8"/>
    <w:rsid w:val="4B143911"/>
    <w:rsid w:val="4B1A0731"/>
    <w:rsid w:val="4B25A58E"/>
    <w:rsid w:val="4B266EDE"/>
    <w:rsid w:val="4B28FBCA"/>
    <w:rsid w:val="4B32AF65"/>
    <w:rsid w:val="4B32B3EC"/>
    <w:rsid w:val="4B503FAC"/>
    <w:rsid w:val="4B59E1EB"/>
    <w:rsid w:val="4B5AE4A5"/>
    <w:rsid w:val="4B72A2A3"/>
    <w:rsid w:val="4B767987"/>
    <w:rsid w:val="4B7817D3"/>
    <w:rsid w:val="4B8817B8"/>
    <w:rsid w:val="4B935970"/>
    <w:rsid w:val="4B93DB89"/>
    <w:rsid w:val="4BA11D3D"/>
    <w:rsid w:val="4BA20E1F"/>
    <w:rsid w:val="4BB34F9B"/>
    <w:rsid w:val="4BB762A4"/>
    <w:rsid w:val="4BC2D244"/>
    <w:rsid w:val="4BC4F642"/>
    <w:rsid w:val="4BCAD8E1"/>
    <w:rsid w:val="4BCB75B5"/>
    <w:rsid w:val="4BCE43CF"/>
    <w:rsid w:val="4BD96D30"/>
    <w:rsid w:val="4BE6C101"/>
    <w:rsid w:val="4BEAAF83"/>
    <w:rsid w:val="4BED3D88"/>
    <w:rsid w:val="4BEE549F"/>
    <w:rsid w:val="4BEF286E"/>
    <w:rsid w:val="4BF72508"/>
    <w:rsid w:val="4C058E2F"/>
    <w:rsid w:val="4C0F2D5E"/>
    <w:rsid w:val="4C113BD3"/>
    <w:rsid w:val="4C242D22"/>
    <w:rsid w:val="4C2453C0"/>
    <w:rsid w:val="4C2C4B23"/>
    <w:rsid w:val="4C319B27"/>
    <w:rsid w:val="4C3DCF45"/>
    <w:rsid w:val="4C4E121A"/>
    <w:rsid w:val="4C619C2D"/>
    <w:rsid w:val="4C7F70EE"/>
    <w:rsid w:val="4C811D7E"/>
    <w:rsid w:val="4C883323"/>
    <w:rsid w:val="4C900309"/>
    <w:rsid w:val="4C9469CF"/>
    <w:rsid w:val="4C94A70E"/>
    <w:rsid w:val="4CA90A89"/>
    <w:rsid w:val="4CB0F7B0"/>
    <w:rsid w:val="4CB79B22"/>
    <w:rsid w:val="4CB918E0"/>
    <w:rsid w:val="4CC12078"/>
    <w:rsid w:val="4CCB84B3"/>
    <w:rsid w:val="4CCF61BE"/>
    <w:rsid w:val="4CD9C0C7"/>
    <w:rsid w:val="4CDBBA92"/>
    <w:rsid w:val="4CDCAC19"/>
    <w:rsid w:val="4CDDE9EA"/>
    <w:rsid w:val="4CDF500D"/>
    <w:rsid w:val="4CF2E009"/>
    <w:rsid w:val="4CF4AC8A"/>
    <w:rsid w:val="4CF758E6"/>
    <w:rsid w:val="4CFD276B"/>
    <w:rsid w:val="4D081604"/>
    <w:rsid w:val="4D0B239D"/>
    <w:rsid w:val="4D0DB8D5"/>
    <w:rsid w:val="4D14A606"/>
    <w:rsid w:val="4D15A08A"/>
    <w:rsid w:val="4D1739F2"/>
    <w:rsid w:val="4D204CDA"/>
    <w:rsid w:val="4D262155"/>
    <w:rsid w:val="4D2D177B"/>
    <w:rsid w:val="4D38D22C"/>
    <w:rsid w:val="4D484885"/>
    <w:rsid w:val="4D4F6F4E"/>
    <w:rsid w:val="4D63C54B"/>
    <w:rsid w:val="4D716245"/>
    <w:rsid w:val="4D771ECE"/>
    <w:rsid w:val="4D7747EE"/>
    <w:rsid w:val="4D785661"/>
    <w:rsid w:val="4D7B893D"/>
    <w:rsid w:val="4D9CF538"/>
    <w:rsid w:val="4DA3BD62"/>
    <w:rsid w:val="4DA4497C"/>
    <w:rsid w:val="4DB03AF9"/>
    <w:rsid w:val="4DB62BE5"/>
    <w:rsid w:val="4DC02AA9"/>
    <w:rsid w:val="4DCC0CA5"/>
    <w:rsid w:val="4DD4CF3F"/>
    <w:rsid w:val="4DDE34A9"/>
    <w:rsid w:val="4DE4EFCF"/>
    <w:rsid w:val="4DF7B1B2"/>
    <w:rsid w:val="4E0AAA02"/>
    <w:rsid w:val="4E0B7110"/>
    <w:rsid w:val="4E130142"/>
    <w:rsid w:val="4E3A2576"/>
    <w:rsid w:val="4E4B3F8A"/>
    <w:rsid w:val="4E7AA2FA"/>
    <w:rsid w:val="4E7F2095"/>
    <w:rsid w:val="4E861C55"/>
    <w:rsid w:val="4E88AC0B"/>
    <w:rsid w:val="4E95668E"/>
    <w:rsid w:val="4E97797E"/>
    <w:rsid w:val="4E9B9B18"/>
    <w:rsid w:val="4E9E3F5E"/>
    <w:rsid w:val="4EA138FD"/>
    <w:rsid w:val="4EA5F6A4"/>
    <w:rsid w:val="4EAB19D5"/>
    <w:rsid w:val="4EAFB970"/>
    <w:rsid w:val="4EB4DB53"/>
    <w:rsid w:val="4EC11DFC"/>
    <w:rsid w:val="4ED605A4"/>
    <w:rsid w:val="4ED8E498"/>
    <w:rsid w:val="4EDA76C9"/>
    <w:rsid w:val="4EDC2701"/>
    <w:rsid w:val="4EDC83B8"/>
    <w:rsid w:val="4EE27D9F"/>
    <w:rsid w:val="4EE3B255"/>
    <w:rsid w:val="4EE45F6F"/>
    <w:rsid w:val="4EE83E55"/>
    <w:rsid w:val="4EED49BA"/>
    <w:rsid w:val="4EF49EB0"/>
    <w:rsid w:val="4EF554BA"/>
    <w:rsid w:val="4EF736C8"/>
    <w:rsid w:val="4F02BBE5"/>
    <w:rsid w:val="4F0EF502"/>
    <w:rsid w:val="4F14224E"/>
    <w:rsid w:val="4F15580C"/>
    <w:rsid w:val="4F21A845"/>
    <w:rsid w:val="4F233CDE"/>
    <w:rsid w:val="4F27A1E9"/>
    <w:rsid w:val="4F2A2507"/>
    <w:rsid w:val="4F2D93F9"/>
    <w:rsid w:val="4F30C8A0"/>
    <w:rsid w:val="4F45705E"/>
    <w:rsid w:val="4F4AE59A"/>
    <w:rsid w:val="4F57EC5D"/>
    <w:rsid w:val="4F64E95F"/>
    <w:rsid w:val="4F800D0B"/>
    <w:rsid w:val="4F8178BA"/>
    <w:rsid w:val="4FAD4B21"/>
    <w:rsid w:val="4FB0FC04"/>
    <w:rsid w:val="4FB87578"/>
    <w:rsid w:val="4FE1161C"/>
    <w:rsid w:val="4FE1DA7E"/>
    <w:rsid w:val="4FE73590"/>
    <w:rsid w:val="4FE73753"/>
    <w:rsid w:val="4FFBC789"/>
    <w:rsid w:val="50035800"/>
    <w:rsid w:val="500700BB"/>
    <w:rsid w:val="50091D09"/>
    <w:rsid w:val="500AC437"/>
    <w:rsid w:val="50127980"/>
    <w:rsid w:val="5028922B"/>
    <w:rsid w:val="503731E3"/>
    <w:rsid w:val="50411E90"/>
    <w:rsid w:val="5044A972"/>
    <w:rsid w:val="5047A351"/>
    <w:rsid w:val="504AD183"/>
    <w:rsid w:val="504FCE40"/>
    <w:rsid w:val="5054D384"/>
    <w:rsid w:val="505D5E91"/>
    <w:rsid w:val="505ECBE9"/>
    <w:rsid w:val="5067456D"/>
    <w:rsid w:val="5067DBD1"/>
    <w:rsid w:val="5075BECE"/>
    <w:rsid w:val="5077FAD2"/>
    <w:rsid w:val="50810EBE"/>
    <w:rsid w:val="508DD1CB"/>
    <w:rsid w:val="509EE6D8"/>
    <w:rsid w:val="509FFC62"/>
    <w:rsid w:val="50ACD1AF"/>
    <w:rsid w:val="50B0AF18"/>
    <w:rsid w:val="50B20FDE"/>
    <w:rsid w:val="50BFEAF0"/>
    <w:rsid w:val="50CB22AC"/>
    <w:rsid w:val="50D08653"/>
    <w:rsid w:val="50DE5402"/>
    <w:rsid w:val="50E114F1"/>
    <w:rsid w:val="50F6329B"/>
    <w:rsid w:val="50F73B9A"/>
    <w:rsid w:val="50F791CE"/>
    <w:rsid w:val="50FA2304"/>
    <w:rsid w:val="50FDF7C8"/>
    <w:rsid w:val="5127F137"/>
    <w:rsid w:val="512CF965"/>
    <w:rsid w:val="5136CF29"/>
    <w:rsid w:val="5149873E"/>
    <w:rsid w:val="514DB676"/>
    <w:rsid w:val="514E3881"/>
    <w:rsid w:val="5159DDDE"/>
    <w:rsid w:val="515B57CF"/>
    <w:rsid w:val="515CAE34"/>
    <w:rsid w:val="51642AA1"/>
    <w:rsid w:val="51668522"/>
    <w:rsid w:val="51680F52"/>
    <w:rsid w:val="516B34FB"/>
    <w:rsid w:val="516B48D5"/>
    <w:rsid w:val="5177EE4F"/>
    <w:rsid w:val="51798AA7"/>
    <w:rsid w:val="517A53B2"/>
    <w:rsid w:val="518B3A87"/>
    <w:rsid w:val="519E3649"/>
    <w:rsid w:val="51B5ED03"/>
    <w:rsid w:val="51B765B2"/>
    <w:rsid w:val="51D08117"/>
    <w:rsid w:val="51D3CC72"/>
    <w:rsid w:val="51D6A31F"/>
    <w:rsid w:val="51DA5373"/>
    <w:rsid w:val="51DA863D"/>
    <w:rsid w:val="51EE3301"/>
    <w:rsid w:val="51F066AD"/>
    <w:rsid w:val="520EE1A9"/>
    <w:rsid w:val="5210FE14"/>
    <w:rsid w:val="52213059"/>
    <w:rsid w:val="522199EC"/>
    <w:rsid w:val="52235A9F"/>
    <w:rsid w:val="523AD271"/>
    <w:rsid w:val="523DB436"/>
    <w:rsid w:val="52412E57"/>
    <w:rsid w:val="5242F114"/>
    <w:rsid w:val="5256F6A5"/>
    <w:rsid w:val="525A9216"/>
    <w:rsid w:val="525B54E9"/>
    <w:rsid w:val="5275B17B"/>
    <w:rsid w:val="52787955"/>
    <w:rsid w:val="5280B363"/>
    <w:rsid w:val="5288AA05"/>
    <w:rsid w:val="528D5DD5"/>
    <w:rsid w:val="529DE521"/>
    <w:rsid w:val="52A3B06F"/>
    <w:rsid w:val="52B4C355"/>
    <w:rsid w:val="52B6ECCB"/>
    <w:rsid w:val="52C9093A"/>
    <w:rsid w:val="52C97AED"/>
    <w:rsid w:val="52D04639"/>
    <w:rsid w:val="52D436AA"/>
    <w:rsid w:val="52E44DB8"/>
    <w:rsid w:val="52EC7DE6"/>
    <w:rsid w:val="52F744D6"/>
    <w:rsid w:val="52F8F33D"/>
    <w:rsid w:val="5309124D"/>
    <w:rsid w:val="530A147F"/>
    <w:rsid w:val="530DA2AD"/>
    <w:rsid w:val="5318B84D"/>
    <w:rsid w:val="5323DF1F"/>
    <w:rsid w:val="532DE323"/>
    <w:rsid w:val="5346988A"/>
    <w:rsid w:val="534EA52D"/>
    <w:rsid w:val="53515234"/>
    <w:rsid w:val="535A6587"/>
    <w:rsid w:val="535B5BE2"/>
    <w:rsid w:val="5371E2AD"/>
    <w:rsid w:val="5375BAE0"/>
    <w:rsid w:val="538DB1CB"/>
    <w:rsid w:val="539397EC"/>
    <w:rsid w:val="539B8084"/>
    <w:rsid w:val="539DCE5A"/>
    <w:rsid w:val="53B0F694"/>
    <w:rsid w:val="53BC99D2"/>
    <w:rsid w:val="53CC4F9F"/>
    <w:rsid w:val="53CEADC0"/>
    <w:rsid w:val="53E1AC0F"/>
    <w:rsid w:val="53E54C56"/>
    <w:rsid w:val="53F3CA62"/>
    <w:rsid w:val="53F9BB0B"/>
    <w:rsid w:val="54157377"/>
    <w:rsid w:val="5417BE67"/>
    <w:rsid w:val="541F4DEB"/>
    <w:rsid w:val="544268A8"/>
    <w:rsid w:val="544C1D6C"/>
    <w:rsid w:val="544CF9F0"/>
    <w:rsid w:val="545EA49F"/>
    <w:rsid w:val="546A93AC"/>
    <w:rsid w:val="5475B187"/>
    <w:rsid w:val="548CAED5"/>
    <w:rsid w:val="548CDC0B"/>
    <w:rsid w:val="548DAA5C"/>
    <w:rsid w:val="54952DAF"/>
    <w:rsid w:val="549BD327"/>
    <w:rsid w:val="54A357C6"/>
    <w:rsid w:val="54A38207"/>
    <w:rsid w:val="54AEB3A6"/>
    <w:rsid w:val="54CBCDCC"/>
    <w:rsid w:val="54CDBFE0"/>
    <w:rsid w:val="54CE439B"/>
    <w:rsid w:val="54D1722A"/>
    <w:rsid w:val="54D2301A"/>
    <w:rsid w:val="54D7D49B"/>
    <w:rsid w:val="54EAEFA8"/>
    <w:rsid w:val="54FD598B"/>
    <w:rsid w:val="54FE2E1F"/>
    <w:rsid w:val="5501C6AB"/>
    <w:rsid w:val="550A3AB0"/>
    <w:rsid w:val="550B0E0F"/>
    <w:rsid w:val="551A7264"/>
    <w:rsid w:val="551C4740"/>
    <w:rsid w:val="553C3EA8"/>
    <w:rsid w:val="5552A451"/>
    <w:rsid w:val="555A2B3C"/>
    <w:rsid w:val="55679DEB"/>
    <w:rsid w:val="556EE41B"/>
    <w:rsid w:val="5574BF63"/>
    <w:rsid w:val="557D8E27"/>
    <w:rsid w:val="557E2FE2"/>
    <w:rsid w:val="558FCB6C"/>
    <w:rsid w:val="559575DD"/>
    <w:rsid w:val="559EDB7E"/>
    <w:rsid w:val="55AA5307"/>
    <w:rsid w:val="55B173E5"/>
    <w:rsid w:val="55B36EC2"/>
    <w:rsid w:val="55BDAE02"/>
    <w:rsid w:val="560A8AD3"/>
    <w:rsid w:val="560EE5FE"/>
    <w:rsid w:val="561B394F"/>
    <w:rsid w:val="561F4099"/>
    <w:rsid w:val="56378D6F"/>
    <w:rsid w:val="564AF8D7"/>
    <w:rsid w:val="564C958A"/>
    <w:rsid w:val="565051EB"/>
    <w:rsid w:val="56536228"/>
    <w:rsid w:val="565D956F"/>
    <w:rsid w:val="56682A29"/>
    <w:rsid w:val="5668B8A2"/>
    <w:rsid w:val="56725E20"/>
    <w:rsid w:val="56734DF5"/>
    <w:rsid w:val="5678EC95"/>
    <w:rsid w:val="56812259"/>
    <w:rsid w:val="5688B0DC"/>
    <w:rsid w:val="568E5878"/>
    <w:rsid w:val="568F3790"/>
    <w:rsid w:val="56925CBC"/>
    <w:rsid w:val="56B22A94"/>
    <w:rsid w:val="56B95A98"/>
    <w:rsid w:val="56BB26E0"/>
    <w:rsid w:val="56BE9F8A"/>
    <w:rsid w:val="56BEF4CD"/>
    <w:rsid w:val="56C4F4EA"/>
    <w:rsid w:val="56D95C29"/>
    <w:rsid w:val="56D96282"/>
    <w:rsid w:val="56D9C6D6"/>
    <w:rsid w:val="56E14A6F"/>
    <w:rsid w:val="56E24428"/>
    <w:rsid w:val="56E6A14A"/>
    <w:rsid w:val="56EAE98D"/>
    <w:rsid w:val="56F912AA"/>
    <w:rsid w:val="56FD5A9F"/>
    <w:rsid w:val="56FDEA2D"/>
    <w:rsid w:val="56FF56E7"/>
    <w:rsid w:val="5706A69C"/>
    <w:rsid w:val="5707376D"/>
    <w:rsid w:val="570C9AE9"/>
    <w:rsid w:val="570DECB6"/>
    <w:rsid w:val="571430E4"/>
    <w:rsid w:val="5715520F"/>
    <w:rsid w:val="572678CD"/>
    <w:rsid w:val="572888C5"/>
    <w:rsid w:val="5728B9D6"/>
    <w:rsid w:val="5733AC02"/>
    <w:rsid w:val="573AC75B"/>
    <w:rsid w:val="573B2F86"/>
    <w:rsid w:val="574B00E7"/>
    <w:rsid w:val="5756E571"/>
    <w:rsid w:val="5757397B"/>
    <w:rsid w:val="57594C37"/>
    <w:rsid w:val="575D89F6"/>
    <w:rsid w:val="5769541F"/>
    <w:rsid w:val="577889EC"/>
    <w:rsid w:val="5779C773"/>
    <w:rsid w:val="578B3A9D"/>
    <w:rsid w:val="578C1187"/>
    <w:rsid w:val="57A5EDFC"/>
    <w:rsid w:val="57B2EAC4"/>
    <w:rsid w:val="57C0C331"/>
    <w:rsid w:val="57CFA0B9"/>
    <w:rsid w:val="57D048B0"/>
    <w:rsid w:val="57DB014E"/>
    <w:rsid w:val="57EB7073"/>
    <w:rsid w:val="57F1A956"/>
    <w:rsid w:val="57F1D8E9"/>
    <w:rsid w:val="581CE9D5"/>
    <w:rsid w:val="58268FA6"/>
    <w:rsid w:val="58274447"/>
    <w:rsid w:val="582EE1D3"/>
    <w:rsid w:val="5845922D"/>
    <w:rsid w:val="5847A80A"/>
    <w:rsid w:val="5854CB8D"/>
    <w:rsid w:val="5857B5DD"/>
    <w:rsid w:val="58591CCE"/>
    <w:rsid w:val="585E0A64"/>
    <w:rsid w:val="58632270"/>
    <w:rsid w:val="58641C1D"/>
    <w:rsid w:val="586EBA31"/>
    <w:rsid w:val="5872031E"/>
    <w:rsid w:val="587DBA7A"/>
    <w:rsid w:val="588A7AF8"/>
    <w:rsid w:val="588E3BB8"/>
    <w:rsid w:val="58944768"/>
    <w:rsid w:val="589DDD44"/>
    <w:rsid w:val="58ABF9EB"/>
    <w:rsid w:val="58B2AF98"/>
    <w:rsid w:val="58BE50B3"/>
    <w:rsid w:val="58C5890F"/>
    <w:rsid w:val="58D6F3AB"/>
    <w:rsid w:val="58E3D4F5"/>
    <w:rsid w:val="58E5F420"/>
    <w:rsid w:val="58E6D484"/>
    <w:rsid w:val="58F4EA1D"/>
    <w:rsid w:val="58F51C98"/>
    <w:rsid w:val="590DB98B"/>
    <w:rsid w:val="59119E5C"/>
    <w:rsid w:val="592023DE"/>
    <w:rsid w:val="59263D7A"/>
    <w:rsid w:val="59314CD6"/>
    <w:rsid w:val="5937505B"/>
    <w:rsid w:val="593B9FD4"/>
    <w:rsid w:val="5941F035"/>
    <w:rsid w:val="594853B0"/>
    <w:rsid w:val="5951C6DD"/>
    <w:rsid w:val="595617E2"/>
    <w:rsid w:val="5959C704"/>
    <w:rsid w:val="5965E26F"/>
    <w:rsid w:val="59857344"/>
    <w:rsid w:val="599011BB"/>
    <w:rsid w:val="59966BC6"/>
    <w:rsid w:val="59A20598"/>
    <w:rsid w:val="59B6844C"/>
    <w:rsid w:val="59C1A7CC"/>
    <w:rsid w:val="59D3BBFB"/>
    <w:rsid w:val="59DAFB84"/>
    <w:rsid w:val="59E4B0BB"/>
    <w:rsid w:val="59EB4F12"/>
    <w:rsid w:val="59F8E221"/>
    <w:rsid w:val="59FADFDD"/>
    <w:rsid w:val="5A0AD361"/>
    <w:rsid w:val="5A17D6FE"/>
    <w:rsid w:val="5A188B28"/>
    <w:rsid w:val="5A29751F"/>
    <w:rsid w:val="5A3A1C1F"/>
    <w:rsid w:val="5A3DA4E1"/>
    <w:rsid w:val="5A3FB6DE"/>
    <w:rsid w:val="5A46B79A"/>
    <w:rsid w:val="5A4A724D"/>
    <w:rsid w:val="5A50CBC4"/>
    <w:rsid w:val="5A560C6B"/>
    <w:rsid w:val="5A6A5FCC"/>
    <w:rsid w:val="5A7FF378"/>
    <w:rsid w:val="5A8F5DA9"/>
    <w:rsid w:val="5A919A3B"/>
    <w:rsid w:val="5A94F2A4"/>
    <w:rsid w:val="5A9EFAD4"/>
    <w:rsid w:val="5AA04030"/>
    <w:rsid w:val="5AB2052F"/>
    <w:rsid w:val="5ABCF01B"/>
    <w:rsid w:val="5AC48A0D"/>
    <w:rsid w:val="5AD46323"/>
    <w:rsid w:val="5ADD7322"/>
    <w:rsid w:val="5AE4F666"/>
    <w:rsid w:val="5AF03F76"/>
    <w:rsid w:val="5AF3F6AC"/>
    <w:rsid w:val="5AF503AA"/>
    <w:rsid w:val="5AF80C50"/>
    <w:rsid w:val="5B0555CE"/>
    <w:rsid w:val="5B0CBEB2"/>
    <w:rsid w:val="5B114EC5"/>
    <w:rsid w:val="5B29E86B"/>
    <w:rsid w:val="5B2C15EA"/>
    <w:rsid w:val="5B396F54"/>
    <w:rsid w:val="5B39FBC8"/>
    <w:rsid w:val="5B3D86A4"/>
    <w:rsid w:val="5B42F192"/>
    <w:rsid w:val="5B500C47"/>
    <w:rsid w:val="5B5134C3"/>
    <w:rsid w:val="5B550F07"/>
    <w:rsid w:val="5B574783"/>
    <w:rsid w:val="5B681F75"/>
    <w:rsid w:val="5B69B45B"/>
    <w:rsid w:val="5B6AF139"/>
    <w:rsid w:val="5B715375"/>
    <w:rsid w:val="5B75A78B"/>
    <w:rsid w:val="5B7E9205"/>
    <w:rsid w:val="5B7F4CD7"/>
    <w:rsid w:val="5B8C3BB6"/>
    <w:rsid w:val="5B8F0CF9"/>
    <w:rsid w:val="5B8F1B44"/>
    <w:rsid w:val="5B91E698"/>
    <w:rsid w:val="5B9A00CA"/>
    <w:rsid w:val="5BAB1C9E"/>
    <w:rsid w:val="5BB1640F"/>
    <w:rsid w:val="5BB1950F"/>
    <w:rsid w:val="5BB447BC"/>
    <w:rsid w:val="5BC3F590"/>
    <w:rsid w:val="5BC9467B"/>
    <w:rsid w:val="5BD3B1A9"/>
    <w:rsid w:val="5BDF8AAC"/>
    <w:rsid w:val="5BE73638"/>
    <w:rsid w:val="5BE879F0"/>
    <w:rsid w:val="5BF63BD1"/>
    <w:rsid w:val="5BFDE993"/>
    <w:rsid w:val="5C0393AA"/>
    <w:rsid w:val="5C062566"/>
    <w:rsid w:val="5C1C6332"/>
    <w:rsid w:val="5C218F1C"/>
    <w:rsid w:val="5C235740"/>
    <w:rsid w:val="5C24B354"/>
    <w:rsid w:val="5C268553"/>
    <w:rsid w:val="5C26AB38"/>
    <w:rsid w:val="5C2CF865"/>
    <w:rsid w:val="5C30B21F"/>
    <w:rsid w:val="5C328DC4"/>
    <w:rsid w:val="5C3C492A"/>
    <w:rsid w:val="5C4300FF"/>
    <w:rsid w:val="5C4CC58B"/>
    <w:rsid w:val="5C4DADFC"/>
    <w:rsid w:val="5C5851E4"/>
    <w:rsid w:val="5C5EAE42"/>
    <w:rsid w:val="5C5F8C32"/>
    <w:rsid w:val="5C61C8CB"/>
    <w:rsid w:val="5C686E90"/>
    <w:rsid w:val="5C692A7D"/>
    <w:rsid w:val="5C7B3A30"/>
    <w:rsid w:val="5C861A6A"/>
    <w:rsid w:val="5C8D2ACF"/>
    <w:rsid w:val="5CA783C4"/>
    <w:rsid w:val="5CAD896C"/>
    <w:rsid w:val="5CB2A9E4"/>
    <w:rsid w:val="5CB4E362"/>
    <w:rsid w:val="5CBFC60E"/>
    <w:rsid w:val="5CE5AF5E"/>
    <w:rsid w:val="5CEF75E4"/>
    <w:rsid w:val="5D1BC4AF"/>
    <w:rsid w:val="5D2322D5"/>
    <w:rsid w:val="5D260738"/>
    <w:rsid w:val="5D28AB79"/>
    <w:rsid w:val="5D3DC6CD"/>
    <w:rsid w:val="5D3E4E08"/>
    <w:rsid w:val="5D46C942"/>
    <w:rsid w:val="5D483760"/>
    <w:rsid w:val="5D490D1A"/>
    <w:rsid w:val="5D541C7E"/>
    <w:rsid w:val="5D5B031D"/>
    <w:rsid w:val="5D5B7560"/>
    <w:rsid w:val="5D5BED45"/>
    <w:rsid w:val="5D717737"/>
    <w:rsid w:val="5D751D0E"/>
    <w:rsid w:val="5D76E2C9"/>
    <w:rsid w:val="5D78C4C3"/>
    <w:rsid w:val="5D8866F1"/>
    <w:rsid w:val="5D8B2F50"/>
    <w:rsid w:val="5D8F94D9"/>
    <w:rsid w:val="5D984CED"/>
    <w:rsid w:val="5D99725A"/>
    <w:rsid w:val="5DA0B544"/>
    <w:rsid w:val="5DAED5F3"/>
    <w:rsid w:val="5DAF655E"/>
    <w:rsid w:val="5DB01748"/>
    <w:rsid w:val="5DB13671"/>
    <w:rsid w:val="5DB291CE"/>
    <w:rsid w:val="5DB78DEF"/>
    <w:rsid w:val="5DBFEE48"/>
    <w:rsid w:val="5DC202DD"/>
    <w:rsid w:val="5DCECC3A"/>
    <w:rsid w:val="5DD43CAD"/>
    <w:rsid w:val="5DD89FA8"/>
    <w:rsid w:val="5DDE0CE9"/>
    <w:rsid w:val="5E05320A"/>
    <w:rsid w:val="5E12B882"/>
    <w:rsid w:val="5E30479B"/>
    <w:rsid w:val="5E51E2B3"/>
    <w:rsid w:val="5E5408DF"/>
    <w:rsid w:val="5E6021AF"/>
    <w:rsid w:val="5E627AB4"/>
    <w:rsid w:val="5E643589"/>
    <w:rsid w:val="5E717612"/>
    <w:rsid w:val="5E82EE0F"/>
    <w:rsid w:val="5E831F62"/>
    <w:rsid w:val="5E8A19E6"/>
    <w:rsid w:val="5E8F916C"/>
    <w:rsid w:val="5E91057A"/>
    <w:rsid w:val="5EA58208"/>
    <w:rsid w:val="5EAE95CF"/>
    <w:rsid w:val="5EB6544A"/>
    <w:rsid w:val="5EC04F40"/>
    <w:rsid w:val="5EC36A2E"/>
    <w:rsid w:val="5EC5B29E"/>
    <w:rsid w:val="5EC877E7"/>
    <w:rsid w:val="5ECFAACB"/>
    <w:rsid w:val="5ED2300B"/>
    <w:rsid w:val="5EE3E2D8"/>
    <w:rsid w:val="5EE52A3E"/>
    <w:rsid w:val="5EE727EB"/>
    <w:rsid w:val="5EECC8CF"/>
    <w:rsid w:val="5EEDE112"/>
    <w:rsid w:val="5EF33572"/>
    <w:rsid w:val="5EF6913F"/>
    <w:rsid w:val="5F09AE92"/>
    <w:rsid w:val="5F09B734"/>
    <w:rsid w:val="5F0D210C"/>
    <w:rsid w:val="5F1104DC"/>
    <w:rsid w:val="5F11B7B8"/>
    <w:rsid w:val="5F141AD5"/>
    <w:rsid w:val="5F1DED45"/>
    <w:rsid w:val="5F233D34"/>
    <w:rsid w:val="5F27C26E"/>
    <w:rsid w:val="5F344701"/>
    <w:rsid w:val="5F566568"/>
    <w:rsid w:val="5F5B8FE4"/>
    <w:rsid w:val="5F63ACFE"/>
    <w:rsid w:val="5F679FBC"/>
    <w:rsid w:val="5F7B52C2"/>
    <w:rsid w:val="5F976196"/>
    <w:rsid w:val="5FA51120"/>
    <w:rsid w:val="5FA9A624"/>
    <w:rsid w:val="5FB1AC78"/>
    <w:rsid w:val="5FC033C4"/>
    <w:rsid w:val="5FCA4B80"/>
    <w:rsid w:val="5FD35622"/>
    <w:rsid w:val="5FD81583"/>
    <w:rsid w:val="5FE13388"/>
    <w:rsid w:val="5FE5722F"/>
    <w:rsid w:val="601BA8DE"/>
    <w:rsid w:val="6022CF2C"/>
    <w:rsid w:val="6026F24F"/>
    <w:rsid w:val="603BF072"/>
    <w:rsid w:val="6040C219"/>
    <w:rsid w:val="6046007F"/>
    <w:rsid w:val="605FB8CD"/>
    <w:rsid w:val="60605805"/>
    <w:rsid w:val="60840410"/>
    <w:rsid w:val="608475DA"/>
    <w:rsid w:val="608AF3BA"/>
    <w:rsid w:val="6093D72C"/>
    <w:rsid w:val="60B1B010"/>
    <w:rsid w:val="60B53658"/>
    <w:rsid w:val="60B5AA54"/>
    <w:rsid w:val="60B5CDE7"/>
    <w:rsid w:val="60BDC327"/>
    <w:rsid w:val="60C31F46"/>
    <w:rsid w:val="60C86679"/>
    <w:rsid w:val="60CCE3E9"/>
    <w:rsid w:val="60D05A2B"/>
    <w:rsid w:val="60D1AD3E"/>
    <w:rsid w:val="60D5889B"/>
    <w:rsid w:val="60DB3DAF"/>
    <w:rsid w:val="60DC7BEE"/>
    <w:rsid w:val="60E0BFCE"/>
    <w:rsid w:val="60FF2B14"/>
    <w:rsid w:val="61040795"/>
    <w:rsid w:val="61089381"/>
    <w:rsid w:val="61133C56"/>
    <w:rsid w:val="61157CC4"/>
    <w:rsid w:val="61213588"/>
    <w:rsid w:val="61354927"/>
    <w:rsid w:val="6141926A"/>
    <w:rsid w:val="61445D72"/>
    <w:rsid w:val="6145A227"/>
    <w:rsid w:val="61483717"/>
    <w:rsid w:val="614DF183"/>
    <w:rsid w:val="615A030A"/>
    <w:rsid w:val="6167CD08"/>
    <w:rsid w:val="616ED5B8"/>
    <w:rsid w:val="618C2534"/>
    <w:rsid w:val="61ACCE04"/>
    <w:rsid w:val="61AE0CBB"/>
    <w:rsid w:val="61BAB532"/>
    <w:rsid w:val="61F7B0DC"/>
    <w:rsid w:val="61F947D8"/>
    <w:rsid w:val="61FA5A3E"/>
    <w:rsid w:val="61FFB713"/>
    <w:rsid w:val="620697FB"/>
    <w:rsid w:val="621416D3"/>
    <w:rsid w:val="6215CA61"/>
    <w:rsid w:val="6225DBED"/>
    <w:rsid w:val="62370D8B"/>
    <w:rsid w:val="624631AE"/>
    <w:rsid w:val="6253970A"/>
    <w:rsid w:val="6257FDBD"/>
    <w:rsid w:val="62688CF8"/>
    <w:rsid w:val="62740964"/>
    <w:rsid w:val="6289A995"/>
    <w:rsid w:val="628A1CB2"/>
    <w:rsid w:val="62A3C343"/>
    <w:rsid w:val="62A84C75"/>
    <w:rsid w:val="62B48A7E"/>
    <w:rsid w:val="62B9CA67"/>
    <w:rsid w:val="62BCACEB"/>
    <w:rsid w:val="62BCB604"/>
    <w:rsid w:val="62BE4E95"/>
    <w:rsid w:val="62C23E20"/>
    <w:rsid w:val="62C4B801"/>
    <w:rsid w:val="62D33682"/>
    <w:rsid w:val="62D668B4"/>
    <w:rsid w:val="62F4FB8F"/>
    <w:rsid w:val="62F79200"/>
    <w:rsid w:val="62FC1AAF"/>
    <w:rsid w:val="630CBE91"/>
    <w:rsid w:val="63140E83"/>
    <w:rsid w:val="6325DAA9"/>
    <w:rsid w:val="632B16D3"/>
    <w:rsid w:val="632E26AC"/>
    <w:rsid w:val="63309689"/>
    <w:rsid w:val="6330AD48"/>
    <w:rsid w:val="63408C8D"/>
    <w:rsid w:val="6342AAE1"/>
    <w:rsid w:val="6347E229"/>
    <w:rsid w:val="634D2C8C"/>
    <w:rsid w:val="6354F840"/>
    <w:rsid w:val="6360DBB6"/>
    <w:rsid w:val="63645741"/>
    <w:rsid w:val="6386109D"/>
    <w:rsid w:val="6389631A"/>
    <w:rsid w:val="638B48BC"/>
    <w:rsid w:val="638C7872"/>
    <w:rsid w:val="638D780A"/>
    <w:rsid w:val="638E48B9"/>
    <w:rsid w:val="638F3A33"/>
    <w:rsid w:val="63949708"/>
    <w:rsid w:val="63A13929"/>
    <w:rsid w:val="63A2D310"/>
    <w:rsid w:val="63A6D585"/>
    <w:rsid w:val="63AA5AF0"/>
    <w:rsid w:val="63AACB67"/>
    <w:rsid w:val="63ACCACC"/>
    <w:rsid w:val="63D0B568"/>
    <w:rsid w:val="63D460B3"/>
    <w:rsid w:val="63E793C8"/>
    <w:rsid w:val="63F6CEC9"/>
    <w:rsid w:val="63FB24AF"/>
    <w:rsid w:val="642BF098"/>
    <w:rsid w:val="64353057"/>
    <w:rsid w:val="644BE131"/>
    <w:rsid w:val="645CBE58"/>
    <w:rsid w:val="6472CB02"/>
    <w:rsid w:val="6478A6F0"/>
    <w:rsid w:val="6478E8AB"/>
    <w:rsid w:val="64837058"/>
    <w:rsid w:val="648D9BB9"/>
    <w:rsid w:val="649679A2"/>
    <w:rsid w:val="649CA101"/>
    <w:rsid w:val="649D1EA4"/>
    <w:rsid w:val="649DA300"/>
    <w:rsid w:val="649FFA0F"/>
    <w:rsid w:val="64AC4389"/>
    <w:rsid w:val="64AF9CFF"/>
    <w:rsid w:val="64C26767"/>
    <w:rsid w:val="64CBBED6"/>
    <w:rsid w:val="64CDFD35"/>
    <w:rsid w:val="64CF71C3"/>
    <w:rsid w:val="64D16C97"/>
    <w:rsid w:val="64EED200"/>
    <w:rsid w:val="64F07EFD"/>
    <w:rsid w:val="64F89D0A"/>
    <w:rsid w:val="65070BC6"/>
    <w:rsid w:val="6510992B"/>
    <w:rsid w:val="65115F60"/>
    <w:rsid w:val="6513FECA"/>
    <w:rsid w:val="65210EA5"/>
    <w:rsid w:val="65227612"/>
    <w:rsid w:val="6525273C"/>
    <w:rsid w:val="652D806B"/>
    <w:rsid w:val="65354D5F"/>
    <w:rsid w:val="653B0F1D"/>
    <w:rsid w:val="653FD533"/>
    <w:rsid w:val="65401416"/>
    <w:rsid w:val="654756DF"/>
    <w:rsid w:val="654A19CC"/>
    <w:rsid w:val="655E215C"/>
    <w:rsid w:val="65665013"/>
    <w:rsid w:val="6574C61F"/>
    <w:rsid w:val="65797519"/>
    <w:rsid w:val="657B361A"/>
    <w:rsid w:val="657C3F52"/>
    <w:rsid w:val="657DE25B"/>
    <w:rsid w:val="658100E2"/>
    <w:rsid w:val="6582BAD2"/>
    <w:rsid w:val="6586A0B6"/>
    <w:rsid w:val="658E53E4"/>
    <w:rsid w:val="659EB4EE"/>
    <w:rsid w:val="65AB3CC9"/>
    <w:rsid w:val="65AB6CBD"/>
    <w:rsid w:val="65AEDAC7"/>
    <w:rsid w:val="65B31AE6"/>
    <w:rsid w:val="65C4C6F0"/>
    <w:rsid w:val="65CF595C"/>
    <w:rsid w:val="65D874D7"/>
    <w:rsid w:val="65E23F3D"/>
    <w:rsid w:val="65F12262"/>
    <w:rsid w:val="6606D530"/>
    <w:rsid w:val="661638C2"/>
    <w:rsid w:val="661BC204"/>
    <w:rsid w:val="66216EBB"/>
    <w:rsid w:val="66265863"/>
    <w:rsid w:val="6628D313"/>
    <w:rsid w:val="662A7736"/>
    <w:rsid w:val="662B858E"/>
    <w:rsid w:val="66365DE2"/>
    <w:rsid w:val="663F3A35"/>
    <w:rsid w:val="66407400"/>
    <w:rsid w:val="66411AFC"/>
    <w:rsid w:val="664D4E21"/>
    <w:rsid w:val="664FB3CC"/>
    <w:rsid w:val="66589F00"/>
    <w:rsid w:val="6658F846"/>
    <w:rsid w:val="665AB68B"/>
    <w:rsid w:val="666FB5E3"/>
    <w:rsid w:val="66736B81"/>
    <w:rsid w:val="667B31C0"/>
    <w:rsid w:val="668144EE"/>
    <w:rsid w:val="66845234"/>
    <w:rsid w:val="6688B029"/>
    <w:rsid w:val="668D0EAC"/>
    <w:rsid w:val="668F2D66"/>
    <w:rsid w:val="6696374E"/>
    <w:rsid w:val="66A7612B"/>
    <w:rsid w:val="66AD2E65"/>
    <w:rsid w:val="66B0A8B6"/>
    <w:rsid w:val="66B45B03"/>
    <w:rsid w:val="66C05891"/>
    <w:rsid w:val="66D39FF7"/>
    <w:rsid w:val="66D40124"/>
    <w:rsid w:val="66D937FB"/>
    <w:rsid w:val="66DE1B2C"/>
    <w:rsid w:val="66E23159"/>
    <w:rsid w:val="66E4EFFA"/>
    <w:rsid w:val="66ED73F0"/>
    <w:rsid w:val="67027BF8"/>
    <w:rsid w:val="67139325"/>
    <w:rsid w:val="6729AE56"/>
    <w:rsid w:val="674469F6"/>
    <w:rsid w:val="67466041"/>
    <w:rsid w:val="674C202D"/>
    <w:rsid w:val="674CB8F3"/>
    <w:rsid w:val="674DF5CD"/>
    <w:rsid w:val="674F9CDB"/>
    <w:rsid w:val="6752C68D"/>
    <w:rsid w:val="6760A861"/>
    <w:rsid w:val="67640671"/>
    <w:rsid w:val="6771FA48"/>
    <w:rsid w:val="6772C73C"/>
    <w:rsid w:val="678099EF"/>
    <w:rsid w:val="67A8EDEB"/>
    <w:rsid w:val="67B1F07D"/>
    <w:rsid w:val="67C872BC"/>
    <w:rsid w:val="67D6C9E5"/>
    <w:rsid w:val="67D7DC27"/>
    <w:rsid w:val="67E15E21"/>
    <w:rsid w:val="67EB218A"/>
    <w:rsid w:val="67EF1D56"/>
    <w:rsid w:val="67F4921C"/>
    <w:rsid w:val="67FD064C"/>
    <w:rsid w:val="6827B47A"/>
    <w:rsid w:val="682AB5C6"/>
    <w:rsid w:val="682C1D05"/>
    <w:rsid w:val="683875C4"/>
    <w:rsid w:val="68391331"/>
    <w:rsid w:val="683B1795"/>
    <w:rsid w:val="684A9232"/>
    <w:rsid w:val="684E1D28"/>
    <w:rsid w:val="6856C9E4"/>
    <w:rsid w:val="68585DAB"/>
    <w:rsid w:val="685E1BC2"/>
    <w:rsid w:val="685F087E"/>
    <w:rsid w:val="68632514"/>
    <w:rsid w:val="686B101A"/>
    <w:rsid w:val="686C002E"/>
    <w:rsid w:val="6878C43E"/>
    <w:rsid w:val="6888A667"/>
    <w:rsid w:val="6892DB6C"/>
    <w:rsid w:val="68952D2B"/>
    <w:rsid w:val="68A1F1ED"/>
    <w:rsid w:val="68A42BA0"/>
    <w:rsid w:val="68AA8F3C"/>
    <w:rsid w:val="68AC4603"/>
    <w:rsid w:val="68B50C68"/>
    <w:rsid w:val="68B51D64"/>
    <w:rsid w:val="68BE292F"/>
    <w:rsid w:val="68C5558E"/>
    <w:rsid w:val="68C7451F"/>
    <w:rsid w:val="68CC9A19"/>
    <w:rsid w:val="68CD354C"/>
    <w:rsid w:val="68E87C04"/>
    <w:rsid w:val="68E9C8D5"/>
    <w:rsid w:val="69057CB2"/>
    <w:rsid w:val="691A4DF6"/>
    <w:rsid w:val="692383A2"/>
    <w:rsid w:val="6926530C"/>
    <w:rsid w:val="692AB4E7"/>
    <w:rsid w:val="6930ED18"/>
    <w:rsid w:val="693E4CA3"/>
    <w:rsid w:val="6948E00A"/>
    <w:rsid w:val="694F07BC"/>
    <w:rsid w:val="69552835"/>
    <w:rsid w:val="695AF616"/>
    <w:rsid w:val="695D4046"/>
    <w:rsid w:val="696503C2"/>
    <w:rsid w:val="696DBCFE"/>
    <w:rsid w:val="6983126A"/>
    <w:rsid w:val="6984DE14"/>
    <w:rsid w:val="69856099"/>
    <w:rsid w:val="69869C09"/>
    <w:rsid w:val="6996F0E9"/>
    <w:rsid w:val="69A30C04"/>
    <w:rsid w:val="69A3BDF1"/>
    <w:rsid w:val="69A4C4A8"/>
    <w:rsid w:val="69AFC3CE"/>
    <w:rsid w:val="69B8FCF2"/>
    <w:rsid w:val="69C4D66D"/>
    <w:rsid w:val="69D06BEB"/>
    <w:rsid w:val="69D1F0D4"/>
    <w:rsid w:val="69D1F3EF"/>
    <w:rsid w:val="69D8398B"/>
    <w:rsid w:val="69D91E3E"/>
    <w:rsid w:val="69E6EB17"/>
    <w:rsid w:val="69F54E1E"/>
    <w:rsid w:val="69F60544"/>
    <w:rsid w:val="69F72239"/>
    <w:rsid w:val="69FE4B65"/>
    <w:rsid w:val="69FF2EDA"/>
    <w:rsid w:val="6A08EA3A"/>
    <w:rsid w:val="6A0BE0C4"/>
    <w:rsid w:val="6A11A9E0"/>
    <w:rsid w:val="6A14A71C"/>
    <w:rsid w:val="6A2CC186"/>
    <w:rsid w:val="6A2EFD90"/>
    <w:rsid w:val="6A30ACDE"/>
    <w:rsid w:val="6A3381F2"/>
    <w:rsid w:val="6A3C8701"/>
    <w:rsid w:val="6A432AB6"/>
    <w:rsid w:val="6A450056"/>
    <w:rsid w:val="6A524C2D"/>
    <w:rsid w:val="6A68B81D"/>
    <w:rsid w:val="6A69A79B"/>
    <w:rsid w:val="6A72F352"/>
    <w:rsid w:val="6A75EA1F"/>
    <w:rsid w:val="6A8787F1"/>
    <w:rsid w:val="6A87CB6D"/>
    <w:rsid w:val="6A8F74B3"/>
    <w:rsid w:val="6AAB2D40"/>
    <w:rsid w:val="6AAD0FBB"/>
    <w:rsid w:val="6ABCEDE3"/>
    <w:rsid w:val="6AD342EA"/>
    <w:rsid w:val="6AE56B15"/>
    <w:rsid w:val="6AF4ADAE"/>
    <w:rsid w:val="6B01ED21"/>
    <w:rsid w:val="6B09E5C2"/>
    <w:rsid w:val="6B0A7B00"/>
    <w:rsid w:val="6B19CAA7"/>
    <w:rsid w:val="6B244D71"/>
    <w:rsid w:val="6B2B3C80"/>
    <w:rsid w:val="6B2F1AC8"/>
    <w:rsid w:val="6B42D2B9"/>
    <w:rsid w:val="6B578B96"/>
    <w:rsid w:val="6B65ABBA"/>
    <w:rsid w:val="6B677C58"/>
    <w:rsid w:val="6B692A1D"/>
    <w:rsid w:val="6B6EFDF4"/>
    <w:rsid w:val="6B711F5B"/>
    <w:rsid w:val="6B7560D9"/>
    <w:rsid w:val="6B7BDDDF"/>
    <w:rsid w:val="6B832380"/>
    <w:rsid w:val="6B85E02D"/>
    <w:rsid w:val="6B8A17F8"/>
    <w:rsid w:val="6B930495"/>
    <w:rsid w:val="6B94880D"/>
    <w:rsid w:val="6BA1183E"/>
    <w:rsid w:val="6BA6E464"/>
    <w:rsid w:val="6BAAA9B0"/>
    <w:rsid w:val="6BB3D8C0"/>
    <w:rsid w:val="6BB47BAF"/>
    <w:rsid w:val="6BC1A975"/>
    <w:rsid w:val="6BC4D888"/>
    <w:rsid w:val="6BD3249F"/>
    <w:rsid w:val="6BD81F16"/>
    <w:rsid w:val="6BDBFB27"/>
    <w:rsid w:val="6BDC1ADE"/>
    <w:rsid w:val="6BDDE48B"/>
    <w:rsid w:val="6C085699"/>
    <w:rsid w:val="6C097176"/>
    <w:rsid w:val="6C0CB643"/>
    <w:rsid w:val="6C1AD559"/>
    <w:rsid w:val="6C2EE321"/>
    <w:rsid w:val="6C34A7DD"/>
    <w:rsid w:val="6C44F27C"/>
    <w:rsid w:val="6C7FD5F5"/>
    <w:rsid w:val="6C873E67"/>
    <w:rsid w:val="6C8DCA2C"/>
    <w:rsid w:val="6C96E5A7"/>
    <w:rsid w:val="6C992E72"/>
    <w:rsid w:val="6C99CF6C"/>
    <w:rsid w:val="6CA78EE8"/>
    <w:rsid w:val="6CB11A3D"/>
    <w:rsid w:val="6CB691CF"/>
    <w:rsid w:val="6CC5A3A9"/>
    <w:rsid w:val="6CCC41AF"/>
    <w:rsid w:val="6CD8B0A0"/>
    <w:rsid w:val="6CDD5DE9"/>
    <w:rsid w:val="6CE2C26A"/>
    <w:rsid w:val="6CE4B835"/>
    <w:rsid w:val="6CEB3AB0"/>
    <w:rsid w:val="6CF0DBE1"/>
    <w:rsid w:val="6CF7F1B0"/>
    <w:rsid w:val="6CF8A167"/>
    <w:rsid w:val="6CFEA1BB"/>
    <w:rsid w:val="6D0965FC"/>
    <w:rsid w:val="6D160040"/>
    <w:rsid w:val="6D1C77D0"/>
    <w:rsid w:val="6D247C00"/>
    <w:rsid w:val="6D2765C5"/>
    <w:rsid w:val="6D33CAC7"/>
    <w:rsid w:val="6D3798EC"/>
    <w:rsid w:val="6D39BF1C"/>
    <w:rsid w:val="6D42CF27"/>
    <w:rsid w:val="6D4BEB9D"/>
    <w:rsid w:val="6D54F572"/>
    <w:rsid w:val="6D590BEF"/>
    <w:rsid w:val="6D59FA9D"/>
    <w:rsid w:val="6D5C4A42"/>
    <w:rsid w:val="6D63FB14"/>
    <w:rsid w:val="6D75DBED"/>
    <w:rsid w:val="6D764101"/>
    <w:rsid w:val="6D8335BC"/>
    <w:rsid w:val="6D8BFAAB"/>
    <w:rsid w:val="6D8FADA7"/>
    <w:rsid w:val="6D92D264"/>
    <w:rsid w:val="6D953B89"/>
    <w:rsid w:val="6DB01E38"/>
    <w:rsid w:val="6DB82B5C"/>
    <w:rsid w:val="6DBA1B73"/>
    <w:rsid w:val="6DBFDCEF"/>
    <w:rsid w:val="6DC214CB"/>
    <w:rsid w:val="6DCB1FF3"/>
    <w:rsid w:val="6DD1B733"/>
    <w:rsid w:val="6DDD37FB"/>
    <w:rsid w:val="6DE423A9"/>
    <w:rsid w:val="6DF8E111"/>
    <w:rsid w:val="6E2068E7"/>
    <w:rsid w:val="6E2495E4"/>
    <w:rsid w:val="6E26F3DB"/>
    <w:rsid w:val="6E3EFDD5"/>
    <w:rsid w:val="6E4193FA"/>
    <w:rsid w:val="6E533B71"/>
    <w:rsid w:val="6E55EE6D"/>
    <w:rsid w:val="6E56D55F"/>
    <w:rsid w:val="6E61E197"/>
    <w:rsid w:val="6E638F9C"/>
    <w:rsid w:val="6E669EE0"/>
    <w:rsid w:val="6E7B5043"/>
    <w:rsid w:val="6E823131"/>
    <w:rsid w:val="6E823901"/>
    <w:rsid w:val="6E8A6024"/>
    <w:rsid w:val="6E8B5046"/>
    <w:rsid w:val="6E951CB6"/>
    <w:rsid w:val="6E995646"/>
    <w:rsid w:val="6E99CC9C"/>
    <w:rsid w:val="6E9D42D1"/>
    <w:rsid w:val="6E9D4EED"/>
    <w:rsid w:val="6EACBB20"/>
    <w:rsid w:val="6EB3886B"/>
    <w:rsid w:val="6EB4665E"/>
    <w:rsid w:val="6EBB3F70"/>
    <w:rsid w:val="6EBD5064"/>
    <w:rsid w:val="6EC3A928"/>
    <w:rsid w:val="6EC48F75"/>
    <w:rsid w:val="6EE2D1F6"/>
    <w:rsid w:val="6EE396F0"/>
    <w:rsid w:val="6EF1BFA1"/>
    <w:rsid w:val="6EF7DBE5"/>
    <w:rsid w:val="6EFAEFF4"/>
    <w:rsid w:val="6EFC11AA"/>
    <w:rsid w:val="6F10657D"/>
    <w:rsid w:val="6F31C507"/>
    <w:rsid w:val="6F41701B"/>
    <w:rsid w:val="6F450A54"/>
    <w:rsid w:val="6F471A98"/>
    <w:rsid w:val="6F50889B"/>
    <w:rsid w:val="6F58076E"/>
    <w:rsid w:val="6F6A5C49"/>
    <w:rsid w:val="6F6B6BCD"/>
    <w:rsid w:val="6F6E4D60"/>
    <w:rsid w:val="6F779049"/>
    <w:rsid w:val="6F79B7F3"/>
    <w:rsid w:val="6F94F171"/>
    <w:rsid w:val="6FA6A1AE"/>
    <w:rsid w:val="6FB92C4B"/>
    <w:rsid w:val="6FC19917"/>
    <w:rsid w:val="6FC563CA"/>
    <w:rsid w:val="6FCC5FC9"/>
    <w:rsid w:val="6FD09478"/>
    <w:rsid w:val="6FD09555"/>
    <w:rsid w:val="6FD84F5D"/>
    <w:rsid w:val="6FE477E8"/>
    <w:rsid w:val="6FF35A1A"/>
    <w:rsid w:val="6FF68223"/>
    <w:rsid w:val="7007B8EB"/>
    <w:rsid w:val="700BCA19"/>
    <w:rsid w:val="702B037A"/>
    <w:rsid w:val="702EB9EC"/>
    <w:rsid w:val="70349CC8"/>
    <w:rsid w:val="7034D6A7"/>
    <w:rsid w:val="703D7052"/>
    <w:rsid w:val="7051F5A4"/>
    <w:rsid w:val="70643708"/>
    <w:rsid w:val="7066893C"/>
    <w:rsid w:val="70777F29"/>
    <w:rsid w:val="707DAC7C"/>
    <w:rsid w:val="70840918"/>
    <w:rsid w:val="7085DDAF"/>
    <w:rsid w:val="708862DF"/>
    <w:rsid w:val="708937F6"/>
    <w:rsid w:val="708A8778"/>
    <w:rsid w:val="709512E9"/>
    <w:rsid w:val="709A1BA5"/>
    <w:rsid w:val="70A1042D"/>
    <w:rsid w:val="70A163AB"/>
    <w:rsid w:val="70A54589"/>
    <w:rsid w:val="70B3BAD0"/>
    <w:rsid w:val="70BA3B8C"/>
    <w:rsid w:val="70BE0D05"/>
    <w:rsid w:val="70C51C15"/>
    <w:rsid w:val="70CA2ACE"/>
    <w:rsid w:val="70D115F4"/>
    <w:rsid w:val="70D179BD"/>
    <w:rsid w:val="70D79250"/>
    <w:rsid w:val="70DFD3FE"/>
    <w:rsid w:val="70E172CD"/>
    <w:rsid w:val="70E7BADD"/>
    <w:rsid w:val="70F2E8B4"/>
    <w:rsid w:val="70FF478C"/>
    <w:rsid w:val="7100882F"/>
    <w:rsid w:val="710C7788"/>
    <w:rsid w:val="713B2628"/>
    <w:rsid w:val="713B47EC"/>
    <w:rsid w:val="714E67CB"/>
    <w:rsid w:val="714EF010"/>
    <w:rsid w:val="71505535"/>
    <w:rsid w:val="7158B74C"/>
    <w:rsid w:val="71754D07"/>
    <w:rsid w:val="71765FFD"/>
    <w:rsid w:val="717CD73F"/>
    <w:rsid w:val="717E0441"/>
    <w:rsid w:val="717EC045"/>
    <w:rsid w:val="717ED97B"/>
    <w:rsid w:val="71939A8B"/>
    <w:rsid w:val="7193BE74"/>
    <w:rsid w:val="71A1C2E4"/>
    <w:rsid w:val="71AD1072"/>
    <w:rsid w:val="71ADB688"/>
    <w:rsid w:val="71B8F303"/>
    <w:rsid w:val="71C0D4F6"/>
    <w:rsid w:val="71C6E27F"/>
    <w:rsid w:val="71CFE852"/>
    <w:rsid w:val="71FB49EA"/>
    <w:rsid w:val="720F2FF3"/>
    <w:rsid w:val="72137CD3"/>
    <w:rsid w:val="7217FB1D"/>
    <w:rsid w:val="721C60AA"/>
    <w:rsid w:val="721D7E9E"/>
    <w:rsid w:val="72279608"/>
    <w:rsid w:val="722B3CF3"/>
    <w:rsid w:val="723756D9"/>
    <w:rsid w:val="723E7009"/>
    <w:rsid w:val="723F6E99"/>
    <w:rsid w:val="725A2AD0"/>
    <w:rsid w:val="725BA5DC"/>
    <w:rsid w:val="725CE9FA"/>
    <w:rsid w:val="7275075B"/>
    <w:rsid w:val="727CFE80"/>
    <w:rsid w:val="72818666"/>
    <w:rsid w:val="72827554"/>
    <w:rsid w:val="728DF0B7"/>
    <w:rsid w:val="7291DC18"/>
    <w:rsid w:val="7295CD16"/>
    <w:rsid w:val="72999F58"/>
    <w:rsid w:val="729ABE7F"/>
    <w:rsid w:val="72D6C6B3"/>
    <w:rsid w:val="72DF1965"/>
    <w:rsid w:val="72E2A24E"/>
    <w:rsid w:val="72E673AF"/>
    <w:rsid w:val="72FAC605"/>
    <w:rsid w:val="730389CC"/>
    <w:rsid w:val="73046839"/>
    <w:rsid w:val="7306FCD2"/>
    <w:rsid w:val="7326AC94"/>
    <w:rsid w:val="732A310F"/>
    <w:rsid w:val="73362A3C"/>
    <w:rsid w:val="733DD606"/>
    <w:rsid w:val="733FC9E7"/>
    <w:rsid w:val="7349FDC8"/>
    <w:rsid w:val="73515ECD"/>
    <w:rsid w:val="73578BDF"/>
    <w:rsid w:val="735BB3D0"/>
    <w:rsid w:val="735E4114"/>
    <w:rsid w:val="736A7493"/>
    <w:rsid w:val="736D2357"/>
    <w:rsid w:val="736E3862"/>
    <w:rsid w:val="737394E1"/>
    <w:rsid w:val="7383B590"/>
    <w:rsid w:val="73853712"/>
    <w:rsid w:val="73878B93"/>
    <w:rsid w:val="73A880EF"/>
    <w:rsid w:val="73ACFFC0"/>
    <w:rsid w:val="73BC4D38"/>
    <w:rsid w:val="73BF1E9E"/>
    <w:rsid w:val="73C35F3C"/>
    <w:rsid w:val="73CC6642"/>
    <w:rsid w:val="73CD845B"/>
    <w:rsid w:val="73D0C77B"/>
    <w:rsid w:val="73D4BC57"/>
    <w:rsid w:val="73DB3A14"/>
    <w:rsid w:val="73E33718"/>
    <w:rsid w:val="73F72797"/>
    <w:rsid w:val="73F8EDFF"/>
    <w:rsid w:val="73F959A4"/>
    <w:rsid w:val="73FDA5B3"/>
    <w:rsid w:val="7405E912"/>
    <w:rsid w:val="740A2F74"/>
    <w:rsid w:val="740D328E"/>
    <w:rsid w:val="740FB942"/>
    <w:rsid w:val="74135AAB"/>
    <w:rsid w:val="7417D967"/>
    <w:rsid w:val="7419A2C7"/>
    <w:rsid w:val="741C5287"/>
    <w:rsid w:val="742523C2"/>
    <w:rsid w:val="742FB9C8"/>
    <w:rsid w:val="74373FED"/>
    <w:rsid w:val="743B27E9"/>
    <w:rsid w:val="74579DA3"/>
    <w:rsid w:val="7458678E"/>
    <w:rsid w:val="74688200"/>
    <w:rsid w:val="74781283"/>
    <w:rsid w:val="749A2853"/>
    <w:rsid w:val="74A7BD51"/>
    <w:rsid w:val="74A962A0"/>
    <w:rsid w:val="74AD0C40"/>
    <w:rsid w:val="74B0462D"/>
    <w:rsid w:val="74B0DEDE"/>
    <w:rsid w:val="74C23F1A"/>
    <w:rsid w:val="74CF1E2D"/>
    <w:rsid w:val="74D32FEB"/>
    <w:rsid w:val="74D346DD"/>
    <w:rsid w:val="74F424B3"/>
    <w:rsid w:val="74F8A82A"/>
    <w:rsid w:val="74FE9EC2"/>
    <w:rsid w:val="750809DE"/>
    <w:rsid w:val="7509A536"/>
    <w:rsid w:val="750D8530"/>
    <w:rsid w:val="75150C49"/>
    <w:rsid w:val="751A658A"/>
    <w:rsid w:val="751F6ADA"/>
    <w:rsid w:val="75203729"/>
    <w:rsid w:val="752340A4"/>
    <w:rsid w:val="7539CBC4"/>
    <w:rsid w:val="753D773F"/>
    <w:rsid w:val="75441369"/>
    <w:rsid w:val="75488845"/>
    <w:rsid w:val="754B9580"/>
    <w:rsid w:val="7554016C"/>
    <w:rsid w:val="7558EA9A"/>
    <w:rsid w:val="755DA358"/>
    <w:rsid w:val="756B9EF5"/>
    <w:rsid w:val="757C0A73"/>
    <w:rsid w:val="7584EECE"/>
    <w:rsid w:val="75A24D65"/>
    <w:rsid w:val="75A42837"/>
    <w:rsid w:val="75A45891"/>
    <w:rsid w:val="75A9200A"/>
    <w:rsid w:val="75B2EA86"/>
    <w:rsid w:val="75BB8A2C"/>
    <w:rsid w:val="75BC7413"/>
    <w:rsid w:val="75BEC174"/>
    <w:rsid w:val="75C48CA9"/>
    <w:rsid w:val="75CAF7F6"/>
    <w:rsid w:val="75D12CB7"/>
    <w:rsid w:val="75D3A5A8"/>
    <w:rsid w:val="75D4E3C4"/>
    <w:rsid w:val="75D69FFA"/>
    <w:rsid w:val="75D9A317"/>
    <w:rsid w:val="75DCF923"/>
    <w:rsid w:val="75E1B078"/>
    <w:rsid w:val="75E1FD43"/>
    <w:rsid w:val="75E71073"/>
    <w:rsid w:val="75F96BA1"/>
    <w:rsid w:val="75FC9C20"/>
    <w:rsid w:val="75FDEC4C"/>
    <w:rsid w:val="75FFDB9C"/>
    <w:rsid w:val="76041884"/>
    <w:rsid w:val="761441D6"/>
    <w:rsid w:val="7615DD55"/>
    <w:rsid w:val="7617BD61"/>
    <w:rsid w:val="761BB7AC"/>
    <w:rsid w:val="76203EA6"/>
    <w:rsid w:val="7626E39F"/>
    <w:rsid w:val="762BF72D"/>
    <w:rsid w:val="7632A203"/>
    <w:rsid w:val="763954F7"/>
    <w:rsid w:val="7641517D"/>
    <w:rsid w:val="76440841"/>
    <w:rsid w:val="7646E5F2"/>
    <w:rsid w:val="7648AF52"/>
    <w:rsid w:val="764C2B0D"/>
    <w:rsid w:val="76567423"/>
    <w:rsid w:val="76586616"/>
    <w:rsid w:val="765E8E7E"/>
    <w:rsid w:val="7660C0A9"/>
    <w:rsid w:val="7661C396"/>
    <w:rsid w:val="7662F171"/>
    <w:rsid w:val="766F1565"/>
    <w:rsid w:val="767566D8"/>
    <w:rsid w:val="7679A649"/>
    <w:rsid w:val="768D483F"/>
    <w:rsid w:val="769BB24B"/>
    <w:rsid w:val="769E999F"/>
    <w:rsid w:val="76A3377B"/>
    <w:rsid w:val="76A4182B"/>
    <w:rsid w:val="76AADBA7"/>
    <w:rsid w:val="76AD7410"/>
    <w:rsid w:val="76C660D6"/>
    <w:rsid w:val="76CE5B25"/>
    <w:rsid w:val="76D4BB1D"/>
    <w:rsid w:val="76DEF9C0"/>
    <w:rsid w:val="76E5D7A2"/>
    <w:rsid w:val="76EB65EC"/>
    <w:rsid w:val="76EE2C8F"/>
    <w:rsid w:val="76F31FB6"/>
    <w:rsid w:val="76F3B143"/>
    <w:rsid w:val="76F8AB3F"/>
    <w:rsid w:val="77123D26"/>
    <w:rsid w:val="771C1617"/>
    <w:rsid w:val="773046C0"/>
    <w:rsid w:val="77358B25"/>
    <w:rsid w:val="77394E5E"/>
    <w:rsid w:val="773FD54D"/>
    <w:rsid w:val="777081EF"/>
    <w:rsid w:val="777AD04D"/>
    <w:rsid w:val="777D412B"/>
    <w:rsid w:val="77A363F7"/>
    <w:rsid w:val="77A36811"/>
    <w:rsid w:val="77A643BB"/>
    <w:rsid w:val="77A6D544"/>
    <w:rsid w:val="77AB7EA0"/>
    <w:rsid w:val="77AB9FF9"/>
    <w:rsid w:val="77B2D1DF"/>
    <w:rsid w:val="77B68BEE"/>
    <w:rsid w:val="77BD55A2"/>
    <w:rsid w:val="77BEA667"/>
    <w:rsid w:val="77C10967"/>
    <w:rsid w:val="77CA903A"/>
    <w:rsid w:val="77CE6B59"/>
    <w:rsid w:val="77D14F9A"/>
    <w:rsid w:val="77E91322"/>
    <w:rsid w:val="77EDED89"/>
    <w:rsid w:val="77FD4473"/>
    <w:rsid w:val="7816D6CF"/>
    <w:rsid w:val="781E94BF"/>
    <w:rsid w:val="7828265B"/>
    <w:rsid w:val="78372474"/>
    <w:rsid w:val="783C1850"/>
    <w:rsid w:val="78460AD5"/>
    <w:rsid w:val="7852FF73"/>
    <w:rsid w:val="785E6AF6"/>
    <w:rsid w:val="787278F4"/>
    <w:rsid w:val="788DB21E"/>
    <w:rsid w:val="78903C73"/>
    <w:rsid w:val="7899B52A"/>
    <w:rsid w:val="78BAAA7A"/>
    <w:rsid w:val="78BF014C"/>
    <w:rsid w:val="78C8C8ED"/>
    <w:rsid w:val="78CBB572"/>
    <w:rsid w:val="78DECCC8"/>
    <w:rsid w:val="78E61053"/>
    <w:rsid w:val="78EB162A"/>
    <w:rsid w:val="78ED00BF"/>
    <w:rsid w:val="78F733A4"/>
    <w:rsid w:val="78FA609D"/>
    <w:rsid w:val="7911248C"/>
    <w:rsid w:val="79164FCE"/>
    <w:rsid w:val="791A5E98"/>
    <w:rsid w:val="791D477B"/>
    <w:rsid w:val="79542177"/>
    <w:rsid w:val="79545651"/>
    <w:rsid w:val="7957F80E"/>
    <w:rsid w:val="796A5327"/>
    <w:rsid w:val="797D96D9"/>
    <w:rsid w:val="797FB009"/>
    <w:rsid w:val="798428CF"/>
    <w:rsid w:val="798A874D"/>
    <w:rsid w:val="798E163A"/>
    <w:rsid w:val="79915FBA"/>
    <w:rsid w:val="79A0B95E"/>
    <w:rsid w:val="79ADBB1E"/>
    <w:rsid w:val="79B360D0"/>
    <w:rsid w:val="79B60709"/>
    <w:rsid w:val="79BCFDF2"/>
    <w:rsid w:val="79CF5108"/>
    <w:rsid w:val="79D56F4F"/>
    <w:rsid w:val="79E6A435"/>
    <w:rsid w:val="79E73CB6"/>
    <w:rsid w:val="79EA6169"/>
    <w:rsid w:val="79EF900D"/>
    <w:rsid w:val="79F520F8"/>
    <w:rsid w:val="7A0B8546"/>
    <w:rsid w:val="7A0F2C81"/>
    <w:rsid w:val="7A1AA0D3"/>
    <w:rsid w:val="7A244E48"/>
    <w:rsid w:val="7A274E38"/>
    <w:rsid w:val="7A3615D0"/>
    <w:rsid w:val="7A57CFCB"/>
    <w:rsid w:val="7A693E76"/>
    <w:rsid w:val="7A6B691C"/>
    <w:rsid w:val="7A76C479"/>
    <w:rsid w:val="7A78BF23"/>
    <w:rsid w:val="7A7BB2D5"/>
    <w:rsid w:val="7A7D3AB4"/>
    <w:rsid w:val="7A8307E8"/>
    <w:rsid w:val="7A8F1A42"/>
    <w:rsid w:val="7A9434D9"/>
    <w:rsid w:val="7AA42326"/>
    <w:rsid w:val="7AA87791"/>
    <w:rsid w:val="7AB63E4A"/>
    <w:rsid w:val="7ABDC310"/>
    <w:rsid w:val="7AC593C5"/>
    <w:rsid w:val="7AEDCC9F"/>
    <w:rsid w:val="7AF8C2E7"/>
    <w:rsid w:val="7AFB14FC"/>
    <w:rsid w:val="7AFD3E3C"/>
    <w:rsid w:val="7B0C1189"/>
    <w:rsid w:val="7B21CBE5"/>
    <w:rsid w:val="7B28A106"/>
    <w:rsid w:val="7B2A3BBE"/>
    <w:rsid w:val="7B2F9549"/>
    <w:rsid w:val="7B3057FA"/>
    <w:rsid w:val="7B41E4E9"/>
    <w:rsid w:val="7B46ACEC"/>
    <w:rsid w:val="7B5D2D4A"/>
    <w:rsid w:val="7B5DFC7C"/>
    <w:rsid w:val="7B63028B"/>
    <w:rsid w:val="7B68FC25"/>
    <w:rsid w:val="7B6ECFB2"/>
    <w:rsid w:val="7B72671A"/>
    <w:rsid w:val="7B7F1D08"/>
    <w:rsid w:val="7B819953"/>
    <w:rsid w:val="7B96584A"/>
    <w:rsid w:val="7B9A4650"/>
    <w:rsid w:val="7BB1775F"/>
    <w:rsid w:val="7BBDE473"/>
    <w:rsid w:val="7BBFD33E"/>
    <w:rsid w:val="7BCF9318"/>
    <w:rsid w:val="7BD1B1B4"/>
    <w:rsid w:val="7BE78F5F"/>
    <w:rsid w:val="7C037A7A"/>
    <w:rsid w:val="7C1333D9"/>
    <w:rsid w:val="7C1A545E"/>
    <w:rsid w:val="7C2229E2"/>
    <w:rsid w:val="7C28F018"/>
    <w:rsid w:val="7C2E62DD"/>
    <w:rsid w:val="7C38F167"/>
    <w:rsid w:val="7C422212"/>
    <w:rsid w:val="7C456C8D"/>
    <w:rsid w:val="7C463F6A"/>
    <w:rsid w:val="7C4BE3FD"/>
    <w:rsid w:val="7C610BEB"/>
    <w:rsid w:val="7C67F3FA"/>
    <w:rsid w:val="7C6D0ECF"/>
    <w:rsid w:val="7C7EACB8"/>
    <w:rsid w:val="7C7FDB65"/>
    <w:rsid w:val="7C804AE7"/>
    <w:rsid w:val="7C8A4EBA"/>
    <w:rsid w:val="7C947A4D"/>
    <w:rsid w:val="7C9532DE"/>
    <w:rsid w:val="7C9C7B18"/>
    <w:rsid w:val="7CA50E42"/>
    <w:rsid w:val="7CAC062B"/>
    <w:rsid w:val="7CBFFF64"/>
    <w:rsid w:val="7CC32B3E"/>
    <w:rsid w:val="7CCAB31D"/>
    <w:rsid w:val="7CD4B099"/>
    <w:rsid w:val="7CDF386D"/>
    <w:rsid w:val="7CE005AE"/>
    <w:rsid w:val="7CE5C767"/>
    <w:rsid w:val="7CE7918E"/>
    <w:rsid w:val="7CE9BDFC"/>
    <w:rsid w:val="7CF4FB0E"/>
    <w:rsid w:val="7CFBF4F2"/>
    <w:rsid w:val="7CFDEB84"/>
    <w:rsid w:val="7D067473"/>
    <w:rsid w:val="7D0B90C8"/>
    <w:rsid w:val="7D146B76"/>
    <w:rsid w:val="7D15A2EA"/>
    <w:rsid w:val="7D15B956"/>
    <w:rsid w:val="7D1BE988"/>
    <w:rsid w:val="7D1D9D1C"/>
    <w:rsid w:val="7D406072"/>
    <w:rsid w:val="7D451FFE"/>
    <w:rsid w:val="7D4585A0"/>
    <w:rsid w:val="7D4CF3D2"/>
    <w:rsid w:val="7D5E5B74"/>
    <w:rsid w:val="7D60F0D5"/>
    <w:rsid w:val="7D666FFF"/>
    <w:rsid w:val="7D675914"/>
    <w:rsid w:val="7D67A4D3"/>
    <w:rsid w:val="7D6A030B"/>
    <w:rsid w:val="7D6D5CB2"/>
    <w:rsid w:val="7D7465A9"/>
    <w:rsid w:val="7D7D9DFC"/>
    <w:rsid w:val="7D7E194D"/>
    <w:rsid w:val="7D7EFF41"/>
    <w:rsid w:val="7D7F6670"/>
    <w:rsid w:val="7D815BEE"/>
    <w:rsid w:val="7D8C1D78"/>
    <w:rsid w:val="7DA92AB8"/>
    <w:rsid w:val="7DA96D90"/>
    <w:rsid w:val="7DB34CD9"/>
    <w:rsid w:val="7DB994A1"/>
    <w:rsid w:val="7DC0216E"/>
    <w:rsid w:val="7DC61658"/>
    <w:rsid w:val="7DC67B4E"/>
    <w:rsid w:val="7DCA9DA2"/>
    <w:rsid w:val="7DDA4010"/>
    <w:rsid w:val="7DE77390"/>
    <w:rsid w:val="7DEBF42A"/>
    <w:rsid w:val="7DF54DC3"/>
    <w:rsid w:val="7DF96C24"/>
    <w:rsid w:val="7DFA77C7"/>
    <w:rsid w:val="7E032496"/>
    <w:rsid w:val="7E0AEA63"/>
    <w:rsid w:val="7E25AB60"/>
    <w:rsid w:val="7E3C0EAB"/>
    <w:rsid w:val="7E3EC3C7"/>
    <w:rsid w:val="7E46C14F"/>
    <w:rsid w:val="7E4CDAE3"/>
    <w:rsid w:val="7E503129"/>
    <w:rsid w:val="7E592758"/>
    <w:rsid w:val="7E8216EC"/>
    <w:rsid w:val="7E85DBF6"/>
    <w:rsid w:val="7E869567"/>
    <w:rsid w:val="7E9E2CE5"/>
    <w:rsid w:val="7E9E5C22"/>
    <w:rsid w:val="7EA0B044"/>
    <w:rsid w:val="7EAD7319"/>
    <w:rsid w:val="7EAEF5D9"/>
    <w:rsid w:val="7EAF0156"/>
    <w:rsid w:val="7EB4EEFC"/>
    <w:rsid w:val="7EBA2816"/>
    <w:rsid w:val="7EC4738D"/>
    <w:rsid w:val="7EC899EB"/>
    <w:rsid w:val="7ECD7207"/>
    <w:rsid w:val="7ED72A9B"/>
    <w:rsid w:val="7ED9DD55"/>
    <w:rsid w:val="7EDB6859"/>
    <w:rsid w:val="7EDF3D2A"/>
    <w:rsid w:val="7EEAABB8"/>
    <w:rsid w:val="7EF23A5D"/>
    <w:rsid w:val="7EF48037"/>
    <w:rsid w:val="7F00DAC9"/>
    <w:rsid w:val="7F01F6BC"/>
    <w:rsid w:val="7F05CF80"/>
    <w:rsid w:val="7F0D50AE"/>
    <w:rsid w:val="7F0D617A"/>
    <w:rsid w:val="7F115D9E"/>
    <w:rsid w:val="7F13427C"/>
    <w:rsid w:val="7F2C95A7"/>
    <w:rsid w:val="7F37645F"/>
    <w:rsid w:val="7F383E5C"/>
    <w:rsid w:val="7F3A4577"/>
    <w:rsid w:val="7F45AE48"/>
    <w:rsid w:val="7F4FD504"/>
    <w:rsid w:val="7F560BFE"/>
    <w:rsid w:val="7F5F2504"/>
    <w:rsid w:val="7F606A11"/>
    <w:rsid w:val="7F639756"/>
    <w:rsid w:val="7F6B2ACD"/>
    <w:rsid w:val="7F6C044E"/>
    <w:rsid w:val="7F73CC12"/>
    <w:rsid w:val="7F7F48A8"/>
    <w:rsid w:val="7F885396"/>
    <w:rsid w:val="7FAF94BE"/>
    <w:rsid w:val="7FB534F3"/>
    <w:rsid w:val="7FB6E23E"/>
    <w:rsid w:val="7FBB5CDD"/>
    <w:rsid w:val="7FBC6DF1"/>
    <w:rsid w:val="7FC87274"/>
    <w:rsid w:val="7FC92087"/>
    <w:rsid w:val="7FCAADD8"/>
    <w:rsid w:val="7FCAB9D4"/>
    <w:rsid w:val="7FF5FF57"/>
    <w:rsid w:val="7FF7E9FD"/>
    <w:rsid w:val="7FFC12A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AC6B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0AF"/>
    <w:rPr>
      <w:rFonts w:asciiTheme="minorHAnsi" w:eastAsia="Times New Roman" w:hAnsiTheme="minorHAnsi"/>
      <w:sz w:val="24"/>
      <w:szCs w:val="24"/>
      <w:lang w:eastAsia="zh-CN"/>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uiPriority w:val="35"/>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p1"/>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p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PBAC Table Footnote"/>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rPr>
      <w:rFonts w:ascii="Arial Narrow" w:hAnsi="Arial Narrow"/>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snapToGrid w:val="0"/>
      <w:lang w:val="en-US"/>
    </w:rPr>
  </w:style>
  <w:style w:type="paragraph" w:styleId="NormalWeb">
    <w:name w:val="Normal (Web)"/>
    <w:basedOn w:val="Normal"/>
    <w:uiPriority w:val="99"/>
    <w:rsid w:val="008F48EB"/>
    <w:pPr>
      <w:spacing w:before="100" w:after="100"/>
    </w:pPr>
    <w:rPr>
      <w:snapToGrid w:val="0"/>
      <w:lang w:val="en-GB"/>
    </w:rPr>
  </w:style>
  <w:style w:type="paragraph" w:styleId="TOC2">
    <w:name w:val="toc 2"/>
    <w:basedOn w:val="Normal"/>
    <w:next w:val="Normal"/>
    <w:autoRedefine/>
    <w:uiPriority w:val="39"/>
    <w:rsid w:val="00712AB3"/>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977871"/>
    <w:pPr>
      <w:tabs>
        <w:tab w:val="left" w:pos="440"/>
        <w:tab w:val="right" w:leader="dot" w:pos="9016"/>
      </w:tabs>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sz w:val="20"/>
    </w:rPr>
  </w:style>
  <w:style w:type="paragraph" w:styleId="TOC4">
    <w:name w:val="toc 4"/>
    <w:basedOn w:val="Normal"/>
    <w:next w:val="Normal"/>
    <w:autoRedefine/>
    <w:rsid w:val="00D0262E"/>
    <w:pPr>
      <w:ind w:left="660"/>
    </w:pPr>
    <w:rPr>
      <w:sz w:val="20"/>
    </w:rPr>
  </w:style>
  <w:style w:type="paragraph" w:styleId="TOC5">
    <w:name w:val="toc 5"/>
    <w:basedOn w:val="Normal"/>
    <w:next w:val="Normal"/>
    <w:autoRedefine/>
    <w:rsid w:val="00D0262E"/>
    <w:pPr>
      <w:ind w:left="880"/>
    </w:pPr>
    <w:rPr>
      <w:sz w:val="20"/>
    </w:rPr>
  </w:style>
  <w:style w:type="paragraph" w:styleId="TOC6">
    <w:name w:val="toc 6"/>
    <w:basedOn w:val="Normal"/>
    <w:next w:val="Normal"/>
    <w:autoRedefine/>
    <w:rsid w:val="00D0262E"/>
    <w:pPr>
      <w:ind w:left="1100"/>
    </w:pPr>
    <w:rPr>
      <w:sz w:val="20"/>
    </w:rPr>
  </w:style>
  <w:style w:type="paragraph" w:styleId="TOC7">
    <w:name w:val="toc 7"/>
    <w:basedOn w:val="Normal"/>
    <w:next w:val="Normal"/>
    <w:autoRedefine/>
    <w:rsid w:val="00D0262E"/>
    <w:pPr>
      <w:ind w:left="1320"/>
    </w:pPr>
    <w:rPr>
      <w:sz w:val="20"/>
    </w:rPr>
  </w:style>
  <w:style w:type="paragraph" w:styleId="TOC8">
    <w:name w:val="toc 8"/>
    <w:basedOn w:val="Normal"/>
    <w:next w:val="Normal"/>
    <w:autoRedefine/>
    <w:rsid w:val="00D0262E"/>
    <w:pPr>
      <w:ind w:left="1540"/>
    </w:pPr>
    <w:rPr>
      <w:sz w:val="20"/>
    </w:rPr>
  </w:style>
  <w:style w:type="paragraph" w:styleId="TOC9">
    <w:name w:val="toc 9"/>
    <w:basedOn w:val="Normal"/>
    <w:next w:val="Normal"/>
    <w:autoRedefine/>
    <w:rsid w:val="00D0262E"/>
    <w:pPr>
      <w:ind w:left="1760"/>
    </w:pPr>
    <w:rPr>
      <w:sz w:val="20"/>
    </w:rPr>
  </w:style>
  <w:style w:type="paragraph" w:styleId="CommentText">
    <w:name w:val="annotation text"/>
    <w:aliases w:val="- H19,Annotationtext,Char, Char,Char1,Char2,Comment Text Char1 Char,Comment Text Char Char Char,list paragraph 2,Comment Text ZS,Comment Text Char Char"/>
    <w:basedOn w:val="Normal"/>
    <w:link w:val="CommentTextChar"/>
    <w:uiPriority w:val="99"/>
    <w:qFormat/>
    <w:rsid w:val="00FD2100"/>
    <w:rPr>
      <w:sz w:val="20"/>
    </w:rPr>
  </w:style>
  <w:style w:type="character" w:customStyle="1" w:styleId="CommentTextChar">
    <w:name w:val="Comment Text Char"/>
    <w:aliases w:val="- H19 Char,Annotationtext Char,Char Char, Char Char,Char1 Char,Char2 Char,Comment Text Char1 Char Char,Comment Text Char Char Char Char,list paragraph 2 Char,Comment Text ZS Char,Comment Text Char Char Char1"/>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aliases w:val="Executive summary PBAC titles Char"/>
    <w:link w:val="Subtitle"/>
    <w:uiPriority w:val="11"/>
    <w:rsid w:val="00B50DB8"/>
    <w:rPr>
      <w:lang w:eastAsia="en-US"/>
    </w:rPr>
  </w:style>
  <w:style w:type="paragraph" w:styleId="Subtitle">
    <w:name w:val="Subtitle"/>
    <w:aliases w:val="Executive summary PBAC titles"/>
    <w:basedOn w:val="Normal"/>
    <w:link w:val="SubtitleChar"/>
    <w:uiPriority w:val="11"/>
    <w:qFormat/>
    <w:rsid w:val="00B50DB8"/>
    <w:rPr>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semiHidden/>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pPr>
    <w:rPr>
      <w:rFonts w:eastAsia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eastAsiaTheme="majorEastAsia"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eastAsiaTheme="majorEastAsia"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tabs>
        <w:tab w:val="num" w:pos="360"/>
      </w:tabs>
      <w:ind w:left="360"/>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PBACTableText">
    <w:name w:val="PBAC Table Text"/>
    <w:basedOn w:val="Normal"/>
    <w:link w:val="PBACTableTextChar"/>
    <w:qFormat/>
    <w:rsid w:val="00EB34AC"/>
    <w:pPr>
      <w:spacing w:before="40" w:after="40"/>
    </w:pPr>
    <w:rPr>
      <w:rFonts w:ascii="Arial Narrow" w:hAnsi="Arial Narrow"/>
      <w:sz w:val="20"/>
      <w:szCs w:val="20"/>
      <w:lang w:eastAsia="en-US"/>
    </w:rPr>
  </w:style>
  <w:style w:type="character" w:customStyle="1" w:styleId="PBACTableTextChar">
    <w:name w:val="PBAC Table Text Char"/>
    <w:basedOn w:val="DefaultParagraphFont"/>
    <w:link w:val="PBACTableText"/>
    <w:rsid w:val="00EB34AC"/>
    <w:rPr>
      <w:rFonts w:ascii="Arial Narrow" w:hAnsi="Arial Narrow"/>
      <w:lang w:eastAsia="en-US"/>
    </w:rPr>
  </w:style>
  <w:style w:type="paragraph" w:customStyle="1" w:styleId="Dash">
    <w:name w:val="Dash"/>
    <w:basedOn w:val="Normal"/>
    <w:rsid w:val="00EB34AC"/>
    <w:pPr>
      <w:numPr>
        <w:numId w:val="5"/>
      </w:numPr>
      <w:spacing w:after="40"/>
      <w:ind w:left="714" w:hanging="357"/>
    </w:pPr>
    <w:rPr>
      <w:rFonts w:eastAsia="SimSun" w:cstheme="minorBidi"/>
      <w:sz w:val="22"/>
      <w:szCs w:val="22"/>
      <w:lang w:eastAsia="en-US"/>
    </w:rPr>
  </w:style>
  <w:style w:type="character" w:customStyle="1" w:styleId="apple-converted-space">
    <w:name w:val="apple-converted-space"/>
    <w:basedOn w:val="DefaultParagraphFont"/>
    <w:rsid w:val="006C715A"/>
  </w:style>
  <w:style w:type="character" w:styleId="Strong">
    <w:name w:val="Strong"/>
    <w:basedOn w:val="DefaultParagraphFont"/>
    <w:uiPriority w:val="22"/>
    <w:qFormat/>
    <w:rsid w:val="0082214B"/>
    <w:rPr>
      <w:b/>
      <w:bCs/>
    </w:rPr>
  </w:style>
  <w:style w:type="paragraph" w:customStyle="1" w:styleId="PBACcaption">
    <w:name w:val="PBAC caption"/>
    <w:basedOn w:val="Normal"/>
    <w:link w:val="PBACcaptionChar"/>
    <w:qFormat/>
    <w:rsid w:val="00EF59A0"/>
    <w:rPr>
      <w:rFonts w:ascii="Sabon" w:eastAsia="SimSun" w:hAnsi="Sabon" w:cs="Arial"/>
      <w:b/>
      <w:sz w:val="22"/>
      <w:szCs w:val="22"/>
      <w:lang w:eastAsia="en-US"/>
    </w:rPr>
  </w:style>
  <w:style w:type="character" w:customStyle="1" w:styleId="PBACcaptionChar">
    <w:name w:val="PBAC caption Char"/>
    <w:basedOn w:val="DefaultParagraphFont"/>
    <w:link w:val="PBACcaption"/>
    <w:rsid w:val="00EF59A0"/>
    <w:rPr>
      <w:rFonts w:ascii="Sabon" w:hAnsi="Sabon" w:cs="Arial"/>
      <w:b/>
      <w:sz w:val="22"/>
      <w:szCs w:val="22"/>
      <w:lang w:eastAsia="en-US"/>
    </w:rPr>
  </w:style>
  <w:style w:type="paragraph" w:customStyle="1" w:styleId="PbacTableHeading">
    <w:name w:val="Pbac Table Heading"/>
    <w:basedOn w:val="PBACTableText"/>
    <w:qFormat/>
    <w:rsid w:val="00EF59A0"/>
    <w:pPr>
      <w:spacing w:before="0" w:after="80"/>
    </w:pPr>
    <w:rPr>
      <w:rFonts w:eastAsia="SimSun" w:cs="Arial"/>
      <w:b/>
      <w:sz w:val="22"/>
    </w:rPr>
  </w:style>
  <w:style w:type="character" w:customStyle="1" w:styleId="NoSpacingChar">
    <w:name w:val="No Spacing Char"/>
    <w:aliases w:val="PBAC Table Footnote Char"/>
    <w:basedOn w:val="DefaultParagraphFont"/>
    <w:link w:val="NoSpacing"/>
    <w:uiPriority w:val="1"/>
    <w:rsid w:val="00524F83"/>
    <w:rPr>
      <w:rFonts w:ascii="Arial" w:hAnsi="Arial" w:cs="Arial"/>
      <w:snapToGrid w:val="0"/>
      <w:sz w:val="22"/>
      <w:lang w:eastAsia="en-US"/>
    </w:rPr>
  </w:style>
  <w:style w:type="paragraph" w:styleId="EndnoteText">
    <w:name w:val="endnote text"/>
    <w:basedOn w:val="Normal"/>
    <w:link w:val="EndnoteTextChar"/>
    <w:uiPriority w:val="99"/>
    <w:semiHidden/>
    <w:unhideWhenUsed/>
    <w:rsid w:val="00BD2D34"/>
    <w:rPr>
      <w:rFonts w:ascii="Sabon" w:eastAsia="SimSun" w:hAnsi="Sabon" w:cs="Arial"/>
      <w:sz w:val="22"/>
      <w:szCs w:val="20"/>
      <w:lang w:eastAsia="en-US"/>
    </w:rPr>
  </w:style>
  <w:style w:type="character" w:customStyle="1" w:styleId="EndnoteTextChar">
    <w:name w:val="Endnote Text Char"/>
    <w:basedOn w:val="DefaultParagraphFont"/>
    <w:link w:val="EndnoteText"/>
    <w:uiPriority w:val="99"/>
    <w:semiHidden/>
    <w:rsid w:val="00BD2D34"/>
    <w:rPr>
      <w:rFonts w:ascii="Sabon" w:hAnsi="Sabon" w:cs="Arial"/>
      <w:sz w:val="22"/>
      <w:lang w:eastAsia="en-US"/>
    </w:rPr>
  </w:style>
  <w:style w:type="character" w:styleId="EndnoteReference">
    <w:name w:val="endnote reference"/>
    <w:basedOn w:val="DefaultParagraphFont"/>
    <w:uiPriority w:val="99"/>
    <w:semiHidden/>
    <w:unhideWhenUsed/>
    <w:rsid w:val="00BD2D34"/>
    <w:rPr>
      <w:vertAlign w:val="superscript"/>
    </w:rPr>
  </w:style>
  <w:style w:type="paragraph" w:customStyle="1" w:styleId="CaptionFigure">
    <w:name w:val="Caption Figure"/>
    <w:basedOn w:val="Caption"/>
    <w:next w:val="Normal"/>
    <w:autoRedefine/>
    <w:rsid w:val="00134597"/>
    <w:pPr>
      <w:keepNext/>
      <w:spacing w:after="60"/>
      <w:ind w:left="1418" w:hanging="1418"/>
    </w:pPr>
    <w:rPr>
      <w:rFonts w:ascii="Arial Narrow" w:hAnsi="Arial Narrow"/>
      <w:color w:val="auto"/>
      <w:sz w:val="20"/>
      <w:szCs w:val="22"/>
      <w:lang w:eastAsia="en-US"/>
    </w:rPr>
  </w:style>
  <w:style w:type="paragraph" w:customStyle="1" w:styleId="Default">
    <w:name w:val="Default"/>
    <w:rsid w:val="00BD2D34"/>
    <w:pPr>
      <w:autoSpaceDE w:val="0"/>
      <w:autoSpaceDN w:val="0"/>
      <w:adjustRightInd w:val="0"/>
    </w:pPr>
    <w:rPr>
      <w:rFonts w:ascii="Calibri" w:eastAsiaTheme="minorEastAsia" w:hAnsi="Calibri" w:cs="Calibri"/>
      <w:color w:val="000000"/>
      <w:sz w:val="24"/>
      <w:szCs w:val="24"/>
      <w:lang w:val="en-US" w:eastAsia="en-US"/>
    </w:rPr>
  </w:style>
  <w:style w:type="paragraph" w:customStyle="1" w:styleId="PBACtablecaption">
    <w:name w:val="PBAC table caption"/>
    <w:basedOn w:val="PBACTableText"/>
    <w:link w:val="PBACtablecaptionChar"/>
    <w:rsid w:val="00BD2D34"/>
    <w:pPr>
      <w:spacing w:before="0" w:after="0"/>
    </w:pPr>
    <w:rPr>
      <w:rFonts w:eastAsia="SimSun" w:cs="Arial"/>
      <w:sz w:val="18"/>
      <w:szCs w:val="18"/>
    </w:rPr>
  </w:style>
  <w:style w:type="character" w:customStyle="1" w:styleId="PBACtablecaptionChar">
    <w:name w:val="PBAC table caption Char"/>
    <w:basedOn w:val="PBACTableTextChar"/>
    <w:link w:val="PBACtablecaption"/>
    <w:rsid w:val="00BD2D34"/>
    <w:rPr>
      <w:rFonts w:ascii="Arial Narrow" w:hAnsi="Arial Narrow" w:cs="Arial"/>
      <w:sz w:val="18"/>
      <w:szCs w:val="18"/>
      <w:lang w:eastAsia="en-US"/>
    </w:rPr>
  </w:style>
  <w:style w:type="paragraph" w:customStyle="1" w:styleId="CaptionTable">
    <w:name w:val="Caption Table"/>
    <w:basedOn w:val="Normal"/>
    <w:next w:val="Normal"/>
    <w:link w:val="CaptionTableChar"/>
    <w:autoRedefine/>
    <w:rsid w:val="00BD2D34"/>
    <w:pPr>
      <w:keepNext/>
      <w:keepLines/>
      <w:spacing w:after="60"/>
      <w:ind w:left="1418" w:hanging="1418"/>
    </w:pPr>
    <w:rPr>
      <w:rFonts w:ascii="Arial Narrow" w:hAnsi="Arial Narrow"/>
      <w:b/>
      <w:bCs/>
      <w:sz w:val="20"/>
      <w:szCs w:val="22"/>
      <w:lang w:eastAsia="en-US"/>
    </w:rPr>
  </w:style>
  <w:style w:type="character" w:customStyle="1" w:styleId="CaptionTableChar">
    <w:name w:val="Caption Table Char"/>
    <w:basedOn w:val="DefaultParagraphFont"/>
    <w:link w:val="CaptionTable"/>
    <w:rsid w:val="00BD2D34"/>
    <w:rPr>
      <w:rFonts w:ascii="Arial Narrow" w:eastAsia="Times New Roman" w:hAnsi="Arial Narrow"/>
      <w:b/>
      <w:bCs/>
      <w:szCs w:val="22"/>
      <w:lang w:eastAsia="en-US"/>
    </w:rPr>
  </w:style>
  <w:style w:type="character" w:customStyle="1" w:styleId="eop">
    <w:name w:val="eop"/>
    <w:basedOn w:val="DefaultParagraphFont"/>
    <w:rsid w:val="00EE1DDE"/>
  </w:style>
  <w:style w:type="table" w:customStyle="1" w:styleId="THM">
    <w:name w:val="THM"/>
    <w:basedOn w:val="TableNormal"/>
    <w:uiPriority w:val="99"/>
    <w:qFormat/>
    <w:rsid w:val="00EE1DDE"/>
    <w:pPr>
      <w:spacing w:before="60" w:after="60"/>
    </w:pPr>
    <w:rPr>
      <w:rFonts w:ascii="News Gothic MT" w:eastAsia="Times New Roman" w:hAnsi="News Gothic MT"/>
      <w:sz w:val="16"/>
      <w:lang w:val="en-GB" w:eastAsia="en-GB"/>
    </w:rPr>
    <w:tblPr>
      <w:tblStyleRowBandSize w:val="2"/>
      <w:tblInd w:w="108" w:type="dxa"/>
      <w:tblBorders>
        <w:bottom w:val="single" w:sz="12" w:space="0" w:color="005350"/>
      </w:tblBorders>
    </w:tblPr>
    <w:tblStylePr w:type="firstRow">
      <w:rPr>
        <w:rFonts w:ascii="Arial" w:hAnsi="Arial"/>
        <w:b/>
        <w:sz w:val="18"/>
      </w:rPr>
      <w:tblPr/>
      <w:tcPr>
        <w:tcBorders>
          <w:top w:val="single" w:sz="24" w:space="0" w:color="003468"/>
          <w:left w:val="nil"/>
          <w:bottom w:val="nil"/>
          <w:right w:val="nil"/>
          <w:insideH w:val="nil"/>
          <w:insideV w:val="nil"/>
          <w:tl2br w:val="nil"/>
          <w:tr2bl w:val="nil"/>
        </w:tcBorders>
        <w:shd w:val="clear" w:color="auto" w:fill="D9D9D9"/>
      </w:tcPr>
    </w:tblStylePr>
    <w:tblStylePr w:type="lastRow">
      <w:pPr>
        <w:wordWrap/>
        <w:spacing w:beforeLines="0" w:beforeAutospacing="0" w:afterLines="0" w:afterAutospacing="0" w:line="240" w:lineRule="auto"/>
      </w:pPr>
      <w:rPr>
        <w:rFonts w:ascii="Arial" w:hAnsi="Arial"/>
      </w:rPr>
      <w:tblPr/>
      <w:tcPr>
        <w:tcBorders>
          <w:top w:val="nil"/>
          <w:left w:val="nil"/>
          <w:bottom w:val="single" w:sz="12" w:space="0" w:color="003468"/>
          <w:right w:val="nil"/>
          <w:insideH w:val="nil"/>
          <w:insideV w:val="nil"/>
          <w:tl2br w:val="nil"/>
          <w:tr2bl w:val="nil"/>
        </w:tcBorders>
      </w:tcPr>
    </w:tblStylePr>
  </w:style>
  <w:style w:type="character" w:customStyle="1" w:styleId="normaltextrun">
    <w:name w:val="normaltextrun"/>
    <w:basedOn w:val="DefaultParagraphFont"/>
    <w:rsid w:val="00EE1DDE"/>
  </w:style>
  <w:style w:type="character" w:customStyle="1" w:styleId="UnresolvedMention1">
    <w:name w:val="Unresolved Mention1"/>
    <w:basedOn w:val="DefaultParagraphFont"/>
    <w:uiPriority w:val="99"/>
    <w:semiHidden/>
    <w:unhideWhenUsed/>
    <w:rsid w:val="00EE1DDE"/>
    <w:rPr>
      <w:color w:val="605E5C"/>
      <w:shd w:val="clear" w:color="auto" w:fill="E1DFDD"/>
    </w:rPr>
  </w:style>
  <w:style w:type="paragraph" w:styleId="FootnoteText">
    <w:name w:val="footnote text"/>
    <w:basedOn w:val="Normal"/>
    <w:link w:val="FootnoteTextChar"/>
    <w:semiHidden/>
    <w:unhideWhenUsed/>
    <w:rsid w:val="005B0D67"/>
    <w:rPr>
      <w:sz w:val="20"/>
      <w:szCs w:val="20"/>
    </w:rPr>
  </w:style>
  <w:style w:type="character" w:customStyle="1" w:styleId="FootnoteTextChar">
    <w:name w:val="Footnote Text Char"/>
    <w:basedOn w:val="DefaultParagraphFont"/>
    <w:link w:val="FootnoteText"/>
    <w:semiHidden/>
    <w:rsid w:val="005B0D67"/>
    <w:rPr>
      <w:rFonts w:asciiTheme="minorHAnsi" w:eastAsia="Times New Roman" w:hAnsiTheme="minorHAnsi"/>
      <w:lang w:eastAsia="zh-CN"/>
    </w:rPr>
  </w:style>
  <w:style w:type="character" w:styleId="FootnoteReference">
    <w:name w:val="footnote reference"/>
    <w:basedOn w:val="DefaultParagraphFont"/>
    <w:semiHidden/>
    <w:unhideWhenUsed/>
    <w:rsid w:val="005B0D67"/>
    <w:rPr>
      <w:vertAlign w:val="superscript"/>
    </w:rPr>
  </w:style>
  <w:style w:type="paragraph" w:customStyle="1" w:styleId="paragraph">
    <w:name w:val="paragraph"/>
    <w:basedOn w:val="Normal"/>
    <w:rsid w:val="00BB36A1"/>
    <w:pPr>
      <w:spacing w:before="100" w:beforeAutospacing="1" w:after="100" w:afterAutospacing="1"/>
    </w:pPr>
    <w:rPr>
      <w:rFonts w:ascii="Times New Roman" w:eastAsia="SimSun" w:hAnsi="Times New Roman"/>
      <w:lang w:eastAsia="en-AU"/>
    </w:rPr>
  </w:style>
  <w:style w:type="paragraph" w:customStyle="1" w:styleId="Normal-Tables">
    <w:name w:val="Normal - Tables"/>
    <w:basedOn w:val="Normal"/>
    <w:qFormat/>
    <w:rsid w:val="00700464"/>
    <w:pPr>
      <w:jc w:val="both"/>
    </w:pPr>
    <w:rPr>
      <w:rFonts w:ascii="Calibri" w:eastAsia="Calibri" w:hAnsi="Calibri"/>
      <w:sz w:val="18"/>
      <w:szCs w:val="22"/>
      <w:lang w:val="en-US" w:eastAsia="en-US"/>
    </w:rPr>
  </w:style>
  <w:style w:type="paragraph" w:customStyle="1" w:styleId="3-SubsectionHeading">
    <w:name w:val="3-Subsection Heading"/>
    <w:basedOn w:val="Heading2"/>
    <w:next w:val="Normal"/>
    <w:link w:val="3-SubsectionHeadingChar"/>
    <w:qFormat/>
    <w:rsid w:val="00656A02"/>
    <w:pPr>
      <w:keepNext/>
      <w:spacing w:before="120" w:after="120"/>
      <w:jc w:val="both"/>
      <w:outlineLvl w:val="9"/>
    </w:pPr>
    <w:rPr>
      <w:rFonts w:eastAsiaTheme="majorEastAsia" w:cstheme="majorBidi"/>
      <w:spacing w:val="5"/>
      <w:kern w:val="28"/>
      <w:szCs w:val="36"/>
      <w:lang w:eastAsia="en-US"/>
    </w:rPr>
  </w:style>
  <w:style w:type="character" w:customStyle="1" w:styleId="3-SubsectionHeadingChar">
    <w:name w:val="3-Subsection Heading Char"/>
    <w:basedOn w:val="Heading2Char"/>
    <w:link w:val="3-SubsectionHeading"/>
    <w:rsid w:val="00656A02"/>
    <w:rPr>
      <w:rFonts w:asciiTheme="minorHAnsi" w:eastAsiaTheme="majorEastAsia" w:hAnsiTheme="minorHAnsi" w:cstheme="majorBidi"/>
      <w:b/>
      <w:i/>
      <w:snapToGrid/>
      <w:spacing w:val="5"/>
      <w:kern w:val="28"/>
      <w:sz w:val="28"/>
      <w:szCs w:val="36"/>
      <w:lang w:eastAsia="en-US"/>
    </w:rPr>
  </w:style>
  <w:style w:type="paragraph" w:customStyle="1" w:styleId="PBACESHeading1">
    <w:name w:val="PBAC ES Heading 1"/>
    <w:basedOn w:val="Heading1"/>
    <w:next w:val="ListParagraph"/>
    <w:uiPriority w:val="1"/>
    <w:qFormat/>
    <w:rsid w:val="00A0671F"/>
    <w:pPr>
      <w:keepNext/>
      <w:keepLines/>
      <w:tabs>
        <w:tab w:val="left" w:pos="1077"/>
      </w:tabs>
      <w:spacing w:before="240" w:after="120"/>
    </w:pPr>
    <w:rPr>
      <w:rFonts w:cs="Arial"/>
      <w:caps w:val="0"/>
      <w:snapToGrid w:val="0"/>
      <w:szCs w:val="32"/>
      <w:lang w:eastAsia="en-US"/>
    </w:rPr>
  </w:style>
  <w:style w:type="paragraph" w:customStyle="1" w:styleId="MSACHeading1">
    <w:name w:val="MSAC Heading 1"/>
    <w:basedOn w:val="Heading1"/>
    <w:next w:val="Normal"/>
    <w:uiPriority w:val="1"/>
    <w:qFormat/>
    <w:rsid w:val="00A0671F"/>
    <w:pPr>
      <w:keepNext/>
      <w:keepLines/>
      <w:spacing w:before="160" w:after="240" w:line="259" w:lineRule="auto"/>
    </w:pPr>
    <w:rPr>
      <w:rFonts w:ascii="Times New Roman" w:eastAsiaTheme="majorEastAsia" w:hAnsi="Times New Roman" w:cstheme="majorBidi"/>
      <w:caps w:val="0"/>
      <w:sz w:val="24"/>
      <w:szCs w:val="28"/>
      <w:lang w:eastAsia="en-US"/>
    </w:rPr>
  </w:style>
  <w:style w:type="paragraph" w:customStyle="1" w:styleId="MSACESHeading2">
    <w:name w:val="MSAC ES Heading 2"/>
    <w:basedOn w:val="Heading2"/>
    <w:next w:val="Normal"/>
    <w:uiPriority w:val="1"/>
    <w:qFormat/>
    <w:rsid w:val="00A0671F"/>
    <w:pPr>
      <w:keepNext/>
      <w:keepLines/>
      <w:spacing w:before="360" w:after="120"/>
      <w:ind w:left="720" w:hanging="720"/>
    </w:pPr>
    <w:rPr>
      <w:rFonts w:ascii="Cambria" w:eastAsiaTheme="majorEastAsia" w:hAnsi="Cambria" w:cstheme="majorBidi"/>
      <w:i w:val="0"/>
      <w:snapToGrid w:val="0"/>
      <w:sz w:val="24"/>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8304">
      <w:bodyDiv w:val="1"/>
      <w:marLeft w:val="0"/>
      <w:marRight w:val="0"/>
      <w:marTop w:val="0"/>
      <w:marBottom w:val="0"/>
      <w:divBdr>
        <w:top w:val="none" w:sz="0" w:space="0" w:color="auto"/>
        <w:left w:val="none" w:sz="0" w:space="0" w:color="auto"/>
        <w:bottom w:val="none" w:sz="0" w:space="0" w:color="auto"/>
        <w:right w:val="none" w:sz="0" w:space="0" w:color="auto"/>
      </w:divBdr>
    </w:div>
    <w:div w:id="35739627">
      <w:bodyDiv w:val="1"/>
      <w:marLeft w:val="0"/>
      <w:marRight w:val="0"/>
      <w:marTop w:val="0"/>
      <w:marBottom w:val="0"/>
      <w:divBdr>
        <w:top w:val="none" w:sz="0" w:space="0" w:color="auto"/>
        <w:left w:val="none" w:sz="0" w:space="0" w:color="auto"/>
        <w:bottom w:val="none" w:sz="0" w:space="0" w:color="auto"/>
        <w:right w:val="none" w:sz="0" w:space="0" w:color="auto"/>
      </w:divBdr>
    </w:div>
    <w:div w:id="59862965">
      <w:bodyDiv w:val="1"/>
      <w:marLeft w:val="0"/>
      <w:marRight w:val="0"/>
      <w:marTop w:val="0"/>
      <w:marBottom w:val="0"/>
      <w:divBdr>
        <w:top w:val="none" w:sz="0" w:space="0" w:color="auto"/>
        <w:left w:val="none" w:sz="0" w:space="0" w:color="auto"/>
        <w:bottom w:val="none" w:sz="0" w:space="0" w:color="auto"/>
        <w:right w:val="none" w:sz="0" w:space="0" w:color="auto"/>
      </w:divBdr>
      <w:divsChild>
        <w:div w:id="791245010">
          <w:marLeft w:val="0"/>
          <w:marRight w:val="0"/>
          <w:marTop w:val="0"/>
          <w:marBottom w:val="0"/>
          <w:divBdr>
            <w:top w:val="none" w:sz="0" w:space="0" w:color="auto"/>
            <w:left w:val="none" w:sz="0" w:space="0" w:color="auto"/>
            <w:bottom w:val="none" w:sz="0" w:space="0" w:color="auto"/>
            <w:right w:val="none" w:sz="0" w:space="0" w:color="auto"/>
          </w:divBdr>
        </w:div>
        <w:div w:id="1420634732">
          <w:marLeft w:val="0"/>
          <w:marRight w:val="0"/>
          <w:marTop w:val="0"/>
          <w:marBottom w:val="0"/>
          <w:divBdr>
            <w:top w:val="none" w:sz="0" w:space="0" w:color="auto"/>
            <w:left w:val="none" w:sz="0" w:space="0" w:color="auto"/>
            <w:bottom w:val="none" w:sz="0" w:space="0" w:color="auto"/>
            <w:right w:val="none" w:sz="0" w:space="0" w:color="auto"/>
          </w:divBdr>
        </w:div>
      </w:divsChild>
    </w:div>
    <w:div w:id="7190248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3528795">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48718144">
      <w:bodyDiv w:val="1"/>
      <w:marLeft w:val="0"/>
      <w:marRight w:val="0"/>
      <w:marTop w:val="0"/>
      <w:marBottom w:val="0"/>
      <w:divBdr>
        <w:top w:val="none" w:sz="0" w:space="0" w:color="auto"/>
        <w:left w:val="none" w:sz="0" w:space="0" w:color="auto"/>
        <w:bottom w:val="none" w:sz="0" w:space="0" w:color="auto"/>
        <w:right w:val="none" w:sz="0" w:space="0" w:color="auto"/>
      </w:divBdr>
    </w:div>
    <w:div w:id="151142890">
      <w:bodyDiv w:val="1"/>
      <w:marLeft w:val="0"/>
      <w:marRight w:val="0"/>
      <w:marTop w:val="0"/>
      <w:marBottom w:val="0"/>
      <w:divBdr>
        <w:top w:val="none" w:sz="0" w:space="0" w:color="auto"/>
        <w:left w:val="none" w:sz="0" w:space="0" w:color="auto"/>
        <w:bottom w:val="none" w:sz="0" w:space="0" w:color="auto"/>
        <w:right w:val="none" w:sz="0" w:space="0" w:color="auto"/>
      </w:divBdr>
    </w:div>
    <w:div w:id="164709361">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36409528">
      <w:bodyDiv w:val="1"/>
      <w:marLeft w:val="0"/>
      <w:marRight w:val="0"/>
      <w:marTop w:val="0"/>
      <w:marBottom w:val="0"/>
      <w:divBdr>
        <w:top w:val="none" w:sz="0" w:space="0" w:color="auto"/>
        <w:left w:val="none" w:sz="0" w:space="0" w:color="auto"/>
        <w:bottom w:val="none" w:sz="0" w:space="0" w:color="auto"/>
        <w:right w:val="none" w:sz="0" w:space="0" w:color="auto"/>
      </w:divBdr>
    </w:div>
    <w:div w:id="461654514">
      <w:bodyDiv w:val="1"/>
      <w:marLeft w:val="0"/>
      <w:marRight w:val="0"/>
      <w:marTop w:val="0"/>
      <w:marBottom w:val="0"/>
      <w:divBdr>
        <w:top w:val="none" w:sz="0" w:space="0" w:color="auto"/>
        <w:left w:val="none" w:sz="0" w:space="0" w:color="auto"/>
        <w:bottom w:val="none" w:sz="0" w:space="0" w:color="auto"/>
        <w:right w:val="none" w:sz="0" w:space="0" w:color="auto"/>
      </w:divBdr>
    </w:div>
    <w:div w:id="564951741">
      <w:bodyDiv w:val="1"/>
      <w:marLeft w:val="0"/>
      <w:marRight w:val="0"/>
      <w:marTop w:val="0"/>
      <w:marBottom w:val="0"/>
      <w:divBdr>
        <w:top w:val="none" w:sz="0" w:space="0" w:color="auto"/>
        <w:left w:val="none" w:sz="0" w:space="0" w:color="auto"/>
        <w:bottom w:val="none" w:sz="0" w:space="0" w:color="auto"/>
        <w:right w:val="none" w:sz="0" w:space="0" w:color="auto"/>
      </w:divBdr>
    </w:div>
    <w:div w:id="569197449">
      <w:bodyDiv w:val="1"/>
      <w:marLeft w:val="0"/>
      <w:marRight w:val="0"/>
      <w:marTop w:val="0"/>
      <w:marBottom w:val="0"/>
      <w:divBdr>
        <w:top w:val="none" w:sz="0" w:space="0" w:color="auto"/>
        <w:left w:val="none" w:sz="0" w:space="0" w:color="auto"/>
        <w:bottom w:val="none" w:sz="0" w:space="0" w:color="auto"/>
        <w:right w:val="none" w:sz="0" w:space="0" w:color="auto"/>
      </w:divBdr>
    </w:div>
    <w:div w:id="617218223">
      <w:bodyDiv w:val="1"/>
      <w:marLeft w:val="0"/>
      <w:marRight w:val="0"/>
      <w:marTop w:val="0"/>
      <w:marBottom w:val="0"/>
      <w:divBdr>
        <w:top w:val="none" w:sz="0" w:space="0" w:color="auto"/>
        <w:left w:val="none" w:sz="0" w:space="0" w:color="auto"/>
        <w:bottom w:val="none" w:sz="0" w:space="0" w:color="auto"/>
        <w:right w:val="none" w:sz="0" w:space="0" w:color="auto"/>
      </w:divBdr>
    </w:div>
    <w:div w:id="630284219">
      <w:bodyDiv w:val="1"/>
      <w:marLeft w:val="0"/>
      <w:marRight w:val="0"/>
      <w:marTop w:val="0"/>
      <w:marBottom w:val="0"/>
      <w:divBdr>
        <w:top w:val="none" w:sz="0" w:space="0" w:color="auto"/>
        <w:left w:val="none" w:sz="0" w:space="0" w:color="auto"/>
        <w:bottom w:val="none" w:sz="0" w:space="0" w:color="auto"/>
        <w:right w:val="none" w:sz="0" w:space="0" w:color="auto"/>
      </w:divBdr>
    </w:div>
    <w:div w:id="635261714">
      <w:bodyDiv w:val="1"/>
      <w:marLeft w:val="0"/>
      <w:marRight w:val="0"/>
      <w:marTop w:val="0"/>
      <w:marBottom w:val="0"/>
      <w:divBdr>
        <w:top w:val="none" w:sz="0" w:space="0" w:color="auto"/>
        <w:left w:val="none" w:sz="0" w:space="0" w:color="auto"/>
        <w:bottom w:val="none" w:sz="0" w:space="0" w:color="auto"/>
        <w:right w:val="none" w:sz="0" w:space="0" w:color="auto"/>
      </w:divBdr>
    </w:div>
    <w:div w:id="709648537">
      <w:bodyDiv w:val="1"/>
      <w:marLeft w:val="0"/>
      <w:marRight w:val="0"/>
      <w:marTop w:val="0"/>
      <w:marBottom w:val="0"/>
      <w:divBdr>
        <w:top w:val="none" w:sz="0" w:space="0" w:color="auto"/>
        <w:left w:val="none" w:sz="0" w:space="0" w:color="auto"/>
        <w:bottom w:val="none" w:sz="0" w:space="0" w:color="auto"/>
        <w:right w:val="none" w:sz="0" w:space="0" w:color="auto"/>
      </w:divBdr>
    </w:div>
    <w:div w:id="802692402">
      <w:bodyDiv w:val="1"/>
      <w:marLeft w:val="0"/>
      <w:marRight w:val="0"/>
      <w:marTop w:val="0"/>
      <w:marBottom w:val="0"/>
      <w:divBdr>
        <w:top w:val="none" w:sz="0" w:space="0" w:color="auto"/>
        <w:left w:val="none" w:sz="0" w:space="0" w:color="auto"/>
        <w:bottom w:val="none" w:sz="0" w:space="0" w:color="auto"/>
        <w:right w:val="none" w:sz="0" w:space="0" w:color="auto"/>
      </w:divBdr>
    </w:div>
    <w:div w:id="836967734">
      <w:bodyDiv w:val="1"/>
      <w:marLeft w:val="0"/>
      <w:marRight w:val="0"/>
      <w:marTop w:val="0"/>
      <w:marBottom w:val="0"/>
      <w:divBdr>
        <w:top w:val="none" w:sz="0" w:space="0" w:color="auto"/>
        <w:left w:val="none" w:sz="0" w:space="0" w:color="auto"/>
        <w:bottom w:val="none" w:sz="0" w:space="0" w:color="auto"/>
        <w:right w:val="none" w:sz="0" w:space="0" w:color="auto"/>
      </w:divBdr>
    </w:div>
    <w:div w:id="872619722">
      <w:bodyDiv w:val="1"/>
      <w:marLeft w:val="0"/>
      <w:marRight w:val="0"/>
      <w:marTop w:val="0"/>
      <w:marBottom w:val="0"/>
      <w:divBdr>
        <w:top w:val="none" w:sz="0" w:space="0" w:color="auto"/>
        <w:left w:val="none" w:sz="0" w:space="0" w:color="auto"/>
        <w:bottom w:val="none" w:sz="0" w:space="0" w:color="auto"/>
        <w:right w:val="none" w:sz="0" w:space="0" w:color="auto"/>
      </w:divBdr>
    </w:div>
    <w:div w:id="982737609">
      <w:bodyDiv w:val="1"/>
      <w:marLeft w:val="0"/>
      <w:marRight w:val="0"/>
      <w:marTop w:val="0"/>
      <w:marBottom w:val="0"/>
      <w:divBdr>
        <w:top w:val="none" w:sz="0" w:space="0" w:color="auto"/>
        <w:left w:val="none" w:sz="0" w:space="0" w:color="auto"/>
        <w:bottom w:val="none" w:sz="0" w:space="0" w:color="auto"/>
        <w:right w:val="none" w:sz="0" w:space="0" w:color="auto"/>
      </w:divBdr>
    </w:div>
    <w:div w:id="1019509220">
      <w:bodyDiv w:val="1"/>
      <w:marLeft w:val="0"/>
      <w:marRight w:val="0"/>
      <w:marTop w:val="0"/>
      <w:marBottom w:val="0"/>
      <w:divBdr>
        <w:top w:val="none" w:sz="0" w:space="0" w:color="auto"/>
        <w:left w:val="none" w:sz="0" w:space="0" w:color="auto"/>
        <w:bottom w:val="none" w:sz="0" w:space="0" w:color="auto"/>
        <w:right w:val="none" w:sz="0" w:space="0" w:color="auto"/>
      </w:divBdr>
    </w:div>
    <w:div w:id="1024403079">
      <w:bodyDiv w:val="1"/>
      <w:marLeft w:val="0"/>
      <w:marRight w:val="0"/>
      <w:marTop w:val="0"/>
      <w:marBottom w:val="0"/>
      <w:divBdr>
        <w:top w:val="none" w:sz="0" w:space="0" w:color="auto"/>
        <w:left w:val="none" w:sz="0" w:space="0" w:color="auto"/>
        <w:bottom w:val="none" w:sz="0" w:space="0" w:color="auto"/>
        <w:right w:val="none" w:sz="0" w:space="0" w:color="auto"/>
      </w:divBdr>
    </w:div>
    <w:div w:id="1028262308">
      <w:bodyDiv w:val="1"/>
      <w:marLeft w:val="0"/>
      <w:marRight w:val="0"/>
      <w:marTop w:val="0"/>
      <w:marBottom w:val="0"/>
      <w:divBdr>
        <w:top w:val="none" w:sz="0" w:space="0" w:color="auto"/>
        <w:left w:val="none" w:sz="0" w:space="0" w:color="auto"/>
        <w:bottom w:val="none" w:sz="0" w:space="0" w:color="auto"/>
        <w:right w:val="none" w:sz="0" w:space="0" w:color="auto"/>
      </w:divBdr>
      <w:divsChild>
        <w:div w:id="329141803">
          <w:marLeft w:val="0"/>
          <w:marRight w:val="0"/>
          <w:marTop w:val="0"/>
          <w:marBottom w:val="0"/>
          <w:divBdr>
            <w:top w:val="none" w:sz="0" w:space="0" w:color="auto"/>
            <w:left w:val="none" w:sz="0" w:space="0" w:color="auto"/>
            <w:bottom w:val="none" w:sz="0" w:space="0" w:color="auto"/>
            <w:right w:val="none" w:sz="0" w:space="0" w:color="auto"/>
          </w:divBdr>
        </w:div>
        <w:div w:id="1690714859">
          <w:marLeft w:val="0"/>
          <w:marRight w:val="0"/>
          <w:marTop w:val="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038290">
      <w:bodyDiv w:val="1"/>
      <w:marLeft w:val="0"/>
      <w:marRight w:val="0"/>
      <w:marTop w:val="0"/>
      <w:marBottom w:val="0"/>
      <w:divBdr>
        <w:top w:val="none" w:sz="0" w:space="0" w:color="auto"/>
        <w:left w:val="none" w:sz="0" w:space="0" w:color="auto"/>
        <w:bottom w:val="none" w:sz="0" w:space="0" w:color="auto"/>
        <w:right w:val="none" w:sz="0" w:space="0" w:color="auto"/>
      </w:divBdr>
    </w:div>
    <w:div w:id="1263344733">
      <w:bodyDiv w:val="1"/>
      <w:marLeft w:val="0"/>
      <w:marRight w:val="0"/>
      <w:marTop w:val="0"/>
      <w:marBottom w:val="0"/>
      <w:divBdr>
        <w:top w:val="none" w:sz="0" w:space="0" w:color="auto"/>
        <w:left w:val="none" w:sz="0" w:space="0" w:color="auto"/>
        <w:bottom w:val="none" w:sz="0" w:space="0" w:color="auto"/>
        <w:right w:val="none" w:sz="0" w:space="0" w:color="auto"/>
      </w:divBdr>
    </w:div>
    <w:div w:id="1292399147">
      <w:bodyDiv w:val="1"/>
      <w:marLeft w:val="0"/>
      <w:marRight w:val="0"/>
      <w:marTop w:val="0"/>
      <w:marBottom w:val="0"/>
      <w:divBdr>
        <w:top w:val="none" w:sz="0" w:space="0" w:color="auto"/>
        <w:left w:val="none" w:sz="0" w:space="0" w:color="auto"/>
        <w:bottom w:val="none" w:sz="0" w:space="0" w:color="auto"/>
        <w:right w:val="none" w:sz="0" w:space="0" w:color="auto"/>
      </w:divBdr>
    </w:div>
    <w:div w:id="1323922296">
      <w:bodyDiv w:val="1"/>
      <w:marLeft w:val="0"/>
      <w:marRight w:val="0"/>
      <w:marTop w:val="0"/>
      <w:marBottom w:val="0"/>
      <w:divBdr>
        <w:top w:val="none" w:sz="0" w:space="0" w:color="auto"/>
        <w:left w:val="none" w:sz="0" w:space="0" w:color="auto"/>
        <w:bottom w:val="none" w:sz="0" w:space="0" w:color="auto"/>
        <w:right w:val="none" w:sz="0" w:space="0" w:color="auto"/>
      </w:divBdr>
    </w:div>
    <w:div w:id="1382561970">
      <w:bodyDiv w:val="1"/>
      <w:marLeft w:val="0"/>
      <w:marRight w:val="0"/>
      <w:marTop w:val="0"/>
      <w:marBottom w:val="0"/>
      <w:divBdr>
        <w:top w:val="none" w:sz="0" w:space="0" w:color="auto"/>
        <w:left w:val="none" w:sz="0" w:space="0" w:color="auto"/>
        <w:bottom w:val="none" w:sz="0" w:space="0" w:color="auto"/>
        <w:right w:val="none" w:sz="0" w:space="0" w:color="auto"/>
      </w:divBdr>
    </w:div>
    <w:div w:id="1393894924">
      <w:bodyDiv w:val="1"/>
      <w:marLeft w:val="0"/>
      <w:marRight w:val="0"/>
      <w:marTop w:val="0"/>
      <w:marBottom w:val="0"/>
      <w:divBdr>
        <w:top w:val="none" w:sz="0" w:space="0" w:color="auto"/>
        <w:left w:val="none" w:sz="0" w:space="0" w:color="auto"/>
        <w:bottom w:val="none" w:sz="0" w:space="0" w:color="auto"/>
        <w:right w:val="none" w:sz="0" w:space="0" w:color="auto"/>
      </w:divBdr>
    </w:div>
    <w:div w:id="1574928220">
      <w:bodyDiv w:val="1"/>
      <w:marLeft w:val="0"/>
      <w:marRight w:val="0"/>
      <w:marTop w:val="0"/>
      <w:marBottom w:val="0"/>
      <w:divBdr>
        <w:top w:val="none" w:sz="0" w:space="0" w:color="auto"/>
        <w:left w:val="none" w:sz="0" w:space="0" w:color="auto"/>
        <w:bottom w:val="none" w:sz="0" w:space="0" w:color="auto"/>
        <w:right w:val="none" w:sz="0" w:space="0" w:color="auto"/>
      </w:divBdr>
    </w:div>
    <w:div w:id="1612934345">
      <w:bodyDiv w:val="1"/>
      <w:marLeft w:val="0"/>
      <w:marRight w:val="0"/>
      <w:marTop w:val="0"/>
      <w:marBottom w:val="0"/>
      <w:divBdr>
        <w:top w:val="none" w:sz="0" w:space="0" w:color="auto"/>
        <w:left w:val="none" w:sz="0" w:space="0" w:color="auto"/>
        <w:bottom w:val="none" w:sz="0" w:space="0" w:color="auto"/>
        <w:right w:val="none" w:sz="0" w:space="0" w:color="auto"/>
      </w:divBdr>
    </w:div>
    <w:div w:id="1636063747">
      <w:bodyDiv w:val="1"/>
      <w:marLeft w:val="0"/>
      <w:marRight w:val="0"/>
      <w:marTop w:val="0"/>
      <w:marBottom w:val="0"/>
      <w:divBdr>
        <w:top w:val="none" w:sz="0" w:space="0" w:color="auto"/>
        <w:left w:val="none" w:sz="0" w:space="0" w:color="auto"/>
        <w:bottom w:val="none" w:sz="0" w:space="0" w:color="auto"/>
        <w:right w:val="none" w:sz="0" w:space="0" w:color="auto"/>
      </w:divBdr>
      <w:divsChild>
        <w:div w:id="1253735046">
          <w:marLeft w:val="0"/>
          <w:marRight w:val="0"/>
          <w:marTop w:val="0"/>
          <w:marBottom w:val="0"/>
          <w:divBdr>
            <w:top w:val="none" w:sz="0" w:space="0" w:color="auto"/>
            <w:left w:val="none" w:sz="0" w:space="0" w:color="auto"/>
            <w:bottom w:val="none" w:sz="0" w:space="0" w:color="auto"/>
            <w:right w:val="none" w:sz="0" w:space="0" w:color="auto"/>
          </w:divBdr>
          <w:divsChild>
            <w:div w:id="1750228006">
              <w:marLeft w:val="0"/>
              <w:marRight w:val="0"/>
              <w:marTop w:val="0"/>
              <w:marBottom w:val="0"/>
              <w:divBdr>
                <w:top w:val="none" w:sz="0" w:space="0" w:color="auto"/>
                <w:left w:val="none" w:sz="0" w:space="0" w:color="auto"/>
                <w:bottom w:val="none" w:sz="0" w:space="0" w:color="auto"/>
                <w:right w:val="none" w:sz="0" w:space="0" w:color="auto"/>
              </w:divBdr>
            </w:div>
          </w:divsChild>
        </w:div>
        <w:div w:id="2136216426">
          <w:marLeft w:val="0"/>
          <w:marRight w:val="0"/>
          <w:marTop w:val="0"/>
          <w:marBottom w:val="0"/>
          <w:divBdr>
            <w:top w:val="none" w:sz="0" w:space="0" w:color="auto"/>
            <w:left w:val="none" w:sz="0" w:space="0" w:color="auto"/>
            <w:bottom w:val="none" w:sz="0" w:space="0" w:color="auto"/>
            <w:right w:val="none" w:sz="0" w:space="0" w:color="auto"/>
          </w:divBdr>
          <w:divsChild>
            <w:div w:id="583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71811">
      <w:bodyDiv w:val="1"/>
      <w:marLeft w:val="0"/>
      <w:marRight w:val="0"/>
      <w:marTop w:val="0"/>
      <w:marBottom w:val="0"/>
      <w:divBdr>
        <w:top w:val="none" w:sz="0" w:space="0" w:color="auto"/>
        <w:left w:val="none" w:sz="0" w:space="0" w:color="auto"/>
        <w:bottom w:val="none" w:sz="0" w:space="0" w:color="auto"/>
        <w:right w:val="none" w:sz="0" w:space="0" w:color="auto"/>
      </w:divBdr>
    </w:div>
    <w:div w:id="1685130527">
      <w:bodyDiv w:val="1"/>
      <w:marLeft w:val="0"/>
      <w:marRight w:val="0"/>
      <w:marTop w:val="0"/>
      <w:marBottom w:val="0"/>
      <w:divBdr>
        <w:top w:val="none" w:sz="0" w:space="0" w:color="auto"/>
        <w:left w:val="none" w:sz="0" w:space="0" w:color="auto"/>
        <w:bottom w:val="none" w:sz="0" w:space="0" w:color="auto"/>
        <w:right w:val="none" w:sz="0" w:space="0" w:color="auto"/>
      </w:divBdr>
    </w:div>
    <w:div w:id="1704744926">
      <w:bodyDiv w:val="1"/>
      <w:marLeft w:val="0"/>
      <w:marRight w:val="0"/>
      <w:marTop w:val="0"/>
      <w:marBottom w:val="0"/>
      <w:divBdr>
        <w:top w:val="none" w:sz="0" w:space="0" w:color="auto"/>
        <w:left w:val="none" w:sz="0" w:space="0" w:color="auto"/>
        <w:bottom w:val="none" w:sz="0" w:space="0" w:color="auto"/>
        <w:right w:val="none" w:sz="0" w:space="0" w:color="auto"/>
      </w:divBdr>
    </w:div>
    <w:div w:id="1782870705">
      <w:bodyDiv w:val="1"/>
      <w:marLeft w:val="0"/>
      <w:marRight w:val="0"/>
      <w:marTop w:val="0"/>
      <w:marBottom w:val="0"/>
      <w:divBdr>
        <w:top w:val="none" w:sz="0" w:space="0" w:color="auto"/>
        <w:left w:val="none" w:sz="0" w:space="0" w:color="auto"/>
        <w:bottom w:val="none" w:sz="0" w:space="0" w:color="auto"/>
        <w:right w:val="none" w:sz="0" w:space="0" w:color="auto"/>
      </w:divBdr>
    </w:div>
    <w:div w:id="1858301818">
      <w:bodyDiv w:val="1"/>
      <w:marLeft w:val="0"/>
      <w:marRight w:val="0"/>
      <w:marTop w:val="0"/>
      <w:marBottom w:val="0"/>
      <w:divBdr>
        <w:top w:val="none" w:sz="0" w:space="0" w:color="auto"/>
        <w:left w:val="none" w:sz="0" w:space="0" w:color="auto"/>
        <w:bottom w:val="none" w:sz="0" w:space="0" w:color="auto"/>
        <w:right w:val="none" w:sz="0" w:space="0" w:color="auto"/>
      </w:divBdr>
    </w:div>
    <w:div w:id="1899703755">
      <w:bodyDiv w:val="1"/>
      <w:marLeft w:val="0"/>
      <w:marRight w:val="0"/>
      <w:marTop w:val="0"/>
      <w:marBottom w:val="0"/>
      <w:divBdr>
        <w:top w:val="none" w:sz="0" w:space="0" w:color="auto"/>
        <w:left w:val="none" w:sz="0" w:space="0" w:color="auto"/>
        <w:bottom w:val="none" w:sz="0" w:space="0" w:color="auto"/>
        <w:right w:val="none" w:sz="0" w:space="0" w:color="auto"/>
      </w:divBdr>
    </w:div>
    <w:div w:id="1927567128">
      <w:bodyDiv w:val="1"/>
      <w:marLeft w:val="0"/>
      <w:marRight w:val="0"/>
      <w:marTop w:val="0"/>
      <w:marBottom w:val="0"/>
      <w:divBdr>
        <w:top w:val="none" w:sz="0" w:space="0" w:color="auto"/>
        <w:left w:val="none" w:sz="0" w:space="0" w:color="auto"/>
        <w:bottom w:val="none" w:sz="0" w:space="0" w:color="auto"/>
        <w:right w:val="none" w:sz="0" w:space="0" w:color="auto"/>
      </w:divBdr>
    </w:div>
    <w:div w:id="1933006307">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7538674">
      <w:bodyDiv w:val="1"/>
      <w:marLeft w:val="0"/>
      <w:marRight w:val="0"/>
      <w:marTop w:val="0"/>
      <w:marBottom w:val="0"/>
      <w:divBdr>
        <w:top w:val="none" w:sz="0" w:space="0" w:color="auto"/>
        <w:left w:val="none" w:sz="0" w:space="0" w:color="auto"/>
        <w:bottom w:val="none" w:sz="0" w:space="0" w:color="auto"/>
        <w:right w:val="none" w:sz="0" w:space="0" w:color="auto"/>
      </w:divBdr>
    </w:div>
    <w:div w:id="2008749441">
      <w:bodyDiv w:val="1"/>
      <w:marLeft w:val="0"/>
      <w:marRight w:val="0"/>
      <w:marTop w:val="0"/>
      <w:marBottom w:val="0"/>
      <w:divBdr>
        <w:top w:val="none" w:sz="0" w:space="0" w:color="auto"/>
        <w:left w:val="none" w:sz="0" w:space="0" w:color="auto"/>
        <w:bottom w:val="none" w:sz="0" w:space="0" w:color="auto"/>
        <w:right w:val="none" w:sz="0" w:space="0" w:color="auto"/>
      </w:divBdr>
    </w:div>
    <w:div w:id="2048751602">
      <w:bodyDiv w:val="1"/>
      <w:marLeft w:val="0"/>
      <w:marRight w:val="0"/>
      <w:marTop w:val="0"/>
      <w:marBottom w:val="0"/>
      <w:divBdr>
        <w:top w:val="none" w:sz="0" w:space="0" w:color="auto"/>
        <w:left w:val="none" w:sz="0" w:space="0" w:color="auto"/>
        <w:bottom w:val="none" w:sz="0" w:space="0" w:color="auto"/>
        <w:right w:val="none" w:sz="0" w:space="0" w:color="auto"/>
      </w:divBdr>
    </w:div>
    <w:div w:id="2126535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de2e4b82f35e4823" Type="http://schemas.microsoft.com/office/2019/09/relationships/intelligence" Target="intelligenc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gate.net/publication/298382182_Severity_stratification_of_Children's_Dermatology_Life_Quality_Index_CDLQI_sco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A8849-D4CB-465D-9270-732E343EA3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10375</Words>
  <Characters>56233</Characters>
  <Application>Microsoft Office Word</Application>
  <DocSecurity>0</DocSecurity>
  <Lines>468</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66476</CharactersWithSpaces>
  <SharedDoc>false</SharedDoc>
  <HLinks>
    <vt:vector size="408" baseType="variant">
      <vt:variant>
        <vt:i4>1835066</vt:i4>
      </vt:variant>
      <vt:variant>
        <vt:i4>398</vt:i4>
      </vt:variant>
      <vt:variant>
        <vt:i4>0</vt:i4>
      </vt:variant>
      <vt:variant>
        <vt:i4>5</vt:i4>
      </vt:variant>
      <vt:variant>
        <vt:lpwstr/>
      </vt:variant>
      <vt:variant>
        <vt:lpwstr>_Toc79960044</vt:lpwstr>
      </vt:variant>
      <vt:variant>
        <vt:i4>1769530</vt:i4>
      </vt:variant>
      <vt:variant>
        <vt:i4>392</vt:i4>
      </vt:variant>
      <vt:variant>
        <vt:i4>0</vt:i4>
      </vt:variant>
      <vt:variant>
        <vt:i4>5</vt:i4>
      </vt:variant>
      <vt:variant>
        <vt:lpwstr/>
      </vt:variant>
      <vt:variant>
        <vt:lpwstr>_Toc79960043</vt:lpwstr>
      </vt:variant>
      <vt:variant>
        <vt:i4>1703994</vt:i4>
      </vt:variant>
      <vt:variant>
        <vt:i4>386</vt:i4>
      </vt:variant>
      <vt:variant>
        <vt:i4>0</vt:i4>
      </vt:variant>
      <vt:variant>
        <vt:i4>5</vt:i4>
      </vt:variant>
      <vt:variant>
        <vt:lpwstr/>
      </vt:variant>
      <vt:variant>
        <vt:lpwstr>_Toc79960042</vt:lpwstr>
      </vt:variant>
      <vt:variant>
        <vt:i4>1638458</vt:i4>
      </vt:variant>
      <vt:variant>
        <vt:i4>380</vt:i4>
      </vt:variant>
      <vt:variant>
        <vt:i4>0</vt:i4>
      </vt:variant>
      <vt:variant>
        <vt:i4>5</vt:i4>
      </vt:variant>
      <vt:variant>
        <vt:lpwstr/>
      </vt:variant>
      <vt:variant>
        <vt:lpwstr>_Toc79960041</vt:lpwstr>
      </vt:variant>
      <vt:variant>
        <vt:i4>1572922</vt:i4>
      </vt:variant>
      <vt:variant>
        <vt:i4>374</vt:i4>
      </vt:variant>
      <vt:variant>
        <vt:i4>0</vt:i4>
      </vt:variant>
      <vt:variant>
        <vt:i4>5</vt:i4>
      </vt:variant>
      <vt:variant>
        <vt:lpwstr/>
      </vt:variant>
      <vt:variant>
        <vt:lpwstr>_Toc79960040</vt:lpwstr>
      </vt:variant>
      <vt:variant>
        <vt:i4>1114173</vt:i4>
      </vt:variant>
      <vt:variant>
        <vt:i4>368</vt:i4>
      </vt:variant>
      <vt:variant>
        <vt:i4>0</vt:i4>
      </vt:variant>
      <vt:variant>
        <vt:i4>5</vt:i4>
      </vt:variant>
      <vt:variant>
        <vt:lpwstr/>
      </vt:variant>
      <vt:variant>
        <vt:lpwstr>_Toc79960039</vt:lpwstr>
      </vt:variant>
      <vt:variant>
        <vt:i4>1048637</vt:i4>
      </vt:variant>
      <vt:variant>
        <vt:i4>362</vt:i4>
      </vt:variant>
      <vt:variant>
        <vt:i4>0</vt:i4>
      </vt:variant>
      <vt:variant>
        <vt:i4>5</vt:i4>
      </vt:variant>
      <vt:variant>
        <vt:lpwstr/>
      </vt:variant>
      <vt:variant>
        <vt:lpwstr>_Toc79960038</vt:lpwstr>
      </vt:variant>
      <vt:variant>
        <vt:i4>2031677</vt:i4>
      </vt:variant>
      <vt:variant>
        <vt:i4>356</vt:i4>
      </vt:variant>
      <vt:variant>
        <vt:i4>0</vt:i4>
      </vt:variant>
      <vt:variant>
        <vt:i4>5</vt:i4>
      </vt:variant>
      <vt:variant>
        <vt:lpwstr/>
      </vt:variant>
      <vt:variant>
        <vt:lpwstr>_Toc79960037</vt:lpwstr>
      </vt:variant>
      <vt:variant>
        <vt:i4>1966141</vt:i4>
      </vt:variant>
      <vt:variant>
        <vt:i4>350</vt:i4>
      </vt:variant>
      <vt:variant>
        <vt:i4>0</vt:i4>
      </vt:variant>
      <vt:variant>
        <vt:i4>5</vt:i4>
      </vt:variant>
      <vt:variant>
        <vt:lpwstr/>
      </vt:variant>
      <vt:variant>
        <vt:lpwstr>_Toc79960036</vt:lpwstr>
      </vt:variant>
      <vt:variant>
        <vt:i4>1900605</vt:i4>
      </vt:variant>
      <vt:variant>
        <vt:i4>344</vt:i4>
      </vt:variant>
      <vt:variant>
        <vt:i4>0</vt:i4>
      </vt:variant>
      <vt:variant>
        <vt:i4>5</vt:i4>
      </vt:variant>
      <vt:variant>
        <vt:lpwstr/>
      </vt:variant>
      <vt:variant>
        <vt:lpwstr>_Toc79960035</vt:lpwstr>
      </vt:variant>
      <vt:variant>
        <vt:i4>1835069</vt:i4>
      </vt:variant>
      <vt:variant>
        <vt:i4>338</vt:i4>
      </vt:variant>
      <vt:variant>
        <vt:i4>0</vt:i4>
      </vt:variant>
      <vt:variant>
        <vt:i4>5</vt:i4>
      </vt:variant>
      <vt:variant>
        <vt:lpwstr/>
      </vt:variant>
      <vt:variant>
        <vt:lpwstr>_Toc79960034</vt:lpwstr>
      </vt:variant>
      <vt:variant>
        <vt:i4>1769533</vt:i4>
      </vt:variant>
      <vt:variant>
        <vt:i4>332</vt:i4>
      </vt:variant>
      <vt:variant>
        <vt:i4>0</vt:i4>
      </vt:variant>
      <vt:variant>
        <vt:i4>5</vt:i4>
      </vt:variant>
      <vt:variant>
        <vt:lpwstr/>
      </vt:variant>
      <vt:variant>
        <vt:lpwstr>_Toc79960033</vt:lpwstr>
      </vt:variant>
      <vt:variant>
        <vt:i4>1703997</vt:i4>
      </vt:variant>
      <vt:variant>
        <vt:i4>326</vt:i4>
      </vt:variant>
      <vt:variant>
        <vt:i4>0</vt:i4>
      </vt:variant>
      <vt:variant>
        <vt:i4>5</vt:i4>
      </vt:variant>
      <vt:variant>
        <vt:lpwstr/>
      </vt:variant>
      <vt:variant>
        <vt:lpwstr>_Toc79960032</vt:lpwstr>
      </vt:variant>
      <vt:variant>
        <vt:i4>1638461</vt:i4>
      </vt:variant>
      <vt:variant>
        <vt:i4>320</vt:i4>
      </vt:variant>
      <vt:variant>
        <vt:i4>0</vt:i4>
      </vt:variant>
      <vt:variant>
        <vt:i4>5</vt:i4>
      </vt:variant>
      <vt:variant>
        <vt:lpwstr/>
      </vt:variant>
      <vt:variant>
        <vt:lpwstr>_Toc79960031</vt:lpwstr>
      </vt:variant>
      <vt:variant>
        <vt:i4>1572925</vt:i4>
      </vt:variant>
      <vt:variant>
        <vt:i4>314</vt:i4>
      </vt:variant>
      <vt:variant>
        <vt:i4>0</vt:i4>
      </vt:variant>
      <vt:variant>
        <vt:i4>5</vt:i4>
      </vt:variant>
      <vt:variant>
        <vt:lpwstr/>
      </vt:variant>
      <vt:variant>
        <vt:lpwstr>_Toc79960030</vt:lpwstr>
      </vt:variant>
      <vt:variant>
        <vt:i4>1114172</vt:i4>
      </vt:variant>
      <vt:variant>
        <vt:i4>308</vt:i4>
      </vt:variant>
      <vt:variant>
        <vt:i4>0</vt:i4>
      </vt:variant>
      <vt:variant>
        <vt:i4>5</vt:i4>
      </vt:variant>
      <vt:variant>
        <vt:lpwstr/>
      </vt:variant>
      <vt:variant>
        <vt:lpwstr>_Toc79960029</vt:lpwstr>
      </vt:variant>
      <vt:variant>
        <vt:i4>1048636</vt:i4>
      </vt:variant>
      <vt:variant>
        <vt:i4>302</vt:i4>
      </vt:variant>
      <vt:variant>
        <vt:i4>0</vt:i4>
      </vt:variant>
      <vt:variant>
        <vt:i4>5</vt:i4>
      </vt:variant>
      <vt:variant>
        <vt:lpwstr/>
      </vt:variant>
      <vt:variant>
        <vt:lpwstr>_Toc79960028</vt:lpwstr>
      </vt:variant>
      <vt:variant>
        <vt:i4>2031676</vt:i4>
      </vt:variant>
      <vt:variant>
        <vt:i4>296</vt:i4>
      </vt:variant>
      <vt:variant>
        <vt:i4>0</vt:i4>
      </vt:variant>
      <vt:variant>
        <vt:i4>5</vt:i4>
      </vt:variant>
      <vt:variant>
        <vt:lpwstr/>
      </vt:variant>
      <vt:variant>
        <vt:lpwstr>_Toc79960027</vt:lpwstr>
      </vt:variant>
      <vt:variant>
        <vt:i4>1966140</vt:i4>
      </vt:variant>
      <vt:variant>
        <vt:i4>290</vt:i4>
      </vt:variant>
      <vt:variant>
        <vt:i4>0</vt:i4>
      </vt:variant>
      <vt:variant>
        <vt:i4>5</vt:i4>
      </vt:variant>
      <vt:variant>
        <vt:lpwstr/>
      </vt:variant>
      <vt:variant>
        <vt:lpwstr>_Toc79960026</vt:lpwstr>
      </vt:variant>
      <vt:variant>
        <vt:i4>1900604</vt:i4>
      </vt:variant>
      <vt:variant>
        <vt:i4>284</vt:i4>
      </vt:variant>
      <vt:variant>
        <vt:i4>0</vt:i4>
      </vt:variant>
      <vt:variant>
        <vt:i4>5</vt:i4>
      </vt:variant>
      <vt:variant>
        <vt:lpwstr/>
      </vt:variant>
      <vt:variant>
        <vt:lpwstr>_Toc79960025</vt:lpwstr>
      </vt:variant>
      <vt:variant>
        <vt:i4>1835068</vt:i4>
      </vt:variant>
      <vt:variant>
        <vt:i4>278</vt:i4>
      </vt:variant>
      <vt:variant>
        <vt:i4>0</vt:i4>
      </vt:variant>
      <vt:variant>
        <vt:i4>5</vt:i4>
      </vt:variant>
      <vt:variant>
        <vt:lpwstr/>
      </vt:variant>
      <vt:variant>
        <vt:lpwstr>_Toc79960024</vt:lpwstr>
      </vt:variant>
      <vt:variant>
        <vt:i4>1769532</vt:i4>
      </vt:variant>
      <vt:variant>
        <vt:i4>272</vt:i4>
      </vt:variant>
      <vt:variant>
        <vt:i4>0</vt:i4>
      </vt:variant>
      <vt:variant>
        <vt:i4>5</vt:i4>
      </vt:variant>
      <vt:variant>
        <vt:lpwstr/>
      </vt:variant>
      <vt:variant>
        <vt:lpwstr>_Toc79960023</vt:lpwstr>
      </vt:variant>
      <vt:variant>
        <vt:i4>1703996</vt:i4>
      </vt:variant>
      <vt:variant>
        <vt:i4>266</vt:i4>
      </vt:variant>
      <vt:variant>
        <vt:i4>0</vt:i4>
      </vt:variant>
      <vt:variant>
        <vt:i4>5</vt:i4>
      </vt:variant>
      <vt:variant>
        <vt:lpwstr/>
      </vt:variant>
      <vt:variant>
        <vt:lpwstr>_Toc79960022</vt:lpwstr>
      </vt:variant>
      <vt:variant>
        <vt:i4>1638460</vt:i4>
      </vt:variant>
      <vt:variant>
        <vt:i4>260</vt:i4>
      </vt:variant>
      <vt:variant>
        <vt:i4>0</vt:i4>
      </vt:variant>
      <vt:variant>
        <vt:i4>5</vt:i4>
      </vt:variant>
      <vt:variant>
        <vt:lpwstr/>
      </vt:variant>
      <vt:variant>
        <vt:lpwstr>_Toc79960021</vt:lpwstr>
      </vt:variant>
      <vt:variant>
        <vt:i4>1572924</vt:i4>
      </vt:variant>
      <vt:variant>
        <vt:i4>254</vt:i4>
      </vt:variant>
      <vt:variant>
        <vt:i4>0</vt:i4>
      </vt:variant>
      <vt:variant>
        <vt:i4>5</vt:i4>
      </vt:variant>
      <vt:variant>
        <vt:lpwstr/>
      </vt:variant>
      <vt:variant>
        <vt:lpwstr>_Toc79960020</vt:lpwstr>
      </vt:variant>
      <vt:variant>
        <vt:i4>1114175</vt:i4>
      </vt:variant>
      <vt:variant>
        <vt:i4>248</vt:i4>
      </vt:variant>
      <vt:variant>
        <vt:i4>0</vt:i4>
      </vt:variant>
      <vt:variant>
        <vt:i4>5</vt:i4>
      </vt:variant>
      <vt:variant>
        <vt:lpwstr/>
      </vt:variant>
      <vt:variant>
        <vt:lpwstr>_Toc79960019</vt:lpwstr>
      </vt:variant>
      <vt:variant>
        <vt:i4>1048639</vt:i4>
      </vt:variant>
      <vt:variant>
        <vt:i4>242</vt:i4>
      </vt:variant>
      <vt:variant>
        <vt:i4>0</vt:i4>
      </vt:variant>
      <vt:variant>
        <vt:i4>5</vt:i4>
      </vt:variant>
      <vt:variant>
        <vt:lpwstr/>
      </vt:variant>
      <vt:variant>
        <vt:lpwstr>_Toc79960018</vt:lpwstr>
      </vt:variant>
      <vt:variant>
        <vt:i4>2031679</vt:i4>
      </vt:variant>
      <vt:variant>
        <vt:i4>236</vt:i4>
      </vt:variant>
      <vt:variant>
        <vt:i4>0</vt:i4>
      </vt:variant>
      <vt:variant>
        <vt:i4>5</vt:i4>
      </vt:variant>
      <vt:variant>
        <vt:lpwstr/>
      </vt:variant>
      <vt:variant>
        <vt:lpwstr>_Toc79960017</vt:lpwstr>
      </vt:variant>
      <vt:variant>
        <vt:i4>1966143</vt:i4>
      </vt:variant>
      <vt:variant>
        <vt:i4>230</vt:i4>
      </vt:variant>
      <vt:variant>
        <vt:i4>0</vt:i4>
      </vt:variant>
      <vt:variant>
        <vt:i4>5</vt:i4>
      </vt:variant>
      <vt:variant>
        <vt:lpwstr/>
      </vt:variant>
      <vt:variant>
        <vt:lpwstr>_Toc79960016</vt:lpwstr>
      </vt:variant>
      <vt:variant>
        <vt:i4>1900607</vt:i4>
      </vt:variant>
      <vt:variant>
        <vt:i4>224</vt:i4>
      </vt:variant>
      <vt:variant>
        <vt:i4>0</vt:i4>
      </vt:variant>
      <vt:variant>
        <vt:i4>5</vt:i4>
      </vt:variant>
      <vt:variant>
        <vt:lpwstr/>
      </vt:variant>
      <vt:variant>
        <vt:lpwstr>_Toc79960015</vt:lpwstr>
      </vt:variant>
      <vt:variant>
        <vt:i4>1835071</vt:i4>
      </vt:variant>
      <vt:variant>
        <vt:i4>218</vt:i4>
      </vt:variant>
      <vt:variant>
        <vt:i4>0</vt:i4>
      </vt:variant>
      <vt:variant>
        <vt:i4>5</vt:i4>
      </vt:variant>
      <vt:variant>
        <vt:lpwstr/>
      </vt:variant>
      <vt:variant>
        <vt:lpwstr>_Toc79960014</vt:lpwstr>
      </vt:variant>
      <vt:variant>
        <vt:i4>1769535</vt:i4>
      </vt:variant>
      <vt:variant>
        <vt:i4>212</vt:i4>
      </vt:variant>
      <vt:variant>
        <vt:i4>0</vt:i4>
      </vt:variant>
      <vt:variant>
        <vt:i4>5</vt:i4>
      </vt:variant>
      <vt:variant>
        <vt:lpwstr/>
      </vt:variant>
      <vt:variant>
        <vt:lpwstr>_Toc79960013</vt:lpwstr>
      </vt:variant>
      <vt:variant>
        <vt:i4>1703999</vt:i4>
      </vt:variant>
      <vt:variant>
        <vt:i4>206</vt:i4>
      </vt:variant>
      <vt:variant>
        <vt:i4>0</vt:i4>
      </vt:variant>
      <vt:variant>
        <vt:i4>5</vt:i4>
      </vt:variant>
      <vt:variant>
        <vt:lpwstr/>
      </vt:variant>
      <vt:variant>
        <vt:lpwstr>_Toc79960012</vt:lpwstr>
      </vt:variant>
      <vt:variant>
        <vt:i4>1638463</vt:i4>
      </vt:variant>
      <vt:variant>
        <vt:i4>200</vt:i4>
      </vt:variant>
      <vt:variant>
        <vt:i4>0</vt:i4>
      </vt:variant>
      <vt:variant>
        <vt:i4>5</vt:i4>
      </vt:variant>
      <vt:variant>
        <vt:lpwstr/>
      </vt:variant>
      <vt:variant>
        <vt:lpwstr>_Toc79960011</vt:lpwstr>
      </vt:variant>
      <vt:variant>
        <vt:i4>1572927</vt:i4>
      </vt:variant>
      <vt:variant>
        <vt:i4>194</vt:i4>
      </vt:variant>
      <vt:variant>
        <vt:i4>0</vt:i4>
      </vt:variant>
      <vt:variant>
        <vt:i4>5</vt:i4>
      </vt:variant>
      <vt:variant>
        <vt:lpwstr/>
      </vt:variant>
      <vt:variant>
        <vt:lpwstr>_Toc79960010</vt:lpwstr>
      </vt:variant>
      <vt:variant>
        <vt:i4>1114174</vt:i4>
      </vt:variant>
      <vt:variant>
        <vt:i4>188</vt:i4>
      </vt:variant>
      <vt:variant>
        <vt:i4>0</vt:i4>
      </vt:variant>
      <vt:variant>
        <vt:i4>5</vt:i4>
      </vt:variant>
      <vt:variant>
        <vt:lpwstr/>
      </vt:variant>
      <vt:variant>
        <vt:lpwstr>_Toc79960009</vt:lpwstr>
      </vt:variant>
      <vt:variant>
        <vt:i4>1048638</vt:i4>
      </vt:variant>
      <vt:variant>
        <vt:i4>182</vt:i4>
      </vt:variant>
      <vt:variant>
        <vt:i4>0</vt:i4>
      </vt:variant>
      <vt:variant>
        <vt:i4>5</vt:i4>
      </vt:variant>
      <vt:variant>
        <vt:lpwstr/>
      </vt:variant>
      <vt:variant>
        <vt:lpwstr>_Toc79960008</vt:lpwstr>
      </vt:variant>
      <vt:variant>
        <vt:i4>2031678</vt:i4>
      </vt:variant>
      <vt:variant>
        <vt:i4>176</vt:i4>
      </vt:variant>
      <vt:variant>
        <vt:i4>0</vt:i4>
      </vt:variant>
      <vt:variant>
        <vt:i4>5</vt:i4>
      </vt:variant>
      <vt:variant>
        <vt:lpwstr/>
      </vt:variant>
      <vt:variant>
        <vt:lpwstr>_Toc79960007</vt:lpwstr>
      </vt:variant>
      <vt:variant>
        <vt:i4>1966142</vt:i4>
      </vt:variant>
      <vt:variant>
        <vt:i4>170</vt:i4>
      </vt:variant>
      <vt:variant>
        <vt:i4>0</vt:i4>
      </vt:variant>
      <vt:variant>
        <vt:i4>5</vt:i4>
      </vt:variant>
      <vt:variant>
        <vt:lpwstr/>
      </vt:variant>
      <vt:variant>
        <vt:lpwstr>_Toc79960006</vt:lpwstr>
      </vt:variant>
      <vt:variant>
        <vt:i4>1900606</vt:i4>
      </vt:variant>
      <vt:variant>
        <vt:i4>164</vt:i4>
      </vt:variant>
      <vt:variant>
        <vt:i4>0</vt:i4>
      </vt:variant>
      <vt:variant>
        <vt:i4>5</vt:i4>
      </vt:variant>
      <vt:variant>
        <vt:lpwstr/>
      </vt:variant>
      <vt:variant>
        <vt:lpwstr>_Toc79960005</vt:lpwstr>
      </vt:variant>
      <vt:variant>
        <vt:i4>1835070</vt:i4>
      </vt:variant>
      <vt:variant>
        <vt:i4>158</vt:i4>
      </vt:variant>
      <vt:variant>
        <vt:i4>0</vt:i4>
      </vt:variant>
      <vt:variant>
        <vt:i4>5</vt:i4>
      </vt:variant>
      <vt:variant>
        <vt:lpwstr/>
      </vt:variant>
      <vt:variant>
        <vt:lpwstr>_Toc79960004</vt:lpwstr>
      </vt:variant>
      <vt:variant>
        <vt:i4>1769534</vt:i4>
      </vt:variant>
      <vt:variant>
        <vt:i4>152</vt:i4>
      </vt:variant>
      <vt:variant>
        <vt:i4>0</vt:i4>
      </vt:variant>
      <vt:variant>
        <vt:i4>5</vt:i4>
      </vt:variant>
      <vt:variant>
        <vt:lpwstr/>
      </vt:variant>
      <vt:variant>
        <vt:lpwstr>_Toc79960003</vt:lpwstr>
      </vt:variant>
      <vt:variant>
        <vt:i4>1703998</vt:i4>
      </vt:variant>
      <vt:variant>
        <vt:i4>146</vt:i4>
      </vt:variant>
      <vt:variant>
        <vt:i4>0</vt:i4>
      </vt:variant>
      <vt:variant>
        <vt:i4>5</vt:i4>
      </vt:variant>
      <vt:variant>
        <vt:lpwstr/>
      </vt:variant>
      <vt:variant>
        <vt:lpwstr>_Toc79960002</vt:lpwstr>
      </vt:variant>
      <vt:variant>
        <vt:i4>1638462</vt:i4>
      </vt:variant>
      <vt:variant>
        <vt:i4>140</vt:i4>
      </vt:variant>
      <vt:variant>
        <vt:i4>0</vt:i4>
      </vt:variant>
      <vt:variant>
        <vt:i4>5</vt:i4>
      </vt:variant>
      <vt:variant>
        <vt:lpwstr/>
      </vt:variant>
      <vt:variant>
        <vt:lpwstr>_Toc79960001</vt:lpwstr>
      </vt:variant>
      <vt:variant>
        <vt:i4>1572926</vt:i4>
      </vt:variant>
      <vt:variant>
        <vt:i4>134</vt:i4>
      </vt:variant>
      <vt:variant>
        <vt:i4>0</vt:i4>
      </vt:variant>
      <vt:variant>
        <vt:i4>5</vt:i4>
      </vt:variant>
      <vt:variant>
        <vt:lpwstr/>
      </vt:variant>
      <vt:variant>
        <vt:lpwstr>_Toc79960000</vt:lpwstr>
      </vt:variant>
      <vt:variant>
        <vt:i4>1769534</vt:i4>
      </vt:variant>
      <vt:variant>
        <vt:i4>128</vt:i4>
      </vt:variant>
      <vt:variant>
        <vt:i4>0</vt:i4>
      </vt:variant>
      <vt:variant>
        <vt:i4>5</vt:i4>
      </vt:variant>
      <vt:variant>
        <vt:lpwstr/>
      </vt:variant>
      <vt:variant>
        <vt:lpwstr>_Toc79959999</vt:lpwstr>
      </vt:variant>
      <vt:variant>
        <vt:i4>1703998</vt:i4>
      </vt:variant>
      <vt:variant>
        <vt:i4>122</vt:i4>
      </vt:variant>
      <vt:variant>
        <vt:i4>0</vt:i4>
      </vt:variant>
      <vt:variant>
        <vt:i4>5</vt:i4>
      </vt:variant>
      <vt:variant>
        <vt:lpwstr/>
      </vt:variant>
      <vt:variant>
        <vt:lpwstr>_Toc79959998</vt:lpwstr>
      </vt:variant>
      <vt:variant>
        <vt:i4>1376318</vt:i4>
      </vt:variant>
      <vt:variant>
        <vt:i4>116</vt:i4>
      </vt:variant>
      <vt:variant>
        <vt:i4>0</vt:i4>
      </vt:variant>
      <vt:variant>
        <vt:i4>5</vt:i4>
      </vt:variant>
      <vt:variant>
        <vt:lpwstr/>
      </vt:variant>
      <vt:variant>
        <vt:lpwstr>_Toc79959997</vt:lpwstr>
      </vt:variant>
      <vt:variant>
        <vt:i4>1310782</vt:i4>
      </vt:variant>
      <vt:variant>
        <vt:i4>110</vt:i4>
      </vt:variant>
      <vt:variant>
        <vt:i4>0</vt:i4>
      </vt:variant>
      <vt:variant>
        <vt:i4>5</vt:i4>
      </vt:variant>
      <vt:variant>
        <vt:lpwstr/>
      </vt:variant>
      <vt:variant>
        <vt:lpwstr>_Toc79959996</vt:lpwstr>
      </vt:variant>
      <vt:variant>
        <vt:i4>1507390</vt:i4>
      </vt:variant>
      <vt:variant>
        <vt:i4>104</vt:i4>
      </vt:variant>
      <vt:variant>
        <vt:i4>0</vt:i4>
      </vt:variant>
      <vt:variant>
        <vt:i4>5</vt:i4>
      </vt:variant>
      <vt:variant>
        <vt:lpwstr/>
      </vt:variant>
      <vt:variant>
        <vt:lpwstr>_Toc79959995</vt:lpwstr>
      </vt:variant>
      <vt:variant>
        <vt:i4>1441854</vt:i4>
      </vt:variant>
      <vt:variant>
        <vt:i4>98</vt:i4>
      </vt:variant>
      <vt:variant>
        <vt:i4>0</vt:i4>
      </vt:variant>
      <vt:variant>
        <vt:i4>5</vt:i4>
      </vt:variant>
      <vt:variant>
        <vt:lpwstr/>
      </vt:variant>
      <vt:variant>
        <vt:lpwstr>_Toc79959994</vt:lpwstr>
      </vt:variant>
      <vt:variant>
        <vt:i4>1114174</vt:i4>
      </vt:variant>
      <vt:variant>
        <vt:i4>92</vt:i4>
      </vt:variant>
      <vt:variant>
        <vt:i4>0</vt:i4>
      </vt:variant>
      <vt:variant>
        <vt:i4>5</vt:i4>
      </vt:variant>
      <vt:variant>
        <vt:lpwstr/>
      </vt:variant>
      <vt:variant>
        <vt:lpwstr>_Toc79959993</vt:lpwstr>
      </vt:variant>
      <vt:variant>
        <vt:i4>1048638</vt:i4>
      </vt:variant>
      <vt:variant>
        <vt:i4>86</vt:i4>
      </vt:variant>
      <vt:variant>
        <vt:i4>0</vt:i4>
      </vt:variant>
      <vt:variant>
        <vt:i4>5</vt:i4>
      </vt:variant>
      <vt:variant>
        <vt:lpwstr/>
      </vt:variant>
      <vt:variant>
        <vt:lpwstr>_Toc79959992</vt:lpwstr>
      </vt:variant>
      <vt:variant>
        <vt:i4>1245246</vt:i4>
      </vt:variant>
      <vt:variant>
        <vt:i4>80</vt:i4>
      </vt:variant>
      <vt:variant>
        <vt:i4>0</vt:i4>
      </vt:variant>
      <vt:variant>
        <vt:i4>5</vt:i4>
      </vt:variant>
      <vt:variant>
        <vt:lpwstr/>
      </vt:variant>
      <vt:variant>
        <vt:lpwstr>_Toc79959991</vt:lpwstr>
      </vt:variant>
      <vt:variant>
        <vt:i4>1179710</vt:i4>
      </vt:variant>
      <vt:variant>
        <vt:i4>74</vt:i4>
      </vt:variant>
      <vt:variant>
        <vt:i4>0</vt:i4>
      </vt:variant>
      <vt:variant>
        <vt:i4>5</vt:i4>
      </vt:variant>
      <vt:variant>
        <vt:lpwstr/>
      </vt:variant>
      <vt:variant>
        <vt:lpwstr>_Toc79959990</vt:lpwstr>
      </vt:variant>
      <vt:variant>
        <vt:i4>1769535</vt:i4>
      </vt:variant>
      <vt:variant>
        <vt:i4>68</vt:i4>
      </vt:variant>
      <vt:variant>
        <vt:i4>0</vt:i4>
      </vt:variant>
      <vt:variant>
        <vt:i4>5</vt:i4>
      </vt:variant>
      <vt:variant>
        <vt:lpwstr/>
      </vt:variant>
      <vt:variant>
        <vt:lpwstr>_Toc79959989</vt:lpwstr>
      </vt:variant>
      <vt:variant>
        <vt:i4>1703999</vt:i4>
      </vt:variant>
      <vt:variant>
        <vt:i4>62</vt:i4>
      </vt:variant>
      <vt:variant>
        <vt:i4>0</vt:i4>
      </vt:variant>
      <vt:variant>
        <vt:i4>5</vt:i4>
      </vt:variant>
      <vt:variant>
        <vt:lpwstr/>
      </vt:variant>
      <vt:variant>
        <vt:lpwstr>_Toc79959988</vt:lpwstr>
      </vt:variant>
      <vt:variant>
        <vt:i4>1376319</vt:i4>
      </vt:variant>
      <vt:variant>
        <vt:i4>56</vt:i4>
      </vt:variant>
      <vt:variant>
        <vt:i4>0</vt:i4>
      </vt:variant>
      <vt:variant>
        <vt:i4>5</vt:i4>
      </vt:variant>
      <vt:variant>
        <vt:lpwstr/>
      </vt:variant>
      <vt:variant>
        <vt:lpwstr>_Toc79959987</vt:lpwstr>
      </vt:variant>
      <vt:variant>
        <vt:i4>1310783</vt:i4>
      </vt:variant>
      <vt:variant>
        <vt:i4>50</vt:i4>
      </vt:variant>
      <vt:variant>
        <vt:i4>0</vt:i4>
      </vt:variant>
      <vt:variant>
        <vt:i4>5</vt:i4>
      </vt:variant>
      <vt:variant>
        <vt:lpwstr/>
      </vt:variant>
      <vt:variant>
        <vt:lpwstr>_Toc79959986</vt:lpwstr>
      </vt:variant>
      <vt:variant>
        <vt:i4>1507391</vt:i4>
      </vt:variant>
      <vt:variant>
        <vt:i4>44</vt:i4>
      </vt:variant>
      <vt:variant>
        <vt:i4>0</vt:i4>
      </vt:variant>
      <vt:variant>
        <vt:i4>5</vt:i4>
      </vt:variant>
      <vt:variant>
        <vt:lpwstr/>
      </vt:variant>
      <vt:variant>
        <vt:lpwstr>_Toc79959985</vt:lpwstr>
      </vt:variant>
      <vt:variant>
        <vt:i4>1441855</vt:i4>
      </vt:variant>
      <vt:variant>
        <vt:i4>38</vt:i4>
      </vt:variant>
      <vt:variant>
        <vt:i4>0</vt:i4>
      </vt:variant>
      <vt:variant>
        <vt:i4>5</vt:i4>
      </vt:variant>
      <vt:variant>
        <vt:lpwstr/>
      </vt:variant>
      <vt:variant>
        <vt:lpwstr>_Toc79959984</vt:lpwstr>
      </vt:variant>
      <vt:variant>
        <vt:i4>1114175</vt:i4>
      </vt:variant>
      <vt:variant>
        <vt:i4>32</vt:i4>
      </vt:variant>
      <vt:variant>
        <vt:i4>0</vt:i4>
      </vt:variant>
      <vt:variant>
        <vt:i4>5</vt:i4>
      </vt:variant>
      <vt:variant>
        <vt:lpwstr/>
      </vt:variant>
      <vt:variant>
        <vt:lpwstr>_Toc79959983</vt:lpwstr>
      </vt:variant>
      <vt:variant>
        <vt:i4>1048639</vt:i4>
      </vt:variant>
      <vt:variant>
        <vt:i4>26</vt:i4>
      </vt:variant>
      <vt:variant>
        <vt:i4>0</vt:i4>
      </vt:variant>
      <vt:variant>
        <vt:i4>5</vt:i4>
      </vt:variant>
      <vt:variant>
        <vt:lpwstr/>
      </vt:variant>
      <vt:variant>
        <vt:lpwstr>_Toc79959982</vt:lpwstr>
      </vt:variant>
      <vt:variant>
        <vt:i4>1245247</vt:i4>
      </vt:variant>
      <vt:variant>
        <vt:i4>20</vt:i4>
      </vt:variant>
      <vt:variant>
        <vt:i4>0</vt:i4>
      </vt:variant>
      <vt:variant>
        <vt:i4>5</vt:i4>
      </vt:variant>
      <vt:variant>
        <vt:lpwstr/>
      </vt:variant>
      <vt:variant>
        <vt:lpwstr>_Toc79959981</vt:lpwstr>
      </vt:variant>
      <vt:variant>
        <vt:i4>1179711</vt:i4>
      </vt:variant>
      <vt:variant>
        <vt:i4>14</vt:i4>
      </vt:variant>
      <vt:variant>
        <vt:i4>0</vt:i4>
      </vt:variant>
      <vt:variant>
        <vt:i4>5</vt:i4>
      </vt:variant>
      <vt:variant>
        <vt:lpwstr/>
      </vt:variant>
      <vt:variant>
        <vt:lpwstr>_Toc79959980</vt:lpwstr>
      </vt:variant>
      <vt:variant>
        <vt:i4>1769520</vt:i4>
      </vt:variant>
      <vt:variant>
        <vt:i4>8</vt:i4>
      </vt:variant>
      <vt:variant>
        <vt:i4>0</vt:i4>
      </vt:variant>
      <vt:variant>
        <vt:i4>5</vt:i4>
      </vt:variant>
      <vt:variant>
        <vt:lpwstr/>
      </vt:variant>
      <vt:variant>
        <vt:lpwstr>_Toc79959979</vt:lpwstr>
      </vt:variant>
      <vt:variant>
        <vt:i4>1703984</vt:i4>
      </vt:variant>
      <vt:variant>
        <vt:i4>2</vt:i4>
      </vt:variant>
      <vt:variant>
        <vt:i4>0</vt:i4>
      </vt:variant>
      <vt:variant>
        <vt:i4>5</vt:i4>
      </vt:variant>
      <vt:variant>
        <vt:lpwstr/>
      </vt:variant>
      <vt:variant>
        <vt:lpwstr>_Toc79959978</vt:lpwstr>
      </vt:variant>
      <vt:variant>
        <vt:i4>65626</vt:i4>
      </vt:variant>
      <vt:variant>
        <vt:i4>0</vt:i4>
      </vt:variant>
      <vt:variant>
        <vt:i4>0</vt:i4>
      </vt:variant>
      <vt:variant>
        <vt:i4>5</vt:i4>
      </vt:variant>
      <vt:variant>
        <vt:lpwstr>https://www.researchgate.net/publication/298382182_Severity_stratification_of_Children's_Dermatology_Life_Quality_Index_CDLQI_scores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2022-02-21T01:03:00Z</dcterms:created>
  <dcterms:modified xsi:type="dcterms:W3CDTF">2022-03-02T02:36:00Z</dcterms:modified>
</cp:coreProperties>
</file>