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CC044" w14:textId="5C58F374" w:rsidR="009A1252" w:rsidRPr="0061021F" w:rsidRDefault="00B27001" w:rsidP="00B27001">
      <w:pPr>
        <w:spacing w:after="120" w:line="276" w:lineRule="auto"/>
        <w:jc w:val="left"/>
        <w:rPr>
          <w:rFonts w:asciiTheme="minorHAnsi" w:eastAsia="Calibri" w:hAnsiTheme="minorHAnsi" w:cstheme="minorHAnsi"/>
          <w:color w:val="FF0000"/>
          <w:szCs w:val="22"/>
          <w:lang w:eastAsia="en-US"/>
        </w:rPr>
      </w:pPr>
      <w:r w:rsidRPr="0061021F">
        <w:rPr>
          <w:rFonts w:asciiTheme="minorHAnsi" w:eastAsia="Calibri" w:hAnsiTheme="minorHAnsi" w:cstheme="minorHAnsi"/>
          <w:color w:val="FF0000"/>
          <w:szCs w:val="22"/>
          <w:lang w:eastAsia="en-US"/>
        </w:rPr>
        <w:t>Changes have been made to this item. Details of the corrigendum are at the end of this document.</w:t>
      </w:r>
    </w:p>
    <w:p w14:paraId="3F008C8A" w14:textId="1CE1BDAB" w:rsidR="00B27001" w:rsidRPr="00984C58" w:rsidRDefault="00EA0799" w:rsidP="00B27001">
      <w:pPr>
        <w:pStyle w:val="1-MainHeading"/>
      </w:pPr>
      <w:r>
        <w:t>5.2</w:t>
      </w:r>
      <w:r w:rsidR="00422D90">
        <w:t>7</w:t>
      </w:r>
      <w:r w:rsidR="007E490F" w:rsidRPr="00984C58">
        <w:tab/>
      </w:r>
      <w:r>
        <w:t>RITUXIMAB</w:t>
      </w:r>
      <w:r w:rsidR="007E490F" w:rsidRPr="00984C58">
        <w:br/>
      </w:r>
      <w:r w:rsidR="000A2749" w:rsidRPr="000A2749">
        <w:t xml:space="preserve">Solution for I.V. infusion </w:t>
      </w:r>
      <w:bookmarkStart w:id="0" w:name="_Hlk78962332"/>
      <w:r w:rsidR="000A2749" w:rsidRPr="000A2749">
        <w:t>100 mg in 10 mL</w:t>
      </w:r>
      <w:bookmarkEnd w:id="0"/>
      <w:r w:rsidR="000A2749" w:rsidRPr="000A2749">
        <w:t>,</w:t>
      </w:r>
      <w:r w:rsidR="000A2749" w:rsidRPr="000A2749">
        <w:br/>
        <w:t>Solution for I.V. infusion 500 mg in 50 mL,</w:t>
      </w:r>
      <w:r w:rsidR="000A2749" w:rsidRPr="000A2749">
        <w:br/>
      </w:r>
      <w:proofErr w:type="spellStart"/>
      <w:r w:rsidR="000A2749" w:rsidRPr="000A2749">
        <w:t>Ruxience</w:t>
      </w:r>
      <w:proofErr w:type="spellEnd"/>
      <w:r w:rsidR="000A2749" w:rsidRPr="000A2749">
        <w:t>®,</w:t>
      </w:r>
      <w:r w:rsidR="000A2749" w:rsidRPr="000A2749">
        <w:br/>
        <w:t>Pfizer Australia Pty Ltd</w:t>
      </w:r>
    </w:p>
    <w:p w14:paraId="1C3399E1" w14:textId="77777777" w:rsidR="00E11F44" w:rsidRPr="005178AF" w:rsidRDefault="007E490F" w:rsidP="00CD6257">
      <w:pPr>
        <w:pStyle w:val="2-SectionHeading"/>
        <w:rPr>
          <w:rFonts w:cstheme="minorHAnsi"/>
        </w:rPr>
      </w:pPr>
      <w:r w:rsidRPr="0033263D">
        <w:t xml:space="preserve">Purpose of </w:t>
      </w:r>
      <w:r w:rsidR="00FA0B04">
        <w:t>Submission</w:t>
      </w:r>
      <w:r>
        <w:t xml:space="preserve"> </w:t>
      </w:r>
    </w:p>
    <w:p w14:paraId="02A302D7" w14:textId="77777777" w:rsidR="00061A67" w:rsidRPr="00061A67" w:rsidRDefault="006C6C10" w:rsidP="009F126B">
      <w:pPr>
        <w:pStyle w:val="3Bodytext"/>
        <w:rPr>
          <w:rFonts w:cstheme="minorHAnsi"/>
          <w:szCs w:val="24"/>
        </w:rPr>
      </w:pPr>
      <w:bookmarkStart w:id="1" w:name="_Hlk79403619"/>
      <w:r w:rsidRPr="00061A67">
        <w:rPr>
          <w:rFonts w:cstheme="minorHAnsi"/>
          <w:szCs w:val="24"/>
        </w:rPr>
        <w:t xml:space="preserve">The Category </w:t>
      </w:r>
      <w:r w:rsidR="000A2749" w:rsidRPr="00061A67">
        <w:rPr>
          <w:rFonts w:cstheme="minorHAnsi"/>
          <w:szCs w:val="24"/>
        </w:rPr>
        <w:t>3</w:t>
      </w:r>
      <w:r w:rsidR="00C96EC0" w:rsidRPr="00061A67">
        <w:rPr>
          <w:rFonts w:cstheme="minorHAnsi"/>
          <w:szCs w:val="24"/>
        </w:rPr>
        <w:t xml:space="preserve"> </w:t>
      </w:r>
      <w:r w:rsidRPr="00061A67">
        <w:rPr>
          <w:rFonts w:cstheme="minorHAnsi"/>
          <w:szCs w:val="24"/>
        </w:rPr>
        <w:t xml:space="preserve">submission </w:t>
      </w:r>
      <w:r w:rsidR="0023466E" w:rsidRPr="00061A67">
        <w:rPr>
          <w:rFonts w:cstheme="minorHAnsi"/>
          <w:szCs w:val="24"/>
        </w:rPr>
        <w:t>sought</w:t>
      </w:r>
      <w:r w:rsidRPr="00061A67">
        <w:rPr>
          <w:rFonts w:cstheme="minorHAnsi"/>
          <w:szCs w:val="24"/>
        </w:rPr>
        <w:t xml:space="preserve"> </w:t>
      </w:r>
      <w:r w:rsidR="00E53D46" w:rsidRPr="00061A67">
        <w:rPr>
          <w:rFonts w:cstheme="minorHAnsi"/>
          <w:szCs w:val="24"/>
        </w:rPr>
        <w:t>Section 100</w:t>
      </w:r>
      <w:r w:rsidR="00226C08">
        <w:rPr>
          <w:rFonts w:cstheme="minorHAnsi"/>
          <w:szCs w:val="24"/>
        </w:rPr>
        <w:t xml:space="preserve"> </w:t>
      </w:r>
      <w:r w:rsidR="00E53D46" w:rsidRPr="00061A67">
        <w:rPr>
          <w:rFonts w:cstheme="minorHAnsi"/>
          <w:szCs w:val="24"/>
        </w:rPr>
        <w:t xml:space="preserve">Efficient Funding of Chemotherapy (EFC) and Highly Specialised Drug (HSD) </w:t>
      </w:r>
      <w:r w:rsidR="002A1DC4">
        <w:rPr>
          <w:rFonts w:cstheme="minorHAnsi"/>
          <w:szCs w:val="24"/>
        </w:rPr>
        <w:t xml:space="preserve">program </w:t>
      </w:r>
      <w:r w:rsidR="00E11F44" w:rsidRPr="00061A67">
        <w:rPr>
          <w:rFonts w:cstheme="minorHAnsi"/>
          <w:szCs w:val="24"/>
        </w:rPr>
        <w:t>list</w:t>
      </w:r>
      <w:r w:rsidR="00E53D46" w:rsidRPr="00061A67">
        <w:rPr>
          <w:rFonts w:cstheme="minorHAnsi"/>
          <w:szCs w:val="24"/>
        </w:rPr>
        <w:t>ing</w:t>
      </w:r>
      <w:r w:rsidR="00AD404D">
        <w:rPr>
          <w:rFonts w:cstheme="minorHAnsi"/>
          <w:szCs w:val="24"/>
        </w:rPr>
        <w:t>s</w:t>
      </w:r>
      <w:r w:rsidR="00E53D46" w:rsidRPr="00061A67">
        <w:rPr>
          <w:rFonts w:cstheme="minorHAnsi"/>
          <w:szCs w:val="24"/>
        </w:rPr>
        <w:t xml:space="preserve"> of </w:t>
      </w:r>
      <w:bookmarkStart w:id="2" w:name="_Hlk86823685"/>
      <w:r w:rsidR="00E11F44" w:rsidRPr="00061A67">
        <w:rPr>
          <w:rFonts w:cstheme="minorHAnsi"/>
          <w:szCs w:val="24"/>
        </w:rPr>
        <w:t>a</w:t>
      </w:r>
      <w:r w:rsidR="00BB7BFE" w:rsidRPr="00BB7BFE">
        <w:rPr>
          <w:rFonts w:cstheme="minorHAnsi"/>
          <w:szCs w:val="24"/>
        </w:rPr>
        <w:t xml:space="preserve"> new brand of biosimilar medicine </w:t>
      </w:r>
      <w:r w:rsidR="000A2749" w:rsidRPr="00061A67">
        <w:rPr>
          <w:rFonts w:cstheme="minorHAnsi"/>
          <w:szCs w:val="24"/>
        </w:rPr>
        <w:t>rituximab</w:t>
      </w:r>
      <w:r w:rsidR="00E11F44" w:rsidRPr="00061A67">
        <w:rPr>
          <w:rFonts w:cstheme="minorHAnsi"/>
          <w:szCs w:val="24"/>
        </w:rPr>
        <w:t xml:space="preserve"> </w:t>
      </w:r>
      <w:r w:rsidR="00E53D46" w:rsidRPr="00061A67">
        <w:rPr>
          <w:rFonts w:cstheme="minorHAnsi"/>
          <w:szCs w:val="24"/>
        </w:rPr>
        <w:t>(</w:t>
      </w:r>
      <w:bookmarkStart w:id="3" w:name="_Hlk84412481"/>
      <w:proofErr w:type="spellStart"/>
      <w:r w:rsidR="00E53D46" w:rsidRPr="00061A67">
        <w:rPr>
          <w:rFonts w:cstheme="minorHAnsi"/>
          <w:szCs w:val="24"/>
        </w:rPr>
        <w:t>Ruxience</w:t>
      </w:r>
      <w:bookmarkStart w:id="4" w:name="_Hlk88061108"/>
      <w:bookmarkEnd w:id="3"/>
      <w:proofErr w:type="spellEnd"/>
      <w:r w:rsidR="0031201C">
        <w:rPr>
          <w:rFonts w:cstheme="minorHAnsi"/>
          <w:szCs w:val="24"/>
        </w:rPr>
        <w:t>®</w:t>
      </w:r>
      <w:bookmarkEnd w:id="4"/>
      <w:r w:rsidR="00E53D46" w:rsidRPr="00061A67">
        <w:rPr>
          <w:rFonts w:cstheme="minorHAnsi"/>
          <w:szCs w:val="24"/>
        </w:rPr>
        <w:t>)</w:t>
      </w:r>
      <w:r w:rsidR="00061A67" w:rsidRPr="00061A67">
        <w:rPr>
          <w:rFonts w:cstheme="minorHAnsi"/>
          <w:szCs w:val="24"/>
        </w:rPr>
        <w:t xml:space="preserve"> in the form of </w:t>
      </w:r>
      <w:r w:rsidR="00C0402E">
        <w:rPr>
          <w:rFonts w:cstheme="minorHAnsi"/>
          <w:szCs w:val="24"/>
        </w:rPr>
        <w:t>s</w:t>
      </w:r>
      <w:r w:rsidR="00503E95" w:rsidRPr="00503E95">
        <w:rPr>
          <w:rFonts w:cstheme="minorHAnsi"/>
          <w:szCs w:val="24"/>
        </w:rPr>
        <w:t xml:space="preserve">olution for I.V. infusion </w:t>
      </w:r>
      <w:r w:rsidR="000A2749" w:rsidRPr="00061A67">
        <w:rPr>
          <w:rFonts w:cstheme="minorHAnsi"/>
          <w:szCs w:val="24"/>
        </w:rPr>
        <w:t>100 mg in 10</w:t>
      </w:r>
      <w:r w:rsidR="00A0480F">
        <w:t> </w:t>
      </w:r>
      <w:r w:rsidR="000A2749" w:rsidRPr="00061A67">
        <w:rPr>
          <w:rFonts w:cstheme="minorHAnsi"/>
          <w:szCs w:val="24"/>
        </w:rPr>
        <w:t>mL and 500 mg in 50 mL</w:t>
      </w:r>
      <w:r w:rsidR="00E11F44" w:rsidRPr="00061A67">
        <w:rPr>
          <w:rFonts w:cstheme="minorHAnsi"/>
          <w:szCs w:val="24"/>
        </w:rPr>
        <w:t xml:space="preserve"> </w:t>
      </w:r>
      <w:r w:rsidR="00061A67" w:rsidRPr="00061A67">
        <w:rPr>
          <w:rFonts w:cstheme="minorHAnsi"/>
          <w:szCs w:val="24"/>
        </w:rPr>
        <w:t xml:space="preserve">for the same </w:t>
      </w:r>
      <w:r w:rsidR="009F126B" w:rsidRPr="00061A67">
        <w:rPr>
          <w:rFonts w:cstheme="minorHAnsi"/>
          <w:szCs w:val="24"/>
        </w:rPr>
        <w:t>conditions</w:t>
      </w:r>
      <w:r w:rsidR="00E11F44" w:rsidRPr="00061A67">
        <w:rPr>
          <w:rFonts w:cstheme="minorHAnsi"/>
          <w:szCs w:val="24"/>
        </w:rPr>
        <w:t xml:space="preserve"> as its PBS-listed reference biologic</w:t>
      </w:r>
      <w:r w:rsidR="002E3231">
        <w:rPr>
          <w:rFonts w:cstheme="minorHAnsi"/>
          <w:szCs w:val="24"/>
        </w:rPr>
        <w:t xml:space="preserve"> brand (</w:t>
      </w:r>
      <w:bookmarkStart w:id="5" w:name="_Hlk79403467"/>
      <w:proofErr w:type="spellStart"/>
      <w:r w:rsidR="001A70F9" w:rsidRPr="001A70F9">
        <w:rPr>
          <w:rFonts w:cstheme="minorHAnsi"/>
          <w:szCs w:val="24"/>
        </w:rPr>
        <w:t>Mabthera</w:t>
      </w:r>
      <w:proofErr w:type="spellEnd"/>
      <w:r w:rsidR="008172F3">
        <w:rPr>
          <w:rFonts w:cstheme="minorHAnsi"/>
          <w:szCs w:val="24"/>
        </w:rPr>
        <w:t>®</w:t>
      </w:r>
      <w:bookmarkEnd w:id="5"/>
      <w:r w:rsidR="002E3231">
        <w:rPr>
          <w:rFonts w:cstheme="minorHAnsi"/>
          <w:szCs w:val="24"/>
        </w:rPr>
        <w:t xml:space="preserve">) </w:t>
      </w:r>
      <w:r w:rsidR="001A70F9">
        <w:rPr>
          <w:rFonts w:cstheme="minorHAnsi"/>
          <w:szCs w:val="24"/>
        </w:rPr>
        <w:t>and</w:t>
      </w:r>
      <w:r w:rsidR="001A70F9" w:rsidRPr="001A70F9">
        <w:rPr>
          <w:rFonts w:cstheme="minorHAnsi"/>
          <w:szCs w:val="24"/>
        </w:rPr>
        <w:t xml:space="preserve"> </w:t>
      </w:r>
      <w:r w:rsidR="00BB7BFE">
        <w:rPr>
          <w:rFonts w:cstheme="minorHAnsi"/>
          <w:szCs w:val="24"/>
        </w:rPr>
        <w:t xml:space="preserve">other </w:t>
      </w:r>
      <w:r w:rsidR="00C0402E">
        <w:rPr>
          <w:rFonts w:cstheme="minorHAnsi"/>
          <w:szCs w:val="24"/>
        </w:rPr>
        <w:t xml:space="preserve">PBS-listed </w:t>
      </w:r>
      <w:r w:rsidR="001A70F9" w:rsidRPr="001A70F9">
        <w:rPr>
          <w:rFonts w:cstheme="minorHAnsi"/>
          <w:szCs w:val="24"/>
        </w:rPr>
        <w:t xml:space="preserve">biosimilar brands </w:t>
      </w:r>
      <w:bookmarkStart w:id="6" w:name="_Hlk79403315"/>
      <w:r w:rsidR="002E3231">
        <w:rPr>
          <w:rFonts w:cstheme="minorHAnsi"/>
          <w:szCs w:val="24"/>
        </w:rPr>
        <w:t>(</w:t>
      </w:r>
      <w:proofErr w:type="spellStart"/>
      <w:r w:rsidR="001A70F9" w:rsidRPr="001A70F9">
        <w:rPr>
          <w:rFonts w:cstheme="minorHAnsi"/>
          <w:szCs w:val="24"/>
        </w:rPr>
        <w:t>Riximyo</w:t>
      </w:r>
      <w:proofErr w:type="spellEnd"/>
      <w:r w:rsidR="008172F3">
        <w:rPr>
          <w:rFonts w:cstheme="minorHAnsi"/>
          <w:szCs w:val="24"/>
        </w:rPr>
        <w:t>®</w:t>
      </w:r>
      <w:r w:rsidR="001A70F9" w:rsidRPr="001A70F9">
        <w:rPr>
          <w:rFonts w:cstheme="minorHAnsi"/>
          <w:szCs w:val="24"/>
        </w:rPr>
        <w:t xml:space="preserve"> and </w:t>
      </w:r>
      <w:proofErr w:type="spellStart"/>
      <w:r w:rsidR="001A70F9" w:rsidRPr="001A70F9">
        <w:rPr>
          <w:rFonts w:cstheme="minorHAnsi"/>
          <w:szCs w:val="24"/>
        </w:rPr>
        <w:t>Truxima</w:t>
      </w:r>
      <w:proofErr w:type="spellEnd"/>
      <w:r w:rsidR="001A70F9" w:rsidRPr="001A70F9">
        <w:rPr>
          <w:rFonts w:cstheme="minorHAnsi"/>
          <w:szCs w:val="24"/>
          <w:vertAlign w:val="superscript"/>
        </w:rPr>
        <w:t>®</w:t>
      </w:r>
      <w:r w:rsidR="002E3231">
        <w:rPr>
          <w:rFonts w:cstheme="minorHAnsi"/>
          <w:szCs w:val="24"/>
        </w:rPr>
        <w:t>).</w:t>
      </w:r>
    </w:p>
    <w:bookmarkEnd w:id="1"/>
    <w:bookmarkEnd w:id="2"/>
    <w:bookmarkEnd w:id="6"/>
    <w:p w14:paraId="42B0AB20" w14:textId="77777777" w:rsidR="007E490F" w:rsidRPr="00FD6D8E" w:rsidRDefault="007E490F" w:rsidP="00B4051C">
      <w:pPr>
        <w:pStyle w:val="2-SectionHeading"/>
      </w:pPr>
      <w:r w:rsidRPr="009E2E8E">
        <w:t>Background</w:t>
      </w:r>
      <w:r>
        <w:t xml:space="preserve"> </w:t>
      </w:r>
    </w:p>
    <w:p w14:paraId="0EA1CD3C" w14:textId="77777777" w:rsidR="00E808D9" w:rsidRDefault="00E53D46" w:rsidP="00AD404D">
      <w:pPr>
        <w:pStyle w:val="3Bodytext"/>
      </w:pPr>
      <w:bookmarkStart w:id="7" w:name="_Hlk78987662"/>
      <w:proofErr w:type="spellStart"/>
      <w:r w:rsidRPr="000D0102">
        <w:t>Ruxience</w:t>
      </w:r>
      <w:bookmarkEnd w:id="7"/>
      <w:proofErr w:type="spellEnd"/>
      <w:r w:rsidRPr="000D0102">
        <w:t xml:space="preserve"> </w:t>
      </w:r>
      <w:r w:rsidR="007E490F" w:rsidRPr="000D0102">
        <w:t>w</w:t>
      </w:r>
      <w:r w:rsidRPr="000D0102">
        <w:t xml:space="preserve">as </w:t>
      </w:r>
      <w:r w:rsidR="007E490F" w:rsidRPr="000D0102">
        <w:t xml:space="preserve">registered on </w:t>
      </w:r>
      <w:r w:rsidR="00B96334">
        <w:t xml:space="preserve">the Australian Register of Therapeutic Goods (ARTG) on </w:t>
      </w:r>
      <w:r w:rsidR="00F846AD" w:rsidRPr="000D0102">
        <w:t>3</w:t>
      </w:r>
      <w:r w:rsidRPr="000D0102">
        <w:t xml:space="preserve"> March </w:t>
      </w:r>
      <w:r w:rsidR="000D0102" w:rsidRPr="000D0102">
        <w:t xml:space="preserve">2021 </w:t>
      </w:r>
      <w:r w:rsidR="000D0102" w:rsidRPr="000D0102">
        <w:rPr>
          <w:rFonts w:ascii="Calibri" w:eastAsia="Times New Roman" w:hAnsi="Calibri" w:cs="Times New Roman"/>
          <w:szCs w:val="24"/>
        </w:rPr>
        <w:t>and</w:t>
      </w:r>
      <w:r w:rsidR="000D0102" w:rsidRPr="000D0102">
        <w:t xml:space="preserve"> was determined to be biosimilar to </w:t>
      </w:r>
      <w:bookmarkStart w:id="8" w:name="_Hlk78965645"/>
      <w:proofErr w:type="spellStart"/>
      <w:r w:rsidR="000D0102" w:rsidRPr="000D0102">
        <w:t>Mabthera</w:t>
      </w:r>
      <w:bookmarkEnd w:id="8"/>
      <w:proofErr w:type="spellEnd"/>
      <w:r w:rsidR="000D0102" w:rsidRPr="000D0102">
        <w:t xml:space="preserve">. </w:t>
      </w:r>
      <w:bookmarkStart w:id="9" w:name="_Hlk80963330"/>
      <w:proofErr w:type="spellStart"/>
      <w:r w:rsidR="000D0102" w:rsidRPr="000D0102">
        <w:t>Ruxience</w:t>
      </w:r>
      <w:proofErr w:type="spellEnd"/>
      <w:r w:rsidR="000D0102" w:rsidRPr="000D0102">
        <w:t xml:space="preserve"> has the same</w:t>
      </w:r>
      <w:r w:rsidR="00B96334">
        <w:t xml:space="preserve"> registered</w:t>
      </w:r>
      <w:r w:rsidR="000D0102" w:rsidRPr="000D0102">
        <w:t xml:space="preserve"> indications as </w:t>
      </w:r>
      <w:bookmarkStart w:id="10" w:name="_Hlk78987196"/>
      <w:proofErr w:type="spellStart"/>
      <w:r w:rsidR="000D0102" w:rsidRPr="000D0102">
        <w:t>Mabthera</w:t>
      </w:r>
      <w:bookmarkEnd w:id="9"/>
      <w:bookmarkEnd w:id="10"/>
      <w:proofErr w:type="spellEnd"/>
      <w:r w:rsidR="007E490F" w:rsidRPr="000D0102">
        <w:t xml:space="preserve">. </w:t>
      </w:r>
    </w:p>
    <w:p w14:paraId="704B42C6" w14:textId="77777777" w:rsidR="00E808D9" w:rsidRPr="000C36F5" w:rsidRDefault="00E808D9" w:rsidP="00746395">
      <w:pPr>
        <w:pStyle w:val="3Bodytext"/>
        <w:rPr>
          <w:rFonts w:cstheme="minorHAnsi"/>
          <w:lang w:eastAsia="en-US"/>
        </w:rPr>
      </w:pPr>
      <w:bookmarkStart w:id="11" w:name="_Hlk84404169"/>
      <w:proofErr w:type="spellStart"/>
      <w:r w:rsidRPr="000C36F5">
        <w:t>Mabthera</w:t>
      </w:r>
      <w:proofErr w:type="spellEnd"/>
      <w:r w:rsidRPr="000C36F5">
        <w:t xml:space="preserve"> was delisted from the PBS at the request of the sponsor (Roche) on 1</w:t>
      </w:r>
      <w:r w:rsidR="002471DF" w:rsidRPr="000C36F5">
        <w:t> October </w:t>
      </w:r>
      <w:r w:rsidRPr="000C36F5">
        <w:t xml:space="preserve">2021. </w:t>
      </w:r>
    </w:p>
    <w:p w14:paraId="124D86D1" w14:textId="77777777" w:rsidR="000C36F5" w:rsidRPr="00AD404D" w:rsidRDefault="000C36F5" w:rsidP="000C36F5">
      <w:pPr>
        <w:pStyle w:val="3Bodytext"/>
        <w:numPr>
          <w:ilvl w:val="0"/>
          <w:numId w:val="0"/>
        </w:numPr>
        <w:ind w:left="720"/>
        <w:rPr>
          <w:rFonts w:cstheme="minorHAnsi"/>
          <w:i/>
          <w:iCs/>
          <w:lang w:eastAsia="en-US"/>
        </w:rPr>
      </w:pPr>
      <w:bookmarkStart w:id="12" w:name="_Hlk86821858"/>
      <w:r w:rsidRPr="000C36F5">
        <w:rPr>
          <w:rFonts w:cstheme="minorHAnsi"/>
          <w:i/>
          <w:iCs/>
          <w:lang w:eastAsia="en-US"/>
        </w:rPr>
        <w:t>For more detail on PBAC’s view, see section 6 PBAC outcome.</w:t>
      </w:r>
    </w:p>
    <w:bookmarkEnd w:id="11"/>
    <w:bookmarkEnd w:id="12"/>
    <w:p w14:paraId="4339AE28" w14:textId="77777777" w:rsidR="00964A9F" w:rsidRDefault="00964A9F" w:rsidP="00964A9F">
      <w:pPr>
        <w:pStyle w:val="2-SectionHeading"/>
      </w:pPr>
      <w:r w:rsidRPr="009D507A">
        <w:t xml:space="preserve">Requested listing </w:t>
      </w:r>
    </w:p>
    <w:p w14:paraId="16DB1125" w14:textId="77777777" w:rsidR="00FD7BB3" w:rsidRPr="00F56938" w:rsidRDefault="00FD7BB3" w:rsidP="00FD7BB3">
      <w:pPr>
        <w:numPr>
          <w:ilvl w:val="1"/>
          <w:numId w:val="2"/>
        </w:numPr>
        <w:spacing w:after="120"/>
        <w:rPr>
          <w:rFonts w:asciiTheme="minorHAnsi" w:eastAsiaTheme="minorHAnsi" w:hAnsiTheme="minorHAnsi" w:cstheme="minorBidi"/>
          <w:szCs w:val="22"/>
          <w:lang w:eastAsia="en-US"/>
        </w:rPr>
      </w:pPr>
      <w:r w:rsidRPr="00F56938">
        <w:rPr>
          <w:rFonts w:asciiTheme="minorHAnsi" w:eastAsiaTheme="minorHAnsi" w:hAnsiTheme="minorHAnsi" w:cstheme="minorBidi"/>
          <w:szCs w:val="22"/>
          <w:lang w:eastAsia="en-US"/>
        </w:rPr>
        <w:t xml:space="preserve">The proposed Authority Required listings are for all indications for which </w:t>
      </w:r>
      <w:proofErr w:type="spellStart"/>
      <w:r w:rsidRPr="00FD7BB3">
        <w:rPr>
          <w:rFonts w:asciiTheme="minorHAnsi" w:eastAsiaTheme="minorHAnsi" w:hAnsiTheme="minorHAnsi" w:cstheme="minorBidi"/>
          <w:szCs w:val="22"/>
          <w:lang w:eastAsia="en-US"/>
        </w:rPr>
        <w:t>Riximyo</w:t>
      </w:r>
      <w:proofErr w:type="spellEnd"/>
      <w:r w:rsidRPr="00FD7BB3">
        <w:rPr>
          <w:rFonts w:asciiTheme="minorHAnsi" w:eastAsiaTheme="minorHAnsi" w:hAnsiTheme="minorHAnsi" w:cstheme="minorBidi"/>
          <w:szCs w:val="22"/>
          <w:lang w:eastAsia="en-US"/>
        </w:rPr>
        <w:t xml:space="preserve"> and </w:t>
      </w:r>
      <w:proofErr w:type="spellStart"/>
      <w:r w:rsidRPr="00FD7BB3">
        <w:rPr>
          <w:rFonts w:asciiTheme="minorHAnsi" w:eastAsiaTheme="minorHAnsi" w:hAnsiTheme="minorHAnsi" w:cstheme="minorBidi"/>
          <w:szCs w:val="22"/>
          <w:lang w:eastAsia="en-US"/>
        </w:rPr>
        <w:t>Truxima</w:t>
      </w:r>
      <w:proofErr w:type="spellEnd"/>
      <w:r w:rsidRPr="00FD7BB3">
        <w:rPr>
          <w:rFonts w:asciiTheme="minorHAnsi" w:eastAsiaTheme="minorHAnsi" w:hAnsiTheme="minorHAnsi" w:cstheme="minorBidi"/>
          <w:szCs w:val="22"/>
          <w:lang w:eastAsia="en-US"/>
        </w:rPr>
        <w:t xml:space="preserve"> </w:t>
      </w:r>
      <w:r>
        <w:rPr>
          <w:rFonts w:asciiTheme="minorHAnsi" w:eastAsiaTheme="minorHAnsi" w:hAnsiTheme="minorHAnsi" w:cstheme="minorBidi"/>
          <w:szCs w:val="22"/>
          <w:lang w:eastAsia="en-US"/>
        </w:rPr>
        <w:t>are</w:t>
      </w:r>
      <w:r w:rsidRPr="00F56938">
        <w:rPr>
          <w:rFonts w:asciiTheme="minorHAnsi" w:eastAsiaTheme="minorHAnsi" w:hAnsiTheme="minorHAnsi" w:cstheme="minorBidi"/>
          <w:szCs w:val="22"/>
          <w:lang w:eastAsia="en-US"/>
        </w:rPr>
        <w:t xml:space="preserve"> currently PBS listed:</w:t>
      </w:r>
    </w:p>
    <w:p w14:paraId="6D2D7F65" w14:textId="77777777" w:rsidR="007C6F95" w:rsidRPr="00AB31DE" w:rsidRDefault="007C6F95" w:rsidP="00F841E1">
      <w:pPr>
        <w:pStyle w:val="ListParagraph"/>
        <w:numPr>
          <w:ilvl w:val="0"/>
          <w:numId w:val="29"/>
        </w:numPr>
        <w:ind w:left="1168" w:hanging="448"/>
        <w:rPr>
          <w:rFonts w:eastAsiaTheme="minorHAnsi" w:cstheme="minorBidi"/>
          <w:snapToGrid/>
          <w:szCs w:val="22"/>
        </w:rPr>
      </w:pPr>
      <w:bookmarkStart w:id="13" w:name="_Hlk88048755"/>
      <w:r w:rsidRPr="00AB31DE">
        <w:rPr>
          <w:rFonts w:eastAsiaTheme="minorHAnsi" w:cstheme="minorBidi"/>
          <w:snapToGrid/>
          <w:szCs w:val="22"/>
        </w:rPr>
        <w:t>Non-Hodgkin’s lymphoma (NHL) –</w:t>
      </w:r>
      <w:r w:rsidR="00277B7B">
        <w:rPr>
          <w:rFonts w:eastAsiaTheme="minorHAnsi" w:cstheme="minorBidi"/>
          <w:snapToGrid/>
          <w:szCs w:val="22"/>
        </w:rPr>
        <w:t xml:space="preserve"> </w:t>
      </w:r>
      <w:r w:rsidRPr="00AB31DE">
        <w:rPr>
          <w:rFonts w:eastAsiaTheme="minorHAnsi" w:cstheme="minorBidi"/>
          <w:snapToGrid/>
          <w:szCs w:val="22"/>
        </w:rPr>
        <w:t>EFC</w:t>
      </w:r>
    </w:p>
    <w:p w14:paraId="057D466C" w14:textId="77777777" w:rsidR="007C6F95" w:rsidRPr="00AB31DE" w:rsidRDefault="007C6F95" w:rsidP="00F841E1">
      <w:pPr>
        <w:pStyle w:val="ListParagraph"/>
        <w:numPr>
          <w:ilvl w:val="0"/>
          <w:numId w:val="29"/>
        </w:numPr>
        <w:ind w:left="1168" w:hanging="448"/>
        <w:rPr>
          <w:rFonts w:eastAsiaTheme="minorHAnsi" w:cstheme="minorBidi"/>
          <w:snapToGrid/>
          <w:szCs w:val="22"/>
        </w:rPr>
      </w:pPr>
      <w:r w:rsidRPr="00AB31DE">
        <w:rPr>
          <w:rFonts w:eastAsiaTheme="minorHAnsi" w:cstheme="minorBidi"/>
          <w:snapToGrid/>
          <w:szCs w:val="22"/>
        </w:rPr>
        <w:t>Chronic lymphocytic leukaemia (CLL) –</w:t>
      </w:r>
      <w:r w:rsidR="00277B7B">
        <w:rPr>
          <w:rFonts w:eastAsiaTheme="minorHAnsi" w:cstheme="minorBidi"/>
          <w:snapToGrid/>
          <w:szCs w:val="22"/>
        </w:rPr>
        <w:t xml:space="preserve"> </w:t>
      </w:r>
      <w:r w:rsidRPr="00AB31DE">
        <w:rPr>
          <w:rFonts w:eastAsiaTheme="minorHAnsi" w:cstheme="minorBidi"/>
          <w:snapToGrid/>
          <w:szCs w:val="22"/>
        </w:rPr>
        <w:t>EFC</w:t>
      </w:r>
    </w:p>
    <w:p w14:paraId="3203531C" w14:textId="77777777" w:rsidR="007C6F95" w:rsidRPr="00AB31DE" w:rsidRDefault="007C6F95" w:rsidP="00F841E1">
      <w:pPr>
        <w:pStyle w:val="ListParagraph"/>
        <w:numPr>
          <w:ilvl w:val="0"/>
          <w:numId w:val="29"/>
        </w:numPr>
        <w:ind w:left="1168" w:hanging="448"/>
        <w:rPr>
          <w:rFonts w:eastAsiaTheme="minorHAnsi" w:cstheme="minorBidi"/>
          <w:snapToGrid/>
          <w:szCs w:val="22"/>
        </w:rPr>
      </w:pPr>
      <w:r w:rsidRPr="00AB31DE">
        <w:rPr>
          <w:rFonts w:eastAsiaTheme="minorHAnsi" w:cstheme="minorBidi"/>
          <w:snapToGrid/>
          <w:szCs w:val="22"/>
        </w:rPr>
        <w:t>Rheumatoid arthritis (RA) –</w:t>
      </w:r>
      <w:r w:rsidR="00826409">
        <w:rPr>
          <w:rFonts w:eastAsiaTheme="minorHAnsi" w:cstheme="minorBidi"/>
          <w:snapToGrid/>
          <w:szCs w:val="22"/>
        </w:rPr>
        <w:t xml:space="preserve"> </w:t>
      </w:r>
      <w:r w:rsidRPr="00AB31DE">
        <w:rPr>
          <w:rFonts w:eastAsiaTheme="minorHAnsi" w:cstheme="minorBidi"/>
          <w:snapToGrid/>
          <w:szCs w:val="22"/>
        </w:rPr>
        <w:t>HSD</w:t>
      </w:r>
    </w:p>
    <w:p w14:paraId="449823A7" w14:textId="77777777" w:rsidR="007C6F95" w:rsidRPr="00AB31DE" w:rsidRDefault="007C6F95" w:rsidP="00F841E1">
      <w:pPr>
        <w:pStyle w:val="ListParagraph"/>
        <w:numPr>
          <w:ilvl w:val="0"/>
          <w:numId w:val="29"/>
        </w:numPr>
        <w:ind w:left="1168" w:hanging="448"/>
        <w:rPr>
          <w:rFonts w:eastAsiaTheme="minorHAnsi" w:cstheme="minorBidi"/>
          <w:snapToGrid/>
          <w:szCs w:val="22"/>
        </w:rPr>
      </w:pPr>
      <w:r w:rsidRPr="00AB31DE">
        <w:rPr>
          <w:rFonts w:eastAsiaTheme="minorHAnsi" w:cstheme="minorBidi"/>
          <w:snapToGrid/>
          <w:szCs w:val="22"/>
        </w:rPr>
        <w:t>Granulomatosis with polyangiitis (Wegener’s granulomatosis) (GPA) –</w:t>
      </w:r>
      <w:r w:rsidR="00826409">
        <w:rPr>
          <w:rFonts w:eastAsiaTheme="minorHAnsi" w:cstheme="minorBidi"/>
          <w:snapToGrid/>
          <w:szCs w:val="22"/>
        </w:rPr>
        <w:t xml:space="preserve"> </w:t>
      </w:r>
      <w:r w:rsidRPr="00AB31DE">
        <w:rPr>
          <w:rFonts w:eastAsiaTheme="minorHAnsi" w:cstheme="minorBidi"/>
          <w:snapToGrid/>
          <w:szCs w:val="22"/>
        </w:rPr>
        <w:t>HSD</w:t>
      </w:r>
    </w:p>
    <w:p w14:paraId="1B9C8647" w14:textId="37597715" w:rsidR="007C6F95" w:rsidRDefault="007C6F95" w:rsidP="00F841E1">
      <w:pPr>
        <w:pStyle w:val="ListParagraph"/>
        <w:numPr>
          <w:ilvl w:val="0"/>
          <w:numId w:val="29"/>
        </w:numPr>
        <w:ind w:left="1168" w:hanging="448"/>
        <w:rPr>
          <w:rFonts w:eastAsiaTheme="minorHAnsi" w:cstheme="minorBidi"/>
          <w:snapToGrid/>
          <w:szCs w:val="22"/>
        </w:rPr>
      </w:pPr>
      <w:r w:rsidRPr="00AB31DE">
        <w:rPr>
          <w:rFonts w:eastAsiaTheme="minorHAnsi" w:cstheme="minorBidi"/>
          <w:snapToGrid/>
          <w:szCs w:val="22"/>
        </w:rPr>
        <w:t>Microscopic polyangiitis (MPA) –</w:t>
      </w:r>
      <w:r w:rsidR="00826409">
        <w:rPr>
          <w:rFonts w:eastAsiaTheme="minorHAnsi" w:cstheme="minorBidi"/>
          <w:snapToGrid/>
          <w:szCs w:val="22"/>
        </w:rPr>
        <w:t xml:space="preserve"> </w:t>
      </w:r>
      <w:r w:rsidRPr="00AB31DE">
        <w:rPr>
          <w:rFonts w:eastAsiaTheme="minorHAnsi" w:cstheme="minorBidi"/>
          <w:snapToGrid/>
          <w:szCs w:val="22"/>
        </w:rPr>
        <w:t>HSD</w:t>
      </w:r>
    </w:p>
    <w:p w14:paraId="7E3A1F6A" w14:textId="3B82C86F" w:rsidR="00BA6E93" w:rsidRPr="00BA6E93" w:rsidRDefault="00BA6E93" w:rsidP="00BA6E93">
      <w:pPr>
        <w:pStyle w:val="ListParagraph"/>
        <w:numPr>
          <w:ilvl w:val="0"/>
          <w:numId w:val="29"/>
        </w:numPr>
        <w:ind w:left="1168" w:hanging="448"/>
        <w:rPr>
          <w:rFonts w:eastAsiaTheme="minorHAnsi"/>
        </w:rPr>
      </w:pPr>
      <w:r w:rsidRPr="0061021F">
        <w:rPr>
          <w:rFonts w:eastAsiaTheme="minorHAnsi"/>
        </w:rPr>
        <w:t>Previously untreated or Relapsed/refractory CD20 positive acute lymphoblastic leukaemia</w:t>
      </w:r>
      <w:r>
        <w:rPr>
          <w:rFonts w:eastAsiaTheme="minorHAnsi"/>
        </w:rPr>
        <w:t xml:space="preserve"> – EFC</w:t>
      </w:r>
    </w:p>
    <w:p w14:paraId="5ED805A4" w14:textId="77777777" w:rsidR="00A0480F" w:rsidRPr="007C3E69" w:rsidRDefault="00A0480F" w:rsidP="00A0480F">
      <w:pPr>
        <w:pStyle w:val="3Bodytext"/>
        <w:rPr>
          <w:iCs/>
        </w:rPr>
      </w:pPr>
      <w:bookmarkStart w:id="14" w:name="_Hlk84409654"/>
      <w:bookmarkEnd w:id="13"/>
      <w:r>
        <w:lastRenderedPageBreak/>
        <w:t>T</w:t>
      </w:r>
      <w:r w:rsidRPr="003639B1">
        <w:t>he restrictions have not been reproduced</w:t>
      </w:r>
      <w:r>
        <w:t xml:space="preserve"> due to their length</w:t>
      </w:r>
      <w:r w:rsidRPr="003639B1">
        <w:t xml:space="preserve">. The sponsor requested restriction details and wording that is identical to the </w:t>
      </w:r>
      <w:r>
        <w:t xml:space="preserve">existing </w:t>
      </w:r>
      <w:r w:rsidRPr="00F841E1">
        <w:rPr>
          <w:bCs/>
        </w:rPr>
        <w:t>rituximab</w:t>
      </w:r>
      <w:r>
        <w:rPr>
          <w:bCs/>
        </w:rPr>
        <w:t xml:space="preserve"> listing</w:t>
      </w:r>
      <w:r w:rsidR="003B6AE1">
        <w:rPr>
          <w:bCs/>
        </w:rPr>
        <w:t>s</w:t>
      </w:r>
      <w:r>
        <w:rPr>
          <w:bCs/>
        </w:rPr>
        <w:t xml:space="preserve">. </w:t>
      </w:r>
      <w:r w:rsidRPr="007C3E69">
        <w:rPr>
          <w:iCs/>
        </w:rPr>
        <w:t xml:space="preserve">At its September 2021 Intracycle meeting, </w:t>
      </w:r>
      <w:bookmarkStart w:id="15" w:name="_Hlk86825194"/>
      <w:r w:rsidRPr="007C3E69">
        <w:rPr>
          <w:iCs/>
        </w:rPr>
        <w:t>the PBAC advised the removal of the existing administrative notes related to the biosimilar uptake drivers for the remaining PBS listed biosimilar brands of rituximab. The PBAC also recommended that the PBS listings for all listed brands of rituximab be changed to Unrestricted Benefit listings.</w:t>
      </w:r>
    </w:p>
    <w:bookmarkEnd w:id="15"/>
    <w:p w14:paraId="205D5918" w14:textId="77777777" w:rsidR="00FD7BB3" w:rsidRPr="000C36F5" w:rsidRDefault="00F841E1" w:rsidP="000C36F5">
      <w:pPr>
        <w:numPr>
          <w:ilvl w:val="1"/>
          <w:numId w:val="2"/>
        </w:numPr>
        <w:spacing w:after="120"/>
      </w:pPr>
      <w:r w:rsidRPr="000C36F5">
        <w:t>T</w:t>
      </w:r>
      <w:r w:rsidR="00FD7BB3" w:rsidRPr="000C36F5">
        <w:t xml:space="preserve">he PBAC </w:t>
      </w:r>
      <w:r w:rsidR="00B83718" w:rsidRPr="000C36F5">
        <w:t>advise</w:t>
      </w:r>
      <w:r w:rsidR="000C36F5" w:rsidRPr="000C36F5">
        <w:t xml:space="preserve">d </w:t>
      </w:r>
      <w:r w:rsidR="00FD7BB3" w:rsidRPr="000C36F5">
        <w:t xml:space="preserve">the proposed </w:t>
      </w:r>
      <w:proofErr w:type="spellStart"/>
      <w:r w:rsidR="00FD7BB3" w:rsidRPr="000C36F5">
        <w:t>Ruxience</w:t>
      </w:r>
      <w:proofErr w:type="spellEnd"/>
      <w:r w:rsidR="00FD7BB3" w:rsidRPr="000C36F5">
        <w:t xml:space="preserve"> listing be made consistent with the </w:t>
      </w:r>
      <w:proofErr w:type="spellStart"/>
      <w:r w:rsidR="00FD7BB3" w:rsidRPr="000C36F5">
        <w:t>Riximyo</w:t>
      </w:r>
      <w:proofErr w:type="spellEnd"/>
      <w:r w:rsidR="00FD7BB3" w:rsidRPr="000C36F5">
        <w:t xml:space="preserve"> and </w:t>
      </w:r>
      <w:proofErr w:type="spellStart"/>
      <w:r w:rsidR="005E48F7" w:rsidRPr="000C36F5">
        <w:rPr>
          <w:rFonts w:cstheme="minorHAnsi"/>
        </w:rPr>
        <w:t>Truxima</w:t>
      </w:r>
      <w:proofErr w:type="spellEnd"/>
      <w:r w:rsidR="00FD7BB3" w:rsidRPr="000C36F5">
        <w:t xml:space="preserve"> listings</w:t>
      </w:r>
      <w:r w:rsidR="000C36F5" w:rsidRPr="000C36F5">
        <w:t>.</w:t>
      </w:r>
    </w:p>
    <w:bookmarkEnd w:id="14"/>
    <w:p w14:paraId="382FB281" w14:textId="77777777" w:rsidR="00F83319" w:rsidRPr="009639EE" w:rsidRDefault="007C3E69" w:rsidP="000C36F5">
      <w:pPr>
        <w:numPr>
          <w:ilvl w:val="1"/>
          <w:numId w:val="2"/>
        </w:numPr>
        <w:spacing w:after="120"/>
      </w:pPr>
      <w:r w:rsidRPr="006F18B7">
        <w:t xml:space="preserve">The </w:t>
      </w:r>
      <w:r w:rsidRPr="006F18B7">
        <w:rPr>
          <w:rFonts w:eastAsiaTheme="minorHAnsi" w:cstheme="minorHAnsi"/>
        </w:rPr>
        <w:t>PBAC advise</w:t>
      </w:r>
      <w:r>
        <w:rPr>
          <w:rFonts w:eastAsiaTheme="minorHAnsi" w:cstheme="minorHAnsi"/>
        </w:rPr>
        <w:t>d</w:t>
      </w:r>
      <w:r w:rsidRPr="006F18B7">
        <w:rPr>
          <w:rFonts w:eastAsiaTheme="minorHAnsi" w:cstheme="minorHAnsi"/>
        </w:rPr>
        <w:t xml:space="preserve">, under Section 101(4AACD) of the Act, in the Schedule of Pharmaceutical Benefits the same form and strength of </w:t>
      </w:r>
      <w:proofErr w:type="spellStart"/>
      <w:r w:rsidRPr="003032B7">
        <w:t>Riximyo</w:t>
      </w:r>
      <w:proofErr w:type="spellEnd"/>
      <w:r w:rsidRPr="003032B7">
        <w:t xml:space="preserve"> and </w:t>
      </w:r>
      <w:proofErr w:type="spellStart"/>
      <w:r w:rsidRPr="003032B7">
        <w:t>Truxima</w:t>
      </w:r>
      <w:proofErr w:type="spellEnd"/>
      <w:r w:rsidRPr="009639EE">
        <w:t xml:space="preserve"> </w:t>
      </w:r>
      <w:r w:rsidRPr="006F18B7">
        <w:rPr>
          <w:rFonts w:eastAsiaTheme="minorHAnsi" w:cstheme="minorHAnsi"/>
        </w:rPr>
        <w:t>should be treated as equivalent (‘a’-flagged) to each other for the purpose of substitution</w:t>
      </w:r>
      <w:r>
        <w:rPr>
          <w:rFonts w:eastAsiaTheme="minorHAnsi" w:cstheme="minorHAnsi"/>
        </w:rPr>
        <w:t xml:space="preserve"> </w:t>
      </w:r>
      <w:r w:rsidR="0054341E" w:rsidRPr="0054341E">
        <w:t>for its HSD listing</w:t>
      </w:r>
      <w:r w:rsidR="0054341E">
        <w:t>s</w:t>
      </w:r>
      <w:r w:rsidR="00F83319" w:rsidRPr="009639EE">
        <w:t>.</w:t>
      </w:r>
      <w:r w:rsidR="00F83319">
        <w:t xml:space="preserve"> </w:t>
      </w:r>
    </w:p>
    <w:p w14:paraId="18DFCEF7" w14:textId="77777777" w:rsidR="00A0480F" w:rsidRPr="000C36F5" w:rsidRDefault="00A0480F" w:rsidP="00F3122B">
      <w:pPr>
        <w:pStyle w:val="3Bodytext"/>
        <w:jc w:val="both"/>
        <w:rPr>
          <w:i/>
        </w:rPr>
      </w:pPr>
      <w:r w:rsidRPr="003B436C">
        <w:t xml:space="preserve">EFC medicines are governed by the </w:t>
      </w:r>
      <w:r w:rsidRPr="007B57B7">
        <w:rPr>
          <w:i/>
        </w:rPr>
        <w:t>National Health (Efficient Funding of Chemotherapy) Special Arrangement 2011</w:t>
      </w:r>
      <w:r w:rsidRPr="003B436C">
        <w:t xml:space="preserve"> and subsection 33(2) allows substitution of brands with the same chemotherapy drug</w:t>
      </w:r>
      <w:r>
        <w:t xml:space="preserve">. </w:t>
      </w:r>
    </w:p>
    <w:p w14:paraId="5D1393E0" w14:textId="77777777" w:rsidR="000C36F5" w:rsidRPr="00AD404D" w:rsidRDefault="000C36F5" w:rsidP="000C36F5">
      <w:pPr>
        <w:pStyle w:val="3Bodytext"/>
        <w:numPr>
          <w:ilvl w:val="0"/>
          <w:numId w:val="0"/>
        </w:numPr>
        <w:ind w:left="720"/>
        <w:rPr>
          <w:rFonts w:cstheme="minorHAnsi"/>
          <w:i/>
          <w:iCs/>
          <w:lang w:eastAsia="en-US"/>
        </w:rPr>
      </w:pPr>
      <w:r w:rsidRPr="000C36F5">
        <w:rPr>
          <w:rFonts w:cstheme="minorHAnsi"/>
          <w:i/>
          <w:iCs/>
          <w:lang w:eastAsia="en-US"/>
        </w:rPr>
        <w:t>For more detail on PBAC’s view, see section 6 PBAC outcome.</w:t>
      </w:r>
    </w:p>
    <w:p w14:paraId="531CD06A" w14:textId="77777777" w:rsidR="00C27C1C" w:rsidRPr="00980B0E" w:rsidRDefault="00C27C1C" w:rsidP="00B4051C">
      <w:pPr>
        <w:pStyle w:val="2-SectionHeading"/>
        <w:rPr>
          <w:color w:val="FF0000"/>
        </w:rPr>
      </w:pPr>
      <w:r w:rsidRPr="003C2FB5">
        <w:t>Comparator</w:t>
      </w:r>
      <w:r>
        <w:t xml:space="preserve"> </w:t>
      </w:r>
    </w:p>
    <w:p w14:paraId="13745CC2" w14:textId="77777777" w:rsidR="00F3122B" w:rsidRPr="007C3E69" w:rsidRDefault="00C414C7" w:rsidP="00F3122B">
      <w:pPr>
        <w:pStyle w:val="3Bodytext"/>
        <w:rPr>
          <w:lang w:eastAsia="en-US"/>
        </w:rPr>
      </w:pPr>
      <w:r w:rsidRPr="007C3E69">
        <w:rPr>
          <w:lang w:eastAsia="en-US"/>
        </w:rPr>
        <w:t xml:space="preserve">The submission nominated the </w:t>
      </w:r>
      <w:r w:rsidR="0096281A" w:rsidRPr="007C3E69">
        <w:rPr>
          <w:lang w:eastAsia="en-US"/>
        </w:rPr>
        <w:t xml:space="preserve">reference biologic </w:t>
      </w:r>
      <w:r w:rsidRPr="007C3E69">
        <w:rPr>
          <w:lang w:eastAsia="en-US"/>
        </w:rPr>
        <w:t xml:space="preserve">of rituximab, </w:t>
      </w:r>
      <w:bookmarkStart w:id="16" w:name="_Hlk79051785"/>
      <w:proofErr w:type="spellStart"/>
      <w:r w:rsidRPr="007C3E69">
        <w:rPr>
          <w:lang w:eastAsia="en-US"/>
        </w:rPr>
        <w:t>Mabthera</w:t>
      </w:r>
      <w:bookmarkEnd w:id="16"/>
      <w:proofErr w:type="spellEnd"/>
      <w:r w:rsidR="00613E22">
        <w:rPr>
          <w:lang w:eastAsia="en-US"/>
        </w:rPr>
        <w:t>,</w:t>
      </w:r>
      <w:r w:rsidR="00C76EB8" w:rsidRPr="007C3E69">
        <w:rPr>
          <w:lang w:eastAsia="en-US"/>
        </w:rPr>
        <w:t xml:space="preserve"> </w:t>
      </w:r>
      <w:r w:rsidRPr="007C3E69">
        <w:rPr>
          <w:lang w:eastAsia="en-US"/>
        </w:rPr>
        <w:t>as the main comparator.</w:t>
      </w:r>
      <w:r w:rsidR="00F3122B" w:rsidRPr="007C3E69">
        <w:rPr>
          <w:lang w:eastAsia="en-US"/>
        </w:rPr>
        <w:t xml:space="preserve"> </w:t>
      </w:r>
      <w:proofErr w:type="spellStart"/>
      <w:r w:rsidR="00F3122B" w:rsidRPr="007C3E69">
        <w:rPr>
          <w:lang w:eastAsia="en-US"/>
        </w:rPr>
        <w:t>Mabthera</w:t>
      </w:r>
      <w:proofErr w:type="spellEnd"/>
      <w:r w:rsidR="00F3122B" w:rsidRPr="007C3E69">
        <w:rPr>
          <w:lang w:eastAsia="en-US"/>
        </w:rPr>
        <w:t xml:space="preserve"> was delisted from the PBS on 1 October 2021. However, there is no requirement that a reference brand must be currently listed on the PBS to be used as a comparator. Based on the </w:t>
      </w:r>
      <w:r w:rsidR="00F3122B" w:rsidRPr="00CA4E1A">
        <w:rPr>
          <w:lang w:eastAsia="en-US"/>
        </w:rPr>
        <w:t>TGA regulatory requirements</w:t>
      </w:r>
      <w:r w:rsidR="00F3122B" w:rsidRPr="007C3E69">
        <w:rPr>
          <w:lang w:eastAsia="en-US"/>
        </w:rPr>
        <w:t xml:space="preserve"> for biosimilars, a suitable reference brand must:</w:t>
      </w:r>
    </w:p>
    <w:p w14:paraId="721747AE" w14:textId="77777777" w:rsidR="00F3122B" w:rsidRPr="007C3E69" w:rsidRDefault="00F3122B" w:rsidP="00F3122B">
      <w:pPr>
        <w:pStyle w:val="ListParagraph"/>
        <w:numPr>
          <w:ilvl w:val="0"/>
          <w:numId w:val="31"/>
        </w:numPr>
      </w:pPr>
      <w:r w:rsidRPr="007C3E69">
        <w:t>be a biological medicine that has been registered in Australia based on full quality, safety and efficacy data ('the Australian reference medicine'), and</w:t>
      </w:r>
    </w:p>
    <w:p w14:paraId="0225C9D0" w14:textId="77777777" w:rsidR="00F3122B" w:rsidRPr="007C3E69" w:rsidRDefault="00F3122B" w:rsidP="00F3122B">
      <w:pPr>
        <w:pStyle w:val="ListParagraph"/>
        <w:numPr>
          <w:ilvl w:val="0"/>
          <w:numId w:val="31"/>
        </w:numPr>
      </w:pPr>
      <w:r w:rsidRPr="007C3E69">
        <w:t>have been marketed in Australia for a substantial period and have a volume of marketed use so that there is likely to be a substantial body of acceptable data regarding the safety and efficacy for the approved indications</w:t>
      </w:r>
    </w:p>
    <w:p w14:paraId="7EBBDDBE" w14:textId="77777777" w:rsidR="00F3122B" w:rsidRPr="007C3E69" w:rsidRDefault="00F3122B" w:rsidP="00F3122B">
      <w:pPr>
        <w:pStyle w:val="3Bodytext"/>
        <w:numPr>
          <w:ilvl w:val="0"/>
          <w:numId w:val="0"/>
        </w:numPr>
        <w:ind w:left="720"/>
        <w:rPr>
          <w:lang w:eastAsia="en-US"/>
        </w:rPr>
      </w:pPr>
      <w:proofErr w:type="spellStart"/>
      <w:r w:rsidRPr="007C3E69">
        <w:rPr>
          <w:lang w:eastAsia="en-US"/>
        </w:rPr>
        <w:t>Mab</w:t>
      </w:r>
      <w:r w:rsidR="009D67C2" w:rsidRPr="007C3E69">
        <w:rPr>
          <w:lang w:eastAsia="en-US"/>
        </w:rPr>
        <w:t>t</w:t>
      </w:r>
      <w:r w:rsidRPr="007C3E69">
        <w:rPr>
          <w:lang w:eastAsia="en-US"/>
        </w:rPr>
        <w:t>hera</w:t>
      </w:r>
      <w:proofErr w:type="spellEnd"/>
      <w:r w:rsidRPr="007C3E69">
        <w:rPr>
          <w:lang w:eastAsia="en-US"/>
        </w:rPr>
        <w:t xml:space="preserve"> was </w:t>
      </w:r>
      <w:r w:rsidR="009616AE">
        <w:rPr>
          <w:lang w:eastAsia="en-US"/>
        </w:rPr>
        <w:t xml:space="preserve">first registered on the ARTG in 1998 and </w:t>
      </w:r>
      <w:r w:rsidRPr="007C3E69">
        <w:rPr>
          <w:lang w:eastAsia="en-US"/>
        </w:rPr>
        <w:t xml:space="preserve">accepted as the reference brand for the </w:t>
      </w:r>
      <w:r w:rsidR="009616AE">
        <w:rPr>
          <w:lang w:eastAsia="en-US"/>
        </w:rPr>
        <w:t xml:space="preserve">currently PBS listed </w:t>
      </w:r>
      <w:r w:rsidRPr="007C3E69">
        <w:rPr>
          <w:lang w:eastAsia="en-US"/>
        </w:rPr>
        <w:t>biosimilar brands of rituximab</w:t>
      </w:r>
      <w:r w:rsidR="009616AE">
        <w:rPr>
          <w:lang w:eastAsia="en-US"/>
        </w:rPr>
        <w:t xml:space="preserve">. Although </w:t>
      </w:r>
      <w:proofErr w:type="spellStart"/>
      <w:r w:rsidR="009616AE">
        <w:rPr>
          <w:lang w:eastAsia="en-US"/>
        </w:rPr>
        <w:t>Mabthera</w:t>
      </w:r>
      <w:proofErr w:type="spellEnd"/>
      <w:r w:rsidR="009616AE">
        <w:rPr>
          <w:lang w:eastAsia="en-US"/>
        </w:rPr>
        <w:t xml:space="preserve"> was delisted from the PBS it</w:t>
      </w:r>
      <w:r w:rsidRPr="007C3E69">
        <w:rPr>
          <w:lang w:eastAsia="en-US"/>
        </w:rPr>
        <w:t xml:space="preserve"> remains registered on the ARTG.</w:t>
      </w:r>
      <w:r w:rsidR="009616AE">
        <w:rPr>
          <w:lang w:eastAsia="en-US"/>
        </w:rPr>
        <w:t xml:space="preserve"> The PBAC advised </w:t>
      </w:r>
      <w:proofErr w:type="spellStart"/>
      <w:r w:rsidR="009616AE">
        <w:rPr>
          <w:lang w:eastAsia="en-US"/>
        </w:rPr>
        <w:t>Mabthera</w:t>
      </w:r>
      <w:proofErr w:type="spellEnd"/>
      <w:r w:rsidR="009616AE">
        <w:rPr>
          <w:lang w:eastAsia="en-US"/>
        </w:rPr>
        <w:t xml:space="preserve"> was an appropriate comparator.</w:t>
      </w:r>
    </w:p>
    <w:p w14:paraId="0836B02D" w14:textId="77777777" w:rsidR="00ED599C" w:rsidRPr="007C3E69" w:rsidRDefault="0053313B" w:rsidP="00F3122B">
      <w:pPr>
        <w:pStyle w:val="3Bodytext"/>
      </w:pPr>
      <w:r w:rsidRPr="007C3E69">
        <w:rPr>
          <w:lang w:eastAsia="en-US"/>
        </w:rPr>
        <w:t xml:space="preserve">The submission </w:t>
      </w:r>
      <w:r w:rsidR="002B2488" w:rsidRPr="007C3E69">
        <w:rPr>
          <w:lang w:eastAsia="en-US"/>
        </w:rPr>
        <w:t xml:space="preserve">also </w:t>
      </w:r>
      <w:r w:rsidRPr="007C3E69">
        <w:rPr>
          <w:lang w:eastAsia="en-US"/>
        </w:rPr>
        <w:t xml:space="preserve">nominated </w:t>
      </w:r>
      <w:r w:rsidR="0096281A" w:rsidRPr="007C3E69">
        <w:rPr>
          <w:lang w:eastAsia="en-US"/>
        </w:rPr>
        <w:t>other biosimilar</w:t>
      </w:r>
      <w:r w:rsidR="002E3231" w:rsidRPr="007C3E69">
        <w:rPr>
          <w:lang w:eastAsia="en-US"/>
        </w:rPr>
        <w:t xml:space="preserve"> brands</w:t>
      </w:r>
      <w:r w:rsidR="00613E22">
        <w:rPr>
          <w:lang w:eastAsia="en-US"/>
        </w:rPr>
        <w:t>,</w:t>
      </w:r>
      <w:r w:rsidR="0096281A" w:rsidRPr="007C3E69">
        <w:rPr>
          <w:lang w:eastAsia="en-US"/>
        </w:rPr>
        <w:t xml:space="preserve"> </w:t>
      </w:r>
      <w:proofErr w:type="spellStart"/>
      <w:r w:rsidRPr="007C3E69">
        <w:rPr>
          <w:lang w:eastAsia="en-US"/>
        </w:rPr>
        <w:t>Truxima</w:t>
      </w:r>
      <w:proofErr w:type="spellEnd"/>
      <w:r w:rsidRPr="007C3E69">
        <w:rPr>
          <w:lang w:eastAsia="en-US"/>
        </w:rPr>
        <w:t xml:space="preserve"> and </w:t>
      </w:r>
      <w:proofErr w:type="spellStart"/>
      <w:r w:rsidRPr="007C3E69">
        <w:rPr>
          <w:lang w:eastAsia="en-US"/>
        </w:rPr>
        <w:t>Riximyo</w:t>
      </w:r>
      <w:proofErr w:type="spellEnd"/>
      <w:r w:rsidR="00E94789" w:rsidRPr="007C3E69">
        <w:rPr>
          <w:lang w:eastAsia="en-US"/>
        </w:rPr>
        <w:t>,</w:t>
      </w:r>
      <w:r w:rsidRPr="007C3E69">
        <w:rPr>
          <w:lang w:eastAsia="en-US"/>
        </w:rPr>
        <w:t xml:space="preserve"> </w:t>
      </w:r>
      <w:r w:rsidR="002B2488" w:rsidRPr="007C3E69">
        <w:t xml:space="preserve">for the </w:t>
      </w:r>
      <w:r w:rsidRPr="007C3E69">
        <w:t>purpose of substitution.</w:t>
      </w:r>
      <w:r w:rsidR="002B2488" w:rsidRPr="007C3E69">
        <w:t xml:space="preserve"> </w:t>
      </w:r>
      <w:r w:rsidR="006E53FB">
        <w:t>The PBAC advised t</w:t>
      </w:r>
      <w:r w:rsidR="002B2488" w:rsidRPr="007C3E69">
        <w:t>h</w:t>
      </w:r>
      <w:r w:rsidR="0096281A" w:rsidRPr="007C3E69">
        <w:t xml:space="preserve">ese were </w:t>
      </w:r>
      <w:r w:rsidR="002B2488" w:rsidRPr="007C3E69">
        <w:t>appropriate.</w:t>
      </w:r>
    </w:p>
    <w:p w14:paraId="351152FD" w14:textId="77777777" w:rsidR="000C36F5" w:rsidRPr="007C3E69" w:rsidRDefault="000C36F5" w:rsidP="000C36F5">
      <w:pPr>
        <w:pStyle w:val="3Bodytext"/>
        <w:numPr>
          <w:ilvl w:val="0"/>
          <w:numId w:val="0"/>
        </w:numPr>
        <w:ind w:left="720"/>
      </w:pPr>
      <w:r w:rsidRPr="009616AE">
        <w:rPr>
          <w:rFonts w:cstheme="minorHAnsi"/>
          <w:i/>
          <w:iCs/>
          <w:lang w:eastAsia="en-US"/>
        </w:rPr>
        <w:t>For more detail on PBAC’s view, see section 6 PBAC outcome</w:t>
      </w:r>
      <w:r w:rsidRPr="007C3E69">
        <w:rPr>
          <w:rFonts w:cstheme="minorHAnsi"/>
          <w:lang w:eastAsia="en-US"/>
        </w:rPr>
        <w:t>.</w:t>
      </w:r>
    </w:p>
    <w:p w14:paraId="74A986EE" w14:textId="77777777" w:rsidR="00C27C1C" w:rsidRDefault="00C27C1C" w:rsidP="00B4051C">
      <w:pPr>
        <w:pStyle w:val="Heading1"/>
        <w:keepLines/>
        <w:numPr>
          <w:ilvl w:val="0"/>
          <w:numId w:val="2"/>
        </w:numPr>
        <w:spacing w:before="240"/>
        <w:ind w:left="709" w:hanging="709"/>
        <w:rPr>
          <w:sz w:val="32"/>
          <w:szCs w:val="32"/>
        </w:rPr>
      </w:pPr>
      <w:r w:rsidRPr="003C2FB5">
        <w:rPr>
          <w:sz w:val="32"/>
          <w:szCs w:val="32"/>
        </w:rPr>
        <w:t>Consideration of the evidence</w:t>
      </w:r>
    </w:p>
    <w:p w14:paraId="26AA3C31" w14:textId="77777777" w:rsidR="007C3E69" w:rsidRPr="00A033A3" w:rsidRDefault="007C3E69" w:rsidP="007C3E69">
      <w:pPr>
        <w:pStyle w:val="4-SubsectionHeading"/>
      </w:pPr>
      <w:r w:rsidRPr="00A033A3">
        <w:lastRenderedPageBreak/>
        <w:t>Sponsor hearing</w:t>
      </w:r>
    </w:p>
    <w:p w14:paraId="6BD3F4A5" w14:textId="77777777" w:rsidR="007C3E69" w:rsidRPr="00A033A3" w:rsidRDefault="007C3E69" w:rsidP="007C3E69">
      <w:pPr>
        <w:pStyle w:val="3Bodytext"/>
        <w:rPr>
          <w:lang w:eastAsia="en-US"/>
        </w:rPr>
      </w:pPr>
      <w:r w:rsidRPr="00A033A3">
        <w:rPr>
          <w:snapToGrid w:val="0"/>
        </w:rPr>
        <w:t>There was no hearing for this item.</w:t>
      </w:r>
    </w:p>
    <w:p w14:paraId="3D5D5DC5" w14:textId="77777777" w:rsidR="007C3E69" w:rsidRPr="00A033A3" w:rsidRDefault="007C3E69" w:rsidP="007C3E69">
      <w:pPr>
        <w:pStyle w:val="4-SubsectionHeading"/>
      </w:pPr>
      <w:r w:rsidRPr="00A033A3">
        <w:t>Consumer comments</w:t>
      </w:r>
    </w:p>
    <w:p w14:paraId="41E323E9" w14:textId="77777777" w:rsidR="007C3E69" w:rsidRPr="00A033A3" w:rsidRDefault="007C3E69" w:rsidP="007C3E69">
      <w:pPr>
        <w:pStyle w:val="3Bodytext"/>
        <w:rPr>
          <w:lang w:eastAsia="en-US"/>
        </w:rPr>
      </w:pPr>
      <w:r w:rsidRPr="00A033A3">
        <w:rPr>
          <w:snapToGrid w:val="0"/>
        </w:rPr>
        <w:t xml:space="preserve">The PBAC noted that </w:t>
      </w:r>
      <w:r>
        <w:rPr>
          <w:snapToGrid w:val="0"/>
        </w:rPr>
        <w:t xml:space="preserve">this item received </w:t>
      </w:r>
      <w:r w:rsidRPr="00A033A3">
        <w:rPr>
          <w:snapToGrid w:val="0"/>
        </w:rPr>
        <w:t>no consumer comments.</w:t>
      </w:r>
    </w:p>
    <w:p w14:paraId="41E57736" w14:textId="77777777" w:rsidR="00C27C1C" w:rsidRPr="00937958" w:rsidRDefault="00C27C1C" w:rsidP="00C27C1C">
      <w:pPr>
        <w:pStyle w:val="4-SubsectionHeading"/>
        <w:keepNext w:val="0"/>
        <w:rPr>
          <w:lang w:eastAsia="en-US"/>
        </w:rPr>
      </w:pPr>
      <w:r w:rsidRPr="003C2FB5">
        <w:rPr>
          <w:lang w:eastAsia="en-US"/>
        </w:rPr>
        <w:t>Clinical trials</w:t>
      </w:r>
      <w:r>
        <w:rPr>
          <w:lang w:eastAsia="en-US"/>
        </w:rPr>
        <w:t xml:space="preserve"> </w:t>
      </w:r>
    </w:p>
    <w:p w14:paraId="1B1B3D18" w14:textId="77777777" w:rsidR="00C46A21" w:rsidRDefault="00C46A21" w:rsidP="00C27C1C">
      <w:pPr>
        <w:pStyle w:val="3Bodytext"/>
      </w:pPr>
      <w:r w:rsidRPr="00C46A21">
        <w:t xml:space="preserve">The submission presented the following </w:t>
      </w:r>
      <w:r w:rsidRPr="00C46A21">
        <w:rPr>
          <w:bCs/>
        </w:rPr>
        <w:t>clinical study report</w:t>
      </w:r>
      <w:r>
        <w:rPr>
          <w:bCs/>
        </w:rPr>
        <w:t>s</w:t>
      </w:r>
      <w:r w:rsidR="00EC6FB0">
        <w:rPr>
          <w:bCs/>
        </w:rPr>
        <w:t>.</w:t>
      </w:r>
    </w:p>
    <w:p w14:paraId="7F037976" w14:textId="77777777" w:rsidR="00C46A21" w:rsidRPr="009639EE" w:rsidRDefault="00C46A21" w:rsidP="00C46A21">
      <w:pPr>
        <w:rPr>
          <w:rFonts w:ascii="Arial Narrow" w:hAnsi="Arial Narrow" w:cstheme="minorHAnsi"/>
          <w:b/>
          <w:bCs/>
          <w:sz w:val="20"/>
          <w:szCs w:val="20"/>
        </w:rPr>
      </w:pPr>
      <w:r w:rsidRPr="009639EE">
        <w:rPr>
          <w:rFonts w:ascii="Arial Narrow" w:hAnsi="Arial Narrow" w:cstheme="minorHAnsi"/>
          <w:b/>
          <w:bCs/>
          <w:sz w:val="20"/>
          <w:szCs w:val="20"/>
        </w:rPr>
        <w:t>Table 1. Studies presented in the submission</w:t>
      </w:r>
    </w:p>
    <w:tbl>
      <w:tblPr>
        <w:tblStyle w:val="TableGrid"/>
        <w:tblW w:w="5000" w:type="pct"/>
        <w:tblLook w:val="04A0" w:firstRow="1" w:lastRow="0" w:firstColumn="1" w:lastColumn="0" w:noHBand="0" w:noVBand="1"/>
        <w:tblCaption w:val="Table 1. Studies presented in the submission"/>
      </w:tblPr>
      <w:tblGrid>
        <w:gridCol w:w="1592"/>
        <w:gridCol w:w="5404"/>
        <w:gridCol w:w="2020"/>
      </w:tblGrid>
      <w:tr w:rsidR="00C46A21" w:rsidRPr="009639EE" w14:paraId="0DA47872" w14:textId="77777777" w:rsidTr="007C31F4">
        <w:trPr>
          <w:trHeight w:val="154"/>
          <w:tblHeader/>
        </w:trPr>
        <w:tc>
          <w:tcPr>
            <w:tcW w:w="883" w:type="pct"/>
          </w:tcPr>
          <w:p w14:paraId="4357A977" w14:textId="77777777" w:rsidR="00C46A21" w:rsidRPr="009639EE" w:rsidRDefault="00A002B4" w:rsidP="00C52DB8">
            <w:pPr>
              <w:rPr>
                <w:rFonts w:ascii="Arial Narrow" w:hAnsi="Arial Narrow" w:cstheme="minorHAnsi"/>
                <w:b/>
                <w:bCs/>
                <w:sz w:val="20"/>
                <w:szCs w:val="20"/>
              </w:rPr>
            </w:pPr>
            <w:r>
              <w:rPr>
                <w:rFonts w:ascii="Arial Narrow" w:hAnsi="Arial Narrow" w:cstheme="minorHAnsi"/>
                <w:b/>
                <w:bCs/>
                <w:sz w:val="20"/>
                <w:szCs w:val="20"/>
              </w:rPr>
              <w:t xml:space="preserve">Study </w:t>
            </w:r>
            <w:r w:rsidRPr="009639EE">
              <w:rPr>
                <w:rFonts w:ascii="Arial Narrow" w:hAnsi="Arial Narrow" w:cstheme="minorHAnsi"/>
                <w:b/>
                <w:bCs/>
                <w:sz w:val="20"/>
                <w:szCs w:val="20"/>
              </w:rPr>
              <w:t>ID</w:t>
            </w:r>
          </w:p>
        </w:tc>
        <w:tc>
          <w:tcPr>
            <w:tcW w:w="2997" w:type="pct"/>
          </w:tcPr>
          <w:p w14:paraId="150D0EFA" w14:textId="77777777" w:rsidR="00C46A21" w:rsidRPr="009639EE" w:rsidRDefault="00C46A21" w:rsidP="00C52DB8">
            <w:pPr>
              <w:rPr>
                <w:rFonts w:ascii="Arial Narrow" w:hAnsi="Arial Narrow" w:cstheme="minorHAnsi"/>
                <w:b/>
                <w:bCs/>
                <w:sz w:val="20"/>
                <w:szCs w:val="20"/>
              </w:rPr>
            </w:pPr>
            <w:r w:rsidRPr="009639EE">
              <w:rPr>
                <w:rFonts w:ascii="Arial Narrow" w:hAnsi="Arial Narrow" w:cstheme="minorHAnsi"/>
                <w:b/>
                <w:bCs/>
                <w:sz w:val="20"/>
                <w:szCs w:val="20"/>
              </w:rPr>
              <w:t>Protocol/Publication Title</w:t>
            </w:r>
          </w:p>
        </w:tc>
        <w:tc>
          <w:tcPr>
            <w:tcW w:w="1120" w:type="pct"/>
          </w:tcPr>
          <w:p w14:paraId="31045102" w14:textId="77777777" w:rsidR="00C46A21" w:rsidRPr="009639EE" w:rsidRDefault="00C46A21" w:rsidP="00C52DB8">
            <w:pPr>
              <w:rPr>
                <w:rFonts w:ascii="Arial Narrow" w:hAnsi="Arial Narrow" w:cstheme="minorHAnsi"/>
                <w:b/>
                <w:bCs/>
                <w:sz w:val="20"/>
                <w:szCs w:val="20"/>
              </w:rPr>
            </w:pPr>
            <w:r w:rsidRPr="009639EE">
              <w:rPr>
                <w:rFonts w:ascii="Arial Narrow" w:hAnsi="Arial Narrow" w:cstheme="minorHAnsi"/>
                <w:b/>
                <w:bCs/>
                <w:sz w:val="20"/>
                <w:szCs w:val="20"/>
              </w:rPr>
              <w:t>Publication Citation</w:t>
            </w:r>
          </w:p>
        </w:tc>
      </w:tr>
      <w:tr w:rsidR="00587E3A" w:rsidRPr="009639EE" w14:paraId="6E42735E" w14:textId="77777777" w:rsidTr="00C52DB8">
        <w:tc>
          <w:tcPr>
            <w:tcW w:w="883" w:type="pct"/>
          </w:tcPr>
          <w:p w14:paraId="79AD6229" w14:textId="77777777" w:rsidR="00587E3A" w:rsidRPr="00C46A21" w:rsidRDefault="00587E3A" w:rsidP="00C52DB8">
            <w:pPr>
              <w:rPr>
                <w:rFonts w:ascii="Arial Narrow" w:hAnsi="Arial Narrow" w:cstheme="minorHAnsi"/>
                <w:b/>
                <w:bCs/>
                <w:sz w:val="20"/>
                <w:szCs w:val="20"/>
              </w:rPr>
            </w:pPr>
            <w:r w:rsidRPr="00587E3A">
              <w:rPr>
                <w:rFonts w:ascii="Arial Narrow" w:hAnsi="Arial Narrow" w:cstheme="minorHAnsi"/>
                <w:b/>
                <w:bCs/>
                <w:sz w:val="20"/>
                <w:szCs w:val="20"/>
              </w:rPr>
              <w:t>B3281001</w:t>
            </w:r>
          </w:p>
        </w:tc>
        <w:tc>
          <w:tcPr>
            <w:tcW w:w="2997" w:type="pct"/>
          </w:tcPr>
          <w:p w14:paraId="0B9BBA4E" w14:textId="77777777" w:rsidR="00587E3A" w:rsidRPr="00C46A21" w:rsidRDefault="00587E3A" w:rsidP="00587E3A">
            <w:pPr>
              <w:rPr>
                <w:rFonts w:ascii="Arial Narrow" w:hAnsi="Arial Narrow" w:cstheme="minorHAnsi"/>
                <w:bCs/>
                <w:sz w:val="20"/>
                <w:szCs w:val="20"/>
              </w:rPr>
            </w:pPr>
            <w:r w:rsidRPr="00587E3A">
              <w:rPr>
                <w:rFonts w:ascii="Arial Narrow" w:hAnsi="Arial Narrow" w:cstheme="minorHAnsi"/>
                <w:bCs/>
                <w:sz w:val="20"/>
                <w:szCs w:val="20"/>
              </w:rPr>
              <w:t>A Randomized, Double-Blind, Study Comparing the Pharmacokinetics and</w:t>
            </w:r>
            <w:r>
              <w:rPr>
                <w:rFonts w:ascii="Arial Narrow" w:hAnsi="Arial Narrow" w:cstheme="minorHAnsi"/>
                <w:bCs/>
                <w:sz w:val="20"/>
                <w:szCs w:val="20"/>
              </w:rPr>
              <w:t xml:space="preserve"> </w:t>
            </w:r>
            <w:r w:rsidRPr="00587E3A">
              <w:rPr>
                <w:rFonts w:ascii="Arial Narrow" w:hAnsi="Arial Narrow" w:cstheme="minorHAnsi"/>
                <w:bCs/>
                <w:sz w:val="20"/>
                <w:szCs w:val="20"/>
              </w:rPr>
              <w:t>Pharmacodynamics, and Assessing the Safety of PF-05280586 and Rituximab in Subjects</w:t>
            </w:r>
            <w:r>
              <w:rPr>
                <w:rFonts w:ascii="Arial Narrow" w:hAnsi="Arial Narrow" w:cstheme="minorHAnsi"/>
                <w:bCs/>
                <w:sz w:val="20"/>
                <w:szCs w:val="20"/>
              </w:rPr>
              <w:t xml:space="preserve"> </w:t>
            </w:r>
            <w:r w:rsidRPr="00587E3A">
              <w:rPr>
                <w:rFonts w:ascii="Arial Narrow" w:hAnsi="Arial Narrow" w:cstheme="minorHAnsi"/>
                <w:bCs/>
                <w:sz w:val="20"/>
                <w:szCs w:val="20"/>
              </w:rPr>
              <w:t>with Active Rheumatoid Arthritis on a Background of Methotrexate (MTX) who have had an</w:t>
            </w:r>
            <w:r>
              <w:rPr>
                <w:rFonts w:ascii="Arial Narrow" w:hAnsi="Arial Narrow" w:cstheme="minorHAnsi"/>
                <w:bCs/>
                <w:sz w:val="20"/>
                <w:szCs w:val="20"/>
              </w:rPr>
              <w:t xml:space="preserve"> </w:t>
            </w:r>
            <w:r w:rsidRPr="00587E3A">
              <w:rPr>
                <w:rFonts w:ascii="Arial Narrow" w:hAnsi="Arial Narrow" w:cstheme="minorHAnsi"/>
                <w:bCs/>
                <w:sz w:val="20"/>
                <w:szCs w:val="20"/>
              </w:rPr>
              <w:t xml:space="preserve">Inadequate Response to One or More </w:t>
            </w:r>
            <w:proofErr w:type="spellStart"/>
            <w:r w:rsidRPr="00587E3A">
              <w:rPr>
                <w:rFonts w:ascii="Arial Narrow" w:hAnsi="Arial Narrow" w:cstheme="minorHAnsi"/>
                <w:bCs/>
                <w:sz w:val="20"/>
                <w:szCs w:val="20"/>
              </w:rPr>
              <w:t>Tumor</w:t>
            </w:r>
            <w:proofErr w:type="spellEnd"/>
            <w:r w:rsidRPr="00587E3A">
              <w:rPr>
                <w:rFonts w:ascii="Arial Narrow" w:hAnsi="Arial Narrow" w:cstheme="minorHAnsi"/>
                <w:bCs/>
                <w:sz w:val="20"/>
                <w:szCs w:val="20"/>
              </w:rPr>
              <w:t xml:space="preserve"> Necrosis Factor (TNF) Antagonist Therapies</w:t>
            </w:r>
          </w:p>
        </w:tc>
        <w:tc>
          <w:tcPr>
            <w:tcW w:w="1120" w:type="pct"/>
          </w:tcPr>
          <w:p w14:paraId="7046FC1A" w14:textId="77777777" w:rsidR="00587E3A" w:rsidRPr="00930133" w:rsidRDefault="00587E3A" w:rsidP="00276B31">
            <w:pPr>
              <w:rPr>
                <w:rFonts w:ascii="Arial Narrow" w:hAnsi="Arial Narrow" w:cstheme="minorHAnsi"/>
                <w:bCs/>
                <w:sz w:val="20"/>
                <w:szCs w:val="20"/>
              </w:rPr>
            </w:pPr>
            <w:r w:rsidRPr="00587E3A">
              <w:rPr>
                <w:rFonts w:ascii="Arial Narrow" w:hAnsi="Arial Narrow" w:cstheme="minorHAnsi"/>
                <w:bCs/>
                <w:sz w:val="20"/>
                <w:szCs w:val="20"/>
              </w:rPr>
              <w:t>Clinical Study Report</w:t>
            </w:r>
            <w:r w:rsidR="00276B31" w:rsidRPr="00930133">
              <w:rPr>
                <w:rFonts w:ascii="Arial Narrow" w:hAnsi="Arial Narrow" w:cstheme="minorHAnsi"/>
                <w:bCs/>
                <w:sz w:val="20"/>
                <w:szCs w:val="20"/>
              </w:rPr>
              <w:t xml:space="preserve"> </w:t>
            </w:r>
            <w:r w:rsidR="00930133">
              <w:rPr>
                <w:rFonts w:ascii="Arial Narrow" w:hAnsi="Arial Narrow" w:cstheme="minorHAnsi"/>
                <w:bCs/>
                <w:sz w:val="20"/>
                <w:szCs w:val="20"/>
              </w:rPr>
              <w:t>d</w:t>
            </w:r>
            <w:r w:rsidRPr="00930133">
              <w:rPr>
                <w:rFonts w:ascii="Arial Narrow" w:hAnsi="Arial Narrow" w:cstheme="minorHAnsi"/>
                <w:bCs/>
                <w:sz w:val="20"/>
                <w:szCs w:val="20"/>
              </w:rPr>
              <w:t>ate: 09 April 2018</w:t>
            </w:r>
          </w:p>
        </w:tc>
      </w:tr>
      <w:tr w:rsidR="00587E3A" w:rsidRPr="009639EE" w14:paraId="32E7157A" w14:textId="77777777" w:rsidTr="00C52DB8">
        <w:tc>
          <w:tcPr>
            <w:tcW w:w="883" w:type="pct"/>
          </w:tcPr>
          <w:p w14:paraId="0650DC28" w14:textId="77777777" w:rsidR="00587E3A" w:rsidRPr="00587E3A" w:rsidRDefault="00587E3A" w:rsidP="00C52DB8">
            <w:pPr>
              <w:rPr>
                <w:rFonts w:ascii="Arial Narrow" w:hAnsi="Arial Narrow" w:cstheme="minorHAnsi"/>
                <w:b/>
                <w:bCs/>
                <w:sz w:val="20"/>
                <w:szCs w:val="20"/>
              </w:rPr>
            </w:pPr>
            <w:r w:rsidRPr="00587E3A">
              <w:rPr>
                <w:rFonts w:ascii="Arial Narrow" w:hAnsi="Arial Narrow" w:cstheme="minorHAnsi"/>
                <w:b/>
                <w:bCs/>
                <w:sz w:val="20"/>
                <w:szCs w:val="20"/>
              </w:rPr>
              <w:t>B3281006</w:t>
            </w:r>
          </w:p>
        </w:tc>
        <w:tc>
          <w:tcPr>
            <w:tcW w:w="2997" w:type="pct"/>
          </w:tcPr>
          <w:p w14:paraId="671A9982" w14:textId="77777777" w:rsidR="00587E3A" w:rsidRPr="00587E3A" w:rsidRDefault="00587E3A" w:rsidP="00587E3A">
            <w:pPr>
              <w:rPr>
                <w:rFonts w:ascii="Arial Narrow" w:hAnsi="Arial Narrow" w:cstheme="minorHAnsi"/>
                <w:bCs/>
                <w:sz w:val="20"/>
                <w:szCs w:val="20"/>
              </w:rPr>
            </w:pPr>
            <w:r w:rsidRPr="00587E3A">
              <w:rPr>
                <w:rFonts w:ascii="Arial Narrow" w:hAnsi="Arial Narrow" w:cstheme="minorHAnsi"/>
                <w:bCs/>
                <w:sz w:val="20"/>
                <w:szCs w:val="20"/>
              </w:rPr>
              <w:t>A Phase 3, Randomized, Double-Blind Study of PF-05280586 Versus</w:t>
            </w:r>
          </w:p>
          <w:p w14:paraId="02800C29" w14:textId="77777777" w:rsidR="00587E3A" w:rsidRPr="00587E3A" w:rsidRDefault="00587E3A" w:rsidP="00587E3A">
            <w:pPr>
              <w:rPr>
                <w:rFonts w:ascii="Arial Narrow" w:hAnsi="Arial Narrow" w:cstheme="minorHAnsi"/>
                <w:bCs/>
                <w:sz w:val="20"/>
                <w:szCs w:val="20"/>
              </w:rPr>
            </w:pPr>
            <w:r w:rsidRPr="00587E3A">
              <w:rPr>
                <w:rFonts w:ascii="Arial Narrow" w:hAnsi="Arial Narrow" w:cstheme="minorHAnsi"/>
                <w:bCs/>
                <w:sz w:val="20"/>
                <w:szCs w:val="20"/>
              </w:rPr>
              <w:t xml:space="preserve">Rituximab for the First-Line Treatment of Patients </w:t>
            </w:r>
            <w:proofErr w:type="gramStart"/>
            <w:r w:rsidRPr="00587E3A">
              <w:rPr>
                <w:rFonts w:ascii="Arial Narrow" w:hAnsi="Arial Narrow" w:cstheme="minorHAnsi"/>
                <w:bCs/>
                <w:sz w:val="20"/>
                <w:szCs w:val="20"/>
              </w:rPr>
              <w:t>With</w:t>
            </w:r>
            <w:proofErr w:type="gramEnd"/>
            <w:r w:rsidRPr="00587E3A">
              <w:rPr>
                <w:rFonts w:ascii="Arial Narrow" w:hAnsi="Arial Narrow" w:cstheme="minorHAnsi"/>
                <w:bCs/>
                <w:sz w:val="20"/>
                <w:szCs w:val="20"/>
              </w:rPr>
              <w:t xml:space="preserve"> CD20-Positive, Low </w:t>
            </w:r>
            <w:proofErr w:type="spellStart"/>
            <w:r w:rsidRPr="00587E3A">
              <w:rPr>
                <w:rFonts w:ascii="Arial Narrow" w:hAnsi="Arial Narrow" w:cstheme="minorHAnsi"/>
                <w:bCs/>
                <w:sz w:val="20"/>
                <w:szCs w:val="20"/>
              </w:rPr>
              <w:t>Tumor</w:t>
            </w:r>
            <w:proofErr w:type="spellEnd"/>
            <w:r w:rsidRPr="00587E3A">
              <w:rPr>
                <w:rFonts w:ascii="Arial Narrow" w:hAnsi="Arial Narrow" w:cstheme="minorHAnsi"/>
                <w:bCs/>
                <w:sz w:val="20"/>
                <w:szCs w:val="20"/>
              </w:rPr>
              <w:t xml:space="preserve"> Burden,</w:t>
            </w:r>
            <w:r>
              <w:rPr>
                <w:rFonts w:ascii="Arial Narrow" w:hAnsi="Arial Narrow" w:cstheme="minorHAnsi"/>
                <w:bCs/>
                <w:sz w:val="20"/>
                <w:szCs w:val="20"/>
              </w:rPr>
              <w:t xml:space="preserve"> </w:t>
            </w:r>
            <w:r w:rsidRPr="00587E3A">
              <w:rPr>
                <w:rFonts w:ascii="Arial Narrow" w:hAnsi="Arial Narrow" w:cstheme="minorHAnsi"/>
                <w:bCs/>
                <w:sz w:val="20"/>
                <w:szCs w:val="20"/>
              </w:rPr>
              <w:t>Follicular Lymphoma</w:t>
            </w:r>
          </w:p>
        </w:tc>
        <w:tc>
          <w:tcPr>
            <w:tcW w:w="1120" w:type="pct"/>
          </w:tcPr>
          <w:p w14:paraId="055F4502" w14:textId="77777777" w:rsidR="00587E3A" w:rsidRPr="00930133" w:rsidRDefault="00587E3A" w:rsidP="00276B31">
            <w:pPr>
              <w:rPr>
                <w:rFonts w:ascii="Arial Narrow" w:hAnsi="Arial Narrow" w:cstheme="minorHAnsi"/>
                <w:bCs/>
                <w:sz w:val="20"/>
                <w:szCs w:val="20"/>
              </w:rPr>
            </w:pPr>
            <w:r w:rsidRPr="00587E3A">
              <w:rPr>
                <w:rFonts w:ascii="Arial Narrow" w:hAnsi="Arial Narrow" w:cstheme="minorHAnsi"/>
                <w:bCs/>
                <w:sz w:val="20"/>
                <w:szCs w:val="20"/>
              </w:rPr>
              <w:t>Clinical Study Report</w:t>
            </w:r>
            <w:r w:rsidR="00276B31" w:rsidRPr="00930133">
              <w:rPr>
                <w:rFonts w:ascii="Arial Narrow" w:hAnsi="Arial Narrow" w:cstheme="minorHAnsi"/>
                <w:bCs/>
                <w:sz w:val="20"/>
                <w:szCs w:val="20"/>
              </w:rPr>
              <w:t xml:space="preserve"> </w:t>
            </w:r>
            <w:r w:rsidR="00930133">
              <w:rPr>
                <w:rFonts w:ascii="Arial Narrow" w:hAnsi="Arial Narrow" w:cstheme="minorHAnsi"/>
                <w:bCs/>
                <w:sz w:val="20"/>
                <w:szCs w:val="20"/>
              </w:rPr>
              <w:t>d</w:t>
            </w:r>
            <w:r w:rsidRPr="00930133">
              <w:rPr>
                <w:rFonts w:ascii="Arial Narrow" w:hAnsi="Arial Narrow" w:cstheme="minorHAnsi"/>
                <w:bCs/>
                <w:sz w:val="20"/>
                <w:szCs w:val="20"/>
              </w:rPr>
              <w:t xml:space="preserve">ates: </w:t>
            </w:r>
            <w:r w:rsidR="00276B31" w:rsidRPr="00930133">
              <w:rPr>
                <w:rFonts w:ascii="Arial Narrow" w:hAnsi="Arial Narrow" w:cstheme="minorHAnsi"/>
                <w:bCs/>
                <w:sz w:val="20"/>
                <w:szCs w:val="20"/>
              </w:rPr>
              <w:t>16 March 2018, 29 March 2018</w:t>
            </w:r>
          </w:p>
        </w:tc>
      </w:tr>
      <w:tr w:rsidR="00587E3A" w:rsidRPr="009639EE" w14:paraId="72C425DC" w14:textId="77777777" w:rsidTr="00C52DB8">
        <w:tc>
          <w:tcPr>
            <w:tcW w:w="883" w:type="pct"/>
          </w:tcPr>
          <w:p w14:paraId="662FB92F" w14:textId="77777777" w:rsidR="00587E3A" w:rsidRPr="00B4051C" w:rsidRDefault="00587E3A" w:rsidP="00C52DB8">
            <w:pPr>
              <w:rPr>
                <w:rFonts w:ascii="Arial Narrow" w:hAnsi="Arial Narrow" w:cstheme="minorHAnsi"/>
                <w:b/>
                <w:bCs/>
                <w:sz w:val="20"/>
                <w:szCs w:val="20"/>
              </w:rPr>
            </w:pPr>
            <w:r w:rsidRPr="00587E3A">
              <w:rPr>
                <w:rFonts w:ascii="Arial Narrow" w:hAnsi="Arial Narrow" w:cstheme="minorHAnsi"/>
                <w:b/>
                <w:bCs/>
                <w:sz w:val="20"/>
                <w:szCs w:val="20"/>
              </w:rPr>
              <w:t>B3281004</w:t>
            </w:r>
          </w:p>
        </w:tc>
        <w:tc>
          <w:tcPr>
            <w:tcW w:w="2997" w:type="pct"/>
          </w:tcPr>
          <w:p w14:paraId="4FE022CB" w14:textId="77777777" w:rsidR="00587E3A" w:rsidRPr="00587E3A" w:rsidRDefault="00587E3A" w:rsidP="00587E3A">
            <w:pPr>
              <w:rPr>
                <w:rFonts w:ascii="Arial Narrow" w:hAnsi="Arial Narrow" w:cstheme="minorHAnsi"/>
                <w:bCs/>
                <w:sz w:val="20"/>
                <w:szCs w:val="20"/>
              </w:rPr>
            </w:pPr>
            <w:r w:rsidRPr="00587E3A">
              <w:rPr>
                <w:rFonts w:ascii="Arial Narrow" w:hAnsi="Arial Narrow" w:cstheme="minorHAnsi"/>
                <w:bCs/>
                <w:sz w:val="20"/>
                <w:szCs w:val="20"/>
              </w:rPr>
              <w:t xml:space="preserve">Extension study evaluating treatment with </w:t>
            </w:r>
            <w:r>
              <w:rPr>
                <w:rFonts w:ascii="Arial Narrow" w:hAnsi="Arial Narrow" w:cstheme="minorHAnsi"/>
                <w:bCs/>
                <w:sz w:val="20"/>
                <w:szCs w:val="20"/>
              </w:rPr>
              <w:t>PF</w:t>
            </w:r>
            <w:r w:rsidRPr="00587E3A">
              <w:rPr>
                <w:rFonts w:ascii="Arial Narrow" w:hAnsi="Arial Narrow" w:cstheme="minorHAnsi"/>
                <w:bCs/>
                <w:sz w:val="20"/>
                <w:szCs w:val="20"/>
              </w:rPr>
              <w:t>-05280586</w:t>
            </w:r>
          </w:p>
          <w:p w14:paraId="64A39851" w14:textId="77777777" w:rsidR="00587E3A" w:rsidRPr="00587E3A" w:rsidRDefault="00587E3A" w:rsidP="00587E3A">
            <w:pPr>
              <w:rPr>
                <w:rFonts w:ascii="Arial Narrow" w:hAnsi="Arial Narrow" w:cstheme="minorHAnsi"/>
                <w:bCs/>
                <w:sz w:val="20"/>
                <w:szCs w:val="20"/>
              </w:rPr>
            </w:pPr>
            <w:r w:rsidRPr="00587E3A">
              <w:rPr>
                <w:rFonts w:ascii="Arial Narrow" w:hAnsi="Arial Narrow" w:cstheme="minorHAnsi"/>
                <w:bCs/>
                <w:sz w:val="20"/>
                <w:szCs w:val="20"/>
              </w:rPr>
              <w:t>Versus rituximab in subjects with active rheumatoid arthritis</w:t>
            </w:r>
          </w:p>
          <w:p w14:paraId="73173BB5" w14:textId="77777777" w:rsidR="00587E3A" w:rsidRPr="00B4051C" w:rsidRDefault="00587E3A" w:rsidP="00587E3A">
            <w:pPr>
              <w:rPr>
                <w:rFonts w:ascii="Arial Narrow" w:hAnsi="Arial Narrow" w:cstheme="minorHAnsi"/>
                <w:bCs/>
                <w:sz w:val="20"/>
                <w:szCs w:val="20"/>
                <w:lang w:val="en-US"/>
              </w:rPr>
            </w:pPr>
            <w:r w:rsidRPr="00587E3A">
              <w:rPr>
                <w:rFonts w:ascii="Arial Narrow" w:hAnsi="Arial Narrow" w:cstheme="minorHAnsi"/>
                <w:bCs/>
                <w:sz w:val="20"/>
                <w:szCs w:val="20"/>
              </w:rPr>
              <w:t>Who have participated in other pf-05280586 clinical trials</w:t>
            </w:r>
          </w:p>
        </w:tc>
        <w:tc>
          <w:tcPr>
            <w:tcW w:w="1120" w:type="pct"/>
          </w:tcPr>
          <w:p w14:paraId="5D5A7840" w14:textId="77777777" w:rsidR="00587E3A" w:rsidRPr="00930133" w:rsidRDefault="00587E3A" w:rsidP="00276B31">
            <w:pPr>
              <w:rPr>
                <w:rFonts w:ascii="Arial Narrow" w:hAnsi="Arial Narrow" w:cstheme="minorHAnsi"/>
                <w:bCs/>
                <w:sz w:val="20"/>
                <w:szCs w:val="20"/>
              </w:rPr>
            </w:pPr>
            <w:r w:rsidRPr="00587E3A">
              <w:rPr>
                <w:rFonts w:ascii="Arial Narrow" w:hAnsi="Arial Narrow" w:cstheme="minorHAnsi"/>
                <w:bCs/>
                <w:sz w:val="20"/>
                <w:szCs w:val="20"/>
              </w:rPr>
              <w:t>Clinical Study Report</w:t>
            </w:r>
            <w:r w:rsidR="00276B31" w:rsidRPr="00930133">
              <w:rPr>
                <w:rFonts w:ascii="Arial Narrow" w:hAnsi="Arial Narrow" w:cstheme="minorHAnsi"/>
                <w:bCs/>
                <w:sz w:val="20"/>
                <w:szCs w:val="20"/>
              </w:rPr>
              <w:t xml:space="preserve"> </w:t>
            </w:r>
            <w:r w:rsidR="00930133">
              <w:rPr>
                <w:rFonts w:ascii="Arial Narrow" w:hAnsi="Arial Narrow" w:cstheme="minorHAnsi"/>
                <w:bCs/>
                <w:sz w:val="20"/>
                <w:szCs w:val="20"/>
              </w:rPr>
              <w:t>d</w:t>
            </w:r>
            <w:r w:rsidR="00276B31" w:rsidRPr="00930133">
              <w:rPr>
                <w:rFonts w:ascii="Arial Narrow" w:hAnsi="Arial Narrow" w:cstheme="minorHAnsi"/>
                <w:bCs/>
                <w:sz w:val="20"/>
                <w:szCs w:val="20"/>
              </w:rPr>
              <w:t>ate</w:t>
            </w:r>
            <w:r w:rsidRPr="00930133">
              <w:rPr>
                <w:rFonts w:ascii="Arial Narrow" w:hAnsi="Arial Narrow" w:cstheme="minorHAnsi"/>
                <w:bCs/>
                <w:sz w:val="20"/>
                <w:szCs w:val="20"/>
              </w:rPr>
              <w:t>: 06 February 2017</w:t>
            </w:r>
          </w:p>
        </w:tc>
      </w:tr>
    </w:tbl>
    <w:p w14:paraId="69ED575D" w14:textId="77777777" w:rsidR="00C46A21" w:rsidRPr="009639EE" w:rsidRDefault="00C46A21" w:rsidP="00C46A21">
      <w:pPr>
        <w:pStyle w:val="3-BodyText"/>
        <w:numPr>
          <w:ilvl w:val="0"/>
          <w:numId w:val="0"/>
        </w:numPr>
        <w:rPr>
          <w:rFonts w:ascii="Arial Narrow" w:hAnsi="Arial Narrow"/>
          <w:bCs/>
          <w:sz w:val="18"/>
          <w:szCs w:val="18"/>
          <w:lang w:eastAsia="en-US"/>
        </w:rPr>
      </w:pPr>
      <w:r w:rsidRPr="009639EE">
        <w:rPr>
          <w:rFonts w:ascii="Arial Narrow" w:hAnsi="Arial Narrow"/>
          <w:bCs/>
          <w:sz w:val="18"/>
          <w:szCs w:val="18"/>
          <w:lang w:eastAsia="en-US"/>
        </w:rPr>
        <w:t>Source: submission</w:t>
      </w:r>
    </w:p>
    <w:p w14:paraId="513D8119" w14:textId="77777777" w:rsidR="00B4051C" w:rsidRPr="00640BEC" w:rsidRDefault="00B4051C" w:rsidP="00C902A4">
      <w:pPr>
        <w:pStyle w:val="3Bodytext"/>
        <w:rPr>
          <w:rFonts w:ascii="Arial Narrow" w:hAnsi="Arial Narrow" w:cstheme="minorHAnsi"/>
          <w:b/>
          <w:bCs/>
          <w:sz w:val="20"/>
          <w:szCs w:val="20"/>
        </w:rPr>
      </w:pPr>
      <w:r w:rsidRPr="003F52D4">
        <w:t xml:space="preserve">The clinical </w:t>
      </w:r>
      <w:r w:rsidR="00276B31" w:rsidRPr="003F52D4">
        <w:t xml:space="preserve">studies </w:t>
      </w:r>
      <w:r w:rsidRPr="003F52D4">
        <w:t xml:space="preserve">presented in the submission formed part of the TGA submission to register </w:t>
      </w:r>
      <w:proofErr w:type="spellStart"/>
      <w:r w:rsidRPr="003F52D4">
        <w:t>Ruxience</w:t>
      </w:r>
      <w:proofErr w:type="spellEnd"/>
      <w:r w:rsidRPr="003F52D4">
        <w:t xml:space="preserve"> as a biosimilar to </w:t>
      </w:r>
      <w:bookmarkStart w:id="17" w:name="_Hlk79055049"/>
      <w:proofErr w:type="spellStart"/>
      <w:r w:rsidRPr="003F52D4">
        <w:t>Mabthera</w:t>
      </w:r>
      <w:bookmarkEnd w:id="17"/>
      <w:proofErr w:type="spellEnd"/>
      <w:r w:rsidRPr="003F52D4">
        <w:t>.</w:t>
      </w:r>
      <w:r w:rsidRPr="00ED599C">
        <w:t xml:space="preserve"> </w:t>
      </w:r>
      <w:bookmarkStart w:id="18" w:name="_Hlk81401276"/>
      <w:r w:rsidRPr="00ED599C">
        <w:t xml:space="preserve">The TGA Delegate Overview noted that the data presented in TGA submission demonstrated that </w:t>
      </w:r>
      <w:bookmarkStart w:id="19" w:name="_Hlk76058337"/>
      <w:proofErr w:type="spellStart"/>
      <w:r w:rsidR="00ED599C" w:rsidRPr="00ED599C">
        <w:t>Ruxience</w:t>
      </w:r>
      <w:proofErr w:type="spellEnd"/>
      <w:r w:rsidRPr="00ED599C">
        <w:t xml:space="preserve"> is </w:t>
      </w:r>
      <w:r w:rsidR="00ED599C" w:rsidRPr="00ED599C">
        <w:t>bio</w:t>
      </w:r>
      <w:r w:rsidRPr="00ED599C">
        <w:t xml:space="preserve">similar to the Australian reference product, </w:t>
      </w:r>
      <w:proofErr w:type="spellStart"/>
      <w:r w:rsidR="00ED599C" w:rsidRPr="00ED599C">
        <w:t>Mabthera</w:t>
      </w:r>
      <w:proofErr w:type="spellEnd"/>
      <w:r w:rsidRPr="00ED599C">
        <w:t>, with comparable pharmacokinetics, efficacy, safety, and immunogenicity</w:t>
      </w:r>
      <w:bookmarkEnd w:id="18"/>
      <w:r w:rsidRPr="00ED599C">
        <w:t>.</w:t>
      </w:r>
    </w:p>
    <w:bookmarkEnd w:id="19"/>
    <w:p w14:paraId="3F8E6EA7" w14:textId="77777777" w:rsidR="00B4051C" w:rsidRPr="000A06FA" w:rsidRDefault="00B4051C" w:rsidP="00B4051C">
      <w:pPr>
        <w:pStyle w:val="3-BodyText"/>
        <w:numPr>
          <w:ilvl w:val="1"/>
          <w:numId w:val="2"/>
        </w:numPr>
        <w:rPr>
          <w:i/>
          <w:iCs/>
        </w:rPr>
      </w:pPr>
      <w:r w:rsidRPr="000A06FA">
        <w:rPr>
          <w:i/>
          <w:iCs/>
          <w:lang w:eastAsia="en-US"/>
        </w:rPr>
        <w:t>As a Category 3 submission, no evaluation of the clinical evidence was undertaken</w:t>
      </w:r>
      <w:r w:rsidRPr="000A06FA">
        <w:rPr>
          <w:i/>
          <w:iCs/>
        </w:rPr>
        <w:t>.</w:t>
      </w:r>
    </w:p>
    <w:p w14:paraId="5637DCF3" w14:textId="77777777" w:rsidR="00C27C1C" w:rsidRPr="008306F3" w:rsidRDefault="00C27C1C" w:rsidP="00C27C1C">
      <w:pPr>
        <w:pStyle w:val="4-SubsectionHeading"/>
        <w:rPr>
          <w:lang w:eastAsia="en-US"/>
        </w:rPr>
      </w:pPr>
      <w:r w:rsidRPr="003C2FB5">
        <w:rPr>
          <w:lang w:eastAsia="en-US"/>
        </w:rPr>
        <w:t>Clinical claim</w:t>
      </w:r>
    </w:p>
    <w:p w14:paraId="38243FC7" w14:textId="77777777" w:rsidR="00B50EC4" w:rsidRDefault="00B4051C" w:rsidP="004B482B">
      <w:pPr>
        <w:pStyle w:val="3Bodytext"/>
      </w:pPr>
      <w:r w:rsidRPr="00ED599C">
        <w:t xml:space="preserve">The submission claimed that </w:t>
      </w:r>
      <w:bookmarkStart w:id="20" w:name="_Hlk78988966"/>
      <w:proofErr w:type="spellStart"/>
      <w:r w:rsidRPr="00ED599C">
        <w:t>Ruxience</w:t>
      </w:r>
      <w:bookmarkEnd w:id="20"/>
      <w:proofErr w:type="spellEnd"/>
      <w:r w:rsidRPr="00ED599C">
        <w:t xml:space="preserve"> was</w:t>
      </w:r>
      <w:r w:rsidR="00B50EC4">
        <w:t>:</w:t>
      </w:r>
    </w:p>
    <w:p w14:paraId="61AF858A" w14:textId="77777777" w:rsidR="00B50EC4" w:rsidRDefault="00B4051C" w:rsidP="00B50EC4">
      <w:pPr>
        <w:pStyle w:val="ListParagraph"/>
        <w:numPr>
          <w:ilvl w:val="0"/>
          <w:numId w:val="31"/>
        </w:numPr>
      </w:pPr>
      <w:r w:rsidRPr="00ED599C">
        <w:t xml:space="preserve">biosimilar to </w:t>
      </w:r>
      <w:bookmarkStart w:id="21" w:name="_Hlk86823490"/>
      <w:proofErr w:type="spellStart"/>
      <w:r w:rsidRPr="00ED599C">
        <w:t>Mabthera</w:t>
      </w:r>
      <w:bookmarkEnd w:id="21"/>
      <w:proofErr w:type="spellEnd"/>
    </w:p>
    <w:p w14:paraId="25A2ED94" w14:textId="77777777" w:rsidR="00C27C1C" w:rsidRDefault="0075428A" w:rsidP="00F3122B">
      <w:pPr>
        <w:pStyle w:val="ListParagraph"/>
        <w:numPr>
          <w:ilvl w:val="0"/>
          <w:numId w:val="31"/>
        </w:numPr>
      </w:pPr>
      <w:r w:rsidRPr="0075428A">
        <w:t xml:space="preserve">non-inferior in terms of comparative effectiveness </w:t>
      </w:r>
      <w:r w:rsidR="005C33CE">
        <w:t xml:space="preserve">and </w:t>
      </w:r>
      <w:r w:rsidRPr="0075428A">
        <w:t>safety</w:t>
      </w:r>
      <w:r>
        <w:t xml:space="preserve"> </w:t>
      </w:r>
      <w:r w:rsidRPr="0075428A">
        <w:t xml:space="preserve">to </w:t>
      </w:r>
      <w:proofErr w:type="spellStart"/>
      <w:r w:rsidRPr="0075428A">
        <w:t>Mabthera</w:t>
      </w:r>
      <w:proofErr w:type="spellEnd"/>
      <w:r w:rsidRPr="0075428A">
        <w:t>.</w:t>
      </w:r>
    </w:p>
    <w:p w14:paraId="76811690" w14:textId="77777777" w:rsidR="008D467F" w:rsidRPr="00A033A3" w:rsidRDefault="008D467F" w:rsidP="008D467F">
      <w:pPr>
        <w:pStyle w:val="3Bodytext"/>
        <w:rPr>
          <w:color w:val="000000" w:themeColor="text1"/>
        </w:rPr>
      </w:pPr>
      <w:r w:rsidRPr="00A033A3">
        <w:t xml:space="preserve">The PBAC considered that </w:t>
      </w:r>
      <w:proofErr w:type="spellStart"/>
      <w:r w:rsidRPr="00ED599C">
        <w:t>Ruxience</w:t>
      </w:r>
      <w:proofErr w:type="spellEnd"/>
      <w:r w:rsidRPr="00A033A3">
        <w:t xml:space="preserve"> was </w:t>
      </w:r>
      <w:r w:rsidRPr="000564CF">
        <w:t xml:space="preserve">biosimilar to </w:t>
      </w:r>
      <w:proofErr w:type="spellStart"/>
      <w:r w:rsidRPr="00ED599C">
        <w:t>Mabthera</w:t>
      </w:r>
      <w:proofErr w:type="spellEnd"/>
      <w:r w:rsidRPr="000564CF">
        <w:t xml:space="preserve"> </w:t>
      </w:r>
      <w:r w:rsidRPr="00A033A3">
        <w:t>based on the TGA approval.</w:t>
      </w:r>
    </w:p>
    <w:p w14:paraId="514B7D4F" w14:textId="77777777" w:rsidR="00074320" w:rsidRPr="00D70349" w:rsidRDefault="00074320" w:rsidP="00FA0B04">
      <w:pPr>
        <w:pStyle w:val="4-SubsectionHeading"/>
        <w:rPr>
          <w:lang w:eastAsia="en-US"/>
        </w:rPr>
      </w:pPr>
      <w:r w:rsidRPr="00D70349">
        <w:rPr>
          <w:lang w:eastAsia="en-US"/>
        </w:rPr>
        <w:t>Pricing consideration</w:t>
      </w:r>
    </w:p>
    <w:p w14:paraId="58132839" w14:textId="77777777" w:rsidR="000B71DA" w:rsidRDefault="0009447B" w:rsidP="0009447B">
      <w:pPr>
        <w:pStyle w:val="3-BodyText"/>
        <w:numPr>
          <w:ilvl w:val="1"/>
          <w:numId w:val="2"/>
        </w:numPr>
      </w:pPr>
      <w:r w:rsidRPr="00BD5D08">
        <w:t xml:space="preserve">The submission requested listing </w:t>
      </w:r>
      <w:bookmarkStart w:id="22" w:name="_Hlk84407967"/>
      <w:proofErr w:type="spellStart"/>
      <w:r w:rsidRPr="0009447B">
        <w:t>Ruxience</w:t>
      </w:r>
      <w:bookmarkEnd w:id="22"/>
      <w:proofErr w:type="spellEnd"/>
      <w:r w:rsidRPr="00BD5D08">
        <w:t xml:space="preserve"> on a cost-minimisation basis to </w:t>
      </w:r>
      <w:bookmarkStart w:id="23" w:name="_Hlk84408254"/>
      <w:proofErr w:type="spellStart"/>
      <w:r w:rsidRPr="0009447B">
        <w:t>Mabthera</w:t>
      </w:r>
      <w:bookmarkEnd w:id="23"/>
      <w:proofErr w:type="spellEnd"/>
      <w:r w:rsidRPr="0009447B">
        <w:t xml:space="preserve"> </w:t>
      </w:r>
      <w:r w:rsidRPr="00BD5D08">
        <w:t xml:space="preserve">at a </w:t>
      </w:r>
      <w:bookmarkStart w:id="24" w:name="_Hlk86824373"/>
      <w:r w:rsidRPr="00BD5D08">
        <w:t>1:1</w:t>
      </w:r>
      <w:r w:rsidR="009D67C2">
        <w:t xml:space="preserve"> </w:t>
      </w:r>
      <w:r w:rsidRPr="00BD5D08">
        <w:t xml:space="preserve">unit equivalence </w:t>
      </w:r>
      <w:bookmarkEnd w:id="24"/>
      <w:r w:rsidRPr="00BD5D08">
        <w:t xml:space="preserve">for </w:t>
      </w:r>
      <w:proofErr w:type="spellStart"/>
      <w:r w:rsidRPr="0009447B">
        <w:t>Ruxience</w:t>
      </w:r>
      <w:proofErr w:type="spellEnd"/>
      <w:r w:rsidRPr="00BD5D08">
        <w:t xml:space="preserve"> to </w:t>
      </w:r>
      <w:proofErr w:type="spellStart"/>
      <w:r w:rsidRPr="0009447B">
        <w:t>Mabthera</w:t>
      </w:r>
      <w:proofErr w:type="spellEnd"/>
      <w:r w:rsidRPr="00BD5D08">
        <w:t xml:space="preserve">. The submission </w:t>
      </w:r>
      <w:r w:rsidR="00564544" w:rsidRPr="00BD5D08">
        <w:t>consider</w:t>
      </w:r>
      <w:r w:rsidR="00564544">
        <w:t>ed</w:t>
      </w:r>
      <w:r w:rsidRPr="00BD5D08">
        <w:t xml:space="preserve"> </w:t>
      </w:r>
      <w:proofErr w:type="spellStart"/>
      <w:r w:rsidRPr="0009447B">
        <w:t>Ruxience</w:t>
      </w:r>
      <w:proofErr w:type="spellEnd"/>
      <w:r w:rsidRPr="00BD5D08">
        <w:t xml:space="preserve"> is expected to substitute directly </w:t>
      </w:r>
      <w:r w:rsidR="00613E22">
        <w:t xml:space="preserve">with </w:t>
      </w:r>
      <w:proofErr w:type="spellStart"/>
      <w:r w:rsidR="00613E22">
        <w:t>Mabthera</w:t>
      </w:r>
      <w:proofErr w:type="spellEnd"/>
      <w:r w:rsidRPr="0009447B">
        <w:t xml:space="preserve"> 100 mg </w:t>
      </w:r>
      <w:r w:rsidR="00613E22">
        <w:t xml:space="preserve">vial </w:t>
      </w:r>
      <w:r w:rsidRPr="0009447B">
        <w:t>and 500</w:t>
      </w:r>
      <w:r w:rsidR="00613E22">
        <w:t> </w:t>
      </w:r>
      <w:r w:rsidRPr="0009447B">
        <w:t>mg vial</w:t>
      </w:r>
      <w:r w:rsidRPr="00BD5D08">
        <w:t>.</w:t>
      </w:r>
      <w:r w:rsidR="000B71DA">
        <w:t xml:space="preserve"> The submission also considered </w:t>
      </w:r>
      <w:proofErr w:type="spellStart"/>
      <w:r w:rsidR="000B71DA" w:rsidRPr="000B71DA">
        <w:t>Ruxience</w:t>
      </w:r>
      <w:proofErr w:type="spellEnd"/>
      <w:r w:rsidR="000B71DA" w:rsidRPr="000B71DA">
        <w:t xml:space="preserve"> will directly replace </w:t>
      </w:r>
      <w:proofErr w:type="spellStart"/>
      <w:r w:rsidR="000B71DA" w:rsidRPr="000B71DA">
        <w:t>Riximyo</w:t>
      </w:r>
      <w:proofErr w:type="spellEnd"/>
      <w:r w:rsidR="000B71DA" w:rsidRPr="000B71DA">
        <w:t xml:space="preserve"> and </w:t>
      </w:r>
      <w:proofErr w:type="spellStart"/>
      <w:r w:rsidR="000B71DA" w:rsidRPr="000B71DA">
        <w:t>Truxima</w:t>
      </w:r>
      <w:proofErr w:type="spellEnd"/>
      <w:r w:rsidR="000B71DA" w:rsidRPr="000B71DA">
        <w:t xml:space="preserve"> on the PBS and w</w:t>
      </w:r>
      <w:r w:rsidR="000B71DA">
        <w:t>ould</w:t>
      </w:r>
      <w:r w:rsidR="000B71DA" w:rsidRPr="000B71DA">
        <w:t xml:space="preserve"> not change the overall use of rituximab on the PBS</w:t>
      </w:r>
      <w:r w:rsidR="003966CA">
        <w:t>.</w:t>
      </w:r>
    </w:p>
    <w:p w14:paraId="71FAFB74" w14:textId="77777777" w:rsidR="0009447B" w:rsidRDefault="000B71DA" w:rsidP="0009447B">
      <w:pPr>
        <w:pStyle w:val="3-BodyText"/>
        <w:numPr>
          <w:ilvl w:val="1"/>
          <w:numId w:val="2"/>
        </w:numPr>
      </w:pPr>
      <w:r>
        <w:lastRenderedPageBreak/>
        <w:t xml:space="preserve">The submission stated </w:t>
      </w:r>
      <w:r w:rsidRPr="000B71DA">
        <w:t xml:space="preserve">there </w:t>
      </w:r>
      <w:r>
        <w:t xml:space="preserve">would be </w:t>
      </w:r>
      <w:r w:rsidRPr="000B71DA">
        <w:t>no change in the utilisation of other pharmaceuticals, medical devices or other related products or services that would already be used in conjunction with rituximab.</w:t>
      </w:r>
    </w:p>
    <w:p w14:paraId="448D8ECC" w14:textId="77777777" w:rsidR="00277B7B" w:rsidRPr="008D467F" w:rsidRDefault="000B71DA" w:rsidP="00F3124E">
      <w:pPr>
        <w:pStyle w:val="3-BodyText"/>
        <w:numPr>
          <w:ilvl w:val="1"/>
          <w:numId w:val="2"/>
        </w:numPr>
        <w:jc w:val="left"/>
        <w:rPr>
          <w:b/>
          <w:iCs/>
        </w:rPr>
      </w:pPr>
      <w:r w:rsidRPr="000B71DA">
        <w:t xml:space="preserve">The proposed approved ex-manufacturer price (AEMP) for </w:t>
      </w:r>
      <w:proofErr w:type="spellStart"/>
      <w:r w:rsidRPr="0009447B">
        <w:t>Ruxience</w:t>
      </w:r>
      <w:proofErr w:type="spellEnd"/>
      <w:r w:rsidRPr="000B71DA">
        <w:t xml:space="preserve"> </w:t>
      </w:r>
      <w:r w:rsidR="003966CA">
        <w:t xml:space="preserve">is </w:t>
      </w:r>
      <w:r w:rsidR="00A6405B">
        <w:t xml:space="preserve">the same </w:t>
      </w:r>
      <w:r w:rsidR="00A6405B" w:rsidRPr="007C1A53">
        <w:t xml:space="preserve">as the AEMP of </w:t>
      </w:r>
      <w:proofErr w:type="spellStart"/>
      <w:r w:rsidR="00A6405B" w:rsidRPr="00472CFD">
        <w:t>Truxima</w:t>
      </w:r>
      <w:proofErr w:type="spellEnd"/>
      <w:r w:rsidR="00A6405B" w:rsidRPr="00472CFD">
        <w:t xml:space="preserve"> and </w:t>
      </w:r>
      <w:proofErr w:type="spellStart"/>
      <w:r w:rsidR="00A6405B" w:rsidRPr="00472CFD">
        <w:t>Riximyo</w:t>
      </w:r>
      <w:proofErr w:type="spellEnd"/>
      <w:r w:rsidR="00A6405B" w:rsidRPr="007C1A53">
        <w:t xml:space="preserve"> listed in the PBS in </w:t>
      </w:r>
      <w:r w:rsidR="00A6405B">
        <w:t xml:space="preserve">August </w:t>
      </w:r>
      <w:r w:rsidR="00A6405B" w:rsidRPr="007C1A53">
        <w:t>2021.</w:t>
      </w:r>
      <w:r w:rsidR="0075428A" w:rsidRPr="007C1A53">
        <w:t xml:space="preserve"> </w:t>
      </w:r>
      <w:r w:rsidR="00472CFD" w:rsidRPr="008D467F">
        <w:rPr>
          <w:iCs/>
        </w:rPr>
        <w:t>The submission presented no economic or financial analysis.</w:t>
      </w:r>
    </w:p>
    <w:p w14:paraId="05ABF31E" w14:textId="77777777" w:rsidR="000C36F5" w:rsidRPr="00AD404D" w:rsidRDefault="000C36F5" w:rsidP="000C36F5">
      <w:pPr>
        <w:pStyle w:val="3Bodytext"/>
        <w:numPr>
          <w:ilvl w:val="0"/>
          <w:numId w:val="0"/>
        </w:numPr>
        <w:ind w:left="720"/>
        <w:rPr>
          <w:rFonts w:cstheme="minorHAnsi"/>
          <w:i/>
          <w:iCs/>
          <w:lang w:eastAsia="en-US"/>
        </w:rPr>
      </w:pPr>
      <w:r w:rsidRPr="000C36F5">
        <w:rPr>
          <w:rFonts w:cstheme="minorHAnsi"/>
          <w:i/>
          <w:iCs/>
          <w:lang w:eastAsia="en-US"/>
        </w:rPr>
        <w:t>For more detail on PBAC’s view, see section 6 PBAC outcome.</w:t>
      </w:r>
    </w:p>
    <w:p w14:paraId="309A728F" w14:textId="77777777" w:rsidR="00FD77A3" w:rsidRPr="00A033A3" w:rsidRDefault="00FD77A3" w:rsidP="00FD77A3">
      <w:pPr>
        <w:pStyle w:val="2-SectionHeading"/>
      </w:pPr>
      <w:r w:rsidRPr="00A033A3">
        <w:rPr>
          <w:rStyle w:val="1MainTitleChar"/>
          <w:rFonts w:cs="Arial"/>
          <w:b/>
          <w:spacing w:val="0"/>
          <w:kern w:val="0"/>
          <w:sz w:val="32"/>
          <w:szCs w:val="32"/>
        </w:rPr>
        <w:t>PBAC Outc</w:t>
      </w:r>
      <w:r w:rsidRPr="00A033A3">
        <w:t>ome</w:t>
      </w:r>
    </w:p>
    <w:p w14:paraId="30299551" w14:textId="77777777" w:rsidR="00FD77A3" w:rsidRPr="00E1430D" w:rsidRDefault="00FD77A3" w:rsidP="00786DEE">
      <w:pPr>
        <w:pStyle w:val="3Bodytext"/>
        <w:rPr>
          <w:rFonts w:eastAsia="Calibri"/>
          <w:lang w:eastAsia="en-US"/>
        </w:rPr>
      </w:pPr>
      <w:bookmarkStart w:id="25" w:name="_Hlk86756600"/>
      <w:r w:rsidRPr="00FD77A3">
        <w:rPr>
          <w:bCs/>
        </w:rPr>
        <w:t xml:space="preserve">The PBAC recommended the listing of </w:t>
      </w:r>
      <w:r w:rsidRPr="00FD77A3">
        <w:rPr>
          <w:rFonts w:cstheme="minorHAnsi"/>
          <w:szCs w:val="24"/>
        </w:rPr>
        <w:t>a new brand of biosimilar medicine rituximab (</w:t>
      </w:r>
      <w:proofErr w:type="spellStart"/>
      <w:r w:rsidRPr="00FD77A3">
        <w:rPr>
          <w:rFonts w:cstheme="minorHAnsi"/>
          <w:szCs w:val="24"/>
        </w:rPr>
        <w:t>Ruxience</w:t>
      </w:r>
      <w:proofErr w:type="spellEnd"/>
      <w:r w:rsidRPr="00FD77A3">
        <w:rPr>
          <w:rFonts w:cstheme="minorHAnsi"/>
          <w:szCs w:val="24"/>
        </w:rPr>
        <w:t>) in the form of solution for I.V. infusion 100 mg in 10</w:t>
      </w:r>
      <w:r>
        <w:t> </w:t>
      </w:r>
      <w:r w:rsidRPr="00FD77A3">
        <w:rPr>
          <w:rFonts w:cstheme="minorHAnsi"/>
          <w:szCs w:val="24"/>
        </w:rPr>
        <w:t>mL and 500 mg in 50</w:t>
      </w:r>
      <w:r w:rsidR="00E47FC8">
        <w:rPr>
          <w:rFonts w:cstheme="minorHAnsi"/>
          <w:szCs w:val="24"/>
        </w:rPr>
        <w:t> </w:t>
      </w:r>
      <w:r w:rsidRPr="00FD77A3">
        <w:rPr>
          <w:rFonts w:cstheme="minorHAnsi"/>
          <w:szCs w:val="24"/>
        </w:rPr>
        <w:t xml:space="preserve">mL </w:t>
      </w:r>
      <w:r w:rsidR="00E47FC8">
        <w:rPr>
          <w:rFonts w:cstheme="minorHAnsi"/>
          <w:szCs w:val="24"/>
        </w:rPr>
        <w:t>under</w:t>
      </w:r>
      <w:r w:rsidR="00E47FC8" w:rsidRPr="00FD77A3">
        <w:rPr>
          <w:rFonts w:cstheme="minorHAnsi"/>
          <w:szCs w:val="24"/>
        </w:rPr>
        <w:t xml:space="preserve"> </w:t>
      </w:r>
      <w:r w:rsidRPr="00FD77A3">
        <w:rPr>
          <w:rFonts w:cstheme="minorHAnsi"/>
          <w:szCs w:val="24"/>
        </w:rPr>
        <w:t xml:space="preserve">the same conditions </w:t>
      </w:r>
      <w:r w:rsidR="00E47FC8">
        <w:rPr>
          <w:rFonts w:cstheme="minorHAnsi"/>
          <w:szCs w:val="24"/>
        </w:rPr>
        <w:t xml:space="preserve">as </w:t>
      </w:r>
      <w:r w:rsidR="009616AE">
        <w:rPr>
          <w:rFonts w:cstheme="minorHAnsi"/>
          <w:szCs w:val="24"/>
        </w:rPr>
        <w:t xml:space="preserve">the currently listed </w:t>
      </w:r>
      <w:r w:rsidRPr="00FD77A3">
        <w:rPr>
          <w:rFonts w:cstheme="minorHAnsi"/>
          <w:szCs w:val="24"/>
        </w:rPr>
        <w:t>biosimilar brands (</w:t>
      </w:r>
      <w:bookmarkStart w:id="26" w:name="_Hlk86823876"/>
      <w:proofErr w:type="spellStart"/>
      <w:r w:rsidRPr="00FD77A3">
        <w:rPr>
          <w:rFonts w:cstheme="minorHAnsi"/>
          <w:szCs w:val="24"/>
        </w:rPr>
        <w:t>Riximyo</w:t>
      </w:r>
      <w:proofErr w:type="spellEnd"/>
      <w:r w:rsidRPr="00FD77A3">
        <w:rPr>
          <w:rFonts w:cstheme="minorHAnsi"/>
          <w:szCs w:val="24"/>
        </w:rPr>
        <w:t xml:space="preserve"> and </w:t>
      </w:r>
      <w:proofErr w:type="spellStart"/>
      <w:r w:rsidRPr="00FD77A3">
        <w:rPr>
          <w:rFonts w:cstheme="minorHAnsi"/>
          <w:szCs w:val="24"/>
        </w:rPr>
        <w:t>Truxima</w:t>
      </w:r>
      <w:bookmarkEnd w:id="26"/>
      <w:proofErr w:type="spellEnd"/>
      <w:r w:rsidRPr="00FD77A3">
        <w:rPr>
          <w:rFonts w:cstheme="minorHAnsi"/>
          <w:szCs w:val="24"/>
        </w:rPr>
        <w:t xml:space="preserve">). </w:t>
      </w:r>
      <w:r w:rsidRPr="00527EC3">
        <w:t xml:space="preserve">The PBAC’s recommendation for listing was based on, among other matters, its assessment that the cost-effectiveness of </w:t>
      </w:r>
      <w:proofErr w:type="spellStart"/>
      <w:r w:rsidRPr="00FD77A3">
        <w:rPr>
          <w:rFonts w:cstheme="minorHAnsi"/>
          <w:szCs w:val="24"/>
        </w:rPr>
        <w:t>Ruxience</w:t>
      </w:r>
      <w:proofErr w:type="spellEnd"/>
      <w:r w:rsidRPr="00527EC3">
        <w:t xml:space="preserve"> would be acceptable if it were cost-minimised to </w:t>
      </w:r>
      <w:proofErr w:type="spellStart"/>
      <w:r w:rsidRPr="00FD77A3">
        <w:rPr>
          <w:rFonts w:cstheme="minorHAnsi"/>
          <w:szCs w:val="24"/>
        </w:rPr>
        <w:t>Riximyo</w:t>
      </w:r>
      <w:proofErr w:type="spellEnd"/>
      <w:r w:rsidRPr="00FD77A3">
        <w:rPr>
          <w:rFonts w:cstheme="minorHAnsi"/>
          <w:szCs w:val="24"/>
        </w:rPr>
        <w:t xml:space="preserve"> and </w:t>
      </w:r>
      <w:proofErr w:type="spellStart"/>
      <w:r w:rsidRPr="00FD77A3">
        <w:rPr>
          <w:rFonts w:cstheme="minorHAnsi"/>
          <w:szCs w:val="24"/>
        </w:rPr>
        <w:t>Truxima</w:t>
      </w:r>
      <w:proofErr w:type="spellEnd"/>
      <w:r w:rsidR="006E3AB5">
        <w:rPr>
          <w:rFonts w:cstheme="minorHAnsi"/>
          <w:szCs w:val="24"/>
        </w:rPr>
        <w:t xml:space="preserve"> for the following </w:t>
      </w:r>
      <w:r w:rsidR="00E1430D">
        <w:rPr>
          <w:rFonts w:cstheme="minorHAnsi"/>
          <w:szCs w:val="24"/>
        </w:rPr>
        <w:t>indications</w:t>
      </w:r>
      <w:r w:rsidR="006E3AB5">
        <w:rPr>
          <w:rFonts w:cstheme="minorHAnsi"/>
          <w:szCs w:val="24"/>
        </w:rPr>
        <w:t>:</w:t>
      </w:r>
    </w:p>
    <w:p w14:paraId="46521533" w14:textId="77777777" w:rsidR="006E3AB5" w:rsidRPr="00AB31DE" w:rsidRDefault="006E3AB5" w:rsidP="006E3AB5">
      <w:pPr>
        <w:pStyle w:val="ListParagraph"/>
        <w:numPr>
          <w:ilvl w:val="0"/>
          <w:numId w:val="29"/>
        </w:numPr>
        <w:ind w:left="1168" w:hanging="448"/>
        <w:rPr>
          <w:rFonts w:eastAsiaTheme="minorHAnsi" w:cstheme="minorBidi"/>
          <w:snapToGrid/>
          <w:szCs w:val="22"/>
        </w:rPr>
      </w:pPr>
      <w:bookmarkStart w:id="27" w:name="_Hlk88049246"/>
      <w:r w:rsidRPr="00AB31DE">
        <w:rPr>
          <w:rFonts w:eastAsiaTheme="minorHAnsi" w:cstheme="minorBidi"/>
          <w:snapToGrid/>
          <w:szCs w:val="22"/>
        </w:rPr>
        <w:t>Non-Hodgkin’s lymphoma (NHL) –</w:t>
      </w:r>
      <w:r>
        <w:rPr>
          <w:rFonts w:eastAsiaTheme="minorHAnsi" w:cstheme="minorBidi"/>
          <w:snapToGrid/>
          <w:szCs w:val="22"/>
        </w:rPr>
        <w:t xml:space="preserve"> </w:t>
      </w:r>
      <w:r w:rsidRPr="00AB31DE">
        <w:rPr>
          <w:rFonts w:eastAsiaTheme="minorHAnsi" w:cstheme="minorBidi"/>
          <w:snapToGrid/>
          <w:szCs w:val="22"/>
        </w:rPr>
        <w:t>EFC</w:t>
      </w:r>
    </w:p>
    <w:p w14:paraId="56041806" w14:textId="77777777" w:rsidR="006E3AB5" w:rsidRPr="00AB31DE" w:rsidRDefault="006E3AB5" w:rsidP="006E3AB5">
      <w:pPr>
        <w:pStyle w:val="ListParagraph"/>
        <w:numPr>
          <w:ilvl w:val="0"/>
          <w:numId w:val="29"/>
        </w:numPr>
        <w:ind w:left="1168" w:hanging="448"/>
        <w:rPr>
          <w:rFonts w:eastAsiaTheme="minorHAnsi" w:cstheme="minorBidi"/>
          <w:snapToGrid/>
          <w:szCs w:val="22"/>
        </w:rPr>
      </w:pPr>
      <w:r w:rsidRPr="00AB31DE">
        <w:rPr>
          <w:rFonts w:eastAsiaTheme="minorHAnsi" w:cstheme="minorBidi"/>
          <w:snapToGrid/>
          <w:szCs w:val="22"/>
        </w:rPr>
        <w:t>Chronic lymphocytic leukaemia (CLL) –</w:t>
      </w:r>
      <w:r>
        <w:rPr>
          <w:rFonts w:eastAsiaTheme="minorHAnsi" w:cstheme="minorBidi"/>
          <w:snapToGrid/>
          <w:szCs w:val="22"/>
        </w:rPr>
        <w:t xml:space="preserve"> </w:t>
      </w:r>
      <w:r w:rsidRPr="00AB31DE">
        <w:rPr>
          <w:rFonts w:eastAsiaTheme="minorHAnsi" w:cstheme="minorBidi"/>
          <w:snapToGrid/>
          <w:szCs w:val="22"/>
        </w:rPr>
        <w:t>EFC</w:t>
      </w:r>
    </w:p>
    <w:p w14:paraId="761A777E" w14:textId="77777777" w:rsidR="006E3AB5" w:rsidRPr="00AB31DE" w:rsidRDefault="006E3AB5" w:rsidP="006E3AB5">
      <w:pPr>
        <w:pStyle w:val="ListParagraph"/>
        <w:numPr>
          <w:ilvl w:val="0"/>
          <w:numId w:val="29"/>
        </w:numPr>
        <w:ind w:left="1168" w:hanging="448"/>
        <w:rPr>
          <w:rFonts w:eastAsiaTheme="minorHAnsi" w:cstheme="minorBidi"/>
          <w:snapToGrid/>
          <w:szCs w:val="22"/>
        </w:rPr>
      </w:pPr>
      <w:r w:rsidRPr="00AB31DE">
        <w:rPr>
          <w:rFonts w:eastAsiaTheme="minorHAnsi" w:cstheme="minorBidi"/>
          <w:snapToGrid/>
          <w:szCs w:val="22"/>
        </w:rPr>
        <w:t>Rheumatoid arthritis (RA) –</w:t>
      </w:r>
      <w:r>
        <w:rPr>
          <w:rFonts w:eastAsiaTheme="minorHAnsi" w:cstheme="minorBidi"/>
          <w:snapToGrid/>
          <w:szCs w:val="22"/>
        </w:rPr>
        <w:t xml:space="preserve"> </w:t>
      </w:r>
      <w:r w:rsidRPr="00AB31DE">
        <w:rPr>
          <w:rFonts w:eastAsiaTheme="minorHAnsi" w:cstheme="minorBidi"/>
          <w:snapToGrid/>
          <w:szCs w:val="22"/>
        </w:rPr>
        <w:t>HSD</w:t>
      </w:r>
    </w:p>
    <w:p w14:paraId="70670A64" w14:textId="77777777" w:rsidR="006E3AB5" w:rsidRPr="00AB31DE" w:rsidRDefault="006E3AB5" w:rsidP="006E3AB5">
      <w:pPr>
        <w:pStyle w:val="ListParagraph"/>
        <w:numPr>
          <w:ilvl w:val="0"/>
          <w:numId w:val="29"/>
        </w:numPr>
        <w:ind w:left="1168" w:hanging="448"/>
        <w:rPr>
          <w:rFonts w:eastAsiaTheme="minorHAnsi" w:cstheme="minorBidi"/>
          <w:snapToGrid/>
          <w:szCs w:val="22"/>
        </w:rPr>
      </w:pPr>
      <w:r w:rsidRPr="00AB31DE">
        <w:rPr>
          <w:rFonts w:eastAsiaTheme="minorHAnsi" w:cstheme="minorBidi"/>
          <w:snapToGrid/>
          <w:szCs w:val="22"/>
        </w:rPr>
        <w:t>Granulomatosis with polyangiitis (Wegener’s granulomatosis) (GPA) –</w:t>
      </w:r>
      <w:r>
        <w:rPr>
          <w:rFonts w:eastAsiaTheme="minorHAnsi" w:cstheme="minorBidi"/>
          <w:snapToGrid/>
          <w:szCs w:val="22"/>
        </w:rPr>
        <w:t xml:space="preserve"> </w:t>
      </w:r>
      <w:r w:rsidRPr="00AB31DE">
        <w:rPr>
          <w:rFonts w:eastAsiaTheme="minorHAnsi" w:cstheme="minorBidi"/>
          <w:snapToGrid/>
          <w:szCs w:val="22"/>
        </w:rPr>
        <w:t>HSD</w:t>
      </w:r>
    </w:p>
    <w:p w14:paraId="3C0694A4" w14:textId="1F958D79" w:rsidR="006E3AB5" w:rsidRDefault="006E3AB5" w:rsidP="006E3AB5">
      <w:pPr>
        <w:pStyle w:val="ListParagraph"/>
        <w:numPr>
          <w:ilvl w:val="0"/>
          <w:numId w:val="29"/>
        </w:numPr>
        <w:ind w:left="1168" w:hanging="448"/>
        <w:rPr>
          <w:rFonts w:eastAsiaTheme="minorHAnsi" w:cstheme="minorBidi"/>
          <w:snapToGrid/>
          <w:szCs w:val="22"/>
        </w:rPr>
      </w:pPr>
      <w:r w:rsidRPr="00AB31DE">
        <w:rPr>
          <w:rFonts w:eastAsiaTheme="minorHAnsi" w:cstheme="minorBidi"/>
          <w:snapToGrid/>
          <w:szCs w:val="22"/>
        </w:rPr>
        <w:t>Microscopic polyangiitis (MPA) –</w:t>
      </w:r>
      <w:r>
        <w:rPr>
          <w:rFonts w:eastAsiaTheme="minorHAnsi" w:cstheme="minorBidi"/>
          <w:snapToGrid/>
          <w:szCs w:val="22"/>
        </w:rPr>
        <w:t xml:space="preserve"> </w:t>
      </w:r>
      <w:r w:rsidRPr="00AB31DE">
        <w:rPr>
          <w:rFonts w:eastAsiaTheme="minorHAnsi" w:cstheme="minorBidi"/>
          <w:snapToGrid/>
          <w:szCs w:val="22"/>
        </w:rPr>
        <w:t>HSD</w:t>
      </w:r>
    </w:p>
    <w:p w14:paraId="47612E94" w14:textId="16EC0013" w:rsidR="00BA6E93" w:rsidRPr="00BA6E93" w:rsidRDefault="00BA6E93" w:rsidP="00BA6E93">
      <w:pPr>
        <w:pStyle w:val="ListParagraph"/>
        <w:numPr>
          <w:ilvl w:val="0"/>
          <w:numId w:val="29"/>
        </w:numPr>
        <w:ind w:left="1168" w:hanging="448"/>
        <w:rPr>
          <w:rFonts w:eastAsiaTheme="minorHAnsi" w:cstheme="minorBidi"/>
          <w:snapToGrid/>
          <w:szCs w:val="22"/>
        </w:rPr>
      </w:pPr>
      <w:r w:rsidRPr="0061021F">
        <w:rPr>
          <w:rFonts w:eastAsiaTheme="minorHAnsi" w:cstheme="minorBidi"/>
          <w:snapToGrid/>
          <w:szCs w:val="22"/>
        </w:rPr>
        <w:t>Previously untreated or Relapsed/refractory CD20 positive acute lymphoblastic leukaemia</w:t>
      </w:r>
      <w:r>
        <w:rPr>
          <w:rFonts w:eastAsiaTheme="minorHAnsi" w:cstheme="minorBidi"/>
          <w:snapToGrid/>
          <w:szCs w:val="22"/>
        </w:rPr>
        <w:t xml:space="preserve"> – EFC.</w:t>
      </w:r>
    </w:p>
    <w:bookmarkEnd w:id="27"/>
    <w:p w14:paraId="63812A39" w14:textId="77777777" w:rsidR="00FD77A3" w:rsidRPr="00CD7329" w:rsidRDefault="00FD77A3" w:rsidP="005E2C11">
      <w:pPr>
        <w:pStyle w:val="3Bodytext"/>
        <w:rPr>
          <w:rFonts w:cs="Arial"/>
          <w:bCs/>
          <w:snapToGrid w:val="0"/>
        </w:rPr>
      </w:pPr>
      <w:r w:rsidRPr="00CD7329">
        <w:rPr>
          <w:rFonts w:cs="Arial"/>
          <w:bCs/>
          <w:snapToGrid w:val="0"/>
        </w:rPr>
        <w:t>The PBAC advised the equi-effective doses are</w:t>
      </w:r>
      <w:r w:rsidR="009616AE">
        <w:rPr>
          <w:rFonts w:cs="Arial"/>
          <w:bCs/>
          <w:snapToGrid w:val="0"/>
        </w:rPr>
        <w:t xml:space="preserve"> a 1:1 ratio of </w:t>
      </w:r>
      <w:proofErr w:type="spellStart"/>
      <w:r w:rsidR="009616AE">
        <w:rPr>
          <w:rFonts w:cs="Arial"/>
          <w:bCs/>
          <w:snapToGrid w:val="0"/>
        </w:rPr>
        <w:t>Ruxience</w:t>
      </w:r>
      <w:proofErr w:type="spellEnd"/>
      <w:r w:rsidR="009616AE">
        <w:rPr>
          <w:rFonts w:cs="Arial"/>
          <w:bCs/>
          <w:snapToGrid w:val="0"/>
        </w:rPr>
        <w:t xml:space="preserve"> with the relevant strengths of </w:t>
      </w:r>
      <w:proofErr w:type="spellStart"/>
      <w:r w:rsidR="009616AE">
        <w:rPr>
          <w:rFonts w:cs="Arial"/>
          <w:bCs/>
          <w:snapToGrid w:val="0"/>
        </w:rPr>
        <w:t>Riximyo</w:t>
      </w:r>
      <w:proofErr w:type="spellEnd"/>
      <w:r w:rsidR="009616AE">
        <w:rPr>
          <w:rFonts w:cs="Arial"/>
          <w:bCs/>
          <w:snapToGrid w:val="0"/>
        </w:rPr>
        <w:t xml:space="preserve"> and </w:t>
      </w:r>
      <w:proofErr w:type="spellStart"/>
      <w:r w:rsidR="009616AE">
        <w:rPr>
          <w:rFonts w:cs="Arial"/>
          <w:bCs/>
          <w:snapToGrid w:val="0"/>
        </w:rPr>
        <w:t>Truxima</w:t>
      </w:r>
      <w:proofErr w:type="spellEnd"/>
      <w:r w:rsidRPr="00CD7329">
        <w:rPr>
          <w:rFonts w:cs="Arial"/>
          <w:bCs/>
          <w:iCs/>
          <w:snapToGrid w:val="0"/>
        </w:rPr>
        <w:t>.</w:t>
      </w:r>
    </w:p>
    <w:p w14:paraId="6D3DB3F5" w14:textId="77777777" w:rsidR="00DC148B" w:rsidRPr="007C3E69" w:rsidRDefault="00DC148B" w:rsidP="00DC148B">
      <w:pPr>
        <w:pStyle w:val="3Bodytext"/>
        <w:rPr>
          <w:iCs/>
        </w:rPr>
      </w:pPr>
      <w:bookmarkStart w:id="28" w:name="_Hlk86756653"/>
      <w:r>
        <w:rPr>
          <w:iCs/>
        </w:rPr>
        <w:t>T</w:t>
      </w:r>
      <w:r w:rsidRPr="007C3E69">
        <w:rPr>
          <w:iCs/>
        </w:rPr>
        <w:t xml:space="preserve">he PBAC advised </w:t>
      </w:r>
      <w:r w:rsidR="009616AE">
        <w:rPr>
          <w:iCs/>
        </w:rPr>
        <w:t xml:space="preserve">that the listing of </w:t>
      </w:r>
      <w:proofErr w:type="spellStart"/>
      <w:r w:rsidR="009616AE">
        <w:rPr>
          <w:iCs/>
        </w:rPr>
        <w:t>Ruxience</w:t>
      </w:r>
      <w:proofErr w:type="spellEnd"/>
      <w:r w:rsidR="009616AE">
        <w:rPr>
          <w:iCs/>
        </w:rPr>
        <w:t xml:space="preserve"> should be consistent with the other biosimilar brands</w:t>
      </w:r>
      <w:r w:rsidR="00C4614B">
        <w:rPr>
          <w:iCs/>
        </w:rPr>
        <w:t xml:space="preserve"> of rituximab</w:t>
      </w:r>
      <w:r w:rsidR="009616AE">
        <w:rPr>
          <w:iCs/>
        </w:rPr>
        <w:t>, inclusive of the changes it advised</w:t>
      </w:r>
      <w:r w:rsidR="00C4614B">
        <w:rPr>
          <w:iCs/>
        </w:rPr>
        <w:t xml:space="preserve"> for these listings</w:t>
      </w:r>
      <w:r w:rsidR="009616AE">
        <w:rPr>
          <w:iCs/>
        </w:rPr>
        <w:t xml:space="preserve"> at the September 2021 PBAC Intracycle meeting</w:t>
      </w:r>
      <w:r w:rsidR="00C4614B">
        <w:rPr>
          <w:iCs/>
        </w:rPr>
        <w:t xml:space="preserve">. These changes </w:t>
      </w:r>
      <w:r w:rsidR="009616AE">
        <w:rPr>
          <w:iCs/>
        </w:rPr>
        <w:t xml:space="preserve">were to </w:t>
      </w:r>
      <w:r w:rsidR="009616AE" w:rsidRPr="007C3E69">
        <w:rPr>
          <w:iCs/>
        </w:rPr>
        <w:t>remov</w:t>
      </w:r>
      <w:r w:rsidR="009616AE">
        <w:rPr>
          <w:iCs/>
        </w:rPr>
        <w:t>e</w:t>
      </w:r>
      <w:r w:rsidR="009616AE" w:rsidRPr="007C3E69">
        <w:rPr>
          <w:iCs/>
        </w:rPr>
        <w:t xml:space="preserve"> the existing administrative notes related to the biosimilar uptake drivers for the remaining PBS listed biosimilar brands of rituximab</w:t>
      </w:r>
      <w:r w:rsidR="009616AE">
        <w:rPr>
          <w:iCs/>
        </w:rPr>
        <w:t xml:space="preserve"> and </w:t>
      </w:r>
      <w:r w:rsidR="009616AE" w:rsidRPr="007C3E69">
        <w:rPr>
          <w:iCs/>
        </w:rPr>
        <w:t xml:space="preserve">for all listed brands of rituximab </w:t>
      </w:r>
      <w:r w:rsidR="009616AE">
        <w:rPr>
          <w:iCs/>
        </w:rPr>
        <w:t xml:space="preserve">to </w:t>
      </w:r>
      <w:r w:rsidR="009616AE" w:rsidRPr="007C3E69">
        <w:rPr>
          <w:iCs/>
        </w:rPr>
        <w:t>be changed to Unrestricted Benefit listings</w:t>
      </w:r>
    </w:p>
    <w:p w14:paraId="732DA361" w14:textId="77777777" w:rsidR="006E53FB" w:rsidRPr="00DC148B" w:rsidRDefault="006E53FB" w:rsidP="00FF0D68">
      <w:pPr>
        <w:pStyle w:val="3Bodytext"/>
        <w:widowControl w:val="0"/>
        <w:rPr>
          <w:rFonts w:eastAsia="Calibri"/>
          <w:lang w:eastAsia="en-US"/>
        </w:rPr>
      </w:pPr>
      <w:r w:rsidRPr="00DC148B">
        <w:rPr>
          <w:rFonts w:eastAsia="Calibri"/>
          <w:lang w:eastAsia="en-US"/>
        </w:rPr>
        <w:t xml:space="preserve">The PBAC advised, under </w:t>
      </w:r>
      <w:bookmarkStart w:id="29" w:name="_Hlk88126116"/>
      <w:r w:rsidRPr="00DC148B">
        <w:rPr>
          <w:rFonts w:eastAsia="Calibri"/>
          <w:lang w:eastAsia="en-US"/>
        </w:rPr>
        <w:t xml:space="preserve">Section 101(4AACD) of the Act, </w:t>
      </w:r>
      <w:bookmarkEnd w:id="29"/>
      <w:r w:rsidRPr="00DC148B">
        <w:rPr>
          <w:rFonts w:eastAsia="Calibri"/>
          <w:lang w:eastAsia="en-US"/>
        </w:rPr>
        <w:t xml:space="preserve">in the Schedule of Pharmaceutical Benefits </w:t>
      </w:r>
      <w:r w:rsidR="00C4614B">
        <w:rPr>
          <w:rFonts w:eastAsia="Calibri"/>
          <w:lang w:eastAsia="en-US"/>
        </w:rPr>
        <w:t>that</w:t>
      </w:r>
      <w:r w:rsidRPr="00DC148B">
        <w:rPr>
          <w:rFonts w:eastAsia="Calibri"/>
          <w:lang w:eastAsia="en-US"/>
        </w:rPr>
        <w:t xml:space="preserve"> the </w:t>
      </w:r>
      <w:bookmarkStart w:id="30" w:name="_Hlk88048408"/>
      <w:r w:rsidRPr="00DC148B">
        <w:rPr>
          <w:rFonts w:eastAsia="Calibri"/>
          <w:lang w:eastAsia="en-US"/>
        </w:rPr>
        <w:t xml:space="preserve">same form and strength </w:t>
      </w:r>
      <w:bookmarkEnd w:id="30"/>
      <w:r w:rsidRPr="00DC148B">
        <w:rPr>
          <w:rFonts w:eastAsia="Calibri"/>
          <w:lang w:eastAsia="en-US"/>
        </w:rPr>
        <w:t xml:space="preserve">of </w:t>
      </w:r>
      <w:bookmarkStart w:id="31" w:name="_Hlk86825074"/>
      <w:proofErr w:type="spellStart"/>
      <w:r w:rsidR="00DC148B" w:rsidRPr="0009447B">
        <w:t>Ruxience</w:t>
      </w:r>
      <w:bookmarkEnd w:id="31"/>
      <w:proofErr w:type="spellEnd"/>
      <w:r w:rsidR="00DC148B">
        <w:t xml:space="preserve">, </w:t>
      </w:r>
      <w:bookmarkStart w:id="32" w:name="_Hlk88048108"/>
      <w:proofErr w:type="spellStart"/>
      <w:r w:rsidR="00DC148B" w:rsidRPr="00DC148B">
        <w:rPr>
          <w:rFonts w:cstheme="minorHAnsi"/>
          <w:szCs w:val="24"/>
        </w:rPr>
        <w:t>Riximyo</w:t>
      </w:r>
      <w:proofErr w:type="spellEnd"/>
      <w:r w:rsidR="00DC148B" w:rsidRPr="00DC148B">
        <w:rPr>
          <w:rFonts w:cstheme="minorHAnsi"/>
          <w:szCs w:val="24"/>
        </w:rPr>
        <w:t xml:space="preserve"> and </w:t>
      </w:r>
      <w:proofErr w:type="spellStart"/>
      <w:r w:rsidR="00DC148B" w:rsidRPr="00DC148B">
        <w:rPr>
          <w:rFonts w:cstheme="minorHAnsi"/>
          <w:szCs w:val="24"/>
        </w:rPr>
        <w:t>Truxima</w:t>
      </w:r>
      <w:proofErr w:type="spellEnd"/>
      <w:r w:rsidR="00DC148B" w:rsidRPr="00DC148B">
        <w:rPr>
          <w:rFonts w:cs="Arial"/>
          <w:bCs/>
          <w:iCs/>
          <w:snapToGrid w:val="0"/>
        </w:rPr>
        <w:t xml:space="preserve"> </w:t>
      </w:r>
      <w:bookmarkEnd w:id="32"/>
      <w:r w:rsidRPr="00DC148B">
        <w:rPr>
          <w:rFonts w:eastAsia="Calibri"/>
          <w:lang w:eastAsia="en-US"/>
        </w:rPr>
        <w:t>should be treated as equivalent (‘a’-flagged) to each other for the purpose of substitution</w:t>
      </w:r>
      <w:r w:rsidR="00F77F7E">
        <w:rPr>
          <w:rFonts w:eastAsia="Calibri"/>
          <w:lang w:eastAsia="en-US"/>
        </w:rPr>
        <w:t xml:space="preserve"> for those </w:t>
      </w:r>
      <w:r w:rsidR="00BF209E">
        <w:rPr>
          <w:rFonts w:eastAsia="Calibri"/>
          <w:lang w:eastAsia="en-US"/>
        </w:rPr>
        <w:t xml:space="preserve">pharmaceutical benefits </w:t>
      </w:r>
      <w:r w:rsidR="00F77F7E">
        <w:rPr>
          <w:rFonts w:eastAsia="Calibri"/>
          <w:lang w:eastAsia="en-US"/>
        </w:rPr>
        <w:t xml:space="preserve">listed </w:t>
      </w:r>
      <w:r w:rsidR="00BF209E">
        <w:rPr>
          <w:rFonts w:eastAsia="Calibri"/>
          <w:lang w:eastAsia="en-US"/>
        </w:rPr>
        <w:t>within</w:t>
      </w:r>
      <w:r w:rsidR="00104D55">
        <w:rPr>
          <w:rFonts w:eastAsia="Calibri"/>
          <w:lang w:eastAsia="en-US"/>
        </w:rPr>
        <w:t xml:space="preserve"> </w:t>
      </w:r>
      <w:r w:rsidR="00EC2AA6">
        <w:rPr>
          <w:rFonts w:eastAsia="Calibri"/>
          <w:lang w:eastAsia="en-US"/>
        </w:rPr>
        <w:t xml:space="preserve">the </w:t>
      </w:r>
      <w:r w:rsidR="00EC2AA6" w:rsidRPr="00EC2AA6">
        <w:rPr>
          <w:rFonts w:cstheme="minorHAnsi"/>
          <w:bCs/>
          <w:i/>
          <w:iCs/>
        </w:rPr>
        <w:t>National Health (Highly Specialised Drugs Program) Special Arrangement 2021</w:t>
      </w:r>
      <w:r w:rsidRPr="00DC148B">
        <w:rPr>
          <w:rFonts w:eastAsia="Calibri"/>
          <w:lang w:eastAsia="en-US"/>
        </w:rPr>
        <w:t>.</w:t>
      </w:r>
    </w:p>
    <w:bookmarkEnd w:id="28"/>
    <w:p w14:paraId="38E1B74D" w14:textId="77777777" w:rsidR="006E53FB" w:rsidRPr="004C6340" w:rsidRDefault="00D45BA0" w:rsidP="006E53FB">
      <w:pPr>
        <w:pStyle w:val="3Bodytext"/>
        <w:jc w:val="both"/>
        <w:rPr>
          <w:rFonts w:cs="Arial"/>
          <w:bCs/>
          <w:snapToGrid w:val="0"/>
        </w:rPr>
      </w:pPr>
      <w:r w:rsidRPr="00D45BA0">
        <w:rPr>
          <w:rFonts w:cs="Arial"/>
          <w:bCs/>
          <w:snapToGrid w:val="0"/>
        </w:rPr>
        <w:lastRenderedPageBreak/>
        <w:t>The PBAC noted the submission did not provide any estimated financial implications to the PBS.</w:t>
      </w:r>
      <w:r>
        <w:rPr>
          <w:rFonts w:cs="Arial"/>
          <w:bCs/>
          <w:snapToGrid w:val="0"/>
        </w:rPr>
        <w:t xml:space="preserve"> </w:t>
      </w:r>
      <w:r w:rsidR="006E53FB" w:rsidRPr="004C6340">
        <w:rPr>
          <w:rFonts w:cs="Arial"/>
          <w:bCs/>
          <w:snapToGrid w:val="0"/>
        </w:rPr>
        <w:t xml:space="preserve">The PBAC </w:t>
      </w:r>
      <w:r w:rsidR="00DF29F2">
        <w:rPr>
          <w:rFonts w:cs="Arial"/>
          <w:bCs/>
          <w:snapToGrid w:val="0"/>
        </w:rPr>
        <w:t>considered</w:t>
      </w:r>
      <w:r w:rsidR="00DF29F2" w:rsidRPr="004C6340">
        <w:rPr>
          <w:rFonts w:cs="Arial"/>
          <w:bCs/>
          <w:snapToGrid w:val="0"/>
        </w:rPr>
        <w:t xml:space="preserve"> </w:t>
      </w:r>
      <w:r w:rsidR="006E53FB" w:rsidRPr="004C6340">
        <w:rPr>
          <w:rFonts w:cs="Arial"/>
          <w:bCs/>
          <w:snapToGrid w:val="0"/>
        </w:rPr>
        <w:t xml:space="preserve">that </w:t>
      </w:r>
      <w:proofErr w:type="spellStart"/>
      <w:r w:rsidR="00DC148B" w:rsidRPr="0009447B">
        <w:t>Ruxience</w:t>
      </w:r>
      <w:proofErr w:type="spellEnd"/>
      <w:r w:rsidR="006E53FB" w:rsidRPr="004C6340">
        <w:rPr>
          <w:rFonts w:cs="Arial"/>
          <w:bCs/>
          <w:snapToGrid w:val="0"/>
        </w:rPr>
        <w:t xml:space="preserve"> </w:t>
      </w:r>
      <w:r w:rsidR="00DF29F2">
        <w:rPr>
          <w:rFonts w:cs="Arial"/>
          <w:bCs/>
          <w:snapToGrid w:val="0"/>
        </w:rPr>
        <w:t xml:space="preserve">would substitute for use within the existing rituximab market and consequently the listing would be nil </w:t>
      </w:r>
      <w:r w:rsidR="006E53FB" w:rsidRPr="004C6340">
        <w:rPr>
          <w:rFonts w:cs="Arial"/>
          <w:bCs/>
          <w:snapToGrid w:val="0"/>
        </w:rPr>
        <w:t>net cost to the government.</w:t>
      </w:r>
    </w:p>
    <w:p w14:paraId="4641D093" w14:textId="77777777" w:rsidR="006E53FB" w:rsidRPr="004C6340" w:rsidRDefault="006E53FB" w:rsidP="006E53FB">
      <w:pPr>
        <w:pStyle w:val="3Bodytext"/>
        <w:jc w:val="both"/>
        <w:rPr>
          <w:rFonts w:cs="Arial"/>
          <w:bCs/>
          <w:snapToGrid w:val="0"/>
        </w:rPr>
      </w:pPr>
      <w:r w:rsidRPr="00A033A3">
        <w:t xml:space="preserve">The PBAC noted that its recommendation was on a cost-minimisation basis and advised that, because </w:t>
      </w:r>
      <w:proofErr w:type="spellStart"/>
      <w:r w:rsidR="00DC148B" w:rsidRPr="0009447B">
        <w:t>Ruxience</w:t>
      </w:r>
      <w:proofErr w:type="spellEnd"/>
      <w:r w:rsidRPr="00462013">
        <w:t xml:space="preserve"> is not expected to provide a substantial and clinically relevant improvement in efficacy, or reduction of toxicity over </w:t>
      </w:r>
      <w:proofErr w:type="spellStart"/>
      <w:r w:rsidR="00DC148B" w:rsidRPr="00DC148B">
        <w:rPr>
          <w:rFonts w:cstheme="minorHAnsi"/>
          <w:szCs w:val="24"/>
        </w:rPr>
        <w:t>Riximyo</w:t>
      </w:r>
      <w:proofErr w:type="spellEnd"/>
      <w:r w:rsidR="00DC148B" w:rsidRPr="00DC148B">
        <w:rPr>
          <w:rFonts w:cstheme="minorHAnsi"/>
          <w:szCs w:val="24"/>
        </w:rPr>
        <w:t xml:space="preserve"> and </w:t>
      </w:r>
      <w:proofErr w:type="spellStart"/>
      <w:r w:rsidR="00DC148B" w:rsidRPr="00DC148B">
        <w:rPr>
          <w:rFonts w:cstheme="minorHAnsi"/>
          <w:szCs w:val="24"/>
        </w:rPr>
        <w:t>Truxima</w:t>
      </w:r>
      <w:proofErr w:type="spellEnd"/>
      <w:r w:rsidRPr="00A033A3">
        <w:t xml:space="preserve">, or not expected to address a high and urgent unmet clinical need given the presence of an alternative therapy, the criteria prescribed by the </w:t>
      </w:r>
      <w:r w:rsidRPr="00A033A3">
        <w:rPr>
          <w:i/>
        </w:rPr>
        <w:t>National Health (Pharmaceuticals and Vaccines – Cost Recovery) Regulations 2009</w:t>
      </w:r>
      <w:r w:rsidRPr="00A033A3">
        <w:t xml:space="preserve"> for Pricing </w:t>
      </w:r>
      <w:r w:rsidRPr="004C6340">
        <w:rPr>
          <w:rFonts w:cs="Arial"/>
          <w:bCs/>
          <w:snapToGrid w:val="0"/>
        </w:rPr>
        <w:t>Pathway A were not met.</w:t>
      </w:r>
    </w:p>
    <w:p w14:paraId="65EB7BCE" w14:textId="77777777" w:rsidR="006E53FB" w:rsidRPr="00A033A3" w:rsidRDefault="006E53FB" w:rsidP="006E53FB">
      <w:pPr>
        <w:pStyle w:val="3Bodytext"/>
        <w:jc w:val="both"/>
        <w:rPr>
          <w:rFonts w:cstheme="minorHAnsi"/>
        </w:rPr>
      </w:pPr>
      <w:r w:rsidRPr="004C6340">
        <w:rPr>
          <w:rFonts w:cs="Arial"/>
          <w:bCs/>
          <w:snapToGrid w:val="0"/>
        </w:rPr>
        <w:t>The PBAC noted</w:t>
      </w:r>
      <w:r w:rsidRPr="00A033A3">
        <w:rPr>
          <w:rFonts w:cs="Arial"/>
          <w:bCs/>
          <w:snapToGrid w:val="0"/>
        </w:rPr>
        <w:t xml:space="preserve"> that this submission is not eligible for an Independent Review as it received a positive recommendation.</w:t>
      </w:r>
    </w:p>
    <w:bookmarkEnd w:id="25"/>
    <w:p w14:paraId="15F976F7" w14:textId="77777777" w:rsidR="00DC148B" w:rsidRPr="004C6340" w:rsidRDefault="00DC148B" w:rsidP="00DC148B">
      <w:pPr>
        <w:spacing w:after="120"/>
        <w:rPr>
          <w:rFonts w:asciiTheme="minorHAnsi" w:hAnsiTheme="minorHAnsi" w:cs="Arial"/>
          <w:b/>
          <w:bCs/>
          <w:snapToGrid w:val="0"/>
        </w:rPr>
      </w:pPr>
      <w:r w:rsidRPr="004C6340">
        <w:rPr>
          <w:rFonts w:asciiTheme="minorHAnsi" w:hAnsiTheme="minorHAnsi" w:cs="Arial"/>
          <w:b/>
          <w:bCs/>
          <w:snapToGrid w:val="0"/>
        </w:rPr>
        <w:t>Outcome:</w:t>
      </w:r>
    </w:p>
    <w:p w14:paraId="1E558F24" w14:textId="77777777" w:rsidR="00DC148B" w:rsidRPr="004C6340" w:rsidRDefault="00DC148B" w:rsidP="00DC148B">
      <w:pPr>
        <w:spacing w:after="120"/>
        <w:rPr>
          <w:rFonts w:asciiTheme="minorHAnsi" w:hAnsiTheme="minorHAnsi" w:cs="Arial"/>
          <w:bCs/>
          <w:snapToGrid w:val="0"/>
        </w:rPr>
      </w:pPr>
      <w:r w:rsidRPr="004C6340">
        <w:rPr>
          <w:rFonts w:asciiTheme="minorHAnsi" w:hAnsiTheme="minorHAnsi" w:cs="Arial"/>
          <w:bCs/>
          <w:snapToGrid w:val="0"/>
        </w:rPr>
        <w:t>Recommended</w:t>
      </w:r>
    </w:p>
    <w:p w14:paraId="53610E66" w14:textId="77777777" w:rsidR="00DC148B" w:rsidRPr="00A033A3" w:rsidRDefault="00DC148B" w:rsidP="00DC148B">
      <w:pPr>
        <w:pStyle w:val="2-SectionHeading"/>
      </w:pPr>
      <w:r w:rsidRPr="00A033A3">
        <w:t>Recommended listing</w:t>
      </w:r>
    </w:p>
    <w:p w14:paraId="4D725358" w14:textId="77777777" w:rsidR="0070665A" w:rsidRDefault="0070665A" w:rsidP="00DC148B">
      <w:pPr>
        <w:widowControl w:val="0"/>
        <w:numPr>
          <w:ilvl w:val="1"/>
          <w:numId w:val="2"/>
        </w:numPr>
        <w:spacing w:after="120" w:line="259" w:lineRule="auto"/>
        <w:jc w:val="left"/>
        <w:rPr>
          <w:rFonts w:eastAsia="Calibri"/>
          <w:szCs w:val="22"/>
          <w:lang w:eastAsia="en-US"/>
        </w:rPr>
      </w:pPr>
      <w:r w:rsidRPr="0070665A">
        <w:rPr>
          <w:rFonts w:eastAsia="Calibri"/>
          <w:bCs/>
          <w:szCs w:val="22"/>
          <w:lang w:eastAsia="en-US"/>
        </w:rPr>
        <w:t xml:space="preserve">Add new </w:t>
      </w:r>
      <w:r w:rsidRPr="0070665A">
        <w:rPr>
          <w:rFonts w:eastAsia="Calibri"/>
          <w:szCs w:val="22"/>
          <w:lang w:eastAsia="en-US"/>
        </w:rPr>
        <w:t>rituximab brand (</w:t>
      </w:r>
      <w:proofErr w:type="spellStart"/>
      <w:r w:rsidRPr="0070665A">
        <w:rPr>
          <w:rFonts w:eastAsia="Calibri"/>
          <w:szCs w:val="22"/>
          <w:lang w:eastAsia="en-US"/>
        </w:rPr>
        <w:t>Ruxience</w:t>
      </w:r>
      <w:proofErr w:type="spellEnd"/>
      <w:r w:rsidRPr="0070665A">
        <w:rPr>
          <w:rFonts w:eastAsia="Calibri"/>
          <w:szCs w:val="22"/>
          <w:lang w:eastAsia="en-US"/>
        </w:rPr>
        <w:t>)</w:t>
      </w:r>
      <w:r>
        <w:rPr>
          <w:rFonts w:eastAsia="Calibri"/>
          <w:szCs w:val="22"/>
          <w:lang w:eastAsia="en-US"/>
        </w:rPr>
        <w:t xml:space="preserve"> for the </w:t>
      </w:r>
      <w:r w:rsidR="00E16940">
        <w:rPr>
          <w:rFonts w:eastAsia="Calibri"/>
          <w:szCs w:val="22"/>
          <w:lang w:eastAsia="en-US"/>
        </w:rPr>
        <w:t>following</w:t>
      </w:r>
      <w:r w:rsidR="008007FF">
        <w:rPr>
          <w:rFonts w:eastAsia="Calibri"/>
          <w:szCs w:val="22"/>
          <w:lang w:eastAsia="en-US"/>
        </w:rPr>
        <w:t xml:space="preserve"> listing</w:t>
      </w:r>
      <w:r w:rsidR="00E16940">
        <w:rPr>
          <w:rFonts w:eastAsia="Calibri"/>
          <w:szCs w:val="22"/>
          <w:lang w:eastAsia="en-US"/>
        </w:rPr>
        <w:t>s</w:t>
      </w:r>
      <w:r>
        <w:rPr>
          <w:rFonts w:eastAsia="Calibri"/>
          <w:szCs w:val="22"/>
          <w:lang w:eastAsia="en-US"/>
        </w:rPr>
        <w:t>:</w:t>
      </w:r>
    </w:p>
    <w:p w14:paraId="35F42D36" w14:textId="77777777" w:rsidR="0070665A" w:rsidRPr="00AB31DE" w:rsidRDefault="0070665A" w:rsidP="0070665A">
      <w:pPr>
        <w:pStyle w:val="ListParagraph"/>
        <w:numPr>
          <w:ilvl w:val="0"/>
          <w:numId w:val="29"/>
        </w:numPr>
        <w:ind w:left="1168" w:hanging="448"/>
        <w:rPr>
          <w:rFonts w:eastAsiaTheme="minorHAnsi" w:cstheme="minorBidi"/>
          <w:snapToGrid/>
          <w:szCs w:val="22"/>
        </w:rPr>
      </w:pPr>
      <w:r w:rsidRPr="00AB31DE">
        <w:rPr>
          <w:rFonts w:eastAsiaTheme="minorHAnsi" w:cstheme="minorBidi"/>
          <w:snapToGrid/>
          <w:szCs w:val="22"/>
        </w:rPr>
        <w:t>Non-Hodgkin’s lymphoma (NHL) –</w:t>
      </w:r>
      <w:r>
        <w:rPr>
          <w:rFonts w:eastAsiaTheme="minorHAnsi" w:cstheme="minorBidi"/>
          <w:snapToGrid/>
          <w:szCs w:val="22"/>
        </w:rPr>
        <w:t xml:space="preserve"> </w:t>
      </w:r>
      <w:r w:rsidRPr="00AB31DE">
        <w:rPr>
          <w:rFonts w:eastAsiaTheme="minorHAnsi" w:cstheme="minorBidi"/>
          <w:snapToGrid/>
          <w:szCs w:val="22"/>
        </w:rPr>
        <w:t>EFC</w:t>
      </w:r>
    </w:p>
    <w:p w14:paraId="73774D13" w14:textId="50B078DC" w:rsidR="0070665A" w:rsidRDefault="0070665A" w:rsidP="0070665A">
      <w:pPr>
        <w:pStyle w:val="ListParagraph"/>
        <w:numPr>
          <w:ilvl w:val="0"/>
          <w:numId w:val="29"/>
        </w:numPr>
        <w:ind w:left="1168" w:hanging="448"/>
        <w:rPr>
          <w:rFonts w:eastAsiaTheme="minorHAnsi" w:cstheme="minorBidi"/>
          <w:snapToGrid/>
          <w:szCs w:val="22"/>
        </w:rPr>
      </w:pPr>
      <w:r w:rsidRPr="00AB31DE">
        <w:rPr>
          <w:rFonts w:eastAsiaTheme="minorHAnsi" w:cstheme="minorBidi"/>
          <w:snapToGrid/>
          <w:szCs w:val="22"/>
        </w:rPr>
        <w:t>Chronic lymphocytic leukaemia (CLL) –</w:t>
      </w:r>
      <w:r>
        <w:rPr>
          <w:rFonts w:eastAsiaTheme="minorHAnsi" w:cstheme="minorBidi"/>
          <w:snapToGrid/>
          <w:szCs w:val="22"/>
        </w:rPr>
        <w:t xml:space="preserve"> </w:t>
      </w:r>
      <w:r w:rsidRPr="00AB31DE">
        <w:rPr>
          <w:rFonts w:eastAsiaTheme="minorHAnsi" w:cstheme="minorBidi"/>
          <w:snapToGrid/>
          <w:szCs w:val="22"/>
        </w:rPr>
        <w:t>EFC</w:t>
      </w:r>
    </w:p>
    <w:p w14:paraId="1D1973BB" w14:textId="63D92C09" w:rsidR="00BA6E93" w:rsidRPr="00BA6E93" w:rsidRDefault="00BA6E93" w:rsidP="00BA6E93">
      <w:pPr>
        <w:pStyle w:val="ListParagraph"/>
        <w:numPr>
          <w:ilvl w:val="0"/>
          <w:numId w:val="29"/>
        </w:numPr>
        <w:ind w:left="1168" w:hanging="448"/>
        <w:rPr>
          <w:rFonts w:eastAsiaTheme="minorHAnsi"/>
        </w:rPr>
      </w:pPr>
      <w:r w:rsidRPr="0061021F">
        <w:rPr>
          <w:rFonts w:eastAsiaTheme="minorHAnsi"/>
        </w:rPr>
        <w:t>Previously untreated or Relapsed/refractory CD20 positive acute lymphoblastic leukaemia</w:t>
      </w:r>
      <w:r>
        <w:rPr>
          <w:rFonts w:eastAsiaTheme="minorHAnsi"/>
        </w:rPr>
        <w:t xml:space="preserve"> – EFC</w:t>
      </w:r>
      <w:r w:rsidRPr="0061021F">
        <w:rPr>
          <w:rFonts w:eastAsiaTheme="minorHAnsi"/>
        </w:rPr>
        <w:t>.</w:t>
      </w:r>
    </w:p>
    <w:p w14:paraId="42D4D7A6" w14:textId="77777777" w:rsidR="00DC148B" w:rsidRPr="009639EE" w:rsidRDefault="00DC148B" w:rsidP="00DC148B">
      <w:pPr>
        <w:widowControl w:val="0"/>
        <w:numPr>
          <w:ilvl w:val="1"/>
          <w:numId w:val="2"/>
        </w:numPr>
        <w:spacing w:after="120" w:line="259" w:lineRule="auto"/>
        <w:jc w:val="left"/>
        <w:rPr>
          <w:rFonts w:eastAsia="Calibri"/>
          <w:szCs w:val="22"/>
          <w:lang w:eastAsia="en-US"/>
        </w:rPr>
      </w:pPr>
      <w:bookmarkStart w:id="33" w:name="_Hlk88049598"/>
      <w:r w:rsidRPr="009639EE">
        <w:rPr>
          <w:rFonts w:eastAsia="Calibri" w:cs="Arial"/>
          <w:bCs/>
          <w:snapToGrid w:val="0"/>
          <w:lang w:eastAsia="en-US"/>
        </w:rPr>
        <w:t xml:space="preserve">Add new </w:t>
      </w:r>
      <w:bookmarkStart w:id="34" w:name="_Hlk88049928"/>
      <w:r w:rsidRPr="00FD77A3">
        <w:rPr>
          <w:rFonts w:cstheme="minorHAnsi"/>
        </w:rPr>
        <w:t>rituximab</w:t>
      </w:r>
      <w:r>
        <w:rPr>
          <w:rFonts w:cstheme="minorHAnsi"/>
        </w:rPr>
        <w:t xml:space="preserve"> brand</w:t>
      </w:r>
      <w:r w:rsidRPr="00FD77A3">
        <w:rPr>
          <w:rFonts w:cstheme="minorHAnsi"/>
        </w:rPr>
        <w:t xml:space="preserve"> (</w:t>
      </w:r>
      <w:proofErr w:type="spellStart"/>
      <w:r w:rsidRPr="00FD77A3">
        <w:rPr>
          <w:rFonts w:cstheme="minorHAnsi"/>
        </w:rPr>
        <w:t>Ruxience</w:t>
      </w:r>
      <w:proofErr w:type="spellEnd"/>
      <w:r w:rsidRPr="00FD77A3">
        <w:rPr>
          <w:rFonts w:cstheme="minorHAnsi"/>
        </w:rPr>
        <w:t xml:space="preserve">) </w:t>
      </w:r>
      <w:bookmarkEnd w:id="33"/>
      <w:bookmarkEnd w:id="34"/>
      <w:r w:rsidRPr="009639EE">
        <w:rPr>
          <w:rFonts w:eastAsia="Calibri" w:cs="Arial"/>
          <w:bCs/>
          <w:snapToGrid w:val="0"/>
          <w:lang w:eastAsia="en-US"/>
        </w:rPr>
        <w:t xml:space="preserve">with schedule equivalence (‘a’ flag) for the same indications as </w:t>
      </w:r>
      <w:proofErr w:type="spellStart"/>
      <w:r w:rsidRPr="00DC148B">
        <w:rPr>
          <w:rFonts w:cstheme="minorHAnsi"/>
        </w:rPr>
        <w:t>Riximyo</w:t>
      </w:r>
      <w:proofErr w:type="spellEnd"/>
      <w:r w:rsidRPr="00DC148B">
        <w:rPr>
          <w:rFonts w:cstheme="minorHAnsi"/>
        </w:rPr>
        <w:t xml:space="preserve"> and </w:t>
      </w:r>
      <w:proofErr w:type="spellStart"/>
      <w:r w:rsidRPr="00DC148B">
        <w:rPr>
          <w:rFonts w:cstheme="minorHAnsi"/>
        </w:rPr>
        <w:t>Truxima</w:t>
      </w:r>
      <w:proofErr w:type="spellEnd"/>
      <w:r w:rsidRPr="009639EE">
        <w:rPr>
          <w:rFonts w:eastAsia="Calibri" w:cs="Arial"/>
          <w:bCs/>
          <w:snapToGrid w:val="0"/>
          <w:lang w:eastAsia="en-US"/>
        </w:rPr>
        <w:t xml:space="preserve"> </w:t>
      </w:r>
      <w:r w:rsidR="0070665A">
        <w:rPr>
          <w:rFonts w:eastAsia="Calibri" w:cs="Arial"/>
          <w:bCs/>
          <w:snapToGrid w:val="0"/>
          <w:lang w:eastAsia="en-US"/>
        </w:rPr>
        <w:t>for the following</w:t>
      </w:r>
      <w:r w:rsidR="008007FF">
        <w:rPr>
          <w:rFonts w:eastAsia="Calibri" w:cs="Arial"/>
          <w:bCs/>
          <w:snapToGrid w:val="0"/>
          <w:lang w:eastAsia="en-US"/>
        </w:rPr>
        <w:t xml:space="preserve"> listing</w:t>
      </w:r>
      <w:r w:rsidR="0070665A">
        <w:rPr>
          <w:rFonts w:eastAsia="Calibri" w:cs="Arial"/>
          <w:bCs/>
          <w:snapToGrid w:val="0"/>
          <w:lang w:eastAsia="en-US"/>
        </w:rPr>
        <w:t>s:</w:t>
      </w:r>
    </w:p>
    <w:p w14:paraId="7A61DDFB" w14:textId="77777777" w:rsidR="0070665A" w:rsidRPr="00AB31DE" w:rsidRDefault="0070665A" w:rsidP="0070665A">
      <w:pPr>
        <w:pStyle w:val="ListParagraph"/>
        <w:numPr>
          <w:ilvl w:val="0"/>
          <w:numId w:val="29"/>
        </w:numPr>
        <w:ind w:left="1168" w:hanging="448"/>
        <w:rPr>
          <w:rFonts w:eastAsiaTheme="minorHAnsi" w:cstheme="minorBidi"/>
          <w:snapToGrid/>
          <w:szCs w:val="22"/>
        </w:rPr>
      </w:pPr>
      <w:r w:rsidRPr="00AB31DE">
        <w:rPr>
          <w:rFonts w:eastAsiaTheme="minorHAnsi" w:cstheme="minorBidi"/>
          <w:snapToGrid/>
          <w:szCs w:val="22"/>
        </w:rPr>
        <w:t>Rheumatoid arthritis (RA) –</w:t>
      </w:r>
      <w:r>
        <w:rPr>
          <w:rFonts w:eastAsiaTheme="minorHAnsi" w:cstheme="minorBidi"/>
          <w:snapToGrid/>
          <w:szCs w:val="22"/>
        </w:rPr>
        <w:t xml:space="preserve"> </w:t>
      </w:r>
      <w:r w:rsidRPr="00AB31DE">
        <w:rPr>
          <w:rFonts w:eastAsiaTheme="minorHAnsi" w:cstheme="minorBidi"/>
          <w:snapToGrid/>
          <w:szCs w:val="22"/>
        </w:rPr>
        <w:t>HSD</w:t>
      </w:r>
    </w:p>
    <w:p w14:paraId="178DEEDB" w14:textId="77777777" w:rsidR="0070665A" w:rsidRPr="00AB31DE" w:rsidRDefault="0070665A" w:rsidP="0070665A">
      <w:pPr>
        <w:pStyle w:val="ListParagraph"/>
        <w:numPr>
          <w:ilvl w:val="0"/>
          <w:numId w:val="29"/>
        </w:numPr>
        <w:ind w:left="1168" w:hanging="448"/>
        <w:rPr>
          <w:rFonts w:eastAsiaTheme="minorHAnsi" w:cstheme="minorBidi"/>
          <w:snapToGrid/>
          <w:szCs w:val="22"/>
        </w:rPr>
      </w:pPr>
      <w:r w:rsidRPr="00AB31DE">
        <w:rPr>
          <w:rFonts w:eastAsiaTheme="minorHAnsi" w:cstheme="minorBidi"/>
          <w:snapToGrid/>
          <w:szCs w:val="22"/>
        </w:rPr>
        <w:t>Granulomatosis with polyangiitis (Wegener’s granulomatosis) (GPA) –</w:t>
      </w:r>
      <w:r>
        <w:rPr>
          <w:rFonts w:eastAsiaTheme="minorHAnsi" w:cstheme="minorBidi"/>
          <w:snapToGrid/>
          <w:szCs w:val="22"/>
        </w:rPr>
        <w:t xml:space="preserve"> </w:t>
      </w:r>
      <w:r w:rsidRPr="00AB31DE">
        <w:rPr>
          <w:rFonts w:eastAsiaTheme="minorHAnsi" w:cstheme="minorBidi"/>
          <w:snapToGrid/>
          <w:szCs w:val="22"/>
        </w:rPr>
        <w:t>HSD</w:t>
      </w:r>
    </w:p>
    <w:p w14:paraId="3B110706" w14:textId="77777777" w:rsidR="0070665A" w:rsidRPr="00AB31DE" w:rsidRDefault="0070665A" w:rsidP="0070665A">
      <w:pPr>
        <w:pStyle w:val="ListParagraph"/>
        <w:numPr>
          <w:ilvl w:val="0"/>
          <w:numId w:val="29"/>
        </w:numPr>
        <w:ind w:left="1168" w:hanging="448"/>
        <w:rPr>
          <w:rFonts w:eastAsiaTheme="minorHAnsi" w:cstheme="minorBidi"/>
          <w:snapToGrid/>
          <w:szCs w:val="22"/>
        </w:rPr>
      </w:pPr>
      <w:r w:rsidRPr="00AB31DE">
        <w:rPr>
          <w:rFonts w:eastAsiaTheme="minorHAnsi" w:cstheme="minorBidi"/>
          <w:snapToGrid/>
          <w:szCs w:val="22"/>
        </w:rPr>
        <w:t>Microscopic polyangiitis (MPA) –</w:t>
      </w:r>
      <w:r>
        <w:rPr>
          <w:rFonts w:eastAsiaTheme="minorHAnsi" w:cstheme="minorBidi"/>
          <w:snapToGrid/>
          <w:szCs w:val="22"/>
        </w:rPr>
        <w:t xml:space="preserve"> </w:t>
      </w:r>
      <w:r w:rsidRPr="00AB31DE">
        <w:rPr>
          <w:rFonts w:eastAsiaTheme="minorHAnsi" w:cstheme="minorBidi"/>
          <w:snapToGrid/>
          <w:szCs w:val="22"/>
        </w:rPr>
        <w:t>HSD</w:t>
      </w:r>
      <w:r>
        <w:rPr>
          <w:rFonts w:eastAsiaTheme="minorHAnsi" w:cstheme="minorBidi"/>
          <w:snapToGrid/>
          <w:szCs w:val="22"/>
        </w:rPr>
        <w:t>.</w:t>
      </w:r>
    </w:p>
    <w:p w14:paraId="17474541" w14:textId="77777777" w:rsidR="00DC148B" w:rsidRPr="00A033A3" w:rsidRDefault="00DC148B" w:rsidP="004A10D6">
      <w:pPr>
        <w:pStyle w:val="3Bodytext"/>
        <w:numPr>
          <w:ilvl w:val="0"/>
          <w:numId w:val="0"/>
        </w:numPr>
      </w:pPr>
    </w:p>
    <w:tbl>
      <w:tblPr>
        <w:tblStyle w:val="TableGrid"/>
        <w:tblW w:w="5000" w:type="pct"/>
        <w:tblLook w:val="04A0" w:firstRow="1" w:lastRow="0" w:firstColumn="1" w:lastColumn="0" w:noHBand="0" w:noVBand="1"/>
      </w:tblPr>
      <w:tblGrid>
        <w:gridCol w:w="4508"/>
        <w:gridCol w:w="4508"/>
      </w:tblGrid>
      <w:tr w:rsidR="00DC148B" w:rsidRPr="00A033A3" w14:paraId="2D76C95E" w14:textId="77777777" w:rsidTr="007C31F4">
        <w:trPr>
          <w:trHeight w:val="459"/>
          <w:tblHeader/>
        </w:trPr>
        <w:tc>
          <w:tcPr>
            <w:tcW w:w="2500" w:type="pct"/>
          </w:tcPr>
          <w:p w14:paraId="24387A73" w14:textId="77777777" w:rsidR="00DC148B" w:rsidRPr="004C6340" w:rsidRDefault="00DC148B" w:rsidP="00D36703">
            <w:pPr>
              <w:pStyle w:val="TableText0"/>
              <w:rPr>
                <w:rStyle w:val="SmallBold"/>
                <w:szCs w:val="20"/>
              </w:rPr>
            </w:pPr>
            <w:r w:rsidRPr="00A033A3">
              <w:rPr>
                <w:rStyle w:val="SmallBold"/>
                <w:szCs w:val="20"/>
              </w:rPr>
              <w:t>MEDICINAL PRODUCT</w:t>
            </w:r>
          </w:p>
          <w:p w14:paraId="25BE4B38" w14:textId="77777777" w:rsidR="00DC148B" w:rsidRPr="00A033A3" w:rsidRDefault="00DC148B" w:rsidP="00D36703">
            <w:pPr>
              <w:pStyle w:val="TableText0"/>
              <w:rPr>
                <w:rStyle w:val="SmallBold"/>
                <w:szCs w:val="20"/>
              </w:rPr>
            </w:pPr>
            <w:r w:rsidRPr="00A033A3">
              <w:rPr>
                <w:rStyle w:val="SmallBold"/>
                <w:szCs w:val="20"/>
              </w:rPr>
              <w:t>medicinal product pack</w:t>
            </w:r>
          </w:p>
        </w:tc>
        <w:tc>
          <w:tcPr>
            <w:tcW w:w="2500" w:type="pct"/>
          </w:tcPr>
          <w:p w14:paraId="10587B17" w14:textId="77777777" w:rsidR="00DC148B" w:rsidRPr="00A033A3" w:rsidRDefault="00DC148B" w:rsidP="00D36703">
            <w:pPr>
              <w:pStyle w:val="TableText0"/>
              <w:rPr>
                <w:rStyle w:val="SmallBold"/>
                <w:szCs w:val="20"/>
              </w:rPr>
            </w:pPr>
            <w:r w:rsidRPr="00A033A3">
              <w:rPr>
                <w:rStyle w:val="SmallBold"/>
                <w:szCs w:val="20"/>
              </w:rPr>
              <w:t>Proprietary Name, Manufacturer</w:t>
            </w:r>
          </w:p>
        </w:tc>
      </w:tr>
      <w:tr w:rsidR="00DC148B" w:rsidRPr="00A033A3" w14:paraId="14F90C24" w14:textId="77777777" w:rsidTr="00D36703">
        <w:trPr>
          <w:trHeight w:val="689"/>
        </w:trPr>
        <w:tc>
          <w:tcPr>
            <w:tcW w:w="2500" w:type="pct"/>
          </w:tcPr>
          <w:p w14:paraId="4117F4D6" w14:textId="77777777" w:rsidR="00DC148B" w:rsidRDefault="00DC148B" w:rsidP="00D36703">
            <w:pPr>
              <w:pStyle w:val="TableText0"/>
              <w:rPr>
                <w:szCs w:val="20"/>
              </w:rPr>
            </w:pPr>
            <w:r w:rsidRPr="00FD77A3">
              <w:rPr>
                <w:rFonts w:cstheme="minorHAnsi"/>
              </w:rPr>
              <w:t>RITUXIMAB</w:t>
            </w:r>
            <w:r w:rsidRPr="004C6340">
              <w:rPr>
                <w:szCs w:val="20"/>
              </w:rPr>
              <w:t xml:space="preserve"> </w:t>
            </w:r>
          </w:p>
          <w:p w14:paraId="4F189FD7" w14:textId="77777777" w:rsidR="00DC148B" w:rsidRPr="00A033A3" w:rsidRDefault="00DC148B" w:rsidP="00D36703">
            <w:pPr>
              <w:pStyle w:val="TableText0"/>
              <w:rPr>
                <w:rStyle w:val="SmallBold"/>
                <w:szCs w:val="20"/>
              </w:rPr>
            </w:pPr>
            <w:r w:rsidRPr="000A2749">
              <w:t>Solution for I.V. infusion 100 mg in 10 mL,</w:t>
            </w:r>
            <w:r w:rsidRPr="000A2749">
              <w:br/>
              <w:t>Solution for I.V. infusion 500 mg in 50 mL</w:t>
            </w:r>
          </w:p>
        </w:tc>
        <w:tc>
          <w:tcPr>
            <w:tcW w:w="2500" w:type="pct"/>
          </w:tcPr>
          <w:p w14:paraId="7EB8DCBC" w14:textId="77777777" w:rsidR="00DC148B" w:rsidRPr="00A033A3" w:rsidRDefault="00DC148B" w:rsidP="00D36703">
            <w:pPr>
              <w:pStyle w:val="TableText0"/>
              <w:rPr>
                <w:rStyle w:val="SmallBold"/>
                <w:b w:val="0"/>
                <w:szCs w:val="20"/>
              </w:rPr>
            </w:pPr>
            <w:proofErr w:type="spellStart"/>
            <w:r w:rsidRPr="00DC148B">
              <w:rPr>
                <w:rFonts w:eastAsia="Calibri"/>
                <w:lang w:eastAsia="en-US"/>
              </w:rPr>
              <w:t>Ruxience</w:t>
            </w:r>
            <w:proofErr w:type="spellEnd"/>
            <w:r w:rsidRPr="004C6340">
              <w:rPr>
                <w:szCs w:val="20"/>
              </w:rPr>
              <w:t xml:space="preserve">, </w:t>
            </w:r>
            <w:r w:rsidRPr="000A2749">
              <w:t>Pfizer Australia Pty Ltd</w:t>
            </w:r>
          </w:p>
        </w:tc>
      </w:tr>
    </w:tbl>
    <w:p w14:paraId="31536DA9" w14:textId="77777777" w:rsidR="0033111B" w:rsidRDefault="0033111B" w:rsidP="00277B7B">
      <w:pPr>
        <w:pStyle w:val="3-BodyText"/>
        <w:numPr>
          <w:ilvl w:val="0"/>
          <w:numId w:val="0"/>
        </w:numPr>
        <w:jc w:val="left"/>
        <w:rPr>
          <w:bCs/>
          <w:i/>
        </w:rPr>
      </w:pPr>
    </w:p>
    <w:p w14:paraId="68A2C927" w14:textId="77777777" w:rsidR="00DC27F3" w:rsidRDefault="00DC27F3" w:rsidP="00DC27F3">
      <w:pPr>
        <w:rPr>
          <w:rFonts w:asciiTheme="minorHAnsi" w:hAnsiTheme="minorHAnsi" w:cstheme="minorHAnsi"/>
          <w:b/>
          <w:i/>
        </w:rPr>
      </w:pPr>
      <w:r w:rsidRPr="00A033A3">
        <w:rPr>
          <w:rFonts w:asciiTheme="minorHAnsi" w:hAnsiTheme="minorHAnsi" w:cstheme="minorHAnsi"/>
          <w:b/>
          <w:i/>
        </w:rPr>
        <w:t>This restriction may be subject to further review. Should there be any changes made to the restriction the Sponsor will be informed.</w:t>
      </w:r>
    </w:p>
    <w:p w14:paraId="480BD86D" w14:textId="77777777" w:rsidR="00DC27F3" w:rsidRPr="00A033A3" w:rsidRDefault="00DC27F3" w:rsidP="00DC27F3">
      <w:pPr>
        <w:rPr>
          <w:rFonts w:asciiTheme="minorHAnsi" w:hAnsiTheme="minorHAnsi" w:cstheme="minorHAnsi"/>
          <w:snapToGrid w:val="0"/>
          <w:color w:val="365F91" w:themeColor="accent1" w:themeShade="BF"/>
          <w:lang w:eastAsia="en-US"/>
        </w:rPr>
      </w:pPr>
    </w:p>
    <w:p w14:paraId="097A9FB9" w14:textId="77777777" w:rsidR="007B18DC" w:rsidRPr="007B18DC" w:rsidRDefault="007B18DC" w:rsidP="007B18DC">
      <w:pPr>
        <w:pStyle w:val="2-SectionHeading"/>
      </w:pPr>
      <w:r w:rsidRPr="00C07617">
        <w:t>Context for Decision</w:t>
      </w:r>
    </w:p>
    <w:p w14:paraId="404E32AE" w14:textId="77777777" w:rsidR="007B18DC" w:rsidRPr="007129F2" w:rsidRDefault="007B18DC" w:rsidP="007B18DC">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2FB1913" w14:textId="77777777" w:rsidR="007B18DC" w:rsidRPr="007B18DC" w:rsidRDefault="007B18DC" w:rsidP="007B18DC">
      <w:pPr>
        <w:pStyle w:val="2-SectionHeading"/>
      </w:pPr>
      <w:r>
        <w:t>Sponsor’s Comment</w:t>
      </w:r>
    </w:p>
    <w:p w14:paraId="45FDBBE7" w14:textId="77777777" w:rsidR="007B18DC" w:rsidRPr="001179AC" w:rsidRDefault="007B18DC" w:rsidP="007B18DC">
      <w:pPr>
        <w:spacing w:after="120"/>
        <w:ind w:left="426" w:firstLine="294"/>
        <w:rPr>
          <w:rFonts w:asciiTheme="minorHAnsi" w:hAnsiTheme="minorHAnsi" w:cs="Arial"/>
          <w:bCs/>
        </w:rPr>
      </w:pPr>
      <w:r w:rsidRPr="00C07617">
        <w:rPr>
          <w:rFonts w:asciiTheme="minorHAnsi" w:hAnsiTheme="minorHAnsi" w:cs="Arial"/>
          <w:bCs/>
        </w:rPr>
        <w:t>The sponsor had no comment.</w:t>
      </w:r>
    </w:p>
    <w:p w14:paraId="2F6615A1" w14:textId="77777777" w:rsidR="00B27001" w:rsidRPr="007A17F0" w:rsidRDefault="00B27001" w:rsidP="00B27001">
      <w:pPr>
        <w:pStyle w:val="2-SectionHeading"/>
      </w:pPr>
      <w:r w:rsidRPr="007A17F0">
        <w:t xml:space="preserve">Corrigendum </w:t>
      </w:r>
    </w:p>
    <w:p w14:paraId="7A589C73" w14:textId="77777777" w:rsidR="00B27001" w:rsidRPr="0061021F" w:rsidRDefault="00B27001" w:rsidP="00EA0F61">
      <w:pPr>
        <w:spacing w:after="120" w:line="276" w:lineRule="auto"/>
        <w:ind w:left="425" w:firstLine="295"/>
        <w:jc w:val="left"/>
        <w:rPr>
          <w:rFonts w:asciiTheme="minorHAnsi" w:eastAsia="Calibri" w:hAnsiTheme="minorHAnsi" w:cstheme="minorHAnsi"/>
          <w:lang w:eastAsia="en-US"/>
        </w:rPr>
      </w:pPr>
      <w:r w:rsidRPr="0061021F">
        <w:rPr>
          <w:rFonts w:asciiTheme="minorHAnsi" w:eastAsia="Calibri" w:hAnsiTheme="minorHAnsi" w:cstheme="minorHAnsi"/>
          <w:lang w:eastAsia="en-US"/>
        </w:rPr>
        <w:t xml:space="preserve">The following changes were made: </w:t>
      </w:r>
    </w:p>
    <w:tbl>
      <w:tblPr>
        <w:tblStyle w:val="TableGrid1"/>
        <w:tblW w:w="0" w:type="auto"/>
        <w:tblInd w:w="-5" w:type="dxa"/>
        <w:tblLook w:val="04A0" w:firstRow="1" w:lastRow="0" w:firstColumn="1" w:lastColumn="0" w:noHBand="0" w:noVBand="1"/>
      </w:tblPr>
      <w:tblGrid>
        <w:gridCol w:w="6804"/>
        <w:gridCol w:w="2217"/>
      </w:tblGrid>
      <w:tr w:rsidR="00B27001" w:rsidRPr="0061021F" w14:paraId="5BD7AD91" w14:textId="77777777" w:rsidTr="000E1FD5">
        <w:trPr>
          <w:trHeight w:val="672"/>
        </w:trPr>
        <w:tc>
          <w:tcPr>
            <w:tcW w:w="6804" w:type="dxa"/>
          </w:tcPr>
          <w:p w14:paraId="3476D540" w14:textId="77777777" w:rsidR="00B27001" w:rsidRPr="0061021F" w:rsidRDefault="00B27001" w:rsidP="006C433F">
            <w:pPr>
              <w:spacing w:after="120"/>
              <w:jc w:val="center"/>
              <w:rPr>
                <w:rFonts w:asciiTheme="minorHAnsi" w:hAnsiTheme="minorHAnsi" w:cstheme="minorHAnsi"/>
                <w:b/>
                <w:szCs w:val="22"/>
                <w:lang w:eastAsia="en-US"/>
              </w:rPr>
            </w:pPr>
            <w:r w:rsidRPr="0061021F">
              <w:rPr>
                <w:rFonts w:asciiTheme="minorHAnsi" w:hAnsiTheme="minorHAnsi" w:cstheme="minorHAnsi"/>
                <w:b/>
                <w:szCs w:val="22"/>
                <w:lang w:eastAsia="en-US"/>
              </w:rPr>
              <w:t>Change made</w:t>
            </w:r>
          </w:p>
        </w:tc>
        <w:tc>
          <w:tcPr>
            <w:tcW w:w="2217" w:type="dxa"/>
          </w:tcPr>
          <w:p w14:paraId="4DDFBA43" w14:textId="77777777" w:rsidR="00B27001" w:rsidRPr="0061021F" w:rsidRDefault="00B27001" w:rsidP="006C433F">
            <w:pPr>
              <w:spacing w:after="120"/>
              <w:jc w:val="center"/>
              <w:rPr>
                <w:rFonts w:asciiTheme="minorHAnsi" w:hAnsiTheme="minorHAnsi" w:cstheme="minorHAnsi"/>
                <w:b/>
                <w:szCs w:val="22"/>
                <w:lang w:eastAsia="en-US"/>
              </w:rPr>
            </w:pPr>
            <w:r w:rsidRPr="0061021F">
              <w:rPr>
                <w:rFonts w:asciiTheme="minorHAnsi" w:hAnsiTheme="minorHAnsi" w:cstheme="minorHAnsi"/>
                <w:b/>
                <w:szCs w:val="22"/>
                <w:lang w:eastAsia="en-US"/>
              </w:rPr>
              <w:t>Date of revision</w:t>
            </w:r>
          </w:p>
        </w:tc>
      </w:tr>
      <w:tr w:rsidR="00B27001" w:rsidRPr="0061021F" w14:paraId="52C714E4" w14:textId="77777777" w:rsidTr="000E1FD5">
        <w:trPr>
          <w:trHeight w:val="348"/>
        </w:trPr>
        <w:tc>
          <w:tcPr>
            <w:tcW w:w="6804" w:type="dxa"/>
          </w:tcPr>
          <w:p w14:paraId="7C2A8D48" w14:textId="77777777" w:rsidR="00B27001" w:rsidRPr="0061021F" w:rsidRDefault="00B27001" w:rsidP="006C433F">
            <w:pPr>
              <w:spacing w:after="120"/>
              <w:jc w:val="left"/>
              <w:rPr>
                <w:rFonts w:asciiTheme="minorHAnsi" w:hAnsiTheme="minorHAnsi" w:cs="Arial"/>
                <w:sz w:val="22"/>
                <w:szCs w:val="22"/>
                <w:lang w:eastAsia="en-US"/>
              </w:rPr>
            </w:pPr>
            <w:r w:rsidRPr="0061021F">
              <w:rPr>
                <w:rFonts w:asciiTheme="minorHAnsi" w:hAnsiTheme="minorHAnsi" w:cs="Arial"/>
                <w:sz w:val="22"/>
                <w:szCs w:val="22"/>
                <w:lang w:eastAsia="en-US"/>
              </w:rPr>
              <w:t xml:space="preserve">Paragraph </w:t>
            </w:r>
            <w:r>
              <w:rPr>
                <w:rFonts w:asciiTheme="minorHAnsi" w:hAnsiTheme="minorHAnsi" w:cs="Arial"/>
                <w:sz w:val="22"/>
                <w:szCs w:val="22"/>
                <w:lang w:eastAsia="en-US"/>
              </w:rPr>
              <w:t>3.1, 6.1 and 7.1:</w:t>
            </w:r>
            <w:r w:rsidRPr="0061021F">
              <w:rPr>
                <w:rFonts w:asciiTheme="minorHAnsi" w:hAnsiTheme="minorHAnsi" w:cs="Arial"/>
                <w:sz w:val="22"/>
                <w:szCs w:val="22"/>
                <w:lang w:eastAsia="en-US"/>
              </w:rPr>
              <w:t xml:space="preserve"> </w:t>
            </w:r>
            <w:r>
              <w:rPr>
                <w:rFonts w:asciiTheme="minorHAnsi" w:hAnsiTheme="minorHAnsi" w:cs="Arial"/>
                <w:sz w:val="22"/>
                <w:szCs w:val="22"/>
                <w:lang w:eastAsia="en-US"/>
              </w:rPr>
              <w:t xml:space="preserve">Transcription error where an indication was missed. It was carried over from sponsor submission. The indication was </w:t>
            </w:r>
            <w:r w:rsidRPr="004B7614">
              <w:rPr>
                <w:rFonts w:asciiTheme="minorHAnsi" w:hAnsiTheme="minorHAnsi" w:cs="Arial"/>
                <w:sz w:val="22"/>
                <w:szCs w:val="22"/>
                <w:lang w:eastAsia="en-US"/>
              </w:rPr>
              <w:t>‘Previously untreated or Relapsed/refractory CD20 positive acute lymphoblastic leukaemia</w:t>
            </w:r>
            <w:r>
              <w:rPr>
                <w:rFonts w:asciiTheme="minorHAnsi" w:hAnsiTheme="minorHAnsi" w:cs="Arial"/>
                <w:sz w:val="22"/>
                <w:szCs w:val="22"/>
                <w:lang w:eastAsia="en-US"/>
              </w:rPr>
              <w:t xml:space="preserve"> – EFC</w:t>
            </w:r>
            <w:r w:rsidRPr="004B7614">
              <w:rPr>
                <w:rFonts w:asciiTheme="minorHAnsi" w:hAnsiTheme="minorHAnsi" w:cs="Arial"/>
                <w:sz w:val="22"/>
                <w:szCs w:val="22"/>
                <w:lang w:eastAsia="en-US"/>
              </w:rPr>
              <w:t>’</w:t>
            </w:r>
            <w:r w:rsidRPr="0061021F">
              <w:rPr>
                <w:rFonts w:asciiTheme="minorHAnsi" w:hAnsiTheme="minorHAnsi" w:cs="Arial"/>
                <w:sz w:val="22"/>
                <w:szCs w:val="22"/>
                <w:lang w:eastAsia="en-US"/>
              </w:rPr>
              <w:t>.</w:t>
            </w:r>
          </w:p>
        </w:tc>
        <w:tc>
          <w:tcPr>
            <w:tcW w:w="2217" w:type="dxa"/>
          </w:tcPr>
          <w:p w14:paraId="077AFBCB" w14:textId="77777777" w:rsidR="00B27001" w:rsidRPr="0061021F" w:rsidRDefault="00B27001" w:rsidP="006C433F">
            <w:pPr>
              <w:spacing w:after="120"/>
              <w:jc w:val="center"/>
              <w:rPr>
                <w:rFonts w:asciiTheme="minorHAnsi" w:hAnsiTheme="minorHAnsi" w:cs="Arial"/>
                <w:sz w:val="22"/>
                <w:szCs w:val="22"/>
                <w:lang w:eastAsia="en-US"/>
              </w:rPr>
            </w:pPr>
            <w:r>
              <w:rPr>
                <w:rFonts w:asciiTheme="minorHAnsi" w:hAnsiTheme="minorHAnsi" w:cs="Arial"/>
                <w:sz w:val="22"/>
                <w:szCs w:val="22"/>
                <w:lang w:eastAsia="en-US"/>
              </w:rPr>
              <w:t>April 2022</w:t>
            </w:r>
          </w:p>
        </w:tc>
      </w:tr>
    </w:tbl>
    <w:p w14:paraId="321E6A21" w14:textId="77777777" w:rsidR="00201FB8" w:rsidRPr="00EF4580" w:rsidRDefault="00201FB8" w:rsidP="00DC27F3">
      <w:pPr>
        <w:pStyle w:val="3-BodyText"/>
        <w:numPr>
          <w:ilvl w:val="0"/>
          <w:numId w:val="0"/>
        </w:numPr>
        <w:jc w:val="left"/>
      </w:pPr>
    </w:p>
    <w:sectPr w:rsidR="00201FB8" w:rsidRPr="00EF4580"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9BD38" w14:textId="77777777" w:rsidR="00CA4E1A" w:rsidRDefault="00CA4E1A">
      <w:r>
        <w:separator/>
      </w:r>
    </w:p>
    <w:p w14:paraId="1F5CFE7D" w14:textId="77777777" w:rsidR="00CA4E1A" w:rsidRDefault="00CA4E1A"/>
  </w:endnote>
  <w:endnote w:type="continuationSeparator" w:id="0">
    <w:p w14:paraId="6B152783" w14:textId="77777777" w:rsidR="00CA4E1A" w:rsidRDefault="00CA4E1A">
      <w:r>
        <w:continuationSeparator/>
      </w:r>
    </w:p>
    <w:p w14:paraId="2599BA5D" w14:textId="77777777" w:rsidR="00CA4E1A" w:rsidRDefault="00CA4E1A"/>
  </w:endnote>
  <w:endnote w:type="continuationNotice" w:id="1">
    <w:p w14:paraId="32965607" w14:textId="77777777" w:rsidR="00CA4E1A" w:rsidRDefault="00CA4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EA0799" w14:paraId="3F32044B" w14:textId="77777777" w:rsidTr="005A3173">
      <w:trPr>
        <w:trHeight w:val="151"/>
      </w:trPr>
      <w:tc>
        <w:tcPr>
          <w:tcW w:w="2250" w:type="pct"/>
          <w:tcBorders>
            <w:top w:val="nil"/>
            <w:left w:val="nil"/>
            <w:bottom w:val="single" w:sz="4" w:space="0" w:color="4F81BD"/>
            <w:right w:val="nil"/>
          </w:tcBorders>
        </w:tcPr>
        <w:p w14:paraId="222E003D" w14:textId="77777777" w:rsidR="00EA0799" w:rsidRPr="005A3173" w:rsidRDefault="00EA0799" w:rsidP="005A3173">
          <w:pPr>
            <w:pStyle w:val="Header"/>
            <w:spacing w:line="276" w:lineRule="auto"/>
            <w:rPr>
              <w:rFonts w:eastAsia="MS Gothic"/>
              <w:b/>
              <w:bCs/>
              <w:color w:val="4F81BD"/>
            </w:rPr>
          </w:pPr>
        </w:p>
      </w:tc>
      <w:tc>
        <w:tcPr>
          <w:tcW w:w="500" w:type="pct"/>
          <w:vMerge w:val="restart"/>
          <w:noWrap/>
          <w:vAlign w:val="center"/>
          <w:hideMark/>
        </w:tcPr>
        <w:p w14:paraId="59CBDC21" w14:textId="77777777" w:rsidR="00EA0799" w:rsidRPr="005A3173" w:rsidRDefault="00EA079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7CC8D220" w14:textId="77777777" w:rsidR="00EA0799" w:rsidRPr="005A3173" w:rsidRDefault="00EA0799" w:rsidP="005A3173">
          <w:pPr>
            <w:pStyle w:val="Header"/>
            <w:spacing w:line="276" w:lineRule="auto"/>
            <w:rPr>
              <w:rFonts w:eastAsia="MS Gothic"/>
              <w:b/>
              <w:bCs/>
              <w:color w:val="4F81BD"/>
            </w:rPr>
          </w:pPr>
        </w:p>
      </w:tc>
    </w:tr>
    <w:tr w:rsidR="00EA0799" w14:paraId="57C7E0A2" w14:textId="77777777" w:rsidTr="005A3173">
      <w:trPr>
        <w:trHeight w:val="150"/>
      </w:trPr>
      <w:tc>
        <w:tcPr>
          <w:tcW w:w="2250" w:type="pct"/>
          <w:tcBorders>
            <w:top w:val="single" w:sz="4" w:space="0" w:color="4F81BD"/>
            <w:left w:val="nil"/>
            <w:bottom w:val="nil"/>
            <w:right w:val="nil"/>
          </w:tcBorders>
        </w:tcPr>
        <w:p w14:paraId="7CDB9605" w14:textId="77777777" w:rsidR="00EA0799" w:rsidRPr="005A3173" w:rsidRDefault="00EA0799" w:rsidP="005A3173">
          <w:pPr>
            <w:pStyle w:val="Header"/>
            <w:spacing w:line="276" w:lineRule="auto"/>
            <w:rPr>
              <w:rFonts w:eastAsia="MS Gothic"/>
              <w:b/>
              <w:bCs/>
              <w:color w:val="4F81BD"/>
            </w:rPr>
          </w:pPr>
        </w:p>
      </w:tc>
      <w:tc>
        <w:tcPr>
          <w:tcW w:w="0" w:type="auto"/>
          <w:vMerge/>
          <w:vAlign w:val="center"/>
          <w:hideMark/>
        </w:tcPr>
        <w:p w14:paraId="0F1749C9" w14:textId="77777777" w:rsidR="00EA0799" w:rsidRPr="005A3173" w:rsidRDefault="00EA0799" w:rsidP="005A3173">
          <w:pPr>
            <w:rPr>
              <w:color w:val="365F91"/>
              <w:sz w:val="22"/>
              <w:szCs w:val="22"/>
            </w:rPr>
          </w:pPr>
        </w:p>
      </w:tc>
      <w:tc>
        <w:tcPr>
          <w:tcW w:w="2250" w:type="pct"/>
          <w:tcBorders>
            <w:top w:val="single" w:sz="4" w:space="0" w:color="4F81BD"/>
            <w:left w:val="nil"/>
            <w:bottom w:val="nil"/>
            <w:right w:val="nil"/>
          </w:tcBorders>
        </w:tcPr>
        <w:p w14:paraId="0B766330" w14:textId="77777777" w:rsidR="00EA0799" w:rsidRPr="005A3173" w:rsidRDefault="00EA0799" w:rsidP="005A3173">
          <w:pPr>
            <w:pStyle w:val="Header"/>
            <w:spacing w:line="276" w:lineRule="auto"/>
            <w:rPr>
              <w:rFonts w:eastAsia="MS Gothic"/>
              <w:b/>
              <w:bCs/>
              <w:color w:val="4F81BD"/>
            </w:rPr>
          </w:pPr>
        </w:p>
      </w:tc>
    </w:tr>
  </w:tbl>
  <w:p w14:paraId="2A018989" w14:textId="77777777" w:rsidR="00EA0799" w:rsidRDefault="00EA079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0608B7" w14:textId="77777777" w:rsidR="00EA0799" w:rsidRDefault="00EA0799">
    <w:pPr>
      <w:pStyle w:val="Footer"/>
    </w:pPr>
  </w:p>
  <w:p w14:paraId="3A8913F2" w14:textId="77777777" w:rsidR="00EA0799" w:rsidRDefault="00EA07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8DBBF" w14:textId="77777777" w:rsidR="00EA0799" w:rsidRPr="00D429EC" w:rsidRDefault="00EA0799" w:rsidP="00E27234">
    <w:pPr>
      <w:pStyle w:val="PBACFooter"/>
      <w:rPr>
        <w:rFonts w:asciiTheme="minorHAnsi" w:hAnsiTheme="minorHAnsi" w:cstheme="minorHAnsi"/>
        <w:sz w:val="24"/>
      </w:rPr>
    </w:pPr>
  </w:p>
  <w:p w14:paraId="23B2EBD4" w14:textId="77777777" w:rsidR="000C36F5" w:rsidRPr="0037015C" w:rsidRDefault="000C36F5" w:rsidP="000C36F5">
    <w:pPr>
      <w:pStyle w:val="Footer"/>
      <w:jc w:val="center"/>
      <w:rPr>
        <w:b/>
        <w:caps/>
        <w:noProof/>
      </w:rPr>
    </w:pPr>
    <w:r w:rsidRPr="0037015C">
      <w:rPr>
        <w:b/>
        <w:caps/>
      </w:rPr>
      <w:fldChar w:fldCharType="begin"/>
    </w:r>
    <w:r w:rsidRPr="0037015C">
      <w:rPr>
        <w:b/>
        <w:caps/>
      </w:rPr>
      <w:instrText xml:space="preserve"> PAGE   \* MERGEFORMAT </w:instrText>
    </w:r>
    <w:r w:rsidRPr="0037015C">
      <w:rPr>
        <w:b/>
        <w:caps/>
      </w:rPr>
      <w:fldChar w:fldCharType="separate"/>
    </w:r>
    <w:r w:rsidR="00CA4E1A">
      <w:rPr>
        <w:b/>
        <w:caps/>
        <w:noProof/>
      </w:rPr>
      <w:t>1</w:t>
    </w:r>
    <w:r w:rsidRPr="0037015C">
      <w:rPr>
        <w:b/>
        <w:caps/>
        <w:noProof/>
      </w:rPr>
      <w:fldChar w:fldCharType="end"/>
    </w:r>
  </w:p>
  <w:p w14:paraId="220DFBC2" w14:textId="77777777" w:rsidR="00EA0799" w:rsidRPr="00D429EC" w:rsidRDefault="00EA0799" w:rsidP="000C36F5">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EA0799" w14:paraId="4135AB86" w14:textId="77777777" w:rsidTr="005A3173">
      <w:trPr>
        <w:trHeight w:val="151"/>
      </w:trPr>
      <w:tc>
        <w:tcPr>
          <w:tcW w:w="2250" w:type="pct"/>
          <w:tcBorders>
            <w:top w:val="nil"/>
            <w:left w:val="nil"/>
            <w:bottom w:val="single" w:sz="4" w:space="0" w:color="4F81BD"/>
            <w:right w:val="nil"/>
          </w:tcBorders>
        </w:tcPr>
        <w:p w14:paraId="062C1D2A" w14:textId="77777777" w:rsidR="00EA0799" w:rsidRPr="005A3173" w:rsidRDefault="00EA0799" w:rsidP="005A3173">
          <w:pPr>
            <w:pStyle w:val="Header"/>
            <w:spacing w:line="276" w:lineRule="auto"/>
            <w:rPr>
              <w:rFonts w:eastAsia="MS Gothic"/>
              <w:b/>
              <w:bCs/>
              <w:color w:val="4F81BD"/>
            </w:rPr>
          </w:pPr>
        </w:p>
      </w:tc>
      <w:tc>
        <w:tcPr>
          <w:tcW w:w="500" w:type="pct"/>
          <w:vMerge w:val="restart"/>
          <w:noWrap/>
          <w:vAlign w:val="center"/>
          <w:hideMark/>
        </w:tcPr>
        <w:p w14:paraId="65677B5E" w14:textId="77777777" w:rsidR="00EA0799" w:rsidRPr="005A3173" w:rsidRDefault="00EA079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DF4BE4F" w14:textId="77777777" w:rsidR="00EA0799" w:rsidRPr="005A3173" w:rsidRDefault="00EA0799" w:rsidP="005A3173">
          <w:pPr>
            <w:pStyle w:val="Header"/>
            <w:spacing w:line="276" w:lineRule="auto"/>
            <w:rPr>
              <w:rFonts w:eastAsia="MS Gothic"/>
              <w:b/>
              <w:bCs/>
              <w:color w:val="4F81BD"/>
            </w:rPr>
          </w:pPr>
        </w:p>
      </w:tc>
    </w:tr>
    <w:tr w:rsidR="00EA0799" w14:paraId="3184301F" w14:textId="77777777" w:rsidTr="005A3173">
      <w:trPr>
        <w:trHeight w:val="150"/>
      </w:trPr>
      <w:tc>
        <w:tcPr>
          <w:tcW w:w="2250" w:type="pct"/>
          <w:tcBorders>
            <w:top w:val="single" w:sz="4" w:space="0" w:color="4F81BD"/>
            <w:left w:val="nil"/>
            <w:bottom w:val="nil"/>
            <w:right w:val="nil"/>
          </w:tcBorders>
        </w:tcPr>
        <w:p w14:paraId="430210D1" w14:textId="77777777" w:rsidR="00EA0799" w:rsidRPr="005A3173" w:rsidRDefault="00EA0799" w:rsidP="005A3173">
          <w:pPr>
            <w:pStyle w:val="Header"/>
            <w:spacing w:line="276" w:lineRule="auto"/>
            <w:rPr>
              <w:rFonts w:eastAsia="MS Gothic"/>
              <w:b/>
              <w:bCs/>
              <w:color w:val="4F81BD"/>
            </w:rPr>
          </w:pPr>
        </w:p>
      </w:tc>
      <w:tc>
        <w:tcPr>
          <w:tcW w:w="0" w:type="auto"/>
          <w:vMerge/>
          <w:vAlign w:val="center"/>
          <w:hideMark/>
        </w:tcPr>
        <w:p w14:paraId="414BF34C" w14:textId="77777777" w:rsidR="00EA0799" w:rsidRPr="005A3173" w:rsidRDefault="00EA0799" w:rsidP="005A3173">
          <w:pPr>
            <w:rPr>
              <w:color w:val="365F91"/>
              <w:sz w:val="22"/>
              <w:szCs w:val="22"/>
            </w:rPr>
          </w:pPr>
        </w:p>
      </w:tc>
      <w:tc>
        <w:tcPr>
          <w:tcW w:w="2250" w:type="pct"/>
          <w:tcBorders>
            <w:top w:val="single" w:sz="4" w:space="0" w:color="4F81BD"/>
            <w:left w:val="nil"/>
            <w:bottom w:val="nil"/>
            <w:right w:val="nil"/>
          </w:tcBorders>
        </w:tcPr>
        <w:p w14:paraId="19C18E7E" w14:textId="77777777" w:rsidR="00EA0799" w:rsidRPr="005A3173" w:rsidRDefault="00EA0799"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EA0799" w14:paraId="71790CEE" w14:textId="77777777" w:rsidTr="005A3173">
      <w:trPr>
        <w:trHeight w:val="151"/>
      </w:trPr>
      <w:tc>
        <w:tcPr>
          <w:tcW w:w="2250" w:type="pct"/>
          <w:tcBorders>
            <w:top w:val="nil"/>
            <w:left w:val="nil"/>
            <w:bottom w:val="single" w:sz="4" w:space="0" w:color="4F81BD"/>
            <w:right w:val="nil"/>
          </w:tcBorders>
        </w:tcPr>
        <w:p w14:paraId="3736DF84" w14:textId="77777777" w:rsidR="00EA0799" w:rsidRPr="005A3173" w:rsidRDefault="00EA0799" w:rsidP="005A3173">
          <w:pPr>
            <w:pStyle w:val="Header"/>
            <w:spacing w:line="276" w:lineRule="auto"/>
            <w:rPr>
              <w:rFonts w:eastAsia="MS Gothic"/>
              <w:b/>
              <w:bCs/>
              <w:color w:val="4F81BD"/>
            </w:rPr>
          </w:pPr>
        </w:p>
      </w:tc>
      <w:tc>
        <w:tcPr>
          <w:tcW w:w="500" w:type="pct"/>
          <w:vMerge w:val="restart"/>
          <w:noWrap/>
          <w:vAlign w:val="center"/>
          <w:hideMark/>
        </w:tcPr>
        <w:p w14:paraId="4F29A504" w14:textId="77777777" w:rsidR="00EA0799" w:rsidRPr="005A3173" w:rsidRDefault="00EA079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BAC7109" w14:textId="77777777" w:rsidR="00EA0799" w:rsidRPr="005A3173" w:rsidRDefault="00EA0799" w:rsidP="005A3173">
          <w:pPr>
            <w:pStyle w:val="Header"/>
            <w:spacing w:line="276" w:lineRule="auto"/>
            <w:rPr>
              <w:rFonts w:eastAsia="MS Gothic"/>
              <w:b/>
              <w:bCs/>
              <w:color w:val="4F81BD"/>
            </w:rPr>
          </w:pPr>
        </w:p>
      </w:tc>
    </w:tr>
    <w:tr w:rsidR="00EA0799" w14:paraId="7DC4BA6C" w14:textId="77777777" w:rsidTr="005A3173">
      <w:trPr>
        <w:trHeight w:val="150"/>
      </w:trPr>
      <w:tc>
        <w:tcPr>
          <w:tcW w:w="2250" w:type="pct"/>
          <w:tcBorders>
            <w:top w:val="single" w:sz="4" w:space="0" w:color="4F81BD"/>
            <w:left w:val="nil"/>
            <w:bottom w:val="nil"/>
            <w:right w:val="nil"/>
          </w:tcBorders>
        </w:tcPr>
        <w:p w14:paraId="4BF1FC2C" w14:textId="77777777" w:rsidR="00EA0799" w:rsidRPr="005A3173" w:rsidRDefault="00EA0799" w:rsidP="005A3173">
          <w:pPr>
            <w:pStyle w:val="Header"/>
            <w:spacing w:line="276" w:lineRule="auto"/>
            <w:rPr>
              <w:rFonts w:eastAsia="MS Gothic"/>
              <w:b/>
              <w:bCs/>
              <w:color w:val="4F81BD"/>
            </w:rPr>
          </w:pPr>
        </w:p>
      </w:tc>
      <w:tc>
        <w:tcPr>
          <w:tcW w:w="0" w:type="auto"/>
          <w:vMerge/>
          <w:vAlign w:val="center"/>
          <w:hideMark/>
        </w:tcPr>
        <w:p w14:paraId="1D640B9D" w14:textId="77777777" w:rsidR="00EA0799" w:rsidRPr="005A3173" w:rsidRDefault="00EA0799" w:rsidP="005A3173">
          <w:pPr>
            <w:rPr>
              <w:color w:val="365F91"/>
              <w:sz w:val="22"/>
              <w:szCs w:val="22"/>
            </w:rPr>
          </w:pPr>
        </w:p>
      </w:tc>
      <w:tc>
        <w:tcPr>
          <w:tcW w:w="2250" w:type="pct"/>
          <w:tcBorders>
            <w:top w:val="single" w:sz="4" w:space="0" w:color="4F81BD"/>
            <w:left w:val="nil"/>
            <w:bottom w:val="nil"/>
            <w:right w:val="nil"/>
          </w:tcBorders>
        </w:tcPr>
        <w:p w14:paraId="221E4188" w14:textId="77777777" w:rsidR="00EA0799" w:rsidRPr="005A3173" w:rsidRDefault="00EA0799" w:rsidP="005A3173">
          <w:pPr>
            <w:pStyle w:val="Header"/>
            <w:spacing w:line="276" w:lineRule="auto"/>
            <w:rPr>
              <w:rFonts w:eastAsia="MS Gothic"/>
              <w:b/>
              <w:bCs/>
              <w:color w:val="4F81BD"/>
            </w:rPr>
          </w:pPr>
        </w:p>
      </w:tc>
    </w:tr>
  </w:tbl>
  <w:p w14:paraId="7F30AE07" w14:textId="77777777" w:rsidR="00EA0799" w:rsidRPr="007C0F57" w:rsidRDefault="00EA079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7C31F4">
      <w:rPr>
        <w:rStyle w:val="PageNumber"/>
        <w:noProof/>
      </w:rPr>
      <w:t>1</w:t>
    </w:r>
    <w:r>
      <w:rPr>
        <w:rStyle w:val="PageNumber"/>
      </w:rPr>
      <w:fldChar w:fldCharType="end"/>
    </w:r>
    <w:r w:rsidRPr="007C0F57">
      <w:rPr>
        <w:b/>
        <w:i/>
        <w:sz w:val="20"/>
        <w:szCs w:val="20"/>
      </w:rPr>
      <w:t>BAC Meeting</w:t>
    </w:r>
  </w:p>
  <w:p w14:paraId="099138DC" w14:textId="77777777" w:rsidR="00EA0799" w:rsidRPr="007C0F57" w:rsidRDefault="00EA0799" w:rsidP="007C0F57">
    <w:pPr>
      <w:pStyle w:val="Footer"/>
      <w:jc w:val="center"/>
      <w:rPr>
        <w:b/>
        <w:i/>
        <w:sz w:val="20"/>
        <w:szCs w:val="20"/>
      </w:rPr>
    </w:pPr>
    <w:r w:rsidRPr="007C0F57">
      <w:rPr>
        <w:b/>
        <w:i/>
        <w:sz w:val="20"/>
        <w:szCs w:val="20"/>
      </w:rPr>
      <w:t>Commercial-in-Confidence</w:t>
    </w:r>
  </w:p>
  <w:p w14:paraId="233EFC35" w14:textId="77777777" w:rsidR="00EA0799" w:rsidRDefault="00EA07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A4C54" w14:textId="77777777" w:rsidR="00CA4E1A" w:rsidRDefault="00CA4E1A">
      <w:r>
        <w:separator/>
      </w:r>
    </w:p>
    <w:p w14:paraId="78AF1245" w14:textId="77777777" w:rsidR="00CA4E1A" w:rsidRDefault="00CA4E1A"/>
  </w:footnote>
  <w:footnote w:type="continuationSeparator" w:id="0">
    <w:p w14:paraId="5A041CC2" w14:textId="77777777" w:rsidR="00CA4E1A" w:rsidRDefault="00CA4E1A">
      <w:r>
        <w:continuationSeparator/>
      </w:r>
    </w:p>
    <w:p w14:paraId="6AD03157" w14:textId="77777777" w:rsidR="00CA4E1A" w:rsidRDefault="00CA4E1A"/>
  </w:footnote>
  <w:footnote w:type="continuationNotice" w:id="1">
    <w:p w14:paraId="6E7898F3" w14:textId="77777777" w:rsidR="00CA4E1A" w:rsidRDefault="00CA4E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EA0799" w:rsidRPr="008E0D90" w14:paraId="28453422" w14:textId="77777777" w:rsidTr="00A06225">
      <w:trPr>
        <w:trHeight w:val="151"/>
      </w:trPr>
      <w:tc>
        <w:tcPr>
          <w:tcW w:w="2389" w:type="pct"/>
          <w:tcBorders>
            <w:top w:val="nil"/>
            <w:left w:val="nil"/>
            <w:bottom w:val="single" w:sz="4" w:space="0" w:color="4F81BD"/>
            <w:right w:val="nil"/>
          </w:tcBorders>
        </w:tcPr>
        <w:p w14:paraId="5FE788DB" w14:textId="77777777" w:rsidR="00EA0799" w:rsidRPr="00A06225" w:rsidRDefault="00EA0799">
          <w:pPr>
            <w:pStyle w:val="Header"/>
            <w:spacing w:line="276" w:lineRule="auto"/>
            <w:rPr>
              <w:rFonts w:ascii="Cambria" w:eastAsia="MS Gothic" w:hAnsi="Cambria"/>
              <w:b/>
              <w:bCs/>
              <w:color w:val="4F81BD"/>
            </w:rPr>
          </w:pPr>
        </w:p>
      </w:tc>
      <w:tc>
        <w:tcPr>
          <w:tcW w:w="333" w:type="pct"/>
          <w:vMerge w:val="restart"/>
          <w:noWrap/>
          <w:vAlign w:val="center"/>
          <w:hideMark/>
        </w:tcPr>
        <w:p w14:paraId="507A2D52" w14:textId="77777777" w:rsidR="00EA0799" w:rsidRPr="00A06225" w:rsidRDefault="00EA0799" w:rsidP="00A06225">
          <w:pPr>
            <w:pStyle w:val="MediumGrid21"/>
            <w:rPr>
              <w:rFonts w:ascii="Cambria" w:hAnsi="Cambria"/>
              <w:color w:val="4F81BD"/>
              <w:szCs w:val="20"/>
            </w:rPr>
          </w:pPr>
          <w:r w:rsidRPr="008C595C">
            <w:rPr>
              <w:rFonts w:ascii="Cambria" w:hAnsi="Cambria"/>
              <w:color w:val="FF0000"/>
            </w:rPr>
            <w:t>[Type text]</w:t>
          </w:r>
        </w:p>
      </w:tc>
      <w:tc>
        <w:tcPr>
          <w:tcW w:w="2278" w:type="pct"/>
          <w:tcBorders>
            <w:top w:val="nil"/>
            <w:left w:val="nil"/>
            <w:bottom w:val="single" w:sz="4" w:space="0" w:color="4F81BD"/>
            <w:right w:val="nil"/>
          </w:tcBorders>
        </w:tcPr>
        <w:p w14:paraId="7A2994FA" w14:textId="77777777" w:rsidR="00EA0799" w:rsidRPr="00A06225" w:rsidRDefault="00EA0799">
          <w:pPr>
            <w:pStyle w:val="Header"/>
            <w:spacing w:line="276" w:lineRule="auto"/>
            <w:rPr>
              <w:rFonts w:ascii="Cambria" w:eastAsia="MS Gothic" w:hAnsi="Cambria"/>
              <w:b/>
              <w:bCs/>
              <w:color w:val="4F81BD"/>
            </w:rPr>
          </w:pPr>
        </w:p>
      </w:tc>
    </w:tr>
    <w:tr w:rsidR="00EA0799" w:rsidRPr="008E0D90" w14:paraId="70D7E9DA" w14:textId="77777777" w:rsidTr="00A06225">
      <w:trPr>
        <w:trHeight w:val="150"/>
      </w:trPr>
      <w:tc>
        <w:tcPr>
          <w:tcW w:w="2389" w:type="pct"/>
          <w:tcBorders>
            <w:top w:val="single" w:sz="4" w:space="0" w:color="4F81BD"/>
            <w:left w:val="nil"/>
            <w:bottom w:val="nil"/>
            <w:right w:val="nil"/>
          </w:tcBorders>
        </w:tcPr>
        <w:p w14:paraId="01EDB2D4" w14:textId="77777777" w:rsidR="00EA0799" w:rsidRPr="00A06225" w:rsidRDefault="00EA0799">
          <w:pPr>
            <w:pStyle w:val="Header"/>
            <w:spacing w:line="276" w:lineRule="auto"/>
            <w:rPr>
              <w:rFonts w:ascii="Cambria" w:eastAsia="MS Gothic" w:hAnsi="Cambria"/>
              <w:b/>
              <w:bCs/>
              <w:color w:val="4F81BD"/>
            </w:rPr>
          </w:pPr>
        </w:p>
      </w:tc>
      <w:tc>
        <w:tcPr>
          <w:tcW w:w="0" w:type="auto"/>
          <w:vMerge/>
          <w:vAlign w:val="center"/>
          <w:hideMark/>
        </w:tcPr>
        <w:p w14:paraId="16F22484" w14:textId="77777777" w:rsidR="00EA0799" w:rsidRPr="00A06225" w:rsidRDefault="00EA0799">
          <w:pPr>
            <w:rPr>
              <w:rFonts w:ascii="Cambria" w:hAnsi="Cambria"/>
              <w:color w:val="4F81BD"/>
              <w:sz w:val="22"/>
              <w:szCs w:val="22"/>
            </w:rPr>
          </w:pPr>
        </w:p>
      </w:tc>
      <w:tc>
        <w:tcPr>
          <w:tcW w:w="2278" w:type="pct"/>
          <w:tcBorders>
            <w:top w:val="single" w:sz="4" w:space="0" w:color="4F81BD"/>
            <w:left w:val="nil"/>
            <w:bottom w:val="nil"/>
            <w:right w:val="nil"/>
          </w:tcBorders>
        </w:tcPr>
        <w:p w14:paraId="626FA9F4" w14:textId="77777777" w:rsidR="00EA0799" w:rsidRPr="00A06225" w:rsidRDefault="00EA0799">
          <w:pPr>
            <w:pStyle w:val="Header"/>
            <w:spacing w:line="276" w:lineRule="auto"/>
            <w:rPr>
              <w:rFonts w:ascii="Cambria" w:eastAsia="MS Gothic" w:hAnsi="Cambria"/>
              <w:b/>
              <w:bCs/>
              <w:color w:val="4F81BD"/>
            </w:rPr>
          </w:pPr>
        </w:p>
      </w:tc>
    </w:tr>
  </w:tbl>
  <w:p w14:paraId="263345D6" w14:textId="77777777" w:rsidR="00EA0799" w:rsidRDefault="00EA0799">
    <w:pPr>
      <w:pStyle w:val="Header"/>
    </w:pPr>
  </w:p>
  <w:p w14:paraId="180ADD1D" w14:textId="77777777" w:rsidR="00EA0799" w:rsidRDefault="00EA07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424C9" w14:textId="77777777" w:rsidR="000C36F5" w:rsidRPr="00143C6B" w:rsidRDefault="000F2D1E" w:rsidP="000C36F5">
    <w:pPr>
      <w:pStyle w:val="MinorOVRHeader"/>
      <w:jc w:val="center"/>
      <w:rPr>
        <w:rFonts w:cstheme="minorHAnsi"/>
        <w:i/>
        <w:noProof/>
      </w:rPr>
    </w:pPr>
    <w:r>
      <w:rPr>
        <w:rFonts w:cstheme="minorHAnsi"/>
        <w:i/>
      </w:rPr>
      <w:t>Public Summary Document</w:t>
    </w:r>
    <w:r w:rsidR="000C36F5" w:rsidRPr="00143C6B">
      <w:rPr>
        <w:rFonts w:cstheme="minorHAnsi"/>
        <w:i/>
      </w:rPr>
      <w:t xml:space="preserve"> – </w:t>
    </w:r>
    <w:r w:rsidR="000C36F5">
      <w:rPr>
        <w:rFonts w:cstheme="minorHAnsi"/>
        <w:i/>
      </w:rPr>
      <w:t>November</w:t>
    </w:r>
    <w:r w:rsidR="000C36F5" w:rsidRPr="00143C6B">
      <w:rPr>
        <w:rFonts w:cstheme="minorHAnsi"/>
        <w:i/>
      </w:rPr>
      <w:t xml:space="preserve"> 2021 PBAC Meeting</w:t>
    </w:r>
    <w:r w:rsidR="000C36F5" w:rsidRPr="00143C6B">
      <w:rPr>
        <w:rFonts w:cstheme="minorHAnsi"/>
        <w:i/>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74E029EC"/>
    <w:lvl w:ilvl="0" w:tplc="0C090015">
      <w:start w:val="1"/>
      <w:numFmt w:val="upperLetter"/>
      <w:pStyle w:val="ListBullet"/>
      <w:lvlText w:val="%1."/>
      <w:lvlJc w:val="left"/>
      <w:pPr>
        <w:tabs>
          <w:tab w:val="num" w:pos="720"/>
        </w:tabs>
        <w:ind w:left="720" w:hanging="360"/>
      </w:pPr>
      <w:rPr>
        <w:rFonts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CE720D0"/>
    <w:multiLevelType w:val="multilevel"/>
    <w:tmpl w:val="AC721568"/>
    <w:lvl w:ilvl="0">
      <w:start w:val="1"/>
      <w:numFmt w:val="bullet"/>
      <w:lvlText w:val=""/>
      <w:lvlJc w:val="left"/>
      <w:pPr>
        <w:ind w:left="1440" w:hanging="720"/>
      </w:pPr>
      <w:rPr>
        <w:rFonts w:ascii="Symbol" w:hAnsi="Symbol" w:hint="default"/>
        <w:b/>
      </w:rPr>
    </w:lvl>
    <w:lvl w:ilvl="1">
      <w:start w:val="1"/>
      <w:numFmt w:val="bullet"/>
      <w:lvlText w:val=""/>
      <w:lvlJc w:val="left"/>
      <w:pPr>
        <w:ind w:left="7382" w:hanging="720"/>
      </w:pPr>
      <w:rPr>
        <w:rFonts w:ascii="Symbol" w:hAnsi="Symbol" w:hint="default"/>
        <w:i w:val="0"/>
      </w:rPr>
    </w:lvl>
    <w:lvl w:ilvl="2">
      <w:start w:val="1"/>
      <w:numFmt w:val="bullet"/>
      <w:lvlText w:val="o"/>
      <w:lvlJc w:val="left"/>
      <w:pPr>
        <w:ind w:left="1440" w:hanging="720"/>
      </w:pPr>
      <w:rPr>
        <w:rFonts w:ascii="Courier New" w:hAnsi="Courier New" w:cs="Times New Roman" w:hint="default"/>
      </w:r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4"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6AC6FA3"/>
    <w:multiLevelType w:val="hybridMultilevel"/>
    <w:tmpl w:val="BA2831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6F0195B"/>
    <w:multiLevelType w:val="hybridMultilevel"/>
    <w:tmpl w:val="F3BC1034"/>
    <w:lvl w:ilvl="0" w:tplc="566275F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904D1E"/>
    <w:multiLevelType w:val="hybridMultilevel"/>
    <w:tmpl w:val="26FE30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57E1B3A"/>
    <w:multiLevelType w:val="multilevel"/>
    <w:tmpl w:val="53DA516C"/>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26250B8C"/>
    <w:multiLevelType w:val="multilevel"/>
    <w:tmpl w:val="53DA516C"/>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2BB16EB3"/>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12"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6244933"/>
    <w:multiLevelType w:val="hybridMultilevel"/>
    <w:tmpl w:val="0E88EA7E"/>
    <w:lvl w:ilvl="0" w:tplc="68D646DC">
      <w:start w:val="1"/>
      <w:numFmt w:val="upperLetter"/>
      <w:lvlText w:val="%1."/>
      <w:lvlJc w:val="left"/>
      <w:pPr>
        <w:ind w:left="360" w:hanging="360"/>
      </w:pPr>
      <w:rPr>
        <w:i w:val="0"/>
        <w:iCs w:val="0"/>
      </w:r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1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5" w15:restartNumberingAfterBreak="0">
    <w:nsid w:val="4B8C7BA7"/>
    <w:multiLevelType w:val="hybridMultilevel"/>
    <w:tmpl w:val="D5F0DC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BA96306"/>
    <w:multiLevelType w:val="hybridMultilevel"/>
    <w:tmpl w:val="4B5210C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F0B1634"/>
    <w:multiLevelType w:val="multilevel"/>
    <w:tmpl w:val="D8D056F0"/>
    <w:lvl w:ilvl="0">
      <w:start w:val="1"/>
      <w:numFmt w:val="bullet"/>
      <w:lvlText w:val=""/>
      <w:lvlJc w:val="left"/>
      <w:pPr>
        <w:ind w:left="720" w:hanging="720"/>
      </w:pPr>
      <w:rPr>
        <w:rFonts w:ascii="Symbol" w:hAnsi="Symbol" w:hint="default"/>
        <w:b/>
        <w:color w:val="auto"/>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50AB7BA7"/>
    <w:multiLevelType w:val="multilevel"/>
    <w:tmpl w:val="D8D056F0"/>
    <w:lvl w:ilvl="0">
      <w:start w:val="1"/>
      <w:numFmt w:val="bullet"/>
      <w:lvlText w:val=""/>
      <w:lvlJc w:val="left"/>
      <w:pPr>
        <w:ind w:left="720" w:hanging="720"/>
      </w:pPr>
      <w:rPr>
        <w:rFonts w:ascii="Symbol" w:hAnsi="Symbol" w:hint="default"/>
        <w:b/>
        <w:color w:val="auto"/>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55920E4E"/>
    <w:multiLevelType w:val="hybridMultilevel"/>
    <w:tmpl w:val="E11A2E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B0A5364"/>
    <w:multiLevelType w:val="hybridMultilevel"/>
    <w:tmpl w:val="D7D47506"/>
    <w:lvl w:ilvl="0" w:tplc="0C090015">
      <w:start w:val="1"/>
      <w:numFmt w:val="upperLetter"/>
      <w:lvlText w:val="%1."/>
      <w:lvlJc w:val="left"/>
      <w:pPr>
        <w:ind w:left="1497" w:hanging="360"/>
      </w:pPr>
    </w:lvl>
    <w:lvl w:ilvl="1" w:tplc="0C090019" w:tentative="1">
      <w:start w:val="1"/>
      <w:numFmt w:val="lowerLetter"/>
      <w:lvlText w:val="%2."/>
      <w:lvlJc w:val="left"/>
      <w:pPr>
        <w:ind w:left="2217" w:hanging="360"/>
      </w:pPr>
    </w:lvl>
    <w:lvl w:ilvl="2" w:tplc="0C09001B" w:tentative="1">
      <w:start w:val="1"/>
      <w:numFmt w:val="lowerRoman"/>
      <w:lvlText w:val="%3."/>
      <w:lvlJc w:val="right"/>
      <w:pPr>
        <w:ind w:left="2937" w:hanging="180"/>
      </w:pPr>
    </w:lvl>
    <w:lvl w:ilvl="3" w:tplc="0C09000F" w:tentative="1">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abstractNum w:abstractNumId="22"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11245CE"/>
    <w:multiLevelType w:val="hybridMultilevel"/>
    <w:tmpl w:val="234EE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67025BC"/>
    <w:multiLevelType w:val="hybridMultilevel"/>
    <w:tmpl w:val="B5AAB11E"/>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A1270DA"/>
    <w:multiLevelType w:val="multilevel"/>
    <w:tmpl w:val="53DA516C"/>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6C14126C"/>
    <w:multiLevelType w:val="hybridMultilevel"/>
    <w:tmpl w:val="212021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E224B4B"/>
    <w:multiLevelType w:val="hybridMultilevel"/>
    <w:tmpl w:val="8B8E454C"/>
    <w:lvl w:ilvl="0" w:tplc="040C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84D033C"/>
    <w:multiLevelType w:val="multilevel"/>
    <w:tmpl w:val="4BB82092"/>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78E66239"/>
    <w:multiLevelType w:val="multilevel"/>
    <w:tmpl w:val="D8D056F0"/>
    <w:lvl w:ilvl="0">
      <w:start w:val="1"/>
      <w:numFmt w:val="bullet"/>
      <w:lvlText w:val=""/>
      <w:lvlJc w:val="left"/>
      <w:pPr>
        <w:ind w:left="720" w:hanging="720"/>
      </w:pPr>
      <w:rPr>
        <w:rFonts w:ascii="Symbol" w:hAnsi="Symbol" w:hint="default"/>
        <w:b/>
        <w:color w:val="auto"/>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794C2728"/>
    <w:multiLevelType w:val="hybridMultilevel"/>
    <w:tmpl w:val="49780FAC"/>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BF67099"/>
    <w:multiLevelType w:val="hybridMultilevel"/>
    <w:tmpl w:val="FD6CE128"/>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num w:numId="1">
    <w:abstractNumId w:val="13"/>
  </w:num>
  <w:num w:numId="2">
    <w:abstractNumId w:val="33"/>
  </w:num>
  <w:num w:numId="3">
    <w:abstractNumId w:val="0"/>
  </w:num>
  <w:num w:numId="4">
    <w:abstractNumId w:val="23"/>
  </w:num>
  <w:num w:numId="5">
    <w:abstractNumId w:val="37"/>
  </w:num>
  <w:num w:numId="6">
    <w:abstractNumId w:val="32"/>
  </w:num>
  <w:num w:numId="7">
    <w:abstractNumId w:val="17"/>
  </w:num>
  <w:num w:numId="8">
    <w:abstractNumId w:val="14"/>
  </w:num>
  <w:num w:numId="9">
    <w:abstractNumId w:val="1"/>
  </w:num>
  <w:num w:numId="10">
    <w:abstractNumId w:val="33"/>
  </w:num>
  <w:num w:numId="11">
    <w:abstractNumId w:val="28"/>
  </w:num>
  <w:num w:numId="12">
    <w:abstractNumId w:val="12"/>
  </w:num>
  <w:num w:numId="13">
    <w:abstractNumId w:val="25"/>
  </w:num>
  <w:num w:numId="14">
    <w:abstractNumId w:val="11"/>
  </w:num>
  <w:num w:numId="15">
    <w:abstractNumId w:val="2"/>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22"/>
  </w:num>
  <w:num w:numId="19">
    <w:abstractNumId w:val="7"/>
  </w:num>
  <w:num w:numId="20">
    <w:abstractNumId w:val="4"/>
  </w:num>
  <w:num w:numId="21">
    <w:abstractNumId w:val="8"/>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0"/>
  </w:num>
  <w:num w:numId="28">
    <w:abstractNumId w:val="31"/>
  </w:num>
  <w:num w:numId="29">
    <w:abstractNumId w:val="38"/>
  </w:num>
  <w:num w:numId="30">
    <w:abstractNumId w:val="35"/>
  </w:num>
  <w:num w:numId="31">
    <w:abstractNumId w:val="5"/>
  </w:num>
  <w:num w:numId="32">
    <w:abstractNumId w:val="20"/>
  </w:num>
  <w:num w:numId="33">
    <w:abstractNumId w:val="21"/>
  </w:num>
  <w:num w:numId="34">
    <w:abstractNumId w:val="16"/>
  </w:num>
  <w:num w:numId="35">
    <w:abstractNumId w:val="9"/>
  </w:num>
  <w:num w:numId="36">
    <w:abstractNumId w:val="29"/>
  </w:num>
  <w:num w:numId="37">
    <w:abstractNumId w:val="10"/>
  </w:num>
  <w:num w:numId="38">
    <w:abstractNumId w:val="34"/>
  </w:num>
  <w:num w:numId="39">
    <w:abstractNumId w:val="18"/>
  </w:num>
  <w:num w:numId="40">
    <w:abstractNumId w:val="19"/>
  </w:num>
  <w:num w:numId="41">
    <w:abstractNumId w:val="26"/>
  </w:num>
  <w:num w:numId="42">
    <w:abstractNumId w:val="15"/>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33"/>
  </w:num>
  <w:num w:numId="47">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num>
  <w:num w:numId="49">
    <w:abstractNumId w:val="33"/>
  </w:num>
  <w:num w:numId="50">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06782"/>
    <w:rsid w:val="00011A59"/>
    <w:rsid w:val="0001454D"/>
    <w:rsid w:val="00014D69"/>
    <w:rsid w:val="00016A41"/>
    <w:rsid w:val="000214D1"/>
    <w:rsid w:val="0002464A"/>
    <w:rsid w:val="00025A04"/>
    <w:rsid w:val="0002693D"/>
    <w:rsid w:val="0003050E"/>
    <w:rsid w:val="0003106B"/>
    <w:rsid w:val="00034905"/>
    <w:rsid w:val="000421A1"/>
    <w:rsid w:val="0004240E"/>
    <w:rsid w:val="00044EC4"/>
    <w:rsid w:val="00045E26"/>
    <w:rsid w:val="000514B5"/>
    <w:rsid w:val="00052CF1"/>
    <w:rsid w:val="0005322E"/>
    <w:rsid w:val="00054E2B"/>
    <w:rsid w:val="00060E64"/>
    <w:rsid w:val="00061A67"/>
    <w:rsid w:val="00062E88"/>
    <w:rsid w:val="00066193"/>
    <w:rsid w:val="00066755"/>
    <w:rsid w:val="00071A5B"/>
    <w:rsid w:val="00072730"/>
    <w:rsid w:val="0007337F"/>
    <w:rsid w:val="00074320"/>
    <w:rsid w:val="000763D5"/>
    <w:rsid w:val="00076C38"/>
    <w:rsid w:val="00077143"/>
    <w:rsid w:val="00077DF7"/>
    <w:rsid w:val="0008050C"/>
    <w:rsid w:val="00082169"/>
    <w:rsid w:val="000834BE"/>
    <w:rsid w:val="00083F01"/>
    <w:rsid w:val="00087C4C"/>
    <w:rsid w:val="000918CB"/>
    <w:rsid w:val="00091B06"/>
    <w:rsid w:val="0009447B"/>
    <w:rsid w:val="000951C4"/>
    <w:rsid w:val="00095ADA"/>
    <w:rsid w:val="000969AD"/>
    <w:rsid w:val="00097388"/>
    <w:rsid w:val="000975FB"/>
    <w:rsid w:val="000A02F8"/>
    <w:rsid w:val="000A06FA"/>
    <w:rsid w:val="000A2749"/>
    <w:rsid w:val="000A3AA2"/>
    <w:rsid w:val="000A44B2"/>
    <w:rsid w:val="000A52F6"/>
    <w:rsid w:val="000B44C3"/>
    <w:rsid w:val="000B558D"/>
    <w:rsid w:val="000B5A89"/>
    <w:rsid w:val="000B65F6"/>
    <w:rsid w:val="000B71DA"/>
    <w:rsid w:val="000B7767"/>
    <w:rsid w:val="000C36F5"/>
    <w:rsid w:val="000C5F95"/>
    <w:rsid w:val="000C6996"/>
    <w:rsid w:val="000C7C46"/>
    <w:rsid w:val="000D0102"/>
    <w:rsid w:val="000D09E9"/>
    <w:rsid w:val="000D113F"/>
    <w:rsid w:val="000D23BA"/>
    <w:rsid w:val="000D61CA"/>
    <w:rsid w:val="000E19B7"/>
    <w:rsid w:val="000E1FD5"/>
    <w:rsid w:val="000E20FC"/>
    <w:rsid w:val="000E3DFB"/>
    <w:rsid w:val="000E5EA1"/>
    <w:rsid w:val="000E681E"/>
    <w:rsid w:val="000E7E52"/>
    <w:rsid w:val="000F0003"/>
    <w:rsid w:val="000F2D1E"/>
    <w:rsid w:val="000F3384"/>
    <w:rsid w:val="000F4E6A"/>
    <w:rsid w:val="000F7354"/>
    <w:rsid w:val="00101ABE"/>
    <w:rsid w:val="00102202"/>
    <w:rsid w:val="00102700"/>
    <w:rsid w:val="00102A78"/>
    <w:rsid w:val="00103118"/>
    <w:rsid w:val="00104227"/>
    <w:rsid w:val="00104D55"/>
    <w:rsid w:val="001107BF"/>
    <w:rsid w:val="00113649"/>
    <w:rsid w:val="00113D5C"/>
    <w:rsid w:val="0012417C"/>
    <w:rsid w:val="00124BF2"/>
    <w:rsid w:val="001256A4"/>
    <w:rsid w:val="0012597F"/>
    <w:rsid w:val="0012749D"/>
    <w:rsid w:val="001306A5"/>
    <w:rsid w:val="00130918"/>
    <w:rsid w:val="001311AE"/>
    <w:rsid w:val="00131302"/>
    <w:rsid w:val="00140B74"/>
    <w:rsid w:val="00140D94"/>
    <w:rsid w:val="00142395"/>
    <w:rsid w:val="00142714"/>
    <w:rsid w:val="00144D09"/>
    <w:rsid w:val="001452ED"/>
    <w:rsid w:val="00147D84"/>
    <w:rsid w:val="001549C1"/>
    <w:rsid w:val="00156C8D"/>
    <w:rsid w:val="00160F4D"/>
    <w:rsid w:val="00162BDD"/>
    <w:rsid w:val="00162D4E"/>
    <w:rsid w:val="00163329"/>
    <w:rsid w:val="00164623"/>
    <w:rsid w:val="001652DE"/>
    <w:rsid w:val="00165B64"/>
    <w:rsid w:val="00167C39"/>
    <w:rsid w:val="00170F16"/>
    <w:rsid w:val="00176B9D"/>
    <w:rsid w:val="00180713"/>
    <w:rsid w:val="00180720"/>
    <w:rsid w:val="001830CE"/>
    <w:rsid w:val="001836E3"/>
    <w:rsid w:val="00184B69"/>
    <w:rsid w:val="0018643B"/>
    <w:rsid w:val="00196307"/>
    <w:rsid w:val="00197F03"/>
    <w:rsid w:val="001A0D10"/>
    <w:rsid w:val="001A33EA"/>
    <w:rsid w:val="001A352C"/>
    <w:rsid w:val="001A4413"/>
    <w:rsid w:val="001A4C4F"/>
    <w:rsid w:val="001A5A2B"/>
    <w:rsid w:val="001A70F9"/>
    <w:rsid w:val="001A76FB"/>
    <w:rsid w:val="001B017F"/>
    <w:rsid w:val="001B0B79"/>
    <w:rsid w:val="001B2BBC"/>
    <w:rsid w:val="001B2BCD"/>
    <w:rsid w:val="001B3A40"/>
    <w:rsid w:val="001B3FFE"/>
    <w:rsid w:val="001B5129"/>
    <w:rsid w:val="001C0B4C"/>
    <w:rsid w:val="001C0EC4"/>
    <w:rsid w:val="001C1195"/>
    <w:rsid w:val="001C12AE"/>
    <w:rsid w:val="001C1E84"/>
    <w:rsid w:val="001C2E42"/>
    <w:rsid w:val="001D1F5F"/>
    <w:rsid w:val="001D6160"/>
    <w:rsid w:val="001D7C5B"/>
    <w:rsid w:val="001E06D2"/>
    <w:rsid w:val="001E17C4"/>
    <w:rsid w:val="001E7A6F"/>
    <w:rsid w:val="001F005B"/>
    <w:rsid w:val="001F1850"/>
    <w:rsid w:val="001F1FBF"/>
    <w:rsid w:val="001F2B80"/>
    <w:rsid w:val="001F2F1C"/>
    <w:rsid w:val="001F3189"/>
    <w:rsid w:val="00201FB8"/>
    <w:rsid w:val="00202650"/>
    <w:rsid w:val="00203FAC"/>
    <w:rsid w:val="00213CFB"/>
    <w:rsid w:val="0021553C"/>
    <w:rsid w:val="0021557B"/>
    <w:rsid w:val="00215FED"/>
    <w:rsid w:val="00216B87"/>
    <w:rsid w:val="002174FD"/>
    <w:rsid w:val="00217BE1"/>
    <w:rsid w:val="002214B9"/>
    <w:rsid w:val="00223370"/>
    <w:rsid w:val="00226C08"/>
    <w:rsid w:val="00227BE4"/>
    <w:rsid w:val="00230355"/>
    <w:rsid w:val="00230F63"/>
    <w:rsid w:val="00234252"/>
    <w:rsid w:val="0023466E"/>
    <w:rsid w:val="00237AC6"/>
    <w:rsid w:val="00244139"/>
    <w:rsid w:val="00244490"/>
    <w:rsid w:val="00245B9C"/>
    <w:rsid w:val="00245F60"/>
    <w:rsid w:val="002471DF"/>
    <w:rsid w:val="00253499"/>
    <w:rsid w:val="002535B0"/>
    <w:rsid w:val="002551A4"/>
    <w:rsid w:val="00257664"/>
    <w:rsid w:val="00260165"/>
    <w:rsid w:val="00263055"/>
    <w:rsid w:val="00265151"/>
    <w:rsid w:val="00265C2C"/>
    <w:rsid w:val="00266509"/>
    <w:rsid w:val="00270126"/>
    <w:rsid w:val="00271014"/>
    <w:rsid w:val="00271BA1"/>
    <w:rsid w:val="00273AC5"/>
    <w:rsid w:val="002762FA"/>
    <w:rsid w:val="00276B31"/>
    <w:rsid w:val="00277505"/>
    <w:rsid w:val="00277B7B"/>
    <w:rsid w:val="0028158C"/>
    <w:rsid w:val="002821E8"/>
    <w:rsid w:val="002823B6"/>
    <w:rsid w:val="00282ED7"/>
    <w:rsid w:val="00290C03"/>
    <w:rsid w:val="00294274"/>
    <w:rsid w:val="0029458F"/>
    <w:rsid w:val="002A018F"/>
    <w:rsid w:val="002A071C"/>
    <w:rsid w:val="002A0E04"/>
    <w:rsid w:val="002A104C"/>
    <w:rsid w:val="002A1DC4"/>
    <w:rsid w:val="002A1EF7"/>
    <w:rsid w:val="002A494D"/>
    <w:rsid w:val="002A4960"/>
    <w:rsid w:val="002A6154"/>
    <w:rsid w:val="002A636A"/>
    <w:rsid w:val="002B0AE0"/>
    <w:rsid w:val="002B1397"/>
    <w:rsid w:val="002B1AE6"/>
    <w:rsid w:val="002B1D51"/>
    <w:rsid w:val="002B2488"/>
    <w:rsid w:val="002B2DE8"/>
    <w:rsid w:val="002B30F8"/>
    <w:rsid w:val="002B388A"/>
    <w:rsid w:val="002B3C1A"/>
    <w:rsid w:val="002B5596"/>
    <w:rsid w:val="002B77D7"/>
    <w:rsid w:val="002C212F"/>
    <w:rsid w:val="002C2F35"/>
    <w:rsid w:val="002C6AA9"/>
    <w:rsid w:val="002C7485"/>
    <w:rsid w:val="002D2641"/>
    <w:rsid w:val="002D283A"/>
    <w:rsid w:val="002D4543"/>
    <w:rsid w:val="002E3153"/>
    <w:rsid w:val="002E3231"/>
    <w:rsid w:val="002E4A02"/>
    <w:rsid w:val="002E5292"/>
    <w:rsid w:val="002E72CA"/>
    <w:rsid w:val="002F03C9"/>
    <w:rsid w:val="002F1D07"/>
    <w:rsid w:val="002F5672"/>
    <w:rsid w:val="002F5D02"/>
    <w:rsid w:val="002F600D"/>
    <w:rsid w:val="002F6F0F"/>
    <w:rsid w:val="002F7E47"/>
    <w:rsid w:val="00300AD6"/>
    <w:rsid w:val="00300B1B"/>
    <w:rsid w:val="003019D0"/>
    <w:rsid w:val="003032B7"/>
    <w:rsid w:val="003064AF"/>
    <w:rsid w:val="00307DC6"/>
    <w:rsid w:val="00310A8B"/>
    <w:rsid w:val="00310B68"/>
    <w:rsid w:val="0031201C"/>
    <w:rsid w:val="003160D2"/>
    <w:rsid w:val="003173FC"/>
    <w:rsid w:val="00317C6C"/>
    <w:rsid w:val="00320B80"/>
    <w:rsid w:val="00320CD3"/>
    <w:rsid w:val="003242B5"/>
    <w:rsid w:val="003265F0"/>
    <w:rsid w:val="00326E79"/>
    <w:rsid w:val="0032748A"/>
    <w:rsid w:val="003301B1"/>
    <w:rsid w:val="0033111B"/>
    <w:rsid w:val="00331189"/>
    <w:rsid w:val="0033263D"/>
    <w:rsid w:val="00334E69"/>
    <w:rsid w:val="0033518A"/>
    <w:rsid w:val="00335535"/>
    <w:rsid w:val="003367EF"/>
    <w:rsid w:val="003374E5"/>
    <w:rsid w:val="00341AE4"/>
    <w:rsid w:val="00344653"/>
    <w:rsid w:val="003476EE"/>
    <w:rsid w:val="003541DD"/>
    <w:rsid w:val="00356E5B"/>
    <w:rsid w:val="003736C9"/>
    <w:rsid w:val="00381F96"/>
    <w:rsid w:val="00383B77"/>
    <w:rsid w:val="00384988"/>
    <w:rsid w:val="003850DD"/>
    <w:rsid w:val="00385C25"/>
    <w:rsid w:val="003865DA"/>
    <w:rsid w:val="003872CF"/>
    <w:rsid w:val="003941BF"/>
    <w:rsid w:val="003966CA"/>
    <w:rsid w:val="0039782C"/>
    <w:rsid w:val="003A0FC3"/>
    <w:rsid w:val="003A13A6"/>
    <w:rsid w:val="003A2165"/>
    <w:rsid w:val="003A3AF3"/>
    <w:rsid w:val="003A5B4A"/>
    <w:rsid w:val="003A5D95"/>
    <w:rsid w:val="003B0D3A"/>
    <w:rsid w:val="003B2302"/>
    <w:rsid w:val="003B23C5"/>
    <w:rsid w:val="003B2A75"/>
    <w:rsid w:val="003B49B2"/>
    <w:rsid w:val="003B6124"/>
    <w:rsid w:val="003B6AE1"/>
    <w:rsid w:val="003B7960"/>
    <w:rsid w:val="003C0908"/>
    <w:rsid w:val="003C093A"/>
    <w:rsid w:val="003C1ECF"/>
    <w:rsid w:val="003C2FB5"/>
    <w:rsid w:val="003C5C00"/>
    <w:rsid w:val="003D24C5"/>
    <w:rsid w:val="003D4594"/>
    <w:rsid w:val="003D4AC4"/>
    <w:rsid w:val="003D63B7"/>
    <w:rsid w:val="003D74C5"/>
    <w:rsid w:val="003E4374"/>
    <w:rsid w:val="003E468B"/>
    <w:rsid w:val="003E5074"/>
    <w:rsid w:val="003E62BD"/>
    <w:rsid w:val="003F044F"/>
    <w:rsid w:val="003F0C3A"/>
    <w:rsid w:val="003F15F0"/>
    <w:rsid w:val="003F3228"/>
    <w:rsid w:val="003F52D4"/>
    <w:rsid w:val="003F5C8C"/>
    <w:rsid w:val="003F63CE"/>
    <w:rsid w:val="003F775A"/>
    <w:rsid w:val="00400E55"/>
    <w:rsid w:val="00400F4F"/>
    <w:rsid w:val="0040128E"/>
    <w:rsid w:val="00401769"/>
    <w:rsid w:val="0040216B"/>
    <w:rsid w:val="00404490"/>
    <w:rsid w:val="004051D0"/>
    <w:rsid w:val="0040590E"/>
    <w:rsid w:val="00406477"/>
    <w:rsid w:val="00414F0C"/>
    <w:rsid w:val="00420400"/>
    <w:rsid w:val="00422D90"/>
    <w:rsid w:val="004252EC"/>
    <w:rsid w:val="00430D39"/>
    <w:rsid w:val="00442C91"/>
    <w:rsid w:val="004465BD"/>
    <w:rsid w:val="00446938"/>
    <w:rsid w:val="00450779"/>
    <w:rsid w:val="0045138B"/>
    <w:rsid w:val="004528FA"/>
    <w:rsid w:val="004614FB"/>
    <w:rsid w:val="00461A44"/>
    <w:rsid w:val="00462D26"/>
    <w:rsid w:val="0046385A"/>
    <w:rsid w:val="00464039"/>
    <w:rsid w:val="00466ADA"/>
    <w:rsid w:val="004702BB"/>
    <w:rsid w:val="00472CFD"/>
    <w:rsid w:val="0047494B"/>
    <w:rsid w:val="00476245"/>
    <w:rsid w:val="00477A9B"/>
    <w:rsid w:val="00483035"/>
    <w:rsid w:val="00485940"/>
    <w:rsid w:val="00486C95"/>
    <w:rsid w:val="004877C2"/>
    <w:rsid w:val="004904B9"/>
    <w:rsid w:val="00496662"/>
    <w:rsid w:val="004A10D6"/>
    <w:rsid w:val="004A1431"/>
    <w:rsid w:val="004A2484"/>
    <w:rsid w:val="004A5A85"/>
    <w:rsid w:val="004A71D1"/>
    <w:rsid w:val="004A7C5B"/>
    <w:rsid w:val="004B1845"/>
    <w:rsid w:val="004B2348"/>
    <w:rsid w:val="004B2E01"/>
    <w:rsid w:val="004B2E98"/>
    <w:rsid w:val="004B5640"/>
    <w:rsid w:val="004B6084"/>
    <w:rsid w:val="004BCF29"/>
    <w:rsid w:val="004C0206"/>
    <w:rsid w:val="004C03D0"/>
    <w:rsid w:val="004C1BD7"/>
    <w:rsid w:val="004C239C"/>
    <w:rsid w:val="004C31FE"/>
    <w:rsid w:val="004C524C"/>
    <w:rsid w:val="004C5FFA"/>
    <w:rsid w:val="004C691D"/>
    <w:rsid w:val="004C6C07"/>
    <w:rsid w:val="004C7E15"/>
    <w:rsid w:val="004D2CD1"/>
    <w:rsid w:val="004D4FF6"/>
    <w:rsid w:val="004D5ADD"/>
    <w:rsid w:val="004E692D"/>
    <w:rsid w:val="004E7230"/>
    <w:rsid w:val="004E7D87"/>
    <w:rsid w:val="004F2553"/>
    <w:rsid w:val="004F306A"/>
    <w:rsid w:val="00501554"/>
    <w:rsid w:val="00502AFE"/>
    <w:rsid w:val="00502E64"/>
    <w:rsid w:val="00502F51"/>
    <w:rsid w:val="00503AD7"/>
    <w:rsid w:val="00503E89"/>
    <w:rsid w:val="00503E95"/>
    <w:rsid w:val="00504E0C"/>
    <w:rsid w:val="00504E13"/>
    <w:rsid w:val="005109D4"/>
    <w:rsid w:val="00514CD7"/>
    <w:rsid w:val="005167EC"/>
    <w:rsid w:val="005170DA"/>
    <w:rsid w:val="005178AF"/>
    <w:rsid w:val="00520D6A"/>
    <w:rsid w:val="00522DB6"/>
    <w:rsid w:val="00524FA5"/>
    <w:rsid w:val="005251EA"/>
    <w:rsid w:val="005264A7"/>
    <w:rsid w:val="0052792D"/>
    <w:rsid w:val="005319B2"/>
    <w:rsid w:val="00531A1F"/>
    <w:rsid w:val="00532402"/>
    <w:rsid w:val="00532C74"/>
    <w:rsid w:val="0053313B"/>
    <w:rsid w:val="00534E2E"/>
    <w:rsid w:val="00535133"/>
    <w:rsid w:val="00537A27"/>
    <w:rsid w:val="0054064C"/>
    <w:rsid w:val="0054341E"/>
    <w:rsid w:val="00544552"/>
    <w:rsid w:val="00545130"/>
    <w:rsid w:val="00550427"/>
    <w:rsid w:val="0055286A"/>
    <w:rsid w:val="00555745"/>
    <w:rsid w:val="00557D4F"/>
    <w:rsid w:val="0056122E"/>
    <w:rsid w:val="00564544"/>
    <w:rsid w:val="0056484E"/>
    <w:rsid w:val="00567D8A"/>
    <w:rsid w:val="005764CD"/>
    <w:rsid w:val="00577C4D"/>
    <w:rsid w:val="00580532"/>
    <w:rsid w:val="00581932"/>
    <w:rsid w:val="0058201E"/>
    <w:rsid w:val="00583D8E"/>
    <w:rsid w:val="00587E3A"/>
    <w:rsid w:val="005934FA"/>
    <w:rsid w:val="005963BB"/>
    <w:rsid w:val="005A15D2"/>
    <w:rsid w:val="005A3173"/>
    <w:rsid w:val="005A3223"/>
    <w:rsid w:val="005A3DA3"/>
    <w:rsid w:val="005A52C4"/>
    <w:rsid w:val="005A63A1"/>
    <w:rsid w:val="005B1473"/>
    <w:rsid w:val="005B38AC"/>
    <w:rsid w:val="005C33CE"/>
    <w:rsid w:val="005C4F73"/>
    <w:rsid w:val="005C60AF"/>
    <w:rsid w:val="005D03AB"/>
    <w:rsid w:val="005D401D"/>
    <w:rsid w:val="005D5017"/>
    <w:rsid w:val="005D63FA"/>
    <w:rsid w:val="005D73C7"/>
    <w:rsid w:val="005E0C2D"/>
    <w:rsid w:val="005E0D82"/>
    <w:rsid w:val="005E0F59"/>
    <w:rsid w:val="005E1333"/>
    <w:rsid w:val="005E3136"/>
    <w:rsid w:val="005E48F7"/>
    <w:rsid w:val="005E507D"/>
    <w:rsid w:val="005E75DD"/>
    <w:rsid w:val="005F0AD0"/>
    <w:rsid w:val="00601A91"/>
    <w:rsid w:val="00602BA3"/>
    <w:rsid w:val="00605B63"/>
    <w:rsid w:val="00605F9A"/>
    <w:rsid w:val="00606442"/>
    <w:rsid w:val="00606EED"/>
    <w:rsid w:val="006125DB"/>
    <w:rsid w:val="00612A95"/>
    <w:rsid w:val="00612E34"/>
    <w:rsid w:val="00613E22"/>
    <w:rsid w:val="00614159"/>
    <w:rsid w:val="006158A3"/>
    <w:rsid w:val="00616C5F"/>
    <w:rsid w:val="00616DAC"/>
    <w:rsid w:val="00616E0B"/>
    <w:rsid w:val="00617725"/>
    <w:rsid w:val="00617C00"/>
    <w:rsid w:val="00621AB5"/>
    <w:rsid w:val="0062311E"/>
    <w:rsid w:val="006263BF"/>
    <w:rsid w:val="0062748A"/>
    <w:rsid w:val="00630546"/>
    <w:rsid w:val="00630A2C"/>
    <w:rsid w:val="0063682E"/>
    <w:rsid w:val="00640088"/>
    <w:rsid w:val="00640BEC"/>
    <w:rsid w:val="00642672"/>
    <w:rsid w:val="00642DA8"/>
    <w:rsid w:val="006436CD"/>
    <w:rsid w:val="006444BE"/>
    <w:rsid w:val="00651169"/>
    <w:rsid w:val="00653D69"/>
    <w:rsid w:val="006552E6"/>
    <w:rsid w:val="00655794"/>
    <w:rsid w:val="00656F2F"/>
    <w:rsid w:val="00657C63"/>
    <w:rsid w:val="00661CBC"/>
    <w:rsid w:val="00662B85"/>
    <w:rsid w:val="006670BE"/>
    <w:rsid w:val="00670A76"/>
    <w:rsid w:val="006711AA"/>
    <w:rsid w:val="00672B57"/>
    <w:rsid w:val="00673F1F"/>
    <w:rsid w:val="00675622"/>
    <w:rsid w:val="0067747D"/>
    <w:rsid w:val="006818D5"/>
    <w:rsid w:val="00681CA4"/>
    <w:rsid w:val="0068306C"/>
    <w:rsid w:val="0069039D"/>
    <w:rsid w:val="006906DB"/>
    <w:rsid w:val="00691900"/>
    <w:rsid w:val="00691E6C"/>
    <w:rsid w:val="00692A8E"/>
    <w:rsid w:val="0069342D"/>
    <w:rsid w:val="00693DFB"/>
    <w:rsid w:val="00694FD5"/>
    <w:rsid w:val="0069501D"/>
    <w:rsid w:val="006954C8"/>
    <w:rsid w:val="00696129"/>
    <w:rsid w:val="00697CF2"/>
    <w:rsid w:val="006A12A5"/>
    <w:rsid w:val="006A2515"/>
    <w:rsid w:val="006A402B"/>
    <w:rsid w:val="006A5E20"/>
    <w:rsid w:val="006B0D94"/>
    <w:rsid w:val="006B485D"/>
    <w:rsid w:val="006B6C1B"/>
    <w:rsid w:val="006C0C45"/>
    <w:rsid w:val="006C334C"/>
    <w:rsid w:val="006C3D1B"/>
    <w:rsid w:val="006C6C10"/>
    <w:rsid w:val="006C708E"/>
    <w:rsid w:val="006D14E7"/>
    <w:rsid w:val="006D4444"/>
    <w:rsid w:val="006D6493"/>
    <w:rsid w:val="006D6EC7"/>
    <w:rsid w:val="006E112A"/>
    <w:rsid w:val="006E1BCD"/>
    <w:rsid w:val="006E2732"/>
    <w:rsid w:val="006E3AB5"/>
    <w:rsid w:val="006E53FB"/>
    <w:rsid w:val="006E59CD"/>
    <w:rsid w:val="006E6A27"/>
    <w:rsid w:val="006F0A71"/>
    <w:rsid w:val="006F1C6B"/>
    <w:rsid w:val="006F40C2"/>
    <w:rsid w:val="006F5125"/>
    <w:rsid w:val="006F5D31"/>
    <w:rsid w:val="006F733D"/>
    <w:rsid w:val="00700765"/>
    <w:rsid w:val="00702959"/>
    <w:rsid w:val="00702B6F"/>
    <w:rsid w:val="00704069"/>
    <w:rsid w:val="0070665A"/>
    <w:rsid w:val="00706A2F"/>
    <w:rsid w:val="0070718E"/>
    <w:rsid w:val="00707E52"/>
    <w:rsid w:val="00710259"/>
    <w:rsid w:val="0071031F"/>
    <w:rsid w:val="0071340B"/>
    <w:rsid w:val="0071436D"/>
    <w:rsid w:val="00715BBB"/>
    <w:rsid w:val="007174BB"/>
    <w:rsid w:val="0071757E"/>
    <w:rsid w:val="0072025D"/>
    <w:rsid w:val="00723328"/>
    <w:rsid w:val="0073137C"/>
    <w:rsid w:val="007340B9"/>
    <w:rsid w:val="007353D3"/>
    <w:rsid w:val="00737B5E"/>
    <w:rsid w:val="0074156B"/>
    <w:rsid w:val="00741619"/>
    <w:rsid w:val="00746395"/>
    <w:rsid w:val="00747092"/>
    <w:rsid w:val="007526E6"/>
    <w:rsid w:val="0075428A"/>
    <w:rsid w:val="00754DF9"/>
    <w:rsid w:val="007555E8"/>
    <w:rsid w:val="00755CC5"/>
    <w:rsid w:val="00757BB5"/>
    <w:rsid w:val="00760979"/>
    <w:rsid w:val="0076420C"/>
    <w:rsid w:val="00771D07"/>
    <w:rsid w:val="00773BE3"/>
    <w:rsid w:val="007743DD"/>
    <w:rsid w:val="00774E2C"/>
    <w:rsid w:val="0077518D"/>
    <w:rsid w:val="007753C2"/>
    <w:rsid w:val="007838B8"/>
    <w:rsid w:val="00787FD8"/>
    <w:rsid w:val="007915BA"/>
    <w:rsid w:val="00791844"/>
    <w:rsid w:val="007979BD"/>
    <w:rsid w:val="007A6A2F"/>
    <w:rsid w:val="007B024E"/>
    <w:rsid w:val="007B18DC"/>
    <w:rsid w:val="007B3DDC"/>
    <w:rsid w:val="007B72A6"/>
    <w:rsid w:val="007C06D2"/>
    <w:rsid w:val="007C08E0"/>
    <w:rsid w:val="007C0F57"/>
    <w:rsid w:val="007C31F4"/>
    <w:rsid w:val="007C3D7B"/>
    <w:rsid w:val="007C3E69"/>
    <w:rsid w:val="007C40B6"/>
    <w:rsid w:val="007C6F95"/>
    <w:rsid w:val="007C729F"/>
    <w:rsid w:val="007D503D"/>
    <w:rsid w:val="007D59E7"/>
    <w:rsid w:val="007D5F2A"/>
    <w:rsid w:val="007E1D28"/>
    <w:rsid w:val="007E490F"/>
    <w:rsid w:val="007F0021"/>
    <w:rsid w:val="007F2641"/>
    <w:rsid w:val="007F7C36"/>
    <w:rsid w:val="008007FF"/>
    <w:rsid w:val="008055AF"/>
    <w:rsid w:val="008057CD"/>
    <w:rsid w:val="00806796"/>
    <w:rsid w:val="00810167"/>
    <w:rsid w:val="00811CC0"/>
    <w:rsid w:val="008151D6"/>
    <w:rsid w:val="008172F3"/>
    <w:rsid w:val="00821527"/>
    <w:rsid w:val="00822696"/>
    <w:rsid w:val="00825A6C"/>
    <w:rsid w:val="0082617E"/>
    <w:rsid w:val="00826409"/>
    <w:rsid w:val="008268BB"/>
    <w:rsid w:val="00826F6D"/>
    <w:rsid w:val="008306F3"/>
    <w:rsid w:val="00830E40"/>
    <w:rsid w:val="00832D9A"/>
    <w:rsid w:val="008343DB"/>
    <w:rsid w:val="00835C62"/>
    <w:rsid w:val="008368A1"/>
    <w:rsid w:val="00840EF7"/>
    <w:rsid w:val="00844C0A"/>
    <w:rsid w:val="00846056"/>
    <w:rsid w:val="0084681F"/>
    <w:rsid w:val="00847EC0"/>
    <w:rsid w:val="00850F1C"/>
    <w:rsid w:val="00855FD6"/>
    <w:rsid w:val="00856DDD"/>
    <w:rsid w:val="0086345E"/>
    <w:rsid w:val="00863E68"/>
    <w:rsid w:val="008647B5"/>
    <w:rsid w:val="00867D64"/>
    <w:rsid w:val="00875DCB"/>
    <w:rsid w:val="0087755A"/>
    <w:rsid w:val="00882085"/>
    <w:rsid w:val="00883188"/>
    <w:rsid w:val="008831DB"/>
    <w:rsid w:val="00884A0C"/>
    <w:rsid w:val="00886ACA"/>
    <w:rsid w:val="0089031E"/>
    <w:rsid w:val="0089460B"/>
    <w:rsid w:val="00897D58"/>
    <w:rsid w:val="00897F22"/>
    <w:rsid w:val="008A0B39"/>
    <w:rsid w:val="008A16DC"/>
    <w:rsid w:val="008A17A3"/>
    <w:rsid w:val="008A1956"/>
    <w:rsid w:val="008A1E85"/>
    <w:rsid w:val="008A2419"/>
    <w:rsid w:val="008A4937"/>
    <w:rsid w:val="008A50F1"/>
    <w:rsid w:val="008A59D9"/>
    <w:rsid w:val="008A643E"/>
    <w:rsid w:val="008A6819"/>
    <w:rsid w:val="008B2EC0"/>
    <w:rsid w:val="008B6DCF"/>
    <w:rsid w:val="008C595C"/>
    <w:rsid w:val="008D0945"/>
    <w:rsid w:val="008D1409"/>
    <w:rsid w:val="008D15CC"/>
    <w:rsid w:val="008D1729"/>
    <w:rsid w:val="008D1B5C"/>
    <w:rsid w:val="008D3C82"/>
    <w:rsid w:val="008D447E"/>
    <w:rsid w:val="008D467F"/>
    <w:rsid w:val="008D6ACF"/>
    <w:rsid w:val="008D7A41"/>
    <w:rsid w:val="008E0E94"/>
    <w:rsid w:val="008E2C72"/>
    <w:rsid w:val="008E3680"/>
    <w:rsid w:val="008E5870"/>
    <w:rsid w:val="008E77E4"/>
    <w:rsid w:val="008F0213"/>
    <w:rsid w:val="008F07ED"/>
    <w:rsid w:val="008F11F8"/>
    <w:rsid w:val="008F1434"/>
    <w:rsid w:val="008F2BB9"/>
    <w:rsid w:val="008F3D6A"/>
    <w:rsid w:val="008F54C3"/>
    <w:rsid w:val="008F7355"/>
    <w:rsid w:val="0090217F"/>
    <w:rsid w:val="009023DC"/>
    <w:rsid w:val="009027C5"/>
    <w:rsid w:val="00904413"/>
    <w:rsid w:val="009067B7"/>
    <w:rsid w:val="0090775A"/>
    <w:rsid w:val="00907DFD"/>
    <w:rsid w:val="009104E1"/>
    <w:rsid w:val="00913C99"/>
    <w:rsid w:val="00917D69"/>
    <w:rsid w:val="00920B6D"/>
    <w:rsid w:val="00926560"/>
    <w:rsid w:val="00926B15"/>
    <w:rsid w:val="00930133"/>
    <w:rsid w:val="00930291"/>
    <w:rsid w:val="00930937"/>
    <w:rsid w:val="009324A6"/>
    <w:rsid w:val="00933E6C"/>
    <w:rsid w:val="00935A6E"/>
    <w:rsid w:val="00937958"/>
    <w:rsid w:val="009406E5"/>
    <w:rsid w:val="00941602"/>
    <w:rsid w:val="00942160"/>
    <w:rsid w:val="00946921"/>
    <w:rsid w:val="00947343"/>
    <w:rsid w:val="0095146F"/>
    <w:rsid w:val="009534C7"/>
    <w:rsid w:val="00957944"/>
    <w:rsid w:val="009602C5"/>
    <w:rsid w:val="009616AE"/>
    <w:rsid w:val="00962223"/>
    <w:rsid w:val="00962283"/>
    <w:rsid w:val="0096252B"/>
    <w:rsid w:val="0096281A"/>
    <w:rsid w:val="00964A9F"/>
    <w:rsid w:val="00966D0D"/>
    <w:rsid w:val="00967732"/>
    <w:rsid w:val="0096783C"/>
    <w:rsid w:val="009722B3"/>
    <w:rsid w:val="00973E24"/>
    <w:rsid w:val="00974C21"/>
    <w:rsid w:val="00975948"/>
    <w:rsid w:val="00977BF3"/>
    <w:rsid w:val="009803E4"/>
    <w:rsid w:val="00980B0E"/>
    <w:rsid w:val="00982B39"/>
    <w:rsid w:val="009836A3"/>
    <w:rsid w:val="00984C58"/>
    <w:rsid w:val="009855A8"/>
    <w:rsid w:val="00985D1A"/>
    <w:rsid w:val="009913F4"/>
    <w:rsid w:val="00991782"/>
    <w:rsid w:val="009937F7"/>
    <w:rsid w:val="0099465B"/>
    <w:rsid w:val="009951A1"/>
    <w:rsid w:val="00997A44"/>
    <w:rsid w:val="009A0CDD"/>
    <w:rsid w:val="009A1252"/>
    <w:rsid w:val="009A3168"/>
    <w:rsid w:val="009A4BDF"/>
    <w:rsid w:val="009A5D04"/>
    <w:rsid w:val="009A61CA"/>
    <w:rsid w:val="009B0C64"/>
    <w:rsid w:val="009B0F67"/>
    <w:rsid w:val="009B2756"/>
    <w:rsid w:val="009B3D56"/>
    <w:rsid w:val="009B3F8C"/>
    <w:rsid w:val="009B533B"/>
    <w:rsid w:val="009C703C"/>
    <w:rsid w:val="009C7205"/>
    <w:rsid w:val="009D0C29"/>
    <w:rsid w:val="009D206E"/>
    <w:rsid w:val="009D3CAA"/>
    <w:rsid w:val="009D507A"/>
    <w:rsid w:val="009D6532"/>
    <w:rsid w:val="009D67C2"/>
    <w:rsid w:val="009D71FD"/>
    <w:rsid w:val="009E10AD"/>
    <w:rsid w:val="009E2588"/>
    <w:rsid w:val="009E2E1D"/>
    <w:rsid w:val="009E2E8E"/>
    <w:rsid w:val="009E405F"/>
    <w:rsid w:val="009E40E1"/>
    <w:rsid w:val="009F0EFA"/>
    <w:rsid w:val="009F126B"/>
    <w:rsid w:val="009F4E46"/>
    <w:rsid w:val="009F5B65"/>
    <w:rsid w:val="009F5F2E"/>
    <w:rsid w:val="00A002B4"/>
    <w:rsid w:val="00A01242"/>
    <w:rsid w:val="00A01432"/>
    <w:rsid w:val="00A0278A"/>
    <w:rsid w:val="00A0480F"/>
    <w:rsid w:val="00A06225"/>
    <w:rsid w:val="00A110D1"/>
    <w:rsid w:val="00A12587"/>
    <w:rsid w:val="00A12769"/>
    <w:rsid w:val="00A128E6"/>
    <w:rsid w:val="00A144D3"/>
    <w:rsid w:val="00A17250"/>
    <w:rsid w:val="00A22AC3"/>
    <w:rsid w:val="00A23F3F"/>
    <w:rsid w:val="00A24067"/>
    <w:rsid w:val="00A24A4B"/>
    <w:rsid w:val="00A2744D"/>
    <w:rsid w:val="00A30D16"/>
    <w:rsid w:val="00A34E6C"/>
    <w:rsid w:val="00A34FD0"/>
    <w:rsid w:val="00A362C2"/>
    <w:rsid w:val="00A36398"/>
    <w:rsid w:val="00A37C8D"/>
    <w:rsid w:val="00A4020E"/>
    <w:rsid w:val="00A408E8"/>
    <w:rsid w:val="00A40FB5"/>
    <w:rsid w:val="00A42826"/>
    <w:rsid w:val="00A429B3"/>
    <w:rsid w:val="00A44EC1"/>
    <w:rsid w:val="00A510E4"/>
    <w:rsid w:val="00A5273B"/>
    <w:rsid w:val="00A53A9D"/>
    <w:rsid w:val="00A55FEE"/>
    <w:rsid w:val="00A57422"/>
    <w:rsid w:val="00A57FBD"/>
    <w:rsid w:val="00A62C1A"/>
    <w:rsid w:val="00A6405B"/>
    <w:rsid w:val="00A6426D"/>
    <w:rsid w:val="00A665C1"/>
    <w:rsid w:val="00A673A4"/>
    <w:rsid w:val="00A7001A"/>
    <w:rsid w:val="00A70622"/>
    <w:rsid w:val="00A70977"/>
    <w:rsid w:val="00A70D58"/>
    <w:rsid w:val="00A744F9"/>
    <w:rsid w:val="00A754AC"/>
    <w:rsid w:val="00A7753A"/>
    <w:rsid w:val="00A77613"/>
    <w:rsid w:val="00A77B87"/>
    <w:rsid w:val="00A801D3"/>
    <w:rsid w:val="00A81851"/>
    <w:rsid w:val="00A8390C"/>
    <w:rsid w:val="00A86AE0"/>
    <w:rsid w:val="00A91362"/>
    <w:rsid w:val="00A9151C"/>
    <w:rsid w:val="00A919C6"/>
    <w:rsid w:val="00A928BD"/>
    <w:rsid w:val="00A95E70"/>
    <w:rsid w:val="00A97DE9"/>
    <w:rsid w:val="00AA12CD"/>
    <w:rsid w:val="00AA4D1C"/>
    <w:rsid w:val="00AA52FD"/>
    <w:rsid w:val="00AA65C7"/>
    <w:rsid w:val="00AA7006"/>
    <w:rsid w:val="00AB4684"/>
    <w:rsid w:val="00AB5856"/>
    <w:rsid w:val="00AC081D"/>
    <w:rsid w:val="00AC193C"/>
    <w:rsid w:val="00AC30C1"/>
    <w:rsid w:val="00AC4DE5"/>
    <w:rsid w:val="00AC5206"/>
    <w:rsid w:val="00AD3106"/>
    <w:rsid w:val="00AD404D"/>
    <w:rsid w:val="00AD4322"/>
    <w:rsid w:val="00AE11A5"/>
    <w:rsid w:val="00AE13E2"/>
    <w:rsid w:val="00AE22D3"/>
    <w:rsid w:val="00AE5A49"/>
    <w:rsid w:val="00AF11D8"/>
    <w:rsid w:val="00AF5867"/>
    <w:rsid w:val="00AF62DF"/>
    <w:rsid w:val="00AF68CC"/>
    <w:rsid w:val="00AF70D7"/>
    <w:rsid w:val="00B00CD0"/>
    <w:rsid w:val="00B00E7F"/>
    <w:rsid w:val="00B01FF4"/>
    <w:rsid w:val="00B0326D"/>
    <w:rsid w:val="00B06478"/>
    <w:rsid w:val="00B06678"/>
    <w:rsid w:val="00B07533"/>
    <w:rsid w:val="00B07CFB"/>
    <w:rsid w:val="00B1059E"/>
    <w:rsid w:val="00B14A36"/>
    <w:rsid w:val="00B15320"/>
    <w:rsid w:val="00B16273"/>
    <w:rsid w:val="00B170A5"/>
    <w:rsid w:val="00B1725F"/>
    <w:rsid w:val="00B176C8"/>
    <w:rsid w:val="00B17EE5"/>
    <w:rsid w:val="00B205AA"/>
    <w:rsid w:val="00B22E84"/>
    <w:rsid w:val="00B233AD"/>
    <w:rsid w:val="00B23E25"/>
    <w:rsid w:val="00B25F75"/>
    <w:rsid w:val="00B26B3F"/>
    <w:rsid w:val="00B27001"/>
    <w:rsid w:val="00B2778F"/>
    <w:rsid w:val="00B327E2"/>
    <w:rsid w:val="00B33635"/>
    <w:rsid w:val="00B37DA8"/>
    <w:rsid w:val="00B4051C"/>
    <w:rsid w:val="00B42AF4"/>
    <w:rsid w:val="00B43E90"/>
    <w:rsid w:val="00B44308"/>
    <w:rsid w:val="00B45722"/>
    <w:rsid w:val="00B467DC"/>
    <w:rsid w:val="00B50EC4"/>
    <w:rsid w:val="00B5392A"/>
    <w:rsid w:val="00B5583F"/>
    <w:rsid w:val="00B56118"/>
    <w:rsid w:val="00B566E1"/>
    <w:rsid w:val="00B602F6"/>
    <w:rsid w:val="00B6773F"/>
    <w:rsid w:val="00B70EB3"/>
    <w:rsid w:val="00B72906"/>
    <w:rsid w:val="00B74F48"/>
    <w:rsid w:val="00B7525E"/>
    <w:rsid w:val="00B760FB"/>
    <w:rsid w:val="00B76765"/>
    <w:rsid w:val="00B767AB"/>
    <w:rsid w:val="00B801BA"/>
    <w:rsid w:val="00B812D6"/>
    <w:rsid w:val="00B83718"/>
    <w:rsid w:val="00B84D5C"/>
    <w:rsid w:val="00B85AF6"/>
    <w:rsid w:val="00B86548"/>
    <w:rsid w:val="00B94038"/>
    <w:rsid w:val="00B956ED"/>
    <w:rsid w:val="00B96334"/>
    <w:rsid w:val="00BA2DA8"/>
    <w:rsid w:val="00BA347C"/>
    <w:rsid w:val="00BA6E93"/>
    <w:rsid w:val="00BB298A"/>
    <w:rsid w:val="00BB3469"/>
    <w:rsid w:val="00BB5C49"/>
    <w:rsid w:val="00BB6240"/>
    <w:rsid w:val="00BB6285"/>
    <w:rsid w:val="00BB69F5"/>
    <w:rsid w:val="00BB7BFE"/>
    <w:rsid w:val="00BB7EC3"/>
    <w:rsid w:val="00BC04A2"/>
    <w:rsid w:val="00BC04B1"/>
    <w:rsid w:val="00BC470E"/>
    <w:rsid w:val="00BC4B9A"/>
    <w:rsid w:val="00BD02C3"/>
    <w:rsid w:val="00BD7483"/>
    <w:rsid w:val="00BD784C"/>
    <w:rsid w:val="00BE020A"/>
    <w:rsid w:val="00BE13DF"/>
    <w:rsid w:val="00BE1E2B"/>
    <w:rsid w:val="00BE25D7"/>
    <w:rsid w:val="00BF092C"/>
    <w:rsid w:val="00BF209E"/>
    <w:rsid w:val="00BF27A0"/>
    <w:rsid w:val="00BF4A0E"/>
    <w:rsid w:val="00BF4CB6"/>
    <w:rsid w:val="00BF6CBD"/>
    <w:rsid w:val="00C00DA7"/>
    <w:rsid w:val="00C0402E"/>
    <w:rsid w:val="00C04CDE"/>
    <w:rsid w:val="00C068A6"/>
    <w:rsid w:val="00C12768"/>
    <w:rsid w:val="00C12D70"/>
    <w:rsid w:val="00C16724"/>
    <w:rsid w:val="00C21B09"/>
    <w:rsid w:val="00C2673A"/>
    <w:rsid w:val="00C27B58"/>
    <w:rsid w:val="00C27C1C"/>
    <w:rsid w:val="00C33186"/>
    <w:rsid w:val="00C35996"/>
    <w:rsid w:val="00C3638D"/>
    <w:rsid w:val="00C414C7"/>
    <w:rsid w:val="00C4614B"/>
    <w:rsid w:val="00C46A21"/>
    <w:rsid w:val="00C473EC"/>
    <w:rsid w:val="00C4747E"/>
    <w:rsid w:val="00C5151E"/>
    <w:rsid w:val="00C5342C"/>
    <w:rsid w:val="00C53B2B"/>
    <w:rsid w:val="00C57465"/>
    <w:rsid w:val="00C60272"/>
    <w:rsid w:val="00C603D4"/>
    <w:rsid w:val="00C61458"/>
    <w:rsid w:val="00C6256A"/>
    <w:rsid w:val="00C64EBC"/>
    <w:rsid w:val="00C664D2"/>
    <w:rsid w:val="00C710E2"/>
    <w:rsid w:val="00C71C3F"/>
    <w:rsid w:val="00C7409E"/>
    <w:rsid w:val="00C74D6D"/>
    <w:rsid w:val="00C76C54"/>
    <w:rsid w:val="00C76E76"/>
    <w:rsid w:val="00C76EB8"/>
    <w:rsid w:val="00C77891"/>
    <w:rsid w:val="00C829A9"/>
    <w:rsid w:val="00C82D63"/>
    <w:rsid w:val="00C838E5"/>
    <w:rsid w:val="00C87B80"/>
    <w:rsid w:val="00C902A4"/>
    <w:rsid w:val="00C90330"/>
    <w:rsid w:val="00C91449"/>
    <w:rsid w:val="00C92D10"/>
    <w:rsid w:val="00C96EC0"/>
    <w:rsid w:val="00CA48D9"/>
    <w:rsid w:val="00CA4E1A"/>
    <w:rsid w:val="00CB1193"/>
    <w:rsid w:val="00CB4767"/>
    <w:rsid w:val="00CB493D"/>
    <w:rsid w:val="00CC3B97"/>
    <w:rsid w:val="00CD6257"/>
    <w:rsid w:val="00CD7329"/>
    <w:rsid w:val="00CD7C0B"/>
    <w:rsid w:val="00CE10C4"/>
    <w:rsid w:val="00CE2343"/>
    <w:rsid w:val="00CE27B5"/>
    <w:rsid w:val="00CE6DAF"/>
    <w:rsid w:val="00CF410A"/>
    <w:rsid w:val="00CF7528"/>
    <w:rsid w:val="00CF7FDE"/>
    <w:rsid w:val="00D0321E"/>
    <w:rsid w:val="00D069EB"/>
    <w:rsid w:val="00D07676"/>
    <w:rsid w:val="00D07A8A"/>
    <w:rsid w:val="00D11199"/>
    <w:rsid w:val="00D1455A"/>
    <w:rsid w:val="00D149C6"/>
    <w:rsid w:val="00D14A70"/>
    <w:rsid w:val="00D207EA"/>
    <w:rsid w:val="00D22093"/>
    <w:rsid w:val="00D248DC"/>
    <w:rsid w:val="00D31150"/>
    <w:rsid w:val="00D3138B"/>
    <w:rsid w:val="00D31FCE"/>
    <w:rsid w:val="00D3280C"/>
    <w:rsid w:val="00D3406A"/>
    <w:rsid w:val="00D40B11"/>
    <w:rsid w:val="00D429EC"/>
    <w:rsid w:val="00D441F1"/>
    <w:rsid w:val="00D4572C"/>
    <w:rsid w:val="00D45BA0"/>
    <w:rsid w:val="00D469B2"/>
    <w:rsid w:val="00D52B24"/>
    <w:rsid w:val="00D54B09"/>
    <w:rsid w:val="00D6243E"/>
    <w:rsid w:val="00D65658"/>
    <w:rsid w:val="00D67EB2"/>
    <w:rsid w:val="00D67F0B"/>
    <w:rsid w:val="00D700B2"/>
    <w:rsid w:val="00D70349"/>
    <w:rsid w:val="00D710B1"/>
    <w:rsid w:val="00D72B6F"/>
    <w:rsid w:val="00D741EB"/>
    <w:rsid w:val="00D7679C"/>
    <w:rsid w:val="00D820F3"/>
    <w:rsid w:val="00D83605"/>
    <w:rsid w:val="00D84934"/>
    <w:rsid w:val="00D866EB"/>
    <w:rsid w:val="00D87D1A"/>
    <w:rsid w:val="00D91271"/>
    <w:rsid w:val="00D919F5"/>
    <w:rsid w:val="00D945F6"/>
    <w:rsid w:val="00D94F03"/>
    <w:rsid w:val="00D95161"/>
    <w:rsid w:val="00D974E2"/>
    <w:rsid w:val="00D976A4"/>
    <w:rsid w:val="00DA0A82"/>
    <w:rsid w:val="00DA0D14"/>
    <w:rsid w:val="00DA1FC9"/>
    <w:rsid w:val="00DA2CB5"/>
    <w:rsid w:val="00DA4BAC"/>
    <w:rsid w:val="00DB0151"/>
    <w:rsid w:val="00DB04D7"/>
    <w:rsid w:val="00DB50E1"/>
    <w:rsid w:val="00DC0566"/>
    <w:rsid w:val="00DC05E1"/>
    <w:rsid w:val="00DC148B"/>
    <w:rsid w:val="00DC1499"/>
    <w:rsid w:val="00DC27F3"/>
    <w:rsid w:val="00DC2C3E"/>
    <w:rsid w:val="00DC3137"/>
    <w:rsid w:val="00DC4880"/>
    <w:rsid w:val="00DD26F9"/>
    <w:rsid w:val="00DD42AB"/>
    <w:rsid w:val="00DE06AF"/>
    <w:rsid w:val="00DE6D27"/>
    <w:rsid w:val="00DF01F8"/>
    <w:rsid w:val="00DF021D"/>
    <w:rsid w:val="00DF14EE"/>
    <w:rsid w:val="00DF217D"/>
    <w:rsid w:val="00DF26A7"/>
    <w:rsid w:val="00DF29F2"/>
    <w:rsid w:val="00DF3277"/>
    <w:rsid w:val="00DF6A31"/>
    <w:rsid w:val="00DF77A1"/>
    <w:rsid w:val="00DF7919"/>
    <w:rsid w:val="00E0207E"/>
    <w:rsid w:val="00E02AE6"/>
    <w:rsid w:val="00E03912"/>
    <w:rsid w:val="00E04748"/>
    <w:rsid w:val="00E078D9"/>
    <w:rsid w:val="00E10293"/>
    <w:rsid w:val="00E103A0"/>
    <w:rsid w:val="00E1043F"/>
    <w:rsid w:val="00E11F44"/>
    <w:rsid w:val="00E13E60"/>
    <w:rsid w:val="00E1430D"/>
    <w:rsid w:val="00E15627"/>
    <w:rsid w:val="00E164B3"/>
    <w:rsid w:val="00E16910"/>
    <w:rsid w:val="00E16940"/>
    <w:rsid w:val="00E1791C"/>
    <w:rsid w:val="00E2332F"/>
    <w:rsid w:val="00E239E2"/>
    <w:rsid w:val="00E24E09"/>
    <w:rsid w:val="00E27234"/>
    <w:rsid w:val="00E3495C"/>
    <w:rsid w:val="00E42BDB"/>
    <w:rsid w:val="00E47FC8"/>
    <w:rsid w:val="00E53D46"/>
    <w:rsid w:val="00E5726D"/>
    <w:rsid w:val="00E57EEB"/>
    <w:rsid w:val="00E62D94"/>
    <w:rsid w:val="00E62ECC"/>
    <w:rsid w:val="00E64F37"/>
    <w:rsid w:val="00E65091"/>
    <w:rsid w:val="00E65E54"/>
    <w:rsid w:val="00E661C7"/>
    <w:rsid w:val="00E732C4"/>
    <w:rsid w:val="00E74E41"/>
    <w:rsid w:val="00E80155"/>
    <w:rsid w:val="00E808D9"/>
    <w:rsid w:val="00E8134B"/>
    <w:rsid w:val="00E81E0D"/>
    <w:rsid w:val="00E81F28"/>
    <w:rsid w:val="00E848C0"/>
    <w:rsid w:val="00E84BB8"/>
    <w:rsid w:val="00E86F92"/>
    <w:rsid w:val="00E91B96"/>
    <w:rsid w:val="00E935DA"/>
    <w:rsid w:val="00E93D1E"/>
    <w:rsid w:val="00E941A1"/>
    <w:rsid w:val="00E94789"/>
    <w:rsid w:val="00E95CE3"/>
    <w:rsid w:val="00E95F9A"/>
    <w:rsid w:val="00EA0799"/>
    <w:rsid w:val="00EA0856"/>
    <w:rsid w:val="00EA0F61"/>
    <w:rsid w:val="00EA252F"/>
    <w:rsid w:val="00EA2825"/>
    <w:rsid w:val="00EA6518"/>
    <w:rsid w:val="00EA71A2"/>
    <w:rsid w:val="00EA7466"/>
    <w:rsid w:val="00EA7EDE"/>
    <w:rsid w:val="00EB0B63"/>
    <w:rsid w:val="00EB1936"/>
    <w:rsid w:val="00EB3545"/>
    <w:rsid w:val="00EB37BE"/>
    <w:rsid w:val="00EB4BAE"/>
    <w:rsid w:val="00EB5088"/>
    <w:rsid w:val="00EB6B88"/>
    <w:rsid w:val="00EB7210"/>
    <w:rsid w:val="00EC2726"/>
    <w:rsid w:val="00EC2AA6"/>
    <w:rsid w:val="00EC681C"/>
    <w:rsid w:val="00EC6FB0"/>
    <w:rsid w:val="00ED1644"/>
    <w:rsid w:val="00ED2593"/>
    <w:rsid w:val="00ED3709"/>
    <w:rsid w:val="00ED599C"/>
    <w:rsid w:val="00ED5FA0"/>
    <w:rsid w:val="00ED7D55"/>
    <w:rsid w:val="00ED7D9C"/>
    <w:rsid w:val="00EE31A2"/>
    <w:rsid w:val="00EF0069"/>
    <w:rsid w:val="00EF44A0"/>
    <w:rsid w:val="00EF4580"/>
    <w:rsid w:val="00EF4FED"/>
    <w:rsid w:val="00EF5F45"/>
    <w:rsid w:val="00EF6843"/>
    <w:rsid w:val="00EF6FB3"/>
    <w:rsid w:val="00F0068B"/>
    <w:rsid w:val="00F007C6"/>
    <w:rsid w:val="00F0172E"/>
    <w:rsid w:val="00F01B5D"/>
    <w:rsid w:val="00F050BD"/>
    <w:rsid w:val="00F05657"/>
    <w:rsid w:val="00F05AB0"/>
    <w:rsid w:val="00F12C74"/>
    <w:rsid w:val="00F1559A"/>
    <w:rsid w:val="00F17ED6"/>
    <w:rsid w:val="00F20676"/>
    <w:rsid w:val="00F209E2"/>
    <w:rsid w:val="00F25578"/>
    <w:rsid w:val="00F258E5"/>
    <w:rsid w:val="00F25B9C"/>
    <w:rsid w:val="00F2675A"/>
    <w:rsid w:val="00F26CC6"/>
    <w:rsid w:val="00F300BC"/>
    <w:rsid w:val="00F3122B"/>
    <w:rsid w:val="00F3263C"/>
    <w:rsid w:val="00F3334E"/>
    <w:rsid w:val="00F36CCB"/>
    <w:rsid w:val="00F374E5"/>
    <w:rsid w:val="00F37B93"/>
    <w:rsid w:val="00F37BAD"/>
    <w:rsid w:val="00F37ECA"/>
    <w:rsid w:val="00F40A1C"/>
    <w:rsid w:val="00F43AF2"/>
    <w:rsid w:val="00F45216"/>
    <w:rsid w:val="00F47678"/>
    <w:rsid w:val="00F5007E"/>
    <w:rsid w:val="00F50EC4"/>
    <w:rsid w:val="00F52232"/>
    <w:rsid w:val="00F52DC2"/>
    <w:rsid w:val="00F550CF"/>
    <w:rsid w:val="00F553D2"/>
    <w:rsid w:val="00F57A6D"/>
    <w:rsid w:val="00F6044B"/>
    <w:rsid w:val="00F62F19"/>
    <w:rsid w:val="00F638CC"/>
    <w:rsid w:val="00F64C9E"/>
    <w:rsid w:val="00F64CC1"/>
    <w:rsid w:val="00F65127"/>
    <w:rsid w:val="00F72317"/>
    <w:rsid w:val="00F73DC1"/>
    <w:rsid w:val="00F75BB8"/>
    <w:rsid w:val="00F77480"/>
    <w:rsid w:val="00F77714"/>
    <w:rsid w:val="00F77F7E"/>
    <w:rsid w:val="00F80475"/>
    <w:rsid w:val="00F80E6E"/>
    <w:rsid w:val="00F81390"/>
    <w:rsid w:val="00F81F7A"/>
    <w:rsid w:val="00F8247A"/>
    <w:rsid w:val="00F82E5C"/>
    <w:rsid w:val="00F83319"/>
    <w:rsid w:val="00F83F58"/>
    <w:rsid w:val="00F841E1"/>
    <w:rsid w:val="00F846AD"/>
    <w:rsid w:val="00F85206"/>
    <w:rsid w:val="00F87CEA"/>
    <w:rsid w:val="00F9629A"/>
    <w:rsid w:val="00F964D8"/>
    <w:rsid w:val="00F97EFC"/>
    <w:rsid w:val="00FA0B04"/>
    <w:rsid w:val="00FA0C7C"/>
    <w:rsid w:val="00FA1646"/>
    <w:rsid w:val="00FA1BDD"/>
    <w:rsid w:val="00FA305C"/>
    <w:rsid w:val="00FA462E"/>
    <w:rsid w:val="00FA4DD5"/>
    <w:rsid w:val="00FA5883"/>
    <w:rsid w:val="00FA6055"/>
    <w:rsid w:val="00FB0B39"/>
    <w:rsid w:val="00FB322F"/>
    <w:rsid w:val="00FB442F"/>
    <w:rsid w:val="00FC118C"/>
    <w:rsid w:val="00FC1929"/>
    <w:rsid w:val="00FC5B46"/>
    <w:rsid w:val="00FD1D4F"/>
    <w:rsid w:val="00FD24BF"/>
    <w:rsid w:val="00FD3B6E"/>
    <w:rsid w:val="00FD57EB"/>
    <w:rsid w:val="00FD6D8E"/>
    <w:rsid w:val="00FD77A3"/>
    <w:rsid w:val="00FD7BB3"/>
    <w:rsid w:val="00FE0663"/>
    <w:rsid w:val="00FE0E94"/>
    <w:rsid w:val="00FE102C"/>
    <w:rsid w:val="00FE369C"/>
    <w:rsid w:val="00FE3908"/>
    <w:rsid w:val="00FE3CD9"/>
    <w:rsid w:val="00FE5E52"/>
    <w:rsid w:val="00FF00BD"/>
    <w:rsid w:val="00FF0166"/>
    <w:rsid w:val="00FF0B13"/>
    <w:rsid w:val="00FF1ED4"/>
    <w:rsid w:val="00FF2801"/>
    <w:rsid w:val="00FF799B"/>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493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Summary box,Table Gridbeth,CMA Table Template,ASD Table,new style,PBAC table,Header Table,NICE instructions,Source table_,HTAtableplain"/>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Styl moj,Akapit z listą11,Bullets,列出段落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列出段落1 Char"/>
    <w:basedOn w:val="DefaultParagraphFont"/>
    <w:link w:val="ListParagraph"/>
    <w:uiPriority w:val="72"/>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paragraph" w:styleId="NormalWeb">
    <w:name w:val="Normal (Web)"/>
    <w:basedOn w:val="Normal"/>
    <w:semiHidden/>
    <w:unhideWhenUsed/>
    <w:rsid w:val="00406477"/>
    <w:rPr>
      <w:rFonts w:ascii="Times New Roman" w:hAnsi="Times New Roman"/>
    </w:rPr>
  </w:style>
  <w:style w:type="character" w:customStyle="1" w:styleId="UnresolvedMention1">
    <w:name w:val="Unresolved Mention1"/>
    <w:basedOn w:val="DefaultParagraphFont"/>
    <w:uiPriority w:val="99"/>
    <w:semiHidden/>
    <w:unhideWhenUsed/>
    <w:rsid w:val="00F3122B"/>
    <w:rPr>
      <w:color w:val="605E5C"/>
      <w:shd w:val="clear" w:color="auto" w:fill="E1DFDD"/>
    </w:rPr>
  </w:style>
  <w:style w:type="character" w:customStyle="1" w:styleId="SmallBold">
    <w:name w:val="Small Bold"/>
    <w:basedOn w:val="DefaultParagraphFont"/>
    <w:uiPriority w:val="4"/>
    <w:qFormat/>
    <w:rsid w:val="00DC148B"/>
    <w:rPr>
      <w:rFonts w:ascii="Candara" w:hAnsi="Candara"/>
      <w:b/>
      <w:sz w:val="20"/>
      <w:lang w:val="en-AU"/>
    </w:rPr>
  </w:style>
  <w:style w:type="table" w:customStyle="1" w:styleId="TableGrid1">
    <w:name w:val="Table Grid1"/>
    <w:basedOn w:val="TableNormal"/>
    <w:next w:val="TableGrid"/>
    <w:uiPriority w:val="59"/>
    <w:rsid w:val="00B27001"/>
    <w:pPr>
      <w:spacing w:after="200" w:line="276" w:lineRule="auto"/>
    </w:pPr>
    <w:rPr>
      <w:rFonts w:ascii="Calibri" w:eastAsia="MS Mincho"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9811940">
      <w:bodyDiv w:val="1"/>
      <w:marLeft w:val="0"/>
      <w:marRight w:val="0"/>
      <w:marTop w:val="0"/>
      <w:marBottom w:val="0"/>
      <w:divBdr>
        <w:top w:val="none" w:sz="0" w:space="0" w:color="auto"/>
        <w:left w:val="none" w:sz="0" w:space="0" w:color="auto"/>
        <w:bottom w:val="none" w:sz="0" w:space="0" w:color="auto"/>
        <w:right w:val="none" w:sz="0" w:space="0" w:color="auto"/>
      </w:divBdr>
      <w:divsChild>
        <w:div w:id="1769546758">
          <w:marLeft w:val="0"/>
          <w:marRight w:val="0"/>
          <w:marTop w:val="0"/>
          <w:marBottom w:val="0"/>
          <w:divBdr>
            <w:top w:val="none" w:sz="0" w:space="0" w:color="auto"/>
            <w:left w:val="none" w:sz="0" w:space="0" w:color="auto"/>
            <w:bottom w:val="none" w:sz="0" w:space="0" w:color="auto"/>
            <w:right w:val="none" w:sz="0" w:space="0" w:color="auto"/>
          </w:divBdr>
        </w:div>
      </w:divsChild>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6138569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68183269">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02454256">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E976F-D2E1-4A17-A425-0A36718F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1712</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2022-02-14T00:13:00Z</dcterms:created>
  <dcterms:modified xsi:type="dcterms:W3CDTF">2022-04-28T04:44:00Z</dcterms:modified>
</cp:coreProperties>
</file>