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07CD86" w14:textId="77777777" w:rsidR="00B60939" w:rsidRDefault="003A02C4" w:rsidP="00311DF9">
      <w:pPr>
        <w:pStyle w:val="1-MainHeading"/>
      </w:pPr>
      <w:bookmarkStart w:id="0" w:name="_Toc69567413"/>
      <w:r>
        <w:t>6.</w:t>
      </w:r>
      <w:r w:rsidR="008A0818">
        <w:t>10</w:t>
      </w:r>
      <w:r w:rsidR="00163F66">
        <w:tab/>
      </w:r>
      <w:r w:rsidR="00597010">
        <w:t>NIVOLUMAB</w:t>
      </w:r>
      <w:r w:rsidR="00163F66">
        <w:t>,</w:t>
      </w:r>
      <w:r w:rsidR="00163F66">
        <w:br/>
      </w:r>
      <w:r>
        <w:t>I</w:t>
      </w:r>
      <w:r w:rsidR="00597010">
        <w:t>njection</w:t>
      </w:r>
      <w:r>
        <w:t xml:space="preserve"> concentrate for I.V. infusion</w:t>
      </w:r>
      <w:r w:rsidR="00CB4152">
        <w:t xml:space="preserve"> 40 mg in 4 mL</w:t>
      </w:r>
      <w:r w:rsidR="00163F66">
        <w:br/>
      </w:r>
      <w:r w:rsidR="00CB4152">
        <w:t xml:space="preserve">Injection concentrate for I.V. infusion </w:t>
      </w:r>
      <w:r w:rsidR="00E50069">
        <w:t>100</w:t>
      </w:r>
      <w:r w:rsidR="00CB4152">
        <w:t xml:space="preserve"> </w:t>
      </w:r>
      <w:r w:rsidR="00E50069">
        <w:t xml:space="preserve">mg in </w:t>
      </w:r>
      <w:r w:rsidR="00D329FE">
        <w:t>10 mL</w:t>
      </w:r>
      <w:r w:rsidR="00E50069">
        <w:t xml:space="preserve">, </w:t>
      </w:r>
      <w:r w:rsidR="00163F66">
        <w:br/>
      </w:r>
      <w:proofErr w:type="spellStart"/>
      <w:r w:rsidR="00E50069">
        <w:t>Opdivo</w:t>
      </w:r>
      <w:proofErr w:type="spellEnd"/>
      <w:r w:rsidR="00B60939" w:rsidRPr="004A6040">
        <w:rPr>
          <w:vertAlign w:val="superscript"/>
        </w:rPr>
        <w:t>®</w:t>
      </w:r>
      <w:r w:rsidR="004A6040" w:rsidRPr="004A6040">
        <w:t>,</w:t>
      </w:r>
      <w:bookmarkEnd w:id="0"/>
      <w:r w:rsidR="00311DF9">
        <w:br/>
      </w:r>
      <w:r w:rsidRPr="003A02C4">
        <w:t>Bristol-Myers Squibb Australia Pty Ltd</w:t>
      </w:r>
    </w:p>
    <w:p w14:paraId="336474DB" w14:textId="77777777" w:rsidR="00B50DB8" w:rsidRPr="00407F2D" w:rsidRDefault="00B50DB8" w:rsidP="004A6040">
      <w:pPr>
        <w:pStyle w:val="2-SectionHeading"/>
      </w:pPr>
      <w:bookmarkStart w:id="1" w:name="_Toc69567415"/>
      <w:r w:rsidRPr="00407F2D">
        <w:t xml:space="preserve">Purpose of </w:t>
      </w:r>
      <w:r w:rsidR="00CD7193">
        <w:t>s</w:t>
      </w:r>
      <w:r w:rsidR="00BB3A45">
        <w:t>ubmission</w:t>
      </w:r>
      <w:bookmarkEnd w:id="1"/>
    </w:p>
    <w:p w14:paraId="2FE3D3F8" w14:textId="77777777" w:rsidR="002C2775" w:rsidRPr="008B1757" w:rsidRDefault="007170DA" w:rsidP="00311DF9">
      <w:pPr>
        <w:pStyle w:val="3-BodyText"/>
        <w:ind w:left="720"/>
      </w:pPr>
      <w:r>
        <w:t xml:space="preserve">The </w:t>
      </w:r>
      <w:r w:rsidR="001D4216">
        <w:t xml:space="preserve">Category 2 </w:t>
      </w:r>
      <w:r>
        <w:t xml:space="preserve">submission </w:t>
      </w:r>
      <w:r w:rsidRPr="004E18E9">
        <w:t xml:space="preserve">requested </w:t>
      </w:r>
      <w:r w:rsidR="008603E1">
        <w:t xml:space="preserve">an </w:t>
      </w:r>
      <w:r w:rsidR="008B1757" w:rsidRPr="004E18E9">
        <w:t xml:space="preserve">Authority </w:t>
      </w:r>
      <w:proofErr w:type="gramStart"/>
      <w:r w:rsidR="008B1757" w:rsidRPr="004E18E9">
        <w:t>Required</w:t>
      </w:r>
      <w:proofErr w:type="gramEnd"/>
      <w:r w:rsidR="00E50069">
        <w:t xml:space="preserve"> </w:t>
      </w:r>
      <w:r w:rsidR="008B1757" w:rsidRPr="004E18E9">
        <w:t xml:space="preserve">listing for </w:t>
      </w:r>
      <w:r w:rsidR="007168C1">
        <w:t xml:space="preserve">nivolumab in combination with </w:t>
      </w:r>
      <w:r w:rsidR="00093859" w:rsidRPr="00093859">
        <w:t xml:space="preserve">platinum-containing plus fluoropyrimidine-containing </w:t>
      </w:r>
      <w:r w:rsidR="007168C1">
        <w:t>chemotherapy</w:t>
      </w:r>
      <w:r w:rsidR="00E50069">
        <w:t xml:space="preserve"> (henceforth </w:t>
      </w:r>
      <w:r w:rsidR="008603E1">
        <w:t>n</w:t>
      </w:r>
      <w:r w:rsidR="00E50069">
        <w:t>ivolumab plus chemotherapy)</w:t>
      </w:r>
      <w:r w:rsidR="008B1757" w:rsidRPr="004E18E9">
        <w:t xml:space="preserve"> for </w:t>
      </w:r>
      <w:r w:rsidR="0050174E" w:rsidRPr="004E18E9">
        <w:t xml:space="preserve">the </w:t>
      </w:r>
      <w:r w:rsidR="008B1757" w:rsidRPr="004E18E9">
        <w:t xml:space="preserve">treatment of </w:t>
      </w:r>
      <w:r w:rsidR="00AD4C4D">
        <w:t xml:space="preserve">non- </w:t>
      </w:r>
      <w:r w:rsidR="008603E1" w:rsidRPr="0036176D">
        <w:t xml:space="preserve">human epidermal growth factor receptor 2 (HER-2) </w:t>
      </w:r>
      <w:r w:rsidR="00AD4C4D">
        <w:t xml:space="preserve">positive </w:t>
      </w:r>
      <w:r w:rsidR="007168C1">
        <w:t>advanced or metastatic gastric cancer (GC), gastro-oesophageal</w:t>
      </w:r>
      <w:r w:rsidR="008B1757" w:rsidRPr="004E18E9">
        <w:t xml:space="preserve"> </w:t>
      </w:r>
      <w:r w:rsidR="007168C1">
        <w:t xml:space="preserve">junction cancer, (GOJC) or </w:t>
      </w:r>
      <w:r w:rsidR="00724D98">
        <w:t>o</w:t>
      </w:r>
      <w:r w:rsidR="007168C1">
        <w:t>esophageal adenocarcinoma (OAC).</w:t>
      </w:r>
    </w:p>
    <w:p w14:paraId="5247A5D6" w14:textId="77777777" w:rsidR="007168C1" w:rsidRDefault="005750C5" w:rsidP="00652CC2">
      <w:pPr>
        <w:pStyle w:val="3-BodyText"/>
        <w:ind w:left="720"/>
      </w:pPr>
      <w:r w:rsidRPr="005750C5">
        <w:t xml:space="preserve">Listing was requested on the basis of a </w:t>
      </w:r>
      <w:r w:rsidR="007168C1">
        <w:t>cost utility</w:t>
      </w:r>
      <w:r w:rsidRPr="005750C5">
        <w:t xml:space="preserve"> analysis versus</w:t>
      </w:r>
      <w:r>
        <w:t xml:space="preserve"> </w:t>
      </w:r>
      <w:r w:rsidR="00093859" w:rsidRPr="00093859">
        <w:t>platinum-containing plus fluoropyrimidine-containing chemotherapy</w:t>
      </w:r>
      <w:r w:rsidR="00724D98">
        <w:t xml:space="preserve"> alone</w:t>
      </w:r>
      <w:r w:rsidR="001F2F9E">
        <w:t>.</w:t>
      </w:r>
    </w:p>
    <w:p w14:paraId="21B1ED4B" w14:textId="77777777" w:rsidR="00C2778B" w:rsidRDefault="002A0BA9" w:rsidP="00093859">
      <w:pPr>
        <w:pStyle w:val="3-BodyText"/>
        <w:ind w:left="709" w:hanging="709"/>
      </w:pPr>
      <w:r w:rsidRPr="002A0BA9">
        <w:t>Table 1</w:t>
      </w:r>
      <w:r w:rsidR="007168C1">
        <w:t xml:space="preserve"> presents the key compo</w:t>
      </w:r>
      <w:r w:rsidR="0069596D">
        <w:t>nents of the clinical issue addressed by the submission.</w:t>
      </w:r>
    </w:p>
    <w:p w14:paraId="41E914F6" w14:textId="77777777" w:rsidR="00E50069" w:rsidRDefault="008B1757" w:rsidP="00E50069">
      <w:pPr>
        <w:keepNext/>
        <w:keepLines/>
      </w:pPr>
      <w:bookmarkStart w:id="2" w:name="_Ref69239858"/>
      <w:r w:rsidRPr="00093859">
        <w:rPr>
          <w:rStyle w:val="CommentReference"/>
          <w:bCs/>
          <w:szCs w:val="24"/>
        </w:rPr>
        <w:t xml:space="preserve">Table </w:t>
      </w:r>
      <w:r w:rsidR="002A0BA9">
        <w:rPr>
          <w:rStyle w:val="CommentReference"/>
          <w:bCs/>
          <w:noProof/>
          <w:szCs w:val="24"/>
        </w:rPr>
        <w:t>1</w:t>
      </w:r>
      <w:bookmarkEnd w:id="2"/>
      <w:r w:rsidR="007168C1">
        <w:rPr>
          <w:rStyle w:val="CommentReference"/>
          <w:b w:val="0"/>
          <w:szCs w:val="24"/>
        </w:rPr>
        <w:t>:</w:t>
      </w:r>
      <w:r w:rsidR="00BC591F" w:rsidRPr="004A6040">
        <w:rPr>
          <w:rStyle w:val="CommentReference"/>
          <w:b w:val="0"/>
          <w:szCs w:val="24"/>
        </w:rPr>
        <w:t xml:space="preserve"> </w:t>
      </w:r>
      <w:bookmarkStart w:id="3" w:name="_Toc22897638"/>
      <w:r w:rsidR="00E50069" w:rsidRPr="00A518F3">
        <w:rPr>
          <w:rStyle w:val="CommentReference"/>
        </w:rPr>
        <w:t>Key components of the clinical issue addressed by the submission</w:t>
      </w:r>
    </w:p>
    <w:tbl>
      <w:tblPr>
        <w:tblW w:w="9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1: Key components of the clinical issue addressed by the submission"/>
      </w:tblPr>
      <w:tblGrid>
        <w:gridCol w:w="1413"/>
        <w:gridCol w:w="7743"/>
      </w:tblGrid>
      <w:tr w:rsidR="00E50069" w:rsidRPr="00A518F3" w14:paraId="4D84F2A1" w14:textId="77777777" w:rsidTr="00074925">
        <w:tc>
          <w:tcPr>
            <w:tcW w:w="1413" w:type="dxa"/>
            <w:vAlign w:val="center"/>
          </w:tcPr>
          <w:p w14:paraId="25D5FC7B" w14:textId="77777777" w:rsidR="00E50069" w:rsidRPr="00A518F3" w:rsidRDefault="00E50069" w:rsidP="00A45D9B">
            <w:pPr>
              <w:pStyle w:val="Tabletext"/>
              <w:keepNext/>
              <w:keepLines/>
              <w:rPr>
                <w:b/>
              </w:rPr>
            </w:pPr>
            <w:r w:rsidRPr="00A518F3">
              <w:rPr>
                <w:b/>
              </w:rPr>
              <w:t>Component</w:t>
            </w:r>
          </w:p>
        </w:tc>
        <w:tc>
          <w:tcPr>
            <w:tcW w:w="7743" w:type="dxa"/>
            <w:vAlign w:val="center"/>
          </w:tcPr>
          <w:p w14:paraId="1D43CFBB" w14:textId="77777777" w:rsidR="00E50069" w:rsidRPr="00A518F3" w:rsidRDefault="00E50069" w:rsidP="00A45D9B">
            <w:pPr>
              <w:pStyle w:val="Tabletext"/>
              <w:keepNext/>
              <w:keepLines/>
              <w:jc w:val="center"/>
              <w:rPr>
                <w:b/>
              </w:rPr>
            </w:pPr>
            <w:r w:rsidRPr="00A518F3">
              <w:rPr>
                <w:b/>
              </w:rPr>
              <w:t>Description</w:t>
            </w:r>
          </w:p>
        </w:tc>
      </w:tr>
      <w:tr w:rsidR="00E50069" w14:paraId="0AC0E27C" w14:textId="77777777" w:rsidTr="00074925">
        <w:tc>
          <w:tcPr>
            <w:tcW w:w="1413" w:type="dxa"/>
            <w:vAlign w:val="center"/>
          </w:tcPr>
          <w:p w14:paraId="005CDF16" w14:textId="77777777" w:rsidR="00E50069" w:rsidRDefault="00E50069" w:rsidP="00A45D9B">
            <w:pPr>
              <w:pStyle w:val="Tabletext"/>
              <w:keepNext/>
              <w:keepLines/>
            </w:pPr>
            <w:r>
              <w:t>Population</w:t>
            </w:r>
          </w:p>
        </w:tc>
        <w:tc>
          <w:tcPr>
            <w:tcW w:w="7743" w:type="dxa"/>
            <w:vAlign w:val="center"/>
          </w:tcPr>
          <w:p w14:paraId="05E7053F" w14:textId="77777777" w:rsidR="00E50069" w:rsidRDefault="00E50069" w:rsidP="00A45D9B">
            <w:pPr>
              <w:pStyle w:val="Tabletext"/>
              <w:keepNext/>
              <w:keepLines/>
            </w:pPr>
            <w:r w:rsidRPr="00DF7317">
              <w:t>Patients with non-HER2 positive advanced or metastatic gastric or gastro-oesophageal junction or oesophageal adenocarcinoma</w:t>
            </w:r>
          </w:p>
        </w:tc>
      </w:tr>
      <w:tr w:rsidR="00E50069" w14:paraId="444CC47B" w14:textId="77777777" w:rsidTr="00074925">
        <w:tc>
          <w:tcPr>
            <w:tcW w:w="1413" w:type="dxa"/>
            <w:vAlign w:val="center"/>
          </w:tcPr>
          <w:p w14:paraId="24BD716C" w14:textId="77777777" w:rsidR="00E50069" w:rsidRDefault="00E50069" w:rsidP="00A45D9B">
            <w:pPr>
              <w:pStyle w:val="Tabletext"/>
              <w:keepNext/>
              <w:keepLines/>
            </w:pPr>
            <w:r>
              <w:t>Intervention</w:t>
            </w:r>
          </w:p>
        </w:tc>
        <w:tc>
          <w:tcPr>
            <w:tcW w:w="7743" w:type="dxa"/>
            <w:vAlign w:val="center"/>
          </w:tcPr>
          <w:p w14:paraId="12B4FCA3" w14:textId="77777777" w:rsidR="00E50069" w:rsidRDefault="00E50069" w:rsidP="00A45D9B">
            <w:pPr>
              <w:pStyle w:val="Tabletext"/>
              <w:keepNext/>
              <w:keepLines/>
            </w:pPr>
            <w:r w:rsidRPr="00DF7317">
              <w:t>Nivolumab in combination with platinum-containing plus fluoropyrimidine-containing chemotherapy</w:t>
            </w:r>
            <w:r w:rsidR="00AD4C4D">
              <w:t>*</w:t>
            </w:r>
          </w:p>
        </w:tc>
      </w:tr>
      <w:tr w:rsidR="00E50069" w14:paraId="0B9DEB81" w14:textId="77777777" w:rsidTr="00074925">
        <w:tc>
          <w:tcPr>
            <w:tcW w:w="1413" w:type="dxa"/>
            <w:vAlign w:val="center"/>
          </w:tcPr>
          <w:p w14:paraId="501A7AE9" w14:textId="77777777" w:rsidR="00E50069" w:rsidRDefault="00E50069" w:rsidP="00A45D9B">
            <w:pPr>
              <w:pStyle w:val="Tabletext"/>
              <w:keepNext/>
              <w:keepLines/>
            </w:pPr>
            <w:r>
              <w:t>Comparator</w:t>
            </w:r>
          </w:p>
        </w:tc>
        <w:tc>
          <w:tcPr>
            <w:tcW w:w="7743" w:type="dxa"/>
            <w:vAlign w:val="center"/>
          </w:tcPr>
          <w:p w14:paraId="22EA2519" w14:textId="77777777" w:rsidR="00E50069" w:rsidRDefault="00E50069" w:rsidP="00A45D9B">
            <w:pPr>
              <w:pStyle w:val="Tabletext"/>
              <w:keepNext/>
              <w:keepLines/>
            </w:pPr>
            <w:r w:rsidRPr="004A08FD">
              <w:t>Platinum-containing plus fluoropyrimidine-containing chemotherapy</w:t>
            </w:r>
          </w:p>
        </w:tc>
      </w:tr>
      <w:tr w:rsidR="00E50069" w14:paraId="0A809AE4" w14:textId="77777777" w:rsidTr="00074925">
        <w:tc>
          <w:tcPr>
            <w:tcW w:w="1413" w:type="dxa"/>
            <w:vAlign w:val="center"/>
          </w:tcPr>
          <w:p w14:paraId="446068EA" w14:textId="77777777" w:rsidR="00E50069" w:rsidRDefault="00E50069" w:rsidP="00A45D9B">
            <w:pPr>
              <w:pStyle w:val="Tabletext"/>
              <w:keepNext/>
              <w:keepLines/>
            </w:pPr>
            <w:r>
              <w:t>Outcomes</w:t>
            </w:r>
          </w:p>
        </w:tc>
        <w:tc>
          <w:tcPr>
            <w:tcW w:w="7743" w:type="dxa"/>
            <w:vAlign w:val="center"/>
          </w:tcPr>
          <w:p w14:paraId="41A5A390" w14:textId="77777777" w:rsidR="00E50069" w:rsidRDefault="00E50069" w:rsidP="00A45D9B">
            <w:pPr>
              <w:pStyle w:val="Tabletext"/>
              <w:keepNext/>
              <w:keepLines/>
            </w:pPr>
            <w:r w:rsidRPr="004A08FD">
              <w:t>Overall survival, progression-free survival, objective response rate, health-related quality of life, safety and tolerability</w:t>
            </w:r>
          </w:p>
        </w:tc>
      </w:tr>
      <w:tr w:rsidR="00E50069" w14:paraId="3B050196" w14:textId="77777777" w:rsidTr="00074925">
        <w:tc>
          <w:tcPr>
            <w:tcW w:w="1413" w:type="dxa"/>
            <w:vAlign w:val="center"/>
          </w:tcPr>
          <w:p w14:paraId="02C2CC90" w14:textId="77777777" w:rsidR="00E50069" w:rsidRDefault="00E50069" w:rsidP="00A45D9B">
            <w:pPr>
              <w:pStyle w:val="Tabletext"/>
              <w:keepNext/>
              <w:keepLines/>
            </w:pPr>
            <w:r>
              <w:t>Clinical claim</w:t>
            </w:r>
          </w:p>
        </w:tc>
        <w:tc>
          <w:tcPr>
            <w:tcW w:w="7743" w:type="dxa"/>
            <w:vAlign w:val="center"/>
          </w:tcPr>
          <w:p w14:paraId="062E587A" w14:textId="77777777" w:rsidR="00E50069" w:rsidRDefault="00E50069" w:rsidP="00A45D9B">
            <w:pPr>
              <w:pStyle w:val="Tabletext"/>
              <w:keepNext/>
              <w:keepLines/>
            </w:pPr>
            <w:r w:rsidRPr="004A08FD">
              <w:t>Superior in terms of efficacy and inferior but manageable in terms of safety, compared with chemotherapy</w:t>
            </w:r>
          </w:p>
        </w:tc>
      </w:tr>
    </w:tbl>
    <w:p w14:paraId="4A1AA9FB" w14:textId="77777777" w:rsidR="005747A5" w:rsidRDefault="00E50069" w:rsidP="00E50069">
      <w:pPr>
        <w:pStyle w:val="TableFooter"/>
        <w:keepNext/>
        <w:keepLines/>
      </w:pPr>
      <w:r>
        <w:t>Source: Table 1, p5 of the submission. HER2 = Human Epidermal Growth Factor Receptor 2</w:t>
      </w:r>
    </w:p>
    <w:p w14:paraId="7BF7CC36" w14:textId="77777777" w:rsidR="00AD4C4D" w:rsidRDefault="00AD4C4D" w:rsidP="00E50069">
      <w:pPr>
        <w:pStyle w:val="TableFooter"/>
        <w:keepNext/>
        <w:keepLines/>
      </w:pPr>
      <w:r>
        <w:t>*</w:t>
      </w:r>
      <w:r w:rsidRPr="00AD4C4D">
        <w:t xml:space="preserve"> </w:t>
      </w:r>
      <w:r>
        <w:t>The dosing of nivolumab is different based on the use of either FOLFOX or XELOX. When taken with XELOX: 360 mg intravenous (IV) over 30 minutes on Day 1 of each treatment cycle, every 3 weeks. When taken with FOLFOX: 240 mg IV over 30 minutes on Day 1 of each treatment cycle, every 2 weeks.</w:t>
      </w:r>
    </w:p>
    <w:p w14:paraId="6C621F23" w14:textId="77777777" w:rsidR="00046ECE" w:rsidRPr="00046ECE" w:rsidRDefault="00046ECE" w:rsidP="00046ECE">
      <w:pPr>
        <w:pStyle w:val="2-SectionHeading"/>
      </w:pPr>
      <w:bookmarkStart w:id="4" w:name="_Toc69567416"/>
      <w:r w:rsidRPr="00046ECE">
        <w:t>Background</w:t>
      </w:r>
    </w:p>
    <w:p w14:paraId="0B5174BC" w14:textId="77777777" w:rsidR="005747A5" w:rsidRPr="00652CC2" w:rsidRDefault="005C25FF" w:rsidP="005747A5">
      <w:pPr>
        <w:pStyle w:val="5-SubsectionSubheading"/>
        <w:rPr>
          <w:i/>
          <w:iCs/>
          <w:sz w:val="28"/>
          <w:szCs w:val="28"/>
        </w:rPr>
      </w:pPr>
      <w:r w:rsidRPr="00652CC2">
        <w:rPr>
          <w:i/>
          <w:iCs/>
          <w:sz w:val="28"/>
          <w:szCs w:val="28"/>
        </w:rPr>
        <w:t>Registration status</w:t>
      </w:r>
      <w:bookmarkEnd w:id="3"/>
      <w:bookmarkEnd w:id="4"/>
    </w:p>
    <w:p w14:paraId="4EF7FCE1" w14:textId="0204BA75" w:rsidR="00917FA1" w:rsidRDefault="006E1FFF" w:rsidP="00046ECE">
      <w:pPr>
        <w:pStyle w:val="3-BodyText"/>
        <w:ind w:left="720"/>
      </w:pPr>
      <w:r w:rsidRPr="006E1FFF">
        <w:rPr>
          <w:rFonts w:ascii="Calibri" w:eastAsia="Calibri" w:hAnsi="Calibri"/>
          <w:szCs w:val="22"/>
        </w:rPr>
        <w:t>TGA status at time of</w:t>
      </w:r>
      <w:r w:rsidR="000F476C">
        <w:rPr>
          <w:rFonts w:ascii="Calibri" w:eastAsia="Calibri" w:hAnsi="Calibri"/>
          <w:szCs w:val="22"/>
        </w:rPr>
        <w:t xml:space="preserve"> PBAC consideration</w:t>
      </w:r>
      <w:r w:rsidRPr="006E1FFF">
        <w:rPr>
          <w:rFonts w:ascii="Calibri" w:eastAsia="Calibri" w:hAnsi="Calibri"/>
          <w:szCs w:val="22"/>
        </w:rPr>
        <w:t>: not registered.</w:t>
      </w:r>
      <w:r>
        <w:rPr>
          <w:rFonts w:ascii="Calibri" w:eastAsia="Calibri" w:hAnsi="Calibri"/>
          <w:b/>
          <w:szCs w:val="22"/>
        </w:rPr>
        <w:t xml:space="preserve"> </w:t>
      </w:r>
      <w:r w:rsidR="005C25FF" w:rsidRPr="004E18E9">
        <w:t xml:space="preserve">The submission was made under </w:t>
      </w:r>
      <w:r w:rsidR="00E244F6" w:rsidRPr="004E18E9">
        <w:t xml:space="preserve">the </w:t>
      </w:r>
      <w:r w:rsidR="005C25FF" w:rsidRPr="004E18E9">
        <w:t xml:space="preserve">TGA/PBAC Parallel Process. </w:t>
      </w:r>
      <w:r w:rsidR="0069596D">
        <w:t>At the time of</w:t>
      </w:r>
      <w:r w:rsidR="000F476C">
        <w:t xml:space="preserve"> PBAC consideration, the TGA </w:t>
      </w:r>
      <w:r w:rsidR="000F476C">
        <w:lastRenderedPageBreak/>
        <w:t>Delegate’</w:t>
      </w:r>
      <w:r w:rsidR="00A444C2">
        <w:t>s Overview was available</w:t>
      </w:r>
      <w:r w:rsidR="005C25FF" w:rsidRPr="004E18E9">
        <w:t xml:space="preserve">. </w:t>
      </w:r>
      <w:r w:rsidR="00046ECE">
        <w:t xml:space="preserve">As this indication </w:t>
      </w:r>
      <w:r w:rsidR="00A444C2">
        <w:t xml:space="preserve">was assessed </w:t>
      </w:r>
      <w:r w:rsidR="00046ECE">
        <w:t xml:space="preserve">under Project </w:t>
      </w:r>
      <w:proofErr w:type="spellStart"/>
      <w:r w:rsidR="00046ECE">
        <w:t>Orbis</w:t>
      </w:r>
      <w:proofErr w:type="spellEnd"/>
      <w:r w:rsidR="00046ECE">
        <w:rPr>
          <w:rStyle w:val="FootnoteReference"/>
        </w:rPr>
        <w:footnoteReference w:id="1"/>
      </w:r>
      <w:r w:rsidR="00196429">
        <w:t xml:space="preserve"> </w:t>
      </w:r>
      <w:r w:rsidR="00046ECE">
        <w:t xml:space="preserve">using the FDA Assessment Aid, no TGA </w:t>
      </w:r>
      <w:r w:rsidR="000F476C">
        <w:t xml:space="preserve">clinical </w:t>
      </w:r>
      <w:r w:rsidR="00046ECE">
        <w:t xml:space="preserve">evaluation report </w:t>
      </w:r>
      <w:r w:rsidR="000F476C">
        <w:t xml:space="preserve">was available. </w:t>
      </w:r>
    </w:p>
    <w:p w14:paraId="1AAD2081" w14:textId="47D02C33" w:rsidR="005C25FF" w:rsidRDefault="00196429" w:rsidP="00046ECE">
      <w:pPr>
        <w:pStyle w:val="3-BodyText"/>
        <w:ind w:left="720"/>
      </w:pPr>
      <w:r>
        <w:t xml:space="preserve">The </w:t>
      </w:r>
      <w:r w:rsidR="000F476C">
        <w:t xml:space="preserve">TGA Delegate </w:t>
      </w:r>
      <w:r w:rsidR="00FD2490">
        <w:t>was supportive of registration for the following</w:t>
      </w:r>
      <w:r w:rsidR="000F476C">
        <w:t xml:space="preserve"> </w:t>
      </w:r>
      <w:r>
        <w:t>indication</w:t>
      </w:r>
      <w:r w:rsidR="00917FA1">
        <w:t>:</w:t>
      </w:r>
      <w:r>
        <w:t xml:space="preserve"> </w:t>
      </w:r>
      <w:r w:rsidR="00917FA1">
        <w:t>“</w:t>
      </w:r>
      <w:r>
        <w:t>in co</w:t>
      </w:r>
      <w:r w:rsidR="004D2AA5">
        <w:t>mbination with fluoropyrimidine</w:t>
      </w:r>
      <w:r>
        <w:t xml:space="preserve"> and platinum-based combination chemotherapy for the </w:t>
      </w:r>
      <w:r w:rsidR="00917FA1">
        <w:t xml:space="preserve">first line </w:t>
      </w:r>
      <w:r>
        <w:t xml:space="preserve">treatment of patients with </w:t>
      </w:r>
      <w:r w:rsidR="00917FA1">
        <w:t xml:space="preserve">HER2 negative </w:t>
      </w:r>
      <w:r>
        <w:t>advanced or metastatic gastric or gastro-oesophageal junction or oesophageal adenocarcinoma”</w:t>
      </w:r>
      <w:r w:rsidR="004D2AA5">
        <w:t>.</w:t>
      </w:r>
      <w:r>
        <w:t xml:space="preserve"> </w:t>
      </w:r>
      <w:r w:rsidR="00917FA1">
        <w:t xml:space="preserve">The draft </w:t>
      </w:r>
      <w:r w:rsidR="00C447E1">
        <w:t xml:space="preserve">TGA </w:t>
      </w:r>
      <w:r w:rsidR="00917FA1">
        <w:t xml:space="preserve">indication </w:t>
      </w:r>
      <w:r w:rsidR="00C447E1">
        <w:t xml:space="preserve">proposed </w:t>
      </w:r>
      <w:r w:rsidR="00217B20">
        <w:t xml:space="preserve">in </w:t>
      </w:r>
      <w:r w:rsidR="00917FA1">
        <w:t xml:space="preserve">the submission did not include a reference to HER2 </w:t>
      </w:r>
      <w:r w:rsidR="00FD2490">
        <w:t xml:space="preserve">status </w:t>
      </w:r>
      <w:r w:rsidR="00917FA1">
        <w:t xml:space="preserve">in the indication. </w:t>
      </w:r>
    </w:p>
    <w:p w14:paraId="7EC4A364" w14:textId="77777777" w:rsidR="00F06935" w:rsidRPr="00F06935" w:rsidRDefault="00F06935" w:rsidP="00F06935">
      <w:pPr>
        <w:pStyle w:val="5-SubsectionSubheading"/>
        <w:rPr>
          <w:i/>
          <w:iCs/>
          <w:sz w:val="28"/>
          <w:szCs w:val="28"/>
        </w:rPr>
      </w:pPr>
      <w:r w:rsidRPr="00F06935">
        <w:rPr>
          <w:i/>
          <w:iCs/>
          <w:sz w:val="28"/>
          <w:szCs w:val="28"/>
        </w:rPr>
        <w:t>Previous PBAC consideration</w:t>
      </w:r>
    </w:p>
    <w:p w14:paraId="58BD2BD0" w14:textId="77777777" w:rsidR="00F06935" w:rsidRDefault="00F06935" w:rsidP="00F06935">
      <w:pPr>
        <w:pStyle w:val="3-BodyText"/>
        <w:ind w:left="709" w:hanging="709"/>
      </w:pPr>
      <w:r>
        <w:t xml:space="preserve">At </w:t>
      </w:r>
      <w:r w:rsidR="002B69E8">
        <w:t>its</w:t>
      </w:r>
      <w:r>
        <w:t xml:space="preserve"> July 2021 meeting, the PBAC recommended nivolumab for the treatment </w:t>
      </w:r>
      <w:r w:rsidRPr="00F06935">
        <w:t>of patients with advanced or metastatic oesophageal squamous cell carcinoma who have disease progression following treatment with a fl</w:t>
      </w:r>
      <w:r>
        <w:t>uoropyrimidine and platinum</w:t>
      </w:r>
      <w:r w:rsidRPr="00F06935">
        <w:t>-based chemotherapy regimen</w:t>
      </w:r>
      <w:r>
        <w:t xml:space="preserve">. </w:t>
      </w:r>
    </w:p>
    <w:p w14:paraId="6C46A765" w14:textId="77777777" w:rsidR="00B60939" w:rsidRPr="00882085" w:rsidRDefault="00B50DB8" w:rsidP="0029601E">
      <w:pPr>
        <w:pStyle w:val="2-SectionHeading"/>
        <w:keepLines/>
      </w:pPr>
      <w:bookmarkStart w:id="5" w:name="_Toc69567417"/>
      <w:r w:rsidRPr="00407F2D">
        <w:t>Requested listing</w:t>
      </w:r>
      <w:bookmarkEnd w:id="5"/>
    </w:p>
    <w:p w14:paraId="6D90CFEA" w14:textId="77777777" w:rsidR="00FD2490" w:rsidRPr="0049069B" w:rsidRDefault="00FD2490" w:rsidP="00FD2490">
      <w:pPr>
        <w:pStyle w:val="ListParagraph"/>
        <w:numPr>
          <w:ilvl w:val="1"/>
          <w:numId w:val="1"/>
        </w:numPr>
        <w:ind w:left="720"/>
        <w:rPr>
          <w:rFonts w:cstheme="minorHAnsi"/>
        </w:rPr>
      </w:pPr>
      <w:r w:rsidRPr="00841223">
        <w:t>The requested listing for</w:t>
      </w:r>
      <w:r>
        <w:t xml:space="preserve"> nivolumab</w:t>
      </w:r>
      <w:r w:rsidRPr="00841223">
        <w:t xml:space="preserve"> is provided below. Secretariat suggestions and additions proposed are shown in </w:t>
      </w:r>
      <w:r w:rsidRPr="0049069B">
        <w:rPr>
          <w:iCs/>
        </w:rPr>
        <w:t>italics</w:t>
      </w:r>
      <w:r w:rsidRPr="0049069B">
        <w:t xml:space="preserve"> </w:t>
      </w:r>
      <w:r w:rsidRPr="00841223">
        <w:t xml:space="preserve">and deletions are in </w:t>
      </w:r>
      <w:r w:rsidRPr="0049069B">
        <w:t>strikethrough</w:t>
      </w:r>
      <w:r w:rsidRPr="00841223">
        <w:t>.</w:t>
      </w:r>
    </w:p>
    <w:p w14:paraId="67853885" w14:textId="77777777" w:rsidR="00617E12" w:rsidRPr="007C609A" w:rsidRDefault="00617E12" w:rsidP="0029601E">
      <w:pPr>
        <w:keepNext/>
        <w:keepLines/>
      </w:pPr>
    </w:p>
    <w:tbl>
      <w:tblPr>
        <w:tblW w:w="9072" w:type="dxa"/>
        <w:tblBorders>
          <w:top w:val="single" w:sz="4" w:space="0" w:color="auto"/>
          <w:bottom w:val="single" w:sz="4" w:space="0" w:color="auto"/>
          <w:insideH w:val="single" w:sz="4" w:space="0" w:color="auto"/>
        </w:tblBorders>
        <w:tblLook w:val="04A0" w:firstRow="1" w:lastRow="0" w:firstColumn="1" w:lastColumn="0" w:noHBand="0" w:noVBand="1"/>
      </w:tblPr>
      <w:tblGrid>
        <w:gridCol w:w="2662"/>
        <w:gridCol w:w="1391"/>
        <w:gridCol w:w="1080"/>
        <w:gridCol w:w="2238"/>
        <w:gridCol w:w="1701"/>
      </w:tblGrid>
      <w:tr w:rsidR="00E50069" w:rsidRPr="003D1DE4" w14:paraId="55AA5CCF" w14:textId="77777777" w:rsidTr="00074925">
        <w:trPr>
          <w:tblHeader/>
        </w:trPr>
        <w:tc>
          <w:tcPr>
            <w:tcW w:w="2662" w:type="dxa"/>
          </w:tcPr>
          <w:p w14:paraId="7CD63189" w14:textId="77777777" w:rsidR="00E50069" w:rsidRPr="003D1DE4" w:rsidRDefault="00E50069" w:rsidP="0029601E">
            <w:pPr>
              <w:keepNext/>
              <w:keepLines/>
              <w:jc w:val="left"/>
              <w:rPr>
                <w:rFonts w:ascii="Arial Narrow" w:hAnsi="Arial Narrow"/>
                <w:b/>
                <w:sz w:val="20"/>
                <w:szCs w:val="20"/>
              </w:rPr>
            </w:pPr>
            <w:r w:rsidRPr="003D1DE4">
              <w:rPr>
                <w:rFonts w:ascii="Arial Narrow" w:hAnsi="Arial Narrow"/>
                <w:b/>
                <w:sz w:val="20"/>
                <w:szCs w:val="20"/>
              </w:rPr>
              <w:t>Name, restriction, manner of administration, form</w:t>
            </w:r>
          </w:p>
        </w:tc>
        <w:tc>
          <w:tcPr>
            <w:tcW w:w="1391" w:type="dxa"/>
          </w:tcPr>
          <w:p w14:paraId="40375233" w14:textId="77777777" w:rsidR="00E50069" w:rsidRPr="003D1DE4" w:rsidRDefault="00E50069" w:rsidP="0029601E">
            <w:pPr>
              <w:keepNext/>
              <w:keepLines/>
              <w:jc w:val="center"/>
              <w:rPr>
                <w:rFonts w:ascii="Arial Narrow" w:hAnsi="Arial Narrow"/>
                <w:b/>
                <w:sz w:val="20"/>
                <w:szCs w:val="20"/>
              </w:rPr>
            </w:pPr>
            <w:r w:rsidRPr="003D1DE4">
              <w:rPr>
                <w:rFonts w:ascii="Arial Narrow" w:hAnsi="Arial Narrow"/>
                <w:b/>
                <w:sz w:val="20"/>
                <w:szCs w:val="20"/>
              </w:rPr>
              <w:t>Maximum amount (units)</w:t>
            </w:r>
          </w:p>
        </w:tc>
        <w:tc>
          <w:tcPr>
            <w:tcW w:w="1080" w:type="dxa"/>
          </w:tcPr>
          <w:p w14:paraId="25594B11" w14:textId="77777777" w:rsidR="00E50069" w:rsidRPr="003D1DE4" w:rsidRDefault="00E50069" w:rsidP="0029601E">
            <w:pPr>
              <w:keepNext/>
              <w:keepLines/>
              <w:jc w:val="center"/>
              <w:rPr>
                <w:rFonts w:ascii="Arial Narrow" w:hAnsi="Arial Narrow"/>
                <w:b/>
                <w:sz w:val="20"/>
                <w:szCs w:val="20"/>
              </w:rPr>
            </w:pPr>
            <w:r w:rsidRPr="003D1DE4">
              <w:rPr>
                <w:rFonts w:ascii="Arial Narrow" w:hAnsi="Arial Narrow"/>
                <w:b/>
                <w:sz w:val="20"/>
                <w:szCs w:val="20"/>
              </w:rPr>
              <w:t>No. of repeats</w:t>
            </w:r>
          </w:p>
        </w:tc>
        <w:tc>
          <w:tcPr>
            <w:tcW w:w="2238" w:type="dxa"/>
          </w:tcPr>
          <w:p w14:paraId="6DA18B29" w14:textId="77777777" w:rsidR="00E50069" w:rsidRPr="003D1DE4" w:rsidRDefault="00E50069" w:rsidP="0029601E">
            <w:pPr>
              <w:keepNext/>
              <w:keepLines/>
              <w:jc w:val="left"/>
              <w:rPr>
                <w:rFonts w:ascii="Arial Narrow" w:hAnsi="Arial Narrow"/>
                <w:b/>
                <w:sz w:val="20"/>
                <w:szCs w:val="20"/>
              </w:rPr>
            </w:pPr>
            <w:r w:rsidRPr="003D1DE4">
              <w:rPr>
                <w:rFonts w:ascii="Arial Narrow" w:hAnsi="Arial Narrow"/>
                <w:b/>
                <w:sz w:val="20"/>
                <w:szCs w:val="20"/>
              </w:rPr>
              <w:t>Dispensed price for maximum amount</w:t>
            </w:r>
          </w:p>
        </w:tc>
        <w:tc>
          <w:tcPr>
            <w:tcW w:w="1701" w:type="dxa"/>
          </w:tcPr>
          <w:p w14:paraId="6964A8BD" w14:textId="77777777" w:rsidR="00E50069" w:rsidRPr="003D1DE4" w:rsidRDefault="00E50069" w:rsidP="00074925">
            <w:pPr>
              <w:keepNext/>
              <w:keepLines/>
              <w:jc w:val="left"/>
              <w:rPr>
                <w:rFonts w:ascii="Arial Narrow" w:hAnsi="Arial Narrow"/>
                <w:b/>
                <w:sz w:val="20"/>
                <w:szCs w:val="20"/>
              </w:rPr>
            </w:pPr>
            <w:r w:rsidRPr="003D1DE4">
              <w:rPr>
                <w:rFonts w:ascii="Arial Narrow" w:hAnsi="Arial Narrow"/>
                <w:b/>
                <w:sz w:val="20"/>
                <w:szCs w:val="20"/>
              </w:rPr>
              <w:t>Proprietary name and manufacturer</w:t>
            </w:r>
          </w:p>
        </w:tc>
      </w:tr>
      <w:tr w:rsidR="00E50069" w:rsidRPr="008123DA" w14:paraId="14B63C4C" w14:textId="77777777" w:rsidTr="00074925">
        <w:tc>
          <w:tcPr>
            <w:tcW w:w="2662" w:type="dxa"/>
          </w:tcPr>
          <w:p w14:paraId="03B75E99" w14:textId="77777777" w:rsidR="00E50069" w:rsidRPr="002B62B3" w:rsidRDefault="00E50069" w:rsidP="0029601E">
            <w:pPr>
              <w:pStyle w:val="Tabletext"/>
              <w:keepNext/>
              <w:keepLines/>
            </w:pPr>
            <w:r>
              <w:t>NIVOLUMAB</w:t>
            </w:r>
          </w:p>
          <w:p w14:paraId="2CB4CE8D" w14:textId="77777777" w:rsidR="00E50069" w:rsidRDefault="00E50069" w:rsidP="0029601E">
            <w:pPr>
              <w:pStyle w:val="Tabletext"/>
              <w:keepNext/>
              <w:keepLines/>
            </w:pPr>
            <w:r>
              <w:t>Injection, 100mg in 10 mL (Vial)</w:t>
            </w:r>
          </w:p>
          <w:p w14:paraId="2F64CF31" w14:textId="77777777" w:rsidR="00E50069" w:rsidRDefault="00E50069" w:rsidP="0029601E">
            <w:pPr>
              <w:pStyle w:val="Tabletext"/>
              <w:keepNext/>
              <w:keepLines/>
            </w:pPr>
            <w:r>
              <w:t>NIVOLUMAB</w:t>
            </w:r>
          </w:p>
          <w:p w14:paraId="496D47B8" w14:textId="77777777" w:rsidR="00E50069" w:rsidRPr="008123DA" w:rsidRDefault="00E50069" w:rsidP="0029601E">
            <w:pPr>
              <w:pStyle w:val="Tabletext"/>
              <w:keepNext/>
              <w:keepLines/>
            </w:pPr>
            <w:r>
              <w:t>Injection 40 mg in 4mL (Vial)</w:t>
            </w:r>
          </w:p>
        </w:tc>
        <w:tc>
          <w:tcPr>
            <w:tcW w:w="1391" w:type="dxa"/>
          </w:tcPr>
          <w:p w14:paraId="00652B2D" w14:textId="77777777" w:rsidR="00E50069" w:rsidRPr="008123DA" w:rsidRDefault="00E50069" w:rsidP="0029601E">
            <w:pPr>
              <w:pStyle w:val="Tabletext"/>
              <w:keepNext/>
              <w:keepLines/>
              <w:jc w:val="center"/>
            </w:pPr>
            <w:r>
              <w:t>360mg</w:t>
            </w:r>
          </w:p>
        </w:tc>
        <w:tc>
          <w:tcPr>
            <w:tcW w:w="1080" w:type="dxa"/>
          </w:tcPr>
          <w:p w14:paraId="4435FBD8" w14:textId="77777777" w:rsidR="00E50069" w:rsidRPr="008123DA" w:rsidRDefault="00E50069" w:rsidP="0029601E">
            <w:pPr>
              <w:pStyle w:val="Tabletext"/>
              <w:keepNext/>
              <w:keepLines/>
              <w:jc w:val="center"/>
            </w:pPr>
            <w:r>
              <w:t>13 (initial and continuing)</w:t>
            </w:r>
          </w:p>
        </w:tc>
        <w:tc>
          <w:tcPr>
            <w:tcW w:w="2238" w:type="dxa"/>
          </w:tcPr>
          <w:p w14:paraId="660B6489" w14:textId="77777777" w:rsidR="00E50069" w:rsidRPr="00D71E48" w:rsidRDefault="00E50069" w:rsidP="0029601E">
            <w:pPr>
              <w:pStyle w:val="Tabletext"/>
              <w:keepNext/>
              <w:keepLines/>
            </w:pPr>
            <w:r w:rsidRPr="00D71E48">
              <w:t>$7,707.38</w:t>
            </w:r>
          </w:p>
          <w:p w14:paraId="5E1CC68A" w14:textId="77777777" w:rsidR="00E50069" w:rsidRPr="00D71E48" w:rsidRDefault="00E50069" w:rsidP="0029601E">
            <w:pPr>
              <w:pStyle w:val="Tabletext"/>
              <w:keepNext/>
              <w:keepLines/>
            </w:pPr>
            <w:r>
              <w:t>(</w:t>
            </w:r>
            <w:r w:rsidRPr="00D71E48">
              <w:t>Published, Private Hospital</w:t>
            </w:r>
            <w:r>
              <w:t>)</w:t>
            </w:r>
          </w:p>
          <w:p w14:paraId="10F9961F" w14:textId="77777777" w:rsidR="00E50069" w:rsidRPr="00D71E48" w:rsidRDefault="00E50069" w:rsidP="0029601E">
            <w:pPr>
              <w:pStyle w:val="Tabletext"/>
              <w:keepNext/>
              <w:keepLines/>
            </w:pPr>
            <w:r w:rsidRPr="00D71E48">
              <w:t>$7,562.08</w:t>
            </w:r>
          </w:p>
          <w:p w14:paraId="5200CBA6" w14:textId="77777777" w:rsidR="00E50069" w:rsidRPr="00D71E48" w:rsidRDefault="00E50069" w:rsidP="0029601E">
            <w:pPr>
              <w:pStyle w:val="Tabletext"/>
              <w:keepNext/>
              <w:keepLines/>
            </w:pPr>
            <w:r>
              <w:t>(</w:t>
            </w:r>
            <w:r w:rsidRPr="00D71E48">
              <w:t>Published, Public Hospital</w:t>
            </w:r>
            <w:r>
              <w:t>)</w:t>
            </w:r>
          </w:p>
          <w:p w14:paraId="0391757A" w14:textId="77777777" w:rsidR="00E50069" w:rsidRPr="00D71E48" w:rsidRDefault="00E50069" w:rsidP="0029601E">
            <w:pPr>
              <w:pStyle w:val="Tabletext"/>
              <w:keepNext/>
              <w:keepLines/>
            </w:pPr>
          </w:p>
          <w:p w14:paraId="7E547872" w14:textId="77777777" w:rsidR="00E50069" w:rsidRPr="00D71E48" w:rsidRDefault="00E50069" w:rsidP="0029601E">
            <w:pPr>
              <w:pStyle w:val="Tabletext"/>
              <w:keepNext/>
              <w:keepLines/>
            </w:pPr>
            <w:r w:rsidRPr="00D71E48">
              <w:t>$</w:t>
            </w:r>
            <w:r w:rsidR="00DF0A4C">
              <w:rPr>
                <w:noProof/>
                <w:color w:val="000000"/>
                <w:highlight w:val="black"/>
              </w:rPr>
              <w:t>''''''''''''''''''''''</w:t>
            </w:r>
          </w:p>
          <w:p w14:paraId="099DB749" w14:textId="77777777" w:rsidR="00E50069" w:rsidRPr="00D71E48" w:rsidRDefault="00E50069" w:rsidP="0029601E">
            <w:pPr>
              <w:pStyle w:val="Tabletext"/>
              <w:keepNext/>
              <w:keepLines/>
            </w:pPr>
            <w:r>
              <w:t>(</w:t>
            </w:r>
            <w:r w:rsidRPr="00D71E48">
              <w:t>Effective, Private Hospital</w:t>
            </w:r>
            <w:r>
              <w:t>)</w:t>
            </w:r>
          </w:p>
          <w:p w14:paraId="028D2764" w14:textId="77777777" w:rsidR="00E50069" w:rsidRPr="00D71E48" w:rsidRDefault="00E50069" w:rsidP="0029601E">
            <w:pPr>
              <w:pStyle w:val="Tabletext"/>
              <w:keepNext/>
              <w:keepLines/>
            </w:pPr>
            <w:r w:rsidRPr="00D71E48">
              <w:t>$</w:t>
            </w:r>
            <w:r w:rsidR="00DF0A4C">
              <w:rPr>
                <w:noProof/>
                <w:color w:val="000000"/>
                <w:highlight w:val="black"/>
              </w:rPr>
              <w:t>'''''''''''''''''''''</w:t>
            </w:r>
          </w:p>
          <w:p w14:paraId="7C2CDFD2" w14:textId="77777777" w:rsidR="00C447E1" w:rsidRPr="00D71E48" w:rsidRDefault="00E50069" w:rsidP="0029601E">
            <w:pPr>
              <w:pStyle w:val="Tabletext"/>
              <w:keepNext/>
              <w:keepLines/>
            </w:pPr>
            <w:r>
              <w:t>(</w:t>
            </w:r>
            <w:r w:rsidRPr="00D71E48">
              <w:t>Effective, Public Hospital</w:t>
            </w:r>
            <w:r>
              <w:t>)</w:t>
            </w:r>
          </w:p>
        </w:tc>
        <w:tc>
          <w:tcPr>
            <w:tcW w:w="1701" w:type="dxa"/>
          </w:tcPr>
          <w:p w14:paraId="609379D8" w14:textId="77777777" w:rsidR="00E50069" w:rsidRPr="00B306D8" w:rsidRDefault="00E50069" w:rsidP="0029601E">
            <w:pPr>
              <w:pStyle w:val="Tabletext"/>
              <w:keepNext/>
              <w:keepLines/>
            </w:pPr>
            <w:r>
              <w:t xml:space="preserve">OPDIVO, BMS </w:t>
            </w:r>
          </w:p>
        </w:tc>
      </w:tr>
    </w:tbl>
    <w:p w14:paraId="2E33E782" w14:textId="77777777" w:rsidR="00FD2490" w:rsidRDefault="00FD2490" w:rsidP="00E50069">
      <w:pPr>
        <w:pStyle w:val="TableFooter"/>
      </w:pPr>
    </w:p>
    <w:tbl>
      <w:tblPr>
        <w:tblStyle w:val="TableGrid"/>
        <w:tblW w:w="5028" w:type="pct"/>
        <w:tblLook w:val="04A0" w:firstRow="1" w:lastRow="0" w:firstColumn="1" w:lastColumn="0" w:noHBand="0" w:noVBand="1"/>
      </w:tblPr>
      <w:tblGrid>
        <w:gridCol w:w="9067"/>
      </w:tblGrid>
      <w:tr w:rsidR="00FD2490" w:rsidRPr="00C447E1" w14:paraId="30DD7EB3" w14:textId="77777777" w:rsidTr="00074925">
        <w:tc>
          <w:tcPr>
            <w:tcW w:w="5000" w:type="pct"/>
            <w:tcBorders>
              <w:top w:val="single" w:sz="4" w:space="0" w:color="auto"/>
              <w:left w:val="single" w:sz="4" w:space="0" w:color="auto"/>
              <w:bottom w:val="single" w:sz="4" w:space="0" w:color="auto"/>
              <w:right w:val="single" w:sz="4" w:space="0" w:color="auto"/>
            </w:tcBorders>
          </w:tcPr>
          <w:p w14:paraId="18452D09" w14:textId="77777777" w:rsidR="00FD2490" w:rsidRPr="00FD2490" w:rsidRDefault="00FD2490" w:rsidP="00FD2490">
            <w:pPr>
              <w:ind w:left="-57"/>
              <w:rPr>
                <w:rFonts w:ascii="Arial Narrow" w:hAnsi="Arial Narrow"/>
                <w:b/>
                <w:bCs/>
                <w:color w:val="333333"/>
                <w:sz w:val="20"/>
                <w:szCs w:val="18"/>
              </w:rPr>
            </w:pPr>
            <w:r w:rsidRPr="00FD2490">
              <w:rPr>
                <w:rFonts w:ascii="Arial Narrow" w:hAnsi="Arial Narrow"/>
                <w:b/>
                <w:sz w:val="20"/>
                <w:szCs w:val="18"/>
              </w:rPr>
              <w:t xml:space="preserve">Category / Program: </w:t>
            </w:r>
            <w:r w:rsidRPr="00FD2490">
              <w:rPr>
                <w:rFonts w:ascii="Arial Narrow" w:hAnsi="Arial Narrow"/>
                <w:sz w:val="20"/>
                <w:szCs w:val="18"/>
              </w:rPr>
              <w:t>Section 100 – Efficient Funding of Chemotherapy Public/Private hospitals</w:t>
            </w:r>
          </w:p>
        </w:tc>
      </w:tr>
      <w:tr w:rsidR="00FD2490" w:rsidRPr="00C447E1" w14:paraId="3DE0306E" w14:textId="77777777" w:rsidTr="00074925">
        <w:tc>
          <w:tcPr>
            <w:tcW w:w="5000" w:type="pct"/>
            <w:tcBorders>
              <w:top w:val="single" w:sz="4" w:space="0" w:color="auto"/>
              <w:left w:val="single" w:sz="4" w:space="0" w:color="auto"/>
              <w:bottom w:val="single" w:sz="4" w:space="0" w:color="auto"/>
              <w:right w:val="single" w:sz="4" w:space="0" w:color="auto"/>
            </w:tcBorders>
          </w:tcPr>
          <w:p w14:paraId="3C5256FE" w14:textId="183C71AB" w:rsidR="00FD2490" w:rsidRPr="00FD2490" w:rsidRDefault="00FD2490" w:rsidP="00FD2490">
            <w:pPr>
              <w:ind w:left="-57"/>
              <w:rPr>
                <w:rFonts w:ascii="Arial Narrow" w:hAnsi="Arial Narrow"/>
                <w:b/>
                <w:bCs/>
                <w:color w:val="333333"/>
                <w:sz w:val="20"/>
                <w:szCs w:val="18"/>
              </w:rPr>
            </w:pPr>
            <w:r w:rsidRPr="00FD2490">
              <w:rPr>
                <w:rFonts w:ascii="Arial Narrow" w:hAnsi="Arial Narrow"/>
                <w:b/>
                <w:sz w:val="20"/>
                <w:szCs w:val="18"/>
              </w:rPr>
              <w:t xml:space="preserve">Prescriber type:  </w:t>
            </w:r>
            <w:r w:rsidRPr="00FD2490">
              <w:rPr>
                <w:rFonts w:ascii="Arial Narrow" w:hAnsi="Arial Narrow"/>
                <w:sz w:val="20"/>
                <w:szCs w:val="18"/>
              </w:rPr>
              <w:fldChar w:fldCharType="begin">
                <w:ffData>
                  <w:name w:val=""/>
                  <w:enabled/>
                  <w:calcOnExit w:val="0"/>
                  <w:checkBox>
                    <w:sizeAuto/>
                    <w:default w:val="1"/>
                  </w:checkBox>
                </w:ffData>
              </w:fldChar>
            </w:r>
            <w:r w:rsidRPr="00FD2490">
              <w:rPr>
                <w:rFonts w:ascii="Arial Narrow" w:hAnsi="Arial Narrow"/>
                <w:sz w:val="20"/>
                <w:szCs w:val="18"/>
              </w:rPr>
              <w:instrText xml:space="preserve"> FORMCHECKBOX </w:instrText>
            </w:r>
            <w:r w:rsidR="00224556">
              <w:rPr>
                <w:rFonts w:ascii="Arial Narrow" w:hAnsi="Arial Narrow"/>
                <w:sz w:val="20"/>
                <w:szCs w:val="18"/>
              </w:rPr>
            </w:r>
            <w:r w:rsidR="00224556">
              <w:rPr>
                <w:rFonts w:ascii="Arial Narrow" w:hAnsi="Arial Narrow"/>
                <w:sz w:val="20"/>
                <w:szCs w:val="18"/>
              </w:rPr>
              <w:fldChar w:fldCharType="separate"/>
            </w:r>
            <w:r w:rsidRPr="00FD2490">
              <w:rPr>
                <w:rFonts w:ascii="Arial Narrow" w:hAnsi="Arial Narrow"/>
                <w:sz w:val="20"/>
                <w:szCs w:val="18"/>
              </w:rPr>
              <w:fldChar w:fldCharType="end"/>
            </w:r>
            <w:r w:rsidRPr="00FD2490">
              <w:rPr>
                <w:rFonts w:ascii="Arial Narrow" w:hAnsi="Arial Narrow"/>
                <w:sz w:val="20"/>
                <w:szCs w:val="18"/>
              </w:rPr>
              <w:t xml:space="preserve"> Medical Practitioners    </w:t>
            </w:r>
          </w:p>
        </w:tc>
      </w:tr>
      <w:tr w:rsidR="00FD2490" w:rsidRPr="00C447E1" w14:paraId="379C5E82" w14:textId="77777777" w:rsidTr="00074925">
        <w:tc>
          <w:tcPr>
            <w:tcW w:w="5000" w:type="pct"/>
            <w:tcBorders>
              <w:top w:val="single" w:sz="4" w:space="0" w:color="auto"/>
              <w:left w:val="single" w:sz="4" w:space="0" w:color="auto"/>
              <w:bottom w:val="single" w:sz="4" w:space="0" w:color="auto"/>
              <w:right w:val="single" w:sz="4" w:space="0" w:color="auto"/>
            </w:tcBorders>
          </w:tcPr>
          <w:p w14:paraId="5CAEC3DA" w14:textId="77777777" w:rsidR="00FD2490" w:rsidRPr="00FD2490" w:rsidRDefault="00FD2490" w:rsidP="00FD2490">
            <w:pPr>
              <w:ind w:left="-57"/>
              <w:rPr>
                <w:rFonts w:ascii="Arial Narrow" w:eastAsia="Calibri" w:hAnsi="Arial Narrow"/>
                <w:sz w:val="20"/>
                <w:szCs w:val="18"/>
              </w:rPr>
            </w:pPr>
            <w:r w:rsidRPr="00FD2490">
              <w:rPr>
                <w:rFonts w:ascii="Arial Narrow" w:hAnsi="Arial Narrow"/>
                <w:b/>
                <w:sz w:val="20"/>
                <w:szCs w:val="18"/>
              </w:rPr>
              <w:t xml:space="preserve">Restriction type: </w:t>
            </w:r>
            <w:r w:rsidRPr="00FD2490">
              <w:rPr>
                <w:rFonts w:ascii="Arial Narrow" w:eastAsia="Calibri" w:hAnsi="Arial Narrow"/>
                <w:sz w:val="20"/>
                <w:szCs w:val="18"/>
              </w:rPr>
              <w:fldChar w:fldCharType="begin">
                <w:ffData>
                  <w:name w:val=""/>
                  <w:enabled/>
                  <w:calcOnExit w:val="0"/>
                  <w:checkBox>
                    <w:sizeAuto/>
                    <w:default w:val="1"/>
                  </w:checkBox>
                </w:ffData>
              </w:fldChar>
            </w:r>
            <w:r w:rsidRPr="00FD2490">
              <w:rPr>
                <w:rFonts w:ascii="Arial Narrow" w:eastAsia="Calibri" w:hAnsi="Arial Narrow"/>
                <w:sz w:val="20"/>
                <w:szCs w:val="18"/>
              </w:rPr>
              <w:instrText xml:space="preserve"> FORMCHECKBOX </w:instrText>
            </w:r>
            <w:r w:rsidR="00224556">
              <w:rPr>
                <w:rFonts w:ascii="Arial Narrow" w:eastAsia="Calibri" w:hAnsi="Arial Narrow"/>
                <w:sz w:val="20"/>
                <w:szCs w:val="18"/>
              </w:rPr>
            </w:r>
            <w:r w:rsidR="00224556">
              <w:rPr>
                <w:rFonts w:ascii="Arial Narrow" w:eastAsia="Calibri" w:hAnsi="Arial Narrow"/>
                <w:sz w:val="20"/>
                <w:szCs w:val="18"/>
              </w:rPr>
              <w:fldChar w:fldCharType="separate"/>
            </w:r>
            <w:r w:rsidRPr="00FD2490">
              <w:rPr>
                <w:rFonts w:ascii="Arial Narrow" w:eastAsia="Calibri" w:hAnsi="Arial Narrow"/>
                <w:sz w:val="20"/>
                <w:szCs w:val="18"/>
              </w:rPr>
              <w:fldChar w:fldCharType="end"/>
            </w:r>
            <w:r w:rsidRPr="00FD2490">
              <w:rPr>
                <w:rFonts w:ascii="Arial Narrow" w:eastAsia="Calibri" w:hAnsi="Arial Narrow"/>
                <w:sz w:val="20"/>
                <w:szCs w:val="18"/>
              </w:rPr>
              <w:t>Authority Required – Streamlined [new code]</w:t>
            </w:r>
          </w:p>
        </w:tc>
      </w:tr>
      <w:tr w:rsidR="00FD2490" w:rsidRPr="00C447E1" w14:paraId="7E561B54" w14:textId="77777777" w:rsidTr="00074925">
        <w:tc>
          <w:tcPr>
            <w:tcW w:w="5000" w:type="pct"/>
            <w:hideMark/>
          </w:tcPr>
          <w:p w14:paraId="04E272AD" w14:textId="77777777" w:rsidR="00FD2490" w:rsidRPr="00FD2490" w:rsidRDefault="00FD2490" w:rsidP="00FD2490">
            <w:pPr>
              <w:ind w:left="-57"/>
              <w:rPr>
                <w:rFonts w:ascii="Arial Narrow" w:hAnsi="Arial Narrow"/>
                <w:color w:val="333333"/>
                <w:sz w:val="20"/>
                <w:szCs w:val="18"/>
              </w:rPr>
            </w:pPr>
            <w:r w:rsidRPr="00FD2490">
              <w:rPr>
                <w:rFonts w:ascii="Arial Narrow" w:hAnsi="Arial Narrow"/>
                <w:b/>
                <w:bCs/>
                <w:color w:val="333333"/>
                <w:sz w:val="20"/>
                <w:szCs w:val="18"/>
              </w:rPr>
              <w:t xml:space="preserve">Administrative Advice: </w:t>
            </w:r>
            <w:r w:rsidRPr="00FD2490">
              <w:rPr>
                <w:rFonts w:ascii="Arial Narrow" w:hAnsi="Arial Narrow"/>
                <w:color w:val="333333"/>
                <w:sz w:val="20"/>
                <w:szCs w:val="18"/>
              </w:rPr>
              <w:t>No increase in the maximum number of repeats may be authorised.</w:t>
            </w:r>
          </w:p>
        </w:tc>
      </w:tr>
      <w:tr w:rsidR="00FD2490" w:rsidRPr="00C447E1" w14:paraId="285ED44D" w14:textId="77777777" w:rsidTr="00074925">
        <w:tc>
          <w:tcPr>
            <w:tcW w:w="5000" w:type="pct"/>
            <w:hideMark/>
          </w:tcPr>
          <w:p w14:paraId="48636678" w14:textId="77777777" w:rsidR="00FD2490" w:rsidRPr="00FD2490" w:rsidRDefault="00FD2490" w:rsidP="00FD2490">
            <w:pPr>
              <w:ind w:left="-57"/>
              <w:rPr>
                <w:rFonts w:ascii="Arial Narrow" w:hAnsi="Arial Narrow"/>
                <w:color w:val="333333"/>
                <w:sz w:val="20"/>
                <w:szCs w:val="18"/>
              </w:rPr>
            </w:pPr>
            <w:r w:rsidRPr="00FD2490">
              <w:rPr>
                <w:rFonts w:ascii="Arial Narrow" w:hAnsi="Arial Narrow"/>
                <w:b/>
                <w:bCs/>
                <w:color w:val="333333"/>
                <w:sz w:val="20"/>
                <w:szCs w:val="18"/>
              </w:rPr>
              <w:t xml:space="preserve">Administrative Advice: </w:t>
            </w:r>
            <w:r w:rsidRPr="00FD2490">
              <w:rPr>
                <w:rFonts w:ascii="Arial Narrow" w:hAnsi="Arial Narrow"/>
                <w:color w:val="333333"/>
                <w:sz w:val="20"/>
                <w:szCs w:val="18"/>
              </w:rPr>
              <w:t>Special Pricing Arrangements apply.</w:t>
            </w:r>
          </w:p>
        </w:tc>
      </w:tr>
      <w:tr w:rsidR="00FD2490" w:rsidRPr="00C447E1" w14:paraId="6D7F841C" w14:textId="77777777" w:rsidTr="00074925">
        <w:tc>
          <w:tcPr>
            <w:tcW w:w="5000" w:type="pct"/>
            <w:vAlign w:val="center"/>
          </w:tcPr>
          <w:p w14:paraId="5903451E" w14:textId="77777777" w:rsidR="00FD2490" w:rsidRPr="00FD2490" w:rsidRDefault="00FD2490" w:rsidP="00FD2490">
            <w:pPr>
              <w:ind w:left="-57"/>
              <w:rPr>
                <w:rFonts w:ascii="Arial Narrow" w:hAnsi="Arial Narrow"/>
                <w:b/>
                <w:bCs/>
                <w:color w:val="333333"/>
                <w:sz w:val="20"/>
                <w:szCs w:val="18"/>
              </w:rPr>
            </w:pPr>
            <w:proofErr w:type="spellStart"/>
            <w:r w:rsidRPr="00FD2490">
              <w:rPr>
                <w:rFonts w:ascii="Arial Narrow" w:hAnsi="Arial Narrow"/>
                <w:b/>
                <w:bCs/>
                <w:color w:val="333333"/>
                <w:sz w:val="20"/>
                <w:szCs w:val="18"/>
              </w:rPr>
              <w:t>Episodicity</w:t>
            </w:r>
            <w:proofErr w:type="spellEnd"/>
            <w:r w:rsidRPr="00FD2490">
              <w:rPr>
                <w:rFonts w:ascii="Arial Narrow" w:hAnsi="Arial Narrow"/>
                <w:b/>
                <w:bCs/>
                <w:color w:val="333333"/>
                <w:sz w:val="20"/>
                <w:szCs w:val="18"/>
              </w:rPr>
              <w:t xml:space="preserve">: </w:t>
            </w:r>
            <w:r w:rsidRPr="00FD2490">
              <w:rPr>
                <w:rFonts w:ascii="Arial Narrow" w:hAnsi="Arial Narrow"/>
                <w:bCs/>
                <w:color w:val="333333"/>
                <w:sz w:val="20"/>
                <w:szCs w:val="18"/>
              </w:rPr>
              <w:t>[blank]</w:t>
            </w:r>
          </w:p>
        </w:tc>
      </w:tr>
      <w:tr w:rsidR="00FD2490" w:rsidRPr="00C447E1" w14:paraId="15C3B4EF" w14:textId="77777777" w:rsidTr="00074925">
        <w:tc>
          <w:tcPr>
            <w:tcW w:w="5000" w:type="pct"/>
            <w:vAlign w:val="center"/>
          </w:tcPr>
          <w:p w14:paraId="4FFC1BCF" w14:textId="77777777" w:rsidR="00FD2490" w:rsidRPr="00FD2490" w:rsidRDefault="00FD2490" w:rsidP="00FD2490">
            <w:pPr>
              <w:ind w:left="-57"/>
              <w:rPr>
                <w:rFonts w:ascii="Arial Narrow" w:hAnsi="Arial Narrow"/>
                <w:bCs/>
                <w:color w:val="333333"/>
                <w:sz w:val="20"/>
                <w:szCs w:val="18"/>
              </w:rPr>
            </w:pPr>
            <w:r w:rsidRPr="00FD2490">
              <w:rPr>
                <w:rFonts w:ascii="Arial Narrow" w:hAnsi="Arial Narrow"/>
                <w:b/>
                <w:bCs/>
                <w:color w:val="333333"/>
                <w:sz w:val="20"/>
                <w:szCs w:val="18"/>
              </w:rPr>
              <w:t xml:space="preserve">Severity: </w:t>
            </w:r>
            <w:r w:rsidRPr="00FD2490">
              <w:rPr>
                <w:rFonts w:ascii="Arial Narrow" w:hAnsi="Arial Narrow"/>
                <w:bCs/>
                <w:color w:val="333333"/>
                <w:sz w:val="20"/>
                <w:szCs w:val="18"/>
              </w:rPr>
              <w:t xml:space="preserve">Advanced or </w:t>
            </w:r>
            <w:r w:rsidR="00074925" w:rsidRPr="00FD2490">
              <w:rPr>
                <w:rFonts w:ascii="Arial Narrow" w:hAnsi="Arial Narrow"/>
                <w:bCs/>
                <w:color w:val="333333"/>
                <w:sz w:val="20"/>
                <w:szCs w:val="18"/>
              </w:rPr>
              <w:t>metastatic</w:t>
            </w:r>
            <w:r w:rsidRPr="00FD2490">
              <w:rPr>
                <w:rFonts w:ascii="Arial Narrow" w:hAnsi="Arial Narrow"/>
                <w:b/>
                <w:bCs/>
                <w:color w:val="333333"/>
                <w:sz w:val="20"/>
                <w:szCs w:val="18"/>
              </w:rPr>
              <w:t xml:space="preserve"> </w:t>
            </w:r>
          </w:p>
        </w:tc>
      </w:tr>
      <w:tr w:rsidR="00FD2490" w:rsidRPr="00C447E1" w14:paraId="10B9A2AB" w14:textId="77777777" w:rsidTr="00074925">
        <w:tc>
          <w:tcPr>
            <w:tcW w:w="5000" w:type="pct"/>
            <w:vAlign w:val="center"/>
          </w:tcPr>
          <w:p w14:paraId="1000FB69" w14:textId="77777777" w:rsidR="00FD2490" w:rsidRPr="00FD2490" w:rsidRDefault="00FD2490" w:rsidP="00FD2490">
            <w:pPr>
              <w:ind w:left="-57"/>
              <w:rPr>
                <w:rFonts w:ascii="Arial Narrow" w:hAnsi="Arial Narrow"/>
                <w:b/>
                <w:bCs/>
                <w:color w:val="333333"/>
                <w:sz w:val="20"/>
                <w:szCs w:val="18"/>
              </w:rPr>
            </w:pPr>
            <w:r w:rsidRPr="00FD2490">
              <w:rPr>
                <w:rFonts w:ascii="Arial Narrow" w:hAnsi="Arial Narrow"/>
                <w:b/>
                <w:bCs/>
                <w:color w:val="333333"/>
                <w:sz w:val="20"/>
                <w:szCs w:val="18"/>
              </w:rPr>
              <w:t xml:space="preserve">Condition: </w:t>
            </w:r>
            <w:r w:rsidRPr="00FD2490">
              <w:rPr>
                <w:rFonts w:ascii="Arial Narrow" w:hAnsi="Arial Narrow"/>
                <w:bCs/>
                <w:color w:val="333333"/>
                <w:sz w:val="20"/>
                <w:szCs w:val="18"/>
              </w:rPr>
              <w:t>carcinoma of the following types: (</w:t>
            </w:r>
            <w:proofErr w:type="spellStart"/>
            <w:r w:rsidRPr="00FD2490">
              <w:rPr>
                <w:rFonts w:ascii="Arial Narrow" w:hAnsi="Arial Narrow"/>
                <w:bCs/>
                <w:color w:val="333333"/>
                <w:sz w:val="20"/>
                <w:szCs w:val="18"/>
              </w:rPr>
              <w:t>i</w:t>
            </w:r>
            <w:proofErr w:type="spellEnd"/>
            <w:r w:rsidRPr="00FD2490">
              <w:rPr>
                <w:rFonts w:ascii="Arial Narrow" w:hAnsi="Arial Narrow"/>
                <w:bCs/>
                <w:color w:val="333333"/>
                <w:sz w:val="20"/>
                <w:szCs w:val="18"/>
              </w:rPr>
              <w:t>) gastric cancer, (ii)</w:t>
            </w:r>
            <w:r w:rsidRPr="00FD2490">
              <w:rPr>
                <w:sz w:val="20"/>
              </w:rPr>
              <w:t xml:space="preserve"> </w:t>
            </w:r>
            <w:r w:rsidRPr="00FD2490">
              <w:rPr>
                <w:rFonts w:ascii="Arial Narrow" w:hAnsi="Arial Narrow"/>
                <w:bCs/>
                <w:color w:val="333333"/>
                <w:sz w:val="20"/>
                <w:szCs w:val="18"/>
              </w:rPr>
              <w:t xml:space="preserve">primary adenocarcinoma of </w:t>
            </w:r>
            <w:proofErr w:type="spellStart"/>
            <w:r w:rsidR="00074925">
              <w:rPr>
                <w:rFonts w:ascii="Arial Narrow" w:hAnsi="Arial Narrow"/>
                <w:bCs/>
                <w:color w:val="333333"/>
                <w:sz w:val="20"/>
                <w:szCs w:val="18"/>
              </w:rPr>
              <w:t>o</w:t>
            </w:r>
            <w:r w:rsidRPr="00FD2490">
              <w:rPr>
                <w:rFonts w:ascii="Arial Narrow" w:hAnsi="Arial Narrow"/>
                <w:bCs/>
                <w:color w:val="333333"/>
                <w:sz w:val="20"/>
                <w:szCs w:val="18"/>
              </w:rPr>
              <w:t>esophagogastric</w:t>
            </w:r>
            <w:proofErr w:type="spellEnd"/>
            <w:r w:rsidRPr="00FD2490">
              <w:rPr>
                <w:rFonts w:ascii="Arial Narrow" w:hAnsi="Arial Narrow"/>
                <w:bCs/>
                <w:color w:val="333333"/>
                <w:sz w:val="20"/>
                <w:szCs w:val="18"/>
              </w:rPr>
              <w:t xml:space="preserve"> junction, (iii) adenocarcinoma in situ of </w:t>
            </w:r>
            <w:r w:rsidR="00074925">
              <w:rPr>
                <w:rFonts w:ascii="Arial Narrow" w:hAnsi="Arial Narrow"/>
                <w:bCs/>
                <w:color w:val="333333"/>
                <w:sz w:val="20"/>
                <w:szCs w:val="18"/>
              </w:rPr>
              <w:t>o</w:t>
            </w:r>
            <w:r w:rsidRPr="00FD2490">
              <w:rPr>
                <w:rFonts w:ascii="Arial Narrow" w:hAnsi="Arial Narrow"/>
                <w:bCs/>
                <w:color w:val="333333"/>
                <w:sz w:val="20"/>
                <w:szCs w:val="18"/>
              </w:rPr>
              <w:t>esophagus</w:t>
            </w:r>
          </w:p>
        </w:tc>
      </w:tr>
      <w:tr w:rsidR="00FD2490" w:rsidRPr="00C447E1" w14:paraId="3828D0CF" w14:textId="77777777" w:rsidTr="00074925">
        <w:tc>
          <w:tcPr>
            <w:tcW w:w="5000" w:type="pct"/>
            <w:hideMark/>
          </w:tcPr>
          <w:p w14:paraId="3CA24473" w14:textId="77777777" w:rsidR="00FD2490" w:rsidRPr="00FD2490" w:rsidRDefault="00FD2490" w:rsidP="00D329FE">
            <w:pPr>
              <w:ind w:left="-57"/>
              <w:rPr>
                <w:rFonts w:ascii="Arial Narrow" w:hAnsi="Arial Narrow"/>
                <w:color w:val="333333"/>
                <w:sz w:val="20"/>
                <w:szCs w:val="18"/>
              </w:rPr>
            </w:pPr>
            <w:r w:rsidRPr="00FD2490">
              <w:rPr>
                <w:rFonts w:ascii="Arial Narrow" w:hAnsi="Arial Narrow"/>
                <w:b/>
                <w:bCs/>
                <w:color w:val="333333"/>
                <w:sz w:val="20"/>
                <w:szCs w:val="18"/>
              </w:rPr>
              <w:t xml:space="preserve">Indication: </w:t>
            </w:r>
            <w:r w:rsidRPr="00FD2490">
              <w:rPr>
                <w:rFonts w:ascii="Arial Narrow" w:hAnsi="Arial Narrow"/>
                <w:color w:val="333333"/>
                <w:sz w:val="20"/>
                <w:szCs w:val="18"/>
              </w:rPr>
              <w:t xml:space="preserve">Advanced or metastatic non-HER2 positive </w:t>
            </w:r>
            <w:r w:rsidRPr="00FD2490">
              <w:rPr>
                <w:rFonts w:ascii="Arial Narrow" w:hAnsi="Arial Narrow"/>
                <w:i/>
                <w:color w:val="333333"/>
                <w:sz w:val="20"/>
                <w:szCs w:val="18"/>
              </w:rPr>
              <w:t>carcinoma of the following types: (</w:t>
            </w:r>
            <w:proofErr w:type="spellStart"/>
            <w:r w:rsidRPr="00FD2490">
              <w:rPr>
                <w:rFonts w:ascii="Arial Narrow" w:hAnsi="Arial Narrow"/>
                <w:i/>
                <w:color w:val="333333"/>
                <w:sz w:val="20"/>
                <w:szCs w:val="18"/>
              </w:rPr>
              <w:t>i</w:t>
            </w:r>
            <w:proofErr w:type="spellEnd"/>
            <w:r w:rsidRPr="00FD2490">
              <w:rPr>
                <w:rFonts w:ascii="Arial Narrow" w:hAnsi="Arial Narrow"/>
                <w:i/>
                <w:color w:val="333333"/>
                <w:sz w:val="20"/>
                <w:szCs w:val="18"/>
              </w:rPr>
              <w:t xml:space="preserve">) </w:t>
            </w:r>
            <w:r w:rsidRPr="00FD2490">
              <w:rPr>
                <w:rFonts w:ascii="Arial Narrow" w:hAnsi="Arial Narrow"/>
                <w:color w:val="333333"/>
                <w:sz w:val="20"/>
                <w:szCs w:val="18"/>
              </w:rPr>
              <w:t xml:space="preserve">gastric cancer, </w:t>
            </w:r>
            <w:r w:rsidRPr="00FD2490">
              <w:rPr>
                <w:rFonts w:ascii="Arial Narrow" w:hAnsi="Arial Narrow"/>
                <w:i/>
                <w:color w:val="333333"/>
                <w:sz w:val="20"/>
                <w:szCs w:val="18"/>
              </w:rPr>
              <w:t xml:space="preserve">(ii) </w:t>
            </w:r>
            <w:r w:rsidRPr="00FD2490">
              <w:rPr>
                <w:rFonts w:ascii="Arial Narrow" w:hAnsi="Arial Narrow"/>
                <w:strike/>
                <w:color w:val="333333"/>
                <w:sz w:val="20"/>
                <w:szCs w:val="18"/>
              </w:rPr>
              <w:t>gastro-oesophageal junction</w:t>
            </w:r>
            <w:r w:rsidRPr="00FD2490">
              <w:rPr>
                <w:rFonts w:ascii="Arial Narrow" w:hAnsi="Arial Narrow"/>
                <w:i/>
                <w:strike/>
                <w:color w:val="333333"/>
                <w:sz w:val="20"/>
                <w:szCs w:val="18"/>
              </w:rPr>
              <w:t>,</w:t>
            </w:r>
            <w:r w:rsidRPr="00FD2490">
              <w:rPr>
                <w:rFonts w:ascii="Arial Narrow" w:hAnsi="Arial Narrow"/>
                <w:strike/>
                <w:color w:val="333333"/>
                <w:sz w:val="20"/>
                <w:szCs w:val="18"/>
              </w:rPr>
              <w:t xml:space="preserve"> cancer or oesophageal adenocarcinoma</w:t>
            </w:r>
            <w:r w:rsidRPr="00FD2490">
              <w:rPr>
                <w:rFonts w:ascii="Arial Narrow" w:hAnsi="Arial Narrow"/>
                <w:bCs/>
                <w:i/>
                <w:color w:val="333333"/>
                <w:sz w:val="20"/>
                <w:szCs w:val="18"/>
              </w:rPr>
              <w:t xml:space="preserve"> of </w:t>
            </w:r>
            <w:proofErr w:type="spellStart"/>
            <w:r>
              <w:rPr>
                <w:rFonts w:ascii="Arial Narrow" w:hAnsi="Arial Narrow"/>
                <w:bCs/>
                <w:i/>
                <w:color w:val="333333"/>
                <w:sz w:val="20"/>
                <w:szCs w:val="18"/>
              </w:rPr>
              <w:t>o</w:t>
            </w:r>
            <w:r w:rsidRPr="00FD2490">
              <w:rPr>
                <w:rFonts w:ascii="Arial Narrow" w:hAnsi="Arial Narrow"/>
                <w:bCs/>
                <w:i/>
                <w:color w:val="333333"/>
                <w:sz w:val="20"/>
                <w:szCs w:val="18"/>
              </w:rPr>
              <w:t>esophagogastric</w:t>
            </w:r>
            <w:proofErr w:type="spellEnd"/>
            <w:r w:rsidRPr="00FD2490">
              <w:rPr>
                <w:rFonts w:ascii="Arial Narrow" w:hAnsi="Arial Narrow"/>
                <w:bCs/>
                <w:i/>
                <w:color w:val="333333"/>
                <w:sz w:val="20"/>
                <w:szCs w:val="18"/>
              </w:rPr>
              <w:t xml:space="preserve"> junction, (iii) adenocarcinoma of </w:t>
            </w:r>
            <w:r>
              <w:rPr>
                <w:rFonts w:ascii="Arial Narrow" w:hAnsi="Arial Narrow"/>
                <w:bCs/>
                <w:i/>
                <w:color w:val="333333"/>
                <w:sz w:val="20"/>
                <w:szCs w:val="18"/>
              </w:rPr>
              <w:t>o</w:t>
            </w:r>
            <w:r w:rsidRPr="00FD2490">
              <w:rPr>
                <w:rFonts w:ascii="Arial Narrow" w:hAnsi="Arial Narrow"/>
                <w:bCs/>
                <w:i/>
                <w:color w:val="333333"/>
                <w:sz w:val="20"/>
                <w:szCs w:val="18"/>
              </w:rPr>
              <w:t>esophagus</w:t>
            </w:r>
          </w:p>
        </w:tc>
      </w:tr>
      <w:tr w:rsidR="00FD2490" w:rsidRPr="00C447E1" w14:paraId="67FE356E" w14:textId="77777777" w:rsidTr="00074925">
        <w:tc>
          <w:tcPr>
            <w:tcW w:w="5000" w:type="pct"/>
            <w:hideMark/>
          </w:tcPr>
          <w:p w14:paraId="10DF77A8" w14:textId="77777777" w:rsidR="00FD2490" w:rsidRPr="00FD2490" w:rsidRDefault="00FD2490" w:rsidP="00FD2490">
            <w:pPr>
              <w:ind w:left="-57"/>
              <w:rPr>
                <w:rFonts w:ascii="Arial Narrow" w:hAnsi="Arial Narrow"/>
                <w:color w:val="333333"/>
                <w:sz w:val="20"/>
                <w:szCs w:val="18"/>
              </w:rPr>
            </w:pPr>
            <w:r w:rsidRPr="00FD2490">
              <w:rPr>
                <w:rFonts w:ascii="Arial Narrow" w:hAnsi="Arial Narrow"/>
                <w:b/>
                <w:bCs/>
                <w:color w:val="333333"/>
                <w:sz w:val="20"/>
                <w:szCs w:val="18"/>
              </w:rPr>
              <w:t xml:space="preserve">Treatment Phase: </w:t>
            </w:r>
            <w:r w:rsidRPr="00FD2490">
              <w:rPr>
                <w:rFonts w:ascii="Arial Narrow" w:hAnsi="Arial Narrow"/>
                <w:color w:val="333333"/>
                <w:sz w:val="20"/>
                <w:szCs w:val="18"/>
              </w:rPr>
              <w:t xml:space="preserve">Initial treatment </w:t>
            </w:r>
          </w:p>
        </w:tc>
      </w:tr>
      <w:tr w:rsidR="00FD2490" w:rsidRPr="00C447E1" w14:paraId="31D03E1D" w14:textId="77777777" w:rsidTr="00074925">
        <w:tc>
          <w:tcPr>
            <w:tcW w:w="5000" w:type="pct"/>
            <w:hideMark/>
          </w:tcPr>
          <w:p w14:paraId="1E54AF27" w14:textId="77777777" w:rsidR="00FD2490" w:rsidRPr="00FD2490" w:rsidRDefault="00FD2490" w:rsidP="00FD2490">
            <w:pPr>
              <w:ind w:left="-57"/>
              <w:rPr>
                <w:rFonts w:ascii="Arial Narrow" w:hAnsi="Arial Narrow"/>
                <w:b/>
                <w:color w:val="333333"/>
                <w:sz w:val="20"/>
                <w:szCs w:val="18"/>
              </w:rPr>
            </w:pPr>
            <w:r w:rsidRPr="00FD2490">
              <w:rPr>
                <w:rFonts w:ascii="Arial Narrow" w:hAnsi="Arial Narrow"/>
                <w:b/>
                <w:color w:val="333333"/>
                <w:sz w:val="20"/>
                <w:szCs w:val="18"/>
              </w:rPr>
              <w:t>Clinical criteria:</w:t>
            </w:r>
          </w:p>
        </w:tc>
      </w:tr>
      <w:tr w:rsidR="00FD2490" w:rsidRPr="00C447E1" w14:paraId="1A7D2781" w14:textId="77777777" w:rsidTr="00074925">
        <w:tc>
          <w:tcPr>
            <w:tcW w:w="5000" w:type="pct"/>
            <w:hideMark/>
          </w:tcPr>
          <w:p w14:paraId="1CEBBB4D" w14:textId="77777777" w:rsidR="00DD746C" w:rsidRPr="00DD746C" w:rsidRDefault="00FD2490" w:rsidP="00DD746C">
            <w:pPr>
              <w:ind w:left="-57"/>
              <w:rPr>
                <w:rFonts w:ascii="Arial Narrow" w:hAnsi="Arial Narrow"/>
                <w:color w:val="333333"/>
                <w:sz w:val="20"/>
                <w:szCs w:val="18"/>
              </w:rPr>
            </w:pPr>
            <w:r w:rsidRPr="00DD746C">
              <w:rPr>
                <w:rFonts w:ascii="Arial Narrow" w:hAnsi="Arial Narrow"/>
                <w:color w:val="333333"/>
                <w:sz w:val="20"/>
                <w:szCs w:val="18"/>
              </w:rPr>
              <w:t xml:space="preserve">Patient must not have received prior </w:t>
            </w:r>
            <w:r w:rsidR="00DD746C" w:rsidRPr="00DD746C">
              <w:rPr>
                <w:rFonts w:ascii="Arial Narrow" w:hAnsi="Arial Narrow"/>
                <w:i/>
                <w:color w:val="333333"/>
                <w:sz w:val="20"/>
                <w:szCs w:val="18"/>
              </w:rPr>
              <w:t>PBS-subsidised</w:t>
            </w:r>
            <w:r w:rsidR="00DD746C">
              <w:rPr>
                <w:rFonts w:ascii="Arial Narrow" w:hAnsi="Arial Narrow"/>
                <w:color w:val="333333"/>
                <w:sz w:val="20"/>
                <w:szCs w:val="18"/>
              </w:rPr>
              <w:t xml:space="preserve"> </w:t>
            </w:r>
            <w:r w:rsidRPr="00DD746C">
              <w:rPr>
                <w:rFonts w:ascii="Arial Narrow" w:hAnsi="Arial Narrow"/>
                <w:color w:val="333333"/>
                <w:sz w:val="20"/>
                <w:szCs w:val="18"/>
              </w:rPr>
              <w:t>treatment with a programmed cell death-1 (PD-1) inhibitor or a programmed cell death ligand-1 (PD-L1) inhibitor for this condition</w:t>
            </w:r>
          </w:p>
        </w:tc>
      </w:tr>
      <w:tr w:rsidR="00D329FE" w:rsidRPr="00C447E1" w14:paraId="06930D63" w14:textId="77777777" w:rsidTr="00074925">
        <w:tc>
          <w:tcPr>
            <w:tcW w:w="5000" w:type="pct"/>
          </w:tcPr>
          <w:p w14:paraId="4E6151FC" w14:textId="77777777" w:rsidR="00D329FE" w:rsidRPr="00FD2490" w:rsidRDefault="00D329FE" w:rsidP="00FD2490">
            <w:pPr>
              <w:ind w:left="-57"/>
              <w:rPr>
                <w:rFonts w:ascii="Arial Narrow" w:hAnsi="Arial Narrow"/>
                <w:b/>
                <w:bCs/>
                <w:color w:val="333333"/>
                <w:sz w:val="20"/>
                <w:szCs w:val="18"/>
              </w:rPr>
            </w:pPr>
            <w:r>
              <w:rPr>
                <w:rFonts w:ascii="Arial Narrow" w:hAnsi="Arial Narrow"/>
                <w:b/>
                <w:bCs/>
                <w:color w:val="333333"/>
                <w:sz w:val="20"/>
                <w:szCs w:val="18"/>
              </w:rPr>
              <w:t>AND</w:t>
            </w:r>
          </w:p>
        </w:tc>
      </w:tr>
      <w:tr w:rsidR="00FD2490" w:rsidRPr="00C447E1" w14:paraId="77D0573A" w14:textId="77777777" w:rsidTr="00074925">
        <w:tc>
          <w:tcPr>
            <w:tcW w:w="5000" w:type="pct"/>
            <w:hideMark/>
          </w:tcPr>
          <w:p w14:paraId="52754476" w14:textId="77777777" w:rsidR="00FD2490" w:rsidRPr="00FD2490" w:rsidRDefault="00FD2490" w:rsidP="00FD2490">
            <w:pPr>
              <w:ind w:left="-57"/>
              <w:rPr>
                <w:rFonts w:ascii="Arial Narrow" w:hAnsi="Arial Narrow"/>
                <w:color w:val="333333"/>
                <w:sz w:val="20"/>
                <w:szCs w:val="18"/>
              </w:rPr>
            </w:pPr>
            <w:r w:rsidRPr="00FD2490">
              <w:rPr>
                <w:rFonts w:ascii="Arial Narrow" w:hAnsi="Arial Narrow"/>
                <w:b/>
                <w:bCs/>
                <w:color w:val="333333"/>
                <w:sz w:val="20"/>
                <w:szCs w:val="18"/>
              </w:rPr>
              <w:t>Clinical criteria:</w:t>
            </w:r>
          </w:p>
        </w:tc>
      </w:tr>
      <w:tr w:rsidR="00FD2490" w:rsidRPr="00C447E1" w14:paraId="768F4547" w14:textId="77777777" w:rsidTr="00074925">
        <w:tc>
          <w:tcPr>
            <w:tcW w:w="5000" w:type="pct"/>
          </w:tcPr>
          <w:p w14:paraId="0EAF4FA6" w14:textId="77777777" w:rsidR="00FD2490" w:rsidRPr="00FD2490" w:rsidRDefault="00FD2490" w:rsidP="00FD2490">
            <w:pPr>
              <w:ind w:left="-57"/>
              <w:rPr>
                <w:rFonts w:ascii="Arial Narrow" w:hAnsi="Arial Narrow"/>
                <w:i/>
                <w:color w:val="333333"/>
                <w:sz w:val="20"/>
                <w:szCs w:val="18"/>
              </w:rPr>
            </w:pPr>
            <w:r w:rsidRPr="00FD2490">
              <w:rPr>
                <w:rFonts w:ascii="Arial Narrow" w:hAnsi="Arial Narrow"/>
                <w:i/>
                <w:color w:val="333333"/>
                <w:sz w:val="20"/>
                <w:szCs w:val="18"/>
              </w:rPr>
              <w:t>Patient must have advanced/metastatic disease that is untreated at the time this drug is initiated</w:t>
            </w:r>
          </w:p>
        </w:tc>
      </w:tr>
      <w:tr w:rsidR="00FD2490" w:rsidRPr="00C447E1" w14:paraId="4D4C823E" w14:textId="77777777" w:rsidTr="00074925">
        <w:tc>
          <w:tcPr>
            <w:tcW w:w="5000" w:type="pct"/>
            <w:hideMark/>
          </w:tcPr>
          <w:p w14:paraId="7161BAE9" w14:textId="77777777" w:rsidR="00FD2490" w:rsidRPr="00FD2490" w:rsidRDefault="00FD2490" w:rsidP="00FD2490">
            <w:pPr>
              <w:ind w:left="-57"/>
              <w:rPr>
                <w:rFonts w:ascii="Arial Narrow" w:hAnsi="Arial Narrow"/>
                <w:color w:val="333333"/>
                <w:sz w:val="20"/>
                <w:szCs w:val="18"/>
              </w:rPr>
            </w:pPr>
            <w:r w:rsidRPr="00FD2490">
              <w:rPr>
                <w:rFonts w:ascii="Arial Narrow" w:hAnsi="Arial Narrow"/>
                <w:b/>
                <w:bCs/>
                <w:color w:val="333333"/>
                <w:sz w:val="20"/>
                <w:szCs w:val="18"/>
              </w:rPr>
              <w:t>AND</w:t>
            </w:r>
          </w:p>
        </w:tc>
      </w:tr>
      <w:tr w:rsidR="00FD2490" w:rsidRPr="00C447E1" w14:paraId="65C67040" w14:textId="77777777" w:rsidTr="00074925">
        <w:tc>
          <w:tcPr>
            <w:tcW w:w="5000" w:type="pct"/>
          </w:tcPr>
          <w:p w14:paraId="0B2D5945" w14:textId="77777777" w:rsidR="00FD2490" w:rsidRPr="00FD2490" w:rsidRDefault="00FD2490" w:rsidP="00FD2490">
            <w:pPr>
              <w:ind w:left="-57"/>
              <w:rPr>
                <w:rFonts w:ascii="Arial Narrow" w:hAnsi="Arial Narrow"/>
                <w:bCs/>
                <w:color w:val="333333"/>
                <w:sz w:val="20"/>
                <w:szCs w:val="18"/>
              </w:rPr>
            </w:pPr>
            <w:r w:rsidRPr="00FD2490">
              <w:rPr>
                <w:rFonts w:ascii="Arial Narrow" w:hAnsi="Arial Narrow"/>
                <w:b/>
                <w:bCs/>
                <w:i/>
                <w:color w:val="333333"/>
                <w:sz w:val="20"/>
                <w:szCs w:val="18"/>
              </w:rPr>
              <w:t>Treatment criterion:</w:t>
            </w:r>
          </w:p>
        </w:tc>
      </w:tr>
      <w:tr w:rsidR="00FD2490" w:rsidRPr="00C447E1" w14:paraId="422A6DA1" w14:textId="77777777" w:rsidTr="00074925">
        <w:tc>
          <w:tcPr>
            <w:tcW w:w="5000" w:type="pct"/>
          </w:tcPr>
          <w:p w14:paraId="08CD2C55" w14:textId="77777777" w:rsidR="00FD2490" w:rsidRPr="00FD2490" w:rsidRDefault="00FD2490" w:rsidP="00FD2490">
            <w:pPr>
              <w:pStyle w:val="Tabletext"/>
              <w:keepNext/>
              <w:ind w:left="-57"/>
              <w:rPr>
                <w:b/>
                <w:bCs/>
                <w:strike/>
                <w:color w:val="333333"/>
                <w:szCs w:val="18"/>
              </w:rPr>
            </w:pPr>
            <w:r w:rsidRPr="00FD2490">
              <w:rPr>
                <w:strike/>
                <w:color w:val="333333"/>
                <w:szCs w:val="18"/>
              </w:rPr>
              <w:t>The treatment must be initiated in combination with fluoropyrimidine- plus platinum-based chemotherapy.</w:t>
            </w:r>
          </w:p>
        </w:tc>
      </w:tr>
      <w:tr w:rsidR="00FD2490" w:rsidRPr="00C447E1" w14:paraId="0CB4D778" w14:textId="77777777" w:rsidTr="00074925">
        <w:tc>
          <w:tcPr>
            <w:tcW w:w="5000" w:type="pct"/>
          </w:tcPr>
          <w:p w14:paraId="70BC8E87" w14:textId="77777777" w:rsidR="00FD2490" w:rsidRPr="00FD2490" w:rsidRDefault="00313E4B" w:rsidP="00FD2490">
            <w:pPr>
              <w:pStyle w:val="Tabletext"/>
              <w:keepNext/>
              <w:ind w:left="-57"/>
              <w:rPr>
                <w:i/>
                <w:color w:val="333333"/>
                <w:szCs w:val="18"/>
              </w:rPr>
            </w:pPr>
            <w:r w:rsidRPr="00313E4B">
              <w:rPr>
                <w:rFonts w:cs="Arial"/>
                <w:i/>
                <w:snapToGrid/>
                <w:color w:val="333333"/>
                <w:szCs w:val="18"/>
              </w:rPr>
              <w:t>Patient must be undergoing concurrent treatment with chemotherapy (</w:t>
            </w:r>
            <w:proofErr w:type="spellStart"/>
            <w:r w:rsidRPr="00313E4B">
              <w:rPr>
                <w:rFonts w:cs="Arial"/>
                <w:i/>
                <w:snapToGrid/>
                <w:color w:val="333333"/>
                <w:szCs w:val="18"/>
              </w:rPr>
              <w:t>capecitabine</w:t>
            </w:r>
            <w:proofErr w:type="spellEnd"/>
            <w:r w:rsidRPr="00313E4B">
              <w:rPr>
                <w:rFonts w:cs="Arial"/>
                <w:i/>
                <w:snapToGrid/>
                <w:color w:val="333333"/>
                <w:szCs w:val="18"/>
              </w:rPr>
              <w:t>/</w:t>
            </w:r>
            <w:r w:rsidR="00074925" w:rsidRPr="00313E4B">
              <w:rPr>
                <w:rFonts w:cs="Arial"/>
                <w:i/>
                <w:snapToGrid/>
                <w:color w:val="333333"/>
                <w:szCs w:val="18"/>
              </w:rPr>
              <w:t>fluorouracil</w:t>
            </w:r>
            <w:r w:rsidRPr="00313E4B">
              <w:rPr>
                <w:rFonts w:cs="Arial"/>
                <w:i/>
                <w:snapToGrid/>
                <w:color w:val="333333"/>
                <w:szCs w:val="18"/>
              </w:rPr>
              <w:t xml:space="preserve"> + </w:t>
            </w:r>
            <w:proofErr w:type="spellStart"/>
            <w:r w:rsidRPr="00313E4B">
              <w:rPr>
                <w:rFonts w:cs="Arial"/>
                <w:i/>
                <w:snapToGrid/>
                <w:color w:val="333333"/>
                <w:szCs w:val="18"/>
              </w:rPr>
              <w:t>oxaliplatin</w:t>
            </w:r>
            <w:proofErr w:type="spellEnd"/>
            <w:r w:rsidRPr="00313E4B">
              <w:rPr>
                <w:rFonts w:cs="Arial"/>
                <w:i/>
                <w:snapToGrid/>
                <w:color w:val="333333"/>
                <w:szCs w:val="18"/>
              </w:rPr>
              <w:t xml:space="preserve">, with/without </w:t>
            </w:r>
            <w:proofErr w:type="spellStart"/>
            <w:r w:rsidRPr="00313E4B">
              <w:rPr>
                <w:rFonts w:cs="Arial"/>
                <w:i/>
                <w:snapToGrid/>
                <w:color w:val="333333"/>
                <w:szCs w:val="18"/>
              </w:rPr>
              <w:t>folinic</w:t>
            </w:r>
            <w:proofErr w:type="spellEnd"/>
            <w:r w:rsidRPr="00313E4B">
              <w:rPr>
                <w:rFonts w:cs="Arial"/>
                <w:i/>
                <w:snapToGrid/>
                <w:color w:val="333333"/>
                <w:szCs w:val="18"/>
              </w:rPr>
              <w:t xml:space="preserve"> acid) at least at the time of treatment initiation with this drug</w:t>
            </w:r>
            <w:r>
              <w:rPr>
                <w:i/>
                <w:color w:val="333333"/>
                <w:sz w:val="18"/>
                <w:szCs w:val="18"/>
              </w:rPr>
              <w:t xml:space="preserve">  </w:t>
            </w:r>
          </w:p>
        </w:tc>
      </w:tr>
      <w:tr w:rsidR="00FD2490" w:rsidRPr="00C447E1" w14:paraId="68236F01" w14:textId="77777777" w:rsidTr="00074925">
        <w:tc>
          <w:tcPr>
            <w:tcW w:w="5000" w:type="pct"/>
          </w:tcPr>
          <w:p w14:paraId="10BAC4FA" w14:textId="77777777" w:rsidR="00FD2490" w:rsidRPr="00FD2490" w:rsidRDefault="00FD2490" w:rsidP="00FD2490">
            <w:pPr>
              <w:ind w:left="-57"/>
              <w:rPr>
                <w:rFonts w:ascii="Arial Narrow" w:hAnsi="Arial Narrow"/>
                <w:b/>
                <w:bCs/>
                <w:color w:val="333333"/>
                <w:sz w:val="20"/>
                <w:szCs w:val="18"/>
              </w:rPr>
            </w:pPr>
            <w:r w:rsidRPr="00FD2490">
              <w:rPr>
                <w:rFonts w:ascii="Arial Narrow" w:hAnsi="Arial Narrow"/>
                <w:b/>
                <w:bCs/>
                <w:color w:val="333333"/>
                <w:sz w:val="20"/>
                <w:szCs w:val="18"/>
              </w:rPr>
              <w:t>AND</w:t>
            </w:r>
          </w:p>
        </w:tc>
      </w:tr>
      <w:tr w:rsidR="00FD2490" w:rsidRPr="00C447E1" w14:paraId="1C41F02B" w14:textId="77777777" w:rsidTr="00074925">
        <w:tc>
          <w:tcPr>
            <w:tcW w:w="5000" w:type="pct"/>
            <w:hideMark/>
          </w:tcPr>
          <w:p w14:paraId="32665E71" w14:textId="77777777" w:rsidR="00FD2490" w:rsidRPr="00FD2490" w:rsidRDefault="00FD2490" w:rsidP="00FD2490">
            <w:pPr>
              <w:ind w:left="-57"/>
              <w:rPr>
                <w:rFonts w:ascii="Arial Narrow" w:hAnsi="Arial Narrow"/>
                <w:color w:val="333333"/>
                <w:sz w:val="20"/>
                <w:szCs w:val="18"/>
              </w:rPr>
            </w:pPr>
            <w:r w:rsidRPr="00FD2490">
              <w:rPr>
                <w:rFonts w:ascii="Arial Narrow" w:hAnsi="Arial Narrow"/>
                <w:b/>
                <w:bCs/>
                <w:color w:val="333333"/>
                <w:sz w:val="20"/>
                <w:szCs w:val="18"/>
              </w:rPr>
              <w:t>Clinical criteria:</w:t>
            </w:r>
          </w:p>
        </w:tc>
      </w:tr>
      <w:tr w:rsidR="00FD2490" w:rsidRPr="00C447E1" w14:paraId="34165980" w14:textId="77777777" w:rsidTr="00074925">
        <w:tc>
          <w:tcPr>
            <w:tcW w:w="5000" w:type="pct"/>
            <w:hideMark/>
          </w:tcPr>
          <w:p w14:paraId="28A7504E" w14:textId="77777777" w:rsidR="00FD2490" w:rsidRPr="00FD2490" w:rsidRDefault="00FD2490" w:rsidP="00FD2490">
            <w:pPr>
              <w:ind w:left="-57"/>
              <w:rPr>
                <w:rFonts w:ascii="Arial Narrow" w:hAnsi="Arial Narrow"/>
                <w:strike/>
                <w:color w:val="333333"/>
                <w:sz w:val="20"/>
                <w:szCs w:val="18"/>
              </w:rPr>
            </w:pPr>
            <w:r w:rsidRPr="00FD2490">
              <w:rPr>
                <w:rFonts w:ascii="Arial Narrow" w:hAnsi="Arial Narrow"/>
                <w:strike/>
                <w:color w:val="333333"/>
                <w:sz w:val="20"/>
                <w:szCs w:val="18"/>
              </w:rPr>
              <w:t>Patient must have a WHO performance status of 0 or 1</w:t>
            </w:r>
          </w:p>
          <w:p w14:paraId="35C07A08" w14:textId="77777777" w:rsidR="00FD2490" w:rsidRPr="00FD2490" w:rsidRDefault="00FD2490" w:rsidP="00FD2490">
            <w:pPr>
              <w:ind w:left="-57"/>
              <w:rPr>
                <w:rFonts w:ascii="Arial Narrow" w:hAnsi="Arial Narrow"/>
                <w:color w:val="333333"/>
                <w:sz w:val="20"/>
                <w:szCs w:val="18"/>
              </w:rPr>
            </w:pPr>
            <w:r w:rsidRPr="00FD2490">
              <w:rPr>
                <w:rFonts w:ascii="Arial Narrow" w:hAnsi="Arial Narrow" w:cs="Times New Roman"/>
                <w:i/>
                <w:snapToGrid w:val="0"/>
                <w:color w:val="333333"/>
                <w:sz w:val="20"/>
                <w:szCs w:val="18"/>
              </w:rPr>
              <w:t>Patient must have WHO performance status no higher than 1 at treatment initiation with this drug</w:t>
            </w:r>
          </w:p>
        </w:tc>
      </w:tr>
      <w:tr w:rsidR="00FD2490" w:rsidRPr="00C447E1" w14:paraId="0397FF7F" w14:textId="77777777" w:rsidTr="00074925">
        <w:tc>
          <w:tcPr>
            <w:tcW w:w="5000" w:type="pct"/>
            <w:hideMark/>
          </w:tcPr>
          <w:p w14:paraId="5874601C" w14:textId="77777777" w:rsidR="00FD2490" w:rsidRPr="00FD2490" w:rsidRDefault="00FD2490" w:rsidP="00FD2490">
            <w:pPr>
              <w:ind w:left="-57"/>
              <w:rPr>
                <w:rFonts w:ascii="Arial Narrow" w:hAnsi="Arial Narrow"/>
                <w:strike/>
                <w:color w:val="333333"/>
                <w:sz w:val="20"/>
                <w:szCs w:val="18"/>
              </w:rPr>
            </w:pPr>
            <w:r w:rsidRPr="00FD2490">
              <w:rPr>
                <w:rFonts w:ascii="Arial Narrow" w:hAnsi="Arial Narrow"/>
                <w:b/>
                <w:bCs/>
                <w:strike/>
                <w:color w:val="333333"/>
                <w:sz w:val="20"/>
                <w:szCs w:val="18"/>
              </w:rPr>
              <w:t>AND</w:t>
            </w:r>
          </w:p>
        </w:tc>
      </w:tr>
      <w:tr w:rsidR="00FD2490" w:rsidRPr="00C447E1" w14:paraId="761B9DCC" w14:textId="77777777" w:rsidTr="00074925">
        <w:tc>
          <w:tcPr>
            <w:tcW w:w="5000" w:type="pct"/>
            <w:hideMark/>
          </w:tcPr>
          <w:p w14:paraId="79315F22" w14:textId="77777777" w:rsidR="00FD2490" w:rsidRPr="00FD2490" w:rsidRDefault="00FD2490" w:rsidP="00FD2490">
            <w:pPr>
              <w:ind w:left="-57"/>
              <w:rPr>
                <w:rFonts w:ascii="Arial Narrow" w:hAnsi="Arial Narrow"/>
                <w:strike/>
                <w:color w:val="333333"/>
                <w:sz w:val="20"/>
                <w:szCs w:val="18"/>
              </w:rPr>
            </w:pPr>
            <w:r w:rsidRPr="00FD2490">
              <w:rPr>
                <w:rFonts w:ascii="Arial Narrow" w:hAnsi="Arial Narrow"/>
                <w:b/>
                <w:bCs/>
                <w:strike/>
                <w:color w:val="333333"/>
                <w:sz w:val="20"/>
                <w:szCs w:val="18"/>
              </w:rPr>
              <w:t>Clinical criteria:</w:t>
            </w:r>
          </w:p>
        </w:tc>
      </w:tr>
      <w:tr w:rsidR="00FD2490" w:rsidRPr="00C447E1" w14:paraId="348ECE08" w14:textId="77777777" w:rsidTr="00074925">
        <w:tc>
          <w:tcPr>
            <w:tcW w:w="5000" w:type="pct"/>
            <w:hideMark/>
          </w:tcPr>
          <w:p w14:paraId="1C81A475" w14:textId="77777777" w:rsidR="00FD2490" w:rsidRPr="00FD2490" w:rsidRDefault="00FD2490" w:rsidP="00FD2490">
            <w:pPr>
              <w:pStyle w:val="Tabletext"/>
              <w:keepNext/>
              <w:ind w:left="-57"/>
              <w:rPr>
                <w:bCs/>
                <w:strike/>
                <w:color w:val="333333"/>
                <w:szCs w:val="18"/>
              </w:rPr>
            </w:pPr>
            <w:r w:rsidRPr="00FD2490">
              <w:rPr>
                <w:bCs/>
                <w:strike/>
                <w:color w:val="333333"/>
                <w:szCs w:val="18"/>
              </w:rPr>
              <w:t>Patient must not have evidence of human epidermal growth factor receptor 2 (HER2) positive tumour.</w:t>
            </w:r>
          </w:p>
        </w:tc>
      </w:tr>
      <w:tr w:rsidR="00FD2490" w:rsidRPr="00C447E1" w14:paraId="49943E3B" w14:textId="77777777" w:rsidTr="00074925">
        <w:tc>
          <w:tcPr>
            <w:tcW w:w="5000" w:type="pct"/>
            <w:hideMark/>
          </w:tcPr>
          <w:p w14:paraId="6582E537" w14:textId="77777777" w:rsidR="00FD2490" w:rsidRPr="00FD2490" w:rsidRDefault="00FD2490" w:rsidP="00FD2490">
            <w:pPr>
              <w:ind w:left="-57"/>
              <w:rPr>
                <w:rFonts w:ascii="Arial Narrow" w:hAnsi="Arial Narrow"/>
                <w:b/>
                <w:bCs/>
                <w:color w:val="333333"/>
                <w:sz w:val="20"/>
                <w:szCs w:val="18"/>
              </w:rPr>
            </w:pPr>
            <w:r w:rsidRPr="00FD2490">
              <w:rPr>
                <w:rFonts w:ascii="Arial Narrow" w:hAnsi="Arial Narrow"/>
                <w:b/>
                <w:bCs/>
                <w:color w:val="333333"/>
                <w:sz w:val="20"/>
                <w:szCs w:val="18"/>
              </w:rPr>
              <w:t xml:space="preserve">Administrative Advice: </w:t>
            </w:r>
          </w:p>
          <w:p w14:paraId="69A066CA" w14:textId="77777777" w:rsidR="00FD2490" w:rsidRPr="00FD2490" w:rsidRDefault="00FD2490" w:rsidP="00FD2490">
            <w:pPr>
              <w:ind w:left="-57"/>
              <w:rPr>
                <w:rFonts w:ascii="Arial Narrow" w:hAnsi="Arial Narrow"/>
                <w:color w:val="333333"/>
                <w:sz w:val="20"/>
                <w:szCs w:val="18"/>
              </w:rPr>
            </w:pPr>
            <w:r w:rsidRPr="00FD2490">
              <w:rPr>
                <w:rFonts w:ascii="Arial Narrow" w:hAnsi="Arial Narrow"/>
                <w:color w:val="333333"/>
                <w:sz w:val="20"/>
                <w:szCs w:val="18"/>
              </w:rPr>
              <w:t>In the first few months after start of immunotherapy, some patients can have a transient tumour flare with subsequent disease response. When progression is suspected, this should be confirmed through a confirmatory scan, taken at least 4 weeks later.</w:t>
            </w:r>
          </w:p>
        </w:tc>
      </w:tr>
      <w:tr w:rsidR="00D329FE" w:rsidRPr="00C447E1" w14:paraId="238608CF" w14:textId="77777777" w:rsidTr="00074925">
        <w:tc>
          <w:tcPr>
            <w:tcW w:w="5000" w:type="pct"/>
            <w:tcBorders>
              <w:top w:val="single" w:sz="4" w:space="0" w:color="auto"/>
              <w:left w:val="single" w:sz="4" w:space="0" w:color="auto"/>
              <w:bottom w:val="single" w:sz="4" w:space="0" w:color="auto"/>
              <w:right w:val="single" w:sz="4" w:space="0" w:color="auto"/>
            </w:tcBorders>
          </w:tcPr>
          <w:p w14:paraId="57243805" w14:textId="77777777" w:rsidR="00D329FE" w:rsidRPr="00FD2490" w:rsidRDefault="00D329FE" w:rsidP="004054B4">
            <w:pPr>
              <w:rPr>
                <w:rFonts w:ascii="Arial Narrow" w:hAnsi="Arial Narrow"/>
                <w:b/>
                <w:sz w:val="20"/>
                <w:szCs w:val="18"/>
              </w:rPr>
            </w:pPr>
          </w:p>
        </w:tc>
      </w:tr>
      <w:tr w:rsidR="00FD2490" w:rsidRPr="00C447E1" w14:paraId="4CBE21FF" w14:textId="77777777" w:rsidTr="00074925">
        <w:tc>
          <w:tcPr>
            <w:tcW w:w="5000" w:type="pct"/>
            <w:hideMark/>
          </w:tcPr>
          <w:p w14:paraId="680CC3BD" w14:textId="77777777" w:rsidR="00FD2490" w:rsidRPr="00FD2490" w:rsidRDefault="00FD2490" w:rsidP="00FD2490">
            <w:pPr>
              <w:ind w:left="-57"/>
              <w:rPr>
                <w:rFonts w:ascii="Arial Narrow" w:hAnsi="Arial Narrow"/>
                <w:color w:val="333333"/>
                <w:sz w:val="20"/>
                <w:szCs w:val="18"/>
              </w:rPr>
            </w:pPr>
            <w:r w:rsidRPr="00FD2490">
              <w:rPr>
                <w:rFonts w:ascii="Arial Narrow" w:hAnsi="Arial Narrow"/>
                <w:b/>
                <w:bCs/>
                <w:color w:val="333333"/>
                <w:sz w:val="20"/>
                <w:szCs w:val="18"/>
              </w:rPr>
              <w:t xml:space="preserve">Treatment Phase: </w:t>
            </w:r>
            <w:r w:rsidRPr="00FD2490">
              <w:rPr>
                <w:rFonts w:ascii="Arial Narrow" w:hAnsi="Arial Narrow"/>
                <w:color w:val="333333"/>
                <w:sz w:val="20"/>
                <w:szCs w:val="18"/>
              </w:rPr>
              <w:t xml:space="preserve">Continuing treatment </w:t>
            </w:r>
          </w:p>
        </w:tc>
      </w:tr>
      <w:tr w:rsidR="00FD2490" w:rsidRPr="00C447E1" w14:paraId="4E0D25E0" w14:textId="77777777" w:rsidTr="00074925">
        <w:tc>
          <w:tcPr>
            <w:tcW w:w="5000" w:type="pct"/>
            <w:hideMark/>
          </w:tcPr>
          <w:p w14:paraId="352B028A" w14:textId="77777777" w:rsidR="00FD2490" w:rsidRPr="00FD2490" w:rsidRDefault="00FD2490" w:rsidP="00FD2490">
            <w:pPr>
              <w:ind w:left="-57"/>
              <w:rPr>
                <w:rFonts w:ascii="Arial Narrow" w:hAnsi="Arial Narrow"/>
                <w:strike/>
                <w:color w:val="333333"/>
                <w:sz w:val="20"/>
                <w:szCs w:val="18"/>
              </w:rPr>
            </w:pPr>
            <w:r w:rsidRPr="00FD2490">
              <w:rPr>
                <w:rFonts w:ascii="Arial Narrow" w:hAnsi="Arial Narrow"/>
                <w:b/>
                <w:bCs/>
                <w:strike/>
                <w:color w:val="333333"/>
                <w:sz w:val="20"/>
                <w:szCs w:val="18"/>
              </w:rPr>
              <w:t>Clinical criteria:</w:t>
            </w:r>
          </w:p>
        </w:tc>
      </w:tr>
      <w:tr w:rsidR="00FD2490" w:rsidRPr="00C447E1" w14:paraId="74941160" w14:textId="77777777" w:rsidTr="00074925">
        <w:tc>
          <w:tcPr>
            <w:tcW w:w="5000" w:type="pct"/>
            <w:hideMark/>
          </w:tcPr>
          <w:p w14:paraId="6972CFA0" w14:textId="77777777" w:rsidR="00FD2490" w:rsidRPr="00FD2490" w:rsidRDefault="00FD2490" w:rsidP="00FD2490">
            <w:pPr>
              <w:ind w:left="-57"/>
              <w:rPr>
                <w:rFonts w:ascii="Arial Narrow" w:hAnsi="Arial Narrow"/>
                <w:strike/>
                <w:color w:val="333333"/>
                <w:sz w:val="20"/>
                <w:szCs w:val="18"/>
              </w:rPr>
            </w:pPr>
            <w:r w:rsidRPr="00FD2490">
              <w:rPr>
                <w:rFonts w:ascii="Arial Narrow" w:hAnsi="Arial Narrow"/>
                <w:strike/>
                <w:color w:val="333333"/>
                <w:sz w:val="20"/>
                <w:szCs w:val="18"/>
              </w:rPr>
              <w:t>Patient must have previously received PBS-subsidised treatment with this drug for this condition</w:t>
            </w:r>
          </w:p>
        </w:tc>
      </w:tr>
      <w:tr w:rsidR="00FD2490" w:rsidRPr="00C447E1" w14:paraId="0CB6DEB0" w14:textId="77777777" w:rsidTr="00074925">
        <w:tc>
          <w:tcPr>
            <w:tcW w:w="5000" w:type="pct"/>
          </w:tcPr>
          <w:p w14:paraId="6F6B916C" w14:textId="77777777" w:rsidR="00FD2490" w:rsidRPr="00FD2490" w:rsidRDefault="00FD2490" w:rsidP="00FD2490">
            <w:pPr>
              <w:ind w:left="-57"/>
              <w:rPr>
                <w:rFonts w:ascii="Arial Narrow" w:hAnsi="Arial Narrow"/>
                <w:b/>
                <w:i/>
                <w:color w:val="333333"/>
                <w:sz w:val="20"/>
                <w:szCs w:val="18"/>
              </w:rPr>
            </w:pPr>
            <w:r w:rsidRPr="00FD2490">
              <w:rPr>
                <w:rFonts w:ascii="Arial Narrow" w:hAnsi="Arial Narrow"/>
                <w:b/>
                <w:i/>
                <w:color w:val="333333"/>
                <w:sz w:val="20"/>
                <w:szCs w:val="18"/>
              </w:rPr>
              <w:t>Treatment criterion:</w:t>
            </w:r>
          </w:p>
        </w:tc>
      </w:tr>
      <w:tr w:rsidR="00FD2490" w:rsidRPr="00C447E1" w14:paraId="65F99966" w14:textId="77777777" w:rsidTr="00074925">
        <w:tc>
          <w:tcPr>
            <w:tcW w:w="5000" w:type="pct"/>
          </w:tcPr>
          <w:p w14:paraId="5E89C28E" w14:textId="77777777" w:rsidR="00FD2490" w:rsidRPr="00FD2490" w:rsidRDefault="00FD2490" w:rsidP="00FD2490">
            <w:pPr>
              <w:ind w:left="-57"/>
              <w:rPr>
                <w:rFonts w:ascii="Arial Narrow" w:hAnsi="Arial Narrow"/>
                <w:i/>
                <w:color w:val="333333"/>
                <w:sz w:val="20"/>
                <w:szCs w:val="18"/>
              </w:rPr>
            </w:pPr>
            <w:r w:rsidRPr="00FD2490">
              <w:rPr>
                <w:rFonts w:ascii="Arial Narrow" w:hAnsi="Arial Narrow"/>
                <w:i/>
                <w:color w:val="333333"/>
                <w:sz w:val="20"/>
                <w:szCs w:val="18"/>
              </w:rPr>
              <w:t>Patient must be undergoing current treatment with this drug through the PBS for this PBS-indication, evidenced by at least 1 PBS claim under the ‘Initial treatment’ phase</w:t>
            </w:r>
          </w:p>
        </w:tc>
      </w:tr>
      <w:tr w:rsidR="00FD2490" w:rsidRPr="00C447E1" w14:paraId="2474E369" w14:textId="77777777" w:rsidTr="00074925">
        <w:tc>
          <w:tcPr>
            <w:tcW w:w="5000" w:type="pct"/>
            <w:hideMark/>
          </w:tcPr>
          <w:p w14:paraId="337ED9C3" w14:textId="77777777" w:rsidR="00FD2490" w:rsidRPr="00FD2490" w:rsidRDefault="00FD2490" w:rsidP="00FD2490">
            <w:pPr>
              <w:ind w:left="-57"/>
              <w:rPr>
                <w:rFonts w:ascii="Arial Narrow" w:hAnsi="Arial Narrow"/>
                <w:color w:val="333333"/>
                <w:sz w:val="20"/>
                <w:szCs w:val="18"/>
              </w:rPr>
            </w:pPr>
            <w:r w:rsidRPr="00FD2490">
              <w:rPr>
                <w:rFonts w:ascii="Arial Narrow" w:hAnsi="Arial Narrow"/>
                <w:b/>
                <w:bCs/>
                <w:color w:val="333333"/>
                <w:sz w:val="20"/>
                <w:szCs w:val="18"/>
              </w:rPr>
              <w:t>AND</w:t>
            </w:r>
          </w:p>
        </w:tc>
      </w:tr>
      <w:tr w:rsidR="00FD2490" w:rsidRPr="00C447E1" w14:paraId="77CE56B8" w14:textId="77777777" w:rsidTr="00074925">
        <w:tc>
          <w:tcPr>
            <w:tcW w:w="5000" w:type="pct"/>
            <w:hideMark/>
          </w:tcPr>
          <w:p w14:paraId="3344F741" w14:textId="77777777" w:rsidR="00FD2490" w:rsidRPr="00FD2490" w:rsidRDefault="00FD2490" w:rsidP="00FD2490">
            <w:pPr>
              <w:ind w:left="-57"/>
              <w:rPr>
                <w:rFonts w:ascii="Arial Narrow" w:hAnsi="Arial Narrow"/>
                <w:color w:val="333333"/>
                <w:sz w:val="20"/>
                <w:szCs w:val="18"/>
              </w:rPr>
            </w:pPr>
            <w:r w:rsidRPr="00FD2490">
              <w:rPr>
                <w:rFonts w:ascii="Arial Narrow" w:hAnsi="Arial Narrow"/>
                <w:b/>
                <w:bCs/>
                <w:color w:val="333333"/>
                <w:sz w:val="20"/>
                <w:szCs w:val="18"/>
              </w:rPr>
              <w:t>Clinical criteria:</w:t>
            </w:r>
          </w:p>
        </w:tc>
      </w:tr>
      <w:tr w:rsidR="00FD2490" w:rsidRPr="00C447E1" w14:paraId="7F3C334A" w14:textId="77777777" w:rsidTr="00074925">
        <w:tc>
          <w:tcPr>
            <w:tcW w:w="5000" w:type="pct"/>
          </w:tcPr>
          <w:p w14:paraId="41E1D671" w14:textId="77777777" w:rsidR="00FD2490" w:rsidRDefault="00FD2490" w:rsidP="00FD2490">
            <w:pPr>
              <w:ind w:left="-57"/>
              <w:rPr>
                <w:rFonts w:ascii="Arial Narrow" w:hAnsi="Arial Narrow"/>
                <w:strike/>
                <w:color w:val="333333"/>
                <w:sz w:val="20"/>
                <w:szCs w:val="18"/>
              </w:rPr>
            </w:pPr>
            <w:r w:rsidRPr="00FD2490">
              <w:rPr>
                <w:rFonts w:ascii="Arial Narrow" w:hAnsi="Arial Narrow"/>
                <w:strike/>
                <w:color w:val="333333"/>
                <w:sz w:val="20"/>
                <w:szCs w:val="18"/>
              </w:rPr>
              <w:t>Patient must have prescriber-assessed clinical benefit and must be tolerating treatment.</w:t>
            </w:r>
          </w:p>
          <w:p w14:paraId="0FEC81CC" w14:textId="77777777" w:rsidR="00FD2490" w:rsidRPr="00FD2490" w:rsidRDefault="00313E4B" w:rsidP="00FD2490">
            <w:pPr>
              <w:ind w:left="-57"/>
              <w:rPr>
                <w:rFonts w:ascii="Arial Narrow" w:hAnsi="Arial Narrow"/>
                <w:strike/>
                <w:color w:val="333333"/>
                <w:sz w:val="20"/>
                <w:szCs w:val="18"/>
              </w:rPr>
            </w:pPr>
            <w:r w:rsidRPr="00313E4B">
              <w:rPr>
                <w:rFonts w:ascii="Arial Narrow" w:hAnsi="Arial Narrow"/>
                <w:i/>
                <w:color w:val="333333"/>
                <w:sz w:val="20"/>
                <w:szCs w:val="18"/>
              </w:rPr>
              <w:t>The condition must not have progressed</w:t>
            </w:r>
            <w:r>
              <w:rPr>
                <w:rFonts w:ascii="Arial Narrow" w:hAnsi="Arial Narrow"/>
                <w:i/>
                <w:color w:val="333333"/>
                <w:sz w:val="20"/>
                <w:szCs w:val="18"/>
              </w:rPr>
              <w:t xml:space="preserve"> </w:t>
            </w:r>
          </w:p>
        </w:tc>
      </w:tr>
      <w:tr w:rsidR="00FD2490" w:rsidRPr="00C447E1" w14:paraId="1478EA57" w14:textId="77777777" w:rsidTr="00074925">
        <w:trPr>
          <w:trHeight w:val="423"/>
        </w:trPr>
        <w:tc>
          <w:tcPr>
            <w:tcW w:w="5000" w:type="pct"/>
          </w:tcPr>
          <w:p w14:paraId="4388A953" w14:textId="77777777" w:rsidR="00FD2490" w:rsidRPr="00FD2490" w:rsidRDefault="00FD2490" w:rsidP="00FD2490">
            <w:pPr>
              <w:ind w:left="-57"/>
              <w:rPr>
                <w:rFonts w:ascii="Arial Narrow" w:hAnsi="Arial Narrow"/>
                <w:b/>
                <w:color w:val="333333"/>
                <w:sz w:val="20"/>
                <w:szCs w:val="18"/>
              </w:rPr>
            </w:pPr>
            <w:r w:rsidRPr="00FD2490">
              <w:rPr>
                <w:rFonts w:ascii="Arial Narrow" w:hAnsi="Arial Narrow"/>
                <w:b/>
                <w:color w:val="333333"/>
                <w:sz w:val="20"/>
                <w:szCs w:val="18"/>
              </w:rPr>
              <w:t>Prescriber instruction:</w:t>
            </w:r>
          </w:p>
          <w:p w14:paraId="6CD4B056" w14:textId="77777777" w:rsidR="00FD2490" w:rsidRPr="00FD2490" w:rsidRDefault="00FD2490" w:rsidP="00FD2490">
            <w:pPr>
              <w:ind w:left="-57"/>
              <w:rPr>
                <w:rFonts w:ascii="Arial Narrow" w:hAnsi="Arial Narrow"/>
                <w:strike/>
                <w:color w:val="333333"/>
                <w:sz w:val="20"/>
                <w:szCs w:val="18"/>
              </w:rPr>
            </w:pPr>
            <w:r w:rsidRPr="00FD2490">
              <w:rPr>
                <w:rFonts w:ascii="Arial Narrow" w:hAnsi="Arial Narrow"/>
                <w:strike/>
                <w:color w:val="333333"/>
                <w:sz w:val="20"/>
                <w:szCs w:val="18"/>
              </w:rPr>
              <w:t>The treatment must not exceed 24 months for this PBS indication.</w:t>
            </w:r>
          </w:p>
          <w:p w14:paraId="367DD59E" w14:textId="77777777" w:rsidR="00FD2490" w:rsidRPr="00FD2490" w:rsidRDefault="00FD2490" w:rsidP="00FD2490">
            <w:pPr>
              <w:ind w:left="-57"/>
              <w:rPr>
                <w:rFonts w:ascii="Arial Narrow" w:hAnsi="Arial Narrow"/>
                <w:b/>
                <w:i/>
                <w:color w:val="333333"/>
                <w:sz w:val="20"/>
                <w:szCs w:val="18"/>
              </w:rPr>
            </w:pPr>
            <w:r w:rsidRPr="00FD2490">
              <w:rPr>
                <w:rFonts w:ascii="Arial Narrow" w:hAnsi="Arial Narrow"/>
                <w:i/>
                <w:color w:val="333333"/>
                <w:sz w:val="20"/>
                <w:szCs w:val="18"/>
              </w:rPr>
              <w:t>Check that the amount of drug and number of repeats on this prescription does not extend total treatment beyond 24 months. PBS subsidy duration is limited to whichever occurs first from the following: (</w:t>
            </w:r>
            <w:proofErr w:type="spellStart"/>
            <w:r w:rsidRPr="00FD2490">
              <w:rPr>
                <w:rFonts w:ascii="Arial Narrow" w:hAnsi="Arial Narrow"/>
                <w:i/>
                <w:color w:val="333333"/>
                <w:sz w:val="20"/>
                <w:szCs w:val="18"/>
              </w:rPr>
              <w:t>i</w:t>
            </w:r>
            <w:proofErr w:type="spellEnd"/>
            <w:r w:rsidRPr="00FD2490">
              <w:rPr>
                <w:rFonts w:ascii="Arial Narrow" w:hAnsi="Arial Narrow"/>
                <w:i/>
                <w:color w:val="333333"/>
                <w:sz w:val="20"/>
                <w:szCs w:val="18"/>
              </w:rPr>
              <w:t>) disease progression, (ii) 24 months of treatment, measured from when this drug was initiated. Prescribing under this listing is a declaration that treatment obtained through this ‘Continuing treatment’ phase would not extend treatment beyond 24 months of treatment.</w:t>
            </w:r>
          </w:p>
        </w:tc>
      </w:tr>
    </w:tbl>
    <w:p w14:paraId="7DC2BA35" w14:textId="77777777" w:rsidR="00C447E1" w:rsidRDefault="00C447E1" w:rsidP="008632D9">
      <w:pPr>
        <w:pStyle w:val="3-BodyText"/>
        <w:numPr>
          <w:ilvl w:val="0"/>
          <w:numId w:val="0"/>
        </w:numPr>
        <w:spacing w:after="0"/>
        <w:ind w:left="720"/>
      </w:pPr>
    </w:p>
    <w:p w14:paraId="326E82B5" w14:textId="77777777" w:rsidR="00E50069" w:rsidRPr="00093859" w:rsidRDefault="008A4FB9" w:rsidP="00652CC2">
      <w:pPr>
        <w:pStyle w:val="3-BodyText"/>
        <w:ind w:left="720"/>
      </w:pPr>
      <w:r>
        <w:t xml:space="preserve">The submission requested a </w:t>
      </w:r>
      <w:r w:rsidR="00E50069">
        <w:t>special pricing arrangement</w:t>
      </w:r>
      <w:r>
        <w:t>, consistent with other PBS listings for nivolumab</w:t>
      </w:r>
      <w:r w:rsidR="00E50069" w:rsidRPr="00093859">
        <w:t>. The published dispensed price for maximum amount (DPMA) proposed was consistent with the published price of nivolumab for other PBS-listed indications.</w:t>
      </w:r>
    </w:p>
    <w:p w14:paraId="5499328B" w14:textId="77777777" w:rsidR="006A4915" w:rsidRDefault="00E50069" w:rsidP="00652CC2">
      <w:pPr>
        <w:pStyle w:val="3-BodyText"/>
        <w:ind w:left="720"/>
      </w:pPr>
      <w:r w:rsidRPr="00311DF9">
        <w:t xml:space="preserve">The submission stated that the proposed continuation criteria were developed to align with existing PBS-listed nivolumab indications, where appropriate, and to align with circumstances of use in the pivotal </w:t>
      </w:r>
      <w:proofErr w:type="spellStart"/>
      <w:r w:rsidRPr="00311DF9">
        <w:t>CheckMate</w:t>
      </w:r>
      <w:proofErr w:type="spellEnd"/>
      <w:r w:rsidRPr="00311DF9">
        <w:t xml:space="preserve"> 649 trial. </w:t>
      </w:r>
    </w:p>
    <w:p w14:paraId="1434E1B4" w14:textId="77777777" w:rsidR="003054F6" w:rsidRDefault="00662B55" w:rsidP="00D5799E">
      <w:pPr>
        <w:pStyle w:val="3-BodyText"/>
        <w:ind w:left="720"/>
      </w:pPr>
      <w:r w:rsidRPr="002E6DAE">
        <w:t xml:space="preserve">The </w:t>
      </w:r>
      <w:r w:rsidR="008A4FB9">
        <w:t xml:space="preserve">PBAC </w:t>
      </w:r>
      <w:r w:rsidR="00DE2F91">
        <w:t xml:space="preserve">noted </w:t>
      </w:r>
      <w:r w:rsidR="00665725">
        <w:t>t</w:t>
      </w:r>
      <w:r w:rsidR="00665725" w:rsidRPr="00665725">
        <w:t xml:space="preserve">he proposed restriction included the clinical criteria “Patient must not have evidence of human epidermal growth factor receptor 2 (HER2) positive tumour”; however, the MBS item for testing HER2 (73342) only applies to patients with metastatic adenocarcinoma of the stomach [gastric cancer] or gastro-oesophageal junction in relation to meeting the PBS eligibility requirements for trastuzumab and not to patients with oesophageal cancer. </w:t>
      </w:r>
      <w:r w:rsidR="00486199">
        <w:t xml:space="preserve">The PBAC noted </w:t>
      </w:r>
      <w:r w:rsidR="006A74A6">
        <w:t xml:space="preserve">some ambiguity in the restriction regarding HER2 status and considered this required clarification from the </w:t>
      </w:r>
      <w:r w:rsidR="001D7F21">
        <w:t>S</w:t>
      </w:r>
      <w:r w:rsidR="006A74A6">
        <w:t xml:space="preserve">ponsor. </w:t>
      </w:r>
    </w:p>
    <w:p w14:paraId="4BC37CBF" w14:textId="77777777" w:rsidR="00313E4B" w:rsidRDefault="00313E4B" w:rsidP="00313E4B">
      <w:pPr>
        <w:pStyle w:val="3-BodyText"/>
        <w:ind w:left="709"/>
      </w:pPr>
      <w:r w:rsidRPr="00586BAA">
        <w:rPr>
          <w:rFonts w:cstheme="minorHAnsi"/>
          <w:iCs/>
        </w:rPr>
        <w:t>The requested restriction stated: “</w:t>
      </w:r>
      <w:r w:rsidRPr="00586BAA">
        <w:t>The treatment must be</w:t>
      </w:r>
      <w:r>
        <w:t xml:space="preserve"> initiated</w:t>
      </w:r>
      <w:r w:rsidRPr="00586BAA">
        <w:t xml:space="preserve"> in combination with </w:t>
      </w:r>
      <w:r>
        <w:t xml:space="preserve">fluoropyrimidine plus platinum-based </w:t>
      </w:r>
      <w:r w:rsidRPr="00586BAA">
        <w:t xml:space="preserve">chemotherapy.” The Secretariat </w:t>
      </w:r>
      <w:r>
        <w:t>suggested rewording to</w:t>
      </w:r>
      <w:r w:rsidRPr="00586BAA">
        <w:t xml:space="preserve"> </w:t>
      </w:r>
      <w:r>
        <w:t>“</w:t>
      </w:r>
      <w:r w:rsidRPr="00313E4B">
        <w:t>Patient must be undergoing concurrent treatment with chemotherapy (</w:t>
      </w:r>
      <w:proofErr w:type="spellStart"/>
      <w:r w:rsidRPr="00313E4B">
        <w:t>capecitabine</w:t>
      </w:r>
      <w:proofErr w:type="spellEnd"/>
      <w:r w:rsidRPr="00313E4B">
        <w:t>/</w:t>
      </w:r>
      <w:r w:rsidR="00074925" w:rsidRPr="00313E4B">
        <w:t>fluorouracil</w:t>
      </w:r>
      <w:r w:rsidRPr="00313E4B">
        <w:t xml:space="preserve"> + </w:t>
      </w:r>
      <w:proofErr w:type="spellStart"/>
      <w:r w:rsidRPr="00313E4B">
        <w:t>oxaliplatin</w:t>
      </w:r>
      <w:proofErr w:type="spellEnd"/>
      <w:r w:rsidRPr="00313E4B">
        <w:t xml:space="preserve">, with/without </w:t>
      </w:r>
      <w:proofErr w:type="spellStart"/>
      <w:r w:rsidRPr="00313E4B">
        <w:t>folinic</w:t>
      </w:r>
      <w:proofErr w:type="spellEnd"/>
      <w:r w:rsidRPr="00313E4B">
        <w:t xml:space="preserve"> acid) at least at the time of treat</w:t>
      </w:r>
      <w:r>
        <w:t>ment initiation with this drug “. The PBAC considered this could be simplified to “</w:t>
      </w:r>
      <w:r w:rsidRPr="00586BAA">
        <w:t xml:space="preserve">Patient must be undergoing </w:t>
      </w:r>
      <w:r w:rsidRPr="00030D59">
        <w:t>concomitant chemotherapy</w:t>
      </w:r>
      <w:r>
        <w:t xml:space="preserve"> with</w:t>
      </w:r>
      <w:r w:rsidRPr="00030D59">
        <w:t xml:space="preserve"> </w:t>
      </w:r>
      <w:r>
        <w:t xml:space="preserve">a platinum agent plus </w:t>
      </w:r>
      <w:r w:rsidRPr="00030D59">
        <w:t>a fluoropyrimidine agent at treatment initiation with this drug</w:t>
      </w:r>
      <w:r>
        <w:t xml:space="preserve">”. </w:t>
      </w:r>
      <w:r w:rsidRPr="00586BAA">
        <w:t xml:space="preserve">The </w:t>
      </w:r>
      <w:r>
        <w:t xml:space="preserve">criterion </w:t>
      </w:r>
      <w:r w:rsidRPr="00586BAA">
        <w:t xml:space="preserve">permits use of </w:t>
      </w:r>
      <w:r>
        <w:t xml:space="preserve">nivolumab </w:t>
      </w:r>
      <w:r w:rsidRPr="00586BAA">
        <w:t xml:space="preserve">with cisplatin </w:t>
      </w:r>
      <w:r>
        <w:t xml:space="preserve">+ 5-FU, FOLFOX, or XELOX/CAPOX. </w:t>
      </w:r>
      <w:r w:rsidRPr="00396B59">
        <w:rPr>
          <w:highlight w:val="yellow"/>
        </w:rPr>
        <w:t xml:space="preserve"> </w:t>
      </w:r>
    </w:p>
    <w:p w14:paraId="25959ABB" w14:textId="77777777" w:rsidR="00D329FE" w:rsidRPr="00D329FE" w:rsidRDefault="00D6561C" w:rsidP="00313E4B">
      <w:pPr>
        <w:pStyle w:val="3-BodyText"/>
        <w:ind w:left="709"/>
      </w:pPr>
      <w:r w:rsidRPr="00311DF9">
        <w:t xml:space="preserve">No </w:t>
      </w:r>
      <w:r w:rsidR="00D329FE">
        <w:t>transitioning arrangements (i.e., ‘</w:t>
      </w:r>
      <w:r w:rsidRPr="00311DF9">
        <w:t>grandfather</w:t>
      </w:r>
      <w:r w:rsidR="00D329FE">
        <w:t>’ listing)</w:t>
      </w:r>
      <w:r w:rsidRPr="00311DF9">
        <w:t xml:space="preserve"> </w:t>
      </w:r>
      <w:r w:rsidR="00D329FE">
        <w:t xml:space="preserve">were </w:t>
      </w:r>
      <w:r w:rsidR="006A4915" w:rsidRPr="00311DF9">
        <w:t xml:space="preserve">proposed </w:t>
      </w:r>
      <w:r w:rsidRPr="00311DF9">
        <w:t>in the submission.</w:t>
      </w:r>
      <w:r w:rsidR="00665725">
        <w:t xml:space="preserve"> </w:t>
      </w:r>
      <w:r w:rsidR="00D5799E">
        <w:t>The pre-PBAC response stated that, w</w:t>
      </w:r>
      <w:r w:rsidR="00D5799E" w:rsidRPr="00D5799E">
        <w:t>hile there is currently no formal patient access program for nivolumab plus chemotherapy in advanced or metastatic GC, GOJC or OAC</w:t>
      </w:r>
      <w:r w:rsidR="00D5799E">
        <w:t xml:space="preserve">, the </w:t>
      </w:r>
      <w:r w:rsidR="001D7F21">
        <w:t>S</w:t>
      </w:r>
      <w:r w:rsidR="00D5799E">
        <w:t xml:space="preserve">ponsor has granted compassionate access to </w:t>
      </w:r>
      <w:r w:rsidR="00841CB5">
        <w:t>&lt; 500</w:t>
      </w:r>
      <w:r w:rsidR="00841CB5" w:rsidRPr="00D5799E">
        <w:t xml:space="preserve"> </w:t>
      </w:r>
      <w:r w:rsidR="00D5799E" w:rsidRPr="00D5799E">
        <w:t xml:space="preserve">patients </w:t>
      </w:r>
      <w:r w:rsidR="00D5799E">
        <w:t xml:space="preserve">to date, </w:t>
      </w:r>
      <w:r w:rsidR="00D5799E" w:rsidRPr="00D5799E">
        <w:t xml:space="preserve">of which approximately </w:t>
      </w:r>
      <w:r w:rsidR="00841CB5">
        <w:t>&lt; 500</w:t>
      </w:r>
      <w:r w:rsidR="00841CB5" w:rsidRPr="00D5799E">
        <w:t xml:space="preserve"> </w:t>
      </w:r>
      <w:r w:rsidR="00D5799E" w:rsidRPr="00D5799E">
        <w:t xml:space="preserve">are currently on active treatment. </w:t>
      </w:r>
      <w:r w:rsidR="00D329FE" w:rsidRPr="00D329FE">
        <w:t xml:space="preserve">If nivolumab was to be listed with the Secretariat suggested edits, there would be no need for transitioning arrangements as the </w:t>
      </w:r>
      <w:r w:rsidR="001D7F21">
        <w:t>i</w:t>
      </w:r>
      <w:r w:rsidR="00D329FE" w:rsidRPr="00D329FE">
        <w:t>nitial treatment restriction does not exclude such patients.</w:t>
      </w:r>
    </w:p>
    <w:p w14:paraId="775DCE9F" w14:textId="77777777" w:rsidR="002E6DAE" w:rsidRPr="00D5799E" w:rsidRDefault="002E6DAE" w:rsidP="0026345B">
      <w:pPr>
        <w:pStyle w:val="3-BodyText"/>
        <w:numPr>
          <w:ilvl w:val="0"/>
          <w:numId w:val="0"/>
        </w:numPr>
        <w:ind w:left="720"/>
        <w:rPr>
          <w:i/>
        </w:rPr>
      </w:pPr>
      <w:r w:rsidRPr="00D5799E">
        <w:rPr>
          <w:i/>
        </w:rPr>
        <w:t>For more detail on PBAC’s view, see section 7 PBAC outcome.</w:t>
      </w:r>
    </w:p>
    <w:p w14:paraId="64CCB008" w14:textId="77777777" w:rsidR="00B50DB8" w:rsidRPr="00407F2D" w:rsidRDefault="00203181" w:rsidP="004E18E9">
      <w:pPr>
        <w:pStyle w:val="2-SectionHeading"/>
      </w:pPr>
      <w:bookmarkStart w:id="6" w:name="_Toc69567418"/>
      <w:r>
        <w:t xml:space="preserve">Population and </w:t>
      </w:r>
      <w:r w:rsidR="008E0D3C">
        <w:t>d</w:t>
      </w:r>
      <w:r>
        <w:t>isease</w:t>
      </w:r>
      <w:bookmarkEnd w:id="6"/>
    </w:p>
    <w:p w14:paraId="1B8A0FEE" w14:textId="77777777" w:rsidR="00E97E57" w:rsidRPr="00311DF9" w:rsidRDefault="00E97E57" w:rsidP="00652CC2">
      <w:pPr>
        <w:pStyle w:val="3-BodyText"/>
        <w:ind w:left="720"/>
      </w:pPr>
      <w:r w:rsidRPr="00311DF9">
        <w:t>Gastro-oesophageal cancer is a heterogeneous disease; tumours can appear in the oesophagus, the gastro-oesophageal junction (GOJ</w:t>
      </w:r>
      <w:r w:rsidR="00724D98" w:rsidRPr="00311DF9">
        <w:t xml:space="preserve">; </w:t>
      </w:r>
      <w:r w:rsidRPr="00311DF9">
        <w:t xml:space="preserve">the junction where the oesophagus connects to the stomach), or stomach regions of the digestive system. It is typically segmented into </w:t>
      </w:r>
      <w:r w:rsidRPr="008B3561">
        <w:t>three</w:t>
      </w:r>
      <w:r w:rsidRPr="00311DF9">
        <w:t xml:space="preserve"> distinct entities: oesophageal, which may be squamous cell carcinoma or adenocarcinoma; GOJ (cardia)</w:t>
      </w:r>
      <w:r w:rsidR="000F1D6C" w:rsidRPr="00311DF9">
        <w:t>;</w:t>
      </w:r>
      <w:r w:rsidRPr="00311DF9">
        <w:t xml:space="preserve"> and stomach (non-cardia) cancers, which are typically adenocarcinomas and usually referred to collectively as gastric cancer </w:t>
      </w:r>
      <w:r w:rsidR="00037CD9" w:rsidRPr="00311DF9">
        <w:t xml:space="preserve">(GC) </w:t>
      </w:r>
      <w:r w:rsidRPr="00311DF9">
        <w:t>(</w:t>
      </w:r>
      <w:proofErr w:type="spellStart"/>
      <w:r w:rsidRPr="00311DF9">
        <w:t>Buas</w:t>
      </w:r>
      <w:proofErr w:type="spellEnd"/>
      <w:r w:rsidRPr="00311DF9">
        <w:t xml:space="preserve"> 2013; Gunderson 2014; Torre 2015).</w:t>
      </w:r>
    </w:p>
    <w:p w14:paraId="1A91DBF4" w14:textId="77777777" w:rsidR="00E97E57" w:rsidRPr="00311DF9" w:rsidRDefault="00E97E57" w:rsidP="00652CC2">
      <w:pPr>
        <w:pStyle w:val="3-BodyText"/>
        <w:ind w:left="720"/>
      </w:pPr>
      <w:r w:rsidRPr="00311DF9">
        <w:t xml:space="preserve">Most patients </w:t>
      </w:r>
      <w:r w:rsidR="00724D98" w:rsidRPr="00311DF9">
        <w:t xml:space="preserve">experience </w:t>
      </w:r>
      <w:r w:rsidRPr="00311DF9">
        <w:t xml:space="preserve">disease progression within a year </w:t>
      </w:r>
      <w:r w:rsidR="00361E18" w:rsidRPr="00311DF9">
        <w:t xml:space="preserve">of beginning treatment </w:t>
      </w:r>
      <w:r w:rsidRPr="00311DF9">
        <w:t>(Hall 2020). Many patients experience a deterioration in quality of life (</w:t>
      </w:r>
      <w:proofErr w:type="spellStart"/>
      <w:r w:rsidRPr="00311DF9">
        <w:t>QoL</w:t>
      </w:r>
      <w:proofErr w:type="spellEnd"/>
      <w:r w:rsidRPr="00311DF9">
        <w:t xml:space="preserve">) as the standard of care chemotherapy regimens are often accompanied by high toxicity (Cunningham 2008; </w:t>
      </w:r>
      <w:proofErr w:type="spellStart"/>
      <w:r w:rsidRPr="00311DF9">
        <w:t>Ohtsu</w:t>
      </w:r>
      <w:proofErr w:type="spellEnd"/>
      <w:r w:rsidRPr="00311DF9">
        <w:t xml:space="preserve"> 2011; Van </w:t>
      </w:r>
      <w:proofErr w:type="spellStart"/>
      <w:r w:rsidRPr="00311DF9">
        <w:t>Cutsem</w:t>
      </w:r>
      <w:proofErr w:type="spellEnd"/>
      <w:r w:rsidRPr="00311DF9">
        <w:t xml:space="preserve"> 2006; Yamada 2015). GC (including GOJC) and OAC have a disproportionate impact on Australians with lower socioeconomic backgrounds, who were 1.4 and 1.5 times more likely to die from GC and OAC respectively in 2012-2016 than the highest socioeconomic group, with even lower survival for Indigenous Australians (AIHW, 2018)</w:t>
      </w:r>
      <w:r w:rsidR="001F2F9E" w:rsidRPr="00311DF9">
        <w:t xml:space="preserve">. </w:t>
      </w:r>
    </w:p>
    <w:p w14:paraId="68AFE5D9" w14:textId="77777777" w:rsidR="00E97E57" w:rsidRPr="00311DF9" w:rsidRDefault="00E97E57" w:rsidP="00652CC2">
      <w:pPr>
        <w:pStyle w:val="3-BodyText"/>
        <w:ind w:left="720"/>
      </w:pPr>
      <w:r w:rsidRPr="00311DF9">
        <w:t xml:space="preserve">The submission </w:t>
      </w:r>
      <w:r w:rsidR="00724D98" w:rsidRPr="00311DF9">
        <w:t xml:space="preserve">proposed </w:t>
      </w:r>
      <w:r w:rsidRPr="00311DF9">
        <w:t xml:space="preserve">nivolumab </w:t>
      </w:r>
      <w:r w:rsidR="00037CD9" w:rsidRPr="00311DF9">
        <w:t xml:space="preserve">with </w:t>
      </w:r>
      <w:r w:rsidRPr="00311DF9">
        <w:t xml:space="preserve">chemotherapy </w:t>
      </w:r>
      <w:r w:rsidR="00037CD9" w:rsidRPr="00311DF9">
        <w:t xml:space="preserve">for the </w:t>
      </w:r>
      <w:r w:rsidRPr="00311DF9">
        <w:t xml:space="preserve">first line </w:t>
      </w:r>
      <w:r w:rsidR="00037CD9" w:rsidRPr="00311DF9">
        <w:t xml:space="preserve">treatment of </w:t>
      </w:r>
      <w:r w:rsidR="00652CC2" w:rsidRPr="00311DF9">
        <w:t>patients</w:t>
      </w:r>
      <w:r w:rsidRPr="00311DF9">
        <w:t xml:space="preserve"> with advanced or metastatic GC, GOJC or O</w:t>
      </w:r>
      <w:r w:rsidR="005155D1" w:rsidRPr="00311DF9">
        <w:t>A</w:t>
      </w:r>
      <w:r w:rsidRPr="00311DF9">
        <w:t>C who are not positive for HER-2.</w:t>
      </w:r>
      <w:r w:rsidR="00D6561C" w:rsidRPr="00311DF9">
        <w:t xml:space="preserve"> The MBS item for HER2 testing</w:t>
      </w:r>
      <w:r w:rsidR="005155D1" w:rsidRPr="00311DF9">
        <w:t xml:space="preserve"> (MBS item 73342)</w:t>
      </w:r>
      <w:r w:rsidR="00D6561C" w:rsidRPr="00311DF9">
        <w:t xml:space="preserve"> is for adenocarcinoma of GC and GOJC, but not </w:t>
      </w:r>
      <w:r w:rsidR="005155D1" w:rsidRPr="00311DF9">
        <w:t xml:space="preserve">specifically for </w:t>
      </w:r>
      <w:r w:rsidR="00D6561C" w:rsidRPr="00311DF9">
        <w:t xml:space="preserve">OAC. </w:t>
      </w:r>
      <w:r w:rsidR="006100DE" w:rsidRPr="002E6DAE">
        <w:t xml:space="preserve">The ESC noted patients with OAC are not routinely tested for HER2 status.  </w:t>
      </w:r>
    </w:p>
    <w:p w14:paraId="3F11973D" w14:textId="77777777" w:rsidR="00E97E57" w:rsidRDefault="00E97E57" w:rsidP="00652CC2">
      <w:pPr>
        <w:pStyle w:val="3-BodyText"/>
        <w:ind w:left="720"/>
      </w:pPr>
      <w:r w:rsidRPr="00311DF9">
        <w:t>Nivolumab is a monoclonal antibody that binds to the programmed death 1 receptor (PD-1) and blocks its interaction with the programmed death ligand 1 and 2 (PD</w:t>
      </w:r>
      <w:r w:rsidR="00724D98" w:rsidRPr="00311DF9">
        <w:t>-</w:t>
      </w:r>
      <w:r w:rsidRPr="00311DF9">
        <w:t>L1, PD</w:t>
      </w:r>
      <w:r w:rsidR="00724D98" w:rsidRPr="00311DF9">
        <w:t>-</w:t>
      </w:r>
      <w:r w:rsidRPr="00311DF9">
        <w:t>L2).</w:t>
      </w:r>
    </w:p>
    <w:p w14:paraId="20E3DE19" w14:textId="77777777" w:rsidR="00B50DB8" w:rsidRPr="00407F2D" w:rsidRDefault="00B50DB8" w:rsidP="004E18E9">
      <w:pPr>
        <w:pStyle w:val="2-SectionHeading"/>
      </w:pPr>
      <w:bookmarkStart w:id="7" w:name="_Toc69567419"/>
      <w:r w:rsidRPr="00407F2D">
        <w:t>Comparator</w:t>
      </w:r>
      <w:bookmarkEnd w:id="7"/>
    </w:p>
    <w:p w14:paraId="60CC1DE0" w14:textId="77777777" w:rsidR="00E97E57" w:rsidRPr="00311DF9" w:rsidRDefault="00E97E57" w:rsidP="00652CC2">
      <w:pPr>
        <w:pStyle w:val="3-BodyText"/>
        <w:ind w:left="720"/>
        <w:rPr>
          <w:snapToGrid/>
          <w:lang w:val="en-US"/>
        </w:rPr>
      </w:pPr>
      <w:r w:rsidRPr="00311DF9">
        <w:rPr>
          <w:snapToGrid/>
          <w:lang w:val="en-US"/>
        </w:rPr>
        <w:t>The submission nominated fluoropyrimidine</w:t>
      </w:r>
      <w:r w:rsidR="00724D98" w:rsidRPr="00311DF9">
        <w:rPr>
          <w:snapToGrid/>
          <w:lang w:val="en-US"/>
        </w:rPr>
        <w:t>-</w:t>
      </w:r>
      <w:r w:rsidRPr="00311DF9">
        <w:rPr>
          <w:snapToGrid/>
          <w:lang w:val="en-US"/>
        </w:rPr>
        <w:t xml:space="preserve"> and platinum</w:t>
      </w:r>
      <w:r w:rsidR="00724D98" w:rsidRPr="00311DF9">
        <w:rPr>
          <w:snapToGrid/>
          <w:lang w:val="en-US"/>
        </w:rPr>
        <w:t>-</w:t>
      </w:r>
      <w:r w:rsidRPr="00311DF9">
        <w:rPr>
          <w:snapToGrid/>
          <w:lang w:val="en-US"/>
        </w:rPr>
        <w:t xml:space="preserve">based combination chemotherapy </w:t>
      </w:r>
      <w:r w:rsidR="001F2F9E" w:rsidRPr="00311DF9">
        <w:rPr>
          <w:snapToGrid/>
          <w:lang w:val="en-US"/>
        </w:rPr>
        <w:t>(henceforth chemotherapy alone)</w:t>
      </w:r>
      <w:r w:rsidRPr="00311DF9">
        <w:rPr>
          <w:snapToGrid/>
          <w:lang w:val="en-US"/>
        </w:rPr>
        <w:t xml:space="preserve"> as the main comparator.</w:t>
      </w:r>
      <w:r w:rsidR="001F2F9E" w:rsidRPr="00311DF9">
        <w:rPr>
          <w:snapToGrid/>
          <w:lang w:val="en-US"/>
        </w:rPr>
        <w:t xml:space="preserve"> </w:t>
      </w:r>
      <w:r w:rsidRPr="00311DF9">
        <w:rPr>
          <w:snapToGrid/>
          <w:lang w:val="en-US"/>
        </w:rPr>
        <w:t>T</w:t>
      </w:r>
      <w:r w:rsidRPr="00311DF9">
        <w:t>he main arguments provided in support of this nomination were:</w:t>
      </w:r>
    </w:p>
    <w:p w14:paraId="11A30E71" w14:textId="77777777" w:rsidR="00E97E57" w:rsidRPr="00311DF9" w:rsidRDefault="00E97E57" w:rsidP="00FB0A0C">
      <w:pPr>
        <w:pStyle w:val="Bulletpoints"/>
        <w:widowControl w:val="0"/>
        <w:spacing w:after="0"/>
        <w:ind w:left="1134" w:hanging="425"/>
        <w:contextualSpacing w:val="0"/>
      </w:pPr>
      <w:r w:rsidRPr="00311DF9">
        <w:t xml:space="preserve">Fluoropyrimidine- and platinum-based combination chemotherapy represents the historical ‘standard of care’ in these patients. </w:t>
      </w:r>
    </w:p>
    <w:p w14:paraId="376DC664" w14:textId="77777777" w:rsidR="00E97E57" w:rsidRPr="00311DF9" w:rsidRDefault="00E97E57" w:rsidP="00FB0A0C">
      <w:pPr>
        <w:pStyle w:val="Bulletpoints"/>
        <w:widowControl w:val="0"/>
        <w:spacing w:after="0"/>
        <w:ind w:left="1134" w:hanging="425"/>
        <w:contextualSpacing w:val="0"/>
      </w:pPr>
      <w:r w:rsidRPr="00311DF9">
        <w:t xml:space="preserve">Real-world evidence on treatment use in Australia in advanced or metastatic gastric cancer reports combination chemotherapy with doublet or triplet regimens as the most common first-line anti-cancer drug therapy currently used, with all regimens using a combination of platinum and fluoropyrimidine-based chemotherapy (Gómez-Ulloa et al., 2020). </w:t>
      </w:r>
      <w:r w:rsidR="00045840" w:rsidRPr="00311DF9">
        <w:t>Triplet regimens do not appear to be commonly used in Australia.</w:t>
      </w:r>
    </w:p>
    <w:p w14:paraId="0960ACCB" w14:textId="77777777" w:rsidR="00E97E57" w:rsidRPr="00311DF9" w:rsidRDefault="00E97E57" w:rsidP="00FB0A0C">
      <w:pPr>
        <w:pStyle w:val="Bulletpoints"/>
        <w:widowControl w:val="0"/>
        <w:spacing w:after="0"/>
        <w:ind w:left="1134" w:hanging="425"/>
        <w:contextualSpacing w:val="0"/>
      </w:pPr>
      <w:r w:rsidRPr="00311DF9">
        <w:t xml:space="preserve">This aligned with Australian clinical practice, where clinicians at an advisory board confirmed platinum and fluoropyrimidine-based doublet chemotherapy is the most common treatment regimen used in Australia (Bristol-Myers Squibb Australia Pty Ltd, 2021). </w:t>
      </w:r>
    </w:p>
    <w:p w14:paraId="5CD19FA4" w14:textId="77777777" w:rsidR="00E97E57" w:rsidRPr="00311DF9" w:rsidRDefault="00E97E57" w:rsidP="007150E6">
      <w:pPr>
        <w:pStyle w:val="Bulletpoints"/>
        <w:widowControl w:val="0"/>
        <w:ind w:left="1134" w:hanging="425"/>
        <w:contextualSpacing w:val="0"/>
      </w:pPr>
      <w:r w:rsidRPr="00311DF9">
        <w:t>Agents in the nominated comparator regimens are listed on the PBS as unrestricted treatments and able to be used in patients with advanced or metastatic GC, GOJC or OAC.</w:t>
      </w:r>
    </w:p>
    <w:p w14:paraId="70E643BF" w14:textId="77777777" w:rsidR="00B50DB8" w:rsidRPr="00DE2F91" w:rsidRDefault="006100DE" w:rsidP="00EF73C8">
      <w:pPr>
        <w:pStyle w:val="3-BodyText"/>
        <w:ind w:left="720"/>
        <w:rPr>
          <w:snapToGrid/>
          <w:lang w:val="en-US"/>
        </w:rPr>
      </w:pPr>
      <w:r w:rsidRPr="002E6DAE">
        <w:t xml:space="preserve">The evaluation considered </w:t>
      </w:r>
      <w:r w:rsidR="00E97E57" w:rsidRPr="002E6DAE">
        <w:t>it may be more appropriate to explicitly</w:t>
      </w:r>
      <w:r w:rsidRPr="002E6DAE">
        <w:t xml:space="preserve"> nominate</w:t>
      </w:r>
      <w:r w:rsidR="00E97E57" w:rsidRPr="002E6DAE">
        <w:t xml:space="preserve"> the comparator </w:t>
      </w:r>
      <w:r w:rsidRPr="002E6DAE">
        <w:t>as</w:t>
      </w:r>
      <w:r w:rsidR="00E97E57" w:rsidRPr="002E6DAE">
        <w:t xml:space="preserve"> XELOX (</w:t>
      </w:r>
      <w:proofErr w:type="spellStart"/>
      <w:r w:rsidR="00E97E57" w:rsidRPr="002E6DAE">
        <w:t>capecitabine</w:t>
      </w:r>
      <w:proofErr w:type="spellEnd"/>
      <w:r w:rsidR="00E97E57" w:rsidRPr="002E6DAE">
        <w:t xml:space="preserve"> + </w:t>
      </w:r>
      <w:proofErr w:type="spellStart"/>
      <w:r w:rsidR="00E97E57" w:rsidRPr="002E6DAE">
        <w:t>oxaliplatin</w:t>
      </w:r>
      <w:proofErr w:type="spellEnd"/>
      <w:r w:rsidR="00E97E57" w:rsidRPr="002E6DAE">
        <w:t xml:space="preserve">) or FOLFOX (5-FU + </w:t>
      </w:r>
      <w:proofErr w:type="spellStart"/>
      <w:r w:rsidR="00E97E57" w:rsidRPr="002E6DAE">
        <w:t>oxaliplatin</w:t>
      </w:r>
      <w:proofErr w:type="spellEnd"/>
      <w:r w:rsidR="00E97E57" w:rsidRPr="002E6DAE">
        <w:t xml:space="preserve"> + </w:t>
      </w:r>
      <w:proofErr w:type="spellStart"/>
      <w:r w:rsidR="00E97E57" w:rsidRPr="002E6DAE">
        <w:t>leucovorin</w:t>
      </w:r>
      <w:proofErr w:type="spellEnd"/>
      <w:r w:rsidRPr="002E6DAE">
        <w:t>)</w:t>
      </w:r>
      <w:r w:rsidR="00E97E57" w:rsidRPr="002E6DAE">
        <w:t xml:space="preserve"> </w:t>
      </w:r>
      <w:r w:rsidRPr="002E6DAE">
        <w:t xml:space="preserve">as </w:t>
      </w:r>
      <w:r w:rsidR="00E97E57" w:rsidRPr="002E6DAE">
        <w:t xml:space="preserve">the clinical evidence provided in the submission </w:t>
      </w:r>
      <w:r w:rsidRPr="002E6DAE">
        <w:t xml:space="preserve">provided a comparison </w:t>
      </w:r>
      <w:r w:rsidR="00E97E57" w:rsidRPr="002E6DAE">
        <w:t>of nivolumab + FOLFOX/XELOX with FOLFOX/XELOX only, and no evidence for the combination or comparison with other fluoropyrimidine</w:t>
      </w:r>
      <w:r w:rsidR="00724D98" w:rsidRPr="002E6DAE">
        <w:t>-</w:t>
      </w:r>
      <w:r w:rsidR="00E97E57" w:rsidRPr="002E6DAE">
        <w:t xml:space="preserve"> and platinum</w:t>
      </w:r>
      <w:r w:rsidR="00724D98" w:rsidRPr="002E6DAE">
        <w:t>-</w:t>
      </w:r>
      <w:r w:rsidR="00E97E57" w:rsidRPr="002E6DAE">
        <w:t xml:space="preserve">based combination therapies </w:t>
      </w:r>
      <w:r w:rsidR="000F7860" w:rsidRPr="002E6DAE">
        <w:t xml:space="preserve">such as </w:t>
      </w:r>
      <w:proofErr w:type="spellStart"/>
      <w:r w:rsidR="000F7860" w:rsidRPr="002E6DAE">
        <w:t>capecitabine</w:t>
      </w:r>
      <w:proofErr w:type="spellEnd"/>
      <w:r w:rsidR="000F7860" w:rsidRPr="002E6DAE">
        <w:t xml:space="preserve"> or 5-FU plus cisplatin </w:t>
      </w:r>
      <w:r w:rsidR="00E97E57" w:rsidRPr="002E6DAE">
        <w:t xml:space="preserve">were provided. </w:t>
      </w:r>
      <w:r w:rsidRPr="002E6DAE">
        <w:t xml:space="preserve">The ESC considered the nominated comparator of fluoropyrimidine- and platinum-based combination chemotherapy was reasonable.    </w:t>
      </w:r>
    </w:p>
    <w:p w14:paraId="4CC1E92D" w14:textId="77777777" w:rsidR="00DE2F91" w:rsidRPr="00DE2F91" w:rsidRDefault="00DE2F91" w:rsidP="00CF1CF6">
      <w:pPr>
        <w:pStyle w:val="3-BodyText"/>
        <w:ind w:left="709"/>
        <w:rPr>
          <w:snapToGrid/>
          <w:lang w:val="en-US"/>
        </w:rPr>
      </w:pPr>
      <w:bookmarkStart w:id="8" w:name="_Ref89965696"/>
      <w:r w:rsidRPr="00DE2F91">
        <w:rPr>
          <w:snapToGrid/>
          <w:lang w:val="en-US"/>
        </w:rPr>
        <w:t xml:space="preserve">The PBAC noted that </w:t>
      </w:r>
      <w:r>
        <w:rPr>
          <w:snapToGrid/>
          <w:lang w:val="en-US"/>
        </w:rPr>
        <w:t xml:space="preserve">pembrolizumab </w:t>
      </w:r>
      <w:r w:rsidR="00CF1CF6">
        <w:rPr>
          <w:snapToGrid/>
          <w:lang w:val="en-US"/>
        </w:rPr>
        <w:t xml:space="preserve">plus chemotherapy </w:t>
      </w:r>
      <w:r w:rsidRPr="00DE2F91">
        <w:rPr>
          <w:snapToGrid/>
          <w:lang w:val="en-US"/>
        </w:rPr>
        <w:t xml:space="preserve">was being considered at the same PBAC meeting for </w:t>
      </w:r>
      <w:r>
        <w:rPr>
          <w:snapToGrid/>
          <w:lang w:val="en-US"/>
        </w:rPr>
        <w:t>ad</w:t>
      </w:r>
      <w:r w:rsidR="009D3B4D">
        <w:rPr>
          <w:snapToGrid/>
          <w:lang w:val="en-US"/>
        </w:rPr>
        <w:t xml:space="preserve">vanced or metastatic </w:t>
      </w:r>
      <w:proofErr w:type="spellStart"/>
      <w:r w:rsidR="009D3B4D">
        <w:rPr>
          <w:snapToGrid/>
          <w:lang w:val="en-US"/>
        </w:rPr>
        <w:t>oesophageal</w:t>
      </w:r>
      <w:proofErr w:type="spellEnd"/>
      <w:r w:rsidR="009D3B4D">
        <w:rPr>
          <w:snapToGrid/>
          <w:lang w:val="en-US"/>
        </w:rPr>
        <w:t xml:space="preserve"> cancer </w:t>
      </w:r>
      <w:r w:rsidR="00CF1CF6">
        <w:rPr>
          <w:snapToGrid/>
          <w:lang w:val="en-US"/>
        </w:rPr>
        <w:t xml:space="preserve">(adenocarcinoma and squamous cell carcinoma) </w:t>
      </w:r>
      <w:r w:rsidR="009D3B4D">
        <w:rPr>
          <w:snapToGrid/>
          <w:lang w:val="en-US"/>
        </w:rPr>
        <w:t xml:space="preserve">and </w:t>
      </w:r>
      <w:r w:rsidR="00CF1CF6">
        <w:rPr>
          <w:snapToGrid/>
          <w:lang w:val="en-US"/>
        </w:rPr>
        <w:t xml:space="preserve">HER2 negative </w:t>
      </w:r>
      <w:r w:rsidRPr="00DE2F91">
        <w:rPr>
          <w:snapToGrid/>
          <w:lang w:val="en-US"/>
        </w:rPr>
        <w:t xml:space="preserve">GOJ cancer. </w:t>
      </w:r>
      <w:r w:rsidR="009F026C">
        <w:t>The PBAC noted the</w:t>
      </w:r>
      <w:r w:rsidR="009F026C" w:rsidRPr="008E5320">
        <w:t xml:space="preserve"> indications for</w:t>
      </w:r>
      <w:r w:rsidR="009F026C">
        <w:t xml:space="preserve"> nivolumab</w:t>
      </w:r>
      <w:r w:rsidR="009F026C" w:rsidRPr="00C87C8B">
        <w:rPr>
          <w:i/>
        </w:rPr>
        <w:t xml:space="preserve"> </w:t>
      </w:r>
      <w:r w:rsidR="009F026C" w:rsidRPr="008E5320">
        <w:t xml:space="preserve">and </w:t>
      </w:r>
      <w:r w:rsidR="009F026C">
        <w:t xml:space="preserve">pembrolizumab (which were based on the clinical trial populations) </w:t>
      </w:r>
      <w:r w:rsidR="009F026C" w:rsidRPr="008E5320">
        <w:t>do not fully align</w:t>
      </w:r>
      <w:r w:rsidR="009F026C">
        <w:t xml:space="preserve">; however, the PBAC considered there was likely to be significant overlap in clinical practice </w:t>
      </w:r>
      <w:r w:rsidR="009F026C" w:rsidRPr="00E310BD">
        <w:t>due to</w:t>
      </w:r>
      <w:r w:rsidR="009F026C">
        <w:t xml:space="preserve"> overlap</w:t>
      </w:r>
      <w:r w:rsidR="009F026C" w:rsidRPr="00E310BD">
        <w:t xml:space="preserve"> in anatomical distribution of these cancers</w:t>
      </w:r>
      <w:r w:rsidR="009F026C">
        <w:t>.</w:t>
      </w:r>
      <w:r w:rsidR="001D7F21">
        <w:t xml:space="preserve"> </w:t>
      </w:r>
      <w:r w:rsidR="00CF1CF6" w:rsidRPr="00CF1CF6">
        <w:rPr>
          <w:snapToGrid/>
          <w:lang w:val="en-US"/>
        </w:rPr>
        <w:t xml:space="preserve">The </w:t>
      </w:r>
      <w:r w:rsidR="00CF1CF6">
        <w:rPr>
          <w:snapToGrid/>
          <w:lang w:val="en-US"/>
        </w:rPr>
        <w:t xml:space="preserve">PBAC considered </w:t>
      </w:r>
      <w:r w:rsidR="00CF1CF6" w:rsidRPr="00CF1CF6">
        <w:rPr>
          <w:snapToGrid/>
          <w:lang w:val="en-US"/>
        </w:rPr>
        <w:t xml:space="preserve">that </w:t>
      </w:r>
      <w:r w:rsidR="00CF1CF6">
        <w:rPr>
          <w:snapToGrid/>
          <w:lang w:val="en-US"/>
        </w:rPr>
        <w:t xml:space="preserve">pembrolizumab </w:t>
      </w:r>
      <w:r w:rsidR="00CF1CF6" w:rsidRPr="00CF1CF6">
        <w:rPr>
          <w:snapToGrid/>
          <w:lang w:val="en-US"/>
        </w:rPr>
        <w:t>plus chemotherapy</w:t>
      </w:r>
      <w:r w:rsidR="00CF1CF6">
        <w:rPr>
          <w:snapToGrid/>
          <w:lang w:val="en-US"/>
        </w:rPr>
        <w:t xml:space="preserve"> was </w:t>
      </w:r>
      <w:r w:rsidR="00CF1CF6" w:rsidRPr="00CF1CF6">
        <w:rPr>
          <w:snapToGrid/>
          <w:lang w:val="en-US"/>
        </w:rPr>
        <w:t>a near term comparator.</w:t>
      </w:r>
      <w:bookmarkEnd w:id="8"/>
    </w:p>
    <w:p w14:paraId="461B47AD" w14:textId="77777777" w:rsidR="002E6DAE" w:rsidRPr="002E6DAE" w:rsidRDefault="002E6DAE" w:rsidP="002E6DAE">
      <w:pPr>
        <w:pStyle w:val="3-BodyText"/>
        <w:numPr>
          <w:ilvl w:val="0"/>
          <w:numId w:val="0"/>
        </w:numPr>
        <w:ind w:left="720"/>
        <w:rPr>
          <w:i/>
          <w:snapToGrid/>
          <w:lang w:val="en-US"/>
        </w:rPr>
      </w:pPr>
      <w:r w:rsidRPr="00DE2F91">
        <w:rPr>
          <w:i/>
          <w:snapToGrid/>
          <w:lang w:val="en-US"/>
        </w:rPr>
        <w:t>For more detail on PBAC’s view, see section 7 PBAC outcome.</w:t>
      </w:r>
    </w:p>
    <w:p w14:paraId="1F999A02" w14:textId="77777777" w:rsidR="00223D5A" w:rsidRPr="00407F2D" w:rsidRDefault="00223D5A" w:rsidP="00223D5A">
      <w:pPr>
        <w:pStyle w:val="2-SectionHeading"/>
      </w:pPr>
      <w:bookmarkStart w:id="9" w:name="_Toc69567420"/>
      <w:bookmarkStart w:id="10" w:name="_Toc22897640"/>
      <w:r>
        <w:t>C</w:t>
      </w:r>
      <w:r w:rsidRPr="00407F2D">
        <w:t>onsideration of the evidence</w:t>
      </w:r>
      <w:bookmarkEnd w:id="9"/>
    </w:p>
    <w:p w14:paraId="62B5F041" w14:textId="77777777" w:rsidR="002E6DAE" w:rsidRDefault="002E6DAE" w:rsidP="002E6DAE">
      <w:pPr>
        <w:pStyle w:val="4-SubsectionHeading"/>
      </w:pPr>
      <w:bookmarkStart w:id="11" w:name="_Toc69567421"/>
      <w:bookmarkStart w:id="12" w:name="_Toc72308982"/>
      <w:r>
        <w:t>Sponsor hearing</w:t>
      </w:r>
    </w:p>
    <w:p w14:paraId="78CEC9EC" w14:textId="77777777" w:rsidR="002E6DAE" w:rsidRDefault="002E6DAE" w:rsidP="002E6DAE">
      <w:pPr>
        <w:pStyle w:val="3-BodyText"/>
        <w:ind w:left="709"/>
      </w:pPr>
      <w:r>
        <w:t>T</w:t>
      </w:r>
      <w:r w:rsidRPr="002E6DAE">
        <w:t>here was no hearing for this item</w:t>
      </w:r>
      <w:r w:rsidR="00DF0A4C">
        <w:t>.</w:t>
      </w:r>
    </w:p>
    <w:p w14:paraId="30255A8C" w14:textId="77777777" w:rsidR="002E6DAE" w:rsidRDefault="002E6DAE" w:rsidP="002E6DAE">
      <w:pPr>
        <w:pStyle w:val="4-SubsectionHeading"/>
      </w:pPr>
      <w:r w:rsidRPr="006E1229">
        <w:t>Consumer comments</w:t>
      </w:r>
    </w:p>
    <w:p w14:paraId="240F716C" w14:textId="61E16CCF" w:rsidR="007E0635" w:rsidRDefault="007E0635" w:rsidP="007E0635">
      <w:pPr>
        <w:pStyle w:val="3-BodyText"/>
        <w:ind w:left="709" w:hanging="709"/>
      </w:pPr>
      <w:r>
        <w:t xml:space="preserve">The PBAC noted and welcomed the input from individuals (2), health care professionals (8) and organisations (2) via the Consumer Comments facility on the PBS website. The comments </w:t>
      </w:r>
      <w:r w:rsidR="00AD280C">
        <w:t xml:space="preserve">emphasised the aggressive nature of the disease, poor prognosis for patients and limited treatment options. The benefits </w:t>
      </w:r>
      <w:r w:rsidR="003D6833">
        <w:t xml:space="preserve">of treatment with nivolumab included longer survival, better disease control, improved quality of life and manageable side effect profile. </w:t>
      </w:r>
    </w:p>
    <w:p w14:paraId="7F7EF76D" w14:textId="5305205D" w:rsidR="007E0635" w:rsidRPr="007E0635" w:rsidRDefault="007E0635" w:rsidP="00AD280C">
      <w:pPr>
        <w:pStyle w:val="3-BodyText"/>
        <w:ind w:left="709" w:hanging="709"/>
      </w:pPr>
      <w:r>
        <w:t>The PBAC noted the advice rece</w:t>
      </w:r>
      <w:r w:rsidRPr="00AD280C">
        <w:t xml:space="preserve">ived from </w:t>
      </w:r>
      <w:proofErr w:type="spellStart"/>
      <w:r w:rsidR="0093733D" w:rsidRPr="00AD280C">
        <w:t>Pancare</w:t>
      </w:r>
      <w:proofErr w:type="spellEnd"/>
      <w:r w:rsidR="0093733D" w:rsidRPr="00AD280C">
        <w:t xml:space="preserve"> Foundation </w:t>
      </w:r>
      <w:r w:rsidRPr="00AD280C">
        <w:t xml:space="preserve">clarifying the likely use of </w:t>
      </w:r>
      <w:r w:rsidR="00AD280C" w:rsidRPr="00AD280C">
        <w:t xml:space="preserve">nivolumab </w:t>
      </w:r>
      <w:r w:rsidRPr="00AD280C">
        <w:t xml:space="preserve">in clinical practice. </w:t>
      </w:r>
      <w:r w:rsidR="00AD280C" w:rsidRPr="00AD280C">
        <w:t xml:space="preserve">In addition to similar issues listed in paragraph 6.2, </w:t>
      </w:r>
      <w:proofErr w:type="spellStart"/>
      <w:r w:rsidR="00AD280C" w:rsidRPr="00AD280C">
        <w:t>Pancare</w:t>
      </w:r>
      <w:proofErr w:type="spellEnd"/>
      <w:r w:rsidR="00AD280C" w:rsidRPr="00AD280C">
        <w:t xml:space="preserve"> described</w:t>
      </w:r>
      <w:r w:rsidR="00AD280C">
        <w:t xml:space="preserve"> oesophageal and gastric cancers </w:t>
      </w:r>
      <w:r w:rsidR="00AD280C" w:rsidRPr="00AD280C">
        <w:t xml:space="preserve">as having </w:t>
      </w:r>
      <w:r w:rsidR="00AD280C">
        <w:t xml:space="preserve">amongst </w:t>
      </w:r>
      <w:r w:rsidR="00AD280C" w:rsidRPr="00AD280C">
        <w:t xml:space="preserve">the worst </w:t>
      </w:r>
      <w:r w:rsidR="00AD280C">
        <w:t xml:space="preserve">5 year </w:t>
      </w:r>
      <w:r w:rsidR="00AD280C" w:rsidRPr="00AD280C">
        <w:t xml:space="preserve">survival rates of all cancers in Australia </w:t>
      </w:r>
      <w:r w:rsidR="00AD280C">
        <w:t>(24% and 28%, respectively).</w:t>
      </w:r>
      <w:r w:rsidR="002D65F4">
        <w:t xml:space="preserve"> </w:t>
      </w:r>
      <w:proofErr w:type="spellStart"/>
      <w:r w:rsidR="00AD280C" w:rsidRPr="00AD280C">
        <w:t>Pancare</w:t>
      </w:r>
      <w:proofErr w:type="spellEnd"/>
      <w:r w:rsidR="00AD280C" w:rsidRPr="00AD280C">
        <w:t xml:space="preserve"> stated that a PBS listing for </w:t>
      </w:r>
      <w:r w:rsidR="00613D8E">
        <w:t>nivolumab</w:t>
      </w:r>
      <w:r w:rsidR="00613D8E" w:rsidRPr="00AD280C">
        <w:t xml:space="preserve"> </w:t>
      </w:r>
      <w:r w:rsidR="00AD280C" w:rsidRPr="00AD280C">
        <w:t xml:space="preserve">would enable access to a superior first-line treatment and offer much-needed hope for Australians with </w:t>
      </w:r>
      <w:r w:rsidR="00613D8E">
        <w:t>gastro-</w:t>
      </w:r>
      <w:r w:rsidR="00AD280C" w:rsidRPr="00AD280C">
        <w:t>oesophageal cancer.</w:t>
      </w:r>
      <w:r w:rsidR="002D65F4">
        <w:t xml:space="preserve"> </w:t>
      </w:r>
      <w:r w:rsidRPr="00AD280C">
        <w:t>The PBAC noted that this advice was</w:t>
      </w:r>
      <w:r w:rsidR="00AD280C" w:rsidRPr="00AD280C">
        <w:t xml:space="preserve"> </w:t>
      </w:r>
      <w:r w:rsidRPr="00AD280C">
        <w:t>supportive of the evidence provided in the submi</w:t>
      </w:r>
      <w:r w:rsidR="0093733D" w:rsidRPr="00AD280C">
        <w:t>ssion.</w:t>
      </w:r>
    </w:p>
    <w:p w14:paraId="44E6FD78" w14:textId="06B76B6D" w:rsidR="0093733D" w:rsidRDefault="007E0635" w:rsidP="00B854FA">
      <w:pPr>
        <w:pStyle w:val="3-BodyText"/>
        <w:ind w:left="720"/>
      </w:pPr>
      <w:r w:rsidRPr="007E0635">
        <w:t>The Medical Oncology Group of Australia (MOGA) also expressed its</w:t>
      </w:r>
      <w:r>
        <w:t xml:space="preserve"> strong support for the nivolumab</w:t>
      </w:r>
      <w:r w:rsidRPr="007E0635">
        <w:t xml:space="preserve"> submission, categorising it as one of the therapies of “highest priority for PBS listing” on the basis of the</w:t>
      </w:r>
      <w:r w:rsidR="0093733D">
        <w:t xml:space="preserve"> patients with </w:t>
      </w:r>
      <w:r w:rsidR="00CF1CF6">
        <w:t>PD-L1 combined proportion score (</w:t>
      </w:r>
      <w:r w:rsidR="0093733D">
        <w:t>CPS</w:t>
      </w:r>
      <w:r w:rsidR="00CF1CF6">
        <w:t>)</w:t>
      </w:r>
      <w:r w:rsidR="0093733D">
        <w:t xml:space="preserve"> </w:t>
      </w:r>
      <w:r w:rsidR="0093733D">
        <w:rPr>
          <w:rFonts w:cstheme="minorHAnsi"/>
        </w:rPr>
        <w:t>≥</w:t>
      </w:r>
      <w:r w:rsidR="0093733D">
        <w:t xml:space="preserve"> 5 in the CheckMate-649 </w:t>
      </w:r>
      <w:r w:rsidRPr="007E0635">
        <w:t>trial. The PBAC noted that the MOGA presented a European Society for Medical Oncology Magnitude of Clinical Be</w:t>
      </w:r>
      <w:r w:rsidR="0093733D">
        <w:t>nefit Scale (ESMO-MCBS) for nivolumab, which was limited to 4</w:t>
      </w:r>
      <w:r w:rsidRPr="007E0635">
        <w:t xml:space="preserve"> (out of a maximum of 5, where 5 and 4 represent the grades with substantial improvement)</w:t>
      </w:r>
      <w:r>
        <w:rPr>
          <w:rStyle w:val="FootnoteReference"/>
        </w:rPr>
        <w:footnoteReference w:id="2"/>
      </w:r>
      <w:r w:rsidRPr="007E0635">
        <w:t>, based on a comparison with</w:t>
      </w:r>
      <w:r w:rsidR="0093733D">
        <w:t xml:space="preserve"> chemotherapy</w:t>
      </w:r>
      <w:r w:rsidRPr="007E0635">
        <w:t>.</w:t>
      </w:r>
      <w:r w:rsidR="0093733D">
        <w:t xml:space="preserve">  </w:t>
      </w:r>
    </w:p>
    <w:p w14:paraId="6C96BB95" w14:textId="77777777" w:rsidR="002E6DAE" w:rsidRPr="002E6DAE" w:rsidRDefault="0093733D" w:rsidP="00B854FA">
      <w:pPr>
        <w:pStyle w:val="3-BodyText"/>
        <w:ind w:left="720"/>
      </w:pPr>
      <w:r w:rsidRPr="007E0635">
        <w:t xml:space="preserve">The </w:t>
      </w:r>
      <w:r>
        <w:t>MOGA</w:t>
      </w:r>
      <w:r w:rsidRPr="007E0635">
        <w:t xml:space="preserve"> also expressed its</w:t>
      </w:r>
      <w:r>
        <w:t xml:space="preserve"> support for the nivolumab</w:t>
      </w:r>
      <w:r w:rsidRPr="007E0635">
        <w:t xml:space="preserve"> submission</w:t>
      </w:r>
      <w:r>
        <w:t xml:space="preserve"> </w:t>
      </w:r>
      <w:r w:rsidRPr="007E0635">
        <w:t>on the basis of the</w:t>
      </w:r>
      <w:r>
        <w:t xml:space="preserve"> entire cohort of patients in the CheckMate-649 </w:t>
      </w:r>
      <w:r w:rsidRPr="007E0635">
        <w:t>trial. The PBAC noted that the MOGA presented a</w:t>
      </w:r>
      <w:r w:rsidR="00BA2730">
        <w:t>n</w:t>
      </w:r>
      <w:r w:rsidRPr="007E0635">
        <w:t xml:space="preserve"> </w:t>
      </w:r>
      <w:r w:rsidR="0088104E">
        <w:t xml:space="preserve">ESMO-MCBS </w:t>
      </w:r>
      <w:r>
        <w:t>for nivolumab, which was limited to 2</w:t>
      </w:r>
      <w:r w:rsidRPr="007E0635">
        <w:t>, based on a comparison with</w:t>
      </w:r>
      <w:r>
        <w:t xml:space="preserve"> chemotherapy</w:t>
      </w:r>
      <w:r w:rsidRPr="007E0635">
        <w:t>.</w:t>
      </w:r>
      <w:r>
        <w:t xml:space="preserve">  </w:t>
      </w:r>
    </w:p>
    <w:p w14:paraId="6DA73EE8" w14:textId="77777777" w:rsidR="00B60939" w:rsidRPr="00C9624D" w:rsidRDefault="00B60939" w:rsidP="002E6DAE">
      <w:pPr>
        <w:pStyle w:val="4-SubsectionHeading"/>
      </w:pPr>
      <w:r w:rsidRPr="00C9624D">
        <w:t>Clinical trials</w:t>
      </w:r>
      <w:bookmarkEnd w:id="10"/>
      <w:bookmarkEnd w:id="11"/>
      <w:bookmarkEnd w:id="12"/>
    </w:p>
    <w:p w14:paraId="44254D2E" w14:textId="77777777" w:rsidR="00086EFF" w:rsidRPr="00FB0A0C" w:rsidRDefault="00086EFF" w:rsidP="00652CC2">
      <w:pPr>
        <w:pStyle w:val="3-BodyText"/>
        <w:ind w:left="720"/>
      </w:pPr>
      <w:r>
        <w:t xml:space="preserve">The submission was based on one pivotal trial, </w:t>
      </w:r>
      <w:proofErr w:type="spellStart"/>
      <w:r>
        <w:t>CheckMate</w:t>
      </w:r>
      <w:proofErr w:type="spellEnd"/>
      <w:r>
        <w:t xml:space="preserve"> 649 (N=1,581 in relevant arms), an ongoing, phase 3, open-label, randomised study of nivolumab plus chemotherapy or nivolumab plus ipilimumab in combination with chemotherapy compared to chemotherapy alone in patients with </w:t>
      </w:r>
      <w:r w:rsidRPr="005E15AB">
        <w:t>advanced</w:t>
      </w:r>
      <w:r>
        <w:t xml:space="preserve"> or metastatic</w:t>
      </w:r>
      <w:r w:rsidRPr="005E15AB">
        <w:t xml:space="preserve"> </w:t>
      </w:r>
      <w:r>
        <w:t>GC, GOJC or OAC</w:t>
      </w:r>
      <w:r w:rsidR="00A4122B">
        <w:t>.</w:t>
      </w:r>
      <w:r w:rsidR="007112A4">
        <w:t xml:space="preserve"> </w:t>
      </w:r>
      <w:r w:rsidR="007112A4" w:rsidRPr="002E6DAE">
        <w:t xml:space="preserve">The ESC noted 70% of patients enrolled in </w:t>
      </w:r>
      <w:proofErr w:type="spellStart"/>
      <w:r w:rsidR="007112A4" w:rsidRPr="002E6DAE">
        <w:t>CheckMate</w:t>
      </w:r>
      <w:proofErr w:type="spellEnd"/>
      <w:r w:rsidR="007112A4" w:rsidRPr="002E6DAE">
        <w:t xml:space="preserve"> 649 were diagnosed with GC, 16% had GOJC and 13 % had OAC</w:t>
      </w:r>
      <w:r w:rsidR="007112A4" w:rsidRPr="007112A4">
        <w:rPr>
          <w:i/>
        </w:rPr>
        <w:t>.</w:t>
      </w:r>
      <w:r w:rsidR="007112A4">
        <w:t xml:space="preserve">  </w:t>
      </w:r>
    </w:p>
    <w:p w14:paraId="660EC423" w14:textId="77777777" w:rsidR="00862502" w:rsidRPr="00B50DB8" w:rsidRDefault="00A73134" w:rsidP="00652CC2">
      <w:pPr>
        <w:pStyle w:val="3-BodyText"/>
        <w:ind w:left="720"/>
      </w:pPr>
      <w:r>
        <w:rPr>
          <w:snapToGrid/>
          <w:lang w:val="en-US"/>
        </w:rPr>
        <w:t xml:space="preserve">Details of the </w:t>
      </w:r>
      <w:r w:rsidR="00086EFF">
        <w:rPr>
          <w:snapToGrid/>
          <w:lang w:val="en-US"/>
        </w:rPr>
        <w:t>trials</w:t>
      </w:r>
      <w:r>
        <w:rPr>
          <w:snapToGrid/>
          <w:lang w:val="en-US"/>
        </w:rPr>
        <w:t xml:space="preserve"> presented in the submission are provided </w:t>
      </w:r>
      <w:r w:rsidRPr="004952AD">
        <w:t xml:space="preserve">in </w:t>
      </w:r>
      <w:r w:rsidR="002A0BA9" w:rsidRPr="002A0BA9">
        <w:t>Table 2</w:t>
      </w:r>
      <w:r w:rsidR="00A4122B">
        <w:t>.</w:t>
      </w:r>
      <w:r w:rsidR="004952AD">
        <w:rPr>
          <w:snapToGrid/>
          <w:lang w:val="en-US"/>
        </w:rPr>
        <w:t xml:space="preserve"> </w:t>
      </w:r>
    </w:p>
    <w:p w14:paraId="5F87582B" w14:textId="77777777" w:rsidR="00086EFF" w:rsidRPr="00086EFF" w:rsidRDefault="004952AD" w:rsidP="00086EFF">
      <w:pPr>
        <w:pStyle w:val="TableFigureHeading"/>
      </w:pPr>
      <w:bookmarkStart w:id="13" w:name="_Ref69243835"/>
      <w:r w:rsidRPr="004A6040">
        <w:rPr>
          <w:rStyle w:val="CommentReference"/>
          <w:b/>
          <w:szCs w:val="24"/>
        </w:rPr>
        <w:t xml:space="preserve">Table </w:t>
      </w:r>
      <w:r w:rsidR="002A0BA9">
        <w:rPr>
          <w:rStyle w:val="CommentReference"/>
          <w:b/>
          <w:noProof/>
          <w:szCs w:val="24"/>
        </w:rPr>
        <w:t>2</w:t>
      </w:r>
      <w:bookmarkEnd w:id="13"/>
      <w:r>
        <w:rPr>
          <w:rStyle w:val="CommentReference"/>
          <w:b/>
          <w:szCs w:val="24"/>
        </w:rPr>
        <w:t>:</w:t>
      </w:r>
      <w:r w:rsidRPr="004A6040">
        <w:rPr>
          <w:rStyle w:val="CommentReference"/>
          <w:b/>
          <w:szCs w:val="24"/>
        </w:rPr>
        <w:t xml:space="preserve"> </w:t>
      </w:r>
      <w:r w:rsidR="008E0D3C" w:rsidRPr="002E4F02">
        <w:rPr>
          <w:rStyle w:val="CommentReference"/>
          <w:b/>
          <w:szCs w:val="24"/>
        </w:rPr>
        <w:t>Trials and associated reports presented in the submission</w:t>
      </w:r>
    </w:p>
    <w:tbl>
      <w:tblPr>
        <w:tblStyle w:val="TableGrid"/>
        <w:tblW w:w="5000" w:type="pct"/>
        <w:tblLook w:val="01E0" w:firstRow="1" w:lastRow="1" w:firstColumn="1" w:lastColumn="1" w:noHBand="0" w:noVBand="0"/>
        <w:tblCaption w:val="Table 2: Trials and associated reports presented in the submission"/>
      </w:tblPr>
      <w:tblGrid>
        <w:gridCol w:w="1435"/>
        <w:gridCol w:w="5459"/>
        <w:gridCol w:w="2123"/>
      </w:tblGrid>
      <w:tr w:rsidR="00086EFF" w:rsidRPr="00B41614" w14:paraId="39B956D3" w14:textId="77777777" w:rsidTr="00224556">
        <w:trPr>
          <w:tblHeader/>
        </w:trPr>
        <w:tc>
          <w:tcPr>
            <w:tcW w:w="796" w:type="pct"/>
          </w:tcPr>
          <w:p w14:paraId="664E4136" w14:textId="77777777" w:rsidR="00086EFF" w:rsidRPr="00B41614" w:rsidRDefault="00086EFF" w:rsidP="00A45D9B">
            <w:pPr>
              <w:pStyle w:val="Tabletext"/>
              <w:keepNext/>
              <w:keepLines/>
              <w:rPr>
                <w:b/>
              </w:rPr>
            </w:pPr>
            <w:r w:rsidRPr="00B41614">
              <w:rPr>
                <w:b/>
              </w:rPr>
              <w:t>Trial ID</w:t>
            </w:r>
          </w:p>
        </w:tc>
        <w:tc>
          <w:tcPr>
            <w:tcW w:w="3027" w:type="pct"/>
          </w:tcPr>
          <w:p w14:paraId="63289B6B" w14:textId="77777777" w:rsidR="00086EFF" w:rsidRPr="00B41614" w:rsidRDefault="00086EFF" w:rsidP="00A45D9B">
            <w:pPr>
              <w:pStyle w:val="Tabletext"/>
              <w:keepNext/>
              <w:keepLines/>
              <w:jc w:val="center"/>
              <w:rPr>
                <w:b/>
              </w:rPr>
            </w:pPr>
            <w:r w:rsidRPr="00B41614">
              <w:rPr>
                <w:b/>
              </w:rPr>
              <w:t>Protocol title/ Publication title</w:t>
            </w:r>
          </w:p>
        </w:tc>
        <w:tc>
          <w:tcPr>
            <w:tcW w:w="1177" w:type="pct"/>
          </w:tcPr>
          <w:p w14:paraId="27DF39CE" w14:textId="77777777" w:rsidR="00086EFF" w:rsidRPr="00B41614" w:rsidRDefault="00086EFF" w:rsidP="00A45D9B">
            <w:pPr>
              <w:pStyle w:val="Tabletext"/>
              <w:keepNext/>
              <w:keepLines/>
              <w:jc w:val="center"/>
              <w:rPr>
                <w:b/>
              </w:rPr>
            </w:pPr>
            <w:r w:rsidRPr="00B41614">
              <w:rPr>
                <w:b/>
              </w:rPr>
              <w:t>Publication citation</w:t>
            </w:r>
          </w:p>
        </w:tc>
      </w:tr>
      <w:tr w:rsidR="00086EFF" w:rsidRPr="00CB38A8" w14:paraId="3151D3B4" w14:textId="77777777" w:rsidTr="00060E5C">
        <w:tc>
          <w:tcPr>
            <w:tcW w:w="796" w:type="pct"/>
            <w:tcBorders>
              <w:bottom w:val="nil"/>
            </w:tcBorders>
          </w:tcPr>
          <w:p w14:paraId="16449EF7" w14:textId="77777777" w:rsidR="00086EFF" w:rsidRDefault="00086EFF" w:rsidP="00A45D9B">
            <w:pPr>
              <w:pStyle w:val="Tabletext"/>
              <w:keepNext/>
              <w:keepLines/>
            </w:pPr>
            <w:proofErr w:type="spellStart"/>
            <w:r>
              <w:t>CheckMate</w:t>
            </w:r>
            <w:proofErr w:type="spellEnd"/>
            <w:r>
              <w:t xml:space="preserve"> 649 (CM649)</w:t>
            </w:r>
          </w:p>
          <w:p w14:paraId="61933A0D" w14:textId="77777777" w:rsidR="00086EFF" w:rsidRPr="00CB38A8" w:rsidRDefault="00086EFF" w:rsidP="00A45D9B">
            <w:pPr>
              <w:pStyle w:val="Tabletext"/>
              <w:keepNext/>
              <w:keepLines/>
            </w:pPr>
            <w:r>
              <w:t>NCT02872116</w:t>
            </w:r>
          </w:p>
        </w:tc>
        <w:tc>
          <w:tcPr>
            <w:tcW w:w="3027" w:type="pct"/>
            <w:tcBorders>
              <w:bottom w:val="nil"/>
            </w:tcBorders>
          </w:tcPr>
          <w:p w14:paraId="6826FA22" w14:textId="77777777" w:rsidR="00086EFF" w:rsidRPr="00481427" w:rsidRDefault="00086EFF" w:rsidP="00A45D9B">
            <w:pPr>
              <w:pStyle w:val="TableText0"/>
              <w:keepLines/>
              <w:rPr>
                <w:bCs w:val="0"/>
              </w:rPr>
            </w:pPr>
            <w:r w:rsidRPr="0016493D">
              <w:t xml:space="preserve">Clinical study report - A </w:t>
            </w:r>
            <w:r>
              <w:t xml:space="preserve">Randomized, </w:t>
            </w:r>
            <w:proofErr w:type="spellStart"/>
            <w:r>
              <w:t>Multicenter</w:t>
            </w:r>
            <w:proofErr w:type="spellEnd"/>
            <w:r>
              <w:t xml:space="preserve">, Open-Label, Phase 3 Study of Nivolumab plus Ipilimumab or Nivolumab in Combination with </w:t>
            </w:r>
            <w:proofErr w:type="spellStart"/>
            <w:r>
              <w:t>Oxaliplatin</w:t>
            </w:r>
            <w:proofErr w:type="spellEnd"/>
            <w:r>
              <w:t xml:space="preserve"> plus Fluoropyrimidine versus </w:t>
            </w:r>
            <w:proofErr w:type="spellStart"/>
            <w:r>
              <w:t>Oxaliplatin</w:t>
            </w:r>
            <w:proofErr w:type="spellEnd"/>
            <w:r>
              <w:t xml:space="preserve"> plus Fluoropyrimidine in Subjects with Previously Untreated Advanced or Metastatic Gastric or Gastroesophageal Junction Cancer</w:t>
            </w:r>
          </w:p>
        </w:tc>
        <w:tc>
          <w:tcPr>
            <w:tcW w:w="1177" w:type="pct"/>
            <w:tcBorders>
              <w:bottom w:val="nil"/>
            </w:tcBorders>
          </w:tcPr>
          <w:p w14:paraId="3A56DC65" w14:textId="77777777" w:rsidR="00086EFF" w:rsidRPr="00E34A35" w:rsidRDefault="00086EFF" w:rsidP="00A45D9B">
            <w:pPr>
              <w:pStyle w:val="Tabletext"/>
              <w:keepNext/>
              <w:keepLines/>
              <w:rPr>
                <w:szCs w:val="18"/>
              </w:rPr>
            </w:pPr>
            <w:r>
              <w:rPr>
                <w:szCs w:val="18"/>
              </w:rPr>
              <w:t>2020</w:t>
            </w:r>
          </w:p>
        </w:tc>
      </w:tr>
      <w:tr w:rsidR="00086EFF" w:rsidRPr="00CB38A8" w14:paraId="3B17FD4C" w14:textId="77777777" w:rsidTr="00060E5C">
        <w:tc>
          <w:tcPr>
            <w:tcW w:w="796" w:type="pct"/>
            <w:tcBorders>
              <w:top w:val="nil"/>
              <w:bottom w:val="nil"/>
            </w:tcBorders>
          </w:tcPr>
          <w:p w14:paraId="2B335F08" w14:textId="77777777" w:rsidR="00086EFF" w:rsidRDefault="00086EFF" w:rsidP="00A45D9B">
            <w:pPr>
              <w:pStyle w:val="Tabletext"/>
              <w:keepNext/>
              <w:keepLines/>
            </w:pPr>
          </w:p>
        </w:tc>
        <w:tc>
          <w:tcPr>
            <w:tcW w:w="3027" w:type="pct"/>
            <w:tcBorders>
              <w:top w:val="nil"/>
              <w:bottom w:val="nil"/>
            </w:tcBorders>
          </w:tcPr>
          <w:p w14:paraId="6CD18A0C" w14:textId="77777777" w:rsidR="00086EFF" w:rsidRPr="00481427" w:rsidRDefault="00086EFF" w:rsidP="00A45D9B">
            <w:pPr>
              <w:pStyle w:val="TableText0"/>
              <w:keepLines/>
              <w:rPr>
                <w:rFonts w:cs="Arial"/>
                <w:bCs w:val="0"/>
                <w:color w:val="222222"/>
                <w:szCs w:val="21"/>
              </w:rPr>
            </w:pPr>
            <w:proofErr w:type="spellStart"/>
            <w:r w:rsidRPr="00FF2FEA">
              <w:t>Janjigian</w:t>
            </w:r>
            <w:proofErr w:type="spellEnd"/>
            <w:r w:rsidRPr="00FF2FEA">
              <w:t xml:space="preserve">, Y. Y., et al. Checkmate 649: A randomized, </w:t>
            </w:r>
            <w:proofErr w:type="spellStart"/>
            <w:r w:rsidRPr="00FF2FEA">
              <w:t>multicenter</w:t>
            </w:r>
            <w:proofErr w:type="spellEnd"/>
            <w:r w:rsidRPr="00FF2FEA">
              <w:t>, open-label, phase 3 study of nivolumab (</w:t>
            </w:r>
            <w:proofErr w:type="spellStart"/>
            <w:r w:rsidRPr="00FF2FEA">
              <w:t>Nivo</w:t>
            </w:r>
            <w:proofErr w:type="spellEnd"/>
            <w:r w:rsidRPr="00FF2FEA">
              <w:t>) plus ipilimumab (</w:t>
            </w:r>
            <w:proofErr w:type="spellStart"/>
            <w:r w:rsidRPr="00FF2FEA">
              <w:t>Ipi</w:t>
            </w:r>
            <w:proofErr w:type="spellEnd"/>
            <w:r w:rsidRPr="00FF2FEA">
              <w:t xml:space="preserve">) versus </w:t>
            </w:r>
            <w:proofErr w:type="spellStart"/>
            <w:r w:rsidRPr="00FF2FEA">
              <w:t>oxaliplatin</w:t>
            </w:r>
            <w:proofErr w:type="spellEnd"/>
            <w:r w:rsidRPr="00FF2FEA">
              <w:t xml:space="preserve"> plus fluoropyrimidine in patients (Pts) with previously untreated advanced or metastatic gastric (G) or gastroesophageal junction (GEJ) cancer.</w:t>
            </w:r>
          </w:p>
        </w:tc>
        <w:tc>
          <w:tcPr>
            <w:tcW w:w="1177" w:type="pct"/>
            <w:tcBorders>
              <w:top w:val="nil"/>
              <w:bottom w:val="nil"/>
            </w:tcBorders>
          </w:tcPr>
          <w:p w14:paraId="3DA9EDE3" w14:textId="77777777" w:rsidR="00086EFF" w:rsidRPr="00E34A35" w:rsidRDefault="00086EFF" w:rsidP="00A45D9B">
            <w:pPr>
              <w:pStyle w:val="Tabletext"/>
              <w:keepNext/>
              <w:keepLines/>
              <w:rPr>
                <w:szCs w:val="18"/>
              </w:rPr>
            </w:pPr>
            <w:r w:rsidRPr="00FF2FEA">
              <w:rPr>
                <w:rFonts w:eastAsiaTheme="minorHAnsi"/>
              </w:rPr>
              <w:t>Journal of Clinical Oncology</w:t>
            </w:r>
            <w:r>
              <w:rPr>
                <w:rFonts w:eastAsiaTheme="minorHAnsi"/>
              </w:rPr>
              <w:t xml:space="preserve"> </w:t>
            </w:r>
            <w:r w:rsidRPr="00FF2FEA">
              <w:t>(2017)</w:t>
            </w:r>
            <w:r w:rsidRPr="00FF2FEA">
              <w:rPr>
                <w:rFonts w:eastAsiaTheme="minorHAnsi"/>
              </w:rPr>
              <w:t>. Conference 35(4 Supplement 1).</w:t>
            </w:r>
          </w:p>
        </w:tc>
      </w:tr>
      <w:tr w:rsidR="00086EFF" w:rsidRPr="00CB38A8" w14:paraId="7668E4E5" w14:textId="77777777" w:rsidTr="00060E5C">
        <w:tc>
          <w:tcPr>
            <w:tcW w:w="796" w:type="pct"/>
            <w:tcBorders>
              <w:top w:val="nil"/>
              <w:bottom w:val="nil"/>
            </w:tcBorders>
          </w:tcPr>
          <w:p w14:paraId="225D32AA" w14:textId="77777777" w:rsidR="00086EFF" w:rsidRDefault="00086EFF" w:rsidP="00A45D9B">
            <w:pPr>
              <w:pStyle w:val="Tabletext"/>
              <w:keepNext/>
              <w:keepLines/>
            </w:pPr>
          </w:p>
        </w:tc>
        <w:tc>
          <w:tcPr>
            <w:tcW w:w="3027" w:type="pct"/>
            <w:tcBorders>
              <w:top w:val="nil"/>
              <w:bottom w:val="nil"/>
            </w:tcBorders>
          </w:tcPr>
          <w:p w14:paraId="6C6D665E" w14:textId="77777777" w:rsidR="00086EFF" w:rsidRPr="00481427" w:rsidRDefault="00086EFF" w:rsidP="00A45D9B">
            <w:pPr>
              <w:pStyle w:val="TableText0"/>
              <w:keepLines/>
              <w:rPr>
                <w:rFonts w:cs="Arial"/>
                <w:bCs w:val="0"/>
                <w:color w:val="222222"/>
                <w:szCs w:val="21"/>
              </w:rPr>
            </w:pPr>
            <w:proofErr w:type="spellStart"/>
            <w:r w:rsidRPr="00FF2FEA">
              <w:t>Moehler</w:t>
            </w:r>
            <w:proofErr w:type="spellEnd"/>
            <w:r w:rsidRPr="00FF2FEA">
              <w:t>, M., et al. Nivolumab (</w:t>
            </w:r>
            <w:proofErr w:type="spellStart"/>
            <w:r w:rsidRPr="00FF2FEA">
              <w:t>nivo</w:t>
            </w:r>
            <w:proofErr w:type="spellEnd"/>
            <w:r w:rsidRPr="00FF2FEA">
              <w:t>) plus chemotherapy (chemo) versus chemo as first</w:t>
            </w:r>
            <w:r>
              <w:t>-line</w:t>
            </w:r>
            <w:r w:rsidRPr="00FF2FEA">
              <w:t xml:space="preserve"> (1L) treatment for advanced gastric cancer/gastroesophageal junction cancer (GC/GEJC)/</w:t>
            </w:r>
            <w:proofErr w:type="spellStart"/>
            <w:r w:rsidRPr="00FF2FEA">
              <w:t>esophageal</w:t>
            </w:r>
            <w:proofErr w:type="spellEnd"/>
            <w:r w:rsidRPr="00FF2FEA">
              <w:t xml:space="preserve"> adenocarcinoma (EAC): First results of the </w:t>
            </w:r>
            <w:proofErr w:type="spellStart"/>
            <w:r w:rsidRPr="00FF2FEA">
              <w:t>CheckMate</w:t>
            </w:r>
            <w:proofErr w:type="spellEnd"/>
            <w:r w:rsidRPr="00FF2FEA">
              <w:t xml:space="preserve"> 649 study.</w:t>
            </w:r>
          </w:p>
        </w:tc>
        <w:tc>
          <w:tcPr>
            <w:tcW w:w="1177" w:type="pct"/>
            <w:tcBorders>
              <w:top w:val="nil"/>
              <w:bottom w:val="nil"/>
            </w:tcBorders>
          </w:tcPr>
          <w:p w14:paraId="3BFD1058" w14:textId="45A0EDB1" w:rsidR="00086EFF" w:rsidRPr="00E34A35" w:rsidRDefault="00086EFF" w:rsidP="00A45D9B">
            <w:pPr>
              <w:pStyle w:val="Tabletext"/>
              <w:keepNext/>
              <w:keepLines/>
              <w:rPr>
                <w:szCs w:val="18"/>
              </w:rPr>
            </w:pPr>
            <w:r w:rsidRPr="00FF2FEA">
              <w:rPr>
                <w:rFonts w:eastAsiaTheme="minorHAnsi"/>
              </w:rPr>
              <w:t>Annals of Oncology</w:t>
            </w:r>
            <w:r>
              <w:rPr>
                <w:rFonts w:eastAsiaTheme="minorHAnsi"/>
              </w:rPr>
              <w:t xml:space="preserve"> </w:t>
            </w:r>
            <w:r w:rsidRPr="00FF2FEA">
              <w:t xml:space="preserve">(2020). </w:t>
            </w:r>
            <w:r w:rsidRPr="00FF2FEA">
              <w:rPr>
                <w:rFonts w:eastAsiaTheme="minorHAnsi"/>
              </w:rPr>
              <w:t>31 (Supplement 4): S1191.</w:t>
            </w:r>
          </w:p>
        </w:tc>
      </w:tr>
      <w:tr w:rsidR="00086EFF" w:rsidRPr="00CB38A8" w14:paraId="3679C016" w14:textId="77777777" w:rsidTr="00060E5C">
        <w:tc>
          <w:tcPr>
            <w:tcW w:w="796" w:type="pct"/>
            <w:tcBorders>
              <w:top w:val="nil"/>
              <w:bottom w:val="nil"/>
            </w:tcBorders>
          </w:tcPr>
          <w:p w14:paraId="312218BB" w14:textId="77777777" w:rsidR="00086EFF" w:rsidRDefault="00086EFF" w:rsidP="00A45D9B">
            <w:pPr>
              <w:pStyle w:val="Tabletext"/>
              <w:keepNext/>
              <w:keepLines/>
            </w:pPr>
          </w:p>
        </w:tc>
        <w:tc>
          <w:tcPr>
            <w:tcW w:w="3027" w:type="pct"/>
            <w:tcBorders>
              <w:top w:val="nil"/>
              <w:bottom w:val="nil"/>
            </w:tcBorders>
          </w:tcPr>
          <w:p w14:paraId="041B9B60" w14:textId="77777777" w:rsidR="00086EFF" w:rsidRPr="00481427" w:rsidRDefault="00086EFF" w:rsidP="00A45D9B">
            <w:pPr>
              <w:pStyle w:val="TableText0"/>
              <w:keepLines/>
              <w:rPr>
                <w:rFonts w:cs="Arial"/>
                <w:bCs w:val="0"/>
                <w:color w:val="222222"/>
                <w:szCs w:val="21"/>
              </w:rPr>
            </w:pPr>
            <w:proofErr w:type="spellStart"/>
            <w:r w:rsidRPr="00FF2FEA">
              <w:t>Moehler</w:t>
            </w:r>
            <w:proofErr w:type="spellEnd"/>
            <w:r w:rsidRPr="00FF2FEA">
              <w:t xml:space="preserve">, M. H., et al. </w:t>
            </w:r>
            <w:proofErr w:type="spellStart"/>
            <w:r w:rsidRPr="00FF2FEA">
              <w:t>CheckMate</w:t>
            </w:r>
            <w:proofErr w:type="spellEnd"/>
            <w:r w:rsidRPr="00FF2FEA">
              <w:t xml:space="preserve"> 649: A randomized, </w:t>
            </w:r>
            <w:proofErr w:type="spellStart"/>
            <w:r w:rsidRPr="00FF2FEA">
              <w:t>multicenter</w:t>
            </w:r>
            <w:proofErr w:type="spellEnd"/>
            <w:r w:rsidRPr="00FF2FEA">
              <w:t xml:space="preserve"> open-label, phase III study of nivolumab (NIVO) + ipilimumab (IPI) or </w:t>
            </w:r>
            <w:proofErr w:type="spellStart"/>
            <w:r w:rsidRPr="00FF2FEA">
              <w:t>nivo</w:t>
            </w:r>
            <w:proofErr w:type="spellEnd"/>
            <w:r w:rsidRPr="00FF2FEA">
              <w:t xml:space="preserve"> + chemotherapy (CTX) versus CTX alone in patients with previously untreated advanced (</w:t>
            </w:r>
            <w:proofErr w:type="spellStart"/>
            <w:r w:rsidRPr="00FF2FEA">
              <w:t>Adv</w:t>
            </w:r>
            <w:proofErr w:type="spellEnd"/>
            <w:r w:rsidRPr="00FF2FEA">
              <w:t>) gastric (G) or gastroesophageal junction (GEJ) cancer.</w:t>
            </w:r>
          </w:p>
        </w:tc>
        <w:tc>
          <w:tcPr>
            <w:tcW w:w="1177" w:type="pct"/>
            <w:tcBorders>
              <w:top w:val="nil"/>
              <w:bottom w:val="nil"/>
            </w:tcBorders>
          </w:tcPr>
          <w:p w14:paraId="32245265" w14:textId="77777777" w:rsidR="00086EFF" w:rsidRPr="00E34A35" w:rsidRDefault="00086EFF" w:rsidP="00A45D9B">
            <w:pPr>
              <w:pStyle w:val="Tabletext"/>
              <w:keepNext/>
              <w:keepLines/>
              <w:rPr>
                <w:szCs w:val="18"/>
              </w:rPr>
            </w:pPr>
            <w:r w:rsidRPr="00FF2FEA">
              <w:rPr>
                <w:rFonts w:eastAsiaTheme="minorHAnsi"/>
              </w:rPr>
              <w:t>Journal of Clinical Oncology</w:t>
            </w:r>
            <w:r>
              <w:rPr>
                <w:rFonts w:eastAsiaTheme="minorHAnsi"/>
              </w:rPr>
              <w:t xml:space="preserve"> (</w:t>
            </w:r>
            <w:r w:rsidRPr="00FF2FEA">
              <w:t>2018).</w:t>
            </w:r>
            <w:r>
              <w:t xml:space="preserve"> </w:t>
            </w:r>
            <w:r w:rsidRPr="00FF2FEA">
              <w:rPr>
                <w:rFonts w:eastAsiaTheme="minorHAnsi"/>
              </w:rPr>
              <w:t>Conference 36(4 Supplement 1).</w:t>
            </w:r>
          </w:p>
        </w:tc>
      </w:tr>
      <w:tr w:rsidR="00086EFF" w:rsidRPr="00CB38A8" w14:paraId="339AA1DE" w14:textId="77777777" w:rsidTr="00060E5C">
        <w:tc>
          <w:tcPr>
            <w:tcW w:w="796" w:type="pct"/>
            <w:tcBorders>
              <w:top w:val="nil"/>
            </w:tcBorders>
          </w:tcPr>
          <w:p w14:paraId="77CAEC32" w14:textId="77777777" w:rsidR="00086EFF" w:rsidRDefault="00086EFF" w:rsidP="00A45D9B">
            <w:pPr>
              <w:pStyle w:val="Tabletext"/>
              <w:keepNext/>
              <w:keepLines/>
            </w:pPr>
          </w:p>
        </w:tc>
        <w:tc>
          <w:tcPr>
            <w:tcW w:w="3027" w:type="pct"/>
            <w:tcBorders>
              <w:top w:val="nil"/>
            </w:tcBorders>
          </w:tcPr>
          <w:p w14:paraId="3ED4430F" w14:textId="77777777" w:rsidR="00086EFF" w:rsidRPr="00481427" w:rsidRDefault="00086EFF" w:rsidP="00A45D9B">
            <w:pPr>
              <w:pStyle w:val="TableText0"/>
              <w:keepLines/>
              <w:rPr>
                <w:rFonts w:cs="Arial"/>
                <w:bCs w:val="0"/>
                <w:color w:val="222222"/>
                <w:szCs w:val="21"/>
              </w:rPr>
            </w:pPr>
            <w:proofErr w:type="spellStart"/>
            <w:r w:rsidRPr="00FF2FEA">
              <w:t>Moehler</w:t>
            </w:r>
            <w:proofErr w:type="spellEnd"/>
            <w:r w:rsidRPr="00FF2FEA">
              <w:t xml:space="preserve">, M. H., et al. </w:t>
            </w:r>
            <w:proofErr w:type="spellStart"/>
            <w:r w:rsidRPr="00FF2FEA">
              <w:t>CheckMate</w:t>
            </w:r>
            <w:proofErr w:type="spellEnd"/>
            <w:r w:rsidRPr="00FF2FEA">
              <w:t xml:space="preserve"> 649: A randomized, </w:t>
            </w:r>
            <w:proofErr w:type="spellStart"/>
            <w:r w:rsidRPr="00FF2FEA">
              <w:t>multicenter</w:t>
            </w:r>
            <w:proofErr w:type="spellEnd"/>
            <w:r w:rsidRPr="00FF2FEA">
              <w:t>, open-label, phase 3 study of nivolumab (</w:t>
            </w:r>
            <w:proofErr w:type="spellStart"/>
            <w:r w:rsidRPr="00FF2FEA">
              <w:t>nivo</w:t>
            </w:r>
            <w:proofErr w:type="spellEnd"/>
            <w:r w:rsidRPr="00FF2FEA">
              <w:t>) + ipilimumab (</w:t>
            </w:r>
            <w:proofErr w:type="spellStart"/>
            <w:r w:rsidRPr="00FF2FEA">
              <w:t>ipi</w:t>
            </w:r>
            <w:proofErr w:type="spellEnd"/>
            <w:r w:rsidRPr="00FF2FEA">
              <w:t xml:space="preserve">) or </w:t>
            </w:r>
            <w:proofErr w:type="spellStart"/>
            <w:r w:rsidRPr="00FF2FEA">
              <w:t>nivo</w:t>
            </w:r>
            <w:proofErr w:type="spellEnd"/>
            <w:r w:rsidRPr="00FF2FEA">
              <w:t xml:space="preserve"> + chemotherapy (CTX) vs CTX alone in pts with previously untreated advanced (</w:t>
            </w:r>
            <w:proofErr w:type="spellStart"/>
            <w:r w:rsidRPr="00FF2FEA">
              <w:t>adv</w:t>
            </w:r>
            <w:proofErr w:type="spellEnd"/>
            <w:r w:rsidRPr="00FF2FEA">
              <w:t xml:space="preserve">) gastric (G) or gastroesophageal junction (GEJ) cancer. </w:t>
            </w:r>
          </w:p>
        </w:tc>
        <w:tc>
          <w:tcPr>
            <w:tcW w:w="1177" w:type="pct"/>
            <w:tcBorders>
              <w:top w:val="nil"/>
            </w:tcBorders>
          </w:tcPr>
          <w:p w14:paraId="701D6AE4" w14:textId="77777777" w:rsidR="00086EFF" w:rsidRPr="00E34A35" w:rsidRDefault="00086EFF" w:rsidP="00A45D9B">
            <w:pPr>
              <w:pStyle w:val="Tabletext"/>
              <w:keepNext/>
              <w:keepLines/>
              <w:rPr>
                <w:szCs w:val="18"/>
              </w:rPr>
            </w:pPr>
            <w:r w:rsidRPr="00FF2FEA">
              <w:rPr>
                <w:rFonts w:eastAsiaTheme="minorHAnsi"/>
              </w:rPr>
              <w:t>Journal of Clinical Oncology</w:t>
            </w:r>
            <w:r>
              <w:rPr>
                <w:rFonts w:eastAsiaTheme="minorHAnsi"/>
              </w:rPr>
              <w:t xml:space="preserve"> </w:t>
            </w:r>
            <w:r w:rsidRPr="00FF2FEA">
              <w:t>(2017)</w:t>
            </w:r>
            <w:r w:rsidRPr="00FF2FEA">
              <w:rPr>
                <w:rFonts w:eastAsiaTheme="minorHAnsi"/>
              </w:rPr>
              <w:t>. Conference 35(15 Supplement 1).</w:t>
            </w:r>
          </w:p>
        </w:tc>
      </w:tr>
    </w:tbl>
    <w:p w14:paraId="1E076E31" w14:textId="5EFA6CDF" w:rsidR="00086EFF" w:rsidRPr="002D65F4" w:rsidRDefault="00086EFF" w:rsidP="002D65F4">
      <w:pPr>
        <w:pStyle w:val="TableFooter"/>
        <w:keepNext/>
        <w:keepLines/>
        <w:spacing w:after="120"/>
        <w:rPr>
          <w:sz w:val="20"/>
        </w:rPr>
      </w:pPr>
      <w:r>
        <w:t>Source: Table 14, pp33-34 of the submission.</w:t>
      </w:r>
    </w:p>
    <w:p w14:paraId="1E1B0254" w14:textId="77777777" w:rsidR="00611CF8" w:rsidRPr="00311DF9" w:rsidRDefault="00086EFF" w:rsidP="00652CC2">
      <w:pPr>
        <w:pStyle w:val="3-BodyText"/>
        <w:ind w:left="720"/>
        <w:rPr>
          <w:rFonts w:ascii="Arial Narrow" w:hAnsi="Arial Narrow"/>
          <w:b/>
          <w:sz w:val="20"/>
        </w:rPr>
      </w:pPr>
      <w:r w:rsidRPr="00311DF9">
        <w:t>The submission excluded one trial, ATTRACTION-4</w:t>
      </w:r>
      <w:r w:rsidR="00E04BD4" w:rsidRPr="00311DF9">
        <w:t xml:space="preserve"> (N=724)</w:t>
      </w:r>
      <w:r w:rsidRPr="00311DF9">
        <w:t xml:space="preserve"> for</w:t>
      </w:r>
      <w:r w:rsidR="00FB0A0C" w:rsidRPr="00311DF9">
        <w:t xml:space="preserve"> the following</w:t>
      </w:r>
      <w:r w:rsidRPr="00311DF9">
        <w:t xml:space="preserve"> applicability reasons</w:t>
      </w:r>
      <w:r w:rsidR="00FB0A0C" w:rsidRPr="00311DF9">
        <w:t>:</w:t>
      </w:r>
    </w:p>
    <w:p w14:paraId="0D3510A8" w14:textId="77777777" w:rsidR="00611CF8" w:rsidRPr="00311DF9" w:rsidRDefault="00611CF8" w:rsidP="00FB0A0C">
      <w:pPr>
        <w:pStyle w:val="ListParagraph"/>
        <w:widowControl w:val="0"/>
        <w:numPr>
          <w:ilvl w:val="0"/>
          <w:numId w:val="7"/>
        </w:numPr>
        <w:spacing w:after="160"/>
        <w:ind w:left="993" w:hanging="284"/>
      </w:pPr>
      <w:r w:rsidRPr="00311DF9">
        <w:t xml:space="preserve">The trial was conducted in Asian patients (from Japan, South Korea and Taiwan) with HER2 negative, </w:t>
      </w:r>
      <w:proofErr w:type="spellStart"/>
      <w:r w:rsidRPr="00311DF9">
        <w:t>unresectable</w:t>
      </w:r>
      <w:proofErr w:type="spellEnd"/>
      <w:r w:rsidRPr="00311DF9">
        <w:t xml:space="preserve"> advanced or recurrent GC and GOJC</w:t>
      </w:r>
      <w:r w:rsidR="001D7F21">
        <w:t>;</w:t>
      </w:r>
      <w:r w:rsidRPr="00311DF9">
        <w:t xml:space="preserve"> </w:t>
      </w:r>
    </w:p>
    <w:p w14:paraId="47CCC317" w14:textId="77777777" w:rsidR="00B41C68" w:rsidRPr="00311DF9" w:rsidRDefault="00B41C68" w:rsidP="00B41C68">
      <w:pPr>
        <w:pStyle w:val="ListParagraph"/>
        <w:widowControl w:val="0"/>
        <w:numPr>
          <w:ilvl w:val="0"/>
          <w:numId w:val="7"/>
        </w:numPr>
        <w:spacing w:after="160"/>
        <w:ind w:left="993" w:hanging="284"/>
      </w:pPr>
      <w:r w:rsidRPr="00311DF9">
        <w:t xml:space="preserve">The </w:t>
      </w:r>
      <w:r w:rsidR="007A077B" w:rsidRPr="00311DF9">
        <w:t xml:space="preserve">ATTRACTION-4 </w:t>
      </w:r>
      <w:r w:rsidRPr="00311DF9">
        <w:t xml:space="preserve">trial </w:t>
      </w:r>
      <w:r w:rsidR="00A4122B" w:rsidRPr="00311DF9">
        <w:t xml:space="preserve">did </w:t>
      </w:r>
      <w:r w:rsidRPr="00311DF9">
        <w:t xml:space="preserve">not include patients with OAC </w:t>
      </w:r>
      <w:r w:rsidR="00A4122B" w:rsidRPr="00311DF9">
        <w:t xml:space="preserve">(these </w:t>
      </w:r>
      <w:r w:rsidRPr="00311DF9">
        <w:t>are included in the proposed PBS indication</w:t>
      </w:r>
      <w:r w:rsidR="00A4122B" w:rsidRPr="00311DF9">
        <w:t>)</w:t>
      </w:r>
      <w:r w:rsidRPr="00311DF9">
        <w:t xml:space="preserve">; </w:t>
      </w:r>
    </w:p>
    <w:p w14:paraId="15651CD4" w14:textId="77777777" w:rsidR="00611CF8" w:rsidRPr="00311DF9" w:rsidRDefault="00611CF8" w:rsidP="00FB0A0C">
      <w:pPr>
        <w:pStyle w:val="ListParagraph"/>
        <w:widowControl w:val="0"/>
        <w:numPr>
          <w:ilvl w:val="0"/>
          <w:numId w:val="7"/>
        </w:numPr>
        <w:spacing w:after="160"/>
        <w:ind w:left="993" w:hanging="284"/>
      </w:pPr>
      <w:r w:rsidRPr="00311DF9">
        <w:t xml:space="preserve">Most patients in the intervention and control arm (64.1%) in ATTRACTION-4 received SOX (S-1 + </w:t>
      </w:r>
      <w:proofErr w:type="spellStart"/>
      <w:r w:rsidRPr="00311DF9">
        <w:t>oxaliplatin</w:t>
      </w:r>
      <w:proofErr w:type="spellEnd"/>
      <w:r w:rsidRPr="00311DF9">
        <w:t xml:space="preserve">) as the </w:t>
      </w:r>
      <w:r w:rsidR="00E864E8" w:rsidRPr="00311DF9">
        <w:t xml:space="preserve">fluoropyrimidine plus platinum-based </w:t>
      </w:r>
      <w:r w:rsidRPr="00311DF9">
        <w:t xml:space="preserve">chemotherapy backbone in ATTRACTION-4 which is not standard of care in Australia; and </w:t>
      </w:r>
    </w:p>
    <w:p w14:paraId="630FB1D4" w14:textId="77777777" w:rsidR="00086EFF" w:rsidRPr="00311DF9" w:rsidRDefault="00611CF8" w:rsidP="00FB0A0C">
      <w:pPr>
        <w:pStyle w:val="ListParagraph"/>
        <w:widowControl w:val="0"/>
        <w:numPr>
          <w:ilvl w:val="0"/>
          <w:numId w:val="7"/>
        </w:numPr>
        <w:spacing w:after="160"/>
        <w:ind w:left="993" w:hanging="284"/>
      </w:pPr>
      <w:r w:rsidRPr="00311DF9">
        <w:t xml:space="preserve">A higher proportion of patients in ATTRACTION-4 (5.8% and 13%) compared to </w:t>
      </w:r>
      <w:proofErr w:type="spellStart"/>
      <w:r w:rsidRPr="00311DF9">
        <w:t>CheckMate</w:t>
      </w:r>
      <w:proofErr w:type="spellEnd"/>
      <w:r w:rsidRPr="00311DF9">
        <w:t xml:space="preserve"> 649 (0.8% and 4.0%) received subsequent (second line) immunotherapy in both the intervention and comparator arm, respectively. Second line immunotherapy is not standard of care in current Australian practice. </w:t>
      </w:r>
    </w:p>
    <w:p w14:paraId="6C25F06C" w14:textId="77777777" w:rsidR="00611CF8" w:rsidRPr="00311DF9" w:rsidRDefault="00B41C68" w:rsidP="00652CC2">
      <w:pPr>
        <w:pStyle w:val="3-BodyText"/>
        <w:ind w:left="720"/>
        <w:rPr>
          <w:rFonts w:ascii="Arial Narrow" w:hAnsi="Arial Narrow"/>
          <w:b/>
          <w:sz w:val="20"/>
        </w:rPr>
      </w:pPr>
      <w:r w:rsidRPr="00311DF9">
        <w:t>Overall, the</w:t>
      </w:r>
      <w:r w:rsidR="000E2B56">
        <w:t xml:space="preserve"> </w:t>
      </w:r>
      <w:r w:rsidR="000E2B56" w:rsidRPr="002E6DAE">
        <w:t>evaluation considered</w:t>
      </w:r>
      <w:r w:rsidR="000E2B56">
        <w:t xml:space="preserve"> the</w:t>
      </w:r>
      <w:r w:rsidRPr="00311DF9">
        <w:t xml:space="preserve"> </w:t>
      </w:r>
      <w:r w:rsidR="00611CF8" w:rsidRPr="00311DF9">
        <w:t>exclusion</w:t>
      </w:r>
      <w:r w:rsidRPr="00311DF9">
        <w:t xml:space="preserve"> of ATTRACTION-4</w:t>
      </w:r>
      <w:r w:rsidR="00611CF8" w:rsidRPr="00311DF9">
        <w:t xml:space="preserve"> may not be </w:t>
      </w:r>
      <w:r w:rsidRPr="00311DF9">
        <w:t>completely justified</w:t>
      </w:r>
      <w:r w:rsidR="00611CF8" w:rsidRPr="00311DF9">
        <w:t>. While not completely applicable, a proportion of patients enrolled in ATTRACTION-4 may be considered representative of the requested PBS population</w:t>
      </w:r>
      <w:r w:rsidR="007150E6" w:rsidRPr="00311DF9">
        <w:t xml:space="preserve"> (based on both cancer diagnosis and chemotherapy regimen)</w:t>
      </w:r>
      <w:r w:rsidR="00611CF8" w:rsidRPr="00311DF9">
        <w:t xml:space="preserve"> and therefore can be considered relevant to the current submission.</w:t>
      </w:r>
      <w:r w:rsidR="00917181">
        <w:t xml:space="preserve"> </w:t>
      </w:r>
      <w:r w:rsidR="00917181" w:rsidRPr="002E6DAE">
        <w:t xml:space="preserve">The ESC noted PFS (the primary endpoint) was significantly improved in </w:t>
      </w:r>
      <w:r w:rsidR="00611CF8" w:rsidRPr="002E6DAE">
        <w:t xml:space="preserve">ATTRACTION-4 </w:t>
      </w:r>
      <w:r w:rsidR="00917181" w:rsidRPr="002E6DAE">
        <w:t xml:space="preserve">(HR=0.68; 98.51% CI=0.51, 0.90; p=0.0007); however, there was </w:t>
      </w:r>
      <w:r w:rsidR="00611CF8" w:rsidRPr="002E6DAE">
        <w:t>no statistically significant differences in OS between patients treated with nivolumab + chemotherapy (SOX or XELOX) compared to chemotherapy alone (SOX or XELOX) after a median of 26.6 months follow up (OS HR = 0.90, 95% CI = 0.75, 1.08, p=0.257)</w:t>
      </w:r>
      <w:r w:rsidR="00CF38C8" w:rsidRPr="002E6DAE">
        <w:t>. Th</w:t>
      </w:r>
      <w:r w:rsidR="00917181" w:rsidRPr="002E6DAE">
        <w:t>e evaluation considered this</w:t>
      </w:r>
      <w:r w:rsidR="00917181">
        <w:t xml:space="preserve"> </w:t>
      </w:r>
      <w:r w:rsidR="00CF38C8" w:rsidRPr="00311DF9">
        <w:t>suggest</w:t>
      </w:r>
      <w:r w:rsidR="00917181">
        <w:t>ed</w:t>
      </w:r>
      <w:r w:rsidR="001B46A4">
        <w:t xml:space="preserve"> </w:t>
      </w:r>
      <w:r w:rsidR="00CF38C8" w:rsidRPr="00311DF9">
        <w:t>that</w:t>
      </w:r>
      <w:r w:rsidR="00611CF8" w:rsidRPr="00311DF9">
        <w:t xml:space="preserve"> there is potential </w:t>
      </w:r>
      <w:r w:rsidR="00CF38C8" w:rsidRPr="00311DF9">
        <w:t xml:space="preserve">for </w:t>
      </w:r>
      <w:r w:rsidR="00611CF8" w:rsidRPr="00311DF9">
        <w:t xml:space="preserve">the addition of nivolumab to chemotherapy </w:t>
      </w:r>
      <w:r w:rsidR="00CF38C8" w:rsidRPr="00311DF9">
        <w:t xml:space="preserve">will be </w:t>
      </w:r>
      <w:r w:rsidR="00611CF8" w:rsidRPr="00311DF9">
        <w:t xml:space="preserve">less effective in the proposed PBS population than reported in Checkmate 649 in patients with GC and GOJC. </w:t>
      </w:r>
      <w:r w:rsidR="00917181" w:rsidRPr="002E6DAE">
        <w:t xml:space="preserve">The ESC </w:t>
      </w:r>
      <w:r w:rsidR="001B46A4" w:rsidRPr="002E6DAE">
        <w:t xml:space="preserve">noted the issues raised by the evaluation but, overall, agreed with the submission and </w:t>
      </w:r>
      <w:r w:rsidR="00917181" w:rsidRPr="002E6DAE">
        <w:t>considered exclusion of ATTRACTION-4 was reasonable</w:t>
      </w:r>
      <w:r w:rsidR="001B46A4" w:rsidRPr="002E6DAE">
        <w:t>.</w:t>
      </w:r>
      <w:r w:rsidR="001B46A4">
        <w:t xml:space="preserve">  </w:t>
      </w:r>
      <w:r w:rsidR="00917181">
        <w:t xml:space="preserve"> </w:t>
      </w:r>
    </w:p>
    <w:p w14:paraId="06855A58" w14:textId="77777777" w:rsidR="004D2DF2" w:rsidRPr="00311DF9" w:rsidRDefault="008F120A" w:rsidP="00A4122B">
      <w:pPr>
        <w:pStyle w:val="3-BodyText"/>
        <w:ind w:left="720"/>
        <w:rPr>
          <w:rFonts w:ascii="Arial Narrow" w:hAnsi="Arial Narrow"/>
          <w:b/>
          <w:sz w:val="20"/>
        </w:rPr>
      </w:pPr>
      <w:r w:rsidRPr="00311DF9">
        <w:t xml:space="preserve">The key features of the </w:t>
      </w:r>
      <w:proofErr w:type="spellStart"/>
      <w:r w:rsidR="004D2DF2" w:rsidRPr="00311DF9">
        <w:t>CheckMate</w:t>
      </w:r>
      <w:proofErr w:type="spellEnd"/>
      <w:r w:rsidR="004D2DF2" w:rsidRPr="00311DF9">
        <w:t xml:space="preserve"> 649</w:t>
      </w:r>
      <w:r w:rsidRPr="00311DF9">
        <w:t xml:space="preserve"> are summarised in</w:t>
      </w:r>
      <w:r w:rsidR="00A4122B" w:rsidRPr="00311DF9">
        <w:t xml:space="preserve"> </w:t>
      </w:r>
      <w:r w:rsidR="002A0BA9" w:rsidRPr="002A0BA9">
        <w:t>Table 3</w:t>
      </w:r>
      <w:r w:rsidRPr="00311DF9">
        <w:t>.</w:t>
      </w:r>
      <w:r w:rsidR="00BC591F" w:rsidRPr="00311DF9">
        <w:t xml:space="preserve"> </w:t>
      </w:r>
      <w:bookmarkStart w:id="14" w:name="_Ref69244011"/>
    </w:p>
    <w:p w14:paraId="44E7A63A" w14:textId="77777777" w:rsidR="007F1017" w:rsidRPr="004D2DF2" w:rsidRDefault="007F1017" w:rsidP="00CF38C8">
      <w:pPr>
        <w:pStyle w:val="3-BodyText"/>
        <w:keepNext/>
        <w:keepLines/>
        <w:numPr>
          <w:ilvl w:val="0"/>
          <w:numId w:val="0"/>
        </w:numPr>
        <w:spacing w:after="0"/>
        <w:rPr>
          <w:rStyle w:val="CommentReference"/>
          <w:szCs w:val="24"/>
        </w:rPr>
      </w:pPr>
      <w:bookmarkStart w:id="15" w:name="_Ref69762213"/>
      <w:r w:rsidRPr="004D2DF2">
        <w:rPr>
          <w:rStyle w:val="CommentReference"/>
          <w:szCs w:val="24"/>
        </w:rPr>
        <w:t xml:space="preserve">Table </w:t>
      </w:r>
      <w:r w:rsidR="002A0BA9">
        <w:rPr>
          <w:rStyle w:val="CommentReference"/>
          <w:noProof/>
          <w:szCs w:val="24"/>
        </w:rPr>
        <w:t>3</w:t>
      </w:r>
      <w:bookmarkEnd w:id="14"/>
      <w:bookmarkEnd w:id="15"/>
      <w:r w:rsidR="004952AD" w:rsidRPr="004D2DF2">
        <w:rPr>
          <w:rStyle w:val="CommentReference"/>
          <w:szCs w:val="24"/>
        </w:rPr>
        <w:t>:</w:t>
      </w:r>
      <w:r w:rsidRPr="004D2DF2">
        <w:rPr>
          <w:rStyle w:val="CommentReference"/>
          <w:szCs w:val="24"/>
        </w:rPr>
        <w:t xml:space="preserve"> Key features of the included evidence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Table 3: Key features of the included evidence"/>
      </w:tblPr>
      <w:tblGrid>
        <w:gridCol w:w="1261"/>
        <w:gridCol w:w="813"/>
        <w:gridCol w:w="1383"/>
        <w:gridCol w:w="1095"/>
        <w:gridCol w:w="1520"/>
        <w:gridCol w:w="1152"/>
        <w:gridCol w:w="1793"/>
      </w:tblGrid>
      <w:tr w:rsidR="00B41614" w:rsidRPr="00B41614" w14:paraId="6A6A6A28" w14:textId="77777777" w:rsidTr="00074925">
        <w:trPr>
          <w:cantSplit/>
          <w:tblHeader/>
        </w:trPr>
        <w:tc>
          <w:tcPr>
            <w:tcW w:w="699" w:type="pct"/>
            <w:shd w:val="clear" w:color="auto" w:fill="auto"/>
            <w:vAlign w:val="center"/>
          </w:tcPr>
          <w:p w14:paraId="05E0EB1F" w14:textId="77777777" w:rsidR="007F1017" w:rsidRPr="00B41614" w:rsidRDefault="007F1017" w:rsidP="00CF38C8">
            <w:pPr>
              <w:pStyle w:val="In-tableHeading"/>
              <w:keepLines/>
            </w:pPr>
            <w:r w:rsidRPr="00B41614">
              <w:t>Trial</w:t>
            </w:r>
          </w:p>
        </w:tc>
        <w:tc>
          <w:tcPr>
            <w:tcW w:w="451" w:type="pct"/>
            <w:shd w:val="clear" w:color="auto" w:fill="auto"/>
            <w:vAlign w:val="center"/>
          </w:tcPr>
          <w:p w14:paraId="20A8B4E4" w14:textId="77777777" w:rsidR="007F1017" w:rsidRPr="00B41614" w:rsidRDefault="007F1017" w:rsidP="00CF38C8">
            <w:pPr>
              <w:pStyle w:val="In-tableHeading"/>
              <w:keepLines/>
              <w:jc w:val="center"/>
            </w:pPr>
            <w:r w:rsidRPr="00B41614">
              <w:t>N</w:t>
            </w:r>
          </w:p>
        </w:tc>
        <w:tc>
          <w:tcPr>
            <w:tcW w:w="767" w:type="pct"/>
            <w:shd w:val="clear" w:color="auto" w:fill="auto"/>
            <w:vAlign w:val="center"/>
          </w:tcPr>
          <w:p w14:paraId="03306440" w14:textId="77777777" w:rsidR="007F1017" w:rsidRPr="00B41614" w:rsidRDefault="007F1017" w:rsidP="00CF38C8">
            <w:pPr>
              <w:pStyle w:val="In-tableHeading"/>
              <w:keepLines/>
              <w:jc w:val="center"/>
            </w:pPr>
            <w:r w:rsidRPr="00B41614">
              <w:t>Design/duration</w:t>
            </w:r>
          </w:p>
        </w:tc>
        <w:tc>
          <w:tcPr>
            <w:tcW w:w="607" w:type="pct"/>
            <w:shd w:val="clear" w:color="auto" w:fill="auto"/>
            <w:vAlign w:val="center"/>
          </w:tcPr>
          <w:p w14:paraId="7282A16C" w14:textId="77777777" w:rsidR="007F1017" w:rsidRPr="00B41614" w:rsidRDefault="007F1017" w:rsidP="00CF38C8">
            <w:pPr>
              <w:pStyle w:val="In-tableHeading"/>
              <w:keepLines/>
              <w:jc w:val="center"/>
            </w:pPr>
            <w:r w:rsidRPr="00B41614">
              <w:t>Risk of bias</w:t>
            </w:r>
          </w:p>
        </w:tc>
        <w:tc>
          <w:tcPr>
            <w:tcW w:w="843" w:type="pct"/>
            <w:shd w:val="clear" w:color="auto" w:fill="auto"/>
            <w:vAlign w:val="center"/>
          </w:tcPr>
          <w:p w14:paraId="18779297" w14:textId="77777777" w:rsidR="007F1017" w:rsidRPr="00B41614" w:rsidRDefault="007F1017" w:rsidP="00CF38C8">
            <w:pPr>
              <w:pStyle w:val="In-tableHeading"/>
              <w:keepLines/>
              <w:jc w:val="center"/>
            </w:pPr>
            <w:r w:rsidRPr="00B41614">
              <w:t>Patient population</w:t>
            </w:r>
          </w:p>
        </w:tc>
        <w:tc>
          <w:tcPr>
            <w:tcW w:w="639" w:type="pct"/>
            <w:shd w:val="clear" w:color="auto" w:fill="auto"/>
            <w:vAlign w:val="center"/>
          </w:tcPr>
          <w:p w14:paraId="3E3F7A0E" w14:textId="77777777" w:rsidR="007F1017" w:rsidRPr="00B41614" w:rsidRDefault="007F1017" w:rsidP="00CF38C8">
            <w:pPr>
              <w:pStyle w:val="In-tableHeading"/>
              <w:keepLines/>
              <w:jc w:val="center"/>
            </w:pPr>
            <w:r w:rsidRPr="00B41614">
              <w:t>Outcomes</w:t>
            </w:r>
          </w:p>
        </w:tc>
        <w:tc>
          <w:tcPr>
            <w:tcW w:w="994" w:type="pct"/>
            <w:shd w:val="clear" w:color="auto" w:fill="auto"/>
            <w:vAlign w:val="center"/>
          </w:tcPr>
          <w:p w14:paraId="243A44B4" w14:textId="77777777" w:rsidR="007F1017" w:rsidRPr="00B41614" w:rsidRDefault="007F1017" w:rsidP="00CF38C8">
            <w:pPr>
              <w:pStyle w:val="In-tableHeading"/>
              <w:keepLines/>
              <w:jc w:val="center"/>
            </w:pPr>
            <w:r w:rsidRPr="00B41614">
              <w:t>Use in modelled evaluation</w:t>
            </w:r>
          </w:p>
        </w:tc>
      </w:tr>
      <w:tr w:rsidR="007F1017" w:rsidRPr="00E2771E" w14:paraId="729BCB9E" w14:textId="77777777" w:rsidTr="00682BA6">
        <w:trPr>
          <w:cantSplit/>
        </w:trPr>
        <w:tc>
          <w:tcPr>
            <w:tcW w:w="5000" w:type="pct"/>
            <w:gridSpan w:val="7"/>
            <w:shd w:val="clear" w:color="auto" w:fill="auto"/>
            <w:vAlign w:val="center"/>
          </w:tcPr>
          <w:p w14:paraId="0F77664A" w14:textId="77777777" w:rsidR="007F1017" w:rsidRPr="00EC5836" w:rsidRDefault="00755D9B" w:rsidP="00CF38C8">
            <w:pPr>
              <w:pStyle w:val="In-tableHeading"/>
              <w:keepLines/>
            </w:pPr>
            <w:r>
              <w:t xml:space="preserve">Nivolumab plus chemotherapy versus chemotherapy alone </w:t>
            </w:r>
          </w:p>
        </w:tc>
      </w:tr>
      <w:tr w:rsidR="00B41614" w:rsidRPr="00E2771E" w14:paraId="69B19084" w14:textId="77777777" w:rsidTr="00074925">
        <w:trPr>
          <w:cantSplit/>
        </w:trPr>
        <w:tc>
          <w:tcPr>
            <w:tcW w:w="699" w:type="pct"/>
            <w:shd w:val="clear" w:color="auto" w:fill="auto"/>
            <w:vAlign w:val="center"/>
          </w:tcPr>
          <w:p w14:paraId="5DDF6914" w14:textId="77777777" w:rsidR="007F1017" w:rsidRPr="00E2771E" w:rsidRDefault="00755D9B" w:rsidP="00CF38C8">
            <w:pPr>
              <w:pStyle w:val="TableText0"/>
              <w:keepLines/>
              <w:rPr>
                <w:lang w:val="en-US"/>
              </w:rPr>
            </w:pPr>
            <w:proofErr w:type="spellStart"/>
            <w:r>
              <w:rPr>
                <w:lang w:val="en-US"/>
              </w:rPr>
              <w:t>CheckMate</w:t>
            </w:r>
            <w:proofErr w:type="spellEnd"/>
            <w:r>
              <w:rPr>
                <w:lang w:val="en-US"/>
              </w:rPr>
              <w:t xml:space="preserve"> 649</w:t>
            </w:r>
          </w:p>
        </w:tc>
        <w:tc>
          <w:tcPr>
            <w:tcW w:w="451" w:type="pct"/>
            <w:shd w:val="clear" w:color="auto" w:fill="auto"/>
            <w:vAlign w:val="center"/>
          </w:tcPr>
          <w:p w14:paraId="5ECF07B2" w14:textId="77777777" w:rsidR="007F1017" w:rsidRPr="00E2771E" w:rsidRDefault="007F0E3E" w:rsidP="00CF38C8">
            <w:pPr>
              <w:pStyle w:val="TableText0"/>
              <w:keepLines/>
              <w:jc w:val="center"/>
              <w:rPr>
                <w:lang w:val="en-US"/>
              </w:rPr>
            </w:pPr>
            <w:r>
              <w:t>1,5</w:t>
            </w:r>
            <w:r w:rsidR="00086EFF">
              <w:t>8</w:t>
            </w:r>
            <w:r>
              <w:t>1</w:t>
            </w:r>
            <w:r w:rsidR="00DA3512">
              <w:t>**</w:t>
            </w:r>
          </w:p>
        </w:tc>
        <w:tc>
          <w:tcPr>
            <w:tcW w:w="767" w:type="pct"/>
            <w:shd w:val="clear" w:color="auto" w:fill="auto"/>
            <w:vAlign w:val="center"/>
          </w:tcPr>
          <w:p w14:paraId="476712ED" w14:textId="77777777" w:rsidR="007F1017" w:rsidRPr="00E2771E" w:rsidRDefault="007F1017" w:rsidP="00CF38C8">
            <w:pPr>
              <w:pStyle w:val="TableText0"/>
              <w:keepLines/>
              <w:jc w:val="center"/>
              <w:rPr>
                <w:lang w:val="en-US"/>
              </w:rPr>
            </w:pPr>
            <w:r w:rsidRPr="00E2771E">
              <w:rPr>
                <w:lang w:val="en-US"/>
              </w:rPr>
              <w:t>R, DB</w:t>
            </w:r>
            <w:r w:rsidR="00217705">
              <w:rPr>
                <w:lang w:val="en-US"/>
              </w:rPr>
              <w:t>, MC</w:t>
            </w:r>
          </w:p>
          <w:p w14:paraId="584DF114" w14:textId="77777777" w:rsidR="007F1017" w:rsidRPr="00E2771E" w:rsidRDefault="004952AD" w:rsidP="00CF38C8">
            <w:pPr>
              <w:pStyle w:val="TableText0"/>
              <w:keepLines/>
              <w:jc w:val="center"/>
              <w:rPr>
                <w:lang w:val="en-US"/>
              </w:rPr>
            </w:pPr>
            <w:r>
              <w:rPr>
                <w:lang w:val="en-US"/>
              </w:rPr>
              <w:t>12</w:t>
            </w:r>
            <w:r w:rsidR="00086EFF">
              <w:rPr>
                <w:lang w:val="en-US"/>
              </w:rPr>
              <w:t>.1</w:t>
            </w:r>
            <w:r>
              <w:rPr>
                <w:lang w:val="en-US"/>
              </w:rPr>
              <w:t xml:space="preserve"> months*</w:t>
            </w:r>
          </w:p>
        </w:tc>
        <w:tc>
          <w:tcPr>
            <w:tcW w:w="607" w:type="pct"/>
            <w:shd w:val="clear" w:color="auto" w:fill="auto"/>
            <w:vAlign w:val="center"/>
          </w:tcPr>
          <w:p w14:paraId="41266415" w14:textId="77777777" w:rsidR="007F1017" w:rsidRPr="00311DF9" w:rsidRDefault="007F1017" w:rsidP="00CF38C8">
            <w:pPr>
              <w:pStyle w:val="TableText0"/>
              <w:keepLines/>
              <w:jc w:val="center"/>
              <w:rPr>
                <w:iCs/>
                <w:lang w:val="en-US"/>
              </w:rPr>
            </w:pPr>
            <w:r w:rsidRPr="00311DF9">
              <w:rPr>
                <w:iCs/>
                <w:lang w:val="en-US"/>
              </w:rPr>
              <w:t>Low</w:t>
            </w:r>
          </w:p>
        </w:tc>
        <w:tc>
          <w:tcPr>
            <w:tcW w:w="843" w:type="pct"/>
            <w:shd w:val="clear" w:color="auto" w:fill="auto"/>
            <w:vAlign w:val="center"/>
          </w:tcPr>
          <w:p w14:paraId="78DA4EF8" w14:textId="77777777" w:rsidR="007F1017" w:rsidRPr="00E2771E" w:rsidRDefault="007F0E3E" w:rsidP="00CF38C8">
            <w:pPr>
              <w:pStyle w:val="TableText0"/>
              <w:keepLines/>
              <w:jc w:val="center"/>
              <w:rPr>
                <w:lang w:val="en-US"/>
              </w:rPr>
            </w:pPr>
            <w:r>
              <w:rPr>
                <w:lang w:val="en-US"/>
              </w:rPr>
              <w:t>First line</w:t>
            </w:r>
          </w:p>
        </w:tc>
        <w:tc>
          <w:tcPr>
            <w:tcW w:w="639" w:type="pct"/>
            <w:shd w:val="clear" w:color="auto" w:fill="auto"/>
            <w:vAlign w:val="center"/>
          </w:tcPr>
          <w:p w14:paraId="6A147C06" w14:textId="77777777" w:rsidR="007F1017" w:rsidRPr="00E2771E" w:rsidRDefault="007F1017" w:rsidP="00CF38C8">
            <w:pPr>
              <w:pStyle w:val="TableText0"/>
              <w:keepLines/>
              <w:jc w:val="center"/>
              <w:rPr>
                <w:lang w:val="en-US"/>
              </w:rPr>
            </w:pPr>
            <w:r w:rsidRPr="00E2771E">
              <w:rPr>
                <w:lang w:val="en-US"/>
              </w:rPr>
              <w:t>OS</w:t>
            </w:r>
            <w:r w:rsidR="00755D9B">
              <w:rPr>
                <w:lang w:val="en-US"/>
              </w:rPr>
              <w:t>, PFS,</w:t>
            </w:r>
            <w:r w:rsidR="00086EFF">
              <w:rPr>
                <w:lang w:val="en-US"/>
              </w:rPr>
              <w:t xml:space="preserve"> ORR, EQ-5D</w:t>
            </w:r>
          </w:p>
        </w:tc>
        <w:tc>
          <w:tcPr>
            <w:tcW w:w="994" w:type="pct"/>
            <w:shd w:val="clear" w:color="auto" w:fill="auto"/>
            <w:vAlign w:val="center"/>
          </w:tcPr>
          <w:p w14:paraId="2EE6DCCE" w14:textId="77777777" w:rsidR="007F1017" w:rsidRPr="00E2771E" w:rsidRDefault="004952AD" w:rsidP="00CF38C8">
            <w:pPr>
              <w:pStyle w:val="TableText0"/>
              <w:keepLines/>
              <w:jc w:val="center"/>
              <w:rPr>
                <w:lang w:val="en-US"/>
              </w:rPr>
            </w:pPr>
            <w:r>
              <w:rPr>
                <w:lang w:val="en-US"/>
              </w:rPr>
              <w:t>Yes</w:t>
            </w:r>
          </w:p>
        </w:tc>
      </w:tr>
    </w:tbl>
    <w:p w14:paraId="5C02154F" w14:textId="77777777" w:rsidR="004952AD" w:rsidRDefault="00045017" w:rsidP="00CF38C8">
      <w:pPr>
        <w:pStyle w:val="TableFigureFooter"/>
        <w:keepNext/>
        <w:keepLines/>
        <w:spacing w:after="0"/>
      </w:pPr>
      <w:r>
        <w:t xml:space="preserve">Source: </w:t>
      </w:r>
      <w:r w:rsidR="007F0E3E">
        <w:t>pp37-50 of the submission</w:t>
      </w:r>
    </w:p>
    <w:p w14:paraId="56F84D1E" w14:textId="77777777" w:rsidR="00620C25" w:rsidRDefault="00620C25" w:rsidP="00CF38C8">
      <w:pPr>
        <w:pStyle w:val="TableFigureFooter"/>
        <w:keepNext/>
        <w:keepLines/>
        <w:spacing w:after="0"/>
      </w:pPr>
      <w:r w:rsidRPr="0072416F">
        <w:t>DB</w:t>
      </w:r>
      <w:r>
        <w:t xml:space="preserve"> </w:t>
      </w:r>
      <w:r w:rsidRPr="0072416F">
        <w:t>=</w:t>
      </w:r>
      <w:r>
        <w:t xml:space="preserve"> </w:t>
      </w:r>
      <w:r w:rsidRPr="0072416F">
        <w:t xml:space="preserve">double blind; </w:t>
      </w:r>
      <w:r w:rsidR="00086EFF">
        <w:t xml:space="preserve">EQ-5D = </w:t>
      </w:r>
      <w:proofErr w:type="spellStart"/>
      <w:r w:rsidR="00086EFF">
        <w:t>EuroQol</w:t>
      </w:r>
      <w:proofErr w:type="spellEnd"/>
      <w:r w:rsidR="00086EFF">
        <w:t xml:space="preserve"> 5 dimensions; </w:t>
      </w:r>
      <w:r w:rsidRPr="0072416F">
        <w:t>MC</w:t>
      </w:r>
      <w:r>
        <w:t xml:space="preserve"> </w:t>
      </w:r>
      <w:r w:rsidRPr="0072416F">
        <w:t>=</w:t>
      </w:r>
      <w:r>
        <w:t xml:space="preserve"> </w:t>
      </w:r>
      <w:r w:rsidRPr="0072416F">
        <w:t>multi-centre; OL</w:t>
      </w:r>
      <w:r>
        <w:t xml:space="preserve"> </w:t>
      </w:r>
      <w:r w:rsidRPr="0072416F">
        <w:t>=</w:t>
      </w:r>
      <w:r>
        <w:t xml:space="preserve"> </w:t>
      </w:r>
      <w:r w:rsidRPr="0072416F">
        <w:t xml:space="preserve">open label; </w:t>
      </w:r>
      <w:r w:rsidR="00086EFF">
        <w:t xml:space="preserve">ORR = objective response rate; </w:t>
      </w:r>
      <w:r w:rsidRPr="0072416F">
        <w:t>OS</w:t>
      </w:r>
      <w:r>
        <w:t xml:space="preserve"> </w:t>
      </w:r>
      <w:r w:rsidRPr="0072416F">
        <w:t>=</w:t>
      </w:r>
      <w:r>
        <w:t xml:space="preserve"> </w:t>
      </w:r>
      <w:r w:rsidRPr="0072416F">
        <w:t>overall survival; PFS</w:t>
      </w:r>
      <w:r>
        <w:t xml:space="preserve"> </w:t>
      </w:r>
      <w:r w:rsidRPr="0072416F">
        <w:t>=</w:t>
      </w:r>
      <w:r>
        <w:t xml:space="preserve"> </w:t>
      </w:r>
      <w:r w:rsidRPr="0072416F">
        <w:t>progression-free survival; R</w:t>
      </w:r>
      <w:r>
        <w:t xml:space="preserve"> </w:t>
      </w:r>
      <w:r w:rsidRPr="0072416F">
        <w:t>=</w:t>
      </w:r>
      <w:r>
        <w:t xml:space="preserve"> </w:t>
      </w:r>
      <w:r w:rsidRPr="0072416F">
        <w:t>randomised.</w:t>
      </w:r>
    </w:p>
    <w:p w14:paraId="0EB35470" w14:textId="77777777" w:rsidR="004952AD" w:rsidRDefault="004952AD" w:rsidP="00CF38C8">
      <w:pPr>
        <w:pStyle w:val="TableFigureFooter"/>
        <w:keepNext/>
        <w:keepLines/>
      </w:pPr>
      <w:r>
        <w:t>*</w:t>
      </w:r>
      <w:r w:rsidR="00BF6111">
        <w:t xml:space="preserve"> M</w:t>
      </w:r>
      <w:r>
        <w:t>edian</w:t>
      </w:r>
      <w:r w:rsidR="00086EFF">
        <w:t xml:space="preserve"> follow-up for overall survival</w:t>
      </w:r>
    </w:p>
    <w:p w14:paraId="10BB0CAE" w14:textId="77777777" w:rsidR="00DA3512" w:rsidRPr="00B1011F" w:rsidRDefault="00DA3512" w:rsidP="00CF38C8">
      <w:pPr>
        <w:pStyle w:val="TableFigureFooter"/>
        <w:keepNext/>
        <w:keepLines/>
        <w:rPr>
          <w:sz w:val="20"/>
        </w:rPr>
      </w:pPr>
      <w:r>
        <w:rPr>
          <w:sz w:val="20"/>
        </w:rPr>
        <w:t>**</w:t>
      </w:r>
      <w:r w:rsidR="00BF6111">
        <w:rPr>
          <w:sz w:val="20"/>
        </w:rPr>
        <w:t xml:space="preserve"> </w:t>
      </w:r>
      <w:proofErr w:type="spellStart"/>
      <w:r>
        <w:rPr>
          <w:sz w:val="20"/>
        </w:rPr>
        <w:t>CheckMate</w:t>
      </w:r>
      <w:proofErr w:type="spellEnd"/>
      <w:r>
        <w:rPr>
          <w:sz w:val="20"/>
        </w:rPr>
        <w:t xml:space="preserve"> 649 also included an arm for nivolumab plus ipilimumab. Data from this arm is not included in the submission and the N value does not include these patients. </w:t>
      </w:r>
    </w:p>
    <w:p w14:paraId="72E22754" w14:textId="77777777" w:rsidR="00611CF8" w:rsidRPr="00311DF9" w:rsidRDefault="00611CF8" w:rsidP="00652CC2">
      <w:pPr>
        <w:pStyle w:val="3-BodyText"/>
        <w:ind w:left="720"/>
      </w:pPr>
      <w:r w:rsidRPr="00311DF9">
        <w:t xml:space="preserve">The co-primary endpoints of </w:t>
      </w:r>
      <w:proofErr w:type="spellStart"/>
      <w:r w:rsidRPr="00311DF9">
        <w:t>Check</w:t>
      </w:r>
      <w:r w:rsidR="00F238A8" w:rsidRPr="00311DF9">
        <w:t>M</w:t>
      </w:r>
      <w:r w:rsidRPr="00311DF9">
        <w:t>ate</w:t>
      </w:r>
      <w:proofErr w:type="spellEnd"/>
      <w:r w:rsidRPr="00311DF9">
        <w:t xml:space="preserve"> 649 were </w:t>
      </w:r>
      <w:r w:rsidR="00A4122B" w:rsidRPr="00311DF9">
        <w:t>overall survival (</w:t>
      </w:r>
      <w:r w:rsidRPr="00311DF9">
        <w:t>OS</w:t>
      </w:r>
      <w:r w:rsidR="00A4122B" w:rsidRPr="00311DF9">
        <w:t>)</w:t>
      </w:r>
      <w:r w:rsidRPr="00311DF9">
        <w:t xml:space="preserve"> and </w:t>
      </w:r>
      <w:r w:rsidR="00A4122B" w:rsidRPr="00311DF9">
        <w:t>progression-free survival (</w:t>
      </w:r>
      <w:r w:rsidRPr="00311DF9">
        <w:t>PFS</w:t>
      </w:r>
      <w:r w:rsidR="00A4122B" w:rsidRPr="00311DF9">
        <w:t>)</w:t>
      </w:r>
      <w:r w:rsidRPr="00311DF9">
        <w:t xml:space="preserve"> in the subgroup of patients who had a PD-L1 CPS ≥5.</w:t>
      </w:r>
      <w:r w:rsidR="00D45CCB" w:rsidRPr="00311DF9">
        <w:t xml:space="preserve"> An alpha split using </w:t>
      </w:r>
      <w:proofErr w:type="spellStart"/>
      <w:r w:rsidR="00D45CCB" w:rsidRPr="00311DF9">
        <w:t>Bonferroni</w:t>
      </w:r>
      <w:proofErr w:type="spellEnd"/>
      <w:r w:rsidR="00D45CCB" w:rsidRPr="00311DF9">
        <w:t xml:space="preserve"> method between the two primary endpoints was applied, with the comparison of OS and PFS between nivolumab plus chemotherapy and chemotherapy in subjects with PD-L1 CPS ≥5 having alphas of 3% and 2%, respectively.</w:t>
      </w:r>
    </w:p>
    <w:p w14:paraId="690BC397" w14:textId="77777777" w:rsidR="00B20E1C" w:rsidRPr="00311DF9" w:rsidRDefault="00611CF8" w:rsidP="00B20E1C">
      <w:pPr>
        <w:pStyle w:val="3-BodyText"/>
        <w:ind w:left="720"/>
      </w:pPr>
      <w:r w:rsidRPr="00311DF9">
        <w:t>The outcomes relevant to the requested restriction, however, were those of the ITT population, and thus OS</w:t>
      </w:r>
      <w:r w:rsidR="0034482F" w:rsidRPr="00311DF9">
        <w:t>,</w:t>
      </w:r>
      <w:r w:rsidRPr="00311DF9">
        <w:t xml:space="preserve"> PFS and ORR in the ITT population, which were secondary outcomes in </w:t>
      </w:r>
      <w:proofErr w:type="spellStart"/>
      <w:r w:rsidRPr="00311DF9">
        <w:t>CheckMate</w:t>
      </w:r>
      <w:proofErr w:type="spellEnd"/>
      <w:r w:rsidRPr="00311DF9">
        <w:t xml:space="preserve"> 649, </w:t>
      </w:r>
      <w:r w:rsidR="006D6A90">
        <w:t>were</w:t>
      </w:r>
      <w:r w:rsidRPr="00311DF9">
        <w:t xml:space="preserve"> presented as the primary evidence in the submission. </w:t>
      </w:r>
      <w:r w:rsidR="00D45CCB" w:rsidRPr="00311DF9">
        <w:t>Using the alpha spending function, the significance level for OS in the ITT population was 0.007 (i.e. could only conclude statistically significant difference in OS in the ITT population if p-value was smaller than 0.007)</w:t>
      </w:r>
      <w:r w:rsidR="00A4122B" w:rsidRPr="00311DF9">
        <w:t>.</w:t>
      </w:r>
      <w:r w:rsidR="00B20E1C">
        <w:t xml:space="preserve"> </w:t>
      </w:r>
    </w:p>
    <w:p w14:paraId="035B5E49" w14:textId="77777777" w:rsidR="007F1017" w:rsidRPr="00311DF9" w:rsidRDefault="00611CF8" w:rsidP="00652CC2">
      <w:pPr>
        <w:pStyle w:val="3-BodyText"/>
        <w:ind w:left="720"/>
      </w:pPr>
      <w:bookmarkStart w:id="16" w:name="_Ref84948003"/>
      <w:r w:rsidRPr="00311DF9">
        <w:t xml:space="preserve">Of note, PFS </w:t>
      </w:r>
      <w:r w:rsidR="007150E6" w:rsidRPr="00311DF9">
        <w:t xml:space="preserve">in the ITT population </w:t>
      </w:r>
      <w:r w:rsidRPr="00311DF9">
        <w:t xml:space="preserve">were </w:t>
      </w:r>
      <w:r w:rsidR="007150E6" w:rsidRPr="00311DF9">
        <w:t xml:space="preserve">not considered </w:t>
      </w:r>
      <w:r w:rsidRPr="00311DF9">
        <w:t xml:space="preserve">in the alpha spending considerations </w:t>
      </w:r>
      <w:r w:rsidR="007150E6" w:rsidRPr="00311DF9">
        <w:t xml:space="preserve">for </w:t>
      </w:r>
      <w:proofErr w:type="spellStart"/>
      <w:r w:rsidR="007150E6" w:rsidRPr="00311DF9">
        <w:t>Check</w:t>
      </w:r>
      <w:r w:rsidR="00F238A8" w:rsidRPr="00311DF9">
        <w:t>M</w:t>
      </w:r>
      <w:r w:rsidR="007150E6" w:rsidRPr="00311DF9">
        <w:t>ate</w:t>
      </w:r>
      <w:proofErr w:type="spellEnd"/>
      <w:r w:rsidR="007150E6" w:rsidRPr="00311DF9">
        <w:t xml:space="preserve"> 649. As such, no hypothesis testing of treatment effect for PFS in the ITT population </w:t>
      </w:r>
      <w:r w:rsidR="00D45CCB" w:rsidRPr="00311DF9">
        <w:t xml:space="preserve">could </w:t>
      </w:r>
      <w:r w:rsidR="007150E6" w:rsidRPr="00311DF9">
        <w:t xml:space="preserve">be conducted, and it was not possible to conclude whether </w:t>
      </w:r>
      <w:r w:rsidRPr="00311DF9">
        <w:t>nivolumab plus chemotherapy</w:t>
      </w:r>
      <w:r w:rsidR="007150E6" w:rsidRPr="00311DF9">
        <w:t xml:space="preserve"> was superior to chemotherapy alone for the outcome of PFS in the ITT population</w:t>
      </w:r>
      <w:r w:rsidR="00D45CCB" w:rsidRPr="00311DF9">
        <w:t xml:space="preserve"> with statistical significance</w:t>
      </w:r>
      <w:r w:rsidR="007150E6" w:rsidRPr="00311DF9">
        <w:t>.</w:t>
      </w:r>
      <w:bookmarkEnd w:id="16"/>
    </w:p>
    <w:p w14:paraId="633CD59B" w14:textId="77777777" w:rsidR="00B60939" w:rsidRPr="00CF38C8" w:rsidRDefault="00B60939" w:rsidP="00EC5836">
      <w:pPr>
        <w:pStyle w:val="4-SubsectionHeading"/>
      </w:pPr>
      <w:bookmarkStart w:id="17" w:name="_Toc22897641"/>
      <w:bookmarkStart w:id="18" w:name="_Toc69567422"/>
      <w:bookmarkStart w:id="19" w:name="_Toc72308983"/>
      <w:r w:rsidRPr="00CF38C8">
        <w:t>Comparative effectiveness</w:t>
      </w:r>
      <w:bookmarkEnd w:id="17"/>
      <w:bookmarkEnd w:id="18"/>
      <w:bookmarkEnd w:id="19"/>
    </w:p>
    <w:p w14:paraId="2FDB9944" w14:textId="77777777" w:rsidR="005D407F" w:rsidRPr="007150E6" w:rsidRDefault="002A0BA9" w:rsidP="00652CC2">
      <w:pPr>
        <w:pStyle w:val="3-BodyText"/>
        <w:ind w:left="720"/>
      </w:pPr>
      <w:r w:rsidRPr="002A0BA9">
        <w:t>Table 4</w:t>
      </w:r>
      <w:r w:rsidR="005D407F">
        <w:t xml:space="preserve"> </w:t>
      </w:r>
      <w:r w:rsidR="005D407F" w:rsidRPr="007150E6">
        <w:t xml:space="preserve">presents a summary of the survival outcomes in </w:t>
      </w:r>
      <w:proofErr w:type="spellStart"/>
      <w:r w:rsidR="005D407F" w:rsidRPr="007150E6">
        <w:t>CheckMate</w:t>
      </w:r>
      <w:proofErr w:type="spellEnd"/>
      <w:r w:rsidR="005D407F" w:rsidRPr="007150E6">
        <w:t xml:space="preserve"> 649 in the ITT population</w:t>
      </w:r>
      <w:r w:rsidR="00A4122B">
        <w:t>.</w:t>
      </w:r>
    </w:p>
    <w:p w14:paraId="16938625" w14:textId="77777777" w:rsidR="005D407F" w:rsidRPr="007150E6" w:rsidRDefault="005D407F" w:rsidP="005D407F">
      <w:pPr>
        <w:pStyle w:val="TableFigureHeading"/>
        <w:rPr>
          <w:rStyle w:val="CommentReference"/>
          <w:b/>
          <w:bCs w:val="0"/>
          <w:szCs w:val="24"/>
        </w:rPr>
      </w:pPr>
      <w:bookmarkStart w:id="20" w:name="_Ref69320648"/>
      <w:r w:rsidRPr="007150E6">
        <w:rPr>
          <w:rStyle w:val="CommentReference"/>
          <w:b/>
          <w:szCs w:val="24"/>
        </w:rPr>
        <w:t xml:space="preserve">Table </w:t>
      </w:r>
      <w:r w:rsidR="00CF1CF6">
        <w:rPr>
          <w:rStyle w:val="CommentReference"/>
          <w:b/>
          <w:noProof/>
          <w:szCs w:val="24"/>
        </w:rPr>
        <w:t>4</w:t>
      </w:r>
      <w:bookmarkEnd w:id="20"/>
      <w:r w:rsidRPr="007150E6">
        <w:rPr>
          <w:rStyle w:val="CommentReference"/>
          <w:b/>
          <w:szCs w:val="24"/>
        </w:rPr>
        <w:t xml:space="preserve">: Summary of survival outcomes in </w:t>
      </w:r>
      <w:r w:rsidRPr="007150E6">
        <w:rPr>
          <w:rStyle w:val="CommentReference"/>
          <w:b/>
          <w:bCs w:val="0"/>
        </w:rPr>
        <w:t>Checkmate 649, ITT population</w:t>
      </w:r>
      <w:r w:rsidR="00C7203B">
        <w:rPr>
          <w:rStyle w:val="CommentReference"/>
          <w:b/>
          <w:bCs w:val="0"/>
        </w:rPr>
        <w:t xml:space="preserve"> (provided in 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Table 4: Summary of survival outcomes in Checkmate 649, ITT population (provided in submission)"/>
      </w:tblPr>
      <w:tblGrid>
        <w:gridCol w:w="1979"/>
        <w:gridCol w:w="2269"/>
        <w:gridCol w:w="1984"/>
        <w:gridCol w:w="1133"/>
        <w:gridCol w:w="1652"/>
      </w:tblGrid>
      <w:tr w:rsidR="005D407F" w:rsidRPr="007150E6" w14:paraId="7C9B1888" w14:textId="77777777" w:rsidTr="004054B4">
        <w:trPr>
          <w:cantSplit/>
          <w:tblHeader/>
        </w:trPr>
        <w:tc>
          <w:tcPr>
            <w:tcW w:w="1098" w:type="pct"/>
            <w:tcMar>
              <w:left w:w="28" w:type="dxa"/>
              <w:right w:w="28" w:type="dxa"/>
            </w:tcMar>
            <w:vAlign w:val="center"/>
          </w:tcPr>
          <w:p w14:paraId="348DF503" w14:textId="77777777" w:rsidR="005D407F" w:rsidRPr="007150E6" w:rsidRDefault="005D407F" w:rsidP="00A45D9B">
            <w:pPr>
              <w:pStyle w:val="In-tableHeading"/>
              <w:jc w:val="center"/>
            </w:pPr>
          </w:p>
        </w:tc>
        <w:tc>
          <w:tcPr>
            <w:tcW w:w="1258" w:type="pct"/>
            <w:tcMar>
              <w:left w:w="28" w:type="dxa"/>
              <w:right w:w="28" w:type="dxa"/>
            </w:tcMar>
            <w:vAlign w:val="center"/>
          </w:tcPr>
          <w:p w14:paraId="44FD3713" w14:textId="77777777" w:rsidR="005D407F" w:rsidRPr="004054B4" w:rsidRDefault="005D407F" w:rsidP="004054B4">
            <w:pPr>
              <w:pStyle w:val="In-tableHeading"/>
              <w:jc w:val="center"/>
            </w:pPr>
            <w:r w:rsidRPr="007150E6">
              <w:t xml:space="preserve">Nivolumab </w:t>
            </w:r>
            <w:r w:rsidR="004054B4">
              <w:t>+</w:t>
            </w:r>
            <w:r w:rsidRPr="007150E6">
              <w:t xml:space="preserve"> chemotherapy</w:t>
            </w:r>
          </w:p>
        </w:tc>
        <w:tc>
          <w:tcPr>
            <w:tcW w:w="1100" w:type="pct"/>
            <w:tcMar>
              <w:left w:w="28" w:type="dxa"/>
              <w:right w:w="28" w:type="dxa"/>
            </w:tcMar>
            <w:vAlign w:val="center"/>
          </w:tcPr>
          <w:p w14:paraId="4136BC94" w14:textId="77777777" w:rsidR="005D407F" w:rsidRPr="007150E6" w:rsidRDefault="005D407F" w:rsidP="00A45D9B">
            <w:pPr>
              <w:pStyle w:val="In-tableHeading"/>
              <w:jc w:val="center"/>
              <w:rPr>
                <w:vertAlign w:val="superscript"/>
              </w:rPr>
            </w:pPr>
            <w:r w:rsidRPr="007150E6">
              <w:t xml:space="preserve">Chemotherapy </w:t>
            </w:r>
          </w:p>
        </w:tc>
        <w:tc>
          <w:tcPr>
            <w:tcW w:w="628" w:type="pct"/>
            <w:tcMar>
              <w:left w:w="28" w:type="dxa"/>
              <w:right w:w="28" w:type="dxa"/>
            </w:tcMar>
            <w:vAlign w:val="center"/>
          </w:tcPr>
          <w:p w14:paraId="6BED4A16" w14:textId="77777777" w:rsidR="005D407F" w:rsidRPr="0034482F" w:rsidRDefault="005D407F" w:rsidP="00A45D9B">
            <w:pPr>
              <w:pStyle w:val="In-tableHeading"/>
              <w:jc w:val="center"/>
              <w:rPr>
                <w:highlight w:val="yellow"/>
                <w:vertAlign w:val="superscript"/>
              </w:rPr>
            </w:pPr>
            <w:r w:rsidRPr="00CF1984">
              <w:t xml:space="preserve">Absolute </w:t>
            </w:r>
            <w:proofErr w:type="spellStart"/>
            <w:r w:rsidRPr="00CF1984">
              <w:t>difference</w:t>
            </w:r>
            <w:r w:rsidRPr="00CF1984">
              <w:rPr>
                <w:vertAlign w:val="superscript"/>
              </w:rPr>
              <w:t>b</w:t>
            </w:r>
            <w:proofErr w:type="spellEnd"/>
          </w:p>
        </w:tc>
        <w:tc>
          <w:tcPr>
            <w:tcW w:w="916" w:type="pct"/>
            <w:tcMar>
              <w:left w:w="28" w:type="dxa"/>
              <w:right w:w="28" w:type="dxa"/>
            </w:tcMar>
            <w:vAlign w:val="center"/>
          </w:tcPr>
          <w:p w14:paraId="09402369" w14:textId="77777777" w:rsidR="005D407F" w:rsidRPr="007150E6" w:rsidRDefault="005D407F" w:rsidP="00A45D9B">
            <w:pPr>
              <w:pStyle w:val="In-tableHeading"/>
              <w:jc w:val="center"/>
              <w:rPr>
                <w:vertAlign w:val="superscript"/>
              </w:rPr>
            </w:pPr>
            <w:r w:rsidRPr="007150E6">
              <w:t>HR (95% CI)</w:t>
            </w:r>
            <w:r w:rsidRPr="007150E6">
              <w:rPr>
                <w:vertAlign w:val="superscript"/>
              </w:rPr>
              <w:t>d</w:t>
            </w:r>
          </w:p>
        </w:tc>
      </w:tr>
      <w:tr w:rsidR="005D407F" w:rsidRPr="007150E6" w14:paraId="27147F6C" w14:textId="77777777" w:rsidTr="004054B4">
        <w:trPr>
          <w:cantSplit/>
        </w:trPr>
        <w:tc>
          <w:tcPr>
            <w:tcW w:w="5000" w:type="pct"/>
            <w:gridSpan w:val="5"/>
            <w:tcMar>
              <w:left w:w="28" w:type="dxa"/>
              <w:right w:w="28" w:type="dxa"/>
            </w:tcMar>
            <w:vAlign w:val="center"/>
          </w:tcPr>
          <w:p w14:paraId="65090BBF" w14:textId="77777777" w:rsidR="005D407F" w:rsidRPr="007150E6" w:rsidRDefault="005D407F" w:rsidP="00A45D9B">
            <w:pPr>
              <w:pStyle w:val="In-tableHeading"/>
            </w:pPr>
            <w:r w:rsidRPr="007150E6">
              <w:t xml:space="preserve">Progression-free </w:t>
            </w:r>
            <w:proofErr w:type="spellStart"/>
            <w:r w:rsidRPr="007150E6">
              <w:t>survival</w:t>
            </w:r>
            <w:r w:rsidR="004054B4" w:rsidRPr="004054B4">
              <w:rPr>
                <w:vertAlign w:val="superscript"/>
              </w:rPr>
              <w:t>a</w:t>
            </w:r>
            <w:proofErr w:type="spellEnd"/>
          </w:p>
        </w:tc>
      </w:tr>
      <w:tr w:rsidR="005D407F" w:rsidRPr="007150E6" w14:paraId="6C98C8C7" w14:textId="77777777" w:rsidTr="004054B4">
        <w:trPr>
          <w:cantSplit/>
        </w:trPr>
        <w:tc>
          <w:tcPr>
            <w:tcW w:w="1098" w:type="pct"/>
            <w:tcMar>
              <w:left w:w="28" w:type="dxa"/>
              <w:right w:w="28" w:type="dxa"/>
            </w:tcMar>
            <w:vAlign w:val="center"/>
          </w:tcPr>
          <w:p w14:paraId="58690E53" w14:textId="77777777" w:rsidR="005D407F" w:rsidRPr="007150E6" w:rsidRDefault="005D407F" w:rsidP="00A45D9B">
            <w:pPr>
              <w:pStyle w:val="TableText0"/>
            </w:pPr>
            <w:r w:rsidRPr="007150E6">
              <w:t>Progressed, n</w:t>
            </w:r>
            <w:r w:rsidR="004054B4">
              <w:t>/N</w:t>
            </w:r>
            <w:r w:rsidRPr="007150E6">
              <w:t xml:space="preserve"> (%)</w:t>
            </w:r>
          </w:p>
        </w:tc>
        <w:tc>
          <w:tcPr>
            <w:tcW w:w="1258" w:type="pct"/>
            <w:tcMar>
              <w:left w:w="28" w:type="dxa"/>
              <w:right w:w="28" w:type="dxa"/>
            </w:tcMar>
            <w:vAlign w:val="center"/>
          </w:tcPr>
          <w:p w14:paraId="515779EA" w14:textId="77777777" w:rsidR="005D407F" w:rsidRPr="007150E6" w:rsidRDefault="00812733" w:rsidP="00A45D9B">
            <w:pPr>
              <w:pStyle w:val="TableText0"/>
              <w:jc w:val="center"/>
            </w:pPr>
            <w:r>
              <w:rPr>
                <w:rFonts w:eastAsiaTheme="minorHAnsi"/>
              </w:rPr>
              <w:t>559</w:t>
            </w:r>
            <w:r w:rsidR="005D407F" w:rsidRPr="007150E6">
              <w:rPr>
                <w:rFonts w:eastAsiaTheme="minorHAnsi"/>
              </w:rPr>
              <w:t>/789 (70.8%)</w:t>
            </w:r>
          </w:p>
        </w:tc>
        <w:tc>
          <w:tcPr>
            <w:tcW w:w="1100" w:type="pct"/>
            <w:tcMar>
              <w:left w:w="28" w:type="dxa"/>
              <w:right w:w="28" w:type="dxa"/>
            </w:tcMar>
            <w:vAlign w:val="center"/>
          </w:tcPr>
          <w:p w14:paraId="23ECF833" w14:textId="77777777" w:rsidR="005D407F" w:rsidRPr="007150E6" w:rsidRDefault="005D407F" w:rsidP="00A45D9B">
            <w:pPr>
              <w:pStyle w:val="TableText0"/>
              <w:jc w:val="center"/>
            </w:pPr>
            <w:r w:rsidRPr="007150E6">
              <w:rPr>
                <w:rFonts w:eastAsiaTheme="minorHAnsi"/>
              </w:rPr>
              <w:t>557/792 (70.3%)</w:t>
            </w:r>
          </w:p>
        </w:tc>
        <w:tc>
          <w:tcPr>
            <w:tcW w:w="628" w:type="pct"/>
            <w:tcMar>
              <w:left w:w="28" w:type="dxa"/>
              <w:right w:w="28" w:type="dxa"/>
            </w:tcMar>
            <w:vAlign w:val="center"/>
          </w:tcPr>
          <w:p w14:paraId="54FA8F79" w14:textId="77777777" w:rsidR="005D407F" w:rsidRPr="007150E6" w:rsidRDefault="005D407F" w:rsidP="00A45D9B">
            <w:pPr>
              <w:pStyle w:val="TableText0"/>
              <w:jc w:val="center"/>
            </w:pPr>
            <w:r w:rsidRPr="007150E6">
              <w:t>-</w:t>
            </w:r>
          </w:p>
        </w:tc>
        <w:tc>
          <w:tcPr>
            <w:tcW w:w="916" w:type="pct"/>
            <w:tcMar>
              <w:left w:w="28" w:type="dxa"/>
              <w:right w:w="28" w:type="dxa"/>
            </w:tcMar>
            <w:vAlign w:val="center"/>
          </w:tcPr>
          <w:p w14:paraId="2B5EF1B8" w14:textId="77777777" w:rsidR="005D407F" w:rsidRPr="007150E6" w:rsidRDefault="005D407F" w:rsidP="00A45D9B">
            <w:pPr>
              <w:pStyle w:val="Tabletext"/>
              <w:jc w:val="center"/>
              <w:rPr>
                <w:rFonts w:eastAsiaTheme="minorHAnsi"/>
              </w:rPr>
            </w:pPr>
            <w:r w:rsidRPr="007150E6">
              <w:rPr>
                <w:rFonts w:eastAsiaTheme="minorHAnsi"/>
              </w:rPr>
              <w:t>0.77 (0.68, 0.87)</w:t>
            </w:r>
          </w:p>
          <w:p w14:paraId="746BF4BC" w14:textId="77777777" w:rsidR="005D407F" w:rsidRPr="007150E6" w:rsidRDefault="005D407F" w:rsidP="00A45D9B">
            <w:pPr>
              <w:pStyle w:val="TableText0"/>
              <w:jc w:val="center"/>
              <w:rPr>
                <w:vertAlign w:val="superscript"/>
              </w:rPr>
            </w:pPr>
            <w:r w:rsidRPr="007150E6">
              <w:rPr>
                <w:rFonts w:eastAsiaTheme="minorHAnsi"/>
              </w:rPr>
              <w:t>(p value not tested)</w:t>
            </w:r>
            <w:r w:rsidRPr="007150E6">
              <w:rPr>
                <w:rFonts w:eastAsiaTheme="minorHAnsi"/>
                <w:vertAlign w:val="superscript"/>
              </w:rPr>
              <w:t>c</w:t>
            </w:r>
          </w:p>
        </w:tc>
      </w:tr>
      <w:tr w:rsidR="005D407F" w:rsidRPr="007150E6" w14:paraId="43EEEC35" w14:textId="77777777" w:rsidTr="004054B4">
        <w:trPr>
          <w:cantSplit/>
        </w:trPr>
        <w:tc>
          <w:tcPr>
            <w:tcW w:w="1098" w:type="pct"/>
            <w:tcMar>
              <w:left w:w="28" w:type="dxa"/>
              <w:right w:w="28" w:type="dxa"/>
            </w:tcMar>
            <w:vAlign w:val="center"/>
          </w:tcPr>
          <w:p w14:paraId="3C5B7D7E" w14:textId="77777777" w:rsidR="005D407F" w:rsidRPr="007150E6" w:rsidRDefault="005D407F" w:rsidP="00A45D9B">
            <w:pPr>
              <w:pStyle w:val="TableText0"/>
            </w:pPr>
            <w:r w:rsidRPr="007150E6">
              <w:t>Median PFS, months (95% CI)</w:t>
            </w:r>
          </w:p>
        </w:tc>
        <w:tc>
          <w:tcPr>
            <w:tcW w:w="1258" w:type="pct"/>
            <w:tcMar>
              <w:left w:w="28" w:type="dxa"/>
              <w:right w:w="28" w:type="dxa"/>
            </w:tcMar>
            <w:vAlign w:val="center"/>
          </w:tcPr>
          <w:p w14:paraId="1CEA26B7" w14:textId="77777777" w:rsidR="005D407F" w:rsidRPr="007150E6" w:rsidRDefault="005D407F" w:rsidP="00A45D9B">
            <w:pPr>
              <w:pStyle w:val="TableText0"/>
              <w:jc w:val="center"/>
            </w:pPr>
            <w:r w:rsidRPr="007150E6">
              <w:rPr>
                <w:rFonts w:eastAsiaTheme="minorHAnsi"/>
              </w:rPr>
              <w:t>7.66 (7.10, 8.54)</w:t>
            </w:r>
          </w:p>
        </w:tc>
        <w:tc>
          <w:tcPr>
            <w:tcW w:w="1100" w:type="pct"/>
            <w:tcMar>
              <w:left w:w="28" w:type="dxa"/>
              <w:right w:w="28" w:type="dxa"/>
            </w:tcMar>
            <w:vAlign w:val="center"/>
          </w:tcPr>
          <w:p w14:paraId="5DDBE916" w14:textId="77777777" w:rsidR="005D407F" w:rsidRPr="007150E6" w:rsidRDefault="005D407F" w:rsidP="00A45D9B">
            <w:pPr>
              <w:pStyle w:val="TableText0"/>
              <w:jc w:val="center"/>
            </w:pPr>
            <w:r w:rsidRPr="007150E6">
              <w:rPr>
                <w:rFonts w:eastAsiaTheme="minorHAnsi"/>
              </w:rPr>
              <w:t>6.93 (6.60, 7.13)</w:t>
            </w:r>
          </w:p>
        </w:tc>
        <w:tc>
          <w:tcPr>
            <w:tcW w:w="628" w:type="pct"/>
            <w:tcMar>
              <w:left w:w="28" w:type="dxa"/>
              <w:right w:w="28" w:type="dxa"/>
            </w:tcMar>
            <w:vAlign w:val="center"/>
          </w:tcPr>
          <w:p w14:paraId="5889CA15" w14:textId="77777777" w:rsidR="005D407F" w:rsidRPr="007150E6" w:rsidRDefault="005D407F" w:rsidP="00A45D9B">
            <w:pPr>
              <w:pStyle w:val="TableText0"/>
              <w:jc w:val="center"/>
            </w:pPr>
            <w:r w:rsidRPr="007150E6">
              <w:rPr>
                <w:rFonts w:eastAsiaTheme="minorHAnsi"/>
              </w:rPr>
              <w:t>0.73</w:t>
            </w:r>
          </w:p>
        </w:tc>
        <w:tc>
          <w:tcPr>
            <w:tcW w:w="916" w:type="pct"/>
            <w:tcMar>
              <w:left w:w="28" w:type="dxa"/>
              <w:right w:w="28" w:type="dxa"/>
            </w:tcMar>
            <w:vAlign w:val="center"/>
          </w:tcPr>
          <w:p w14:paraId="391A6058" w14:textId="77777777" w:rsidR="005D407F" w:rsidRPr="007150E6" w:rsidRDefault="005D407F" w:rsidP="00A45D9B">
            <w:pPr>
              <w:pStyle w:val="TableText0"/>
              <w:jc w:val="center"/>
            </w:pPr>
          </w:p>
        </w:tc>
      </w:tr>
      <w:tr w:rsidR="005D407F" w:rsidRPr="007150E6" w14:paraId="54462FE7" w14:textId="77777777" w:rsidTr="004054B4">
        <w:trPr>
          <w:cantSplit/>
        </w:trPr>
        <w:tc>
          <w:tcPr>
            <w:tcW w:w="5000" w:type="pct"/>
            <w:gridSpan w:val="5"/>
            <w:tcMar>
              <w:left w:w="28" w:type="dxa"/>
              <w:right w:w="28" w:type="dxa"/>
            </w:tcMar>
            <w:vAlign w:val="center"/>
          </w:tcPr>
          <w:p w14:paraId="3FE877BC" w14:textId="77777777" w:rsidR="005D407F" w:rsidRPr="007150E6" w:rsidRDefault="005D407F" w:rsidP="00A45D9B">
            <w:pPr>
              <w:pStyle w:val="In-tableHeading"/>
            </w:pPr>
            <w:r w:rsidRPr="007150E6">
              <w:t xml:space="preserve">Overall </w:t>
            </w:r>
            <w:proofErr w:type="spellStart"/>
            <w:r w:rsidRPr="007150E6">
              <w:t>survival</w:t>
            </w:r>
            <w:r w:rsidR="004054B4" w:rsidRPr="004054B4">
              <w:rPr>
                <w:vertAlign w:val="superscript"/>
              </w:rPr>
              <w:t>a</w:t>
            </w:r>
            <w:proofErr w:type="spellEnd"/>
          </w:p>
        </w:tc>
      </w:tr>
      <w:tr w:rsidR="005D407F" w:rsidRPr="00FE70C3" w14:paraId="2E37F5F7" w14:textId="77777777" w:rsidTr="004054B4">
        <w:trPr>
          <w:cantSplit/>
        </w:trPr>
        <w:tc>
          <w:tcPr>
            <w:tcW w:w="1098" w:type="pct"/>
            <w:tcMar>
              <w:left w:w="28" w:type="dxa"/>
              <w:right w:w="28" w:type="dxa"/>
            </w:tcMar>
            <w:vAlign w:val="center"/>
          </w:tcPr>
          <w:p w14:paraId="23A88B22" w14:textId="77777777" w:rsidR="005D407F" w:rsidRPr="00FE70C3" w:rsidRDefault="005D407F" w:rsidP="00A45D9B">
            <w:pPr>
              <w:pStyle w:val="TableText0"/>
            </w:pPr>
            <w:r w:rsidRPr="007F5255">
              <w:t>Deaths, n/N (%)</w:t>
            </w:r>
          </w:p>
        </w:tc>
        <w:tc>
          <w:tcPr>
            <w:tcW w:w="1258" w:type="pct"/>
            <w:tcMar>
              <w:left w:w="28" w:type="dxa"/>
              <w:right w:w="28" w:type="dxa"/>
            </w:tcMar>
            <w:vAlign w:val="center"/>
          </w:tcPr>
          <w:p w14:paraId="13EE6581" w14:textId="77777777" w:rsidR="005D407F" w:rsidRPr="00FE70C3" w:rsidRDefault="005D407F" w:rsidP="00A45D9B">
            <w:pPr>
              <w:pStyle w:val="TableText0"/>
              <w:jc w:val="center"/>
            </w:pPr>
            <w:r w:rsidRPr="00F0641F">
              <w:t>544/789 (68.9%)</w:t>
            </w:r>
          </w:p>
        </w:tc>
        <w:tc>
          <w:tcPr>
            <w:tcW w:w="1100" w:type="pct"/>
            <w:tcMar>
              <w:left w:w="28" w:type="dxa"/>
              <w:right w:w="28" w:type="dxa"/>
            </w:tcMar>
            <w:vAlign w:val="center"/>
          </w:tcPr>
          <w:p w14:paraId="3BB8CAA6" w14:textId="77777777" w:rsidR="005D407F" w:rsidRPr="00FE70C3" w:rsidRDefault="005D407F" w:rsidP="00A45D9B">
            <w:pPr>
              <w:pStyle w:val="TableText0"/>
              <w:jc w:val="center"/>
            </w:pPr>
            <w:r w:rsidRPr="00F0641F">
              <w:t>591/792</w:t>
            </w:r>
            <w:r w:rsidR="00BF6111">
              <w:t xml:space="preserve"> </w:t>
            </w:r>
            <w:r w:rsidRPr="00F0641F">
              <w:t>(74.6%)</w:t>
            </w:r>
          </w:p>
        </w:tc>
        <w:tc>
          <w:tcPr>
            <w:tcW w:w="628" w:type="pct"/>
            <w:tcMar>
              <w:left w:w="28" w:type="dxa"/>
              <w:right w:w="28" w:type="dxa"/>
            </w:tcMar>
            <w:vAlign w:val="center"/>
          </w:tcPr>
          <w:p w14:paraId="3B431267" w14:textId="77777777" w:rsidR="005D407F" w:rsidRPr="00FE70C3" w:rsidRDefault="005D407F" w:rsidP="00A45D9B">
            <w:pPr>
              <w:pStyle w:val="TableText0"/>
              <w:jc w:val="center"/>
            </w:pPr>
            <w:r>
              <w:t>-</w:t>
            </w:r>
          </w:p>
        </w:tc>
        <w:tc>
          <w:tcPr>
            <w:tcW w:w="916" w:type="pct"/>
            <w:tcMar>
              <w:left w:w="28" w:type="dxa"/>
              <w:right w:w="28" w:type="dxa"/>
            </w:tcMar>
            <w:vAlign w:val="center"/>
          </w:tcPr>
          <w:p w14:paraId="1725D9EE" w14:textId="77777777" w:rsidR="005D407F" w:rsidRPr="00771C12" w:rsidRDefault="005D407F" w:rsidP="00A45D9B">
            <w:pPr>
              <w:pStyle w:val="TableText0"/>
              <w:keepLines/>
              <w:jc w:val="center"/>
              <w:rPr>
                <w:b/>
                <w:bCs w:val="0"/>
              </w:rPr>
            </w:pPr>
            <w:r w:rsidRPr="00771C12">
              <w:rPr>
                <w:b/>
                <w:bCs w:val="0"/>
              </w:rPr>
              <w:t>0.80 (0.68, 0.94)</w:t>
            </w:r>
          </w:p>
          <w:p w14:paraId="22263124" w14:textId="77777777" w:rsidR="005D407F" w:rsidRPr="00FE70C3" w:rsidRDefault="005D407F" w:rsidP="00A45D9B">
            <w:pPr>
              <w:pStyle w:val="TableText0"/>
              <w:jc w:val="center"/>
            </w:pPr>
            <w:r w:rsidRPr="00771C12">
              <w:rPr>
                <w:b/>
                <w:bCs w:val="0"/>
              </w:rPr>
              <w:t>P=0.0002</w:t>
            </w:r>
          </w:p>
        </w:tc>
      </w:tr>
      <w:tr w:rsidR="005D407F" w:rsidRPr="00FE70C3" w14:paraId="00B88875" w14:textId="77777777" w:rsidTr="004054B4">
        <w:trPr>
          <w:cantSplit/>
        </w:trPr>
        <w:tc>
          <w:tcPr>
            <w:tcW w:w="1098" w:type="pct"/>
            <w:tcMar>
              <w:left w:w="28" w:type="dxa"/>
              <w:right w:w="28" w:type="dxa"/>
            </w:tcMar>
            <w:vAlign w:val="center"/>
          </w:tcPr>
          <w:p w14:paraId="33E3CDF0" w14:textId="77777777" w:rsidR="005D407F" w:rsidRPr="00FE70C3" w:rsidRDefault="005D407F" w:rsidP="00A45D9B">
            <w:pPr>
              <w:pStyle w:val="TableText0"/>
            </w:pPr>
            <w:r w:rsidRPr="00FE70C3">
              <w:t xml:space="preserve">Median </w:t>
            </w:r>
            <w:r w:rsidR="004054B4">
              <w:t xml:space="preserve">OS, </w:t>
            </w:r>
            <w:r w:rsidRPr="00FE70C3">
              <w:t>months</w:t>
            </w:r>
            <w:r w:rsidR="004054B4">
              <w:br/>
            </w:r>
            <w:r w:rsidRPr="00FE70C3">
              <w:t>(95% CI)</w:t>
            </w:r>
          </w:p>
        </w:tc>
        <w:tc>
          <w:tcPr>
            <w:tcW w:w="1258" w:type="pct"/>
            <w:tcMar>
              <w:left w:w="28" w:type="dxa"/>
              <w:right w:w="28" w:type="dxa"/>
            </w:tcMar>
            <w:vAlign w:val="center"/>
          </w:tcPr>
          <w:p w14:paraId="4560356C" w14:textId="77777777" w:rsidR="005D407F" w:rsidRDefault="005D407F" w:rsidP="00A45D9B">
            <w:pPr>
              <w:pStyle w:val="TableText0"/>
              <w:keepLines/>
              <w:jc w:val="center"/>
            </w:pPr>
            <w:r w:rsidRPr="00F0641F">
              <w:t>13.83</w:t>
            </w:r>
          </w:p>
          <w:p w14:paraId="16EE43C8" w14:textId="77777777" w:rsidR="005D407F" w:rsidRPr="00FE70C3" w:rsidRDefault="005D407F" w:rsidP="00A45D9B">
            <w:pPr>
              <w:pStyle w:val="TableText0"/>
              <w:jc w:val="center"/>
            </w:pPr>
            <w:r w:rsidRPr="00F0641F">
              <w:t>(12.55, 14.55</w:t>
            </w:r>
            <w:r w:rsidR="00BF6111">
              <w:t>)</w:t>
            </w:r>
          </w:p>
        </w:tc>
        <w:tc>
          <w:tcPr>
            <w:tcW w:w="1100" w:type="pct"/>
            <w:tcMar>
              <w:left w:w="28" w:type="dxa"/>
              <w:right w:w="28" w:type="dxa"/>
            </w:tcMar>
            <w:vAlign w:val="center"/>
          </w:tcPr>
          <w:p w14:paraId="4DAB1770" w14:textId="77777777" w:rsidR="005D407F" w:rsidRDefault="005D407F" w:rsidP="00A45D9B">
            <w:pPr>
              <w:pStyle w:val="TableText0"/>
              <w:keepLines/>
              <w:jc w:val="center"/>
            </w:pPr>
            <w:r w:rsidRPr="00F0641F">
              <w:t>11.56</w:t>
            </w:r>
          </w:p>
          <w:p w14:paraId="37AEFDFA" w14:textId="77777777" w:rsidR="005D407F" w:rsidRPr="00FE70C3" w:rsidRDefault="005D407F" w:rsidP="00A45D9B">
            <w:pPr>
              <w:pStyle w:val="TableText0"/>
              <w:jc w:val="center"/>
            </w:pPr>
            <w:r w:rsidRPr="00F0641F">
              <w:t>(10.87, 12.48)</w:t>
            </w:r>
          </w:p>
        </w:tc>
        <w:tc>
          <w:tcPr>
            <w:tcW w:w="628" w:type="pct"/>
            <w:tcMar>
              <w:left w:w="28" w:type="dxa"/>
              <w:right w:w="28" w:type="dxa"/>
            </w:tcMar>
            <w:vAlign w:val="center"/>
          </w:tcPr>
          <w:p w14:paraId="4F5234F0" w14:textId="77777777" w:rsidR="005D407F" w:rsidRPr="00FE70C3" w:rsidRDefault="005D407F" w:rsidP="00A45D9B">
            <w:pPr>
              <w:pStyle w:val="TableText0"/>
              <w:jc w:val="center"/>
            </w:pPr>
            <w:r w:rsidRPr="00F0641F">
              <w:t>2.27</w:t>
            </w:r>
          </w:p>
        </w:tc>
        <w:tc>
          <w:tcPr>
            <w:tcW w:w="916" w:type="pct"/>
            <w:tcMar>
              <w:left w:w="28" w:type="dxa"/>
              <w:right w:w="28" w:type="dxa"/>
            </w:tcMar>
            <w:vAlign w:val="center"/>
          </w:tcPr>
          <w:p w14:paraId="1FC5C237" w14:textId="77777777" w:rsidR="005D407F" w:rsidRPr="00FE70C3" w:rsidRDefault="005D407F" w:rsidP="00A45D9B">
            <w:pPr>
              <w:pStyle w:val="TableText0"/>
              <w:jc w:val="center"/>
            </w:pPr>
          </w:p>
        </w:tc>
      </w:tr>
    </w:tbl>
    <w:p w14:paraId="4257A720" w14:textId="77777777" w:rsidR="005D407F" w:rsidRDefault="005D407F" w:rsidP="005D407F">
      <w:pPr>
        <w:pStyle w:val="TableFooter"/>
        <w:keepNext/>
        <w:keepLines/>
      </w:pPr>
      <w:r>
        <w:t xml:space="preserve">Source: Table 26, p56 and Table 27, p59 of the submission. </w:t>
      </w:r>
    </w:p>
    <w:p w14:paraId="37B3606D" w14:textId="77777777" w:rsidR="005D407F" w:rsidRDefault="005D407F" w:rsidP="005D407F">
      <w:pPr>
        <w:pStyle w:val="TableFooter"/>
        <w:keepNext/>
        <w:keepLines/>
      </w:pPr>
      <w:r>
        <w:t xml:space="preserve">CI = confidence interval; HR = hazard ratio. </w:t>
      </w:r>
    </w:p>
    <w:p w14:paraId="778706D1" w14:textId="77777777" w:rsidR="005D407F" w:rsidRDefault="005D407F" w:rsidP="005D407F">
      <w:pPr>
        <w:pStyle w:val="TableFooter"/>
        <w:keepNext/>
        <w:keepLines/>
      </w:pPr>
      <w:proofErr w:type="gramStart"/>
      <w:r>
        <w:t>a</w:t>
      </w:r>
      <w:proofErr w:type="gramEnd"/>
      <w:r w:rsidRPr="00140CEE">
        <w:t xml:space="preserve"> Based on </w:t>
      </w:r>
      <w:r w:rsidR="005D08D7" w:rsidRPr="00140CEE">
        <w:t>Kaplan</w:t>
      </w:r>
      <w:r w:rsidRPr="00140CEE">
        <w:t>-Meier estimates</w:t>
      </w:r>
      <w:r>
        <w:tab/>
      </w:r>
    </w:p>
    <w:p w14:paraId="121D7C3C" w14:textId="77777777" w:rsidR="005D407F" w:rsidRDefault="005D407F" w:rsidP="005D407F">
      <w:pPr>
        <w:pStyle w:val="TableFooter"/>
        <w:keepNext/>
        <w:keepLines/>
      </w:pPr>
      <w:proofErr w:type="gramStart"/>
      <w:r>
        <w:t>b</w:t>
      </w:r>
      <w:proofErr w:type="gramEnd"/>
      <w:r>
        <w:t xml:space="preserve"> Calculated ad hoc</w:t>
      </w:r>
    </w:p>
    <w:p w14:paraId="1033CA77" w14:textId="77777777" w:rsidR="005D407F" w:rsidRDefault="005D407F" w:rsidP="00BF6111">
      <w:pPr>
        <w:pStyle w:val="TableFooter"/>
        <w:keepNext/>
        <w:keepLines/>
      </w:pPr>
      <w:proofErr w:type="gramStart"/>
      <w:r>
        <w:t>c</w:t>
      </w:r>
      <w:proofErr w:type="gramEnd"/>
      <w:r>
        <w:t xml:space="preserve"> Stratified p-value and hazard ratio. Stratification factors include tumour cell PD-L1 status (≥1 vs &lt;1% [including indeterminate]), region (Asia vs North America [United States and Canada] vs ROW)), ECOG PS (0 vs 1), chemotherapy (XELOX vs FOLFOX)</w:t>
      </w:r>
    </w:p>
    <w:p w14:paraId="2DEAE157" w14:textId="77777777" w:rsidR="005D407F" w:rsidRDefault="005D407F" w:rsidP="00280EAB">
      <w:pPr>
        <w:pStyle w:val="TableFooter"/>
        <w:keepNext/>
        <w:keepLines/>
        <w:spacing w:after="120"/>
      </w:pPr>
      <w:r>
        <w:t xml:space="preserve">Values in bold indicates statistically significant differences </w:t>
      </w:r>
    </w:p>
    <w:p w14:paraId="26D3A398" w14:textId="77777777" w:rsidR="00497934" w:rsidRPr="00280EAB" w:rsidRDefault="00497934" w:rsidP="00652CC2">
      <w:pPr>
        <w:pStyle w:val="3-BodyText"/>
        <w:ind w:left="720"/>
      </w:pPr>
      <w:r w:rsidRPr="00280EAB">
        <w:t>The results indicated a statistically significant improvement in OS (HR 0.80; CI: 0.68, 0.94) and a</w:t>
      </w:r>
      <w:r w:rsidR="00280EAB">
        <w:t xml:space="preserve"> median </w:t>
      </w:r>
      <w:r w:rsidRPr="00280EAB">
        <w:t xml:space="preserve">OS gain </w:t>
      </w:r>
      <w:r w:rsidR="00A4122B">
        <w:t>of</w:t>
      </w:r>
      <w:r w:rsidR="00A4122B" w:rsidRPr="00280EAB">
        <w:t xml:space="preserve"> </w:t>
      </w:r>
      <w:r w:rsidRPr="00280EAB">
        <w:t xml:space="preserve">2.27 months associated with nivolumab plus chemotherapy. </w:t>
      </w:r>
    </w:p>
    <w:p w14:paraId="2037C1A8" w14:textId="77777777" w:rsidR="007112A4" w:rsidRPr="00F37E3B" w:rsidRDefault="007112A4" w:rsidP="00236191">
      <w:pPr>
        <w:keepNext/>
        <w:keepLines/>
        <w:jc w:val="left"/>
        <w:rPr>
          <w:rStyle w:val="CommentReference"/>
        </w:rPr>
      </w:pPr>
      <w:r w:rsidRPr="00F37E3B">
        <w:rPr>
          <w:rStyle w:val="CommentReference"/>
        </w:rPr>
        <w:t xml:space="preserve">Figure </w:t>
      </w:r>
      <w:r w:rsidR="00236191">
        <w:rPr>
          <w:rFonts w:ascii="Arial Narrow" w:hAnsi="Arial Narrow"/>
          <w:b/>
          <w:noProof/>
          <w:sz w:val="20"/>
          <w:szCs w:val="16"/>
        </w:rPr>
        <w:t>1</w:t>
      </w:r>
      <w:r w:rsidRPr="00F37E3B">
        <w:rPr>
          <w:rFonts w:ascii="Arial Narrow" w:hAnsi="Arial Narrow"/>
          <w:b/>
          <w:sz w:val="20"/>
          <w:szCs w:val="16"/>
        </w:rPr>
        <w:t xml:space="preserve">: </w:t>
      </w:r>
      <w:r w:rsidRPr="00F37E3B">
        <w:rPr>
          <w:rStyle w:val="CommentReference"/>
        </w:rPr>
        <w:t xml:space="preserve">Kaplan-Meier plot of overall survival in </w:t>
      </w:r>
      <w:proofErr w:type="spellStart"/>
      <w:r w:rsidRPr="00F37E3B">
        <w:rPr>
          <w:rStyle w:val="CommentReference"/>
        </w:rPr>
        <w:t>CheckMate</w:t>
      </w:r>
      <w:proofErr w:type="spellEnd"/>
      <w:r w:rsidRPr="00F37E3B">
        <w:rPr>
          <w:rStyle w:val="CommentReference"/>
        </w:rPr>
        <w:t xml:space="preserve"> 649 updated data provided in PSCR, ITT population</w:t>
      </w:r>
    </w:p>
    <w:p w14:paraId="160D0FCB" w14:textId="77777777" w:rsidR="007112A4" w:rsidRDefault="007112A4" w:rsidP="00236191">
      <w:pPr>
        <w:pStyle w:val="3-BodyText"/>
        <w:keepNext/>
        <w:keepLines/>
        <w:numPr>
          <w:ilvl w:val="0"/>
          <w:numId w:val="0"/>
        </w:numPr>
      </w:pPr>
    </w:p>
    <w:p w14:paraId="0E239659" w14:textId="77777777" w:rsidR="007112A4" w:rsidRDefault="007112A4" w:rsidP="00236191">
      <w:pPr>
        <w:pStyle w:val="3-BodyText"/>
        <w:keepNext/>
        <w:keepLines/>
        <w:numPr>
          <w:ilvl w:val="0"/>
          <w:numId w:val="0"/>
        </w:numPr>
      </w:pPr>
      <w:r>
        <w:rPr>
          <w:noProof/>
        </w:rPr>
        <w:drawing>
          <wp:inline distT="0" distB="0" distL="0" distR="0" wp14:anchorId="252BCFC6" wp14:editId="03C78781">
            <wp:extent cx="5372100" cy="3680460"/>
            <wp:effectExtent l="0" t="0" r="0" b="0"/>
            <wp:docPr id="2" name="Picture 2" descr="Figure 1: Kaplan-Meier plot of overall survival in CheckMate 649 updated data provided in PSCR, ITT popul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Figure 1: Kaplan-Meier plot of overall survival in CheckMate 649 updated data provided in PSCR, ITT populatio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72100" cy="3680460"/>
                    </a:xfrm>
                    <a:prstGeom prst="rect">
                      <a:avLst/>
                    </a:prstGeom>
                    <a:noFill/>
                    <a:ln>
                      <a:noFill/>
                    </a:ln>
                  </pic:spPr>
                </pic:pic>
              </a:graphicData>
            </a:graphic>
          </wp:inline>
        </w:drawing>
      </w:r>
    </w:p>
    <w:p w14:paraId="064B7F45" w14:textId="77777777" w:rsidR="00236191" w:rsidRPr="00236191" w:rsidRDefault="00236191" w:rsidP="00236191">
      <w:pPr>
        <w:pStyle w:val="3-BodyText"/>
        <w:keepNext/>
        <w:keepLines/>
        <w:numPr>
          <w:ilvl w:val="0"/>
          <w:numId w:val="0"/>
        </w:numPr>
        <w:rPr>
          <w:rFonts w:ascii="Arial Narrow" w:hAnsi="Arial Narrow"/>
          <w:sz w:val="18"/>
        </w:rPr>
      </w:pPr>
      <w:r w:rsidRPr="00236191">
        <w:rPr>
          <w:rFonts w:ascii="Arial Narrow" w:hAnsi="Arial Narrow"/>
          <w:sz w:val="18"/>
        </w:rPr>
        <w:t>Source:</w:t>
      </w:r>
      <w:r>
        <w:rPr>
          <w:rFonts w:ascii="Arial Narrow" w:hAnsi="Arial Narrow"/>
          <w:sz w:val="18"/>
        </w:rPr>
        <w:t xml:space="preserve"> </w:t>
      </w:r>
      <w:proofErr w:type="spellStart"/>
      <w:r>
        <w:rPr>
          <w:rFonts w:ascii="Arial Narrow" w:hAnsi="Arial Narrow"/>
          <w:sz w:val="18"/>
        </w:rPr>
        <w:t>Janjigian</w:t>
      </w:r>
      <w:proofErr w:type="spellEnd"/>
      <w:r>
        <w:rPr>
          <w:rFonts w:ascii="Arial Narrow" w:hAnsi="Arial Narrow"/>
          <w:sz w:val="18"/>
        </w:rPr>
        <w:t xml:space="preserve"> 2021, provided with PSCR</w:t>
      </w:r>
    </w:p>
    <w:p w14:paraId="195E309E" w14:textId="77777777" w:rsidR="00760C4E" w:rsidRPr="00C7203B" w:rsidRDefault="00DA3512" w:rsidP="00C7203B">
      <w:pPr>
        <w:pStyle w:val="3-BodyText"/>
        <w:ind w:left="709"/>
        <w:rPr>
          <w:rFonts w:cstheme="minorHAnsi"/>
          <w:b/>
          <w:bCs/>
        </w:rPr>
      </w:pPr>
      <w:r w:rsidRPr="00311DF9">
        <w:t>PFS appeared to be improved in patients randomised to nivolumab plus chemotherapy compared to patients randomised to chemotherapy alone as the upper confidence interval of the HR estimate was lower than 1 and the difference in median PFS was 0.73 months. However, a p value for the HR estimate could not be calculated</w:t>
      </w:r>
      <w:r w:rsidR="0018395A">
        <w:t xml:space="preserve"> (as described in paragraph </w:t>
      </w:r>
      <w:r w:rsidR="00015523">
        <w:t>6.13</w:t>
      </w:r>
      <w:r w:rsidR="0018395A">
        <w:t>)</w:t>
      </w:r>
      <w:r w:rsidRPr="00311DF9">
        <w:t xml:space="preserve">. </w:t>
      </w:r>
      <w:r w:rsidR="00C7203B" w:rsidRPr="00C7203B">
        <w:t xml:space="preserve">The </w:t>
      </w:r>
      <w:r w:rsidR="004D37AE">
        <w:t>Pre-Sub-Committee Response</w:t>
      </w:r>
      <w:r w:rsidR="004D37AE" w:rsidRPr="00C7203B">
        <w:t xml:space="preserve"> </w:t>
      </w:r>
      <w:r w:rsidR="004D37AE">
        <w:t>(</w:t>
      </w:r>
      <w:r w:rsidR="00C7203B" w:rsidRPr="00C7203B">
        <w:t>PSCR</w:t>
      </w:r>
      <w:r w:rsidR="004D37AE">
        <w:t>)</w:t>
      </w:r>
      <w:r w:rsidR="00C7203B" w:rsidRPr="00C7203B">
        <w:t xml:space="preserve"> provided additional data for </w:t>
      </w:r>
      <w:proofErr w:type="spellStart"/>
      <w:r w:rsidR="00C7203B" w:rsidRPr="00C7203B">
        <w:t>CheckMate</w:t>
      </w:r>
      <w:proofErr w:type="spellEnd"/>
      <w:r w:rsidR="00C7203B" w:rsidRPr="00C7203B">
        <w:t xml:space="preserve"> 649 </w:t>
      </w:r>
      <w:r w:rsidR="00C7203B">
        <w:t xml:space="preserve">which reported a HR for PFS of 0.79 (95% CI, 0.70, </w:t>
      </w:r>
      <w:proofErr w:type="gramStart"/>
      <w:r w:rsidR="00C7203B">
        <w:t>0.89</w:t>
      </w:r>
      <w:proofErr w:type="gramEnd"/>
      <w:r w:rsidR="00C7203B">
        <w:t>) (Figure 2)</w:t>
      </w:r>
      <w:r w:rsidR="00BF6111" w:rsidRPr="00BF6111">
        <w:rPr>
          <w:rStyle w:val="FootnoteReference"/>
        </w:rPr>
        <w:t xml:space="preserve"> </w:t>
      </w:r>
      <w:r w:rsidR="00BF6111" w:rsidRPr="002E6DAE">
        <w:rPr>
          <w:rStyle w:val="FootnoteReference"/>
        </w:rPr>
        <w:footnoteReference w:id="3"/>
      </w:r>
      <w:r w:rsidR="00C7203B" w:rsidRPr="00C7203B">
        <w:t xml:space="preserve">. </w:t>
      </w:r>
    </w:p>
    <w:p w14:paraId="4D7BD9DD" w14:textId="77777777" w:rsidR="00324508" w:rsidRPr="00014281" w:rsidRDefault="00324508" w:rsidP="00324508">
      <w:pPr>
        <w:pStyle w:val="3-BodyText"/>
        <w:numPr>
          <w:ilvl w:val="0"/>
          <w:numId w:val="0"/>
        </w:numPr>
        <w:ind w:left="720"/>
        <w:rPr>
          <w:snapToGrid/>
          <w:lang w:val="en-US"/>
        </w:rPr>
      </w:pPr>
    </w:p>
    <w:p w14:paraId="2361E388" w14:textId="77777777" w:rsidR="00324508" w:rsidRDefault="00324508" w:rsidP="00324508">
      <w:pPr>
        <w:pStyle w:val="3-BodyText"/>
        <w:numPr>
          <w:ilvl w:val="0"/>
          <w:numId w:val="0"/>
        </w:numPr>
      </w:pPr>
    </w:p>
    <w:p w14:paraId="7D628FA0" w14:textId="77777777" w:rsidR="00C7203B" w:rsidRDefault="00C7203B" w:rsidP="00324508">
      <w:pPr>
        <w:pStyle w:val="3-BodyText"/>
        <w:numPr>
          <w:ilvl w:val="0"/>
          <w:numId w:val="0"/>
        </w:numPr>
        <w:rPr>
          <w:rStyle w:val="CommentReference"/>
        </w:rPr>
      </w:pPr>
    </w:p>
    <w:p w14:paraId="492CE84F" w14:textId="77777777" w:rsidR="00C7203B" w:rsidRDefault="00C7203B" w:rsidP="00324508">
      <w:pPr>
        <w:pStyle w:val="3-BodyText"/>
        <w:numPr>
          <w:ilvl w:val="0"/>
          <w:numId w:val="0"/>
        </w:numPr>
        <w:rPr>
          <w:rStyle w:val="CommentReference"/>
        </w:rPr>
      </w:pPr>
    </w:p>
    <w:p w14:paraId="5AD8E9DA" w14:textId="77777777" w:rsidR="00C7203B" w:rsidRDefault="00C7203B" w:rsidP="00324508">
      <w:pPr>
        <w:pStyle w:val="3-BodyText"/>
        <w:numPr>
          <w:ilvl w:val="0"/>
          <w:numId w:val="0"/>
        </w:numPr>
        <w:rPr>
          <w:rStyle w:val="CommentReference"/>
        </w:rPr>
      </w:pPr>
    </w:p>
    <w:p w14:paraId="4E903127" w14:textId="77777777" w:rsidR="00C7203B" w:rsidRDefault="00C7203B" w:rsidP="00324508">
      <w:pPr>
        <w:pStyle w:val="3-BodyText"/>
        <w:numPr>
          <w:ilvl w:val="0"/>
          <w:numId w:val="0"/>
        </w:numPr>
      </w:pPr>
      <w:r w:rsidRPr="00F37E3B">
        <w:rPr>
          <w:rStyle w:val="CommentReference"/>
        </w:rPr>
        <w:t xml:space="preserve">Figure </w:t>
      </w:r>
      <w:r w:rsidR="00236191">
        <w:rPr>
          <w:rFonts w:ascii="Arial Narrow" w:hAnsi="Arial Narrow"/>
          <w:b/>
          <w:noProof/>
          <w:sz w:val="20"/>
          <w:szCs w:val="16"/>
        </w:rPr>
        <w:t>2</w:t>
      </w:r>
      <w:r>
        <w:rPr>
          <w:rFonts w:ascii="Arial Narrow" w:hAnsi="Arial Narrow"/>
          <w:b/>
          <w:sz w:val="20"/>
          <w:szCs w:val="16"/>
        </w:rPr>
        <w:t xml:space="preserve">: </w:t>
      </w:r>
      <w:r w:rsidRPr="00F37E3B">
        <w:rPr>
          <w:rStyle w:val="CommentReference"/>
        </w:rPr>
        <w:t xml:space="preserve">Kaplan-Meier plot of overall survival in </w:t>
      </w:r>
      <w:proofErr w:type="spellStart"/>
      <w:r w:rsidRPr="00F37E3B">
        <w:rPr>
          <w:rStyle w:val="CommentReference"/>
        </w:rPr>
        <w:t>CheckMate</w:t>
      </w:r>
      <w:proofErr w:type="spellEnd"/>
      <w:r w:rsidRPr="00F37E3B">
        <w:rPr>
          <w:rStyle w:val="CommentReference"/>
        </w:rPr>
        <w:t xml:space="preserve"> 649 updated data provided in PSCR, ITT population</w:t>
      </w:r>
    </w:p>
    <w:p w14:paraId="0CBA80A9" w14:textId="77777777" w:rsidR="00C7203B" w:rsidRPr="00014281" w:rsidRDefault="00C7203B" w:rsidP="00324508">
      <w:pPr>
        <w:pStyle w:val="3-BodyText"/>
        <w:numPr>
          <w:ilvl w:val="0"/>
          <w:numId w:val="0"/>
        </w:numPr>
      </w:pPr>
      <w:r>
        <w:rPr>
          <w:noProof/>
        </w:rPr>
        <w:drawing>
          <wp:inline distT="0" distB="0" distL="0" distR="0" wp14:anchorId="401AA02E" wp14:editId="1A7EB4D4">
            <wp:extent cx="5516880" cy="4297680"/>
            <wp:effectExtent l="0" t="0" r="7620" b="7620"/>
            <wp:docPr id="1" name="Picture 1" descr="Figure 2: Kaplan-Meier plot of overall survival in CheckMate 649 updated data provided in PSCR, ITT popul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igure 2: Kaplan-Meier plot of overall survival in CheckMate 649 updated data provided in PSCR, ITT population"/>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516880" cy="4297680"/>
                    </a:xfrm>
                    <a:prstGeom prst="rect">
                      <a:avLst/>
                    </a:prstGeom>
                    <a:noFill/>
                    <a:ln>
                      <a:noFill/>
                    </a:ln>
                  </pic:spPr>
                </pic:pic>
              </a:graphicData>
            </a:graphic>
          </wp:inline>
        </w:drawing>
      </w:r>
    </w:p>
    <w:p w14:paraId="69E67E8D" w14:textId="77777777" w:rsidR="00236191" w:rsidRPr="00236191" w:rsidRDefault="00236191" w:rsidP="00236191">
      <w:pPr>
        <w:pStyle w:val="3-BodyText"/>
        <w:numPr>
          <w:ilvl w:val="0"/>
          <w:numId w:val="0"/>
        </w:numPr>
        <w:rPr>
          <w:rFonts w:ascii="Arial Narrow" w:hAnsi="Arial Narrow"/>
          <w:sz w:val="18"/>
        </w:rPr>
      </w:pPr>
      <w:r w:rsidRPr="00236191">
        <w:rPr>
          <w:rFonts w:ascii="Arial Narrow" w:hAnsi="Arial Narrow"/>
          <w:sz w:val="18"/>
        </w:rPr>
        <w:t>Source:</w:t>
      </w:r>
      <w:r>
        <w:rPr>
          <w:rFonts w:ascii="Arial Narrow" w:hAnsi="Arial Narrow"/>
          <w:sz w:val="18"/>
        </w:rPr>
        <w:t xml:space="preserve"> </w:t>
      </w:r>
      <w:proofErr w:type="spellStart"/>
      <w:r>
        <w:rPr>
          <w:rFonts w:ascii="Arial Narrow" w:hAnsi="Arial Narrow"/>
          <w:sz w:val="18"/>
        </w:rPr>
        <w:t>Janjigian</w:t>
      </w:r>
      <w:proofErr w:type="spellEnd"/>
      <w:r>
        <w:rPr>
          <w:rFonts w:ascii="Arial Narrow" w:hAnsi="Arial Narrow"/>
          <w:sz w:val="18"/>
        </w:rPr>
        <w:t xml:space="preserve"> 2021, provided with PSCR</w:t>
      </w:r>
    </w:p>
    <w:p w14:paraId="4A91D90A" w14:textId="77777777" w:rsidR="00324508" w:rsidRPr="00DF0A4C" w:rsidRDefault="002A0BA9" w:rsidP="00DF0A4C">
      <w:pPr>
        <w:pStyle w:val="3-BodyText"/>
        <w:ind w:left="720"/>
        <w:rPr>
          <w:lang w:val="en-US"/>
        </w:rPr>
      </w:pPr>
      <w:r w:rsidRPr="00236191">
        <w:rPr>
          <w:rStyle w:val="CommentReference"/>
          <w:rFonts w:asciiTheme="minorHAnsi" w:hAnsiTheme="minorHAnsi" w:cstheme="minorHAnsi"/>
          <w:b w:val="0"/>
          <w:bCs/>
          <w:sz w:val="24"/>
          <w:szCs w:val="24"/>
        </w:rPr>
        <w:t xml:space="preserve">Table </w:t>
      </w:r>
      <w:r w:rsidRPr="00236191">
        <w:rPr>
          <w:rStyle w:val="CommentReference"/>
          <w:rFonts w:asciiTheme="minorHAnsi" w:hAnsiTheme="minorHAnsi" w:cstheme="minorHAnsi"/>
          <w:b w:val="0"/>
          <w:bCs/>
          <w:noProof/>
          <w:sz w:val="24"/>
          <w:szCs w:val="24"/>
        </w:rPr>
        <w:t>5</w:t>
      </w:r>
      <w:r w:rsidR="00324508" w:rsidRPr="00236191">
        <w:rPr>
          <w:rFonts w:cstheme="minorHAnsi"/>
          <w:snapToGrid/>
          <w:lang w:val="en-US"/>
        </w:rPr>
        <w:t xml:space="preserve"> presents</w:t>
      </w:r>
      <w:r w:rsidR="00324508" w:rsidRPr="00236191">
        <w:rPr>
          <w:snapToGrid/>
          <w:lang w:val="en-US"/>
        </w:rPr>
        <w:t xml:space="preserve"> the results of overall response rate in </w:t>
      </w:r>
      <w:proofErr w:type="spellStart"/>
      <w:r w:rsidR="00324508" w:rsidRPr="00236191">
        <w:rPr>
          <w:snapToGrid/>
          <w:lang w:val="en-US"/>
        </w:rPr>
        <w:t>CheckMate</w:t>
      </w:r>
      <w:proofErr w:type="spellEnd"/>
      <w:r w:rsidR="00324508" w:rsidRPr="00236191">
        <w:rPr>
          <w:snapToGrid/>
          <w:lang w:val="en-US"/>
        </w:rPr>
        <w:t xml:space="preserve"> 649</w:t>
      </w:r>
      <w:r w:rsidR="00A4122B" w:rsidRPr="00236191">
        <w:rPr>
          <w:snapToGrid/>
          <w:lang w:val="en-US"/>
        </w:rPr>
        <w:t xml:space="preserve"> in the ITT population</w:t>
      </w:r>
      <w:r w:rsidR="00324508" w:rsidRPr="00236191">
        <w:rPr>
          <w:snapToGrid/>
          <w:lang w:val="en-US"/>
        </w:rPr>
        <w:t>.</w:t>
      </w:r>
    </w:p>
    <w:p w14:paraId="58402B19" w14:textId="77777777" w:rsidR="00324508" w:rsidRPr="00B05ADE" w:rsidRDefault="00324508" w:rsidP="00324508">
      <w:pPr>
        <w:keepNext/>
        <w:keepLines/>
        <w:rPr>
          <w:rStyle w:val="CommentReference"/>
        </w:rPr>
      </w:pPr>
      <w:bookmarkStart w:id="21" w:name="_Ref69396609"/>
      <w:r w:rsidRPr="005D407F">
        <w:rPr>
          <w:rStyle w:val="CommentReference"/>
          <w:bCs/>
          <w:szCs w:val="24"/>
        </w:rPr>
        <w:t xml:space="preserve">Table </w:t>
      </w:r>
      <w:r w:rsidR="00512624">
        <w:rPr>
          <w:rStyle w:val="CommentReference"/>
          <w:bCs/>
          <w:noProof/>
          <w:szCs w:val="24"/>
        </w:rPr>
        <w:t>5</w:t>
      </w:r>
      <w:bookmarkEnd w:id="21"/>
      <w:r w:rsidRPr="005D407F">
        <w:rPr>
          <w:rStyle w:val="CommentReference"/>
          <w:bCs/>
          <w:szCs w:val="24"/>
        </w:rPr>
        <w:t>:</w:t>
      </w:r>
      <w:r w:rsidRPr="00D86231">
        <w:rPr>
          <w:rStyle w:val="CommentReference"/>
          <w:b w:val="0"/>
          <w:szCs w:val="24"/>
        </w:rPr>
        <w:t xml:space="preserve"> </w:t>
      </w:r>
      <w:r w:rsidRPr="00B05ADE">
        <w:rPr>
          <w:rStyle w:val="CommentReference"/>
        </w:rPr>
        <w:t xml:space="preserve">Results of overall response rate in </w:t>
      </w:r>
      <w:r>
        <w:rPr>
          <w:rStyle w:val="CommentReference"/>
        </w:rPr>
        <w:t>Checkmate 649.</w:t>
      </w:r>
    </w:p>
    <w:tbl>
      <w:tblPr>
        <w:tblStyle w:val="TableGrid"/>
        <w:tblW w:w="0" w:type="auto"/>
        <w:tblLook w:val="04A0" w:firstRow="1" w:lastRow="0" w:firstColumn="1" w:lastColumn="0" w:noHBand="0" w:noVBand="1"/>
        <w:tblCaption w:val="Table 5: Results of overall response rate in Checkmate 649."/>
      </w:tblPr>
      <w:tblGrid>
        <w:gridCol w:w="1838"/>
        <w:gridCol w:w="1985"/>
        <w:gridCol w:w="1842"/>
        <w:gridCol w:w="1134"/>
        <w:gridCol w:w="1134"/>
        <w:gridCol w:w="993"/>
      </w:tblGrid>
      <w:tr w:rsidR="00324508" w:rsidRPr="00B05ADE" w14:paraId="5E5CEC5D" w14:textId="77777777" w:rsidTr="00224556">
        <w:trPr>
          <w:trHeight w:val="20"/>
          <w:tblHeader/>
        </w:trPr>
        <w:tc>
          <w:tcPr>
            <w:tcW w:w="1838" w:type="dxa"/>
          </w:tcPr>
          <w:p w14:paraId="30C24F73" w14:textId="77777777" w:rsidR="00324508" w:rsidRPr="00B05ADE" w:rsidRDefault="00324508" w:rsidP="00A45D9B">
            <w:pPr>
              <w:pStyle w:val="TableText0"/>
              <w:keepLines/>
              <w:rPr>
                <w:b/>
                <w:bCs w:val="0"/>
              </w:rPr>
            </w:pPr>
            <w:r w:rsidRPr="00B05ADE">
              <w:rPr>
                <w:b/>
                <w:bCs w:val="0"/>
              </w:rPr>
              <w:t>Analysis population</w:t>
            </w:r>
          </w:p>
        </w:tc>
        <w:tc>
          <w:tcPr>
            <w:tcW w:w="1985" w:type="dxa"/>
            <w:vAlign w:val="center"/>
          </w:tcPr>
          <w:p w14:paraId="296EC1CD" w14:textId="77777777" w:rsidR="00324508" w:rsidRPr="00B05ADE" w:rsidRDefault="00324508" w:rsidP="00A45D9B">
            <w:pPr>
              <w:pStyle w:val="TableText0"/>
              <w:keepLines/>
              <w:jc w:val="center"/>
              <w:rPr>
                <w:b/>
                <w:bCs w:val="0"/>
              </w:rPr>
            </w:pPr>
            <w:r w:rsidRPr="00B05ADE">
              <w:rPr>
                <w:b/>
                <w:bCs w:val="0"/>
              </w:rPr>
              <w:t>Nivolumab plus chemotherapy</w:t>
            </w:r>
          </w:p>
          <w:p w14:paraId="190D92D7" w14:textId="77777777" w:rsidR="00324508" w:rsidRPr="00B05ADE" w:rsidRDefault="00324508" w:rsidP="00A45D9B">
            <w:pPr>
              <w:pStyle w:val="TableText0"/>
              <w:keepLines/>
              <w:jc w:val="center"/>
              <w:rPr>
                <w:b/>
                <w:bCs w:val="0"/>
                <w:vertAlign w:val="superscript"/>
              </w:rPr>
            </w:pPr>
            <w:proofErr w:type="gramStart"/>
            <w:r w:rsidRPr="00B05ADE">
              <w:rPr>
                <w:b/>
                <w:bCs w:val="0"/>
              </w:rPr>
              <w:t>n/N</w:t>
            </w:r>
            <w:proofErr w:type="gramEnd"/>
            <w:r w:rsidRPr="00B05ADE">
              <w:rPr>
                <w:b/>
                <w:bCs w:val="0"/>
              </w:rPr>
              <w:t xml:space="preserve"> (%)</w:t>
            </w:r>
            <w:r>
              <w:rPr>
                <w:b/>
                <w:bCs w:val="0"/>
              </w:rPr>
              <w:t xml:space="preserve"> </w:t>
            </w:r>
            <w:r w:rsidRPr="00B05ADE">
              <w:rPr>
                <w:b/>
                <w:bCs w:val="0"/>
              </w:rPr>
              <w:t>(95% CI)</w:t>
            </w:r>
            <w:r w:rsidRPr="00B05ADE">
              <w:rPr>
                <w:b/>
                <w:bCs w:val="0"/>
                <w:vertAlign w:val="superscript"/>
              </w:rPr>
              <w:t>a</w:t>
            </w:r>
          </w:p>
        </w:tc>
        <w:tc>
          <w:tcPr>
            <w:tcW w:w="1842" w:type="dxa"/>
            <w:vAlign w:val="center"/>
          </w:tcPr>
          <w:p w14:paraId="38C712E1" w14:textId="77777777" w:rsidR="00324508" w:rsidRPr="00B05ADE" w:rsidRDefault="00324508" w:rsidP="00A45D9B">
            <w:pPr>
              <w:pStyle w:val="TableText0"/>
              <w:keepLines/>
              <w:jc w:val="center"/>
              <w:rPr>
                <w:b/>
                <w:bCs w:val="0"/>
              </w:rPr>
            </w:pPr>
            <w:r w:rsidRPr="00B05ADE">
              <w:rPr>
                <w:b/>
                <w:bCs w:val="0"/>
              </w:rPr>
              <w:t>Chemotherapy</w:t>
            </w:r>
          </w:p>
          <w:p w14:paraId="482C143C" w14:textId="77777777" w:rsidR="00324508" w:rsidRPr="00B05ADE" w:rsidRDefault="00324508" w:rsidP="00A45D9B">
            <w:pPr>
              <w:pStyle w:val="TableText0"/>
              <w:keepLines/>
              <w:jc w:val="center"/>
              <w:rPr>
                <w:b/>
                <w:bCs w:val="0"/>
                <w:vertAlign w:val="superscript"/>
              </w:rPr>
            </w:pPr>
            <w:proofErr w:type="gramStart"/>
            <w:r w:rsidRPr="00B05ADE">
              <w:rPr>
                <w:b/>
                <w:bCs w:val="0"/>
              </w:rPr>
              <w:t>n/N</w:t>
            </w:r>
            <w:proofErr w:type="gramEnd"/>
            <w:r w:rsidRPr="00B05ADE">
              <w:rPr>
                <w:b/>
                <w:bCs w:val="0"/>
              </w:rPr>
              <w:t xml:space="preserve"> (%)</w:t>
            </w:r>
            <w:r>
              <w:rPr>
                <w:b/>
                <w:bCs w:val="0"/>
              </w:rPr>
              <w:t xml:space="preserve"> </w:t>
            </w:r>
            <w:r w:rsidRPr="00B05ADE">
              <w:rPr>
                <w:b/>
                <w:bCs w:val="0"/>
              </w:rPr>
              <w:t>(95% CI)</w:t>
            </w:r>
            <w:r w:rsidRPr="00B05ADE">
              <w:rPr>
                <w:b/>
                <w:bCs w:val="0"/>
                <w:vertAlign w:val="superscript"/>
              </w:rPr>
              <w:t>a</w:t>
            </w:r>
          </w:p>
        </w:tc>
        <w:tc>
          <w:tcPr>
            <w:tcW w:w="1134" w:type="dxa"/>
            <w:vAlign w:val="center"/>
          </w:tcPr>
          <w:p w14:paraId="5E111B1C" w14:textId="77777777" w:rsidR="00324508" w:rsidRPr="00B05ADE" w:rsidRDefault="00324508" w:rsidP="00A45D9B">
            <w:pPr>
              <w:pStyle w:val="TableText0"/>
              <w:keepLines/>
              <w:jc w:val="center"/>
              <w:rPr>
                <w:b/>
                <w:bCs w:val="0"/>
                <w:vertAlign w:val="superscript"/>
              </w:rPr>
            </w:pPr>
            <w:r w:rsidRPr="00B05ADE">
              <w:rPr>
                <w:b/>
                <w:bCs w:val="0"/>
              </w:rPr>
              <w:t>Odds ratio (95% CI)</w:t>
            </w:r>
            <w:proofErr w:type="spellStart"/>
            <w:r w:rsidRPr="00B05ADE">
              <w:rPr>
                <w:b/>
                <w:bCs w:val="0"/>
                <w:vertAlign w:val="superscript"/>
              </w:rPr>
              <w:t>b,c</w:t>
            </w:r>
            <w:proofErr w:type="spellEnd"/>
          </w:p>
        </w:tc>
        <w:tc>
          <w:tcPr>
            <w:tcW w:w="1134" w:type="dxa"/>
            <w:vAlign w:val="center"/>
          </w:tcPr>
          <w:p w14:paraId="5149EECB" w14:textId="77777777" w:rsidR="00324508" w:rsidRPr="00B05ADE" w:rsidRDefault="00324508" w:rsidP="00A45D9B">
            <w:pPr>
              <w:pStyle w:val="TableText0"/>
              <w:keepLines/>
              <w:jc w:val="center"/>
              <w:rPr>
                <w:b/>
                <w:bCs w:val="0"/>
                <w:vertAlign w:val="superscript"/>
              </w:rPr>
            </w:pPr>
            <w:r>
              <w:rPr>
                <w:b/>
                <w:bCs w:val="0"/>
              </w:rPr>
              <w:t>RD</w:t>
            </w:r>
            <w:r w:rsidRPr="00B05ADE">
              <w:rPr>
                <w:b/>
                <w:bCs w:val="0"/>
              </w:rPr>
              <w:t xml:space="preserve"> (%) (95% CI)</w:t>
            </w:r>
            <w:r w:rsidRPr="00B05ADE">
              <w:rPr>
                <w:b/>
                <w:bCs w:val="0"/>
                <w:vertAlign w:val="superscript"/>
              </w:rPr>
              <w:t>b, c</w:t>
            </w:r>
          </w:p>
        </w:tc>
        <w:tc>
          <w:tcPr>
            <w:tcW w:w="993" w:type="dxa"/>
            <w:vAlign w:val="center"/>
          </w:tcPr>
          <w:p w14:paraId="1C5AB19F" w14:textId="77777777" w:rsidR="00324508" w:rsidRPr="00B05ADE" w:rsidRDefault="00324508" w:rsidP="00A45D9B">
            <w:pPr>
              <w:pStyle w:val="TableText0"/>
              <w:keepLines/>
              <w:jc w:val="center"/>
              <w:rPr>
                <w:b/>
                <w:bCs w:val="0"/>
                <w:vertAlign w:val="superscript"/>
              </w:rPr>
            </w:pPr>
            <w:r w:rsidRPr="00B05ADE">
              <w:rPr>
                <w:b/>
                <w:bCs w:val="0"/>
              </w:rPr>
              <w:t>P-</w:t>
            </w:r>
            <w:proofErr w:type="spellStart"/>
            <w:r w:rsidRPr="00B05ADE">
              <w:rPr>
                <w:b/>
                <w:bCs w:val="0"/>
              </w:rPr>
              <w:t>value</w:t>
            </w:r>
            <w:r w:rsidRPr="00B05ADE">
              <w:rPr>
                <w:b/>
                <w:bCs w:val="0"/>
                <w:vertAlign w:val="superscript"/>
              </w:rPr>
              <w:t>b</w:t>
            </w:r>
            <w:proofErr w:type="spellEnd"/>
            <w:r w:rsidRPr="00B05ADE">
              <w:rPr>
                <w:b/>
                <w:bCs w:val="0"/>
                <w:vertAlign w:val="superscript"/>
              </w:rPr>
              <w:t>, d</w:t>
            </w:r>
          </w:p>
        </w:tc>
      </w:tr>
      <w:tr w:rsidR="00324508" w:rsidRPr="00DE3AA7" w14:paraId="6F159FBB" w14:textId="77777777" w:rsidTr="00BF6111">
        <w:trPr>
          <w:trHeight w:val="20"/>
        </w:trPr>
        <w:tc>
          <w:tcPr>
            <w:tcW w:w="1838" w:type="dxa"/>
          </w:tcPr>
          <w:p w14:paraId="2DE49031" w14:textId="77777777" w:rsidR="00324508" w:rsidRDefault="00324508" w:rsidP="00A45D9B">
            <w:pPr>
              <w:pStyle w:val="TableText0"/>
              <w:keepLines/>
            </w:pPr>
            <w:r>
              <w:t>ITT</w:t>
            </w:r>
          </w:p>
        </w:tc>
        <w:tc>
          <w:tcPr>
            <w:tcW w:w="1985" w:type="dxa"/>
            <w:vAlign w:val="center"/>
          </w:tcPr>
          <w:p w14:paraId="347C6A90" w14:textId="77777777" w:rsidR="00324508" w:rsidRDefault="00324508" w:rsidP="00A45D9B">
            <w:pPr>
              <w:pStyle w:val="TableText0"/>
              <w:keepLines/>
              <w:jc w:val="center"/>
            </w:pPr>
            <w:r>
              <w:t xml:space="preserve">370/789 (46.9%) </w:t>
            </w:r>
          </w:p>
          <w:p w14:paraId="2410EA16" w14:textId="77777777" w:rsidR="00324508" w:rsidRPr="00DE3AA7" w:rsidRDefault="00324508" w:rsidP="00A45D9B">
            <w:pPr>
              <w:pStyle w:val="TableText0"/>
              <w:keepLines/>
              <w:jc w:val="center"/>
            </w:pPr>
            <w:r>
              <w:t>(43.4, 50.4)</w:t>
            </w:r>
          </w:p>
        </w:tc>
        <w:tc>
          <w:tcPr>
            <w:tcW w:w="1842" w:type="dxa"/>
            <w:vAlign w:val="center"/>
          </w:tcPr>
          <w:p w14:paraId="37F10451" w14:textId="77777777" w:rsidR="00324508" w:rsidRDefault="00324508" w:rsidP="00A45D9B">
            <w:pPr>
              <w:pStyle w:val="TableText0"/>
              <w:keepLines/>
              <w:jc w:val="center"/>
            </w:pPr>
            <w:r>
              <w:t xml:space="preserve">293/792 (37.0%) </w:t>
            </w:r>
          </w:p>
          <w:p w14:paraId="343F655A" w14:textId="77777777" w:rsidR="00324508" w:rsidRPr="00DE3AA7" w:rsidRDefault="00324508" w:rsidP="00A45D9B">
            <w:pPr>
              <w:pStyle w:val="TableText0"/>
              <w:keepLines/>
              <w:jc w:val="center"/>
            </w:pPr>
            <w:r>
              <w:t>(33.6, 40.5)</w:t>
            </w:r>
          </w:p>
        </w:tc>
        <w:tc>
          <w:tcPr>
            <w:tcW w:w="1134" w:type="dxa"/>
            <w:vAlign w:val="center"/>
          </w:tcPr>
          <w:p w14:paraId="7F2003EF" w14:textId="77777777" w:rsidR="00324508" w:rsidRPr="00771C12" w:rsidRDefault="00324508" w:rsidP="00A45D9B">
            <w:pPr>
              <w:pStyle w:val="TableText0"/>
              <w:keepLines/>
              <w:jc w:val="center"/>
              <w:rPr>
                <w:b/>
                <w:bCs w:val="0"/>
              </w:rPr>
            </w:pPr>
            <w:r w:rsidRPr="00771C12">
              <w:rPr>
                <w:b/>
                <w:bCs w:val="0"/>
              </w:rPr>
              <w:t xml:space="preserve">1.50 </w:t>
            </w:r>
          </w:p>
          <w:p w14:paraId="0A43EAA7" w14:textId="77777777" w:rsidR="00324508" w:rsidRPr="00771C12" w:rsidRDefault="00324508" w:rsidP="00A45D9B">
            <w:pPr>
              <w:pStyle w:val="TableText0"/>
              <w:keepLines/>
              <w:jc w:val="center"/>
              <w:rPr>
                <w:b/>
                <w:bCs w:val="0"/>
              </w:rPr>
            </w:pPr>
            <w:r w:rsidRPr="00771C12">
              <w:rPr>
                <w:b/>
                <w:bCs w:val="0"/>
              </w:rPr>
              <w:t>(1.23, 1.83)</w:t>
            </w:r>
          </w:p>
        </w:tc>
        <w:tc>
          <w:tcPr>
            <w:tcW w:w="1134" w:type="dxa"/>
            <w:vAlign w:val="center"/>
          </w:tcPr>
          <w:p w14:paraId="6A8DC1D6" w14:textId="77777777" w:rsidR="00324508" w:rsidRPr="00771C12" w:rsidRDefault="00324508" w:rsidP="00A45D9B">
            <w:pPr>
              <w:pStyle w:val="TableText0"/>
              <w:keepLines/>
              <w:jc w:val="center"/>
              <w:rPr>
                <w:b/>
                <w:bCs w:val="0"/>
              </w:rPr>
            </w:pPr>
            <w:r w:rsidRPr="00771C12">
              <w:rPr>
                <w:b/>
                <w:bCs w:val="0"/>
              </w:rPr>
              <w:t>12.2%</w:t>
            </w:r>
          </w:p>
          <w:p w14:paraId="5B521F48" w14:textId="77777777" w:rsidR="00324508" w:rsidRPr="00771C12" w:rsidRDefault="00324508" w:rsidP="00A45D9B">
            <w:pPr>
              <w:pStyle w:val="TableText0"/>
              <w:keepLines/>
              <w:jc w:val="center"/>
              <w:rPr>
                <w:b/>
                <w:bCs w:val="0"/>
              </w:rPr>
            </w:pPr>
            <w:r w:rsidRPr="00771C12">
              <w:rPr>
                <w:b/>
                <w:bCs w:val="0"/>
              </w:rPr>
              <w:t>(7.5, 16.8)</w:t>
            </w:r>
          </w:p>
        </w:tc>
        <w:tc>
          <w:tcPr>
            <w:tcW w:w="993" w:type="dxa"/>
            <w:vAlign w:val="center"/>
          </w:tcPr>
          <w:p w14:paraId="7887069D" w14:textId="77777777" w:rsidR="00324508" w:rsidRPr="00DE3AA7" w:rsidRDefault="00324508" w:rsidP="00A45D9B">
            <w:pPr>
              <w:pStyle w:val="TableText0"/>
              <w:keepLines/>
              <w:jc w:val="center"/>
            </w:pPr>
            <w:r>
              <w:t>&lt;0.0001</w:t>
            </w:r>
          </w:p>
        </w:tc>
      </w:tr>
      <w:tr w:rsidR="00324508" w:rsidRPr="00DE3AA7" w14:paraId="74AD5585" w14:textId="77777777" w:rsidTr="00BF6111">
        <w:trPr>
          <w:trHeight w:val="20"/>
        </w:trPr>
        <w:tc>
          <w:tcPr>
            <w:tcW w:w="1838" w:type="dxa"/>
          </w:tcPr>
          <w:p w14:paraId="2B9DBBF3" w14:textId="77777777" w:rsidR="00324508" w:rsidRDefault="00324508" w:rsidP="00A45D9B">
            <w:pPr>
              <w:pStyle w:val="TableText0"/>
              <w:keepLines/>
            </w:pPr>
            <w:r>
              <w:t>ITT patients with measurable disease</w:t>
            </w:r>
          </w:p>
        </w:tc>
        <w:tc>
          <w:tcPr>
            <w:tcW w:w="1985" w:type="dxa"/>
            <w:vAlign w:val="center"/>
          </w:tcPr>
          <w:p w14:paraId="5D402C39" w14:textId="77777777" w:rsidR="00324508" w:rsidRDefault="00324508" w:rsidP="00A45D9B">
            <w:pPr>
              <w:pStyle w:val="TableText0"/>
              <w:keepLines/>
              <w:jc w:val="center"/>
            </w:pPr>
            <w:r>
              <w:t>350/603 (58.0%)</w:t>
            </w:r>
          </w:p>
          <w:p w14:paraId="01ED6379" w14:textId="77777777" w:rsidR="00324508" w:rsidRDefault="00324508" w:rsidP="00A45D9B">
            <w:pPr>
              <w:pStyle w:val="TableText0"/>
              <w:keepLines/>
              <w:jc w:val="center"/>
            </w:pPr>
            <w:r>
              <w:t>(54.0, 62.0)</w:t>
            </w:r>
          </w:p>
        </w:tc>
        <w:tc>
          <w:tcPr>
            <w:tcW w:w="1842" w:type="dxa"/>
            <w:vAlign w:val="center"/>
          </w:tcPr>
          <w:p w14:paraId="0B0DC77E" w14:textId="77777777" w:rsidR="00324508" w:rsidRDefault="00324508" w:rsidP="00A45D9B">
            <w:pPr>
              <w:pStyle w:val="TableText0"/>
              <w:keepLines/>
              <w:jc w:val="center"/>
            </w:pPr>
            <w:r>
              <w:t xml:space="preserve">280/608 (46.1%) </w:t>
            </w:r>
          </w:p>
          <w:p w14:paraId="2AAAD889" w14:textId="77777777" w:rsidR="00324508" w:rsidRDefault="00324508" w:rsidP="00A45D9B">
            <w:pPr>
              <w:pStyle w:val="TableText0"/>
              <w:keepLines/>
              <w:jc w:val="center"/>
            </w:pPr>
            <w:r>
              <w:t>(42.0, 50.1)</w:t>
            </w:r>
          </w:p>
        </w:tc>
        <w:tc>
          <w:tcPr>
            <w:tcW w:w="1134" w:type="dxa"/>
            <w:vAlign w:val="center"/>
          </w:tcPr>
          <w:p w14:paraId="7741CD3C" w14:textId="77777777" w:rsidR="00324508" w:rsidRPr="00771C12" w:rsidRDefault="00324508" w:rsidP="00A45D9B">
            <w:pPr>
              <w:pStyle w:val="TableText0"/>
              <w:keepLines/>
              <w:jc w:val="center"/>
              <w:rPr>
                <w:b/>
                <w:bCs w:val="0"/>
              </w:rPr>
            </w:pPr>
            <w:r w:rsidRPr="00771C12">
              <w:rPr>
                <w:b/>
                <w:bCs w:val="0"/>
              </w:rPr>
              <w:t xml:space="preserve">1.61 </w:t>
            </w:r>
          </w:p>
          <w:p w14:paraId="326B60B6" w14:textId="77777777" w:rsidR="00324508" w:rsidRPr="00771C12" w:rsidRDefault="00324508" w:rsidP="00A45D9B">
            <w:pPr>
              <w:pStyle w:val="TableText0"/>
              <w:keepLines/>
              <w:jc w:val="center"/>
              <w:rPr>
                <w:b/>
                <w:bCs w:val="0"/>
              </w:rPr>
            </w:pPr>
            <w:r w:rsidRPr="00771C12">
              <w:rPr>
                <w:b/>
                <w:bCs w:val="0"/>
              </w:rPr>
              <w:t>(1.28, 2.02)</w:t>
            </w:r>
          </w:p>
        </w:tc>
        <w:tc>
          <w:tcPr>
            <w:tcW w:w="1134" w:type="dxa"/>
            <w:vAlign w:val="center"/>
          </w:tcPr>
          <w:p w14:paraId="5C69E32F" w14:textId="77777777" w:rsidR="00324508" w:rsidRPr="00771C12" w:rsidRDefault="00324508" w:rsidP="00A45D9B">
            <w:pPr>
              <w:pStyle w:val="TableText0"/>
              <w:keepLines/>
              <w:jc w:val="center"/>
              <w:rPr>
                <w:b/>
                <w:bCs w:val="0"/>
              </w:rPr>
            </w:pPr>
            <w:r w:rsidRPr="00771C12">
              <w:rPr>
                <w:b/>
                <w:bCs w:val="0"/>
              </w:rPr>
              <w:t>12.8%</w:t>
            </w:r>
          </w:p>
          <w:p w14:paraId="653D5D56" w14:textId="77777777" w:rsidR="00324508" w:rsidRPr="00771C12" w:rsidRDefault="00324508" w:rsidP="00A45D9B">
            <w:pPr>
              <w:pStyle w:val="TableText0"/>
              <w:keepLines/>
              <w:jc w:val="center"/>
              <w:rPr>
                <w:b/>
                <w:bCs w:val="0"/>
              </w:rPr>
            </w:pPr>
            <w:r w:rsidRPr="00771C12">
              <w:rPr>
                <w:b/>
                <w:bCs w:val="0"/>
              </w:rPr>
              <w:t>(7.3, 18.2)</w:t>
            </w:r>
          </w:p>
        </w:tc>
        <w:tc>
          <w:tcPr>
            <w:tcW w:w="993" w:type="dxa"/>
            <w:vAlign w:val="center"/>
          </w:tcPr>
          <w:p w14:paraId="7E328F38" w14:textId="77777777" w:rsidR="00324508" w:rsidRDefault="00324508" w:rsidP="00A45D9B">
            <w:pPr>
              <w:pStyle w:val="TableText0"/>
              <w:keepLines/>
              <w:jc w:val="center"/>
            </w:pPr>
            <w:r>
              <w:t>&lt;0.0001</w:t>
            </w:r>
          </w:p>
        </w:tc>
      </w:tr>
    </w:tbl>
    <w:p w14:paraId="38B6CB06" w14:textId="77777777" w:rsidR="00324508" w:rsidRDefault="00324508" w:rsidP="00324508">
      <w:pPr>
        <w:pStyle w:val="TableFooter"/>
        <w:keepNext/>
        <w:keepLines/>
        <w:rPr>
          <w:rFonts w:eastAsiaTheme="minorHAnsi"/>
        </w:rPr>
      </w:pPr>
      <w:r w:rsidRPr="00B05ADE">
        <w:rPr>
          <w:rFonts w:eastAsiaTheme="minorHAnsi"/>
        </w:rPr>
        <w:t>Source</w:t>
      </w:r>
      <w:r>
        <w:rPr>
          <w:rFonts w:eastAsiaTheme="minorHAnsi"/>
        </w:rPr>
        <w:t xml:space="preserve">: Table 28, p61 of the submission. </w:t>
      </w:r>
    </w:p>
    <w:p w14:paraId="57977AD2" w14:textId="77777777" w:rsidR="00324508" w:rsidRDefault="00324508" w:rsidP="00324508">
      <w:pPr>
        <w:pStyle w:val="TableFooter"/>
        <w:keepNext/>
        <w:keepLines/>
        <w:rPr>
          <w:rFonts w:eastAsiaTheme="minorHAnsi"/>
        </w:rPr>
      </w:pPr>
      <w:r w:rsidRPr="00B05ADE">
        <w:rPr>
          <w:rFonts w:eastAsiaTheme="minorHAnsi"/>
        </w:rPr>
        <w:t xml:space="preserve">CI = confidence interval; CM649 = </w:t>
      </w:r>
      <w:proofErr w:type="spellStart"/>
      <w:r w:rsidRPr="00B05ADE">
        <w:rPr>
          <w:rFonts w:eastAsiaTheme="minorHAnsi"/>
        </w:rPr>
        <w:t>CheckMate</w:t>
      </w:r>
      <w:proofErr w:type="spellEnd"/>
      <w:r w:rsidRPr="00B05ADE">
        <w:rPr>
          <w:rFonts w:eastAsiaTheme="minorHAnsi"/>
        </w:rPr>
        <w:t xml:space="preserve"> 649; ITT = intention to treat; n = number of participants reporting data; N = total participants in group</w:t>
      </w:r>
      <w:r>
        <w:rPr>
          <w:rFonts w:eastAsiaTheme="minorHAnsi"/>
        </w:rPr>
        <w:t>; RD = risk difference</w:t>
      </w:r>
    </w:p>
    <w:p w14:paraId="694FBBBA" w14:textId="77777777" w:rsidR="00324508" w:rsidRDefault="00324508" w:rsidP="00324508">
      <w:pPr>
        <w:pStyle w:val="TableFooter"/>
        <w:keepNext/>
        <w:keepLines/>
        <w:rPr>
          <w:rFonts w:eastAsiaTheme="minorHAnsi"/>
        </w:rPr>
      </w:pPr>
      <w:proofErr w:type="gramStart"/>
      <w:r w:rsidRPr="00B05ADE">
        <w:rPr>
          <w:rFonts w:eastAsiaTheme="minorHAnsi"/>
        </w:rPr>
        <w:t>a</w:t>
      </w:r>
      <w:proofErr w:type="gramEnd"/>
      <w:r w:rsidRPr="00B05ADE">
        <w:rPr>
          <w:rFonts w:eastAsiaTheme="minorHAnsi"/>
        </w:rPr>
        <w:t xml:space="preserve"> Confirmed complete response or partial response according to RECIST 1.1. CI based on the </w:t>
      </w:r>
      <w:proofErr w:type="spellStart"/>
      <w:r w:rsidRPr="00B05ADE">
        <w:rPr>
          <w:rFonts w:eastAsiaTheme="minorHAnsi"/>
        </w:rPr>
        <w:t>Clopper</w:t>
      </w:r>
      <w:proofErr w:type="spellEnd"/>
      <w:r w:rsidRPr="00B05ADE">
        <w:rPr>
          <w:rFonts w:eastAsiaTheme="minorHAnsi"/>
        </w:rPr>
        <w:t xml:space="preserve"> and Pearson method. </w:t>
      </w:r>
    </w:p>
    <w:p w14:paraId="32E1CEEC" w14:textId="77777777" w:rsidR="00324508" w:rsidRDefault="00BF6111" w:rsidP="00BF6111">
      <w:pPr>
        <w:pStyle w:val="TableFooter"/>
        <w:keepNext/>
        <w:keepLines/>
        <w:rPr>
          <w:rFonts w:eastAsiaTheme="minorHAnsi"/>
        </w:rPr>
      </w:pPr>
      <w:proofErr w:type="gramStart"/>
      <w:r>
        <w:rPr>
          <w:rFonts w:eastAsiaTheme="minorHAnsi"/>
        </w:rPr>
        <w:t>b</w:t>
      </w:r>
      <w:proofErr w:type="gramEnd"/>
      <w:r>
        <w:rPr>
          <w:rFonts w:eastAsiaTheme="minorHAnsi"/>
        </w:rPr>
        <w:t xml:space="preserve"> </w:t>
      </w:r>
      <w:r w:rsidR="00324508" w:rsidRPr="00B05ADE">
        <w:rPr>
          <w:rFonts w:eastAsiaTheme="minorHAnsi"/>
        </w:rPr>
        <w:t xml:space="preserve">Difference in response rate is adjusted for the stratification factors based on the </w:t>
      </w:r>
      <w:proofErr w:type="spellStart"/>
      <w:r w:rsidR="00324508" w:rsidRPr="00B05ADE">
        <w:rPr>
          <w:rFonts w:eastAsiaTheme="minorHAnsi"/>
        </w:rPr>
        <w:t>DerSimonian</w:t>
      </w:r>
      <w:proofErr w:type="spellEnd"/>
      <w:r w:rsidR="00324508" w:rsidRPr="00B05ADE">
        <w:rPr>
          <w:rFonts w:eastAsiaTheme="minorHAnsi"/>
        </w:rPr>
        <w:t xml:space="preserve"> and Laird method. Stratification factors</w:t>
      </w:r>
      <w:r w:rsidR="00324508">
        <w:rPr>
          <w:rFonts w:eastAsiaTheme="minorHAnsi"/>
        </w:rPr>
        <w:t xml:space="preserve"> </w:t>
      </w:r>
      <w:r w:rsidR="00324508" w:rsidRPr="00B05ADE">
        <w:rPr>
          <w:rFonts w:eastAsiaTheme="minorHAnsi"/>
        </w:rPr>
        <w:t>include tumour cell PD-L1 status (≥1 vs &lt;1% [including indeterminate]), region (Asia vs North America [United States and</w:t>
      </w:r>
      <w:r w:rsidR="00324508">
        <w:rPr>
          <w:rFonts w:eastAsiaTheme="minorHAnsi"/>
        </w:rPr>
        <w:t xml:space="preserve"> </w:t>
      </w:r>
      <w:r w:rsidR="00324508" w:rsidRPr="00B05ADE">
        <w:rPr>
          <w:rFonts w:eastAsiaTheme="minorHAnsi"/>
        </w:rPr>
        <w:t>Canada] vs ROW)), ECOG PS (0 vs 1), chemotherapy (XELOX vs FOLFOX)</w:t>
      </w:r>
    </w:p>
    <w:p w14:paraId="1BCC1358" w14:textId="77777777" w:rsidR="00324508" w:rsidRDefault="00324508" w:rsidP="00324508">
      <w:pPr>
        <w:pStyle w:val="TableFooter"/>
        <w:keepNext/>
        <w:keepLines/>
        <w:rPr>
          <w:rFonts w:eastAsiaTheme="minorHAnsi"/>
        </w:rPr>
      </w:pPr>
      <w:proofErr w:type="gramStart"/>
      <w:r w:rsidRPr="00B05ADE">
        <w:rPr>
          <w:rFonts w:eastAsiaTheme="minorHAnsi"/>
        </w:rPr>
        <w:t>c</w:t>
      </w:r>
      <w:proofErr w:type="gramEnd"/>
      <w:r w:rsidRPr="00B05ADE">
        <w:rPr>
          <w:rFonts w:eastAsiaTheme="minorHAnsi"/>
        </w:rPr>
        <w:t xml:space="preserve"> Strata adjusted odds ratio (nivolumab plus chemotherapy over chemotherapy) using Mantel-</w:t>
      </w:r>
      <w:proofErr w:type="spellStart"/>
      <w:r w:rsidRPr="00B05ADE">
        <w:rPr>
          <w:rFonts w:eastAsiaTheme="minorHAnsi"/>
        </w:rPr>
        <w:t>Haenszel</w:t>
      </w:r>
      <w:proofErr w:type="spellEnd"/>
      <w:r w:rsidRPr="00B05ADE">
        <w:rPr>
          <w:rFonts w:eastAsiaTheme="minorHAnsi"/>
        </w:rPr>
        <w:t xml:space="preserve"> method</w:t>
      </w:r>
    </w:p>
    <w:p w14:paraId="7F0EE81D" w14:textId="77777777" w:rsidR="00324508" w:rsidRDefault="00324508" w:rsidP="00324508">
      <w:pPr>
        <w:pStyle w:val="TableFooter"/>
        <w:keepNext/>
        <w:keepLines/>
        <w:rPr>
          <w:rFonts w:eastAsiaTheme="minorHAnsi"/>
        </w:rPr>
      </w:pPr>
      <w:proofErr w:type="gramStart"/>
      <w:r w:rsidRPr="00B05ADE">
        <w:rPr>
          <w:rFonts w:eastAsiaTheme="minorHAnsi"/>
        </w:rPr>
        <w:t>d</w:t>
      </w:r>
      <w:proofErr w:type="gramEnd"/>
      <w:r w:rsidRPr="00B05ADE">
        <w:rPr>
          <w:rFonts w:eastAsiaTheme="minorHAnsi"/>
        </w:rPr>
        <w:t xml:space="preserve"> Two-sided p-value from stratified Cochran-Mantel-</w:t>
      </w:r>
      <w:proofErr w:type="spellStart"/>
      <w:r w:rsidRPr="00B05ADE">
        <w:rPr>
          <w:rFonts w:eastAsiaTheme="minorHAnsi"/>
        </w:rPr>
        <w:t>Haenszel</w:t>
      </w:r>
      <w:proofErr w:type="spellEnd"/>
      <w:r w:rsidRPr="00B05ADE">
        <w:rPr>
          <w:rFonts w:eastAsiaTheme="minorHAnsi"/>
        </w:rPr>
        <w:t xml:space="preserve"> test</w:t>
      </w:r>
    </w:p>
    <w:p w14:paraId="79EB95DF" w14:textId="77777777" w:rsidR="00324508" w:rsidRPr="00324508" w:rsidRDefault="00324508" w:rsidP="00014281">
      <w:pPr>
        <w:pStyle w:val="TableFooter"/>
        <w:keepNext/>
        <w:keepLines/>
        <w:spacing w:after="120"/>
      </w:pPr>
      <w:r>
        <w:t xml:space="preserve">Values in bold indicates statistically significant differences </w:t>
      </w:r>
    </w:p>
    <w:p w14:paraId="5DE1773C" w14:textId="77777777" w:rsidR="00324508" w:rsidRPr="00311DF9" w:rsidRDefault="00324508" w:rsidP="00652CC2">
      <w:pPr>
        <w:pStyle w:val="3-BodyText"/>
        <w:ind w:left="720"/>
        <w:rPr>
          <w:lang w:val="en-US"/>
        </w:rPr>
      </w:pPr>
      <w:r w:rsidRPr="00311DF9">
        <w:t>A higher proportion of patients treated with nivolumab plus chemotherapy achieved a complete or partial response compared with chemotherapy.</w:t>
      </w:r>
    </w:p>
    <w:p w14:paraId="2DA80FF1" w14:textId="77777777" w:rsidR="00324508" w:rsidRPr="00311DF9" w:rsidRDefault="00324508" w:rsidP="00652CC2">
      <w:pPr>
        <w:pStyle w:val="3-BodyText"/>
        <w:ind w:left="720"/>
        <w:rPr>
          <w:lang w:val="en-US"/>
        </w:rPr>
      </w:pPr>
      <w:r w:rsidRPr="00311DF9">
        <w:t xml:space="preserve">The submission </w:t>
      </w:r>
      <w:r w:rsidR="00014281" w:rsidRPr="00311DF9">
        <w:t xml:space="preserve">provided </w:t>
      </w:r>
      <w:r w:rsidRPr="00311DF9">
        <w:t>descriptive results</w:t>
      </w:r>
      <w:r w:rsidR="00014281" w:rsidRPr="00311DF9">
        <w:t xml:space="preserve"> for the EQ-5D-3L </w:t>
      </w:r>
      <w:r w:rsidR="000F19B9" w:rsidRPr="00311DF9">
        <w:t xml:space="preserve">and EQ-5D VAS </w:t>
      </w:r>
      <w:r w:rsidR="00014281" w:rsidRPr="00311DF9">
        <w:t xml:space="preserve">in </w:t>
      </w:r>
      <w:proofErr w:type="spellStart"/>
      <w:r w:rsidR="00014281" w:rsidRPr="00311DF9">
        <w:t>CheckMate</w:t>
      </w:r>
      <w:proofErr w:type="spellEnd"/>
      <w:r w:rsidR="00014281" w:rsidRPr="00311DF9">
        <w:t xml:space="preserve"> 649</w:t>
      </w:r>
      <w:r w:rsidRPr="00311DF9">
        <w:t>. The submission noted:</w:t>
      </w:r>
    </w:p>
    <w:p w14:paraId="23784D8B" w14:textId="77777777" w:rsidR="000F19B9" w:rsidRPr="00311DF9" w:rsidRDefault="000F19B9" w:rsidP="00A4122B">
      <w:pPr>
        <w:pStyle w:val="ListParagraph"/>
        <w:widowControl w:val="0"/>
        <w:numPr>
          <w:ilvl w:val="0"/>
          <w:numId w:val="8"/>
        </w:numPr>
        <w:spacing w:after="0"/>
        <w:ind w:left="1134" w:hanging="425"/>
      </w:pPr>
      <w:r w:rsidRPr="00311DF9">
        <w:t>Baseline EQ-5D-3L and EQ-5D VAS were comparable between treatment arms;</w:t>
      </w:r>
    </w:p>
    <w:p w14:paraId="5943A1CA" w14:textId="77777777" w:rsidR="00324508" w:rsidRPr="00311DF9" w:rsidRDefault="00324508" w:rsidP="00A4122B">
      <w:pPr>
        <w:pStyle w:val="ListParagraph"/>
        <w:widowControl w:val="0"/>
        <w:numPr>
          <w:ilvl w:val="0"/>
          <w:numId w:val="8"/>
        </w:numPr>
        <w:spacing w:after="0"/>
        <w:ind w:left="1134" w:hanging="425"/>
      </w:pPr>
      <w:r w:rsidRPr="00311DF9">
        <w:t xml:space="preserve">Patients in the nivolumab plus chemotherapy arm had improvement in mean utility index scores </w:t>
      </w:r>
      <w:r w:rsidR="000F19B9" w:rsidRPr="00311DF9">
        <w:t xml:space="preserve">for EQ-5D-3L </w:t>
      </w:r>
      <w:r w:rsidRPr="00311DF9">
        <w:t>at all treatment assessments after baseline through to Week 103</w:t>
      </w:r>
      <w:r w:rsidR="000F19B9" w:rsidRPr="00311DF9">
        <w:t xml:space="preserve">. </w:t>
      </w:r>
      <w:r w:rsidRPr="00311DF9">
        <w:t>For the chemotherapy arm, patients had improvements in mean utility index scores at most, but not all, on treatment assessments</w:t>
      </w:r>
      <w:r w:rsidR="000F19B9" w:rsidRPr="00311DF9">
        <w:t>.</w:t>
      </w:r>
    </w:p>
    <w:p w14:paraId="12A2A97D" w14:textId="77777777" w:rsidR="000F19B9" w:rsidRPr="00311DF9" w:rsidRDefault="00324508" w:rsidP="00A4122B">
      <w:pPr>
        <w:pStyle w:val="ListParagraph"/>
        <w:widowControl w:val="0"/>
        <w:numPr>
          <w:ilvl w:val="0"/>
          <w:numId w:val="8"/>
        </w:numPr>
        <w:spacing w:after="0"/>
        <w:ind w:left="1134" w:hanging="425"/>
      </w:pPr>
      <w:r w:rsidRPr="00311DF9">
        <w:t xml:space="preserve">The nivolumab plus chemotherapy arm exhibited a mean change from baseline at or above the </w:t>
      </w:r>
      <w:r w:rsidR="00ED07DD" w:rsidRPr="00311DF9">
        <w:t>minimal important difference (</w:t>
      </w:r>
      <w:r w:rsidRPr="00311DF9">
        <w:t>MID</w:t>
      </w:r>
      <w:r w:rsidR="00ED07DD" w:rsidRPr="00311DF9">
        <w:t>)</w:t>
      </w:r>
      <w:r w:rsidRPr="00311DF9">
        <w:t xml:space="preserve"> </w:t>
      </w:r>
      <w:r w:rsidR="00ED07DD" w:rsidRPr="00311DF9">
        <w:t xml:space="preserve">of </w:t>
      </w:r>
      <w:r w:rsidRPr="00311DF9">
        <w:t>≥0.08 points</w:t>
      </w:r>
      <w:r w:rsidR="000F19B9" w:rsidRPr="00311DF9">
        <w:t xml:space="preserve"> </w:t>
      </w:r>
      <w:r w:rsidR="00ED07DD" w:rsidRPr="00311DF9">
        <w:t xml:space="preserve">(based on a retrospective study of cancer patients by Pickard, </w:t>
      </w:r>
      <w:proofErr w:type="spellStart"/>
      <w:r w:rsidR="00ED07DD" w:rsidRPr="00311DF9">
        <w:t>Neary</w:t>
      </w:r>
      <w:proofErr w:type="spellEnd"/>
      <w:r w:rsidR="00ED07DD" w:rsidRPr="00311DF9">
        <w:t>, et al., 2007</w:t>
      </w:r>
      <w:r w:rsidRPr="00311DF9">
        <w:t xml:space="preserve">) at three </w:t>
      </w:r>
      <w:proofErr w:type="spellStart"/>
      <w:r w:rsidRPr="00311DF9">
        <w:t>timepoints</w:t>
      </w:r>
      <w:proofErr w:type="spellEnd"/>
      <w:r w:rsidRPr="00311DF9">
        <w:t xml:space="preserve"> (Week 91, 97 and 103) compared to just one time point (Week 97) for the patients in the chemotherapy arm.</w:t>
      </w:r>
      <w:r w:rsidR="00ED07DD" w:rsidRPr="00311DF9">
        <w:t xml:space="preserve"> The MID applied were based on a subgroup of patients (n=50) </w:t>
      </w:r>
      <w:r w:rsidR="000F19B9" w:rsidRPr="00311DF9">
        <w:t xml:space="preserve">with lung cancer in Pickard, </w:t>
      </w:r>
      <w:proofErr w:type="spellStart"/>
      <w:r w:rsidR="000F19B9" w:rsidRPr="00311DF9">
        <w:t>Neary</w:t>
      </w:r>
      <w:proofErr w:type="spellEnd"/>
      <w:r w:rsidR="000F19B9" w:rsidRPr="00311DF9">
        <w:t>, et al. 2007 (n=534). The submission did not justify why a MID from lung cancer patients were applied to patients with GC, GOJC or OAC;</w:t>
      </w:r>
    </w:p>
    <w:p w14:paraId="054CD17E" w14:textId="77777777" w:rsidR="000F19B9" w:rsidRPr="00311DF9" w:rsidRDefault="000F19B9" w:rsidP="00A4122B">
      <w:pPr>
        <w:pStyle w:val="ListParagraph"/>
        <w:widowControl w:val="0"/>
        <w:numPr>
          <w:ilvl w:val="0"/>
          <w:numId w:val="8"/>
        </w:numPr>
        <w:spacing w:after="0"/>
        <w:ind w:left="1134" w:hanging="425"/>
      </w:pPr>
      <w:r w:rsidRPr="00311DF9">
        <w:t>The mean EQ-5D VAS scores in all randomised patients improved over time in both arms;</w:t>
      </w:r>
      <w:r w:rsidR="00A4122B" w:rsidRPr="00311DF9">
        <w:t xml:space="preserve"> and</w:t>
      </w:r>
    </w:p>
    <w:p w14:paraId="6F0D8146" w14:textId="77777777" w:rsidR="000F19B9" w:rsidRPr="00311DF9" w:rsidRDefault="000F19B9" w:rsidP="00353057">
      <w:pPr>
        <w:pStyle w:val="ListParagraph"/>
        <w:widowControl w:val="0"/>
        <w:numPr>
          <w:ilvl w:val="0"/>
          <w:numId w:val="8"/>
        </w:numPr>
        <w:ind w:left="1134" w:hanging="425"/>
      </w:pPr>
      <w:r w:rsidRPr="00311DF9">
        <w:t xml:space="preserve">Patients in the nivolumab plus chemotherapy arm had a mean change in EQ-5D VAS baseline scores that met or exceeded the MID (≥7 points, also based on Pickard, </w:t>
      </w:r>
      <w:proofErr w:type="spellStart"/>
      <w:r w:rsidRPr="00311DF9">
        <w:t>Neary</w:t>
      </w:r>
      <w:proofErr w:type="spellEnd"/>
      <w:r w:rsidRPr="00311DF9">
        <w:t xml:space="preserve"> et al 2007) at </w:t>
      </w:r>
      <w:proofErr w:type="spellStart"/>
      <w:r w:rsidRPr="00311DF9">
        <w:t>all time</w:t>
      </w:r>
      <w:proofErr w:type="spellEnd"/>
      <w:r w:rsidRPr="00311DF9">
        <w:t xml:space="preserve"> points where there were ≥10 patients eligible to respond, starting at Week 85. For the chemotherapy arm, the mean change from baseline did not meet or exceed the MID. This means that patients in the nivolumab plus chemotherapy arm more regularly reported clinically meaningful and important improvements in </w:t>
      </w:r>
      <w:r w:rsidR="00225F61" w:rsidRPr="00311DF9">
        <w:t>health related quality of life (</w:t>
      </w:r>
      <w:proofErr w:type="spellStart"/>
      <w:r w:rsidRPr="00311DF9">
        <w:t>HRQoL</w:t>
      </w:r>
      <w:proofErr w:type="spellEnd"/>
      <w:r w:rsidR="00225F61" w:rsidRPr="00311DF9">
        <w:t>)</w:t>
      </w:r>
      <w:r w:rsidRPr="00311DF9">
        <w:t xml:space="preserve"> than patients in the chemotherapy arm.</w:t>
      </w:r>
    </w:p>
    <w:p w14:paraId="7425449A" w14:textId="77777777" w:rsidR="00E37831" w:rsidRPr="00EB2C29" w:rsidRDefault="000F19B9" w:rsidP="00652CC2">
      <w:pPr>
        <w:pStyle w:val="3-BodyText"/>
        <w:ind w:left="720"/>
        <w:rPr>
          <w:lang w:val="en-US"/>
        </w:rPr>
      </w:pPr>
      <w:bookmarkStart w:id="22" w:name="_Ref69750761"/>
      <w:r w:rsidRPr="00311DF9">
        <w:t>T</w:t>
      </w:r>
      <w:r w:rsidR="00324508" w:rsidRPr="00311DF9">
        <w:t xml:space="preserve">he EQ-5D-3L </w:t>
      </w:r>
      <w:r w:rsidR="00DB6A3F" w:rsidRPr="00311DF9">
        <w:t xml:space="preserve">and EQ-5D VAS </w:t>
      </w:r>
      <w:r w:rsidR="00324508" w:rsidRPr="00311DF9">
        <w:t xml:space="preserve">results reported by the submission do not provide robust evidence to suggest that patients treated with nivolumab plus chemotherapy experienced improvements in </w:t>
      </w:r>
      <w:proofErr w:type="spellStart"/>
      <w:r w:rsidR="00225F61" w:rsidRPr="00311DF9">
        <w:t>HRQoL</w:t>
      </w:r>
      <w:proofErr w:type="spellEnd"/>
      <w:r w:rsidR="00324508" w:rsidRPr="00311DF9">
        <w:t xml:space="preserve"> compared to patients treated with chemotherapy alone</w:t>
      </w:r>
      <w:r w:rsidR="00DB6A3F" w:rsidRPr="00311DF9">
        <w:t xml:space="preserve">, and no formal </w:t>
      </w:r>
      <w:r w:rsidR="00553D83" w:rsidRPr="00311DF9">
        <w:t xml:space="preserve">statistical </w:t>
      </w:r>
      <w:r w:rsidR="00DB6A3F" w:rsidRPr="00311DF9">
        <w:t xml:space="preserve">testing </w:t>
      </w:r>
      <w:r w:rsidR="00553D83" w:rsidRPr="00311DF9">
        <w:t xml:space="preserve">between treatment arms was </w:t>
      </w:r>
      <w:r w:rsidR="00DB6A3F" w:rsidRPr="00311DF9">
        <w:t>conducted</w:t>
      </w:r>
      <w:r w:rsidR="00553D83" w:rsidRPr="00311DF9">
        <w:t xml:space="preserve"> to support any claims of superiority</w:t>
      </w:r>
      <w:r w:rsidRPr="00311DF9">
        <w:t>.</w:t>
      </w:r>
      <w:bookmarkEnd w:id="22"/>
      <w:r w:rsidRPr="00311DF9">
        <w:t xml:space="preserve"> </w:t>
      </w:r>
    </w:p>
    <w:p w14:paraId="54C5B09F" w14:textId="77777777" w:rsidR="00EB2C29" w:rsidRPr="00311DF9" w:rsidRDefault="00EB2C29" w:rsidP="00652CC2">
      <w:pPr>
        <w:pStyle w:val="3-BodyText"/>
        <w:ind w:left="720"/>
        <w:rPr>
          <w:lang w:val="en-US"/>
        </w:rPr>
      </w:pPr>
      <w:r>
        <w:t xml:space="preserve">The PBAC noted </w:t>
      </w:r>
      <w:r w:rsidR="00DE32BD">
        <w:t xml:space="preserve">that based on the data provided in the submission, </w:t>
      </w:r>
      <w:r>
        <w:t xml:space="preserve">the median duration of response for patients treated with nivolumab plus chemotherapy was 8.51 months compared to 6.93 months in patients treated with chemotherapy alone.  </w:t>
      </w:r>
    </w:p>
    <w:p w14:paraId="3F159429" w14:textId="77777777" w:rsidR="001A5317" w:rsidRPr="00311DF9" w:rsidRDefault="00E37831" w:rsidP="00E653A8">
      <w:pPr>
        <w:pStyle w:val="3-BodyText"/>
        <w:ind w:left="720"/>
        <w:rPr>
          <w:rFonts w:cstheme="minorHAnsi"/>
          <w:b/>
          <w:bCs/>
          <w:lang w:val="en-US"/>
        </w:rPr>
      </w:pPr>
      <w:r w:rsidRPr="00311DF9">
        <w:t>The submission presented a summary of OS results in patients who had a PD</w:t>
      </w:r>
      <w:r w:rsidR="00A4122B" w:rsidRPr="00311DF9">
        <w:t>-</w:t>
      </w:r>
      <w:r w:rsidRPr="00311DF9">
        <w:t>L1 CPS score of ≥5</w:t>
      </w:r>
      <w:r w:rsidR="00553D83" w:rsidRPr="00311DF9">
        <w:t>, which</w:t>
      </w:r>
      <w:r w:rsidRPr="00311DF9">
        <w:t xml:space="preserve"> was the co-primary endpoint of the trial. Because the submission is </w:t>
      </w:r>
      <w:r w:rsidR="00A4122B" w:rsidRPr="00311DF9">
        <w:t xml:space="preserve">requesting </w:t>
      </w:r>
      <w:r w:rsidRPr="00311DF9">
        <w:t xml:space="preserve">a restriction for a population wider than </w:t>
      </w:r>
      <w:r w:rsidR="000F1026" w:rsidRPr="00311DF9">
        <w:t xml:space="preserve">subgroup of patients which informed </w:t>
      </w:r>
      <w:r w:rsidR="00B6701B" w:rsidRPr="00311DF9">
        <w:t>the primary endpoint</w:t>
      </w:r>
      <w:r w:rsidR="000F1026" w:rsidRPr="00311DF9">
        <w:t xml:space="preserve"> of </w:t>
      </w:r>
      <w:proofErr w:type="spellStart"/>
      <w:r w:rsidR="000F1026" w:rsidRPr="00311DF9">
        <w:t>CheckMate</w:t>
      </w:r>
      <w:proofErr w:type="spellEnd"/>
      <w:r w:rsidR="000F1026" w:rsidRPr="00311DF9">
        <w:t xml:space="preserve"> 649</w:t>
      </w:r>
      <w:r w:rsidRPr="00311DF9">
        <w:t xml:space="preserve">, the survival results in the complement </w:t>
      </w:r>
      <w:r w:rsidR="00B6701B" w:rsidRPr="00311DF9">
        <w:t>is presented</w:t>
      </w:r>
      <w:r w:rsidRPr="00311DF9">
        <w:t xml:space="preserve">. </w:t>
      </w:r>
      <w:r w:rsidR="002A0BA9" w:rsidRPr="002A0BA9">
        <w:rPr>
          <w:rStyle w:val="CommentReference"/>
          <w:rFonts w:asciiTheme="minorHAnsi" w:hAnsiTheme="minorHAnsi" w:cstheme="minorHAnsi"/>
          <w:b w:val="0"/>
          <w:bCs/>
          <w:sz w:val="24"/>
          <w:szCs w:val="24"/>
        </w:rPr>
        <w:t xml:space="preserve">Table </w:t>
      </w:r>
      <w:r w:rsidR="002A0BA9" w:rsidRPr="002A0BA9">
        <w:rPr>
          <w:rStyle w:val="CommentReference"/>
          <w:rFonts w:asciiTheme="minorHAnsi" w:hAnsiTheme="minorHAnsi" w:cstheme="minorHAnsi"/>
          <w:b w:val="0"/>
          <w:bCs/>
          <w:noProof/>
          <w:sz w:val="24"/>
          <w:szCs w:val="24"/>
        </w:rPr>
        <w:t>6</w:t>
      </w:r>
      <w:r w:rsidR="001A5317" w:rsidRPr="00311DF9">
        <w:rPr>
          <w:rFonts w:cstheme="minorHAnsi"/>
          <w:b/>
          <w:bCs/>
        </w:rPr>
        <w:t xml:space="preserve"> </w:t>
      </w:r>
      <w:r w:rsidR="001A5317" w:rsidRPr="00311DF9">
        <w:rPr>
          <w:rFonts w:cstheme="minorHAnsi"/>
        </w:rPr>
        <w:t xml:space="preserve">presents the OS results of </w:t>
      </w:r>
      <w:proofErr w:type="spellStart"/>
      <w:r w:rsidR="001A5317" w:rsidRPr="00311DF9">
        <w:rPr>
          <w:rFonts w:cstheme="minorHAnsi"/>
        </w:rPr>
        <w:t>CheckMate</w:t>
      </w:r>
      <w:proofErr w:type="spellEnd"/>
      <w:r w:rsidR="001A5317" w:rsidRPr="00311DF9">
        <w:rPr>
          <w:rFonts w:cstheme="minorHAnsi"/>
        </w:rPr>
        <w:t xml:space="preserve"> 649</w:t>
      </w:r>
      <w:r w:rsidR="00553D83" w:rsidRPr="00311DF9">
        <w:rPr>
          <w:rFonts w:cstheme="minorHAnsi"/>
        </w:rPr>
        <w:t xml:space="preserve"> </w:t>
      </w:r>
      <w:r w:rsidR="001A5317" w:rsidRPr="00311DF9">
        <w:rPr>
          <w:rFonts w:cstheme="minorHAnsi"/>
        </w:rPr>
        <w:t>by CPS</w:t>
      </w:r>
      <w:r w:rsidR="00553D83" w:rsidRPr="00311DF9">
        <w:rPr>
          <w:rFonts w:cstheme="minorHAnsi"/>
        </w:rPr>
        <w:t xml:space="preserve"> &lt;5 and ≥5</w:t>
      </w:r>
      <w:r w:rsidR="001A5317" w:rsidRPr="00311DF9">
        <w:rPr>
          <w:rFonts w:cstheme="minorHAnsi"/>
        </w:rPr>
        <w:t xml:space="preserve"> subgroup</w:t>
      </w:r>
      <w:r w:rsidR="00553D83" w:rsidRPr="00311DF9">
        <w:rPr>
          <w:rFonts w:cstheme="minorHAnsi"/>
        </w:rPr>
        <w:t>s</w:t>
      </w:r>
      <w:r w:rsidR="001A5317" w:rsidRPr="00311DF9">
        <w:rPr>
          <w:rFonts w:cstheme="minorHAnsi"/>
        </w:rPr>
        <w:t>.</w:t>
      </w:r>
    </w:p>
    <w:p w14:paraId="39E1BEEA" w14:textId="77777777" w:rsidR="00E37831" w:rsidRPr="00D34A9A" w:rsidRDefault="001A5317" w:rsidP="000F19B9">
      <w:pPr>
        <w:pStyle w:val="Commentitalics"/>
        <w:keepNext/>
        <w:keepLines/>
        <w:rPr>
          <w:rStyle w:val="CommentReference"/>
          <w:i w:val="0"/>
          <w:iCs/>
        </w:rPr>
      </w:pPr>
      <w:bookmarkStart w:id="23" w:name="_Ref69397632"/>
      <w:r w:rsidRPr="001A5317">
        <w:rPr>
          <w:rStyle w:val="CommentReference"/>
          <w:bCs/>
          <w:i w:val="0"/>
          <w:iCs/>
          <w:szCs w:val="24"/>
        </w:rPr>
        <w:t xml:space="preserve">Table </w:t>
      </w:r>
      <w:r w:rsidR="002A0BA9">
        <w:rPr>
          <w:rStyle w:val="CommentReference"/>
          <w:bCs/>
          <w:i w:val="0"/>
          <w:iCs/>
          <w:noProof/>
          <w:szCs w:val="24"/>
        </w:rPr>
        <w:t>6</w:t>
      </w:r>
      <w:bookmarkEnd w:id="23"/>
      <w:r w:rsidRPr="001A5317">
        <w:rPr>
          <w:rStyle w:val="CommentReference"/>
          <w:bCs/>
          <w:i w:val="0"/>
          <w:iCs/>
          <w:szCs w:val="24"/>
        </w:rPr>
        <w:t>:</w:t>
      </w:r>
      <w:r w:rsidR="00E37831">
        <w:rPr>
          <w:rStyle w:val="CommentReference"/>
          <w:i w:val="0"/>
          <w:iCs/>
        </w:rPr>
        <w:t xml:space="preserve"> </w:t>
      </w:r>
      <w:r w:rsidR="00E37831" w:rsidRPr="00D34A9A">
        <w:rPr>
          <w:rStyle w:val="CommentReference"/>
          <w:i w:val="0"/>
          <w:iCs/>
        </w:rPr>
        <w:t xml:space="preserve">Results of overall survival in </w:t>
      </w:r>
      <w:proofErr w:type="spellStart"/>
      <w:r w:rsidR="00E37831">
        <w:rPr>
          <w:rStyle w:val="CommentReference"/>
          <w:i w:val="0"/>
          <w:iCs/>
        </w:rPr>
        <w:t>Check</w:t>
      </w:r>
      <w:r w:rsidR="000F1026">
        <w:rPr>
          <w:rStyle w:val="CommentReference"/>
          <w:i w:val="0"/>
          <w:iCs/>
        </w:rPr>
        <w:t>M</w:t>
      </w:r>
      <w:r w:rsidR="00E37831">
        <w:rPr>
          <w:rStyle w:val="CommentReference"/>
          <w:i w:val="0"/>
          <w:iCs/>
        </w:rPr>
        <w:t>ate</w:t>
      </w:r>
      <w:proofErr w:type="spellEnd"/>
      <w:r w:rsidR="00E37831">
        <w:rPr>
          <w:rStyle w:val="CommentReference"/>
          <w:i w:val="0"/>
          <w:iCs/>
        </w:rPr>
        <w:t xml:space="preserve"> 649</w:t>
      </w:r>
      <w:r w:rsidR="00E37831" w:rsidRPr="00D34A9A">
        <w:rPr>
          <w:rStyle w:val="CommentReference"/>
          <w:i w:val="0"/>
          <w:iCs/>
        </w:rPr>
        <w:t>, randomised patients with PD-L1 CPS ≥5</w:t>
      </w:r>
    </w:p>
    <w:tbl>
      <w:tblPr>
        <w:tblStyle w:val="TableGrid"/>
        <w:tblW w:w="0" w:type="auto"/>
        <w:tblLayout w:type="fixed"/>
        <w:tblLook w:val="04A0" w:firstRow="1" w:lastRow="0" w:firstColumn="1" w:lastColumn="0" w:noHBand="0" w:noVBand="1"/>
        <w:tblCaption w:val="Table 6: Results of overall survival in CheckMate 649, randomised patients with PD-L1 CPS ≥5"/>
      </w:tblPr>
      <w:tblGrid>
        <w:gridCol w:w="988"/>
        <w:gridCol w:w="992"/>
        <w:gridCol w:w="1701"/>
        <w:gridCol w:w="992"/>
        <w:gridCol w:w="1559"/>
        <w:gridCol w:w="1281"/>
        <w:gridCol w:w="1504"/>
      </w:tblGrid>
      <w:tr w:rsidR="00E37831" w:rsidRPr="002A28E2" w14:paraId="25E7FA16" w14:textId="77777777" w:rsidTr="00224556">
        <w:trPr>
          <w:tblHeader/>
        </w:trPr>
        <w:tc>
          <w:tcPr>
            <w:tcW w:w="988" w:type="dxa"/>
            <w:vMerge w:val="restart"/>
          </w:tcPr>
          <w:p w14:paraId="2465DE91" w14:textId="77777777" w:rsidR="00E37831" w:rsidRPr="002A28E2" w:rsidRDefault="00E37831" w:rsidP="000F19B9">
            <w:pPr>
              <w:pStyle w:val="TableText0"/>
              <w:keepLines/>
              <w:rPr>
                <w:b/>
              </w:rPr>
            </w:pPr>
          </w:p>
        </w:tc>
        <w:tc>
          <w:tcPr>
            <w:tcW w:w="2693" w:type="dxa"/>
            <w:gridSpan w:val="2"/>
            <w:vAlign w:val="center"/>
          </w:tcPr>
          <w:p w14:paraId="7318260E" w14:textId="77777777" w:rsidR="00E37831" w:rsidRPr="002A28E2" w:rsidRDefault="00E37831" w:rsidP="000F19B9">
            <w:pPr>
              <w:pStyle w:val="TableText0"/>
              <w:keepLines/>
              <w:jc w:val="center"/>
              <w:rPr>
                <w:b/>
              </w:rPr>
            </w:pPr>
            <w:r w:rsidRPr="002A28E2">
              <w:rPr>
                <w:b/>
              </w:rPr>
              <w:t>Nivolumab plus chemotherapy</w:t>
            </w:r>
          </w:p>
        </w:tc>
        <w:tc>
          <w:tcPr>
            <w:tcW w:w="2551" w:type="dxa"/>
            <w:gridSpan w:val="2"/>
            <w:vAlign w:val="center"/>
          </w:tcPr>
          <w:p w14:paraId="0078EEEF" w14:textId="77777777" w:rsidR="00E37831" w:rsidRPr="002A28E2" w:rsidRDefault="00E37831" w:rsidP="000F19B9">
            <w:pPr>
              <w:pStyle w:val="TableText0"/>
              <w:keepLines/>
              <w:jc w:val="center"/>
              <w:rPr>
                <w:b/>
              </w:rPr>
            </w:pPr>
            <w:r w:rsidRPr="002A28E2">
              <w:rPr>
                <w:b/>
              </w:rPr>
              <w:t>Chemotherapy</w:t>
            </w:r>
          </w:p>
        </w:tc>
        <w:tc>
          <w:tcPr>
            <w:tcW w:w="1281" w:type="dxa"/>
            <w:vMerge w:val="restart"/>
            <w:vAlign w:val="center"/>
          </w:tcPr>
          <w:p w14:paraId="3A730670" w14:textId="77777777" w:rsidR="00E37831" w:rsidRPr="002A28E2" w:rsidRDefault="00E37831" w:rsidP="000F19B9">
            <w:pPr>
              <w:pStyle w:val="TableText0"/>
              <w:keepLines/>
              <w:jc w:val="center"/>
              <w:rPr>
                <w:b/>
                <w:vertAlign w:val="superscript"/>
              </w:rPr>
            </w:pPr>
            <w:r w:rsidRPr="002A28E2">
              <w:rPr>
                <w:b/>
              </w:rPr>
              <w:t xml:space="preserve">Difference in </w:t>
            </w:r>
            <w:proofErr w:type="spellStart"/>
            <w:r w:rsidRPr="002A28E2">
              <w:rPr>
                <w:b/>
              </w:rPr>
              <w:t>median</w:t>
            </w:r>
            <w:r w:rsidRPr="002A28E2">
              <w:rPr>
                <w:b/>
                <w:vertAlign w:val="superscript"/>
              </w:rPr>
              <w:t>b</w:t>
            </w:r>
            <w:proofErr w:type="spellEnd"/>
          </w:p>
        </w:tc>
        <w:tc>
          <w:tcPr>
            <w:tcW w:w="1504" w:type="dxa"/>
            <w:vMerge w:val="restart"/>
            <w:vAlign w:val="center"/>
          </w:tcPr>
          <w:p w14:paraId="69CAD8B1" w14:textId="77777777" w:rsidR="00E37831" w:rsidRPr="002A28E2" w:rsidRDefault="00E37831" w:rsidP="000F19B9">
            <w:pPr>
              <w:pStyle w:val="TableText0"/>
              <w:keepLines/>
              <w:jc w:val="center"/>
              <w:rPr>
                <w:b/>
                <w:vertAlign w:val="superscript"/>
              </w:rPr>
            </w:pPr>
            <w:r w:rsidRPr="002A28E2">
              <w:rPr>
                <w:b/>
              </w:rPr>
              <w:t xml:space="preserve">Hazard ratio </w:t>
            </w:r>
            <w:r w:rsidRPr="002A28E2">
              <w:rPr>
                <w:b/>
              </w:rPr>
              <w:br/>
              <w:t>(95% CI)</w:t>
            </w:r>
            <w:r w:rsidRPr="002A28E2">
              <w:rPr>
                <w:b/>
                <w:vertAlign w:val="superscript"/>
              </w:rPr>
              <w:t>c</w:t>
            </w:r>
          </w:p>
        </w:tc>
      </w:tr>
      <w:tr w:rsidR="00E37831" w:rsidRPr="002A28E2" w14:paraId="001EB57C" w14:textId="77777777" w:rsidTr="00224556">
        <w:trPr>
          <w:tblHeader/>
        </w:trPr>
        <w:tc>
          <w:tcPr>
            <w:tcW w:w="988" w:type="dxa"/>
            <w:vMerge/>
          </w:tcPr>
          <w:p w14:paraId="4F71D42A" w14:textId="77777777" w:rsidR="00E37831" w:rsidRPr="002A28E2" w:rsidRDefault="00E37831" w:rsidP="000F19B9">
            <w:pPr>
              <w:pStyle w:val="TableText0"/>
              <w:keepLines/>
              <w:rPr>
                <w:b/>
              </w:rPr>
            </w:pPr>
          </w:p>
        </w:tc>
        <w:tc>
          <w:tcPr>
            <w:tcW w:w="992" w:type="dxa"/>
            <w:vAlign w:val="center"/>
          </w:tcPr>
          <w:p w14:paraId="5CE5359C" w14:textId="77777777" w:rsidR="00E37831" w:rsidRPr="002A28E2" w:rsidRDefault="00E37831" w:rsidP="000F19B9">
            <w:pPr>
              <w:pStyle w:val="TableText0"/>
              <w:keepLines/>
              <w:jc w:val="center"/>
              <w:rPr>
                <w:b/>
              </w:rPr>
            </w:pPr>
            <w:proofErr w:type="gramStart"/>
            <w:r w:rsidRPr="002A28E2">
              <w:rPr>
                <w:b/>
              </w:rPr>
              <w:t>n/N</w:t>
            </w:r>
            <w:proofErr w:type="gramEnd"/>
            <w:r w:rsidRPr="002A28E2">
              <w:rPr>
                <w:b/>
              </w:rPr>
              <w:t xml:space="preserve"> (%)</w:t>
            </w:r>
          </w:p>
        </w:tc>
        <w:tc>
          <w:tcPr>
            <w:tcW w:w="1701" w:type="dxa"/>
            <w:vAlign w:val="center"/>
          </w:tcPr>
          <w:p w14:paraId="60468028" w14:textId="77777777" w:rsidR="00E37831" w:rsidRPr="002A28E2" w:rsidRDefault="00E37831" w:rsidP="000F19B9">
            <w:pPr>
              <w:pStyle w:val="TableText0"/>
              <w:keepLines/>
              <w:jc w:val="center"/>
              <w:rPr>
                <w:b/>
              </w:rPr>
            </w:pPr>
            <w:r w:rsidRPr="002A28E2">
              <w:rPr>
                <w:b/>
              </w:rPr>
              <w:t>Median (95% CI)</w:t>
            </w:r>
            <w:r w:rsidRPr="002A28E2">
              <w:rPr>
                <w:b/>
                <w:vertAlign w:val="superscript"/>
              </w:rPr>
              <w:t>a</w:t>
            </w:r>
          </w:p>
        </w:tc>
        <w:tc>
          <w:tcPr>
            <w:tcW w:w="992" w:type="dxa"/>
            <w:vAlign w:val="center"/>
          </w:tcPr>
          <w:p w14:paraId="0BAF5A3F" w14:textId="77777777" w:rsidR="00E37831" w:rsidRPr="002A28E2" w:rsidRDefault="00E37831" w:rsidP="000F19B9">
            <w:pPr>
              <w:pStyle w:val="TableText0"/>
              <w:keepLines/>
              <w:jc w:val="center"/>
              <w:rPr>
                <w:b/>
              </w:rPr>
            </w:pPr>
            <w:proofErr w:type="gramStart"/>
            <w:r w:rsidRPr="002A28E2">
              <w:rPr>
                <w:b/>
              </w:rPr>
              <w:t>n/N</w:t>
            </w:r>
            <w:proofErr w:type="gramEnd"/>
            <w:r w:rsidRPr="002A28E2">
              <w:rPr>
                <w:b/>
              </w:rPr>
              <w:t xml:space="preserve"> (%)</w:t>
            </w:r>
          </w:p>
        </w:tc>
        <w:tc>
          <w:tcPr>
            <w:tcW w:w="1559" w:type="dxa"/>
            <w:vAlign w:val="center"/>
          </w:tcPr>
          <w:p w14:paraId="6125E2F3" w14:textId="77777777" w:rsidR="00E37831" w:rsidRPr="002A28E2" w:rsidRDefault="00E37831" w:rsidP="000F19B9">
            <w:pPr>
              <w:pStyle w:val="TableText0"/>
              <w:keepLines/>
              <w:jc w:val="center"/>
              <w:rPr>
                <w:b/>
                <w:vertAlign w:val="superscript"/>
              </w:rPr>
            </w:pPr>
            <w:r w:rsidRPr="002A28E2">
              <w:rPr>
                <w:b/>
              </w:rPr>
              <w:t>Median (95% CI)</w:t>
            </w:r>
            <w:r w:rsidRPr="002A28E2">
              <w:rPr>
                <w:b/>
                <w:vertAlign w:val="superscript"/>
              </w:rPr>
              <w:t>a</w:t>
            </w:r>
          </w:p>
        </w:tc>
        <w:tc>
          <w:tcPr>
            <w:tcW w:w="1281" w:type="dxa"/>
            <w:vMerge/>
            <w:vAlign w:val="center"/>
          </w:tcPr>
          <w:p w14:paraId="058069BC" w14:textId="77777777" w:rsidR="00E37831" w:rsidRPr="002A28E2" w:rsidRDefault="00E37831" w:rsidP="000F19B9">
            <w:pPr>
              <w:pStyle w:val="TableText0"/>
              <w:keepLines/>
              <w:jc w:val="center"/>
              <w:rPr>
                <w:b/>
              </w:rPr>
            </w:pPr>
          </w:p>
        </w:tc>
        <w:tc>
          <w:tcPr>
            <w:tcW w:w="1504" w:type="dxa"/>
            <w:vMerge/>
            <w:vAlign w:val="center"/>
          </w:tcPr>
          <w:p w14:paraId="2A650287" w14:textId="77777777" w:rsidR="00E37831" w:rsidRPr="002A28E2" w:rsidRDefault="00E37831" w:rsidP="000F19B9">
            <w:pPr>
              <w:pStyle w:val="TableText0"/>
              <w:keepLines/>
              <w:jc w:val="center"/>
              <w:rPr>
                <w:b/>
              </w:rPr>
            </w:pPr>
          </w:p>
        </w:tc>
      </w:tr>
      <w:tr w:rsidR="00E37831" w:rsidRPr="00DE3AA7" w14:paraId="433CF526" w14:textId="77777777" w:rsidTr="00BF6111">
        <w:tc>
          <w:tcPr>
            <w:tcW w:w="988" w:type="dxa"/>
            <w:vAlign w:val="center"/>
          </w:tcPr>
          <w:p w14:paraId="3525119E" w14:textId="77777777" w:rsidR="00E37831" w:rsidRDefault="00E37831" w:rsidP="000F19B9">
            <w:pPr>
              <w:pStyle w:val="TableText0"/>
              <w:keepLines/>
            </w:pPr>
            <w:r>
              <w:t>ITT</w:t>
            </w:r>
          </w:p>
        </w:tc>
        <w:tc>
          <w:tcPr>
            <w:tcW w:w="992" w:type="dxa"/>
            <w:vAlign w:val="center"/>
          </w:tcPr>
          <w:p w14:paraId="6A219D62" w14:textId="77777777" w:rsidR="00E37831" w:rsidRDefault="00E37831" w:rsidP="000F19B9">
            <w:pPr>
              <w:pStyle w:val="TableText0"/>
              <w:keepLines/>
              <w:jc w:val="center"/>
            </w:pPr>
            <w:r w:rsidRPr="00F0641F">
              <w:t>544/789 (68.9%)</w:t>
            </w:r>
          </w:p>
        </w:tc>
        <w:tc>
          <w:tcPr>
            <w:tcW w:w="1701" w:type="dxa"/>
            <w:vAlign w:val="center"/>
          </w:tcPr>
          <w:p w14:paraId="269FAFAA" w14:textId="77777777" w:rsidR="00E37831" w:rsidRDefault="00E37831" w:rsidP="000F19B9">
            <w:pPr>
              <w:pStyle w:val="TableText0"/>
              <w:keepLines/>
              <w:jc w:val="center"/>
            </w:pPr>
            <w:r w:rsidRPr="00F0641F">
              <w:t>13.83</w:t>
            </w:r>
          </w:p>
          <w:p w14:paraId="5722D849" w14:textId="77777777" w:rsidR="00E37831" w:rsidRDefault="00E37831" w:rsidP="000F19B9">
            <w:pPr>
              <w:pStyle w:val="TableText0"/>
              <w:keepLines/>
              <w:jc w:val="center"/>
            </w:pPr>
            <w:r w:rsidRPr="00F0641F">
              <w:t>(12.55, 14.55)</w:t>
            </w:r>
          </w:p>
        </w:tc>
        <w:tc>
          <w:tcPr>
            <w:tcW w:w="992" w:type="dxa"/>
            <w:vAlign w:val="center"/>
          </w:tcPr>
          <w:p w14:paraId="6ED045F4" w14:textId="77777777" w:rsidR="00E37831" w:rsidRDefault="00E37831" w:rsidP="000F19B9">
            <w:pPr>
              <w:pStyle w:val="TableText0"/>
              <w:keepLines/>
              <w:jc w:val="center"/>
            </w:pPr>
            <w:r w:rsidRPr="00F0641F">
              <w:t>591/792</w:t>
            </w:r>
          </w:p>
          <w:p w14:paraId="47188EE3" w14:textId="77777777" w:rsidR="00E37831" w:rsidRDefault="00E37831" w:rsidP="000F19B9">
            <w:pPr>
              <w:pStyle w:val="TableText0"/>
              <w:keepLines/>
              <w:jc w:val="center"/>
            </w:pPr>
            <w:r w:rsidRPr="00F0641F">
              <w:t>(74.6%)</w:t>
            </w:r>
          </w:p>
        </w:tc>
        <w:tc>
          <w:tcPr>
            <w:tcW w:w="1559" w:type="dxa"/>
            <w:vAlign w:val="center"/>
          </w:tcPr>
          <w:p w14:paraId="142E6E03" w14:textId="77777777" w:rsidR="00E37831" w:rsidRDefault="00E37831" w:rsidP="000F19B9">
            <w:pPr>
              <w:pStyle w:val="TableText0"/>
              <w:keepLines/>
              <w:jc w:val="center"/>
            </w:pPr>
            <w:r w:rsidRPr="00F0641F">
              <w:t>11.56</w:t>
            </w:r>
          </w:p>
          <w:p w14:paraId="543F30DF" w14:textId="77777777" w:rsidR="00E37831" w:rsidRDefault="00E37831" w:rsidP="000F19B9">
            <w:pPr>
              <w:pStyle w:val="TableText0"/>
              <w:keepLines/>
              <w:jc w:val="center"/>
            </w:pPr>
            <w:r w:rsidRPr="00F0641F">
              <w:t>(10.87, 12.48)</w:t>
            </w:r>
          </w:p>
        </w:tc>
        <w:tc>
          <w:tcPr>
            <w:tcW w:w="1281" w:type="dxa"/>
            <w:vAlign w:val="center"/>
          </w:tcPr>
          <w:p w14:paraId="1742B54E" w14:textId="77777777" w:rsidR="00E37831" w:rsidRDefault="00E37831" w:rsidP="000F19B9">
            <w:pPr>
              <w:pStyle w:val="TableText0"/>
              <w:keepLines/>
              <w:jc w:val="center"/>
            </w:pPr>
            <w:r w:rsidRPr="00F0641F">
              <w:t>2.27</w:t>
            </w:r>
          </w:p>
        </w:tc>
        <w:tc>
          <w:tcPr>
            <w:tcW w:w="1504" w:type="dxa"/>
            <w:vAlign w:val="center"/>
          </w:tcPr>
          <w:p w14:paraId="75322017" w14:textId="77777777" w:rsidR="00E37831" w:rsidRPr="00771C12" w:rsidRDefault="00E37831" w:rsidP="000F19B9">
            <w:pPr>
              <w:pStyle w:val="TableText0"/>
              <w:keepLines/>
              <w:jc w:val="center"/>
              <w:rPr>
                <w:b/>
                <w:bCs w:val="0"/>
              </w:rPr>
            </w:pPr>
            <w:r w:rsidRPr="00771C12">
              <w:rPr>
                <w:b/>
                <w:bCs w:val="0"/>
              </w:rPr>
              <w:t>0.80 (0.68, 0.94)</w:t>
            </w:r>
          </w:p>
          <w:p w14:paraId="1F05F962" w14:textId="77777777" w:rsidR="00E37831" w:rsidRDefault="00E37831" w:rsidP="000F19B9">
            <w:pPr>
              <w:pStyle w:val="TableText0"/>
              <w:keepLines/>
              <w:jc w:val="center"/>
            </w:pPr>
            <w:r w:rsidRPr="00771C12">
              <w:rPr>
                <w:b/>
                <w:bCs w:val="0"/>
              </w:rPr>
              <w:t>P=0.0002</w:t>
            </w:r>
          </w:p>
        </w:tc>
      </w:tr>
      <w:tr w:rsidR="00E37831" w:rsidRPr="00DE3AA7" w14:paraId="7AF3E685" w14:textId="77777777" w:rsidTr="00BF6111">
        <w:tc>
          <w:tcPr>
            <w:tcW w:w="988" w:type="dxa"/>
            <w:vAlign w:val="center"/>
          </w:tcPr>
          <w:p w14:paraId="149596C3" w14:textId="77777777" w:rsidR="00E37831" w:rsidRPr="00DE3AA7" w:rsidRDefault="00E37831" w:rsidP="000F19B9">
            <w:pPr>
              <w:pStyle w:val="TableText0"/>
              <w:keepLines/>
            </w:pPr>
            <w:r>
              <w:t>CPS ≥5</w:t>
            </w:r>
          </w:p>
        </w:tc>
        <w:tc>
          <w:tcPr>
            <w:tcW w:w="992" w:type="dxa"/>
            <w:vAlign w:val="center"/>
          </w:tcPr>
          <w:p w14:paraId="49C57627" w14:textId="77777777" w:rsidR="00E37831" w:rsidRPr="00DE3AA7" w:rsidRDefault="00E37831" w:rsidP="000F19B9">
            <w:pPr>
              <w:pStyle w:val="TableText0"/>
              <w:keepLines/>
              <w:jc w:val="center"/>
            </w:pPr>
            <w:r>
              <w:t>309/473 (65.3%)</w:t>
            </w:r>
          </w:p>
        </w:tc>
        <w:tc>
          <w:tcPr>
            <w:tcW w:w="1701" w:type="dxa"/>
            <w:vAlign w:val="center"/>
          </w:tcPr>
          <w:p w14:paraId="3752A2AA" w14:textId="77777777" w:rsidR="00E37831" w:rsidRDefault="00E37831" w:rsidP="000F19B9">
            <w:pPr>
              <w:pStyle w:val="TableText0"/>
              <w:keepLines/>
              <w:jc w:val="center"/>
            </w:pPr>
            <w:r>
              <w:t>14.39</w:t>
            </w:r>
          </w:p>
          <w:p w14:paraId="78372E31" w14:textId="77777777" w:rsidR="00E37831" w:rsidRPr="00DE3AA7" w:rsidRDefault="00E37831" w:rsidP="000F19B9">
            <w:pPr>
              <w:pStyle w:val="TableText0"/>
              <w:keepLines/>
              <w:jc w:val="center"/>
            </w:pPr>
            <w:r>
              <w:t>(13.11, 16.23)</w:t>
            </w:r>
          </w:p>
        </w:tc>
        <w:tc>
          <w:tcPr>
            <w:tcW w:w="992" w:type="dxa"/>
            <w:vAlign w:val="center"/>
          </w:tcPr>
          <w:p w14:paraId="77F41737" w14:textId="77777777" w:rsidR="00E37831" w:rsidRPr="00DE3AA7" w:rsidRDefault="00E37831" w:rsidP="000F19B9">
            <w:pPr>
              <w:pStyle w:val="TableText0"/>
              <w:keepLines/>
              <w:jc w:val="center"/>
            </w:pPr>
            <w:r>
              <w:t>362/482 (75.1%)</w:t>
            </w:r>
          </w:p>
        </w:tc>
        <w:tc>
          <w:tcPr>
            <w:tcW w:w="1559" w:type="dxa"/>
            <w:vAlign w:val="center"/>
          </w:tcPr>
          <w:p w14:paraId="6A2B9E47" w14:textId="77777777" w:rsidR="00E37831" w:rsidRDefault="00E37831" w:rsidP="000F19B9">
            <w:pPr>
              <w:pStyle w:val="TableText0"/>
              <w:keepLines/>
              <w:jc w:val="center"/>
            </w:pPr>
            <w:r>
              <w:t>11.10</w:t>
            </w:r>
          </w:p>
          <w:p w14:paraId="2663E907" w14:textId="77777777" w:rsidR="00E37831" w:rsidRPr="00DE3AA7" w:rsidRDefault="00E37831" w:rsidP="000F19B9">
            <w:pPr>
              <w:pStyle w:val="TableText0"/>
              <w:keepLines/>
              <w:jc w:val="center"/>
            </w:pPr>
            <w:r>
              <w:t>(10.02, 12.09)</w:t>
            </w:r>
          </w:p>
        </w:tc>
        <w:tc>
          <w:tcPr>
            <w:tcW w:w="1281" w:type="dxa"/>
            <w:vAlign w:val="center"/>
          </w:tcPr>
          <w:p w14:paraId="61EF8636" w14:textId="77777777" w:rsidR="00E37831" w:rsidRPr="00DE3AA7" w:rsidRDefault="00E37831" w:rsidP="000F19B9">
            <w:pPr>
              <w:pStyle w:val="TableText0"/>
              <w:keepLines/>
              <w:jc w:val="center"/>
            </w:pPr>
            <w:r>
              <w:t>3.29</w:t>
            </w:r>
          </w:p>
        </w:tc>
        <w:tc>
          <w:tcPr>
            <w:tcW w:w="1504" w:type="dxa"/>
            <w:vAlign w:val="center"/>
          </w:tcPr>
          <w:p w14:paraId="3CFCA933" w14:textId="77777777" w:rsidR="00E37831" w:rsidRPr="00B84DDB" w:rsidRDefault="00E37831" w:rsidP="000F19B9">
            <w:pPr>
              <w:pStyle w:val="TableText0"/>
              <w:keepLines/>
              <w:jc w:val="center"/>
              <w:rPr>
                <w:b/>
                <w:bCs w:val="0"/>
              </w:rPr>
            </w:pPr>
            <w:r w:rsidRPr="00B84DDB">
              <w:rPr>
                <w:b/>
                <w:bCs w:val="0"/>
              </w:rPr>
              <w:t>0.71 (0.59, 0.86)</w:t>
            </w:r>
          </w:p>
          <w:p w14:paraId="43F3CC5D" w14:textId="77777777" w:rsidR="00E37831" w:rsidRPr="00DE3AA7" w:rsidRDefault="00E37831" w:rsidP="000F19B9">
            <w:pPr>
              <w:pStyle w:val="TableText0"/>
              <w:keepLines/>
              <w:jc w:val="center"/>
            </w:pPr>
            <w:r w:rsidRPr="00B84DDB">
              <w:rPr>
                <w:b/>
                <w:bCs w:val="0"/>
              </w:rPr>
              <w:t>P=&lt;0.0001</w:t>
            </w:r>
          </w:p>
        </w:tc>
      </w:tr>
      <w:tr w:rsidR="00E37831" w:rsidRPr="00DE3AA7" w14:paraId="451B67F2" w14:textId="77777777" w:rsidTr="00BF6111">
        <w:tc>
          <w:tcPr>
            <w:tcW w:w="988" w:type="dxa"/>
            <w:vAlign w:val="center"/>
          </w:tcPr>
          <w:p w14:paraId="79DF7B3E" w14:textId="77777777" w:rsidR="00E37831" w:rsidRPr="00E56CDA" w:rsidRDefault="00E37831" w:rsidP="000F19B9">
            <w:pPr>
              <w:pStyle w:val="TableText0"/>
              <w:keepLines/>
            </w:pPr>
            <w:r w:rsidRPr="00E56CDA">
              <w:t>CPS &lt;5</w:t>
            </w:r>
          </w:p>
        </w:tc>
        <w:tc>
          <w:tcPr>
            <w:tcW w:w="992" w:type="dxa"/>
            <w:vAlign w:val="center"/>
          </w:tcPr>
          <w:p w14:paraId="0D87EE57" w14:textId="77777777" w:rsidR="00E37831" w:rsidRPr="00E56CDA" w:rsidRDefault="00E37831" w:rsidP="000F19B9">
            <w:pPr>
              <w:pStyle w:val="TableText0"/>
              <w:keepLines/>
              <w:jc w:val="center"/>
            </w:pPr>
            <w:r w:rsidRPr="00E56CDA">
              <w:rPr>
                <w:iCs/>
              </w:rPr>
              <w:t>228/308 (74.0%)</w:t>
            </w:r>
          </w:p>
        </w:tc>
        <w:tc>
          <w:tcPr>
            <w:tcW w:w="1701" w:type="dxa"/>
            <w:vAlign w:val="center"/>
          </w:tcPr>
          <w:p w14:paraId="32CF39FA" w14:textId="77777777" w:rsidR="00E37831" w:rsidRPr="00E56CDA" w:rsidRDefault="00E37831" w:rsidP="000F19B9">
            <w:pPr>
              <w:pStyle w:val="TableText0"/>
              <w:keepLines/>
              <w:jc w:val="center"/>
              <w:rPr>
                <w:iCs/>
              </w:rPr>
            </w:pPr>
            <w:r w:rsidRPr="00E56CDA">
              <w:rPr>
                <w:iCs/>
              </w:rPr>
              <w:t>12.42</w:t>
            </w:r>
          </w:p>
          <w:p w14:paraId="52EFF267" w14:textId="77777777" w:rsidR="00E37831" w:rsidRPr="00E56CDA" w:rsidRDefault="00E37831" w:rsidP="000F19B9">
            <w:pPr>
              <w:pStyle w:val="TableText0"/>
              <w:keepLines/>
              <w:jc w:val="center"/>
            </w:pPr>
            <w:r w:rsidRPr="00E56CDA">
              <w:rPr>
                <w:iCs/>
              </w:rPr>
              <w:t>(10.61, 14.26)</w:t>
            </w:r>
          </w:p>
        </w:tc>
        <w:tc>
          <w:tcPr>
            <w:tcW w:w="992" w:type="dxa"/>
            <w:vAlign w:val="center"/>
          </w:tcPr>
          <w:p w14:paraId="5A33374D" w14:textId="77777777" w:rsidR="00E37831" w:rsidRPr="00E56CDA" w:rsidRDefault="00E37831" w:rsidP="000F19B9">
            <w:pPr>
              <w:pStyle w:val="TableText0"/>
              <w:keepLines/>
              <w:jc w:val="center"/>
            </w:pPr>
            <w:r w:rsidRPr="00E56CDA">
              <w:rPr>
                <w:iCs/>
              </w:rPr>
              <w:t>221/298 (74.2%)</w:t>
            </w:r>
          </w:p>
        </w:tc>
        <w:tc>
          <w:tcPr>
            <w:tcW w:w="1559" w:type="dxa"/>
            <w:vAlign w:val="center"/>
          </w:tcPr>
          <w:p w14:paraId="79DD75A9" w14:textId="77777777" w:rsidR="00E37831" w:rsidRPr="00E56CDA" w:rsidRDefault="00E37831" w:rsidP="000F19B9">
            <w:pPr>
              <w:pStyle w:val="TableText0"/>
              <w:keepLines/>
              <w:jc w:val="center"/>
              <w:rPr>
                <w:iCs/>
              </w:rPr>
            </w:pPr>
            <w:r w:rsidRPr="00E56CDA">
              <w:rPr>
                <w:iCs/>
              </w:rPr>
              <w:t>12.25</w:t>
            </w:r>
          </w:p>
          <w:p w14:paraId="3FF7DBCA" w14:textId="77777777" w:rsidR="00E37831" w:rsidRPr="00E56CDA" w:rsidRDefault="00E37831" w:rsidP="000F19B9">
            <w:pPr>
              <w:pStyle w:val="TableText0"/>
              <w:keepLines/>
              <w:jc w:val="center"/>
            </w:pPr>
            <w:r w:rsidRPr="00E56CDA">
              <w:rPr>
                <w:iCs/>
              </w:rPr>
              <w:t>(10.97, 13.24)</w:t>
            </w:r>
          </w:p>
        </w:tc>
        <w:tc>
          <w:tcPr>
            <w:tcW w:w="1281" w:type="dxa"/>
            <w:vAlign w:val="center"/>
          </w:tcPr>
          <w:p w14:paraId="22B7B6EA" w14:textId="77777777" w:rsidR="00E37831" w:rsidRPr="00E56CDA" w:rsidRDefault="00E37831" w:rsidP="000F19B9">
            <w:pPr>
              <w:pStyle w:val="TableText0"/>
              <w:keepLines/>
              <w:jc w:val="center"/>
            </w:pPr>
            <w:r w:rsidRPr="00E56CDA">
              <w:rPr>
                <w:iCs/>
              </w:rPr>
              <w:t>0.17</w:t>
            </w:r>
          </w:p>
        </w:tc>
        <w:tc>
          <w:tcPr>
            <w:tcW w:w="1504" w:type="dxa"/>
            <w:vAlign w:val="center"/>
          </w:tcPr>
          <w:p w14:paraId="7CF10360" w14:textId="77777777" w:rsidR="00E37831" w:rsidRPr="00E56CDA" w:rsidRDefault="00E37831" w:rsidP="000F19B9">
            <w:pPr>
              <w:pStyle w:val="TableText0"/>
              <w:keepLines/>
              <w:jc w:val="center"/>
            </w:pPr>
            <w:r w:rsidRPr="00E56CDA">
              <w:rPr>
                <w:iCs/>
              </w:rPr>
              <w:t>0.94 (0.78, 1.13)</w:t>
            </w:r>
          </w:p>
        </w:tc>
      </w:tr>
    </w:tbl>
    <w:p w14:paraId="476F824F" w14:textId="77777777" w:rsidR="00E37831" w:rsidRDefault="00E37831" w:rsidP="000F19B9">
      <w:pPr>
        <w:pStyle w:val="TableFooter"/>
        <w:keepNext/>
        <w:keepLines/>
        <w:rPr>
          <w:rFonts w:eastAsiaTheme="minorHAnsi"/>
        </w:rPr>
      </w:pPr>
      <w:r>
        <w:rPr>
          <w:rFonts w:eastAsiaTheme="minorHAnsi"/>
        </w:rPr>
        <w:t xml:space="preserve">Source: </w:t>
      </w:r>
      <w:r>
        <w:t xml:space="preserve">Table 26, p56, </w:t>
      </w:r>
      <w:r>
        <w:rPr>
          <w:rFonts w:eastAsiaTheme="minorHAnsi"/>
        </w:rPr>
        <w:t xml:space="preserve">Table 39, p76 of the submission and </w:t>
      </w:r>
      <w:r w:rsidRPr="00B90AC8">
        <w:rPr>
          <w:rFonts w:eastAsiaTheme="minorHAnsi"/>
        </w:rPr>
        <w:t>Table 7.6.2-1, p118 of the CSR.</w:t>
      </w:r>
    </w:p>
    <w:p w14:paraId="1BE6F0E9" w14:textId="77777777" w:rsidR="00E37831" w:rsidRDefault="00E37831" w:rsidP="000F19B9">
      <w:pPr>
        <w:pStyle w:val="TableFooter"/>
        <w:keepNext/>
        <w:keepLines/>
        <w:rPr>
          <w:rFonts w:eastAsiaTheme="minorHAnsi"/>
        </w:rPr>
      </w:pPr>
      <w:r w:rsidRPr="00DE3AA7">
        <w:rPr>
          <w:rFonts w:eastAsiaTheme="minorHAnsi"/>
        </w:rPr>
        <w:t>CI = confidence interval;</w:t>
      </w:r>
      <w:r>
        <w:rPr>
          <w:rFonts w:eastAsiaTheme="minorHAnsi"/>
        </w:rPr>
        <w:t xml:space="preserve"> </w:t>
      </w:r>
      <w:r w:rsidRPr="00D521A4">
        <w:rPr>
          <w:rFonts w:eastAsiaTheme="minorHAnsi"/>
        </w:rPr>
        <w:t>n</w:t>
      </w:r>
      <w:r>
        <w:rPr>
          <w:rFonts w:eastAsiaTheme="minorHAnsi"/>
        </w:rPr>
        <w:t xml:space="preserve"> </w:t>
      </w:r>
      <w:r w:rsidRPr="00D521A4">
        <w:rPr>
          <w:rFonts w:eastAsiaTheme="minorHAnsi"/>
        </w:rPr>
        <w:t>=</w:t>
      </w:r>
      <w:r>
        <w:rPr>
          <w:rFonts w:eastAsiaTheme="minorHAnsi"/>
        </w:rPr>
        <w:t xml:space="preserve"> </w:t>
      </w:r>
      <w:r w:rsidRPr="00D521A4">
        <w:rPr>
          <w:rFonts w:eastAsiaTheme="minorHAnsi"/>
        </w:rPr>
        <w:t>number of participants reporting data; N</w:t>
      </w:r>
      <w:r>
        <w:rPr>
          <w:rFonts w:eastAsiaTheme="minorHAnsi"/>
        </w:rPr>
        <w:t xml:space="preserve"> </w:t>
      </w:r>
      <w:r w:rsidRPr="00D521A4">
        <w:rPr>
          <w:rFonts w:eastAsiaTheme="minorHAnsi"/>
        </w:rPr>
        <w:t>=</w:t>
      </w:r>
      <w:r>
        <w:rPr>
          <w:rFonts w:eastAsiaTheme="minorHAnsi"/>
        </w:rPr>
        <w:t xml:space="preserve"> </w:t>
      </w:r>
      <w:r w:rsidRPr="00D521A4">
        <w:rPr>
          <w:rFonts w:eastAsiaTheme="minorHAnsi"/>
        </w:rPr>
        <w:t>total participants in group</w:t>
      </w:r>
      <w:r>
        <w:rPr>
          <w:rFonts w:eastAsiaTheme="minorHAnsi"/>
        </w:rPr>
        <w:t>; OS = overall survival</w:t>
      </w:r>
    </w:p>
    <w:p w14:paraId="05B4D6D1" w14:textId="77777777" w:rsidR="00E37831" w:rsidRDefault="00E37831" w:rsidP="000F19B9">
      <w:pPr>
        <w:pStyle w:val="TableFooter"/>
        <w:keepNext/>
        <w:keepLines/>
        <w:rPr>
          <w:rFonts w:eastAsiaTheme="minorHAnsi"/>
        </w:rPr>
      </w:pPr>
      <w:proofErr w:type="gramStart"/>
      <w:r>
        <w:rPr>
          <w:rFonts w:eastAsiaTheme="minorHAnsi"/>
        </w:rPr>
        <w:t>a</w:t>
      </w:r>
      <w:proofErr w:type="gramEnd"/>
      <w:r>
        <w:rPr>
          <w:rFonts w:eastAsiaTheme="minorHAnsi"/>
        </w:rPr>
        <w:t xml:space="preserve"> Based on Kaplan-Meier estimates </w:t>
      </w:r>
    </w:p>
    <w:p w14:paraId="05A1BDF0" w14:textId="77777777" w:rsidR="00E37831" w:rsidRDefault="00E37831" w:rsidP="000F19B9">
      <w:pPr>
        <w:pStyle w:val="TableFooter"/>
        <w:keepNext/>
        <w:keepLines/>
        <w:rPr>
          <w:rFonts w:eastAsiaTheme="minorHAnsi"/>
        </w:rPr>
      </w:pPr>
      <w:proofErr w:type="gramStart"/>
      <w:r>
        <w:rPr>
          <w:rFonts w:eastAsiaTheme="minorHAnsi"/>
        </w:rPr>
        <w:t>b</w:t>
      </w:r>
      <w:proofErr w:type="gramEnd"/>
      <w:r>
        <w:rPr>
          <w:rFonts w:eastAsiaTheme="minorHAnsi"/>
        </w:rPr>
        <w:t xml:space="preserve"> Calculated ad hoc</w:t>
      </w:r>
    </w:p>
    <w:p w14:paraId="29004188" w14:textId="77777777" w:rsidR="00E37831" w:rsidRDefault="00E37831" w:rsidP="00BF6111">
      <w:pPr>
        <w:pStyle w:val="TableFooter"/>
        <w:keepNext/>
        <w:keepLines/>
        <w:rPr>
          <w:rFonts w:eastAsiaTheme="minorHAnsi"/>
        </w:rPr>
      </w:pPr>
      <w:proofErr w:type="gramStart"/>
      <w:r>
        <w:rPr>
          <w:rFonts w:eastAsiaTheme="minorHAnsi"/>
        </w:rPr>
        <w:t>c</w:t>
      </w:r>
      <w:proofErr w:type="gramEnd"/>
      <w:r>
        <w:rPr>
          <w:rFonts w:eastAsiaTheme="minorHAnsi"/>
        </w:rPr>
        <w:t xml:space="preserve"> </w:t>
      </w:r>
      <w:r w:rsidRPr="00FF5829">
        <w:rPr>
          <w:rFonts w:eastAsiaTheme="minorHAnsi"/>
        </w:rPr>
        <w:t>Stratified p-value and hazard ratio. Stratification factors include tumour cell PD-L1 status (≥1 vs &lt;1% [including indeterminate]), region (Asia vs North America [United States and Canada] vs ROW)), ECOG PS (0 vs 1), chemotherapy (XELOX vs FOLFOX)</w:t>
      </w:r>
      <w:r>
        <w:rPr>
          <w:rFonts w:eastAsiaTheme="minorHAnsi"/>
        </w:rPr>
        <w:t xml:space="preserve">; </w:t>
      </w:r>
    </w:p>
    <w:p w14:paraId="09DED1BB" w14:textId="77777777" w:rsidR="00E37831" w:rsidRDefault="00E37831" w:rsidP="00553D83">
      <w:pPr>
        <w:pStyle w:val="TableFooter"/>
        <w:keepNext/>
        <w:keepLines/>
        <w:spacing w:after="120"/>
        <w:ind w:left="278" w:hanging="278"/>
        <w:rPr>
          <w:rFonts w:eastAsiaTheme="minorHAnsi"/>
        </w:rPr>
      </w:pPr>
      <w:r>
        <w:rPr>
          <w:rFonts w:eastAsiaTheme="minorHAnsi"/>
        </w:rPr>
        <w:t xml:space="preserve">Values in bold indicate statistically significant differences. Values in italics indicate extracted during evaluation.  </w:t>
      </w:r>
    </w:p>
    <w:p w14:paraId="4420A5CF" w14:textId="77777777" w:rsidR="00E37831" w:rsidRPr="000E0ACD" w:rsidRDefault="00A4122B" w:rsidP="00EF73C8">
      <w:pPr>
        <w:pStyle w:val="3-BodyText"/>
        <w:ind w:left="720"/>
        <w:rPr>
          <w:i/>
          <w:lang w:val="en-US"/>
        </w:rPr>
      </w:pPr>
      <w:r w:rsidRPr="00311DF9">
        <w:t>A t</w:t>
      </w:r>
      <w:r w:rsidR="00E37831" w:rsidRPr="00311DF9">
        <w:t xml:space="preserve">est for interaction conducted during the evaluation indicated that CPS &lt;5 was a treatment effect modifier (p=0.0374), providing some evidence that patients with CPS &lt;5 and CPS </w:t>
      </w:r>
      <w:r w:rsidR="00E37831" w:rsidRPr="00311DF9">
        <w:rPr>
          <w:rFonts w:cs="Calibri"/>
        </w:rPr>
        <w:t>≥</w:t>
      </w:r>
      <w:r w:rsidR="00E37831" w:rsidRPr="00311DF9">
        <w:t xml:space="preserve">5 may have different response to nivolumab plus chemotherapy compared to chemotherapy alone. </w:t>
      </w:r>
      <w:r w:rsidR="00806FD5" w:rsidRPr="00311DF9">
        <w:t xml:space="preserve">While it is possible that </w:t>
      </w:r>
      <w:proofErr w:type="spellStart"/>
      <w:r w:rsidR="00806FD5" w:rsidRPr="00311DF9">
        <w:t>CheckMate</w:t>
      </w:r>
      <w:proofErr w:type="spellEnd"/>
      <w:r w:rsidR="00806FD5" w:rsidRPr="00311DF9">
        <w:t xml:space="preserve"> 649 was not powered to detect differences between patients with CPS &lt;5 and CPS </w:t>
      </w:r>
      <w:r w:rsidR="00806FD5" w:rsidRPr="00311DF9">
        <w:rPr>
          <w:rFonts w:cs="Calibri"/>
        </w:rPr>
        <w:t>≥</w:t>
      </w:r>
      <w:r w:rsidR="00806FD5" w:rsidRPr="00311DF9">
        <w:t>5, t</w:t>
      </w:r>
      <w:r w:rsidR="00E37831" w:rsidRPr="00311DF9">
        <w:t>here may be some biological plausibility to explain this relationship as higher PD-L1 expression may be correlated with higher efficacy, though it is noted that currently none of the PBS indications for nivolumab include a PD-L1 status criteria. Overall</w:t>
      </w:r>
      <w:r w:rsidR="00E37831" w:rsidRPr="002E6DAE">
        <w:rPr>
          <w:i/>
        </w:rPr>
        <w:t xml:space="preserve">, </w:t>
      </w:r>
      <w:r w:rsidR="00B20E1C" w:rsidRPr="002E6DAE">
        <w:t xml:space="preserve">the evaluation considered </w:t>
      </w:r>
      <w:r w:rsidR="00E37831" w:rsidRPr="002E6DAE">
        <w:t>there may be a plausible clinical basis for restricting the u</w:t>
      </w:r>
      <w:r w:rsidR="00E37831" w:rsidRPr="00311DF9">
        <w:t xml:space="preserve">se of nivolumab plus chemotherapy to patients with PD-L1 CPS </w:t>
      </w:r>
      <w:r w:rsidR="00E37831" w:rsidRPr="00311DF9">
        <w:rPr>
          <w:rFonts w:cs="Calibri"/>
        </w:rPr>
        <w:t>≥</w:t>
      </w:r>
      <w:r w:rsidR="00E37831" w:rsidRPr="00311DF9">
        <w:t>5</w:t>
      </w:r>
      <w:r w:rsidR="00961FF2" w:rsidRPr="00311DF9">
        <w:t xml:space="preserve"> </w:t>
      </w:r>
      <w:r w:rsidR="00353057">
        <w:t xml:space="preserve">(which would require a </w:t>
      </w:r>
      <w:proofErr w:type="spellStart"/>
      <w:r w:rsidR="00E37831" w:rsidRPr="00311DF9">
        <w:t>codependent</w:t>
      </w:r>
      <w:proofErr w:type="spellEnd"/>
      <w:r w:rsidR="00E37831" w:rsidRPr="00311DF9">
        <w:t xml:space="preserve"> submission</w:t>
      </w:r>
      <w:r w:rsidR="00353057">
        <w:t>)</w:t>
      </w:r>
      <w:r w:rsidR="00317042" w:rsidRPr="00311DF9">
        <w:t>.</w:t>
      </w:r>
      <w:r w:rsidR="00E37831" w:rsidRPr="00311DF9">
        <w:t xml:space="preserve"> </w:t>
      </w:r>
      <w:r w:rsidR="00961FF2" w:rsidRPr="00311DF9">
        <w:t xml:space="preserve">Based on the data in Table 6, it </w:t>
      </w:r>
      <w:r w:rsidR="00E37831" w:rsidRPr="00311DF9">
        <w:t xml:space="preserve">may </w:t>
      </w:r>
      <w:r w:rsidR="00961FF2" w:rsidRPr="00311DF9">
        <w:t>not be appropriate to</w:t>
      </w:r>
      <w:r w:rsidR="00E37831" w:rsidRPr="00311DF9">
        <w:t xml:space="preserve"> expose patients with CPS &lt;5 to nivolumab plus chemotherapy, which has inferior safety, when they may not derive any clinical benefit. </w:t>
      </w:r>
      <w:r w:rsidR="000E0ACD" w:rsidRPr="002E6DAE">
        <w:t>The PSCR stated that PD-L1 CPS may inform how well immunotherapy might work but not if it will work and the decision to treat patients with immunotherapy should not be determined by PD-L1 CPS status</w:t>
      </w:r>
      <w:r w:rsidR="000E0ACD" w:rsidRPr="000E0ACD">
        <w:rPr>
          <w:i/>
        </w:rPr>
        <w:t xml:space="preserve">. </w:t>
      </w:r>
    </w:p>
    <w:p w14:paraId="3385DCDA" w14:textId="77777777" w:rsidR="00317042" w:rsidRPr="00B20E1C" w:rsidRDefault="00317042" w:rsidP="00C71C69">
      <w:pPr>
        <w:pStyle w:val="3-BodyText"/>
        <w:ind w:left="709"/>
        <w:rPr>
          <w:i/>
          <w:lang w:val="en-US"/>
        </w:rPr>
      </w:pPr>
      <w:r w:rsidRPr="00311DF9">
        <w:t>Additionally, no reliable PD-L1 CPS distribution in the Australian population was provided. If</w:t>
      </w:r>
      <w:r w:rsidR="00B6701B" w:rsidRPr="00311DF9">
        <w:t xml:space="preserve"> </w:t>
      </w:r>
      <w:r w:rsidRPr="00311DF9">
        <w:t xml:space="preserve">the proportion of patients with CPS ≥5 in the general population </w:t>
      </w:r>
      <w:r w:rsidR="00B6701B" w:rsidRPr="00311DF9">
        <w:t>were</w:t>
      </w:r>
      <w:r w:rsidRPr="00311DF9">
        <w:t xml:space="preserve"> lower than in </w:t>
      </w:r>
      <w:proofErr w:type="spellStart"/>
      <w:r w:rsidRPr="00311DF9">
        <w:t>CheckMate</w:t>
      </w:r>
      <w:proofErr w:type="spellEnd"/>
      <w:r w:rsidRPr="00311DF9">
        <w:t xml:space="preserve"> 649 (60%), then the overall OS benefit in the general population may be lower than reported in </w:t>
      </w:r>
      <w:proofErr w:type="spellStart"/>
      <w:r w:rsidRPr="00311DF9">
        <w:t>CheckMate</w:t>
      </w:r>
      <w:proofErr w:type="spellEnd"/>
      <w:r w:rsidRPr="00311DF9">
        <w:t xml:space="preserve"> 649. </w:t>
      </w:r>
      <w:r w:rsidR="00C71C69" w:rsidRPr="002E6DAE">
        <w:t xml:space="preserve">The PSCR </w:t>
      </w:r>
      <w:r w:rsidR="00E23E4A" w:rsidRPr="002E6DAE">
        <w:t xml:space="preserve">stated </w:t>
      </w:r>
      <w:r w:rsidR="00C71C69" w:rsidRPr="002E6DAE">
        <w:t xml:space="preserve">there is no evidence to suggest that PD-L1 CPS distribution in Australia would be different to the ITT population seen in </w:t>
      </w:r>
      <w:proofErr w:type="spellStart"/>
      <w:r w:rsidR="00C71C69" w:rsidRPr="002E6DAE">
        <w:t>CheckMate</w:t>
      </w:r>
      <w:proofErr w:type="spellEnd"/>
      <w:r w:rsidR="00C71C69" w:rsidRPr="002E6DAE">
        <w:t xml:space="preserve"> 649. The PSCR stated Australian clinicians consulted by in preparing the submission agreed that the patient demographics seen in </w:t>
      </w:r>
      <w:proofErr w:type="spellStart"/>
      <w:r w:rsidR="00C71C69" w:rsidRPr="002E6DAE">
        <w:t>CheckMate</w:t>
      </w:r>
      <w:proofErr w:type="spellEnd"/>
      <w:r w:rsidR="00C71C69" w:rsidRPr="002E6DAE">
        <w:t xml:space="preserve"> 649 were broadly comparable to the Australian treatment landscape. </w:t>
      </w:r>
      <w:r w:rsidR="00B20E1C" w:rsidRPr="002E6DAE">
        <w:t xml:space="preserve">The ESC noted the proportion of patients with PD-L1 CPS </w:t>
      </w:r>
      <w:r w:rsidR="00C57326" w:rsidRPr="002E6DAE">
        <w:rPr>
          <w:rFonts w:cs="Calibri"/>
        </w:rPr>
        <w:t>≥</w:t>
      </w:r>
      <w:r w:rsidR="00B20E1C" w:rsidRPr="002E6DAE">
        <w:t xml:space="preserve"> 5 i</w:t>
      </w:r>
      <w:r w:rsidR="00C57326" w:rsidRPr="002E6DAE">
        <w:t xml:space="preserve">n </w:t>
      </w:r>
      <w:proofErr w:type="spellStart"/>
      <w:r w:rsidR="00C57326" w:rsidRPr="002E6DAE">
        <w:t>CheckMate</w:t>
      </w:r>
      <w:proofErr w:type="spellEnd"/>
      <w:r w:rsidR="00C57326" w:rsidRPr="002E6DAE">
        <w:t xml:space="preserve"> 649 in Asian (25% of ITT population) and White</w:t>
      </w:r>
      <w:r w:rsidR="00B20E1C" w:rsidRPr="002E6DAE">
        <w:t xml:space="preserve"> </w:t>
      </w:r>
      <w:r w:rsidR="00C57326" w:rsidRPr="002E6DAE">
        <w:t xml:space="preserve">(60% of ITT population) </w:t>
      </w:r>
      <w:r w:rsidR="00B20E1C" w:rsidRPr="002E6DAE">
        <w:t xml:space="preserve">patients was consistent (60.8% and 59.7%, respectively). The ESC considered this may provide support that the distribution of CPS levels in </w:t>
      </w:r>
      <w:proofErr w:type="spellStart"/>
      <w:r w:rsidR="00B20E1C" w:rsidRPr="002E6DAE">
        <w:t>CheckMate</w:t>
      </w:r>
      <w:proofErr w:type="spellEnd"/>
      <w:r w:rsidR="00B20E1C" w:rsidRPr="002E6DAE">
        <w:t xml:space="preserve"> 649 reflects the distribution in the Australian population.</w:t>
      </w:r>
      <w:r w:rsidR="000F1799">
        <w:t xml:space="preserve"> The pre-PBAC response </w:t>
      </w:r>
      <w:r w:rsidR="00270277">
        <w:t xml:space="preserve">provided information on the </w:t>
      </w:r>
      <w:r w:rsidR="000F1799">
        <w:t xml:space="preserve">proportion of Australian patients in </w:t>
      </w:r>
      <w:proofErr w:type="spellStart"/>
      <w:r w:rsidR="000F1799">
        <w:t>CheckMate</w:t>
      </w:r>
      <w:proofErr w:type="spellEnd"/>
      <w:r w:rsidR="000F1799">
        <w:t xml:space="preserve"> 649 </w:t>
      </w:r>
      <w:r w:rsidR="00336A5A">
        <w:t xml:space="preserve">that </w:t>
      </w:r>
      <w:r w:rsidR="000F1799">
        <w:t xml:space="preserve">had PD-L1 CPS </w:t>
      </w:r>
      <w:r w:rsidR="000F1799" w:rsidRPr="000F1799">
        <w:t>≥5</w:t>
      </w:r>
      <w:r w:rsidR="00270277">
        <w:t xml:space="preserve"> </w:t>
      </w:r>
      <w:r w:rsidR="00336A5A">
        <w:t xml:space="preserve">and stated that because it was similar to that observed in the study, it </w:t>
      </w:r>
      <w:r w:rsidR="000F1799" w:rsidRPr="000F1799">
        <w:t xml:space="preserve">supported </w:t>
      </w:r>
      <w:r w:rsidR="00E67CC7">
        <w:t xml:space="preserve">that </w:t>
      </w:r>
      <w:r w:rsidR="000F1799" w:rsidRPr="000F1799">
        <w:t xml:space="preserve">a similar OS benefit </w:t>
      </w:r>
      <w:r w:rsidR="00E67CC7">
        <w:t xml:space="preserve">might </w:t>
      </w:r>
      <w:r w:rsidR="00270277">
        <w:t xml:space="preserve">be observed </w:t>
      </w:r>
      <w:r w:rsidR="000F1799" w:rsidRPr="000F1799">
        <w:t>in the PBS population.</w:t>
      </w:r>
      <w:r w:rsidR="000F1799">
        <w:rPr>
          <w:rFonts w:ascii="Trebuchet MS" w:hAnsi="Trebuchet MS" w:cs="Times New Roman"/>
          <w:bCs/>
          <w:iCs/>
        </w:rPr>
        <w:t xml:space="preserve">  </w:t>
      </w:r>
    </w:p>
    <w:p w14:paraId="31766B31" w14:textId="77777777" w:rsidR="00B60939" w:rsidRPr="00C9624D" w:rsidRDefault="00B60939" w:rsidP="00D86231">
      <w:pPr>
        <w:pStyle w:val="4-SubsectionHeading"/>
      </w:pPr>
      <w:bookmarkStart w:id="24" w:name="_Toc22897642"/>
      <w:bookmarkStart w:id="25" w:name="_Toc69567423"/>
      <w:bookmarkStart w:id="26" w:name="_Toc72308984"/>
      <w:r w:rsidRPr="00C9624D">
        <w:t>Comparative harms</w:t>
      </w:r>
      <w:bookmarkEnd w:id="24"/>
      <w:bookmarkEnd w:id="25"/>
      <w:bookmarkEnd w:id="26"/>
    </w:p>
    <w:p w14:paraId="26FB0208" w14:textId="77777777" w:rsidR="00B60939" w:rsidRPr="00317042" w:rsidRDefault="002A0BA9" w:rsidP="00652CC2">
      <w:pPr>
        <w:pStyle w:val="3-BodyText"/>
        <w:ind w:left="720"/>
      </w:pPr>
      <w:r w:rsidRPr="002A0BA9">
        <w:rPr>
          <w:rFonts w:cstheme="minorHAnsi"/>
        </w:rPr>
        <w:t>Table 7</w:t>
      </w:r>
      <w:r w:rsidR="00317042" w:rsidRPr="00A4122B">
        <w:rPr>
          <w:rFonts w:cstheme="minorHAnsi"/>
        </w:rPr>
        <w:t xml:space="preserve"> </w:t>
      </w:r>
      <w:r w:rsidR="001A5317" w:rsidRPr="00317042">
        <w:rPr>
          <w:rFonts w:cstheme="minorHAnsi"/>
        </w:rPr>
        <w:t xml:space="preserve">presents an overview of adverse events </w:t>
      </w:r>
      <w:r w:rsidR="00A4122B">
        <w:rPr>
          <w:rFonts w:cstheme="minorHAnsi"/>
        </w:rPr>
        <w:t xml:space="preserve">reported </w:t>
      </w:r>
      <w:r w:rsidR="001A5317" w:rsidRPr="00317042">
        <w:rPr>
          <w:rFonts w:cstheme="minorHAnsi"/>
        </w:rPr>
        <w:t xml:space="preserve">in </w:t>
      </w:r>
      <w:proofErr w:type="spellStart"/>
      <w:r w:rsidR="001A5317" w:rsidRPr="00317042">
        <w:rPr>
          <w:rFonts w:cstheme="minorHAnsi"/>
        </w:rPr>
        <w:t>CheckMate</w:t>
      </w:r>
      <w:proofErr w:type="spellEnd"/>
      <w:r w:rsidR="001A5317" w:rsidRPr="00317042">
        <w:rPr>
          <w:rFonts w:cstheme="minorHAnsi"/>
        </w:rPr>
        <w:t xml:space="preserve"> 649</w:t>
      </w:r>
      <w:r w:rsidR="00A4122B">
        <w:rPr>
          <w:rFonts w:cstheme="minorHAnsi"/>
        </w:rPr>
        <w:t>.</w:t>
      </w:r>
    </w:p>
    <w:p w14:paraId="0689AE79" w14:textId="77777777" w:rsidR="00E37831" w:rsidRPr="00317042" w:rsidRDefault="00317042" w:rsidP="00317042">
      <w:pPr>
        <w:pStyle w:val="Commentitalics"/>
        <w:keepNext/>
        <w:keepLines/>
        <w:rPr>
          <w:rStyle w:val="CommentReference"/>
          <w:i w:val="0"/>
          <w:iCs/>
        </w:rPr>
      </w:pPr>
      <w:bookmarkStart w:id="27" w:name="_Ref69742248"/>
      <w:r w:rsidRPr="00317042">
        <w:rPr>
          <w:rStyle w:val="CommentReference"/>
          <w:i w:val="0"/>
          <w:iCs/>
        </w:rPr>
        <w:t xml:space="preserve">Table </w:t>
      </w:r>
      <w:r w:rsidR="002A0BA9">
        <w:rPr>
          <w:rStyle w:val="CommentReference"/>
          <w:i w:val="0"/>
          <w:iCs/>
          <w:noProof/>
        </w:rPr>
        <w:t>7</w:t>
      </w:r>
      <w:bookmarkEnd w:id="27"/>
      <w:r w:rsidR="001A5317" w:rsidRPr="00317042">
        <w:rPr>
          <w:rStyle w:val="CommentReference"/>
          <w:i w:val="0"/>
          <w:iCs/>
        </w:rPr>
        <w:t xml:space="preserve">: </w:t>
      </w:r>
      <w:r w:rsidR="00E37831" w:rsidRPr="00317042">
        <w:rPr>
          <w:rStyle w:val="CommentReference"/>
          <w:i w:val="0"/>
          <w:iCs/>
        </w:rPr>
        <w:t xml:space="preserve">Overview of adverse events in </w:t>
      </w:r>
      <w:proofErr w:type="spellStart"/>
      <w:r w:rsidR="00E37831" w:rsidRPr="00317042">
        <w:rPr>
          <w:rStyle w:val="CommentReference"/>
          <w:i w:val="0"/>
          <w:iCs/>
        </w:rPr>
        <w:t>CheckMate</w:t>
      </w:r>
      <w:proofErr w:type="spellEnd"/>
      <w:r w:rsidR="00E37831" w:rsidRPr="00317042">
        <w:rPr>
          <w:rStyle w:val="CommentReference"/>
          <w:i w:val="0"/>
          <w:iCs/>
        </w:rPr>
        <w:t>, Safety population</w:t>
      </w:r>
    </w:p>
    <w:tbl>
      <w:tblPr>
        <w:tblStyle w:val="PlainTable2"/>
        <w:tblW w:w="5000" w:type="pct"/>
        <w:tblLook w:val="0020" w:firstRow="1" w:lastRow="0" w:firstColumn="0" w:lastColumn="0" w:noHBand="0" w:noVBand="0"/>
        <w:tblCaption w:val="Table 7: Overview of adverse events in CheckMate, Safety population"/>
      </w:tblPr>
      <w:tblGrid>
        <w:gridCol w:w="3955"/>
        <w:gridCol w:w="1621"/>
        <w:gridCol w:w="1529"/>
        <w:gridCol w:w="1912"/>
      </w:tblGrid>
      <w:tr w:rsidR="00E37831" w:rsidRPr="002A28E2" w14:paraId="7A88F408" w14:textId="77777777" w:rsidTr="00224556">
        <w:trPr>
          <w:cnfStyle w:val="100000000000" w:firstRow="1" w:lastRow="0" w:firstColumn="0" w:lastColumn="0" w:oddVBand="0" w:evenVBand="0" w:oddHBand="0" w:evenHBand="0" w:firstRowFirstColumn="0" w:firstRowLastColumn="0" w:lastRowFirstColumn="0" w:lastRowLastColumn="0"/>
          <w:trHeight w:val="70"/>
          <w:tblHeader/>
        </w:trPr>
        <w:tc>
          <w:tcPr>
            <w:cnfStyle w:val="000010000000" w:firstRow="0" w:lastRow="0" w:firstColumn="0" w:lastColumn="0" w:oddVBand="1" w:evenVBand="0" w:oddHBand="0" w:evenHBand="0" w:firstRowFirstColumn="0" w:firstRowLastColumn="0" w:lastRowFirstColumn="0" w:lastRowLastColumn="0"/>
            <w:tcW w:w="2193" w:type="pct"/>
            <w:vMerge w:val="restart"/>
          </w:tcPr>
          <w:p w14:paraId="6AF708F5" w14:textId="77777777" w:rsidR="00E37831" w:rsidRPr="00A5279F" w:rsidRDefault="00E37831" w:rsidP="00A45D9B">
            <w:pPr>
              <w:pStyle w:val="Tabletext"/>
              <w:keepNext/>
              <w:keepLines/>
              <w:rPr>
                <w:rFonts w:eastAsiaTheme="minorHAnsi"/>
                <w:b w:val="0"/>
                <w:bCs w:val="0"/>
              </w:rPr>
            </w:pPr>
            <w:r w:rsidRPr="00A5279F">
              <w:rPr>
                <w:rFonts w:eastAsiaTheme="minorHAnsi"/>
              </w:rPr>
              <w:t>Adverse event</w:t>
            </w:r>
          </w:p>
        </w:tc>
        <w:tc>
          <w:tcPr>
            <w:cnfStyle w:val="000001000000" w:firstRow="0" w:lastRow="0" w:firstColumn="0" w:lastColumn="0" w:oddVBand="0" w:evenVBand="1" w:oddHBand="0" w:evenHBand="0" w:firstRowFirstColumn="0" w:firstRowLastColumn="0" w:lastRowFirstColumn="0" w:lastRowLastColumn="0"/>
            <w:tcW w:w="1747" w:type="pct"/>
            <w:gridSpan w:val="2"/>
            <w:vAlign w:val="center"/>
          </w:tcPr>
          <w:p w14:paraId="221F9744" w14:textId="77777777" w:rsidR="00E37831" w:rsidRPr="00A5279F" w:rsidRDefault="00E37831" w:rsidP="00A45D9B">
            <w:pPr>
              <w:pStyle w:val="Tabletext"/>
              <w:keepNext/>
              <w:keepLines/>
              <w:jc w:val="center"/>
              <w:rPr>
                <w:rFonts w:eastAsiaTheme="minorHAnsi"/>
                <w:b w:val="0"/>
                <w:bCs w:val="0"/>
              </w:rPr>
            </w:pPr>
            <w:r w:rsidRPr="00A5279F">
              <w:rPr>
                <w:rFonts w:eastAsiaTheme="minorHAnsi"/>
              </w:rPr>
              <w:t>Number of patients (%)</w:t>
            </w:r>
          </w:p>
        </w:tc>
        <w:tc>
          <w:tcPr>
            <w:cnfStyle w:val="000010000000" w:firstRow="0" w:lastRow="0" w:firstColumn="0" w:lastColumn="0" w:oddVBand="1" w:evenVBand="0" w:oddHBand="0" w:evenHBand="0" w:firstRowFirstColumn="0" w:firstRowLastColumn="0" w:lastRowFirstColumn="0" w:lastRowLastColumn="0"/>
            <w:tcW w:w="1060" w:type="pct"/>
            <w:vMerge w:val="restart"/>
            <w:vAlign w:val="center"/>
          </w:tcPr>
          <w:p w14:paraId="30FAD3B6" w14:textId="77777777" w:rsidR="00E37831" w:rsidRPr="00A5279F" w:rsidRDefault="00E37831" w:rsidP="00A45D9B">
            <w:pPr>
              <w:pStyle w:val="Tabletext"/>
              <w:keepNext/>
              <w:keepLines/>
              <w:jc w:val="center"/>
              <w:rPr>
                <w:rFonts w:eastAsiaTheme="minorHAnsi"/>
                <w:b w:val="0"/>
                <w:bCs w:val="0"/>
              </w:rPr>
            </w:pPr>
            <w:r w:rsidRPr="00A5279F">
              <w:rPr>
                <w:rFonts w:eastAsiaTheme="minorHAnsi"/>
              </w:rPr>
              <w:t>Risk difference</w:t>
            </w:r>
          </w:p>
          <w:p w14:paraId="2198B5F3" w14:textId="77777777" w:rsidR="00E37831" w:rsidRPr="00A5279F" w:rsidRDefault="00E37831" w:rsidP="00A45D9B">
            <w:pPr>
              <w:pStyle w:val="Tabletext"/>
              <w:keepNext/>
              <w:keepLines/>
              <w:jc w:val="center"/>
              <w:rPr>
                <w:rFonts w:eastAsiaTheme="minorHAnsi"/>
                <w:b w:val="0"/>
                <w:bCs w:val="0"/>
              </w:rPr>
            </w:pPr>
            <w:r w:rsidRPr="00A5279F">
              <w:rPr>
                <w:rFonts w:eastAsiaTheme="minorHAnsi"/>
              </w:rPr>
              <w:t>(95% CI)</w:t>
            </w:r>
          </w:p>
        </w:tc>
      </w:tr>
      <w:tr w:rsidR="00E37831" w:rsidRPr="009C697D" w14:paraId="00272D8F" w14:textId="77777777" w:rsidTr="00224556">
        <w:trPr>
          <w:cnfStyle w:val="100000000000" w:firstRow="1" w:lastRow="0" w:firstColumn="0" w:lastColumn="0" w:oddVBand="0" w:evenVBand="0" w:oddHBand="0" w:evenHBand="0" w:firstRowFirstColumn="0" w:firstRowLastColumn="0" w:lastRowFirstColumn="0" w:lastRowLastColumn="0"/>
          <w:trHeight w:val="70"/>
          <w:tblHeader/>
        </w:trPr>
        <w:tc>
          <w:tcPr>
            <w:cnfStyle w:val="000010000000" w:firstRow="0" w:lastRow="0" w:firstColumn="0" w:lastColumn="0" w:oddVBand="1" w:evenVBand="0" w:oddHBand="0" w:evenHBand="0" w:firstRowFirstColumn="0" w:firstRowLastColumn="0" w:lastRowFirstColumn="0" w:lastRowLastColumn="0"/>
            <w:tcW w:w="2193" w:type="pct"/>
            <w:vMerge/>
          </w:tcPr>
          <w:p w14:paraId="7306BF0E" w14:textId="77777777" w:rsidR="00E37831" w:rsidRPr="003860A9" w:rsidRDefault="00E37831" w:rsidP="00A45D9B">
            <w:pPr>
              <w:pStyle w:val="Tabletext"/>
              <w:keepNext/>
              <w:keepLines/>
              <w:rPr>
                <w:rFonts w:eastAsiaTheme="minorHAnsi"/>
              </w:rPr>
            </w:pPr>
          </w:p>
        </w:tc>
        <w:tc>
          <w:tcPr>
            <w:cnfStyle w:val="000001000000" w:firstRow="0" w:lastRow="0" w:firstColumn="0" w:lastColumn="0" w:oddVBand="0" w:evenVBand="1" w:oddHBand="0" w:evenHBand="0" w:firstRowFirstColumn="0" w:firstRowLastColumn="0" w:lastRowFirstColumn="0" w:lastRowLastColumn="0"/>
            <w:tcW w:w="899" w:type="pct"/>
            <w:vAlign w:val="center"/>
          </w:tcPr>
          <w:p w14:paraId="64DC6881" w14:textId="77777777" w:rsidR="00E37831" w:rsidRPr="00A5279F" w:rsidRDefault="00E37831" w:rsidP="00A45D9B">
            <w:pPr>
              <w:pStyle w:val="Tabletext"/>
              <w:keepNext/>
              <w:keepLines/>
              <w:jc w:val="center"/>
              <w:rPr>
                <w:rFonts w:eastAsiaTheme="minorHAnsi"/>
                <w:b w:val="0"/>
                <w:bCs w:val="0"/>
              </w:rPr>
            </w:pPr>
            <w:r w:rsidRPr="00A5279F">
              <w:rPr>
                <w:rFonts w:eastAsiaTheme="minorHAnsi"/>
              </w:rPr>
              <w:t>Nivolumab plus chemotherapy</w:t>
            </w:r>
            <w:r w:rsidRPr="00A5279F">
              <w:rPr>
                <w:rFonts w:eastAsiaTheme="minorHAnsi"/>
              </w:rPr>
              <w:br/>
              <w:t>(N=782)</w:t>
            </w:r>
          </w:p>
        </w:tc>
        <w:tc>
          <w:tcPr>
            <w:cnfStyle w:val="000010000000" w:firstRow="0" w:lastRow="0" w:firstColumn="0" w:lastColumn="0" w:oddVBand="1" w:evenVBand="0" w:oddHBand="0" w:evenHBand="0" w:firstRowFirstColumn="0" w:firstRowLastColumn="0" w:lastRowFirstColumn="0" w:lastRowLastColumn="0"/>
            <w:tcW w:w="848" w:type="pct"/>
            <w:vAlign w:val="center"/>
          </w:tcPr>
          <w:p w14:paraId="76A216C5" w14:textId="77777777" w:rsidR="00E37831" w:rsidRPr="00A5279F" w:rsidRDefault="00E37831" w:rsidP="00A45D9B">
            <w:pPr>
              <w:pStyle w:val="Tabletext"/>
              <w:keepNext/>
              <w:keepLines/>
              <w:jc w:val="center"/>
              <w:rPr>
                <w:rFonts w:eastAsiaTheme="minorHAnsi"/>
                <w:b w:val="0"/>
                <w:bCs w:val="0"/>
              </w:rPr>
            </w:pPr>
            <w:r w:rsidRPr="00A5279F">
              <w:rPr>
                <w:rFonts w:eastAsiaTheme="minorHAnsi"/>
              </w:rPr>
              <w:t>Chemotherapy</w:t>
            </w:r>
            <w:r w:rsidRPr="00A5279F">
              <w:rPr>
                <w:rFonts w:eastAsiaTheme="minorHAnsi"/>
              </w:rPr>
              <w:br/>
              <w:t>(N=767)</w:t>
            </w:r>
          </w:p>
        </w:tc>
        <w:tc>
          <w:tcPr>
            <w:cnfStyle w:val="000001000000" w:firstRow="0" w:lastRow="0" w:firstColumn="0" w:lastColumn="0" w:oddVBand="0" w:evenVBand="1" w:oddHBand="0" w:evenHBand="0" w:firstRowFirstColumn="0" w:firstRowLastColumn="0" w:lastRowFirstColumn="0" w:lastRowLastColumn="0"/>
            <w:tcW w:w="1060" w:type="pct"/>
            <w:vMerge/>
            <w:vAlign w:val="center"/>
          </w:tcPr>
          <w:p w14:paraId="435071B6" w14:textId="77777777" w:rsidR="00E37831" w:rsidRPr="00A5279F" w:rsidRDefault="00E37831" w:rsidP="00A45D9B">
            <w:pPr>
              <w:pStyle w:val="Tabletext"/>
              <w:keepNext/>
              <w:keepLines/>
              <w:jc w:val="center"/>
              <w:rPr>
                <w:rFonts w:eastAsiaTheme="minorHAnsi"/>
                <w:b w:val="0"/>
                <w:bCs w:val="0"/>
              </w:rPr>
            </w:pPr>
          </w:p>
        </w:tc>
      </w:tr>
      <w:tr w:rsidR="00E37831" w:rsidRPr="009C697D" w14:paraId="70726BF8" w14:textId="77777777" w:rsidTr="002D65F4">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193" w:type="pct"/>
          </w:tcPr>
          <w:p w14:paraId="7A0B83A3" w14:textId="77777777" w:rsidR="00E37831" w:rsidRPr="00A04B7A" w:rsidRDefault="00E37831" w:rsidP="00A45D9B">
            <w:pPr>
              <w:pStyle w:val="Tabletext"/>
              <w:keepNext/>
              <w:keepLines/>
            </w:pPr>
            <w:r w:rsidRPr="00A04B7A">
              <w:t>Total number of patients with at least one AE</w:t>
            </w:r>
          </w:p>
        </w:tc>
        <w:tc>
          <w:tcPr>
            <w:cnfStyle w:val="000001000000" w:firstRow="0" w:lastRow="0" w:firstColumn="0" w:lastColumn="0" w:oddVBand="0" w:evenVBand="1" w:oddHBand="0" w:evenHBand="0" w:firstRowFirstColumn="0" w:firstRowLastColumn="0" w:lastRowFirstColumn="0" w:lastRowLastColumn="0"/>
            <w:tcW w:w="899" w:type="pct"/>
            <w:vAlign w:val="center"/>
          </w:tcPr>
          <w:p w14:paraId="26C6095E" w14:textId="77777777" w:rsidR="00E37831" w:rsidRPr="00A04B7A" w:rsidRDefault="00E37831" w:rsidP="00A45D9B">
            <w:pPr>
              <w:pStyle w:val="Tabletext"/>
              <w:keepNext/>
              <w:keepLines/>
              <w:jc w:val="center"/>
            </w:pPr>
            <w:r w:rsidRPr="00A04B7A">
              <w:t>776 (99.2%)</w:t>
            </w:r>
          </w:p>
        </w:tc>
        <w:tc>
          <w:tcPr>
            <w:cnfStyle w:val="000010000000" w:firstRow="0" w:lastRow="0" w:firstColumn="0" w:lastColumn="0" w:oddVBand="1" w:evenVBand="0" w:oddHBand="0" w:evenHBand="0" w:firstRowFirstColumn="0" w:firstRowLastColumn="0" w:lastRowFirstColumn="0" w:lastRowLastColumn="0"/>
            <w:tcW w:w="848" w:type="pct"/>
            <w:vAlign w:val="center"/>
          </w:tcPr>
          <w:p w14:paraId="16621479" w14:textId="77777777" w:rsidR="00E37831" w:rsidRPr="00A04B7A" w:rsidRDefault="00E37831" w:rsidP="00A45D9B">
            <w:pPr>
              <w:pStyle w:val="Tabletext"/>
              <w:keepNext/>
              <w:keepLines/>
              <w:jc w:val="center"/>
            </w:pPr>
            <w:r w:rsidRPr="00A04B7A">
              <w:t>752 (98.0%)</w:t>
            </w:r>
          </w:p>
        </w:tc>
        <w:tc>
          <w:tcPr>
            <w:cnfStyle w:val="000001000000" w:firstRow="0" w:lastRow="0" w:firstColumn="0" w:lastColumn="0" w:oddVBand="0" w:evenVBand="1" w:oddHBand="0" w:evenHBand="0" w:firstRowFirstColumn="0" w:firstRowLastColumn="0" w:lastRowFirstColumn="0" w:lastRowLastColumn="0"/>
            <w:tcW w:w="1060" w:type="pct"/>
            <w:vAlign w:val="center"/>
          </w:tcPr>
          <w:p w14:paraId="4BB817B6" w14:textId="77777777" w:rsidR="00E37831" w:rsidRPr="00A04B7A" w:rsidRDefault="00E37831" w:rsidP="00A45D9B">
            <w:pPr>
              <w:pStyle w:val="Tabletext"/>
              <w:keepNext/>
              <w:keepLines/>
              <w:jc w:val="center"/>
            </w:pPr>
            <w:r>
              <w:t>0.01 (0.00, 0.02)</w:t>
            </w:r>
          </w:p>
        </w:tc>
      </w:tr>
      <w:tr w:rsidR="00E37831" w:rsidRPr="009C697D" w14:paraId="362491D5" w14:textId="77777777" w:rsidTr="002D65F4">
        <w:tc>
          <w:tcPr>
            <w:cnfStyle w:val="000010000000" w:firstRow="0" w:lastRow="0" w:firstColumn="0" w:lastColumn="0" w:oddVBand="1" w:evenVBand="0" w:oddHBand="0" w:evenHBand="0" w:firstRowFirstColumn="0" w:firstRowLastColumn="0" w:lastRowFirstColumn="0" w:lastRowLastColumn="0"/>
            <w:tcW w:w="2193" w:type="pct"/>
          </w:tcPr>
          <w:p w14:paraId="70A4F48A" w14:textId="77777777" w:rsidR="00E37831" w:rsidRPr="00A04B7A" w:rsidRDefault="00E37831" w:rsidP="00A45D9B">
            <w:pPr>
              <w:pStyle w:val="Tabletext"/>
              <w:keepNext/>
              <w:keepLines/>
            </w:pPr>
            <w:r>
              <w:tab/>
            </w:r>
            <w:r w:rsidRPr="00A04B7A">
              <w:t>Grade 3/4 AE</w:t>
            </w:r>
          </w:p>
        </w:tc>
        <w:tc>
          <w:tcPr>
            <w:cnfStyle w:val="000001000000" w:firstRow="0" w:lastRow="0" w:firstColumn="0" w:lastColumn="0" w:oddVBand="0" w:evenVBand="1" w:oddHBand="0" w:evenHBand="0" w:firstRowFirstColumn="0" w:firstRowLastColumn="0" w:lastRowFirstColumn="0" w:lastRowLastColumn="0"/>
            <w:tcW w:w="899" w:type="pct"/>
            <w:vAlign w:val="center"/>
          </w:tcPr>
          <w:p w14:paraId="03463E42" w14:textId="77777777" w:rsidR="00E37831" w:rsidRPr="00A92D7E" w:rsidRDefault="00E37831" w:rsidP="00A45D9B">
            <w:pPr>
              <w:pStyle w:val="Tabletext"/>
              <w:keepNext/>
              <w:keepLines/>
              <w:jc w:val="center"/>
              <w:rPr>
                <w:bCs/>
              </w:rPr>
            </w:pPr>
            <w:r w:rsidRPr="00A92D7E">
              <w:rPr>
                <w:bCs/>
              </w:rPr>
              <w:t>540 (69.1%)</w:t>
            </w:r>
          </w:p>
        </w:tc>
        <w:tc>
          <w:tcPr>
            <w:cnfStyle w:val="000010000000" w:firstRow="0" w:lastRow="0" w:firstColumn="0" w:lastColumn="0" w:oddVBand="1" w:evenVBand="0" w:oddHBand="0" w:evenHBand="0" w:firstRowFirstColumn="0" w:firstRowLastColumn="0" w:lastRowFirstColumn="0" w:lastRowLastColumn="0"/>
            <w:tcW w:w="848" w:type="pct"/>
            <w:vAlign w:val="center"/>
          </w:tcPr>
          <w:p w14:paraId="38CF21A6" w14:textId="77777777" w:rsidR="00E37831" w:rsidRPr="00A92D7E" w:rsidRDefault="00E37831" w:rsidP="00A45D9B">
            <w:pPr>
              <w:pStyle w:val="Tabletext"/>
              <w:keepNext/>
              <w:keepLines/>
              <w:jc w:val="center"/>
              <w:rPr>
                <w:bCs/>
              </w:rPr>
            </w:pPr>
            <w:r w:rsidRPr="00A92D7E">
              <w:rPr>
                <w:bCs/>
              </w:rPr>
              <w:t>456 (59.5%)</w:t>
            </w:r>
          </w:p>
        </w:tc>
        <w:tc>
          <w:tcPr>
            <w:cnfStyle w:val="000001000000" w:firstRow="0" w:lastRow="0" w:firstColumn="0" w:lastColumn="0" w:oddVBand="0" w:evenVBand="1" w:oddHBand="0" w:evenHBand="0" w:firstRowFirstColumn="0" w:firstRowLastColumn="0" w:lastRowFirstColumn="0" w:lastRowLastColumn="0"/>
            <w:tcW w:w="1060" w:type="pct"/>
            <w:vAlign w:val="center"/>
          </w:tcPr>
          <w:p w14:paraId="7D4AB592" w14:textId="77777777" w:rsidR="00E37831" w:rsidRPr="00A92D7E" w:rsidRDefault="00E37831" w:rsidP="00A45D9B">
            <w:pPr>
              <w:pStyle w:val="Tabletext"/>
              <w:keepNext/>
              <w:keepLines/>
              <w:jc w:val="center"/>
              <w:rPr>
                <w:bCs/>
              </w:rPr>
            </w:pPr>
            <w:r w:rsidRPr="00A92D7E">
              <w:rPr>
                <w:bCs/>
              </w:rPr>
              <w:t>0.10 (0.05, 0.14)</w:t>
            </w:r>
          </w:p>
        </w:tc>
      </w:tr>
      <w:tr w:rsidR="00E37831" w:rsidRPr="009C697D" w14:paraId="791473E4" w14:textId="77777777" w:rsidTr="002D65F4">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193" w:type="pct"/>
          </w:tcPr>
          <w:p w14:paraId="33FB7285" w14:textId="77777777" w:rsidR="00E37831" w:rsidRPr="00A04B7A" w:rsidRDefault="00E37831" w:rsidP="00A45D9B">
            <w:pPr>
              <w:pStyle w:val="Tabletext"/>
              <w:keepNext/>
              <w:keepLines/>
            </w:pPr>
            <w:r>
              <w:tab/>
            </w:r>
            <w:r w:rsidRPr="00A04B7A">
              <w:t>Grade 5 AE</w:t>
            </w:r>
            <w:r>
              <w:t>*</w:t>
            </w:r>
          </w:p>
        </w:tc>
        <w:tc>
          <w:tcPr>
            <w:cnfStyle w:val="000001000000" w:firstRow="0" w:lastRow="0" w:firstColumn="0" w:lastColumn="0" w:oddVBand="0" w:evenVBand="1" w:oddHBand="0" w:evenHBand="0" w:firstRowFirstColumn="0" w:firstRowLastColumn="0" w:lastRowFirstColumn="0" w:lastRowLastColumn="0"/>
            <w:tcW w:w="899" w:type="pct"/>
            <w:vAlign w:val="center"/>
          </w:tcPr>
          <w:p w14:paraId="50651F7F" w14:textId="77777777" w:rsidR="00E37831" w:rsidRPr="00A92D7E" w:rsidRDefault="00E37831" w:rsidP="00A45D9B">
            <w:pPr>
              <w:pStyle w:val="Tabletext"/>
              <w:keepNext/>
              <w:keepLines/>
              <w:jc w:val="center"/>
            </w:pPr>
            <w:r w:rsidRPr="00A92D7E">
              <w:t>81(10.4%)</w:t>
            </w:r>
          </w:p>
        </w:tc>
        <w:tc>
          <w:tcPr>
            <w:cnfStyle w:val="000010000000" w:firstRow="0" w:lastRow="0" w:firstColumn="0" w:lastColumn="0" w:oddVBand="1" w:evenVBand="0" w:oddHBand="0" w:evenHBand="0" w:firstRowFirstColumn="0" w:firstRowLastColumn="0" w:lastRowFirstColumn="0" w:lastRowLastColumn="0"/>
            <w:tcW w:w="848" w:type="pct"/>
            <w:vAlign w:val="center"/>
          </w:tcPr>
          <w:p w14:paraId="52763A68" w14:textId="77777777" w:rsidR="00E37831" w:rsidRPr="00A92D7E" w:rsidRDefault="00E37831" w:rsidP="00A45D9B">
            <w:pPr>
              <w:pStyle w:val="Tabletext"/>
              <w:keepNext/>
              <w:keepLines/>
              <w:jc w:val="center"/>
            </w:pPr>
            <w:r w:rsidRPr="00A92D7E">
              <w:t>63 (8.2%)</w:t>
            </w:r>
          </w:p>
        </w:tc>
        <w:tc>
          <w:tcPr>
            <w:cnfStyle w:val="000001000000" w:firstRow="0" w:lastRow="0" w:firstColumn="0" w:lastColumn="0" w:oddVBand="0" w:evenVBand="1" w:oddHBand="0" w:evenHBand="0" w:firstRowFirstColumn="0" w:firstRowLastColumn="0" w:lastRowFirstColumn="0" w:lastRowLastColumn="0"/>
            <w:tcW w:w="1060" w:type="pct"/>
            <w:vAlign w:val="center"/>
          </w:tcPr>
          <w:p w14:paraId="1CAB7782" w14:textId="77777777" w:rsidR="00E37831" w:rsidRPr="00A92D7E" w:rsidRDefault="00E37831" w:rsidP="00A45D9B">
            <w:pPr>
              <w:pStyle w:val="Tabletext"/>
              <w:keepNext/>
              <w:keepLines/>
              <w:jc w:val="center"/>
            </w:pPr>
            <w:r w:rsidRPr="00A92D7E">
              <w:t>0.02 (-0.01, 0.05)</w:t>
            </w:r>
          </w:p>
        </w:tc>
      </w:tr>
      <w:tr w:rsidR="00E37831" w:rsidRPr="009C697D" w14:paraId="7C2BEC24" w14:textId="77777777" w:rsidTr="002D65F4">
        <w:tc>
          <w:tcPr>
            <w:cnfStyle w:val="000010000000" w:firstRow="0" w:lastRow="0" w:firstColumn="0" w:lastColumn="0" w:oddVBand="1" w:evenVBand="0" w:oddHBand="0" w:evenHBand="0" w:firstRowFirstColumn="0" w:firstRowLastColumn="0" w:lastRowFirstColumn="0" w:lastRowLastColumn="0"/>
            <w:tcW w:w="2193" w:type="pct"/>
          </w:tcPr>
          <w:p w14:paraId="20AEDE7A" w14:textId="77777777" w:rsidR="00E37831" w:rsidRPr="00A04B7A" w:rsidRDefault="00E37831" w:rsidP="00A45D9B">
            <w:pPr>
              <w:pStyle w:val="Tabletext"/>
              <w:keepNext/>
              <w:keepLines/>
            </w:pPr>
            <w:r w:rsidRPr="00A04B7A">
              <w:t xml:space="preserve">AEs related to any treatment </w:t>
            </w:r>
          </w:p>
        </w:tc>
        <w:tc>
          <w:tcPr>
            <w:cnfStyle w:val="000001000000" w:firstRow="0" w:lastRow="0" w:firstColumn="0" w:lastColumn="0" w:oddVBand="0" w:evenVBand="1" w:oddHBand="0" w:evenHBand="0" w:firstRowFirstColumn="0" w:firstRowLastColumn="0" w:lastRowFirstColumn="0" w:lastRowLastColumn="0"/>
            <w:tcW w:w="899" w:type="pct"/>
            <w:vAlign w:val="center"/>
          </w:tcPr>
          <w:p w14:paraId="6F99B07B" w14:textId="77777777" w:rsidR="00E37831" w:rsidRPr="00A92D7E" w:rsidRDefault="00E37831" w:rsidP="00A45D9B">
            <w:pPr>
              <w:pStyle w:val="Tabletext"/>
              <w:keepNext/>
              <w:keepLines/>
              <w:jc w:val="center"/>
              <w:rPr>
                <w:bCs/>
              </w:rPr>
            </w:pPr>
            <w:r w:rsidRPr="00A92D7E">
              <w:rPr>
                <w:bCs/>
              </w:rPr>
              <w:t>738 (94.4%)</w:t>
            </w:r>
          </w:p>
        </w:tc>
        <w:tc>
          <w:tcPr>
            <w:cnfStyle w:val="000010000000" w:firstRow="0" w:lastRow="0" w:firstColumn="0" w:lastColumn="0" w:oddVBand="1" w:evenVBand="0" w:oddHBand="0" w:evenHBand="0" w:firstRowFirstColumn="0" w:firstRowLastColumn="0" w:lastRowFirstColumn="0" w:lastRowLastColumn="0"/>
            <w:tcW w:w="848" w:type="pct"/>
            <w:vAlign w:val="center"/>
          </w:tcPr>
          <w:p w14:paraId="7614476E" w14:textId="77777777" w:rsidR="00E37831" w:rsidRPr="00A92D7E" w:rsidRDefault="00E37831" w:rsidP="00A45D9B">
            <w:pPr>
              <w:pStyle w:val="Tabletext"/>
              <w:keepNext/>
              <w:keepLines/>
              <w:jc w:val="center"/>
              <w:rPr>
                <w:bCs/>
              </w:rPr>
            </w:pPr>
            <w:r w:rsidRPr="00A92D7E">
              <w:rPr>
                <w:bCs/>
              </w:rPr>
              <w:t>679 (88.5%)</w:t>
            </w:r>
          </w:p>
        </w:tc>
        <w:tc>
          <w:tcPr>
            <w:cnfStyle w:val="000001000000" w:firstRow="0" w:lastRow="0" w:firstColumn="0" w:lastColumn="0" w:oddVBand="0" w:evenVBand="1" w:oddHBand="0" w:evenHBand="0" w:firstRowFirstColumn="0" w:firstRowLastColumn="0" w:lastRowFirstColumn="0" w:lastRowLastColumn="0"/>
            <w:tcW w:w="1060" w:type="pct"/>
            <w:vAlign w:val="center"/>
          </w:tcPr>
          <w:p w14:paraId="030544C5" w14:textId="77777777" w:rsidR="00E37831" w:rsidRPr="00A92D7E" w:rsidRDefault="00E37831" w:rsidP="00A45D9B">
            <w:pPr>
              <w:pStyle w:val="Tabletext"/>
              <w:keepNext/>
              <w:keepLines/>
              <w:jc w:val="center"/>
              <w:rPr>
                <w:bCs/>
              </w:rPr>
            </w:pPr>
            <w:r w:rsidRPr="00A92D7E">
              <w:rPr>
                <w:bCs/>
              </w:rPr>
              <w:t>0.06 (0.03, 0.09)</w:t>
            </w:r>
          </w:p>
        </w:tc>
      </w:tr>
      <w:tr w:rsidR="00E37831" w:rsidRPr="009C697D" w14:paraId="0F99D7C4" w14:textId="77777777" w:rsidTr="002D65F4">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193" w:type="pct"/>
          </w:tcPr>
          <w:p w14:paraId="3C0F1239" w14:textId="77777777" w:rsidR="00E37831" w:rsidRPr="00A04B7A" w:rsidRDefault="00E37831" w:rsidP="00A45D9B">
            <w:pPr>
              <w:pStyle w:val="Tabletext"/>
              <w:keepNext/>
              <w:keepLines/>
            </w:pPr>
            <w:r w:rsidRPr="00A04B7A">
              <w:t>Treatment-related Grade 3/4 AE</w:t>
            </w:r>
          </w:p>
        </w:tc>
        <w:tc>
          <w:tcPr>
            <w:cnfStyle w:val="000001000000" w:firstRow="0" w:lastRow="0" w:firstColumn="0" w:lastColumn="0" w:oddVBand="0" w:evenVBand="1" w:oddHBand="0" w:evenHBand="0" w:firstRowFirstColumn="0" w:firstRowLastColumn="0" w:lastRowFirstColumn="0" w:lastRowLastColumn="0"/>
            <w:tcW w:w="899" w:type="pct"/>
            <w:vAlign w:val="center"/>
          </w:tcPr>
          <w:p w14:paraId="293AE9E7" w14:textId="77777777" w:rsidR="00E37831" w:rsidRPr="00A92D7E" w:rsidRDefault="00E37831" w:rsidP="00A45D9B">
            <w:pPr>
              <w:pStyle w:val="Tabletext"/>
              <w:keepNext/>
              <w:keepLines/>
              <w:jc w:val="center"/>
              <w:rPr>
                <w:bCs/>
              </w:rPr>
            </w:pPr>
            <w:r w:rsidRPr="00A92D7E">
              <w:rPr>
                <w:bCs/>
              </w:rPr>
              <w:t>462 (59.1%)</w:t>
            </w:r>
          </w:p>
        </w:tc>
        <w:tc>
          <w:tcPr>
            <w:cnfStyle w:val="000010000000" w:firstRow="0" w:lastRow="0" w:firstColumn="0" w:lastColumn="0" w:oddVBand="1" w:evenVBand="0" w:oddHBand="0" w:evenHBand="0" w:firstRowFirstColumn="0" w:firstRowLastColumn="0" w:lastRowFirstColumn="0" w:lastRowLastColumn="0"/>
            <w:tcW w:w="848" w:type="pct"/>
            <w:vAlign w:val="center"/>
          </w:tcPr>
          <w:p w14:paraId="542C0A8C" w14:textId="77777777" w:rsidR="00E37831" w:rsidRPr="00A92D7E" w:rsidRDefault="00E37831" w:rsidP="00A45D9B">
            <w:pPr>
              <w:pStyle w:val="Tabletext"/>
              <w:keepNext/>
              <w:keepLines/>
              <w:jc w:val="center"/>
              <w:rPr>
                <w:bCs/>
              </w:rPr>
            </w:pPr>
            <w:r w:rsidRPr="00A92D7E">
              <w:rPr>
                <w:bCs/>
              </w:rPr>
              <w:t>341 (44.5%)</w:t>
            </w:r>
          </w:p>
        </w:tc>
        <w:tc>
          <w:tcPr>
            <w:cnfStyle w:val="000001000000" w:firstRow="0" w:lastRow="0" w:firstColumn="0" w:lastColumn="0" w:oddVBand="0" w:evenVBand="1" w:oddHBand="0" w:evenHBand="0" w:firstRowFirstColumn="0" w:firstRowLastColumn="0" w:lastRowFirstColumn="0" w:lastRowLastColumn="0"/>
            <w:tcW w:w="1060" w:type="pct"/>
            <w:vAlign w:val="center"/>
          </w:tcPr>
          <w:p w14:paraId="389D8F93" w14:textId="77777777" w:rsidR="00E37831" w:rsidRPr="00A92D7E" w:rsidRDefault="00E37831" w:rsidP="00A45D9B">
            <w:pPr>
              <w:pStyle w:val="Tabletext"/>
              <w:keepNext/>
              <w:keepLines/>
              <w:jc w:val="center"/>
              <w:rPr>
                <w:bCs/>
              </w:rPr>
            </w:pPr>
            <w:r w:rsidRPr="00A92D7E">
              <w:rPr>
                <w:bCs/>
              </w:rPr>
              <w:t>0.15 (0.10, 0.20)</w:t>
            </w:r>
          </w:p>
        </w:tc>
      </w:tr>
      <w:tr w:rsidR="00E37831" w:rsidRPr="009C697D" w14:paraId="119022E1" w14:textId="77777777" w:rsidTr="002D65F4">
        <w:tc>
          <w:tcPr>
            <w:cnfStyle w:val="000010000000" w:firstRow="0" w:lastRow="0" w:firstColumn="0" w:lastColumn="0" w:oddVBand="1" w:evenVBand="0" w:oddHBand="0" w:evenHBand="0" w:firstRowFirstColumn="0" w:firstRowLastColumn="0" w:lastRowFirstColumn="0" w:lastRowLastColumn="0"/>
            <w:tcW w:w="2193" w:type="pct"/>
          </w:tcPr>
          <w:p w14:paraId="1BF73A1F" w14:textId="77777777" w:rsidR="00E37831" w:rsidRPr="00A04B7A" w:rsidRDefault="00E37831" w:rsidP="00A45D9B">
            <w:pPr>
              <w:pStyle w:val="Tabletext"/>
              <w:keepNext/>
              <w:keepLines/>
              <w:rPr>
                <w:vertAlign w:val="superscript"/>
              </w:rPr>
            </w:pPr>
            <w:r w:rsidRPr="00A04B7A">
              <w:t xml:space="preserve">Treatment-related Grade 5 </w:t>
            </w:r>
            <w:proofErr w:type="spellStart"/>
            <w:r w:rsidRPr="00A04B7A">
              <w:t>AE</w:t>
            </w:r>
            <w:r w:rsidRPr="00A04B7A">
              <w:rPr>
                <w:vertAlign w:val="superscript"/>
              </w:rPr>
              <w:t>a</w:t>
            </w:r>
            <w:proofErr w:type="spellEnd"/>
            <w:r>
              <w:rPr>
                <w:vertAlign w:val="superscript"/>
              </w:rPr>
              <w:t>*</w:t>
            </w:r>
          </w:p>
        </w:tc>
        <w:tc>
          <w:tcPr>
            <w:cnfStyle w:val="000001000000" w:firstRow="0" w:lastRow="0" w:firstColumn="0" w:lastColumn="0" w:oddVBand="0" w:evenVBand="1" w:oddHBand="0" w:evenHBand="0" w:firstRowFirstColumn="0" w:firstRowLastColumn="0" w:lastRowFirstColumn="0" w:lastRowLastColumn="0"/>
            <w:tcW w:w="899" w:type="pct"/>
            <w:vAlign w:val="center"/>
          </w:tcPr>
          <w:p w14:paraId="767D6869" w14:textId="77777777" w:rsidR="00E37831" w:rsidRPr="00A92D7E" w:rsidRDefault="00E37831" w:rsidP="00A45D9B">
            <w:pPr>
              <w:pStyle w:val="Tabletext"/>
              <w:keepNext/>
              <w:keepLines/>
              <w:jc w:val="center"/>
            </w:pPr>
            <w:r w:rsidRPr="00A92D7E">
              <w:t>4 (0.5%)</w:t>
            </w:r>
          </w:p>
        </w:tc>
        <w:tc>
          <w:tcPr>
            <w:cnfStyle w:val="000010000000" w:firstRow="0" w:lastRow="0" w:firstColumn="0" w:lastColumn="0" w:oddVBand="1" w:evenVBand="0" w:oddHBand="0" w:evenHBand="0" w:firstRowFirstColumn="0" w:firstRowLastColumn="0" w:lastRowFirstColumn="0" w:lastRowLastColumn="0"/>
            <w:tcW w:w="848" w:type="pct"/>
            <w:vAlign w:val="center"/>
          </w:tcPr>
          <w:p w14:paraId="441B8A57" w14:textId="77777777" w:rsidR="00E37831" w:rsidRPr="00A92D7E" w:rsidRDefault="00E37831" w:rsidP="00A45D9B">
            <w:pPr>
              <w:pStyle w:val="Tabletext"/>
              <w:keepNext/>
              <w:keepLines/>
              <w:jc w:val="center"/>
            </w:pPr>
            <w:r w:rsidRPr="00A92D7E">
              <w:t>0 (0.0%)</w:t>
            </w:r>
          </w:p>
        </w:tc>
        <w:tc>
          <w:tcPr>
            <w:cnfStyle w:val="000001000000" w:firstRow="0" w:lastRow="0" w:firstColumn="0" w:lastColumn="0" w:oddVBand="0" w:evenVBand="1" w:oddHBand="0" w:evenHBand="0" w:firstRowFirstColumn="0" w:firstRowLastColumn="0" w:lastRowFirstColumn="0" w:lastRowLastColumn="0"/>
            <w:tcW w:w="1060" w:type="pct"/>
            <w:vAlign w:val="center"/>
          </w:tcPr>
          <w:p w14:paraId="6F9711BB" w14:textId="77777777" w:rsidR="00E37831" w:rsidRPr="00A92D7E" w:rsidRDefault="00E37831" w:rsidP="00A45D9B">
            <w:pPr>
              <w:pStyle w:val="Tabletext"/>
              <w:keepNext/>
              <w:keepLines/>
              <w:jc w:val="center"/>
            </w:pPr>
            <w:r w:rsidRPr="00A92D7E">
              <w:t>0.01 (-0.00, 0.01)</w:t>
            </w:r>
          </w:p>
        </w:tc>
      </w:tr>
      <w:tr w:rsidR="00E37831" w:rsidRPr="009C697D" w14:paraId="58C8D851" w14:textId="77777777" w:rsidTr="002D65F4">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193" w:type="pct"/>
          </w:tcPr>
          <w:p w14:paraId="6196D399" w14:textId="77777777" w:rsidR="00E37831" w:rsidRPr="00A04B7A" w:rsidRDefault="00E37831" w:rsidP="00A45D9B">
            <w:pPr>
              <w:pStyle w:val="Tabletext"/>
              <w:keepNext/>
              <w:keepLines/>
            </w:pPr>
            <w:r w:rsidRPr="00A04B7A">
              <w:t>SAE</w:t>
            </w:r>
          </w:p>
        </w:tc>
        <w:tc>
          <w:tcPr>
            <w:cnfStyle w:val="000001000000" w:firstRow="0" w:lastRow="0" w:firstColumn="0" w:lastColumn="0" w:oddVBand="0" w:evenVBand="1" w:oddHBand="0" w:evenHBand="0" w:firstRowFirstColumn="0" w:firstRowLastColumn="0" w:lastRowFirstColumn="0" w:lastRowLastColumn="0"/>
            <w:tcW w:w="899" w:type="pct"/>
            <w:vAlign w:val="center"/>
          </w:tcPr>
          <w:p w14:paraId="724087D2" w14:textId="77777777" w:rsidR="00E37831" w:rsidRPr="00A92D7E" w:rsidRDefault="00E37831" w:rsidP="00A45D9B">
            <w:pPr>
              <w:pStyle w:val="Tabletext"/>
              <w:keepNext/>
              <w:keepLines/>
              <w:jc w:val="center"/>
              <w:rPr>
                <w:bCs/>
              </w:rPr>
            </w:pPr>
            <w:r w:rsidRPr="00A92D7E">
              <w:rPr>
                <w:bCs/>
              </w:rPr>
              <w:t>423 (54.1%)</w:t>
            </w:r>
          </w:p>
        </w:tc>
        <w:tc>
          <w:tcPr>
            <w:cnfStyle w:val="000010000000" w:firstRow="0" w:lastRow="0" w:firstColumn="0" w:lastColumn="0" w:oddVBand="1" w:evenVBand="0" w:oddHBand="0" w:evenHBand="0" w:firstRowFirstColumn="0" w:firstRowLastColumn="0" w:lastRowFirstColumn="0" w:lastRowLastColumn="0"/>
            <w:tcW w:w="848" w:type="pct"/>
            <w:vAlign w:val="center"/>
          </w:tcPr>
          <w:p w14:paraId="30A76B11" w14:textId="77777777" w:rsidR="00E37831" w:rsidRPr="00A92D7E" w:rsidRDefault="00E37831" w:rsidP="00A45D9B">
            <w:pPr>
              <w:pStyle w:val="Tabletext"/>
              <w:keepNext/>
              <w:keepLines/>
              <w:jc w:val="center"/>
              <w:rPr>
                <w:bCs/>
              </w:rPr>
            </w:pPr>
            <w:r w:rsidRPr="00A92D7E">
              <w:rPr>
                <w:bCs/>
              </w:rPr>
              <w:t>335 (43.7%)</w:t>
            </w:r>
          </w:p>
        </w:tc>
        <w:tc>
          <w:tcPr>
            <w:cnfStyle w:val="000001000000" w:firstRow="0" w:lastRow="0" w:firstColumn="0" w:lastColumn="0" w:oddVBand="0" w:evenVBand="1" w:oddHBand="0" w:evenHBand="0" w:firstRowFirstColumn="0" w:firstRowLastColumn="0" w:lastRowFirstColumn="0" w:lastRowLastColumn="0"/>
            <w:tcW w:w="1060" w:type="pct"/>
            <w:vAlign w:val="center"/>
          </w:tcPr>
          <w:p w14:paraId="21C334AF" w14:textId="77777777" w:rsidR="00E37831" w:rsidRPr="00A92D7E" w:rsidRDefault="00E37831" w:rsidP="00A45D9B">
            <w:pPr>
              <w:pStyle w:val="Tabletext"/>
              <w:keepNext/>
              <w:keepLines/>
              <w:jc w:val="center"/>
              <w:rPr>
                <w:bCs/>
              </w:rPr>
            </w:pPr>
            <w:r w:rsidRPr="00A92D7E">
              <w:rPr>
                <w:bCs/>
              </w:rPr>
              <w:t>0.10 (0.05, 0.15)</w:t>
            </w:r>
          </w:p>
        </w:tc>
      </w:tr>
      <w:tr w:rsidR="00E37831" w:rsidRPr="009C697D" w14:paraId="5B6063F7" w14:textId="77777777" w:rsidTr="002D65F4">
        <w:tc>
          <w:tcPr>
            <w:cnfStyle w:val="000010000000" w:firstRow="0" w:lastRow="0" w:firstColumn="0" w:lastColumn="0" w:oddVBand="1" w:evenVBand="0" w:oddHBand="0" w:evenHBand="0" w:firstRowFirstColumn="0" w:firstRowLastColumn="0" w:lastRowFirstColumn="0" w:lastRowLastColumn="0"/>
            <w:tcW w:w="2193" w:type="pct"/>
          </w:tcPr>
          <w:p w14:paraId="2C1F84DA" w14:textId="77777777" w:rsidR="00E37831" w:rsidRPr="00A04B7A" w:rsidRDefault="00E37831" w:rsidP="00A45D9B">
            <w:pPr>
              <w:pStyle w:val="Tabletext"/>
              <w:keepNext/>
              <w:keepLines/>
            </w:pPr>
            <w:r>
              <w:tab/>
              <w:t>Grade 3/4</w:t>
            </w:r>
          </w:p>
        </w:tc>
        <w:tc>
          <w:tcPr>
            <w:cnfStyle w:val="000001000000" w:firstRow="0" w:lastRow="0" w:firstColumn="0" w:lastColumn="0" w:oddVBand="0" w:evenVBand="1" w:oddHBand="0" w:evenHBand="0" w:firstRowFirstColumn="0" w:firstRowLastColumn="0" w:lastRowFirstColumn="0" w:lastRowLastColumn="0"/>
            <w:tcW w:w="899" w:type="pct"/>
            <w:vAlign w:val="center"/>
          </w:tcPr>
          <w:p w14:paraId="50386879" w14:textId="77777777" w:rsidR="00E37831" w:rsidRPr="00A92D7E" w:rsidRDefault="00E37831" w:rsidP="00A45D9B">
            <w:pPr>
              <w:pStyle w:val="Tabletext"/>
              <w:keepNext/>
              <w:keepLines/>
              <w:jc w:val="center"/>
              <w:rPr>
                <w:bCs/>
              </w:rPr>
            </w:pPr>
            <w:r w:rsidRPr="00A92D7E">
              <w:rPr>
                <w:bCs/>
              </w:rPr>
              <w:t>281 (35.9%)</w:t>
            </w:r>
          </w:p>
        </w:tc>
        <w:tc>
          <w:tcPr>
            <w:cnfStyle w:val="000010000000" w:firstRow="0" w:lastRow="0" w:firstColumn="0" w:lastColumn="0" w:oddVBand="1" w:evenVBand="0" w:oddHBand="0" w:evenHBand="0" w:firstRowFirstColumn="0" w:firstRowLastColumn="0" w:lastRowFirstColumn="0" w:lastRowLastColumn="0"/>
            <w:tcW w:w="848" w:type="pct"/>
            <w:vAlign w:val="center"/>
          </w:tcPr>
          <w:p w14:paraId="1F0CDC86" w14:textId="77777777" w:rsidR="00E37831" w:rsidRPr="00A92D7E" w:rsidRDefault="00E37831" w:rsidP="00A45D9B">
            <w:pPr>
              <w:pStyle w:val="Tabletext"/>
              <w:keepNext/>
              <w:keepLines/>
              <w:jc w:val="center"/>
              <w:rPr>
                <w:bCs/>
              </w:rPr>
            </w:pPr>
            <w:r w:rsidRPr="00A92D7E">
              <w:rPr>
                <w:bCs/>
              </w:rPr>
              <w:t>229 (29.9%)</w:t>
            </w:r>
          </w:p>
        </w:tc>
        <w:tc>
          <w:tcPr>
            <w:cnfStyle w:val="000001000000" w:firstRow="0" w:lastRow="0" w:firstColumn="0" w:lastColumn="0" w:oddVBand="0" w:evenVBand="1" w:oddHBand="0" w:evenHBand="0" w:firstRowFirstColumn="0" w:firstRowLastColumn="0" w:lastRowFirstColumn="0" w:lastRowLastColumn="0"/>
            <w:tcW w:w="1060" w:type="pct"/>
            <w:vAlign w:val="center"/>
          </w:tcPr>
          <w:p w14:paraId="4B74D01A" w14:textId="77777777" w:rsidR="00E37831" w:rsidRPr="00A92D7E" w:rsidRDefault="00E37831" w:rsidP="00A45D9B">
            <w:pPr>
              <w:pStyle w:val="Tabletext"/>
              <w:keepNext/>
              <w:keepLines/>
              <w:jc w:val="center"/>
              <w:rPr>
                <w:bCs/>
              </w:rPr>
            </w:pPr>
            <w:r w:rsidRPr="00A92D7E">
              <w:rPr>
                <w:bCs/>
              </w:rPr>
              <w:t>0.06 (0.01, 0.11)</w:t>
            </w:r>
          </w:p>
        </w:tc>
      </w:tr>
      <w:tr w:rsidR="00E37831" w:rsidRPr="009C697D" w14:paraId="2A9D19C4" w14:textId="77777777" w:rsidTr="002D65F4">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193" w:type="pct"/>
          </w:tcPr>
          <w:p w14:paraId="1BE7D180" w14:textId="77777777" w:rsidR="00E37831" w:rsidRPr="00A04B7A" w:rsidRDefault="00E37831" w:rsidP="00A45D9B">
            <w:pPr>
              <w:pStyle w:val="Tabletext"/>
              <w:keepNext/>
              <w:keepLines/>
            </w:pPr>
            <w:r w:rsidRPr="00A04B7A">
              <w:t>Treatment-related SAE</w:t>
            </w:r>
          </w:p>
        </w:tc>
        <w:tc>
          <w:tcPr>
            <w:cnfStyle w:val="000001000000" w:firstRow="0" w:lastRow="0" w:firstColumn="0" w:lastColumn="0" w:oddVBand="0" w:evenVBand="1" w:oddHBand="0" w:evenHBand="0" w:firstRowFirstColumn="0" w:firstRowLastColumn="0" w:lastRowFirstColumn="0" w:lastRowLastColumn="0"/>
            <w:tcW w:w="899" w:type="pct"/>
            <w:vAlign w:val="center"/>
          </w:tcPr>
          <w:p w14:paraId="275CDC04" w14:textId="77777777" w:rsidR="00E37831" w:rsidRPr="00A92D7E" w:rsidRDefault="00E37831" w:rsidP="00A45D9B">
            <w:pPr>
              <w:pStyle w:val="Tabletext"/>
              <w:keepNext/>
              <w:keepLines/>
              <w:jc w:val="center"/>
              <w:rPr>
                <w:bCs/>
              </w:rPr>
            </w:pPr>
            <w:r w:rsidRPr="00A92D7E">
              <w:rPr>
                <w:bCs/>
              </w:rPr>
              <w:t>172 (22.0%)</w:t>
            </w:r>
          </w:p>
        </w:tc>
        <w:tc>
          <w:tcPr>
            <w:cnfStyle w:val="000010000000" w:firstRow="0" w:lastRow="0" w:firstColumn="0" w:lastColumn="0" w:oddVBand="1" w:evenVBand="0" w:oddHBand="0" w:evenHBand="0" w:firstRowFirstColumn="0" w:firstRowLastColumn="0" w:lastRowFirstColumn="0" w:lastRowLastColumn="0"/>
            <w:tcW w:w="848" w:type="pct"/>
            <w:vAlign w:val="center"/>
          </w:tcPr>
          <w:p w14:paraId="307147FE" w14:textId="77777777" w:rsidR="00E37831" w:rsidRPr="00A92D7E" w:rsidRDefault="00E37831" w:rsidP="00A45D9B">
            <w:pPr>
              <w:pStyle w:val="Tabletext"/>
              <w:keepNext/>
              <w:keepLines/>
              <w:jc w:val="center"/>
              <w:rPr>
                <w:bCs/>
              </w:rPr>
            </w:pPr>
            <w:r w:rsidRPr="00A92D7E">
              <w:rPr>
                <w:bCs/>
              </w:rPr>
              <w:t>93 (12.1%)</w:t>
            </w:r>
          </w:p>
        </w:tc>
        <w:tc>
          <w:tcPr>
            <w:cnfStyle w:val="000001000000" w:firstRow="0" w:lastRow="0" w:firstColumn="0" w:lastColumn="0" w:oddVBand="0" w:evenVBand="1" w:oddHBand="0" w:evenHBand="0" w:firstRowFirstColumn="0" w:firstRowLastColumn="0" w:lastRowFirstColumn="0" w:lastRowLastColumn="0"/>
            <w:tcW w:w="1060" w:type="pct"/>
            <w:vAlign w:val="center"/>
          </w:tcPr>
          <w:p w14:paraId="04E39A24" w14:textId="77777777" w:rsidR="00E37831" w:rsidRPr="00A92D7E" w:rsidRDefault="00E37831" w:rsidP="00A45D9B">
            <w:pPr>
              <w:pStyle w:val="Tabletext"/>
              <w:keepNext/>
              <w:keepLines/>
              <w:jc w:val="center"/>
              <w:rPr>
                <w:bCs/>
              </w:rPr>
            </w:pPr>
            <w:r w:rsidRPr="00A92D7E">
              <w:rPr>
                <w:bCs/>
              </w:rPr>
              <w:t>0.10 (0.06, 0.14)</w:t>
            </w:r>
          </w:p>
        </w:tc>
      </w:tr>
      <w:tr w:rsidR="00E37831" w:rsidRPr="009C697D" w14:paraId="481A1079" w14:textId="77777777" w:rsidTr="002D65F4">
        <w:tc>
          <w:tcPr>
            <w:cnfStyle w:val="000010000000" w:firstRow="0" w:lastRow="0" w:firstColumn="0" w:lastColumn="0" w:oddVBand="1" w:evenVBand="0" w:oddHBand="0" w:evenHBand="0" w:firstRowFirstColumn="0" w:firstRowLastColumn="0" w:lastRowFirstColumn="0" w:lastRowLastColumn="0"/>
            <w:tcW w:w="2193" w:type="pct"/>
          </w:tcPr>
          <w:p w14:paraId="67F24101" w14:textId="77777777" w:rsidR="00E37831" w:rsidRPr="00A04B7A" w:rsidRDefault="00E37831" w:rsidP="00A45D9B">
            <w:pPr>
              <w:pStyle w:val="Tabletext"/>
              <w:keepNext/>
              <w:keepLines/>
            </w:pPr>
            <w:r>
              <w:tab/>
              <w:t>Grade 3/4</w:t>
            </w:r>
          </w:p>
        </w:tc>
        <w:tc>
          <w:tcPr>
            <w:cnfStyle w:val="000001000000" w:firstRow="0" w:lastRow="0" w:firstColumn="0" w:lastColumn="0" w:oddVBand="0" w:evenVBand="1" w:oddHBand="0" w:evenHBand="0" w:firstRowFirstColumn="0" w:firstRowLastColumn="0" w:lastRowFirstColumn="0" w:lastRowLastColumn="0"/>
            <w:tcW w:w="899" w:type="pct"/>
            <w:vAlign w:val="center"/>
          </w:tcPr>
          <w:p w14:paraId="53B4A42B" w14:textId="77777777" w:rsidR="00E37831" w:rsidRPr="00A92D7E" w:rsidRDefault="00E37831" w:rsidP="00A45D9B">
            <w:pPr>
              <w:pStyle w:val="Tabletext"/>
              <w:keepNext/>
              <w:keepLines/>
              <w:jc w:val="center"/>
              <w:rPr>
                <w:bCs/>
              </w:rPr>
            </w:pPr>
            <w:r w:rsidRPr="00A92D7E">
              <w:rPr>
                <w:bCs/>
              </w:rPr>
              <w:t>131 (16.8%)</w:t>
            </w:r>
          </w:p>
        </w:tc>
        <w:tc>
          <w:tcPr>
            <w:cnfStyle w:val="000010000000" w:firstRow="0" w:lastRow="0" w:firstColumn="0" w:lastColumn="0" w:oddVBand="1" w:evenVBand="0" w:oddHBand="0" w:evenHBand="0" w:firstRowFirstColumn="0" w:firstRowLastColumn="0" w:lastRowFirstColumn="0" w:lastRowLastColumn="0"/>
            <w:tcW w:w="848" w:type="pct"/>
            <w:vAlign w:val="center"/>
          </w:tcPr>
          <w:p w14:paraId="540AF989" w14:textId="77777777" w:rsidR="00E37831" w:rsidRPr="00A92D7E" w:rsidRDefault="00E37831" w:rsidP="00A45D9B">
            <w:pPr>
              <w:pStyle w:val="Tabletext"/>
              <w:keepNext/>
              <w:keepLines/>
              <w:jc w:val="center"/>
              <w:rPr>
                <w:bCs/>
              </w:rPr>
            </w:pPr>
            <w:r w:rsidRPr="00A92D7E">
              <w:rPr>
                <w:bCs/>
              </w:rPr>
              <w:t>77 (10.0%)</w:t>
            </w:r>
          </w:p>
        </w:tc>
        <w:tc>
          <w:tcPr>
            <w:cnfStyle w:val="000001000000" w:firstRow="0" w:lastRow="0" w:firstColumn="0" w:lastColumn="0" w:oddVBand="0" w:evenVBand="1" w:oddHBand="0" w:evenHBand="0" w:firstRowFirstColumn="0" w:firstRowLastColumn="0" w:lastRowFirstColumn="0" w:lastRowLastColumn="0"/>
            <w:tcW w:w="1060" w:type="pct"/>
            <w:vAlign w:val="center"/>
          </w:tcPr>
          <w:p w14:paraId="4413D689" w14:textId="77777777" w:rsidR="00E37831" w:rsidRPr="00A92D7E" w:rsidRDefault="00E37831" w:rsidP="00A45D9B">
            <w:pPr>
              <w:pStyle w:val="Tabletext"/>
              <w:keepNext/>
              <w:keepLines/>
              <w:jc w:val="center"/>
              <w:rPr>
                <w:bCs/>
              </w:rPr>
            </w:pPr>
            <w:r w:rsidRPr="00A92D7E">
              <w:rPr>
                <w:bCs/>
              </w:rPr>
              <w:t>0.07 (0.03, 0.10)</w:t>
            </w:r>
          </w:p>
        </w:tc>
      </w:tr>
      <w:tr w:rsidR="00E37831" w:rsidRPr="00A92D7E" w14:paraId="4418FD53" w14:textId="77777777" w:rsidTr="002D65F4">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193" w:type="pct"/>
          </w:tcPr>
          <w:p w14:paraId="2AF6CF78" w14:textId="77777777" w:rsidR="00E37831" w:rsidRPr="00A04B7A" w:rsidRDefault="00E37831" w:rsidP="00A45D9B">
            <w:pPr>
              <w:pStyle w:val="Tabletext"/>
              <w:keepNext/>
              <w:keepLines/>
            </w:pPr>
            <w:r w:rsidRPr="00A04B7A">
              <w:t xml:space="preserve">AE leading to discontinuation from any study treatment </w:t>
            </w:r>
          </w:p>
        </w:tc>
        <w:tc>
          <w:tcPr>
            <w:cnfStyle w:val="000001000000" w:firstRow="0" w:lastRow="0" w:firstColumn="0" w:lastColumn="0" w:oddVBand="0" w:evenVBand="1" w:oddHBand="0" w:evenHBand="0" w:firstRowFirstColumn="0" w:firstRowLastColumn="0" w:lastRowFirstColumn="0" w:lastRowLastColumn="0"/>
            <w:tcW w:w="899" w:type="pct"/>
            <w:vAlign w:val="center"/>
          </w:tcPr>
          <w:p w14:paraId="5981FC71" w14:textId="77777777" w:rsidR="00E37831" w:rsidRPr="00A92D7E" w:rsidRDefault="00E37831" w:rsidP="00A45D9B">
            <w:pPr>
              <w:pStyle w:val="Tabletext"/>
              <w:keepNext/>
              <w:keepLines/>
              <w:jc w:val="center"/>
              <w:rPr>
                <w:bCs/>
              </w:rPr>
            </w:pPr>
            <w:r w:rsidRPr="00A92D7E">
              <w:rPr>
                <w:bCs/>
              </w:rPr>
              <w:t>371 (47.4%)</w:t>
            </w:r>
          </w:p>
        </w:tc>
        <w:tc>
          <w:tcPr>
            <w:cnfStyle w:val="000010000000" w:firstRow="0" w:lastRow="0" w:firstColumn="0" w:lastColumn="0" w:oddVBand="1" w:evenVBand="0" w:oddHBand="0" w:evenHBand="0" w:firstRowFirstColumn="0" w:firstRowLastColumn="0" w:lastRowFirstColumn="0" w:lastRowLastColumn="0"/>
            <w:tcW w:w="848" w:type="pct"/>
            <w:vAlign w:val="center"/>
          </w:tcPr>
          <w:p w14:paraId="6ABE70B0" w14:textId="77777777" w:rsidR="00E37831" w:rsidRPr="00A92D7E" w:rsidRDefault="00E37831" w:rsidP="00A45D9B">
            <w:pPr>
              <w:pStyle w:val="Tabletext"/>
              <w:keepNext/>
              <w:keepLines/>
              <w:jc w:val="center"/>
              <w:rPr>
                <w:bCs/>
              </w:rPr>
            </w:pPr>
            <w:r w:rsidRPr="00A92D7E">
              <w:rPr>
                <w:bCs/>
              </w:rPr>
              <w:t>251 (32.7%)</w:t>
            </w:r>
          </w:p>
        </w:tc>
        <w:tc>
          <w:tcPr>
            <w:cnfStyle w:val="000001000000" w:firstRow="0" w:lastRow="0" w:firstColumn="0" w:lastColumn="0" w:oddVBand="0" w:evenVBand="1" w:oddHBand="0" w:evenHBand="0" w:firstRowFirstColumn="0" w:firstRowLastColumn="0" w:lastRowFirstColumn="0" w:lastRowLastColumn="0"/>
            <w:tcW w:w="1060" w:type="pct"/>
            <w:vAlign w:val="center"/>
          </w:tcPr>
          <w:p w14:paraId="26F5F086" w14:textId="77777777" w:rsidR="00E37831" w:rsidRPr="00A92D7E" w:rsidRDefault="00E37831" w:rsidP="00A45D9B">
            <w:pPr>
              <w:pStyle w:val="Tabletext"/>
              <w:keepNext/>
              <w:keepLines/>
              <w:jc w:val="center"/>
              <w:rPr>
                <w:bCs/>
              </w:rPr>
            </w:pPr>
            <w:r w:rsidRPr="00A92D7E">
              <w:rPr>
                <w:bCs/>
              </w:rPr>
              <w:t>0.15 (0.10, 0.20)</w:t>
            </w:r>
          </w:p>
        </w:tc>
      </w:tr>
      <w:tr w:rsidR="00E37831" w:rsidRPr="00A92D7E" w14:paraId="15771A95" w14:textId="77777777" w:rsidTr="002D65F4">
        <w:tc>
          <w:tcPr>
            <w:cnfStyle w:val="000010000000" w:firstRow="0" w:lastRow="0" w:firstColumn="0" w:lastColumn="0" w:oddVBand="1" w:evenVBand="0" w:oddHBand="0" w:evenHBand="0" w:firstRowFirstColumn="0" w:firstRowLastColumn="0" w:lastRowFirstColumn="0" w:lastRowLastColumn="0"/>
            <w:tcW w:w="2193" w:type="pct"/>
          </w:tcPr>
          <w:p w14:paraId="0DBB3F48" w14:textId="77777777" w:rsidR="00E37831" w:rsidRPr="00A04B7A" w:rsidRDefault="00E37831" w:rsidP="00A45D9B">
            <w:pPr>
              <w:pStyle w:val="Tabletext"/>
              <w:keepNext/>
              <w:keepLines/>
            </w:pPr>
            <w:r>
              <w:tab/>
              <w:t>Grade 3/4</w:t>
            </w:r>
          </w:p>
        </w:tc>
        <w:tc>
          <w:tcPr>
            <w:cnfStyle w:val="000001000000" w:firstRow="0" w:lastRow="0" w:firstColumn="0" w:lastColumn="0" w:oddVBand="0" w:evenVBand="1" w:oddHBand="0" w:evenHBand="0" w:firstRowFirstColumn="0" w:firstRowLastColumn="0" w:lastRowFirstColumn="0" w:lastRowLastColumn="0"/>
            <w:tcW w:w="899" w:type="pct"/>
            <w:vAlign w:val="center"/>
          </w:tcPr>
          <w:p w14:paraId="637776BC" w14:textId="77777777" w:rsidR="00E37831" w:rsidRPr="00A92D7E" w:rsidRDefault="00E37831" w:rsidP="00A45D9B">
            <w:pPr>
              <w:pStyle w:val="Tabletext"/>
              <w:keepNext/>
              <w:keepLines/>
              <w:jc w:val="center"/>
            </w:pPr>
            <w:r w:rsidRPr="00A92D7E">
              <w:t>194 (24.8%)</w:t>
            </w:r>
          </w:p>
        </w:tc>
        <w:tc>
          <w:tcPr>
            <w:cnfStyle w:val="000010000000" w:firstRow="0" w:lastRow="0" w:firstColumn="0" w:lastColumn="0" w:oddVBand="1" w:evenVBand="0" w:oddHBand="0" w:evenHBand="0" w:firstRowFirstColumn="0" w:firstRowLastColumn="0" w:lastRowFirstColumn="0" w:lastRowLastColumn="0"/>
            <w:tcW w:w="848" w:type="pct"/>
            <w:vAlign w:val="center"/>
          </w:tcPr>
          <w:p w14:paraId="7912F25E" w14:textId="77777777" w:rsidR="00E37831" w:rsidRPr="00A92D7E" w:rsidRDefault="00E37831" w:rsidP="00A45D9B">
            <w:pPr>
              <w:pStyle w:val="Tabletext"/>
              <w:keepNext/>
              <w:keepLines/>
              <w:jc w:val="center"/>
            </w:pPr>
            <w:r w:rsidRPr="00A92D7E">
              <w:t>113 (14.7%)</w:t>
            </w:r>
          </w:p>
        </w:tc>
        <w:tc>
          <w:tcPr>
            <w:cnfStyle w:val="000001000000" w:firstRow="0" w:lastRow="0" w:firstColumn="0" w:lastColumn="0" w:oddVBand="0" w:evenVBand="1" w:oddHBand="0" w:evenHBand="0" w:firstRowFirstColumn="0" w:firstRowLastColumn="0" w:lastRowFirstColumn="0" w:lastRowLastColumn="0"/>
            <w:tcW w:w="1060" w:type="pct"/>
            <w:vAlign w:val="center"/>
          </w:tcPr>
          <w:p w14:paraId="66E90BD0" w14:textId="77777777" w:rsidR="00E37831" w:rsidRPr="00A92D7E" w:rsidRDefault="00E37831" w:rsidP="00A45D9B">
            <w:pPr>
              <w:pStyle w:val="Tabletext"/>
              <w:keepNext/>
              <w:keepLines/>
              <w:jc w:val="center"/>
            </w:pPr>
            <w:r w:rsidRPr="00A92D7E">
              <w:t>0.10 (0.66, 0.14)</w:t>
            </w:r>
          </w:p>
        </w:tc>
      </w:tr>
      <w:tr w:rsidR="00E37831" w:rsidRPr="00A92D7E" w14:paraId="7F0608AA" w14:textId="77777777" w:rsidTr="002D65F4">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193" w:type="pct"/>
          </w:tcPr>
          <w:p w14:paraId="15438ED0" w14:textId="77777777" w:rsidR="00E37831" w:rsidRPr="00A04B7A" w:rsidRDefault="00E37831" w:rsidP="00A45D9B">
            <w:pPr>
              <w:pStyle w:val="Tabletext"/>
              <w:keepNext/>
              <w:keepLines/>
            </w:pPr>
            <w:r w:rsidRPr="00A04B7A">
              <w:t>Treatment-related AE leading to discontinuation from any study treatment</w:t>
            </w:r>
          </w:p>
        </w:tc>
        <w:tc>
          <w:tcPr>
            <w:cnfStyle w:val="000001000000" w:firstRow="0" w:lastRow="0" w:firstColumn="0" w:lastColumn="0" w:oddVBand="0" w:evenVBand="1" w:oddHBand="0" w:evenHBand="0" w:firstRowFirstColumn="0" w:firstRowLastColumn="0" w:lastRowFirstColumn="0" w:lastRowLastColumn="0"/>
            <w:tcW w:w="899" w:type="pct"/>
            <w:vAlign w:val="center"/>
          </w:tcPr>
          <w:p w14:paraId="5BCA7C61" w14:textId="77777777" w:rsidR="00E37831" w:rsidRPr="00A92D7E" w:rsidRDefault="00E37831" w:rsidP="00A45D9B">
            <w:pPr>
              <w:pStyle w:val="Tabletext"/>
              <w:keepNext/>
              <w:keepLines/>
              <w:jc w:val="center"/>
              <w:rPr>
                <w:bCs/>
              </w:rPr>
            </w:pPr>
            <w:r w:rsidRPr="00A92D7E">
              <w:rPr>
                <w:bCs/>
              </w:rPr>
              <w:t>284 (36.3%)</w:t>
            </w:r>
          </w:p>
        </w:tc>
        <w:tc>
          <w:tcPr>
            <w:cnfStyle w:val="000010000000" w:firstRow="0" w:lastRow="0" w:firstColumn="0" w:lastColumn="0" w:oddVBand="1" w:evenVBand="0" w:oddHBand="0" w:evenHBand="0" w:firstRowFirstColumn="0" w:firstRowLastColumn="0" w:lastRowFirstColumn="0" w:lastRowLastColumn="0"/>
            <w:tcW w:w="848" w:type="pct"/>
            <w:vAlign w:val="center"/>
          </w:tcPr>
          <w:p w14:paraId="021285A3" w14:textId="77777777" w:rsidR="00E37831" w:rsidRPr="00A92D7E" w:rsidRDefault="00E37831" w:rsidP="00A45D9B">
            <w:pPr>
              <w:pStyle w:val="Tabletext"/>
              <w:keepNext/>
              <w:keepLines/>
              <w:jc w:val="center"/>
              <w:rPr>
                <w:bCs/>
              </w:rPr>
            </w:pPr>
            <w:r w:rsidRPr="00A92D7E">
              <w:rPr>
                <w:bCs/>
              </w:rPr>
              <w:t>181 (23.6%)</w:t>
            </w:r>
          </w:p>
        </w:tc>
        <w:tc>
          <w:tcPr>
            <w:cnfStyle w:val="000001000000" w:firstRow="0" w:lastRow="0" w:firstColumn="0" w:lastColumn="0" w:oddVBand="0" w:evenVBand="1" w:oddHBand="0" w:evenHBand="0" w:firstRowFirstColumn="0" w:firstRowLastColumn="0" w:lastRowFirstColumn="0" w:lastRowLastColumn="0"/>
            <w:tcW w:w="1060" w:type="pct"/>
            <w:vAlign w:val="center"/>
          </w:tcPr>
          <w:p w14:paraId="1B9D5D03" w14:textId="77777777" w:rsidR="00E37831" w:rsidRPr="00A92D7E" w:rsidRDefault="00E37831" w:rsidP="00A45D9B">
            <w:pPr>
              <w:pStyle w:val="Tabletext"/>
              <w:keepNext/>
              <w:keepLines/>
              <w:jc w:val="center"/>
              <w:rPr>
                <w:bCs/>
              </w:rPr>
            </w:pPr>
            <w:r w:rsidRPr="00A92D7E">
              <w:rPr>
                <w:bCs/>
              </w:rPr>
              <w:t>0.13 (0.08, 0.17)</w:t>
            </w:r>
          </w:p>
        </w:tc>
      </w:tr>
      <w:tr w:rsidR="00E37831" w:rsidRPr="00A92D7E" w14:paraId="280B0E2F" w14:textId="77777777" w:rsidTr="002D65F4">
        <w:tc>
          <w:tcPr>
            <w:cnfStyle w:val="000010000000" w:firstRow="0" w:lastRow="0" w:firstColumn="0" w:lastColumn="0" w:oddVBand="1" w:evenVBand="0" w:oddHBand="0" w:evenHBand="0" w:firstRowFirstColumn="0" w:firstRowLastColumn="0" w:lastRowFirstColumn="0" w:lastRowLastColumn="0"/>
            <w:tcW w:w="2193" w:type="pct"/>
          </w:tcPr>
          <w:p w14:paraId="25876B07" w14:textId="77777777" w:rsidR="00E37831" w:rsidRPr="00A04B7A" w:rsidRDefault="00E37831" w:rsidP="00A45D9B">
            <w:pPr>
              <w:pStyle w:val="Tabletext"/>
              <w:keepNext/>
              <w:keepLines/>
            </w:pPr>
            <w:r>
              <w:tab/>
              <w:t>Grade 3/4</w:t>
            </w:r>
          </w:p>
        </w:tc>
        <w:tc>
          <w:tcPr>
            <w:cnfStyle w:val="000001000000" w:firstRow="0" w:lastRow="0" w:firstColumn="0" w:lastColumn="0" w:oddVBand="0" w:evenVBand="1" w:oddHBand="0" w:evenHBand="0" w:firstRowFirstColumn="0" w:firstRowLastColumn="0" w:lastRowFirstColumn="0" w:lastRowLastColumn="0"/>
            <w:tcW w:w="899" w:type="pct"/>
            <w:vAlign w:val="center"/>
          </w:tcPr>
          <w:p w14:paraId="5721BC64" w14:textId="77777777" w:rsidR="00E37831" w:rsidRPr="00A92D7E" w:rsidRDefault="00E37831" w:rsidP="00A45D9B">
            <w:pPr>
              <w:pStyle w:val="Tabletext"/>
              <w:keepNext/>
              <w:keepLines/>
              <w:jc w:val="center"/>
              <w:rPr>
                <w:bCs/>
              </w:rPr>
            </w:pPr>
            <w:r w:rsidRPr="00A92D7E">
              <w:rPr>
                <w:bCs/>
              </w:rPr>
              <w:t>132 (16.9%)</w:t>
            </w:r>
          </w:p>
        </w:tc>
        <w:tc>
          <w:tcPr>
            <w:cnfStyle w:val="000010000000" w:firstRow="0" w:lastRow="0" w:firstColumn="0" w:lastColumn="0" w:oddVBand="1" w:evenVBand="0" w:oddHBand="0" w:evenHBand="0" w:firstRowFirstColumn="0" w:firstRowLastColumn="0" w:lastRowFirstColumn="0" w:lastRowLastColumn="0"/>
            <w:tcW w:w="848" w:type="pct"/>
            <w:vAlign w:val="center"/>
          </w:tcPr>
          <w:p w14:paraId="444521CB" w14:textId="77777777" w:rsidR="00E37831" w:rsidRPr="00A92D7E" w:rsidRDefault="00E37831" w:rsidP="00A45D9B">
            <w:pPr>
              <w:pStyle w:val="Tabletext"/>
              <w:keepNext/>
              <w:keepLines/>
              <w:jc w:val="center"/>
              <w:rPr>
                <w:bCs/>
              </w:rPr>
            </w:pPr>
            <w:r w:rsidRPr="00A92D7E">
              <w:rPr>
                <w:bCs/>
              </w:rPr>
              <w:t>67 (8.7%)</w:t>
            </w:r>
          </w:p>
        </w:tc>
        <w:tc>
          <w:tcPr>
            <w:cnfStyle w:val="000001000000" w:firstRow="0" w:lastRow="0" w:firstColumn="0" w:lastColumn="0" w:oddVBand="0" w:evenVBand="1" w:oddHBand="0" w:evenHBand="0" w:firstRowFirstColumn="0" w:firstRowLastColumn="0" w:lastRowFirstColumn="0" w:lastRowLastColumn="0"/>
            <w:tcW w:w="1060" w:type="pct"/>
            <w:vAlign w:val="center"/>
          </w:tcPr>
          <w:p w14:paraId="2B2E3DF1" w14:textId="77777777" w:rsidR="00E37831" w:rsidRPr="00A92D7E" w:rsidRDefault="00E37831" w:rsidP="00A45D9B">
            <w:pPr>
              <w:pStyle w:val="Tabletext"/>
              <w:keepNext/>
              <w:keepLines/>
              <w:jc w:val="center"/>
              <w:rPr>
                <w:bCs/>
              </w:rPr>
            </w:pPr>
            <w:r w:rsidRPr="00A92D7E">
              <w:rPr>
                <w:bCs/>
              </w:rPr>
              <w:t>0.08 (0.05, 0.11)</w:t>
            </w:r>
          </w:p>
        </w:tc>
      </w:tr>
      <w:tr w:rsidR="00E37831" w:rsidRPr="009C697D" w14:paraId="6F404BF5" w14:textId="77777777" w:rsidTr="002D65F4">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5000" w:type="pct"/>
            <w:gridSpan w:val="4"/>
          </w:tcPr>
          <w:p w14:paraId="4B2BED6D" w14:textId="77777777" w:rsidR="00E37831" w:rsidRDefault="00E37831" w:rsidP="00E37831">
            <w:pPr>
              <w:pStyle w:val="Tabletext"/>
              <w:keepNext/>
              <w:keepLines/>
              <w:rPr>
                <w:rFonts w:eastAsiaTheme="minorHAnsi"/>
              </w:rPr>
            </w:pPr>
            <w:r>
              <w:t>Specific AEs</w:t>
            </w:r>
          </w:p>
        </w:tc>
      </w:tr>
    </w:tbl>
    <w:tbl>
      <w:tblPr>
        <w:tblStyle w:val="TableGrid"/>
        <w:tblW w:w="0" w:type="auto"/>
        <w:tblInd w:w="-5" w:type="dxa"/>
        <w:tblLook w:val="04A0" w:firstRow="1" w:lastRow="0" w:firstColumn="1" w:lastColumn="0" w:noHBand="0" w:noVBand="1"/>
        <w:tblCaption w:val="Table 7: Overview of adverse events in CheckMate, Safety population"/>
      </w:tblPr>
      <w:tblGrid>
        <w:gridCol w:w="3955"/>
        <w:gridCol w:w="1620"/>
        <w:gridCol w:w="1530"/>
        <w:gridCol w:w="1912"/>
      </w:tblGrid>
      <w:tr w:rsidR="00E37831" w:rsidRPr="001858D7" w14:paraId="0B43DD80" w14:textId="77777777" w:rsidTr="00224556">
        <w:trPr>
          <w:trHeight w:val="109"/>
          <w:tblHeader/>
        </w:trPr>
        <w:tc>
          <w:tcPr>
            <w:tcW w:w="3955" w:type="dxa"/>
            <w:tcBorders>
              <w:top w:val="nil"/>
              <w:bottom w:val="single" w:sz="4" w:space="0" w:color="auto"/>
            </w:tcBorders>
          </w:tcPr>
          <w:p w14:paraId="10AEDC49" w14:textId="77777777" w:rsidR="00E37831" w:rsidRPr="00A64219" w:rsidRDefault="00E37831" w:rsidP="00A45D9B">
            <w:pPr>
              <w:pStyle w:val="TableText0"/>
            </w:pPr>
            <w:r w:rsidRPr="00A64219">
              <w:t>Number of patients with at least 1 AE</w:t>
            </w:r>
          </w:p>
        </w:tc>
        <w:tc>
          <w:tcPr>
            <w:tcW w:w="1620" w:type="dxa"/>
            <w:tcBorders>
              <w:top w:val="nil"/>
              <w:bottom w:val="single" w:sz="4" w:space="0" w:color="auto"/>
            </w:tcBorders>
            <w:vAlign w:val="center"/>
          </w:tcPr>
          <w:p w14:paraId="1F458DC0" w14:textId="77777777" w:rsidR="00E37831" w:rsidRPr="00A92D7E" w:rsidRDefault="00E37831" w:rsidP="00A45D9B">
            <w:pPr>
              <w:pStyle w:val="TableText0"/>
              <w:jc w:val="center"/>
            </w:pPr>
            <w:r w:rsidRPr="00A92D7E">
              <w:t>540 (69.1%)</w:t>
            </w:r>
          </w:p>
        </w:tc>
        <w:tc>
          <w:tcPr>
            <w:tcW w:w="1530" w:type="dxa"/>
            <w:tcBorders>
              <w:top w:val="nil"/>
              <w:bottom w:val="single" w:sz="4" w:space="0" w:color="auto"/>
            </w:tcBorders>
            <w:vAlign w:val="center"/>
          </w:tcPr>
          <w:p w14:paraId="4A5BBF30" w14:textId="77777777" w:rsidR="00E37831" w:rsidRPr="00A92D7E" w:rsidRDefault="00E37831" w:rsidP="00A45D9B">
            <w:pPr>
              <w:pStyle w:val="TableText0"/>
              <w:jc w:val="center"/>
            </w:pPr>
            <w:r w:rsidRPr="00A92D7E">
              <w:t>456 (59.5%)</w:t>
            </w:r>
          </w:p>
        </w:tc>
        <w:tc>
          <w:tcPr>
            <w:tcW w:w="1912" w:type="dxa"/>
            <w:tcBorders>
              <w:top w:val="nil"/>
              <w:bottom w:val="single" w:sz="4" w:space="0" w:color="auto"/>
            </w:tcBorders>
            <w:vAlign w:val="center"/>
          </w:tcPr>
          <w:p w14:paraId="3CC2765F" w14:textId="77777777" w:rsidR="00E37831" w:rsidRPr="004054B4" w:rsidRDefault="00E37831" w:rsidP="00A45D9B">
            <w:pPr>
              <w:pStyle w:val="Tabletext"/>
              <w:jc w:val="center"/>
            </w:pPr>
            <w:r w:rsidRPr="004054B4">
              <w:t>0.10 (0.05, 0.14)</w:t>
            </w:r>
          </w:p>
        </w:tc>
      </w:tr>
      <w:tr w:rsidR="00E37831" w:rsidRPr="001858D7" w14:paraId="600D8DDC" w14:textId="77777777" w:rsidTr="00E37831">
        <w:trPr>
          <w:trHeight w:val="20"/>
        </w:trPr>
        <w:tc>
          <w:tcPr>
            <w:tcW w:w="3955" w:type="dxa"/>
            <w:tcBorders>
              <w:bottom w:val="nil"/>
            </w:tcBorders>
          </w:tcPr>
          <w:p w14:paraId="459539D0" w14:textId="77777777" w:rsidR="00E37831" w:rsidRPr="008927E8" w:rsidRDefault="00E37831" w:rsidP="00A45D9B">
            <w:pPr>
              <w:pStyle w:val="TableText0"/>
            </w:pPr>
            <w:r w:rsidRPr="008927E8">
              <w:t>Nervous system disorders</w:t>
            </w:r>
          </w:p>
        </w:tc>
        <w:tc>
          <w:tcPr>
            <w:tcW w:w="1620" w:type="dxa"/>
            <w:tcBorders>
              <w:bottom w:val="nil"/>
            </w:tcBorders>
            <w:vAlign w:val="center"/>
          </w:tcPr>
          <w:p w14:paraId="08D7B0E4" w14:textId="77777777" w:rsidR="00E37831" w:rsidRPr="00A92D7E" w:rsidRDefault="00E37831" w:rsidP="00A45D9B">
            <w:pPr>
              <w:pStyle w:val="TableText0"/>
              <w:jc w:val="center"/>
              <w:rPr>
                <w:bCs w:val="0"/>
              </w:rPr>
            </w:pPr>
            <w:r w:rsidRPr="00A92D7E">
              <w:rPr>
                <w:bCs w:val="0"/>
              </w:rPr>
              <w:t>94 (12.0%)</w:t>
            </w:r>
          </w:p>
        </w:tc>
        <w:tc>
          <w:tcPr>
            <w:tcW w:w="1530" w:type="dxa"/>
            <w:tcBorders>
              <w:bottom w:val="nil"/>
            </w:tcBorders>
            <w:vAlign w:val="center"/>
          </w:tcPr>
          <w:p w14:paraId="55A9C383" w14:textId="77777777" w:rsidR="00E37831" w:rsidRPr="00A92D7E" w:rsidRDefault="00E37831" w:rsidP="00A45D9B">
            <w:pPr>
              <w:pStyle w:val="TableText0"/>
              <w:jc w:val="center"/>
              <w:rPr>
                <w:bCs w:val="0"/>
              </w:rPr>
            </w:pPr>
            <w:r w:rsidRPr="00A92D7E">
              <w:rPr>
                <w:bCs w:val="0"/>
              </w:rPr>
              <w:t>65 (8.5%)</w:t>
            </w:r>
          </w:p>
        </w:tc>
        <w:tc>
          <w:tcPr>
            <w:tcW w:w="1912" w:type="dxa"/>
            <w:tcBorders>
              <w:bottom w:val="nil"/>
            </w:tcBorders>
            <w:vAlign w:val="center"/>
          </w:tcPr>
          <w:p w14:paraId="6CBE6AA1" w14:textId="77777777" w:rsidR="00E37831" w:rsidRPr="004054B4" w:rsidRDefault="00E37831" w:rsidP="00A45D9B">
            <w:pPr>
              <w:pStyle w:val="Tabletext"/>
              <w:jc w:val="center"/>
              <w:rPr>
                <w:bCs/>
              </w:rPr>
            </w:pPr>
            <w:r w:rsidRPr="004054B4">
              <w:rPr>
                <w:bCs/>
              </w:rPr>
              <w:t>0.04 (0.01, 0.07)</w:t>
            </w:r>
          </w:p>
        </w:tc>
      </w:tr>
      <w:tr w:rsidR="00E37831" w:rsidRPr="001858D7" w14:paraId="3DCA368B" w14:textId="77777777" w:rsidTr="00E37831">
        <w:trPr>
          <w:trHeight w:val="20"/>
        </w:trPr>
        <w:tc>
          <w:tcPr>
            <w:tcW w:w="3955" w:type="dxa"/>
            <w:tcBorders>
              <w:bottom w:val="nil"/>
            </w:tcBorders>
          </w:tcPr>
          <w:p w14:paraId="03081601" w14:textId="77777777" w:rsidR="00E37831" w:rsidRPr="008927E8" w:rsidRDefault="00E37831" w:rsidP="00A45D9B">
            <w:pPr>
              <w:pStyle w:val="TableText0"/>
            </w:pPr>
            <w:r w:rsidRPr="008927E8">
              <w:t>Investigations</w:t>
            </w:r>
          </w:p>
        </w:tc>
        <w:tc>
          <w:tcPr>
            <w:tcW w:w="1620" w:type="dxa"/>
            <w:tcBorders>
              <w:bottom w:val="nil"/>
            </w:tcBorders>
            <w:vAlign w:val="center"/>
          </w:tcPr>
          <w:p w14:paraId="6840D91C" w14:textId="77777777" w:rsidR="00E37831" w:rsidRPr="00A92D7E" w:rsidRDefault="00E37831" w:rsidP="00A45D9B">
            <w:pPr>
              <w:pStyle w:val="TableText0"/>
              <w:jc w:val="center"/>
              <w:rPr>
                <w:bCs w:val="0"/>
              </w:rPr>
            </w:pPr>
            <w:r w:rsidRPr="00A92D7E">
              <w:rPr>
                <w:bCs w:val="0"/>
              </w:rPr>
              <w:t>213 (27.2%)</w:t>
            </w:r>
          </w:p>
        </w:tc>
        <w:tc>
          <w:tcPr>
            <w:tcW w:w="1530" w:type="dxa"/>
            <w:tcBorders>
              <w:bottom w:val="nil"/>
            </w:tcBorders>
            <w:vAlign w:val="center"/>
          </w:tcPr>
          <w:p w14:paraId="1AD60295" w14:textId="77777777" w:rsidR="00E37831" w:rsidRPr="00A92D7E" w:rsidRDefault="00E37831" w:rsidP="00A45D9B">
            <w:pPr>
              <w:pStyle w:val="TableText0"/>
              <w:jc w:val="center"/>
              <w:rPr>
                <w:bCs w:val="0"/>
              </w:rPr>
            </w:pPr>
            <w:r w:rsidRPr="00A92D7E">
              <w:rPr>
                <w:bCs w:val="0"/>
              </w:rPr>
              <w:t>150 (19.6%)</w:t>
            </w:r>
          </w:p>
        </w:tc>
        <w:tc>
          <w:tcPr>
            <w:tcW w:w="1912" w:type="dxa"/>
            <w:tcBorders>
              <w:bottom w:val="nil"/>
            </w:tcBorders>
            <w:vAlign w:val="center"/>
          </w:tcPr>
          <w:p w14:paraId="1F2DDED4" w14:textId="77777777" w:rsidR="00E37831" w:rsidRPr="004054B4" w:rsidRDefault="00E37831" w:rsidP="00A45D9B">
            <w:pPr>
              <w:pStyle w:val="Tabletext"/>
              <w:jc w:val="center"/>
              <w:rPr>
                <w:bCs/>
              </w:rPr>
            </w:pPr>
            <w:r w:rsidRPr="004054B4">
              <w:rPr>
                <w:bCs/>
              </w:rPr>
              <w:t>0.08 (0.03, 0.12)</w:t>
            </w:r>
          </w:p>
        </w:tc>
      </w:tr>
      <w:tr w:rsidR="00E37831" w:rsidRPr="001858D7" w14:paraId="7FBC9C9E" w14:textId="77777777" w:rsidTr="00E37831">
        <w:trPr>
          <w:trHeight w:val="20"/>
        </w:trPr>
        <w:tc>
          <w:tcPr>
            <w:tcW w:w="3955" w:type="dxa"/>
            <w:tcBorders>
              <w:top w:val="nil"/>
              <w:bottom w:val="nil"/>
            </w:tcBorders>
          </w:tcPr>
          <w:p w14:paraId="119B4FEF" w14:textId="77777777" w:rsidR="00E37831" w:rsidRPr="008927E8" w:rsidRDefault="00E37831" w:rsidP="00A45D9B">
            <w:pPr>
              <w:pStyle w:val="TableText0"/>
            </w:pPr>
            <w:r w:rsidRPr="008927E8">
              <w:t>Lipase increased</w:t>
            </w:r>
          </w:p>
        </w:tc>
        <w:tc>
          <w:tcPr>
            <w:tcW w:w="1620" w:type="dxa"/>
            <w:tcBorders>
              <w:top w:val="nil"/>
              <w:bottom w:val="nil"/>
            </w:tcBorders>
            <w:vAlign w:val="center"/>
          </w:tcPr>
          <w:p w14:paraId="0E564AB6" w14:textId="77777777" w:rsidR="00E37831" w:rsidRPr="00A92D7E" w:rsidRDefault="00E37831" w:rsidP="00A45D9B">
            <w:pPr>
              <w:pStyle w:val="TableText0"/>
              <w:jc w:val="center"/>
              <w:rPr>
                <w:bCs w:val="0"/>
              </w:rPr>
            </w:pPr>
            <w:r w:rsidRPr="00A92D7E">
              <w:rPr>
                <w:bCs w:val="0"/>
              </w:rPr>
              <w:t>55 (7.0%)</w:t>
            </w:r>
          </w:p>
        </w:tc>
        <w:tc>
          <w:tcPr>
            <w:tcW w:w="1530" w:type="dxa"/>
            <w:tcBorders>
              <w:top w:val="nil"/>
              <w:bottom w:val="nil"/>
            </w:tcBorders>
            <w:vAlign w:val="center"/>
          </w:tcPr>
          <w:p w14:paraId="1F7CD527" w14:textId="77777777" w:rsidR="00E37831" w:rsidRPr="00A92D7E" w:rsidRDefault="00E37831" w:rsidP="00A45D9B">
            <w:pPr>
              <w:pStyle w:val="TableText0"/>
              <w:jc w:val="center"/>
              <w:rPr>
                <w:bCs w:val="0"/>
              </w:rPr>
            </w:pPr>
            <w:r w:rsidRPr="00A92D7E">
              <w:rPr>
                <w:bCs w:val="0"/>
              </w:rPr>
              <w:t>28 (3.7%)</w:t>
            </w:r>
          </w:p>
        </w:tc>
        <w:tc>
          <w:tcPr>
            <w:tcW w:w="1912" w:type="dxa"/>
            <w:tcBorders>
              <w:top w:val="nil"/>
              <w:bottom w:val="nil"/>
            </w:tcBorders>
            <w:vAlign w:val="center"/>
          </w:tcPr>
          <w:p w14:paraId="1309F304" w14:textId="77777777" w:rsidR="00E37831" w:rsidRPr="004054B4" w:rsidRDefault="00E37831" w:rsidP="00A45D9B">
            <w:pPr>
              <w:pStyle w:val="Tabletext"/>
              <w:jc w:val="center"/>
              <w:rPr>
                <w:bCs/>
              </w:rPr>
            </w:pPr>
            <w:r w:rsidRPr="004054B4">
              <w:rPr>
                <w:bCs/>
              </w:rPr>
              <w:t>0.03 (0.01, 0.06)</w:t>
            </w:r>
          </w:p>
        </w:tc>
      </w:tr>
      <w:tr w:rsidR="00E37831" w:rsidRPr="001858D7" w14:paraId="6DB91A30" w14:textId="77777777" w:rsidTr="00E37831">
        <w:trPr>
          <w:trHeight w:val="20"/>
        </w:trPr>
        <w:tc>
          <w:tcPr>
            <w:tcW w:w="3955" w:type="dxa"/>
            <w:tcBorders>
              <w:top w:val="nil"/>
              <w:bottom w:val="single" w:sz="4" w:space="0" w:color="auto"/>
            </w:tcBorders>
          </w:tcPr>
          <w:p w14:paraId="01D15423" w14:textId="77777777" w:rsidR="00E37831" w:rsidRPr="008927E8" w:rsidRDefault="00E37831" w:rsidP="00A45D9B">
            <w:pPr>
              <w:pStyle w:val="TableText0"/>
            </w:pPr>
            <w:r>
              <w:t>Amylase increased</w:t>
            </w:r>
          </w:p>
        </w:tc>
        <w:tc>
          <w:tcPr>
            <w:tcW w:w="1620" w:type="dxa"/>
            <w:tcBorders>
              <w:top w:val="nil"/>
              <w:bottom w:val="single" w:sz="4" w:space="0" w:color="auto"/>
            </w:tcBorders>
            <w:vAlign w:val="center"/>
          </w:tcPr>
          <w:p w14:paraId="56956435" w14:textId="77777777" w:rsidR="00E37831" w:rsidRPr="00A92D7E" w:rsidRDefault="00E37831" w:rsidP="00A45D9B">
            <w:pPr>
              <w:pStyle w:val="TableText0"/>
              <w:jc w:val="center"/>
              <w:rPr>
                <w:bCs w:val="0"/>
              </w:rPr>
            </w:pPr>
            <w:r w:rsidRPr="00A92D7E">
              <w:rPr>
                <w:bCs w:val="0"/>
              </w:rPr>
              <w:t>24 (3.1%)</w:t>
            </w:r>
          </w:p>
        </w:tc>
        <w:tc>
          <w:tcPr>
            <w:tcW w:w="1530" w:type="dxa"/>
            <w:tcBorders>
              <w:top w:val="nil"/>
              <w:bottom w:val="single" w:sz="4" w:space="0" w:color="auto"/>
            </w:tcBorders>
            <w:vAlign w:val="center"/>
          </w:tcPr>
          <w:p w14:paraId="3C322684" w14:textId="77777777" w:rsidR="00E37831" w:rsidRPr="00A92D7E" w:rsidRDefault="00E37831" w:rsidP="00A45D9B">
            <w:pPr>
              <w:pStyle w:val="TableText0"/>
              <w:jc w:val="center"/>
              <w:rPr>
                <w:bCs w:val="0"/>
              </w:rPr>
            </w:pPr>
            <w:r w:rsidRPr="00A92D7E">
              <w:rPr>
                <w:bCs w:val="0"/>
              </w:rPr>
              <w:t>3 (0.4%)</w:t>
            </w:r>
          </w:p>
        </w:tc>
        <w:tc>
          <w:tcPr>
            <w:tcW w:w="1912" w:type="dxa"/>
            <w:tcBorders>
              <w:top w:val="nil"/>
              <w:bottom w:val="single" w:sz="4" w:space="0" w:color="auto"/>
            </w:tcBorders>
            <w:vAlign w:val="center"/>
          </w:tcPr>
          <w:p w14:paraId="6AFC5797" w14:textId="77777777" w:rsidR="00E37831" w:rsidRPr="004054B4" w:rsidRDefault="00E37831" w:rsidP="00A45D9B">
            <w:pPr>
              <w:pStyle w:val="Tabletext"/>
              <w:jc w:val="center"/>
              <w:rPr>
                <w:bCs/>
              </w:rPr>
            </w:pPr>
            <w:r w:rsidRPr="004054B4">
              <w:rPr>
                <w:bCs/>
              </w:rPr>
              <w:t>0.03 (0.01, 0.04)</w:t>
            </w:r>
          </w:p>
        </w:tc>
      </w:tr>
      <w:tr w:rsidR="00E37831" w:rsidRPr="001858D7" w14:paraId="3ECB02A5" w14:textId="77777777" w:rsidTr="00A92D7E">
        <w:trPr>
          <w:trHeight w:val="58"/>
        </w:trPr>
        <w:tc>
          <w:tcPr>
            <w:tcW w:w="3955" w:type="dxa"/>
            <w:tcBorders>
              <w:bottom w:val="nil"/>
            </w:tcBorders>
          </w:tcPr>
          <w:p w14:paraId="712E97A6" w14:textId="77777777" w:rsidR="00E37831" w:rsidRPr="008927E8" w:rsidRDefault="00E37831" w:rsidP="00A45D9B">
            <w:pPr>
              <w:pStyle w:val="TableText0"/>
            </w:pPr>
            <w:r w:rsidRPr="008927E8">
              <w:t>Blood and lymphatic system disorders</w:t>
            </w:r>
          </w:p>
        </w:tc>
        <w:tc>
          <w:tcPr>
            <w:tcW w:w="1620" w:type="dxa"/>
            <w:tcBorders>
              <w:bottom w:val="nil"/>
            </w:tcBorders>
            <w:vAlign w:val="center"/>
          </w:tcPr>
          <w:p w14:paraId="237CB105" w14:textId="77777777" w:rsidR="00E37831" w:rsidRPr="00A92D7E" w:rsidRDefault="00E37831" w:rsidP="00A45D9B">
            <w:pPr>
              <w:pStyle w:val="TableText0"/>
              <w:jc w:val="center"/>
              <w:rPr>
                <w:bCs w:val="0"/>
              </w:rPr>
            </w:pPr>
            <w:r w:rsidRPr="00A92D7E">
              <w:rPr>
                <w:bCs w:val="0"/>
              </w:rPr>
              <w:t>230 (29.4%)</w:t>
            </w:r>
          </w:p>
        </w:tc>
        <w:tc>
          <w:tcPr>
            <w:tcW w:w="1530" w:type="dxa"/>
            <w:tcBorders>
              <w:bottom w:val="nil"/>
            </w:tcBorders>
            <w:vAlign w:val="center"/>
          </w:tcPr>
          <w:p w14:paraId="019FCE15" w14:textId="77777777" w:rsidR="00E37831" w:rsidRPr="00A92D7E" w:rsidRDefault="00E37831" w:rsidP="00A45D9B">
            <w:pPr>
              <w:pStyle w:val="TableText0"/>
              <w:jc w:val="center"/>
              <w:rPr>
                <w:bCs w:val="0"/>
              </w:rPr>
            </w:pPr>
            <w:r w:rsidRPr="00A92D7E">
              <w:rPr>
                <w:bCs w:val="0"/>
              </w:rPr>
              <w:t>167 (21.8%)</w:t>
            </w:r>
          </w:p>
        </w:tc>
        <w:tc>
          <w:tcPr>
            <w:tcW w:w="1912" w:type="dxa"/>
            <w:tcBorders>
              <w:bottom w:val="nil"/>
            </w:tcBorders>
            <w:vAlign w:val="center"/>
          </w:tcPr>
          <w:p w14:paraId="6AB1B71F" w14:textId="77777777" w:rsidR="00E37831" w:rsidRPr="004054B4" w:rsidRDefault="00E37831" w:rsidP="00A45D9B">
            <w:pPr>
              <w:pStyle w:val="Tabletext"/>
              <w:jc w:val="center"/>
              <w:rPr>
                <w:bCs/>
              </w:rPr>
            </w:pPr>
            <w:r w:rsidRPr="004054B4">
              <w:rPr>
                <w:bCs/>
              </w:rPr>
              <w:t>0.08 (0.03, 0.12)</w:t>
            </w:r>
          </w:p>
        </w:tc>
      </w:tr>
      <w:tr w:rsidR="00E37831" w:rsidRPr="001858D7" w14:paraId="5A4719DD" w14:textId="77777777" w:rsidTr="00E37831">
        <w:trPr>
          <w:trHeight w:val="20"/>
        </w:trPr>
        <w:tc>
          <w:tcPr>
            <w:tcW w:w="3955" w:type="dxa"/>
            <w:tcBorders>
              <w:top w:val="nil"/>
              <w:bottom w:val="nil"/>
            </w:tcBorders>
          </w:tcPr>
          <w:p w14:paraId="0D3145D7" w14:textId="77777777" w:rsidR="00E37831" w:rsidRPr="008927E8" w:rsidRDefault="00E37831" w:rsidP="00A45D9B">
            <w:pPr>
              <w:pStyle w:val="TableText0"/>
            </w:pPr>
            <w:r w:rsidRPr="008927E8">
              <w:t xml:space="preserve">Anaemia </w:t>
            </w:r>
          </w:p>
        </w:tc>
        <w:tc>
          <w:tcPr>
            <w:tcW w:w="1620" w:type="dxa"/>
            <w:tcBorders>
              <w:top w:val="nil"/>
              <w:bottom w:val="nil"/>
            </w:tcBorders>
            <w:vAlign w:val="center"/>
          </w:tcPr>
          <w:p w14:paraId="3651110A" w14:textId="77777777" w:rsidR="00E37831" w:rsidRPr="00A92D7E" w:rsidRDefault="00E37831" w:rsidP="00A45D9B">
            <w:pPr>
              <w:pStyle w:val="TableText0"/>
              <w:jc w:val="center"/>
              <w:rPr>
                <w:bCs w:val="0"/>
              </w:rPr>
            </w:pPr>
            <w:r w:rsidRPr="00A92D7E">
              <w:rPr>
                <w:bCs w:val="0"/>
              </w:rPr>
              <w:t>86 (11.0%)</w:t>
            </w:r>
          </w:p>
        </w:tc>
        <w:tc>
          <w:tcPr>
            <w:tcW w:w="1530" w:type="dxa"/>
            <w:tcBorders>
              <w:top w:val="nil"/>
              <w:bottom w:val="nil"/>
            </w:tcBorders>
            <w:vAlign w:val="center"/>
          </w:tcPr>
          <w:p w14:paraId="5F076E7E" w14:textId="77777777" w:rsidR="00E37831" w:rsidRPr="00A92D7E" w:rsidRDefault="00E37831" w:rsidP="00A45D9B">
            <w:pPr>
              <w:pStyle w:val="TableText0"/>
              <w:jc w:val="center"/>
              <w:rPr>
                <w:bCs w:val="0"/>
              </w:rPr>
            </w:pPr>
            <w:r w:rsidRPr="00A92D7E">
              <w:rPr>
                <w:bCs w:val="0"/>
              </w:rPr>
              <w:t>56 (7.3%)</w:t>
            </w:r>
          </w:p>
        </w:tc>
        <w:tc>
          <w:tcPr>
            <w:tcW w:w="1912" w:type="dxa"/>
            <w:tcBorders>
              <w:top w:val="nil"/>
              <w:bottom w:val="nil"/>
            </w:tcBorders>
            <w:vAlign w:val="center"/>
          </w:tcPr>
          <w:p w14:paraId="3B26CB04" w14:textId="77777777" w:rsidR="00E37831" w:rsidRPr="004054B4" w:rsidRDefault="00E37831" w:rsidP="00A45D9B">
            <w:pPr>
              <w:pStyle w:val="Tabletext"/>
              <w:jc w:val="center"/>
              <w:rPr>
                <w:bCs/>
              </w:rPr>
            </w:pPr>
            <w:r w:rsidRPr="004054B4">
              <w:rPr>
                <w:bCs/>
              </w:rPr>
              <w:t>0.04 (0.01, 0.07)</w:t>
            </w:r>
          </w:p>
        </w:tc>
      </w:tr>
      <w:tr w:rsidR="00E37831" w:rsidRPr="001858D7" w14:paraId="303BCEFB" w14:textId="77777777" w:rsidTr="00E37831">
        <w:trPr>
          <w:trHeight w:val="20"/>
        </w:trPr>
        <w:tc>
          <w:tcPr>
            <w:tcW w:w="3955" w:type="dxa"/>
            <w:tcBorders>
              <w:bottom w:val="single" w:sz="4" w:space="0" w:color="auto"/>
            </w:tcBorders>
          </w:tcPr>
          <w:p w14:paraId="74B82313" w14:textId="77777777" w:rsidR="00E37831" w:rsidRPr="008927E8" w:rsidRDefault="00E37831" w:rsidP="00A45D9B">
            <w:pPr>
              <w:pStyle w:val="TableText0"/>
            </w:pPr>
            <w:r w:rsidRPr="008927E8">
              <w:t>Infections and infestations</w:t>
            </w:r>
          </w:p>
        </w:tc>
        <w:tc>
          <w:tcPr>
            <w:tcW w:w="1620" w:type="dxa"/>
            <w:tcBorders>
              <w:bottom w:val="single" w:sz="4" w:space="0" w:color="auto"/>
            </w:tcBorders>
            <w:vAlign w:val="center"/>
          </w:tcPr>
          <w:p w14:paraId="57269067" w14:textId="77777777" w:rsidR="00E37831" w:rsidRPr="00A92D7E" w:rsidRDefault="00E37831" w:rsidP="00A45D9B">
            <w:pPr>
              <w:pStyle w:val="TableText0"/>
              <w:jc w:val="center"/>
              <w:rPr>
                <w:bCs w:val="0"/>
              </w:rPr>
            </w:pPr>
            <w:r w:rsidRPr="00A92D7E">
              <w:rPr>
                <w:bCs w:val="0"/>
              </w:rPr>
              <w:t>68 (8.7%)</w:t>
            </w:r>
          </w:p>
        </w:tc>
        <w:tc>
          <w:tcPr>
            <w:tcW w:w="1530" w:type="dxa"/>
            <w:tcBorders>
              <w:bottom w:val="single" w:sz="4" w:space="0" w:color="auto"/>
            </w:tcBorders>
            <w:vAlign w:val="center"/>
          </w:tcPr>
          <w:p w14:paraId="7D7EAD09" w14:textId="77777777" w:rsidR="00E37831" w:rsidRPr="00A92D7E" w:rsidRDefault="00E37831" w:rsidP="00A45D9B">
            <w:pPr>
              <w:pStyle w:val="TableText0"/>
              <w:jc w:val="center"/>
              <w:rPr>
                <w:bCs w:val="0"/>
              </w:rPr>
            </w:pPr>
            <w:r w:rsidRPr="00A92D7E">
              <w:rPr>
                <w:bCs w:val="0"/>
              </w:rPr>
              <w:t>39 (5.1%)</w:t>
            </w:r>
          </w:p>
        </w:tc>
        <w:tc>
          <w:tcPr>
            <w:tcW w:w="1912" w:type="dxa"/>
            <w:tcBorders>
              <w:bottom w:val="single" w:sz="4" w:space="0" w:color="auto"/>
            </w:tcBorders>
            <w:vAlign w:val="center"/>
          </w:tcPr>
          <w:p w14:paraId="7FC12881" w14:textId="77777777" w:rsidR="00E37831" w:rsidRPr="004054B4" w:rsidRDefault="00E37831" w:rsidP="00A45D9B">
            <w:pPr>
              <w:pStyle w:val="Tabletext"/>
              <w:jc w:val="center"/>
              <w:rPr>
                <w:bCs/>
              </w:rPr>
            </w:pPr>
            <w:r w:rsidRPr="004054B4">
              <w:rPr>
                <w:bCs/>
              </w:rPr>
              <w:t>0.04 (0.01, 0.06)</w:t>
            </w:r>
          </w:p>
        </w:tc>
      </w:tr>
    </w:tbl>
    <w:p w14:paraId="01803F3D" w14:textId="77777777" w:rsidR="00E37831" w:rsidRDefault="00E37831" w:rsidP="00E37831">
      <w:pPr>
        <w:pStyle w:val="TableFooter"/>
        <w:keepNext/>
        <w:keepLines/>
        <w:rPr>
          <w:rFonts w:eastAsiaTheme="minorHAnsi"/>
        </w:rPr>
      </w:pPr>
      <w:r w:rsidRPr="004A1D4D">
        <w:rPr>
          <w:rFonts w:eastAsiaTheme="minorHAnsi"/>
        </w:rPr>
        <w:t xml:space="preserve">Source: </w:t>
      </w:r>
      <w:r>
        <w:rPr>
          <w:rFonts w:eastAsiaTheme="minorHAnsi"/>
        </w:rPr>
        <w:t>Table 30, p66 of the submission.</w:t>
      </w:r>
    </w:p>
    <w:p w14:paraId="3006C8A6" w14:textId="77777777" w:rsidR="00E37831" w:rsidRDefault="00E37831" w:rsidP="00E37831">
      <w:pPr>
        <w:pStyle w:val="TableFooter"/>
        <w:keepNext/>
        <w:keepLines/>
        <w:rPr>
          <w:rFonts w:eastAsiaTheme="minorHAnsi"/>
        </w:rPr>
      </w:pPr>
      <w:r w:rsidRPr="004A1D4D">
        <w:rPr>
          <w:rFonts w:eastAsiaTheme="minorHAnsi"/>
        </w:rPr>
        <w:t xml:space="preserve">AE = adverse events; C I= confidence interval; CM649 = </w:t>
      </w:r>
      <w:proofErr w:type="spellStart"/>
      <w:r>
        <w:rPr>
          <w:rFonts w:eastAsiaTheme="minorHAnsi"/>
        </w:rPr>
        <w:t>CheckMate</w:t>
      </w:r>
      <w:proofErr w:type="spellEnd"/>
      <w:r w:rsidRPr="004A1D4D">
        <w:rPr>
          <w:rFonts w:eastAsiaTheme="minorHAnsi"/>
        </w:rPr>
        <w:t xml:space="preserve"> 649; N = total participants in group; SAE = serious adverse events</w:t>
      </w:r>
    </w:p>
    <w:p w14:paraId="0F4C58B5" w14:textId="77777777" w:rsidR="00E37831" w:rsidRDefault="00E37831" w:rsidP="00BF6111">
      <w:pPr>
        <w:pStyle w:val="TableFooter"/>
        <w:keepNext/>
        <w:keepLines/>
        <w:rPr>
          <w:rFonts w:eastAsiaTheme="minorHAnsi"/>
        </w:rPr>
      </w:pPr>
      <w:r w:rsidRPr="004A1D4D">
        <w:rPr>
          <w:rFonts w:eastAsiaTheme="minorHAnsi"/>
        </w:rPr>
        <w:t>a There were 4 Grade 5 events in the nivolumab plus chemotherapy arm, 1 case each of cerebrovascular accident, febrile neutropenia, gastrointestinal inflammation and pneumonia</w:t>
      </w:r>
    </w:p>
    <w:p w14:paraId="7EF3D2E8" w14:textId="77777777" w:rsidR="00E37831" w:rsidRDefault="00E37831" w:rsidP="00BF6111">
      <w:pPr>
        <w:pStyle w:val="TableFooter"/>
        <w:keepNext/>
        <w:keepLines/>
        <w:rPr>
          <w:rFonts w:eastAsiaTheme="minorHAnsi"/>
        </w:rPr>
      </w:pPr>
      <w:proofErr w:type="gramStart"/>
      <w:r w:rsidRPr="004A1D4D">
        <w:rPr>
          <w:rFonts w:eastAsiaTheme="minorHAnsi"/>
        </w:rPr>
        <w:t>b</w:t>
      </w:r>
      <w:proofErr w:type="gramEnd"/>
      <w:r w:rsidRPr="004A1D4D">
        <w:rPr>
          <w:rFonts w:eastAsiaTheme="minorHAnsi"/>
        </w:rPr>
        <w:t xml:space="preserve"> Per investigator assessment, in the nivolumab plus chemotherapy 7 deaths were due to chemotherapy, 3 deaths were due to nivolumab and 2 deaths were due to nivolumab</w:t>
      </w:r>
      <w:r>
        <w:rPr>
          <w:rFonts w:eastAsiaTheme="minorHAnsi"/>
        </w:rPr>
        <w:t xml:space="preserve"> plus chemotherapy</w:t>
      </w:r>
    </w:p>
    <w:p w14:paraId="6AEF0AD9" w14:textId="77777777" w:rsidR="00E37831" w:rsidRDefault="00E37831" w:rsidP="00E37831">
      <w:pPr>
        <w:pStyle w:val="TableFooter"/>
        <w:keepNext/>
        <w:keepLines/>
        <w:rPr>
          <w:rFonts w:eastAsiaTheme="minorHAnsi"/>
        </w:rPr>
      </w:pPr>
      <w:proofErr w:type="gramStart"/>
      <w:r w:rsidRPr="004A1D4D">
        <w:rPr>
          <w:rFonts w:eastAsiaTheme="minorHAnsi"/>
        </w:rPr>
        <w:t>c</w:t>
      </w:r>
      <w:proofErr w:type="gramEnd"/>
      <w:r w:rsidRPr="004A1D4D">
        <w:rPr>
          <w:rFonts w:eastAsiaTheme="minorHAnsi"/>
        </w:rPr>
        <w:t xml:space="preserve"> Per investigator assessment, in the nivolumab plus chemotherapy, 4 deaths were reported as related to nivolumab</w:t>
      </w:r>
    </w:p>
    <w:p w14:paraId="6F80131A" w14:textId="77777777" w:rsidR="00E37831" w:rsidRDefault="00E37831" w:rsidP="00E37831">
      <w:pPr>
        <w:pStyle w:val="TableFooter"/>
        <w:keepNext/>
        <w:keepLines/>
        <w:rPr>
          <w:rFonts w:eastAsiaTheme="minorHAnsi"/>
        </w:rPr>
      </w:pPr>
      <w:r w:rsidRPr="00A65C48">
        <w:rPr>
          <w:rFonts w:eastAsiaTheme="minorHAnsi"/>
        </w:rPr>
        <w:t>*</w:t>
      </w:r>
      <w:r w:rsidR="00BF6111">
        <w:rPr>
          <w:rFonts w:eastAsiaTheme="minorHAnsi"/>
        </w:rPr>
        <w:t xml:space="preserve"> </w:t>
      </w:r>
      <w:r>
        <w:rPr>
          <w:rFonts w:eastAsiaTheme="minorHAnsi"/>
        </w:rPr>
        <w:t>The grade 5 adve</w:t>
      </w:r>
      <w:r w:rsidR="009F54C7">
        <w:rPr>
          <w:rFonts w:eastAsiaTheme="minorHAnsi"/>
        </w:rPr>
        <w:t>r</w:t>
      </w:r>
      <w:r>
        <w:rPr>
          <w:rFonts w:eastAsiaTheme="minorHAnsi"/>
        </w:rPr>
        <w:t xml:space="preserve">se events presented in the submission could not be verified in the CSR tables. </w:t>
      </w:r>
    </w:p>
    <w:p w14:paraId="35D4B0F8" w14:textId="482F9635" w:rsidR="004054B4" w:rsidRPr="004054B4" w:rsidRDefault="00B6701B" w:rsidP="002D65F4">
      <w:pPr>
        <w:pStyle w:val="TableFooter"/>
        <w:keepNext/>
        <w:keepLines/>
        <w:spacing w:after="120"/>
        <w:rPr>
          <w:rFonts w:eastAsiaTheme="minorHAnsi"/>
        </w:rPr>
      </w:pPr>
      <w:r>
        <w:rPr>
          <w:rFonts w:eastAsiaTheme="minorHAnsi"/>
        </w:rPr>
        <w:t>Va</w:t>
      </w:r>
      <w:r w:rsidR="006A4915">
        <w:rPr>
          <w:rFonts w:eastAsiaTheme="minorHAnsi"/>
        </w:rPr>
        <w:t>l</w:t>
      </w:r>
      <w:r>
        <w:rPr>
          <w:rFonts w:eastAsiaTheme="minorHAnsi"/>
        </w:rPr>
        <w:t xml:space="preserve">ues in italics signify that the analyses were conducted during the evaluation. </w:t>
      </w:r>
    </w:p>
    <w:p w14:paraId="3B95FA9A" w14:textId="77777777" w:rsidR="00E37831" w:rsidRDefault="00A45D9B" w:rsidP="00652CC2">
      <w:pPr>
        <w:pStyle w:val="3-BodyText"/>
        <w:ind w:left="720"/>
      </w:pPr>
      <w:r w:rsidRPr="00317042">
        <w:t>Nivolumab plus chemotherapy was associated with higher rates of serious adverse events, severe adverse events, events leading to discontinuation, as well as several specific adverse events, including laboratory anomalies, anaemia, infections and infestations, and nervous system disorders.</w:t>
      </w:r>
      <w:r w:rsidR="00615288">
        <w:t xml:space="preserve"> </w:t>
      </w:r>
    </w:p>
    <w:p w14:paraId="03BBBDFD" w14:textId="77777777" w:rsidR="00A45D9B" w:rsidRPr="00F519C6" w:rsidRDefault="007F1017" w:rsidP="00781627">
      <w:pPr>
        <w:pStyle w:val="4-SubsectionHeading"/>
      </w:pPr>
      <w:bookmarkStart w:id="28" w:name="_Toc22897643"/>
      <w:bookmarkStart w:id="29" w:name="_Toc69567424"/>
      <w:bookmarkStart w:id="30" w:name="_Toc72308985"/>
      <w:r w:rsidRPr="00C9624D">
        <w:t>Benefits/harms</w:t>
      </w:r>
      <w:bookmarkEnd w:id="28"/>
      <w:bookmarkEnd w:id="29"/>
      <w:bookmarkEnd w:id="30"/>
      <w:r w:rsidR="007F4A61" w:rsidRPr="00D2155B">
        <w:rPr>
          <w:color w:val="0066FF"/>
          <w:lang w:val="en-US"/>
        </w:rPr>
        <w:t xml:space="preserve"> </w:t>
      </w:r>
    </w:p>
    <w:p w14:paraId="547456CB" w14:textId="77777777" w:rsidR="00E723BA" w:rsidRPr="00F519C6" w:rsidRDefault="00EC00C9" w:rsidP="00652CC2">
      <w:pPr>
        <w:pStyle w:val="3-BodyText"/>
        <w:ind w:left="720"/>
        <w:rPr>
          <w:rStyle w:val="CommentReference"/>
        </w:rPr>
      </w:pPr>
      <w:r w:rsidRPr="00F519C6">
        <w:rPr>
          <w:lang w:val="en-US"/>
        </w:rPr>
        <w:t xml:space="preserve">A summary of the comparative benefits and harms for </w:t>
      </w:r>
      <w:r w:rsidR="00781627" w:rsidRPr="00F519C6">
        <w:rPr>
          <w:lang w:val="en-US"/>
        </w:rPr>
        <w:t>nivolumab plus chemotherapy</w:t>
      </w:r>
      <w:r w:rsidRPr="00F519C6">
        <w:rPr>
          <w:lang w:val="en-US"/>
        </w:rPr>
        <w:t xml:space="preserve"> versus </w:t>
      </w:r>
      <w:r w:rsidR="00781627" w:rsidRPr="00F519C6">
        <w:rPr>
          <w:lang w:val="en-US"/>
        </w:rPr>
        <w:t xml:space="preserve">chemotherapy </w:t>
      </w:r>
      <w:r w:rsidR="00F519C6">
        <w:rPr>
          <w:lang w:val="en-US"/>
        </w:rPr>
        <w:t xml:space="preserve">alone </w:t>
      </w:r>
      <w:r w:rsidRPr="00F519C6">
        <w:rPr>
          <w:lang w:val="en-US"/>
        </w:rPr>
        <w:t>is presented in</w:t>
      </w:r>
      <w:r w:rsidRPr="00F519C6">
        <w:t xml:space="preserve"> </w:t>
      </w:r>
      <w:r w:rsidR="002A0BA9" w:rsidRPr="002A0BA9">
        <w:t>Table 8</w:t>
      </w:r>
      <w:r w:rsidR="006F6742">
        <w:t xml:space="preserve">. </w:t>
      </w:r>
    </w:p>
    <w:p w14:paraId="0E329951" w14:textId="77777777" w:rsidR="00B62715" w:rsidRDefault="00781627" w:rsidP="00D2155B">
      <w:pPr>
        <w:pStyle w:val="TableFigureHeading"/>
        <w:rPr>
          <w:rStyle w:val="CommentReference"/>
          <w:b/>
          <w:szCs w:val="24"/>
        </w:rPr>
      </w:pPr>
      <w:bookmarkStart w:id="31" w:name="_Ref69400672"/>
      <w:r w:rsidRPr="00781627">
        <w:rPr>
          <w:rStyle w:val="CommentReference"/>
          <w:b/>
          <w:szCs w:val="24"/>
        </w:rPr>
        <w:t xml:space="preserve">Table </w:t>
      </w:r>
      <w:r w:rsidR="002A0BA9">
        <w:rPr>
          <w:rStyle w:val="CommentReference"/>
          <w:b/>
          <w:noProof/>
          <w:szCs w:val="24"/>
        </w:rPr>
        <w:t>8</w:t>
      </w:r>
      <w:bookmarkEnd w:id="31"/>
      <w:r w:rsidRPr="00781627">
        <w:rPr>
          <w:rStyle w:val="CommentReference"/>
          <w:b/>
          <w:szCs w:val="24"/>
        </w:rPr>
        <w:t>:</w:t>
      </w:r>
      <w:r>
        <w:rPr>
          <w:rStyle w:val="CommentReference"/>
          <w:bCs w:val="0"/>
          <w:i/>
          <w:iCs/>
          <w:szCs w:val="24"/>
        </w:rPr>
        <w:t xml:space="preserve"> </w:t>
      </w:r>
      <w:r w:rsidR="00B62715" w:rsidRPr="00D2155B">
        <w:rPr>
          <w:rStyle w:val="CommentReference"/>
          <w:b/>
          <w:szCs w:val="24"/>
        </w:rPr>
        <w:t xml:space="preserve">Summary of comparative benefits and harms for </w:t>
      </w:r>
      <w:r w:rsidR="00A45D9B">
        <w:rPr>
          <w:rStyle w:val="CommentReference"/>
          <w:b/>
          <w:szCs w:val="24"/>
        </w:rPr>
        <w:t xml:space="preserve">nivolumab plus chemotherapy versus chemotherapy </w:t>
      </w:r>
    </w:p>
    <w:tbl>
      <w:tblPr>
        <w:tblStyle w:val="ASDTable2"/>
        <w:tblW w:w="5028" w:type="pct"/>
        <w:tblInd w:w="0" w:type="dxa"/>
        <w:tblLayout w:type="fixed"/>
        <w:tblLook w:val="04A0" w:firstRow="1" w:lastRow="0" w:firstColumn="1" w:lastColumn="0" w:noHBand="0" w:noVBand="1"/>
        <w:tblCaption w:val="Table 8: Summary of comparative benefits and harms for nivolumab plus chemotherapy versus chemotherapy "/>
      </w:tblPr>
      <w:tblGrid>
        <w:gridCol w:w="2689"/>
        <w:gridCol w:w="1416"/>
        <w:gridCol w:w="76"/>
        <w:gridCol w:w="1342"/>
        <w:gridCol w:w="994"/>
        <w:gridCol w:w="858"/>
        <w:gridCol w:w="1692"/>
      </w:tblGrid>
      <w:tr w:rsidR="00F519C6" w:rsidRPr="00FE70C3" w14:paraId="7D386747" w14:textId="77777777" w:rsidTr="00224556">
        <w:trPr>
          <w:tblHeader/>
        </w:trPr>
        <w:tc>
          <w:tcPr>
            <w:tcW w:w="1483" w:type="pct"/>
            <w:tcMar>
              <w:left w:w="57" w:type="dxa"/>
              <w:right w:w="57" w:type="dxa"/>
            </w:tcMar>
          </w:tcPr>
          <w:p w14:paraId="46307DA9" w14:textId="77777777" w:rsidR="00A45D9B" w:rsidRPr="00FE70C3" w:rsidRDefault="00A45D9B" w:rsidP="00A45D9B">
            <w:pPr>
              <w:pStyle w:val="In-tableHeading"/>
              <w:jc w:val="center"/>
            </w:pPr>
          </w:p>
        </w:tc>
        <w:tc>
          <w:tcPr>
            <w:tcW w:w="781" w:type="pct"/>
            <w:tcMar>
              <w:left w:w="57" w:type="dxa"/>
              <w:right w:w="57" w:type="dxa"/>
            </w:tcMar>
          </w:tcPr>
          <w:p w14:paraId="4D518FF0" w14:textId="77777777" w:rsidR="00F519C6" w:rsidRDefault="00A45D9B" w:rsidP="00F519C6">
            <w:pPr>
              <w:pStyle w:val="In-tableHeading"/>
              <w:jc w:val="center"/>
            </w:pPr>
            <w:proofErr w:type="spellStart"/>
            <w:r>
              <w:t>Niv</w:t>
            </w:r>
            <w:r w:rsidR="006F6742">
              <w:t>o</w:t>
            </w:r>
            <w:proofErr w:type="spellEnd"/>
            <w:r>
              <w:t xml:space="preserve"> </w:t>
            </w:r>
            <w:r w:rsidR="004054B4">
              <w:t>+</w:t>
            </w:r>
            <w:r>
              <w:t xml:space="preserve"> chemo</w:t>
            </w:r>
            <w:r w:rsidRPr="00FE70C3">
              <w:t xml:space="preserve"> </w:t>
            </w:r>
          </w:p>
          <w:p w14:paraId="4D0BD855" w14:textId="77777777" w:rsidR="00A45D9B" w:rsidRPr="009F4A18" w:rsidRDefault="00A45D9B" w:rsidP="00F519C6">
            <w:pPr>
              <w:pStyle w:val="In-tableHeading"/>
              <w:jc w:val="center"/>
              <w:rPr>
                <w:vertAlign w:val="superscript"/>
              </w:rPr>
            </w:pPr>
            <w:r w:rsidRPr="00FE70C3">
              <w:t>n/N (%)</w:t>
            </w:r>
            <w:r>
              <w:rPr>
                <w:vertAlign w:val="superscript"/>
              </w:rPr>
              <w:t>a</w:t>
            </w:r>
          </w:p>
        </w:tc>
        <w:tc>
          <w:tcPr>
            <w:tcW w:w="782" w:type="pct"/>
            <w:gridSpan w:val="2"/>
            <w:tcMar>
              <w:left w:w="57" w:type="dxa"/>
              <w:right w:w="57" w:type="dxa"/>
            </w:tcMar>
          </w:tcPr>
          <w:p w14:paraId="5A770F2B" w14:textId="77777777" w:rsidR="006F6742" w:rsidRDefault="00A45D9B" w:rsidP="00A45D9B">
            <w:pPr>
              <w:pStyle w:val="In-tableHeading"/>
              <w:jc w:val="center"/>
            </w:pPr>
            <w:r>
              <w:t>Chemo</w:t>
            </w:r>
            <w:r w:rsidR="006F6742">
              <w:t xml:space="preserve"> alone </w:t>
            </w:r>
          </w:p>
          <w:p w14:paraId="248DB9BE" w14:textId="77777777" w:rsidR="00A45D9B" w:rsidRPr="009F4A18" w:rsidRDefault="00A45D9B" w:rsidP="00A45D9B">
            <w:pPr>
              <w:pStyle w:val="In-tableHeading"/>
              <w:jc w:val="center"/>
              <w:rPr>
                <w:vertAlign w:val="superscript"/>
              </w:rPr>
            </w:pPr>
            <w:r w:rsidRPr="00FE70C3">
              <w:t>n/N (%)</w:t>
            </w:r>
            <w:r>
              <w:rPr>
                <w:vertAlign w:val="superscript"/>
              </w:rPr>
              <w:t>a</w:t>
            </w:r>
          </w:p>
        </w:tc>
        <w:tc>
          <w:tcPr>
            <w:tcW w:w="1020" w:type="pct"/>
            <w:gridSpan w:val="2"/>
            <w:tcMar>
              <w:left w:w="57" w:type="dxa"/>
              <w:right w:w="57" w:type="dxa"/>
            </w:tcMar>
          </w:tcPr>
          <w:p w14:paraId="6C1B6EAF" w14:textId="77777777" w:rsidR="00A45D9B" w:rsidRPr="009F4A18" w:rsidRDefault="00A45D9B" w:rsidP="00A45D9B">
            <w:pPr>
              <w:pStyle w:val="In-tableHeading"/>
              <w:jc w:val="center"/>
              <w:rPr>
                <w:vertAlign w:val="superscript"/>
              </w:rPr>
            </w:pPr>
            <w:r w:rsidRPr="00FE70C3">
              <w:t>Absolute difference</w:t>
            </w:r>
            <w:r w:rsidR="00F519C6">
              <w:t xml:space="preserve"> </w:t>
            </w:r>
            <w:r>
              <w:rPr>
                <w:vertAlign w:val="superscript"/>
              </w:rPr>
              <w:t>b</w:t>
            </w:r>
          </w:p>
        </w:tc>
        <w:tc>
          <w:tcPr>
            <w:tcW w:w="934" w:type="pct"/>
            <w:tcMar>
              <w:left w:w="57" w:type="dxa"/>
              <w:right w:w="57" w:type="dxa"/>
            </w:tcMar>
          </w:tcPr>
          <w:p w14:paraId="73722668" w14:textId="77777777" w:rsidR="00A45D9B" w:rsidRPr="009F4A18" w:rsidRDefault="00A45D9B" w:rsidP="00A45D9B">
            <w:pPr>
              <w:pStyle w:val="In-tableHeading"/>
              <w:jc w:val="center"/>
              <w:rPr>
                <w:vertAlign w:val="superscript"/>
              </w:rPr>
            </w:pPr>
            <w:r w:rsidRPr="00FE70C3">
              <w:t>HR (95% CI)</w:t>
            </w:r>
            <w:r w:rsidRPr="005D407F">
              <w:rPr>
                <w:vertAlign w:val="superscript"/>
              </w:rPr>
              <w:t>d</w:t>
            </w:r>
          </w:p>
        </w:tc>
      </w:tr>
      <w:tr w:rsidR="00A45D9B" w:rsidRPr="00FE70C3" w14:paraId="420D2CDE" w14:textId="77777777" w:rsidTr="005D08D7">
        <w:tc>
          <w:tcPr>
            <w:tcW w:w="5000" w:type="pct"/>
            <w:gridSpan w:val="7"/>
            <w:tcMar>
              <w:left w:w="57" w:type="dxa"/>
              <w:right w:w="57" w:type="dxa"/>
            </w:tcMar>
          </w:tcPr>
          <w:p w14:paraId="77DF069A" w14:textId="77777777" w:rsidR="00A45D9B" w:rsidRPr="00FE70C3" w:rsidRDefault="00A45D9B" w:rsidP="00A45D9B">
            <w:pPr>
              <w:pStyle w:val="In-tableHeading"/>
            </w:pPr>
            <w:r w:rsidRPr="00FE70C3">
              <w:t>Progression-free survival</w:t>
            </w:r>
          </w:p>
        </w:tc>
      </w:tr>
      <w:tr w:rsidR="00F519C6" w:rsidRPr="00FE70C3" w14:paraId="73AE968D" w14:textId="77777777" w:rsidTr="004054B4">
        <w:tc>
          <w:tcPr>
            <w:tcW w:w="1483" w:type="pct"/>
            <w:tcMar>
              <w:left w:w="57" w:type="dxa"/>
              <w:right w:w="57" w:type="dxa"/>
            </w:tcMar>
          </w:tcPr>
          <w:p w14:paraId="0E7F2249" w14:textId="77777777" w:rsidR="00A45D9B" w:rsidRPr="00FE70C3" w:rsidRDefault="00A45D9B" w:rsidP="00A45D9B">
            <w:pPr>
              <w:pStyle w:val="TableText0"/>
            </w:pPr>
            <w:r w:rsidRPr="007F5255">
              <w:t>Progressed, n (%)</w:t>
            </w:r>
          </w:p>
        </w:tc>
        <w:tc>
          <w:tcPr>
            <w:tcW w:w="781" w:type="pct"/>
            <w:tcMar>
              <w:left w:w="57" w:type="dxa"/>
              <w:right w:w="57" w:type="dxa"/>
            </w:tcMar>
          </w:tcPr>
          <w:p w14:paraId="3E52F1A2" w14:textId="77777777" w:rsidR="00BF6111" w:rsidRDefault="00A45D9B" w:rsidP="00A45D9B">
            <w:pPr>
              <w:pStyle w:val="TableText0"/>
              <w:jc w:val="center"/>
              <w:rPr>
                <w:rFonts w:eastAsiaTheme="minorHAnsi"/>
              </w:rPr>
            </w:pPr>
            <w:r>
              <w:rPr>
                <w:rFonts w:eastAsiaTheme="minorHAnsi"/>
              </w:rPr>
              <w:t>5</w:t>
            </w:r>
            <w:r w:rsidR="00F44F46">
              <w:rPr>
                <w:rFonts w:eastAsiaTheme="minorHAnsi"/>
              </w:rPr>
              <w:t>5</w:t>
            </w:r>
            <w:r>
              <w:rPr>
                <w:rFonts w:eastAsiaTheme="minorHAnsi"/>
              </w:rPr>
              <w:t xml:space="preserve">9/789 </w:t>
            </w:r>
          </w:p>
          <w:p w14:paraId="0F0CA6A7" w14:textId="77777777" w:rsidR="00A45D9B" w:rsidRPr="00FE70C3" w:rsidRDefault="00A45D9B" w:rsidP="00A45D9B">
            <w:pPr>
              <w:pStyle w:val="TableText0"/>
              <w:jc w:val="center"/>
            </w:pPr>
            <w:r>
              <w:rPr>
                <w:rFonts w:eastAsiaTheme="minorHAnsi"/>
              </w:rPr>
              <w:t>(70.8%)</w:t>
            </w:r>
          </w:p>
        </w:tc>
        <w:tc>
          <w:tcPr>
            <w:tcW w:w="782" w:type="pct"/>
            <w:gridSpan w:val="2"/>
            <w:tcMar>
              <w:left w:w="57" w:type="dxa"/>
              <w:right w:w="57" w:type="dxa"/>
            </w:tcMar>
          </w:tcPr>
          <w:p w14:paraId="7361FD20" w14:textId="77777777" w:rsidR="00A45D9B" w:rsidRPr="00FE70C3" w:rsidRDefault="00A45D9B" w:rsidP="00A45D9B">
            <w:pPr>
              <w:pStyle w:val="TableText0"/>
              <w:jc w:val="center"/>
            </w:pPr>
            <w:r>
              <w:rPr>
                <w:rFonts w:eastAsiaTheme="minorHAnsi"/>
              </w:rPr>
              <w:t xml:space="preserve">557/792 </w:t>
            </w:r>
            <w:r w:rsidR="00BF6111">
              <w:rPr>
                <w:rFonts w:eastAsiaTheme="minorHAnsi"/>
              </w:rPr>
              <w:br/>
            </w:r>
            <w:r>
              <w:rPr>
                <w:rFonts w:eastAsiaTheme="minorHAnsi"/>
              </w:rPr>
              <w:t>(70.3%)</w:t>
            </w:r>
          </w:p>
        </w:tc>
        <w:tc>
          <w:tcPr>
            <w:tcW w:w="1020" w:type="pct"/>
            <w:gridSpan w:val="2"/>
            <w:tcMar>
              <w:left w:w="57" w:type="dxa"/>
              <w:right w:w="57" w:type="dxa"/>
            </w:tcMar>
          </w:tcPr>
          <w:p w14:paraId="1138B821" w14:textId="77777777" w:rsidR="00A45D9B" w:rsidRPr="00FE70C3" w:rsidRDefault="00A45D9B" w:rsidP="00A45D9B">
            <w:pPr>
              <w:pStyle w:val="TableText0"/>
              <w:jc w:val="center"/>
            </w:pPr>
            <w:r>
              <w:t>-</w:t>
            </w:r>
          </w:p>
        </w:tc>
        <w:tc>
          <w:tcPr>
            <w:tcW w:w="934" w:type="pct"/>
            <w:tcMar>
              <w:left w:w="57" w:type="dxa"/>
              <w:right w:w="57" w:type="dxa"/>
            </w:tcMar>
          </w:tcPr>
          <w:p w14:paraId="47FC7512" w14:textId="77777777" w:rsidR="00A45D9B" w:rsidRDefault="00A45D9B" w:rsidP="00A45D9B">
            <w:pPr>
              <w:pStyle w:val="Tabletext"/>
              <w:jc w:val="center"/>
              <w:rPr>
                <w:rFonts w:eastAsiaTheme="minorHAnsi"/>
              </w:rPr>
            </w:pPr>
            <w:r>
              <w:rPr>
                <w:rFonts w:eastAsiaTheme="minorHAnsi"/>
              </w:rPr>
              <w:t>0.77 (0.68, 0.87)</w:t>
            </w:r>
          </w:p>
          <w:p w14:paraId="3B241E63" w14:textId="77777777" w:rsidR="00A45D9B" w:rsidRPr="009F4A18" w:rsidRDefault="00A45D9B" w:rsidP="00A45D9B">
            <w:pPr>
              <w:pStyle w:val="TableText0"/>
              <w:jc w:val="center"/>
              <w:rPr>
                <w:vertAlign w:val="superscript"/>
              </w:rPr>
            </w:pPr>
            <w:r>
              <w:rPr>
                <w:rFonts w:eastAsiaTheme="minorHAnsi"/>
              </w:rPr>
              <w:t>(p value not tested)</w:t>
            </w:r>
            <w:r>
              <w:rPr>
                <w:rFonts w:eastAsiaTheme="minorHAnsi"/>
                <w:vertAlign w:val="superscript"/>
              </w:rPr>
              <w:t>c</w:t>
            </w:r>
          </w:p>
        </w:tc>
      </w:tr>
      <w:tr w:rsidR="00F519C6" w:rsidRPr="00FE70C3" w14:paraId="7AEE3D40" w14:textId="77777777" w:rsidTr="004054B4">
        <w:tc>
          <w:tcPr>
            <w:tcW w:w="1483" w:type="pct"/>
            <w:tcMar>
              <w:left w:w="57" w:type="dxa"/>
              <w:right w:w="57" w:type="dxa"/>
            </w:tcMar>
          </w:tcPr>
          <w:p w14:paraId="0BD29038" w14:textId="77777777" w:rsidR="00A45D9B" w:rsidRPr="00FE70C3" w:rsidRDefault="00A45D9B" w:rsidP="00A45D9B">
            <w:pPr>
              <w:pStyle w:val="TableText0"/>
            </w:pPr>
            <w:r w:rsidRPr="00FE70C3">
              <w:t>Median PFS</w:t>
            </w:r>
            <w:r>
              <w:t>,</w:t>
            </w:r>
            <w:r w:rsidRPr="00FE70C3">
              <w:t xml:space="preserve"> months (95% CI)</w:t>
            </w:r>
          </w:p>
        </w:tc>
        <w:tc>
          <w:tcPr>
            <w:tcW w:w="781" w:type="pct"/>
            <w:tcMar>
              <w:left w:w="57" w:type="dxa"/>
              <w:right w:w="57" w:type="dxa"/>
            </w:tcMar>
          </w:tcPr>
          <w:p w14:paraId="27F36486" w14:textId="77777777" w:rsidR="00F519C6" w:rsidRDefault="00A45D9B" w:rsidP="00A45D9B">
            <w:pPr>
              <w:pStyle w:val="TableText0"/>
              <w:jc w:val="center"/>
              <w:rPr>
                <w:rFonts w:eastAsiaTheme="minorHAnsi"/>
              </w:rPr>
            </w:pPr>
            <w:r>
              <w:rPr>
                <w:rFonts w:eastAsiaTheme="minorHAnsi"/>
              </w:rPr>
              <w:t xml:space="preserve">7.66 </w:t>
            </w:r>
          </w:p>
          <w:p w14:paraId="3F643AA7" w14:textId="77777777" w:rsidR="00A45D9B" w:rsidRPr="00FE70C3" w:rsidRDefault="00A45D9B" w:rsidP="00A45D9B">
            <w:pPr>
              <w:pStyle w:val="TableText0"/>
              <w:jc w:val="center"/>
            </w:pPr>
            <w:r>
              <w:rPr>
                <w:rFonts w:eastAsiaTheme="minorHAnsi"/>
              </w:rPr>
              <w:t>(7.10, 8.54)</w:t>
            </w:r>
          </w:p>
        </w:tc>
        <w:tc>
          <w:tcPr>
            <w:tcW w:w="782" w:type="pct"/>
            <w:gridSpan w:val="2"/>
            <w:tcMar>
              <w:left w:w="57" w:type="dxa"/>
              <w:right w:w="57" w:type="dxa"/>
            </w:tcMar>
          </w:tcPr>
          <w:p w14:paraId="032AE792" w14:textId="77777777" w:rsidR="00F519C6" w:rsidRDefault="00A45D9B" w:rsidP="00A45D9B">
            <w:pPr>
              <w:pStyle w:val="TableText0"/>
              <w:jc w:val="center"/>
              <w:rPr>
                <w:rFonts w:eastAsiaTheme="minorHAnsi"/>
              </w:rPr>
            </w:pPr>
            <w:r>
              <w:rPr>
                <w:rFonts w:eastAsiaTheme="minorHAnsi"/>
              </w:rPr>
              <w:t xml:space="preserve">6.93 </w:t>
            </w:r>
          </w:p>
          <w:p w14:paraId="200289C8" w14:textId="77777777" w:rsidR="00A45D9B" w:rsidRPr="00FE70C3" w:rsidRDefault="00A45D9B" w:rsidP="00A45D9B">
            <w:pPr>
              <w:pStyle w:val="TableText0"/>
              <w:jc w:val="center"/>
            </w:pPr>
            <w:r>
              <w:rPr>
                <w:rFonts w:eastAsiaTheme="minorHAnsi"/>
              </w:rPr>
              <w:t>(6.60, 7.13)</w:t>
            </w:r>
          </w:p>
        </w:tc>
        <w:tc>
          <w:tcPr>
            <w:tcW w:w="1020" w:type="pct"/>
            <w:gridSpan w:val="2"/>
            <w:tcMar>
              <w:left w:w="57" w:type="dxa"/>
              <w:right w:w="57" w:type="dxa"/>
            </w:tcMar>
          </w:tcPr>
          <w:p w14:paraId="1C6C8AEA" w14:textId="77777777" w:rsidR="00A45D9B" w:rsidRPr="00FE70C3" w:rsidRDefault="00A45D9B" w:rsidP="00A45D9B">
            <w:pPr>
              <w:pStyle w:val="TableText0"/>
              <w:jc w:val="center"/>
            </w:pPr>
            <w:r>
              <w:rPr>
                <w:rFonts w:eastAsiaTheme="minorHAnsi"/>
              </w:rPr>
              <w:t>0.73</w:t>
            </w:r>
          </w:p>
        </w:tc>
        <w:tc>
          <w:tcPr>
            <w:tcW w:w="934" w:type="pct"/>
            <w:tcMar>
              <w:left w:w="57" w:type="dxa"/>
              <w:right w:w="57" w:type="dxa"/>
            </w:tcMar>
          </w:tcPr>
          <w:p w14:paraId="0B19E18B" w14:textId="77777777" w:rsidR="00A45D9B" w:rsidRPr="00FE70C3" w:rsidRDefault="00F519C6" w:rsidP="00A45D9B">
            <w:pPr>
              <w:pStyle w:val="TableText0"/>
              <w:jc w:val="center"/>
            </w:pPr>
            <w:r>
              <w:t>-</w:t>
            </w:r>
          </w:p>
        </w:tc>
      </w:tr>
      <w:tr w:rsidR="00A45D9B" w:rsidRPr="00FE70C3" w14:paraId="3846EEB7" w14:textId="77777777" w:rsidTr="005D08D7">
        <w:tc>
          <w:tcPr>
            <w:tcW w:w="5000" w:type="pct"/>
            <w:gridSpan w:val="7"/>
            <w:tcMar>
              <w:left w:w="57" w:type="dxa"/>
              <w:right w:w="57" w:type="dxa"/>
            </w:tcMar>
          </w:tcPr>
          <w:p w14:paraId="20B0C374" w14:textId="77777777" w:rsidR="00A45D9B" w:rsidRPr="00330DAA" w:rsidRDefault="00A45D9B" w:rsidP="00A45D9B">
            <w:pPr>
              <w:pStyle w:val="In-tableHeading"/>
            </w:pPr>
            <w:r w:rsidRPr="00330DAA">
              <w:t>Overall survival</w:t>
            </w:r>
          </w:p>
        </w:tc>
      </w:tr>
      <w:tr w:rsidR="00F519C6" w:rsidRPr="00FE70C3" w14:paraId="2D7D4237" w14:textId="77777777" w:rsidTr="004054B4">
        <w:tc>
          <w:tcPr>
            <w:tcW w:w="1483" w:type="pct"/>
            <w:tcMar>
              <w:left w:w="57" w:type="dxa"/>
              <w:right w:w="57" w:type="dxa"/>
            </w:tcMar>
          </w:tcPr>
          <w:p w14:paraId="1440B774" w14:textId="77777777" w:rsidR="00A45D9B" w:rsidRPr="00FE70C3" w:rsidRDefault="00A45D9B" w:rsidP="00A45D9B">
            <w:pPr>
              <w:pStyle w:val="TableText0"/>
            </w:pPr>
            <w:r w:rsidRPr="007F5255">
              <w:t>Deaths, n/N (%)</w:t>
            </w:r>
          </w:p>
        </w:tc>
        <w:tc>
          <w:tcPr>
            <w:tcW w:w="781" w:type="pct"/>
            <w:tcMar>
              <w:left w:w="57" w:type="dxa"/>
              <w:right w:w="57" w:type="dxa"/>
            </w:tcMar>
          </w:tcPr>
          <w:p w14:paraId="11CA8FDF" w14:textId="77777777" w:rsidR="00A45D9B" w:rsidRPr="00FE70C3" w:rsidRDefault="00A45D9B" w:rsidP="00A45D9B">
            <w:pPr>
              <w:pStyle w:val="TableText0"/>
              <w:jc w:val="center"/>
            </w:pPr>
            <w:r w:rsidRPr="00F0641F">
              <w:t xml:space="preserve">544/789 </w:t>
            </w:r>
            <w:r w:rsidR="00BF6111">
              <w:br/>
            </w:r>
            <w:r w:rsidRPr="00F0641F">
              <w:t>(68.9%)</w:t>
            </w:r>
          </w:p>
        </w:tc>
        <w:tc>
          <w:tcPr>
            <w:tcW w:w="782" w:type="pct"/>
            <w:gridSpan w:val="2"/>
            <w:tcMar>
              <w:left w:w="57" w:type="dxa"/>
              <w:right w:w="57" w:type="dxa"/>
            </w:tcMar>
          </w:tcPr>
          <w:p w14:paraId="22FE105E" w14:textId="77777777" w:rsidR="00A45D9B" w:rsidRPr="00FE70C3" w:rsidRDefault="00A45D9B" w:rsidP="00A45D9B">
            <w:pPr>
              <w:pStyle w:val="TableText0"/>
              <w:jc w:val="center"/>
            </w:pPr>
            <w:r w:rsidRPr="00F0641F">
              <w:t>591/792</w:t>
            </w:r>
            <w:r w:rsidR="00BF6111">
              <w:t xml:space="preserve"> </w:t>
            </w:r>
            <w:r w:rsidR="00BF6111">
              <w:br/>
            </w:r>
            <w:r w:rsidRPr="00F0641F">
              <w:t>(74.6%)</w:t>
            </w:r>
          </w:p>
        </w:tc>
        <w:tc>
          <w:tcPr>
            <w:tcW w:w="1020" w:type="pct"/>
            <w:gridSpan w:val="2"/>
            <w:tcMar>
              <w:left w:w="57" w:type="dxa"/>
              <w:right w:w="57" w:type="dxa"/>
            </w:tcMar>
          </w:tcPr>
          <w:p w14:paraId="07C69C07" w14:textId="77777777" w:rsidR="00A45D9B" w:rsidRPr="00FE70C3" w:rsidRDefault="00A45D9B" w:rsidP="00A45D9B">
            <w:pPr>
              <w:pStyle w:val="TableText0"/>
              <w:jc w:val="center"/>
            </w:pPr>
            <w:r>
              <w:t>-</w:t>
            </w:r>
          </w:p>
        </w:tc>
        <w:tc>
          <w:tcPr>
            <w:tcW w:w="934" w:type="pct"/>
            <w:tcMar>
              <w:left w:w="57" w:type="dxa"/>
              <w:right w:w="57" w:type="dxa"/>
            </w:tcMar>
          </w:tcPr>
          <w:p w14:paraId="695C5CA8" w14:textId="77777777" w:rsidR="00A45D9B" w:rsidRPr="00A4220A" w:rsidRDefault="00A45D9B" w:rsidP="00A45D9B">
            <w:pPr>
              <w:pStyle w:val="TableText0"/>
              <w:keepLines/>
              <w:jc w:val="center"/>
              <w:rPr>
                <w:bCs w:val="0"/>
              </w:rPr>
            </w:pPr>
            <w:r w:rsidRPr="00A4220A">
              <w:rPr>
                <w:bCs w:val="0"/>
              </w:rPr>
              <w:t>0.80 (0.68, 0.94)</w:t>
            </w:r>
          </w:p>
          <w:p w14:paraId="175B8801" w14:textId="77777777" w:rsidR="00A45D9B" w:rsidRPr="00FE70C3" w:rsidRDefault="00A45D9B" w:rsidP="00A45D9B">
            <w:pPr>
              <w:pStyle w:val="TableText0"/>
              <w:jc w:val="center"/>
            </w:pPr>
            <w:r w:rsidRPr="00A4220A">
              <w:rPr>
                <w:bCs w:val="0"/>
              </w:rPr>
              <w:t>P=0.0002</w:t>
            </w:r>
          </w:p>
        </w:tc>
      </w:tr>
      <w:tr w:rsidR="00F519C6" w:rsidRPr="00FE70C3" w14:paraId="1BD650DB" w14:textId="77777777" w:rsidTr="004054B4">
        <w:tc>
          <w:tcPr>
            <w:tcW w:w="1483" w:type="pct"/>
            <w:tcMar>
              <w:left w:w="57" w:type="dxa"/>
              <w:right w:w="57" w:type="dxa"/>
            </w:tcMar>
          </w:tcPr>
          <w:p w14:paraId="39620622" w14:textId="77777777" w:rsidR="00A45D9B" w:rsidRPr="00FE70C3" w:rsidRDefault="00A45D9B" w:rsidP="00A45D9B">
            <w:pPr>
              <w:pStyle w:val="TableText0"/>
            </w:pPr>
            <w:r w:rsidRPr="00FE70C3">
              <w:t>Median months OS (95% CI)</w:t>
            </w:r>
          </w:p>
        </w:tc>
        <w:tc>
          <w:tcPr>
            <w:tcW w:w="781" w:type="pct"/>
            <w:tcMar>
              <w:left w:w="57" w:type="dxa"/>
              <w:right w:w="57" w:type="dxa"/>
            </w:tcMar>
          </w:tcPr>
          <w:p w14:paraId="00920B24" w14:textId="77777777" w:rsidR="00F519C6" w:rsidRDefault="00A45D9B" w:rsidP="00F519C6">
            <w:pPr>
              <w:pStyle w:val="TableText0"/>
              <w:keepLines/>
              <w:jc w:val="center"/>
            </w:pPr>
            <w:r w:rsidRPr="00F0641F">
              <w:t>13.83</w:t>
            </w:r>
            <w:r w:rsidR="00F519C6">
              <w:t xml:space="preserve"> </w:t>
            </w:r>
          </w:p>
          <w:p w14:paraId="7DC20DCF" w14:textId="77777777" w:rsidR="00A45D9B" w:rsidRPr="00FE70C3" w:rsidRDefault="00A45D9B" w:rsidP="00F519C6">
            <w:pPr>
              <w:pStyle w:val="TableText0"/>
              <w:keepLines/>
              <w:jc w:val="center"/>
            </w:pPr>
            <w:r w:rsidRPr="00F0641F">
              <w:t>(12.55, 14.55</w:t>
            </w:r>
            <w:r w:rsidR="00BF6111">
              <w:t xml:space="preserve">) </w:t>
            </w:r>
          </w:p>
        </w:tc>
        <w:tc>
          <w:tcPr>
            <w:tcW w:w="782" w:type="pct"/>
            <w:gridSpan w:val="2"/>
            <w:tcMar>
              <w:left w:w="57" w:type="dxa"/>
              <w:right w:w="57" w:type="dxa"/>
            </w:tcMar>
          </w:tcPr>
          <w:p w14:paraId="1898C513" w14:textId="77777777" w:rsidR="00F519C6" w:rsidRDefault="00A45D9B" w:rsidP="00F519C6">
            <w:pPr>
              <w:pStyle w:val="TableText0"/>
              <w:keepLines/>
              <w:jc w:val="center"/>
            </w:pPr>
            <w:r w:rsidRPr="00F0641F">
              <w:t>11.56</w:t>
            </w:r>
            <w:r w:rsidR="00F519C6">
              <w:t xml:space="preserve"> </w:t>
            </w:r>
          </w:p>
          <w:p w14:paraId="37CD271F" w14:textId="77777777" w:rsidR="00A45D9B" w:rsidRPr="00FE70C3" w:rsidRDefault="00A45D9B" w:rsidP="00F519C6">
            <w:pPr>
              <w:pStyle w:val="TableText0"/>
              <w:keepLines/>
              <w:jc w:val="center"/>
            </w:pPr>
            <w:r w:rsidRPr="00F0641F">
              <w:t>(10.87, 12.48)</w:t>
            </w:r>
          </w:p>
        </w:tc>
        <w:tc>
          <w:tcPr>
            <w:tcW w:w="1020" w:type="pct"/>
            <w:gridSpan w:val="2"/>
            <w:tcMar>
              <w:left w:w="57" w:type="dxa"/>
              <w:right w:w="57" w:type="dxa"/>
            </w:tcMar>
          </w:tcPr>
          <w:p w14:paraId="54629319" w14:textId="77777777" w:rsidR="00A45D9B" w:rsidRPr="00FE70C3" w:rsidRDefault="00A45D9B" w:rsidP="00A45D9B">
            <w:pPr>
              <w:pStyle w:val="TableText0"/>
              <w:jc w:val="center"/>
            </w:pPr>
            <w:r w:rsidRPr="00F0641F">
              <w:t>2.27</w:t>
            </w:r>
          </w:p>
        </w:tc>
        <w:tc>
          <w:tcPr>
            <w:tcW w:w="934" w:type="pct"/>
            <w:tcMar>
              <w:left w:w="57" w:type="dxa"/>
              <w:right w:w="57" w:type="dxa"/>
            </w:tcMar>
          </w:tcPr>
          <w:p w14:paraId="64B200D1" w14:textId="77777777" w:rsidR="00A45D9B" w:rsidRPr="00FE70C3" w:rsidRDefault="00F519C6" w:rsidP="00A45D9B">
            <w:pPr>
              <w:pStyle w:val="TableText0"/>
              <w:jc w:val="center"/>
            </w:pPr>
            <w:r>
              <w:t>-</w:t>
            </w:r>
          </w:p>
        </w:tc>
      </w:tr>
      <w:tr w:rsidR="00C7203B" w:rsidRPr="00FE70C3" w14:paraId="51401AD7" w14:textId="77777777" w:rsidTr="004054B4">
        <w:tc>
          <w:tcPr>
            <w:tcW w:w="1483" w:type="pct"/>
            <w:tcMar>
              <w:left w:w="57" w:type="dxa"/>
              <w:right w:w="57" w:type="dxa"/>
            </w:tcMar>
          </w:tcPr>
          <w:p w14:paraId="07E8AFDD" w14:textId="77777777" w:rsidR="00C7203B" w:rsidRPr="00FE70C3" w:rsidRDefault="00C7203B" w:rsidP="00A45D9B">
            <w:pPr>
              <w:pStyle w:val="TableText0"/>
            </w:pPr>
            <w:r>
              <w:t>Proportion alive at 12 months</w:t>
            </w:r>
          </w:p>
        </w:tc>
        <w:tc>
          <w:tcPr>
            <w:tcW w:w="781" w:type="pct"/>
            <w:tcMar>
              <w:left w:w="57" w:type="dxa"/>
              <w:right w:w="57" w:type="dxa"/>
            </w:tcMar>
          </w:tcPr>
          <w:p w14:paraId="04AF5DA6" w14:textId="77777777" w:rsidR="00C7203B" w:rsidRPr="00F0641F" w:rsidRDefault="00C7203B" w:rsidP="00F519C6">
            <w:pPr>
              <w:pStyle w:val="TableText0"/>
              <w:keepLines/>
              <w:jc w:val="center"/>
            </w:pPr>
            <w:r>
              <w:t>55%</w:t>
            </w:r>
          </w:p>
        </w:tc>
        <w:tc>
          <w:tcPr>
            <w:tcW w:w="782" w:type="pct"/>
            <w:gridSpan w:val="2"/>
            <w:tcMar>
              <w:left w:w="57" w:type="dxa"/>
              <w:right w:w="57" w:type="dxa"/>
            </w:tcMar>
          </w:tcPr>
          <w:p w14:paraId="56A84ACC" w14:textId="77777777" w:rsidR="00C7203B" w:rsidRPr="00F0641F" w:rsidRDefault="00C7203B" w:rsidP="00F519C6">
            <w:pPr>
              <w:pStyle w:val="TableText0"/>
              <w:keepLines/>
              <w:jc w:val="center"/>
            </w:pPr>
            <w:r>
              <w:t>48%</w:t>
            </w:r>
          </w:p>
        </w:tc>
        <w:tc>
          <w:tcPr>
            <w:tcW w:w="1020" w:type="pct"/>
            <w:gridSpan w:val="2"/>
            <w:tcMar>
              <w:left w:w="57" w:type="dxa"/>
              <w:right w:w="57" w:type="dxa"/>
            </w:tcMar>
          </w:tcPr>
          <w:p w14:paraId="114A555F" w14:textId="77777777" w:rsidR="00C7203B" w:rsidRPr="00F0641F" w:rsidRDefault="00C7203B" w:rsidP="00A45D9B">
            <w:pPr>
              <w:pStyle w:val="TableText0"/>
              <w:jc w:val="center"/>
            </w:pPr>
            <w:r>
              <w:t>7%</w:t>
            </w:r>
          </w:p>
        </w:tc>
        <w:tc>
          <w:tcPr>
            <w:tcW w:w="934" w:type="pct"/>
            <w:tcMar>
              <w:left w:w="57" w:type="dxa"/>
              <w:right w:w="57" w:type="dxa"/>
            </w:tcMar>
          </w:tcPr>
          <w:p w14:paraId="6BB9C825" w14:textId="77777777" w:rsidR="00C7203B" w:rsidRDefault="00C7203B" w:rsidP="00A45D9B">
            <w:pPr>
              <w:pStyle w:val="TableText0"/>
              <w:jc w:val="center"/>
            </w:pPr>
            <w:r>
              <w:t>-</w:t>
            </w:r>
          </w:p>
        </w:tc>
      </w:tr>
      <w:tr w:rsidR="00A45D9B" w:rsidRPr="00E2771E" w14:paraId="336E009E" w14:textId="77777777" w:rsidTr="005D08D7">
        <w:tc>
          <w:tcPr>
            <w:tcW w:w="5000" w:type="pct"/>
            <w:gridSpan w:val="7"/>
            <w:tcMar>
              <w:left w:w="57" w:type="dxa"/>
              <w:right w:w="57" w:type="dxa"/>
            </w:tcMar>
          </w:tcPr>
          <w:p w14:paraId="23529D6C" w14:textId="77777777" w:rsidR="00A45D9B" w:rsidRPr="00E2771E" w:rsidRDefault="00A45D9B" w:rsidP="00A45D9B">
            <w:pPr>
              <w:pStyle w:val="In-tableHeading"/>
            </w:pPr>
            <w:r w:rsidRPr="00E2771E">
              <w:t xml:space="preserve">Harms </w:t>
            </w:r>
          </w:p>
        </w:tc>
      </w:tr>
      <w:tr w:rsidR="006F6742" w:rsidRPr="0061000F" w14:paraId="1084C228" w14:textId="77777777" w:rsidTr="004054B4">
        <w:tc>
          <w:tcPr>
            <w:tcW w:w="1483" w:type="pct"/>
            <w:tcMar>
              <w:left w:w="57" w:type="dxa"/>
              <w:right w:w="57" w:type="dxa"/>
            </w:tcMar>
          </w:tcPr>
          <w:p w14:paraId="1E1A72B6" w14:textId="77777777" w:rsidR="0061000F" w:rsidRPr="0061000F" w:rsidRDefault="0061000F" w:rsidP="00A45D9B">
            <w:pPr>
              <w:pStyle w:val="Tabletext"/>
              <w:keepNext/>
              <w:keepLines/>
              <w:rPr>
                <w:b/>
                <w:bCs/>
                <w:color w:val="000000"/>
                <w:szCs w:val="18"/>
              </w:rPr>
            </w:pPr>
            <w:r w:rsidRPr="0061000F">
              <w:rPr>
                <w:b/>
                <w:bCs/>
                <w:color w:val="000000"/>
                <w:szCs w:val="18"/>
              </w:rPr>
              <w:t>Adverse event</w:t>
            </w:r>
          </w:p>
        </w:tc>
        <w:tc>
          <w:tcPr>
            <w:tcW w:w="1563" w:type="pct"/>
            <w:gridSpan w:val="3"/>
            <w:tcMar>
              <w:left w:w="57" w:type="dxa"/>
              <w:right w:w="57" w:type="dxa"/>
            </w:tcMar>
          </w:tcPr>
          <w:p w14:paraId="77AF6444" w14:textId="77777777" w:rsidR="0061000F" w:rsidRPr="0061000F" w:rsidRDefault="0061000F" w:rsidP="006F6742">
            <w:pPr>
              <w:pStyle w:val="Tabletext"/>
              <w:keepNext/>
              <w:keepLines/>
              <w:jc w:val="center"/>
              <w:rPr>
                <w:b/>
                <w:bCs/>
              </w:rPr>
            </w:pPr>
            <w:r w:rsidRPr="0061000F">
              <w:rPr>
                <w:b/>
                <w:bCs/>
              </w:rPr>
              <w:t>Number of patients (%)</w:t>
            </w:r>
          </w:p>
        </w:tc>
        <w:tc>
          <w:tcPr>
            <w:tcW w:w="1020" w:type="pct"/>
            <w:gridSpan w:val="2"/>
            <w:tcMar>
              <w:left w:w="57" w:type="dxa"/>
              <w:right w:w="57" w:type="dxa"/>
            </w:tcMar>
          </w:tcPr>
          <w:p w14:paraId="1EA66EBB" w14:textId="77777777" w:rsidR="0061000F" w:rsidRPr="004054B4" w:rsidRDefault="0061000F" w:rsidP="006F6742">
            <w:pPr>
              <w:pStyle w:val="Tabletext"/>
              <w:keepNext/>
              <w:keepLines/>
              <w:jc w:val="center"/>
              <w:rPr>
                <w:b/>
                <w:bCs/>
                <w:iCs/>
                <w:color w:val="000000"/>
                <w:szCs w:val="18"/>
              </w:rPr>
            </w:pPr>
            <w:r w:rsidRPr="004054B4">
              <w:rPr>
                <w:b/>
                <w:bCs/>
                <w:iCs/>
                <w:color w:val="000000"/>
                <w:szCs w:val="18"/>
              </w:rPr>
              <w:t>Event rate/ 100 patients*</w:t>
            </w:r>
          </w:p>
        </w:tc>
        <w:tc>
          <w:tcPr>
            <w:tcW w:w="934" w:type="pct"/>
            <w:tcMar>
              <w:left w:w="57" w:type="dxa"/>
              <w:right w:w="57" w:type="dxa"/>
            </w:tcMar>
          </w:tcPr>
          <w:p w14:paraId="71F2B04E" w14:textId="77777777" w:rsidR="0061000F" w:rsidRPr="0061000F" w:rsidRDefault="0061000F" w:rsidP="006F6742">
            <w:pPr>
              <w:pStyle w:val="Tabletext"/>
              <w:keepNext/>
              <w:keepLines/>
              <w:jc w:val="center"/>
              <w:rPr>
                <w:b/>
                <w:bCs/>
                <w:color w:val="000000"/>
                <w:szCs w:val="18"/>
              </w:rPr>
            </w:pPr>
            <w:r w:rsidRPr="0061000F">
              <w:rPr>
                <w:b/>
                <w:bCs/>
                <w:color w:val="000000"/>
                <w:szCs w:val="18"/>
              </w:rPr>
              <w:t>Risk difference</w:t>
            </w:r>
          </w:p>
          <w:p w14:paraId="06629F45" w14:textId="77777777" w:rsidR="0061000F" w:rsidRPr="0061000F" w:rsidRDefault="0061000F" w:rsidP="006F6742">
            <w:pPr>
              <w:pStyle w:val="Tabletext"/>
              <w:keepNext/>
              <w:keepLines/>
              <w:jc w:val="center"/>
              <w:rPr>
                <w:b/>
                <w:bCs/>
                <w:color w:val="000000"/>
                <w:szCs w:val="18"/>
              </w:rPr>
            </w:pPr>
            <w:r w:rsidRPr="0061000F">
              <w:rPr>
                <w:b/>
                <w:bCs/>
                <w:color w:val="000000"/>
                <w:szCs w:val="18"/>
              </w:rPr>
              <w:t>(95% CI)</w:t>
            </w:r>
          </w:p>
        </w:tc>
      </w:tr>
      <w:tr w:rsidR="006F6742" w:rsidRPr="0061000F" w14:paraId="27744280" w14:textId="77777777" w:rsidTr="004054B4">
        <w:tc>
          <w:tcPr>
            <w:tcW w:w="1483" w:type="pct"/>
            <w:tcMar>
              <w:left w:w="57" w:type="dxa"/>
              <w:right w:w="57" w:type="dxa"/>
            </w:tcMar>
          </w:tcPr>
          <w:p w14:paraId="501932D3" w14:textId="77777777" w:rsidR="006F6742" w:rsidRPr="006F6742" w:rsidRDefault="006F6742" w:rsidP="006F6742">
            <w:pPr>
              <w:pStyle w:val="Tabletext"/>
              <w:keepNext/>
              <w:keepLines/>
              <w:rPr>
                <w:color w:val="000000"/>
                <w:szCs w:val="18"/>
              </w:rPr>
            </w:pPr>
          </w:p>
        </w:tc>
        <w:tc>
          <w:tcPr>
            <w:tcW w:w="823" w:type="pct"/>
            <w:gridSpan w:val="2"/>
            <w:tcMar>
              <w:left w:w="57" w:type="dxa"/>
              <w:right w:w="57" w:type="dxa"/>
            </w:tcMar>
          </w:tcPr>
          <w:p w14:paraId="71BFAEA1" w14:textId="77777777" w:rsidR="006F6742" w:rsidRPr="006F6742" w:rsidRDefault="006F6742" w:rsidP="006F6742">
            <w:pPr>
              <w:pStyle w:val="Tabletext"/>
              <w:keepNext/>
              <w:keepLines/>
              <w:jc w:val="center"/>
            </w:pPr>
            <w:proofErr w:type="spellStart"/>
            <w:r>
              <w:rPr>
                <w:rFonts w:eastAsiaTheme="minorHAnsi"/>
                <w:b/>
                <w:bCs/>
              </w:rPr>
              <w:t>Nivo</w:t>
            </w:r>
            <w:proofErr w:type="spellEnd"/>
            <w:r>
              <w:rPr>
                <w:rFonts w:eastAsiaTheme="minorHAnsi"/>
                <w:b/>
                <w:bCs/>
              </w:rPr>
              <w:t xml:space="preserve"> </w:t>
            </w:r>
            <w:r w:rsidR="004054B4">
              <w:rPr>
                <w:rFonts w:eastAsiaTheme="minorHAnsi"/>
                <w:b/>
                <w:bCs/>
              </w:rPr>
              <w:t>+</w:t>
            </w:r>
            <w:r>
              <w:rPr>
                <w:rFonts w:eastAsiaTheme="minorHAnsi"/>
                <w:b/>
                <w:bCs/>
              </w:rPr>
              <w:t xml:space="preserve"> chemo</w:t>
            </w:r>
            <w:r w:rsidRPr="00A5279F">
              <w:rPr>
                <w:rFonts w:eastAsiaTheme="minorHAnsi"/>
                <w:b/>
                <w:bCs/>
              </w:rPr>
              <w:br/>
              <w:t>(N=782)</w:t>
            </w:r>
          </w:p>
        </w:tc>
        <w:tc>
          <w:tcPr>
            <w:tcW w:w="740" w:type="pct"/>
            <w:tcMar>
              <w:left w:w="57" w:type="dxa"/>
              <w:right w:w="57" w:type="dxa"/>
            </w:tcMar>
          </w:tcPr>
          <w:p w14:paraId="619B387E" w14:textId="77777777" w:rsidR="006F6742" w:rsidRPr="006F6742" w:rsidRDefault="006F6742" w:rsidP="006F6742">
            <w:pPr>
              <w:pStyle w:val="Tabletext"/>
              <w:keepNext/>
              <w:keepLines/>
              <w:jc w:val="center"/>
            </w:pPr>
            <w:r>
              <w:rPr>
                <w:rFonts w:eastAsiaTheme="minorHAnsi"/>
                <w:b/>
                <w:bCs/>
              </w:rPr>
              <w:t>Chemo alone</w:t>
            </w:r>
            <w:r w:rsidRPr="00A5279F">
              <w:rPr>
                <w:rFonts w:eastAsiaTheme="minorHAnsi"/>
                <w:b/>
                <w:bCs/>
              </w:rPr>
              <w:br/>
              <w:t>(N=767)</w:t>
            </w:r>
          </w:p>
        </w:tc>
        <w:tc>
          <w:tcPr>
            <w:tcW w:w="548" w:type="pct"/>
            <w:tcMar>
              <w:left w:w="57" w:type="dxa"/>
              <w:right w:w="57" w:type="dxa"/>
            </w:tcMar>
          </w:tcPr>
          <w:p w14:paraId="1AD32A18" w14:textId="77777777" w:rsidR="006F6742" w:rsidRPr="00BF6111" w:rsidRDefault="006F6742" w:rsidP="006F6742">
            <w:pPr>
              <w:pStyle w:val="Tabletext"/>
              <w:keepNext/>
              <w:keepLines/>
              <w:jc w:val="center"/>
              <w:rPr>
                <w:iCs/>
                <w:color w:val="000000"/>
                <w:szCs w:val="18"/>
              </w:rPr>
            </w:pPr>
            <w:proofErr w:type="spellStart"/>
            <w:r w:rsidRPr="00BF6111">
              <w:rPr>
                <w:rFonts w:eastAsiaTheme="minorHAnsi"/>
                <w:b/>
                <w:bCs/>
                <w:iCs/>
              </w:rPr>
              <w:t>Nivo</w:t>
            </w:r>
            <w:proofErr w:type="spellEnd"/>
            <w:r w:rsidRPr="00BF6111">
              <w:rPr>
                <w:rFonts w:eastAsiaTheme="minorHAnsi"/>
                <w:b/>
                <w:bCs/>
                <w:iCs/>
              </w:rPr>
              <w:t xml:space="preserve"> </w:t>
            </w:r>
            <w:r w:rsidR="004054B4">
              <w:rPr>
                <w:rFonts w:eastAsiaTheme="minorHAnsi"/>
                <w:b/>
                <w:bCs/>
                <w:iCs/>
              </w:rPr>
              <w:t>+</w:t>
            </w:r>
            <w:r w:rsidRPr="00BF6111">
              <w:rPr>
                <w:rFonts w:eastAsiaTheme="minorHAnsi"/>
                <w:b/>
                <w:bCs/>
                <w:iCs/>
              </w:rPr>
              <w:t xml:space="preserve"> chemo</w:t>
            </w:r>
          </w:p>
        </w:tc>
        <w:tc>
          <w:tcPr>
            <w:tcW w:w="473" w:type="pct"/>
            <w:tcMar>
              <w:left w:w="57" w:type="dxa"/>
              <w:right w:w="57" w:type="dxa"/>
            </w:tcMar>
          </w:tcPr>
          <w:p w14:paraId="320298E9" w14:textId="77777777" w:rsidR="006F6742" w:rsidRPr="00BF6111" w:rsidRDefault="006F6742" w:rsidP="006F6742">
            <w:pPr>
              <w:pStyle w:val="Tabletext"/>
              <w:keepNext/>
              <w:keepLines/>
              <w:jc w:val="center"/>
              <w:rPr>
                <w:iCs/>
                <w:color w:val="000000"/>
                <w:szCs w:val="18"/>
              </w:rPr>
            </w:pPr>
            <w:r w:rsidRPr="00BF6111">
              <w:rPr>
                <w:rFonts w:eastAsiaTheme="minorHAnsi"/>
                <w:b/>
                <w:bCs/>
                <w:iCs/>
              </w:rPr>
              <w:t>Chemo alone</w:t>
            </w:r>
          </w:p>
        </w:tc>
        <w:tc>
          <w:tcPr>
            <w:tcW w:w="934" w:type="pct"/>
            <w:tcMar>
              <w:left w:w="57" w:type="dxa"/>
              <w:right w:w="57" w:type="dxa"/>
            </w:tcMar>
          </w:tcPr>
          <w:p w14:paraId="28B0F358" w14:textId="77777777" w:rsidR="006F6742" w:rsidRPr="006F6742" w:rsidRDefault="006F6742" w:rsidP="006F6742">
            <w:pPr>
              <w:pStyle w:val="Tabletext"/>
              <w:keepNext/>
              <w:keepLines/>
              <w:jc w:val="center"/>
              <w:rPr>
                <w:color w:val="000000"/>
                <w:szCs w:val="18"/>
              </w:rPr>
            </w:pPr>
          </w:p>
        </w:tc>
      </w:tr>
      <w:tr w:rsidR="00E23E4A" w:rsidRPr="0061000F" w14:paraId="0938AB14" w14:textId="77777777" w:rsidTr="004054B4">
        <w:tc>
          <w:tcPr>
            <w:tcW w:w="1483" w:type="pct"/>
            <w:tcMar>
              <w:left w:w="57" w:type="dxa"/>
              <w:right w:w="57" w:type="dxa"/>
            </w:tcMar>
          </w:tcPr>
          <w:p w14:paraId="3227DF93" w14:textId="77777777" w:rsidR="00E23E4A" w:rsidRPr="006F6742" w:rsidRDefault="00E23E4A" w:rsidP="00E23E4A">
            <w:pPr>
              <w:pStyle w:val="Tabletext"/>
              <w:keepNext/>
              <w:keepLines/>
            </w:pPr>
            <w:r w:rsidRPr="006F6742">
              <w:t>Treatment-related Grade 3/4 AE</w:t>
            </w:r>
          </w:p>
        </w:tc>
        <w:tc>
          <w:tcPr>
            <w:tcW w:w="823" w:type="pct"/>
            <w:gridSpan w:val="2"/>
            <w:tcMar>
              <w:left w:w="57" w:type="dxa"/>
              <w:right w:w="57" w:type="dxa"/>
            </w:tcMar>
          </w:tcPr>
          <w:p w14:paraId="3EB8D149" w14:textId="77777777" w:rsidR="00E23E4A" w:rsidRPr="0039398D" w:rsidRDefault="00E23E4A" w:rsidP="00E23E4A">
            <w:pPr>
              <w:pStyle w:val="Tabletext"/>
              <w:keepNext/>
              <w:keepLines/>
              <w:jc w:val="center"/>
            </w:pPr>
            <w:r w:rsidRPr="0039398D">
              <w:t>462 (59.1%)</w:t>
            </w:r>
          </w:p>
        </w:tc>
        <w:tc>
          <w:tcPr>
            <w:tcW w:w="740" w:type="pct"/>
            <w:tcMar>
              <w:left w:w="57" w:type="dxa"/>
              <w:right w:w="57" w:type="dxa"/>
            </w:tcMar>
          </w:tcPr>
          <w:p w14:paraId="5341B0EA" w14:textId="77777777" w:rsidR="00E23E4A" w:rsidRPr="0039398D" w:rsidRDefault="00E23E4A" w:rsidP="00E23E4A">
            <w:pPr>
              <w:pStyle w:val="Tabletext"/>
              <w:keepNext/>
              <w:keepLines/>
              <w:jc w:val="center"/>
            </w:pPr>
            <w:r w:rsidRPr="0039398D">
              <w:t>341 (44.5%)</w:t>
            </w:r>
          </w:p>
        </w:tc>
        <w:tc>
          <w:tcPr>
            <w:tcW w:w="548" w:type="pct"/>
            <w:tcMar>
              <w:left w:w="57" w:type="dxa"/>
              <w:right w:w="57" w:type="dxa"/>
            </w:tcMar>
          </w:tcPr>
          <w:p w14:paraId="1A2CE138" w14:textId="77777777" w:rsidR="00E23E4A" w:rsidRPr="00BF6111" w:rsidRDefault="00E23E4A" w:rsidP="00E23E4A">
            <w:pPr>
              <w:pStyle w:val="Tabletext"/>
              <w:keepNext/>
              <w:keepLines/>
              <w:jc w:val="center"/>
              <w:rPr>
                <w:iCs/>
              </w:rPr>
            </w:pPr>
            <w:r w:rsidRPr="00BF6111">
              <w:rPr>
                <w:iCs/>
              </w:rPr>
              <w:t>59</w:t>
            </w:r>
          </w:p>
        </w:tc>
        <w:tc>
          <w:tcPr>
            <w:tcW w:w="473" w:type="pct"/>
            <w:tcMar>
              <w:left w:w="57" w:type="dxa"/>
              <w:right w:w="57" w:type="dxa"/>
            </w:tcMar>
          </w:tcPr>
          <w:p w14:paraId="46C8DD83" w14:textId="77777777" w:rsidR="00E23E4A" w:rsidRPr="00BF6111" w:rsidRDefault="00E23E4A" w:rsidP="00E23E4A">
            <w:pPr>
              <w:pStyle w:val="Tabletext"/>
              <w:keepNext/>
              <w:keepLines/>
              <w:jc w:val="center"/>
              <w:rPr>
                <w:iCs/>
              </w:rPr>
            </w:pPr>
            <w:r w:rsidRPr="00BF6111">
              <w:rPr>
                <w:iCs/>
              </w:rPr>
              <w:t>45</w:t>
            </w:r>
          </w:p>
        </w:tc>
        <w:tc>
          <w:tcPr>
            <w:tcW w:w="934" w:type="pct"/>
            <w:tcMar>
              <w:left w:w="57" w:type="dxa"/>
              <w:right w:w="57" w:type="dxa"/>
            </w:tcMar>
          </w:tcPr>
          <w:p w14:paraId="22E6BEF6" w14:textId="77777777" w:rsidR="00E23E4A" w:rsidRPr="00BF6111" w:rsidRDefault="00E23E4A" w:rsidP="00E23E4A">
            <w:pPr>
              <w:pStyle w:val="Tabletext"/>
              <w:keepNext/>
              <w:keepLines/>
              <w:jc w:val="center"/>
              <w:rPr>
                <w:bCs/>
                <w:iCs/>
              </w:rPr>
            </w:pPr>
            <w:r w:rsidRPr="00BF6111">
              <w:rPr>
                <w:bCs/>
                <w:iCs/>
              </w:rPr>
              <w:t>0.15 (0.10, 0.20)</w:t>
            </w:r>
          </w:p>
        </w:tc>
      </w:tr>
      <w:tr w:rsidR="00E23E4A" w:rsidRPr="0061000F" w14:paraId="4747F682" w14:textId="77777777" w:rsidTr="004054B4">
        <w:tc>
          <w:tcPr>
            <w:tcW w:w="1483" w:type="pct"/>
            <w:tcMar>
              <w:left w:w="57" w:type="dxa"/>
              <w:right w:w="57" w:type="dxa"/>
            </w:tcMar>
          </w:tcPr>
          <w:p w14:paraId="5E07CB39" w14:textId="77777777" w:rsidR="00E23E4A" w:rsidRPr="006F6742" w:rsidRDefault="00E23E4A" w:rsidP="00E23E4A">
            <w:pPr>
              <w:pStyle w:val="Tabletext"/>
              <w:keepNext/>
              <w:keepLines/>
              <w:rPr>
                <w:color w:val="000000"/>
                <w:szCs w:val="18"/>
              </w:rPr>
            </w:pPr>
            <w:r w:rsidRPr="006F6742">
              <w:t>Nervous system disorders</w:t>
            </w:r>
          </w:p>
        </w:tc>
        <w:tc>
          <w:tcPr>
            <w:tcW w:w="823" w:type="pct"/>
            <w:gridSpan w:val="2"/>
            <w:tcMar>
              <w:left w:w="57" w:type="dxa"/>
              <w:right w:w="57" w:type="dxa"/>
            </w:tcMar>
          </w:tcPr>
          <w:p w14:paraId="6C0C22F2" w14:textId="77777777" w:rsidR="00E23E4A" w:rsidRPr="006F6742" w:rsidRDefault="00E23E4A" w:rsidP="00E23E4A">
            <w:pPr>
              <w:pStyle w:val="Tabletext"/>
              <w:keepNext/>
              <w:keepLines/>
              <w:jc w:val="center"/>
            </w:pPr>
            <w:r w:rsidRPr="0039398D">
              <w:rPr>
                <w:bCs/>
              </w:rPr>
              <w:t>94 (12.0%)</w:t>
            </w:r>
          </w:p>
        </w:tc>
        <w:tc>
          <w:tcPr>
            <w:tcW w:w="740" w:type="pct"/>
            <w:tcMar>
              <w:left w:w="57" w:type="dxa"/>
              <w:right w:w="57" w:type="dxa"/>
            </w:tcMar>
          </w:tcPr>
          <w:p w14:paraId="28A58491" w14:textId="77777777" w:rsidR="00E23E4A" w:rsidRPr="006F6742" w:rsidRDefault="00E23E4A" w:rsidP="00E23E4A">
            <w:pPr>
              <w:pStyle w:val="Tabletext"/>
              <w:keepNext/>
              <w:keepLines/>
              <w:jc w:val="center"/>
            </w:pPr>
            <w:r w:rsidRPr="0039398D">
              <w:rPr>
                <w:bCs/>
              </w:rPr>
              <w:t>65 (8.5%)</w:t>
            </w:r>
          </w:p>
        </w:tc>
        <w:tc>
          <w:tcPr>
            <w:tcW w:w="548" w:type="pct"/>
            <w:tcMar>
              <w:left w:w="57" w:type="dxa"/>
              <w:right w:w="57" w:type="dxa"/>
            </w:tcMar>
          </w:tcPr>
          <w:p w14:paraId="70DB82D1" w14:textId="77777777" w:rsidR="00E23E4A" w:rsidRPr="00BF6111" w:rsidRDefault="00E23E4A" w:rsidP="00E23E4A">
            <w:pPr>
              <w:pStyle w:val="Tabletext"/>
              <w:keepNext/>
              <w:keepLines/>
              <w:jc w:val="center"/>
              <w:rPr>
                <w:iCs/>
                <w:color w:val="000000"/>
                <w:szCs w:val="18"/>
              </w:rPr>
            </w:pPr>
            <w:r w:rsidRPr="00BF6111">
              <w:rPr>
                <w:iCs/>
              </w:rPr>
              <w:t>12</w:t>
            </w:r>
          </w:p>
        </w:tc>
        <w:tc>
          <w:tcPr>
            <w:tcW w:w="473" w:type="pct"/>
            <w:tcMar>
              <w:left w:w="57" w:type="dxa"/>
              <w:right w:w="57" w:type="dxa"/>
            </w:tcMar>
          </w:tcPr>
          <w:p w14:paraId="30368B74" w14:textId="77777777" w:rsidR="00E23E4A" w:rsidRPr="00BF6111" w:rsidRDefault="00E23E4A" w:rsidP="00E23E4A">
            <w:pPr>
              <w:pStyle w:val="Tabletext"/>
              <w:keepNext/>
              <w:keepLines/>
              <w:jc w:val="center"/>
              <w:rPr>
                <w:iCs/>
                <w:color w:val="000000"/>
                <w:szCs w:val="18"/>
              </w:rPr>
            </w:pPr>
            <w:r w:rsidRPr="00BF6111">
              <w:rPr>
                <w:iCs/>
              </w:rPr>
              <w:t>9</w:t>
            </w:r>
          </w:p>
        </w:tc>
        <w:tc>
          <w:tcPr>
            <w:tcW w:w="934" w:type="pct"/>
            <w:tcMar>
              <w:left w:w="57" w:type="dxa"/>
              <w:right w:w="57" w:type="dxa"/>
            </w:tcMar>
          </w:tcPr>
          <w:p w14:paraId="3790C0FA" w14:textId="77777777" w:rsidR="00E23E4A" w:rsidRPr="00BF6111" w:rsidRDefault="00E23E4A" w:rsidP="00E23E4A">
            <w:pPr>
              <w:pStyle w:val="Tabletext"/>
              <w:keepNext/>
              <w:keepLines/>
              <w:jc w:val="center"/>
              <w:rPr>
                <w:iCs/>
                <w:color w:val="000000"/>
                <w:szCs w:val="18"/>
              </w:rPr>
            </w:pPr>
            <w:r w:rsidRPr="00BF6111">
              <w:rPr>
                <w:bCs/>
                <w:iCs/>
              </w:rPr>
              <w:t>0.04 (0.01, 0.07)</w:t>
            </w:r>
          </w:p>
        </w:tc>
      </w:tr>
      <w:tr w:rsidR="00E23E4A" w:rsidRPr="0061000F" w14:paraId="011EF41C" w14:textId="77777777" w:rsidTr="004054B4">
        <w:tc>
          <w:tcPr>
            <w:tcW w:w="1483" w:type="pct"/>
            <w:tcMar>
              <w:left w:w="57" w:type="dxa"/>
              <w:right w:w="57" w:type="dxa"/>
            </w:tcMar>
          </w:tcPr>
          <w:p w14:paraId="2EC8C234" w14:textId="77777777" w:rsidR="00E23E4A" w:rsidRPr="006F6742" w:rsidRDefault="00E23E4A" w:rsidP="00E23E4A">
            <w:pPr>
              <w:pStyle w:val="Tabletext"/>
              <w:keepNext/>
              <w:keepLines/>
              <w:rPr>
                <w:color w:val="000000"/>
                <w:szCs w:val="18"/>
              </w:rPr>
            </w:pPr>
            <w:r w:rsidRPr="006F6742">
              <w:t>Blood and lymphatic system disorders</w:t>
            </w:r>
          </w:p>
        </w:tc>
        <w:tc>
          <w:tcPr>
            <w:tcW w:w="823" w:type="pct"/>
            <w:gridSpan w:val="2"/>
            <w:tcMar>
              <w:left w:w="57" w:type="dxa"/>
              <w:right w:w="57" w:type="dxa"/>
            </w:tcMar>
          </w:tcPr>
          <w:p w14:paraId="66CF0AB9" w14:textId="77777777" w:rsidR="00E23E4A" w:rsidRPr="006F6742" w:rsidRDefault="00E23E4A" w:rsidP="00E23E4A">
            <w:pPr>
              <w:pStyle w:val="Tabletext"/>
              <w:keepNext/>
              <w:keepLines/>
              <w:jc w:val="center"/>
            </w:pPr>
            <w:r w:rsidRPr="0039398D">
              <w:rPr>
                <w:bCs/>
              </w:rPr>
              <w:t>230 (29.4%)</w:t>
            </w:r>
          </w:p>
        </w:tc>
        <w:tc>
          <w:tcPr>
            <w:tcW w:w="740" w:type="pct"/>
            <w:tcMar>
              <w:left w:w="57" w:type="dxa"/>
              <w:right w:w="57" w:type="dxa"/>
            </w:tcMar>
          </w:tcPr>
          <w:p w14:paraId="2FDB4023" w14:textId="77777777" w:rsidR="00E23E4A" w:rsidRPr="006F6742" w:rsidRDefault="00E23E4A" w:rsidP="00E23E4A">
            <w:pPr>
              <w:pStyle w:val="Tabletext"/>
              <w:keepNext/>
              <w:keepLines/>
              <w:jc w:val="center"/>
            </w:pPr>
            <w:r w:rsidRPr="0039398D">
              <w:rPr>
                <w:bCs/>
              </w:rPr>
              <w:t>167 (21.8%)</w:t>
            </w:r>
          </w:p>
        </w:tc>
        <w:tc>
          <w:tcPr>
            <w:tcW w:w="548" w:type="pct"/>
            <w:tcMar>
              <w:left w:w="57" w:type="dxa"/>
              <w:right w:w="57" w:type="dxa"/>
            </w:tcMar>
          </w:tcPr>
          <w:p w14:paraId="09384BE5" w14:textId="77777777" w:rsidR="00E23E4A" w:rsidRPr="00BF6111" w:rsidRDefault="00E23E4A" w:rsidP="00E23E4A">
            <w:pPr>
              <w:pStyle w:val="Tabletext"/>
              <w:keepNext/>
              <w:keepLines/>
              <w:jc w:val="center"/>
              <w:rPr>
                <w:iCs/>
                <w:color w:val="000000"/>
                <w:szCs w:val="18"/>
              </w:rPr>
            </w:pPr>
            <w:r w:rsidRPr="00BF6111">
              <w:rPr>
                <w:iCs/>
              </w:rPr>
              <w:t>29</w:t>
            </w:r>
          </w:p>
        </w:tc>
        <w:tc>
          <w:tcPr>
            <w:tcW w:w="473" w:type="pct"/>
            <w:tcMar>
              <w:left w:w="57" w:type="dxa"/>
              <w:right w:w="57" w:type="dxa"/>
            </w:tcMar>
          </w:tcPr>
          <w:p w14:paraId="4FC4471D" w14:textId="77777777" w:rsidR="00E23E4A" w:rsidRPr="00BF6111" w:rsidRDefault="00E23E4A" w:rsidP="00E23E4A">
            <w:pPr>
              <w:pStyle w:val="Tabletext"/>
              <w:keepNext/>
              <w:keepLines/>
              <w:jc w:val="center"/>
              <w:rPr>
                <w:iCs/>
                <w:color w:val="000000"/>
                <w:szCs w:val="18"/>
              </w:rPr>
            </w:pPr>
            <w:r w:rsidRPr="00BF6111">
              <w:rPr>
                <w:iCs/>
              </w:rPr>
              <w:t>22</w:t>
            </w:r>
          </w:p>
        </w:tc>
        <w:tc>
          <w:tcPr>
            <w:tcW w:w="934" w:type="pct"/>
            <w:tcMar>
              <w:left w:w="57" w:type="dxa"/>
              <w:right w:w="57" w:type="dxa"/>
            </w:tcMar>
          </w:tcPr>
          <w:p w14:paraId="37E902D8" w14:textId="77777777" w:rsidR="00E23E4A" w:rsidRPr="00BF6111" w:rsidRDefault="00E23E4A" w:rsidP="00E23E4A">
            <w:pPr>
              <w:pStyle w:val="Tabletext"/>
              <w:keepNext/>
              <w:keepLines/>
              <w:jc w:val="center"/>
              <w:rPr>
                <w:iCs/>
                <w:color w:val="000000"/>
                <w:szCs w:val="18"/>
              </w:rPr>
            </w:pPr>
            <w:r w:rsidRPr="00BF6111">
              <w:rPr>
                <w:bCs/>
                <w:iCs/>
              </w:rPr>
              <w:t>0.08 (0.03, 0.12)</w:t>
            </w:r>
          </w:p>
        </w:tc>
      </w:tr>
      <w:tr w:rsidR="00E23E4A" w:rsidRPr="0061000F" w14:paraId="0E067FF4" w14:textId="77777777" w:rsidTr="004054B4">
        <w:tc>
          <w:tcPr>
            <w:tcW w:w="1483" w:type="pct"/>
            <w:tcMar>
              <w:left w:w="57" w:type="dxa"/>
              <w:right w:w="57" w:type="dxa"/>
            </w:tcMar>
          </w:tcPr>
          <w:p w14:paraId="1B878F45" w14:textId="77777777" w:rsidR="00E23E4A" w:rsidRPr="006F6742" w:rsidRDefault="00E23E4A" w:rsidP="00E23E4A">
            <w:pPr>
              <w:pStyle w:val="Tabletext"/>
              <w:keepNext/>
              <w:keepLines/>
              <w:rPr>
                <w:color w:val="000000"/>
                <w:szCs w:val="18"/>
              </w:rPr>
            </w:pPr>
            <w:r w:rsidRPr="006F6742">
              <w:t xml:space="preserve">Anaemia </w:t>
            </w:r>
          </w:p>
        </w:tc>
        <w:tc>
          <w:tcPr>
            <w:tcW w:w="823" w:type="pct"/>
            <w:gridSpan w:val="2"/>
            <w:tcMar>
              <w:left w:w="57" w:type="dxa"/>
              <w:right w:w="57" w:type="dxa"/>
            </w:tcMar>
          </w:tcPr>
          <w:p w14:paraId="3A900D47" w14:textId="77777777" w:rsidR="00E23E4A" w:rsidRPr="006F6742" w:rsidRDefault="00E23E4A" w:rsidP="00E23E4A">
            <w:pPr>
              <w:pStyle w:val="Tabletext"/>
              <w:keepNext/>
              <w:keepLines/>
              <w:jc w:val="center"/>
            </w:pPr>
            <w:r w:rsidRPr="0039398D">
              <w:rPr>
                <w:bCs/>
              </w:rPr>
              <w:t>86 (11.0%)</w:t>
            </w:r>
          </w:p>
        </w:tc>
        <w:tc>
          <w:tcPr>
            <w:tcW w:w="740" w:type="pct"/>
            <w:tcMar>
              <w:left w:w="57" w:type="dxa"/>
              <w:right w:w="57" w:type="dxa"/>
            </w:tcMar>
          </w:tcPr>
          <w:p w14:paraId="435A3F83" w14:textId="77777777" w:rsidR="00E23E4A" w:rsidRPr="006F6742" w:rsidRDefault="00E23E4A" w:rsidP="00E23E4A">
            <w:pPr>
              <w:pStyle w:val="Tabletext"/>
              <w:keepNext/>
              <w:keepLines/>
              <w:jc w:val="center"/>
            </w:pPr>
            <w:r w:rsidRPr="0039398D">
              <w:rPr>
                <w:bCs/>
              </w:rPr>
              <w:t>56 (7.3%)</w:t>
            </w:r>
          </w:p>
        </w:tc>
        <w:tc>
          <w:tcPr>
            <w:tcW w:w="548" w:type="pct"/>
            <w:tcMar>
              <w:left w:w="57" w:type="dxa"/>
              <w:right w:w="57" w:type="dxa"/>
            </w:tcMar>
          </w:tcPr>
          <w:p w14:paraId="78435728" w14:textId="77777777" w:rsidR="00E23E4A" w:rsidRPr="00BF6111" w:rsidRDefault="00E23E4A" w:rsidP="00E23E4A">
            <w:pPr>
              <w:pStyle w:val="Tabletext"/>
              <w:keepNext/>
              <w:keepLines/>
              <w:jc w:val="center"/>
              <w:rPr>
                <w:iCs/>
                <w:color w:val="000000"/>
                <w:szCs w:val="18"/>
              </w:rPr>
            </w:pPr>
            <w:r w:rsidRPr="00BF6111">
              <w:rPr>
                <w:iCs/>
              </w:rPr>
              <w:t>11</w:t>
            </w:r>
          </w:p>
        </w:tc>
        <w:tc>
          <w:tcPr>
            <w:tcW w:w="473" w:type="pct"/>
            <w:tcMar>
              <w:left w:w="57" w:type="dxa"/>
              <w:right w:w="57" w:type="dxa"/>
            </w:tcMar>
          </w:tcPr>
          <w:p w14:paraId="4A73A02D" w14:textId="77777777" w:rsidR="00E23E4A" w:rsidRPr="00BF6111" w:rsidRDefault="00E23E4A" w:rsidP="00E23E4A">
            <w:pPr>
              <w:pStyle w:val="Tabletext"/>
              <w:keepNext/>
              <w:keepLines/>
              <w:jc w:val="center"/>
              <w:rPr>
                <w:iCs/>
                <w:color w:val="000000"/>
                <w:szCs w:val="18"/>
              </w:rPr>
            </w:pPr>
            <w:r w:rsidRPr="00BF6111">
              <w:rPr>
                <w:iCs/>
              </w:rPr>
              <w:t>7</w:t>
            </w:r>
          </w:p>
        </w:tc>
        <w:tc>
          <w:tcPr>
            <w:tcW w:w="934" w:type="pct"/>
            <w:tcMar>
              <w:left w:w="57" w:type="dxa"/>
              <w:right w:w="57" w:type="dxa"/>
            </w:tcMar>
          </w:tcPr>
          <w:p w14:paraId="50D4C7EC" w14:textId="77777777" w:rsidR="00E23E4A" w:rsidRPr="00BF6111" w:rsidRDefault="00E23E4A" w:rsidP="00E23E4A">
            <w:pPr>
              <w:pStyle w:val="Tabletext"/>
              <w:keepNext/>
              <w:keepLines/>
              <w:jc w:val="center"/>
              <w:rPr>
                <w:iCs/>
                <w:color w:val="000000"/>
                <w:szCs w:val="18"/>
              </w:rPr>
            </w:pPr>
            <w:r w:rsidRPr="00BF6111">
              <w:rPr>
                <w:bCs/>
                <w:iCs/>
              </w:rPr>
              <w:t>0.04 (0.01, 0.07)</w:t>
            </w:r>
          </w:p>
        </w:tc>
      </w:tr>
      <w:tr w:rsidR="00E23E4A" w:rsidRPr="0061000F" w14:paraId="141F9C29" w14:textId="77777777" w:rsidTr="004054B4">
        <w:tc>
          <w:tcPr>
            <w:tcW w:w="1483" w:type="pct"/>
            <w:tcMar>
              <w:left w:w="57" w:type="dxa"/>
              <w:right w:w="57" w:type="dxa"/>
            </w:tcMar>
          </w:tcPr>
          <w:p w14:paraId="2A67779A" w14:textId="77777777" w:rsidR="00E23E4A" w:rsidRPr="006F6742" w:rsidRDefault="00E23E4A" w:rsidP="00E23E4A">
            <w:pPr>
              <w:pStyle w:val="Tabletext"/>
              <w:keepNext/>
              <w:keepLines/>
              <w:rPr>
                <w:color w:val="000000"/>
                <w:szCs w:val="18"/>
              </w:rPr>
            </w:pPr>
            <w:r w:rsidRPr="006F6742">
              <w:t>Infections and infestations</w:t>
            </w:r>
          </w:p>
        </w:tc>
        <w:tc>
          <w:tcPr>
            <w:tcW w:w="823" w:type="pct"/>
            <w:gridSpan w:val="2"/>
            <w:tcMar>
              <w:left w:w="57" w:type="dxa"/>
              <w:right w:w="57" w:type="dxa"/>
            </w:tcMar>
          </w:tcPr>
          <w:p w14:paraId="5E641F1E" w14:textId="77777777" w:rsidR="00E23E4A" w:rsidRPr="00E23E4A" w:rsidRDefault="00E23E4A" w:rsidP="00E23E4A">
            <w:pPr>
              <w:pStyle w:val="Tabletext"/>
              <w:keepNext/>
              <w:keepLines/>
              <w:jc w:val="center"/>
              <w:rPr>
                <w:bCs/>
              </w:rPr>
            </w:pPr>
            <w:r w:rsidRPr="00E23E4A">
              <w:rPr>
                <w:bCs/>
              </w:rPr>
              <w:t>68 (8.7%)</w:t>
            </w:r>
          </w:p>
        </w:tc>
        <w:tc>
          <w:tcPr>
            <w:tcW w:w="740" w:type="pct"/>
            <w:tcMar>
              <w:left w:w="57" w:type="dxa"/>
              <w:right w:w="57" w:type="dxa"/>
            </w:tcMar>
          </w:tcPr>
          <w:p w14:paraId="420AA960" w14:textId="77777777" w:rsidR="00E23E4A" w:rsidRPr="00E23E4A" w:rsidRDefault="00E23E4A" w:rsidP="00E23E4A">
            <w:pPr>
              <w:pStyle w:val="Tabletext"/>
              <w:keepNext/>
              <w:keepLines/>
              <w:jc w:val="center"/>
              <w:rPr>
                <w:bCs/>
              </w:rPr>
            </w:pPr>
            <w:r w:rsidRPr="00E23E4A">
              <w:rPr>
                <w:bCs/>
              </w:rPr>
              <w:t>39 (5.1%)</w:t>
            </w:r>
          </w:p>
        </w:tc>
        <w:tc>
          <w:tcPr>
            <w:tcW w:w="548" w:type="pct"/>
            <w:tcMar>
              <w:left w:w="57" w:type="dxa"/>
              <w:right w:w="57" w:type="dxa"/>
            </w:tcMar>
          </w:tcPr>
          <w:p w14:paraId="2E109BCC" w14:textId="77777777" w:rsidR="00E23E4A" w:rsidRPr="00BF6111" w:rsidRDefault="00D7203D" w:rsidP="00E23E4A">
            <w:pPr>
              <w:pStyle w:val="Tabletext"/>
              <w:keepNext/>
              <w:keepLines/>
              <w:jc w:val="center"/>
              <w:rPr>
                <w:bCs/>
                <w:iCs/>
              </w:rPr>
            </w:pPr>
            <w:r w:rsidRPr="00BF6111">
              <w:rPr>
                <w:bCs/>
                <w:iCs/>
              </w:rPr>
              <w:t>9</w:t>
            </w:r>
          </w:p>
        </w:tc>
        <w:tc>
          <w:tcPr>
            <w:tcW w:w="473" w:type="pct"/>
            <w:tcMar>
              <w:left w:w="57" w:type="dxa"/>
              <w:right w:w="57" w:type="dxa"/>
            </w:tcMar>
          </w:tcPr>
          <w:p w14:paraId="4E35A55E" w14:textId="77777777" w:rsidR="00E23E4A" w:rsidRPr="00BF6111" w:rsidRDefault="00D7203D" w:rsidP="00E23E4A">
            <w:pPr>
              <w:pStyle w:val="Tabletext"/>
              <w:keepNext/>
              <w:keepLines/>
              <w:jc w:val="center"/>
              <w:rPr>
                <w:bCs/>
                <w:iCs/>
              </w:rPr>
            </w:pPr>
            <w:r w:rsidRPr="00BF6111">
              <w:rPr>
                <w:bCs/>
                <w:iCs/>
              </w:rPr>
              <w:t>5</w:t>
            </w:r>
          </w:p>
        </w:tc>
        <w:tc>
          <w:tcPr>
            <w:tcW w:w="934" w:type="pct"/>
            <w:tcMar>
              <w:left w:w="57" w:type="dxa"/>
              <w:right w:w="57" w:type="dxa"/>
            </w:tcMar>
          </w:tcPr>
          <w:p w14:paraId="7B15F331" w14:textId="77777777" w:rsidR="00E23E4A" w:rsidRPr="00BF6111" w:rsidRDefault="00E23E4A" w:rsidP="00E23E4A">
            <w:pPr>
              <w:pStyle w:val="Tabletext"/>
              <w:keepNext/>
              <w:keepLines/>
              <w:jc w:val="center"/>
              <w:rPr>
                <w:bCs/>
                <w:iCs/>
              </w:rPr>
            </w:pPr>
            <w:r w:rsidRPr="00BF6111">
              <w:rPr>
                <w:bCs/>
                <w:iCs/>
              </w:rPr>
              <w:t>0.04 (0.01, 0.06)</w:t>
            </w:r>
          </w:p>
        </w:tc>
      </w:tr>
    </w:tbl>
    <w:p w14:paraId="1BB68007" w14:textId="77777777" w:rsidR="0061000F" w:rsidRDefault="0061000F" w:rsidP="00F519C6">
      <w:pPr>
        <w:pStyle w:val="TableFooter"/>
        <w:keepNext/>
        <w:keepLines/>
      </w:pPr>
      <w:r>
        <w:t xml:space="preserve">Source: Table 26, p56, Table 27, p59 and </w:t>
      </w:r>
      <w:r>
        <w:rPr>
          <w:rFonts w:eastAsiaTheme="minorHAnsi"/>
        </w:rPr>
        <w:t>Table 30, p66 of the submission.</w:t>
      </w:r>
      <w:r>
        <w:t xml:space="preserve"> </w:t>
      </w:r>
    </w:p>
    <w:p w14:paraId="435A49AF" w14:textId="77777777" w:rsidR="0061000F" w:rsidRPr="0061000F" w:rsidRDefault="0061000F" w:rsidP="00F519C6">
      <w:pPr>
        <w:pStyle w:val="TableFooter"/>
        <w:keepNext/>
        <w:keepLines/>
        <w:rPr>
          <w:rFonts w:eastAsiaTheme="minorHAnsi"/>
        </w:rPr>
      </w:pPr>
      <w:r w:rsidRPr="004A1D4D">
        <w:rPr>
          <w:rFonts w:eastAsiaTheme="minorHAnsi"/>
        </w:rPr>
        <w:t xml:space="preserve">AE = adverse events; </w:t>
      </w:r>
      <w:r w:rsidR="006F6742">
        <w:rPr>
          <w:rFonts w:eastAsiaTheme="minorHAnsi"/>
        </w:rPr>
        <w:t xml:space="preserve">Chemo = chemotherapy, </w:t>
      </w:r>
      <w:r w:rsidRPr="004A1D4D">
        <w:rPr>
          <w:rFonts w:eastAsiaTheme="minorHAnsi"/>
        </w:rPr>
        <w:t>CI= confidence interval;</w:t>
      </w:r>
      <w:r>
        <w:rPr>
          <w:rFonts w:eastAsiaTheme="minorHAnsi"/>
        </w:rPr>
        <w:t xml:space="preserve"> HR = hazard ratio;</w:t>
      </w:r>
      <w:r w:rsidR="006F6742">
        <w:rPr>
          <w:rFonts w:eastAsiaTheme="minorHAnsi"/>
        </w:rPr>
        <w:t xml:space="preserve"> </w:t>
      </w:r>
      <w:r w:rsidRPr="004A1D4D">
        <w:rPr>
          <w:rFonts w:eastAsiaTheme="minorHAnsi"/>
        </w:rPr>
        <w:t xml:space="preserve">N = total participants in group; </w:t>
      </w:r>
      <w:proofErr w:type="spellStart"/>
      <w:r w:rsidR="006F6742">
        <w:rPr>
          <w:rFonts w:eastAsiaTheme="minorHAnsi"/>
        </w:rPr>
        <w:t>Nivo</w:t>
      </w:r>
      <w:proofErr w:type="spellEnd"/>
      <w:r w:rsidR="006F6742">
        <w:rPr>
          <w:rFonts w:eastAsiaTheme="minorHAnsi"/>
        </w:rPr>
        <w:t xml:space="preserve"> = nivolumab, </w:t>
      </w:r>
      <w:r w:rsidRPr="004A1D4D">
        <w:rPr>
          <w:rFonts w:eastAsiaTheme="minorHAnsi"/>
        </w:rPr>
        <w:t>SAE = serious adverse events</w:t>
      </w:r>
    </w:p>
    <w:p w14:paraId="79C9A0CD" w14:textId="77777777" w:rsidR="0061000F" w:rsidRDefault="0061000F" w:rsidP="00F519C6">
      <w:pPr>
        <w:pStyle w:val="TableFooter"/>
        <w:keepNext/>
        <w:keepLines/>
      </w:pPr>
      <w:proofErr w:type="gramStart"/>
      <w:r>
        <w:t>a</w:t>
      </w:r>
      <w:proofErr w:type="gramEnd"/>
      <w:r w:rsidRPr="00140CEE">
        <w:t xml:space="preserve"> Based on </w:t>
      </w:r>
      <w:r w:rsidR="005D08D7" w:rsidRPr="00140CEE">
        <w:t>Kaplan</w:t>
      </w:r>
      <w:r w:rsidRPr="00140CEE">
        <w:t>-Meier estimates</w:t>
      </w:r>
    </w:p>
    <w:p w14:paraId="472ADDB2" w14:textId="77777777" w:rsidR="0061000F" w:rsidRDefault="0061000F" w:rsidP="00F519C6">
      <w:pPr>
        <w:pStyle w:val="TableFooter"/>
        <w:keepNext/>
        <w:keepLines/>
      </w:pPr>
      <w:proofErr w:type="gramStart"/>
      <w:r>
        <w:t>b</w:t>
      </w:r>
      <w:proofErr w:type="gramEnd"/>
      <w:r>
        <w:t xml:space="preserve"> Calculated ad hoc</w:t>
      </w:r>
    </w:p>
    <w:p w14:paraId="5287CE01" w14:textId="77777777" w:rsidR="0061000F" w:rsidRPr="0072416F" w:rsidRDefault="0061000F" w:rsidP="00BF6111">
      <w:pPr>
        <w:pStyle w:val="TableFooter"/>
        <w:keepNext/>
        <w:keepLines/>
      </w:pPr>
      <w:proofErr w:type="gramStart"/>
      <w:r>
        <w:t>c</w:t>
      </w:r>
      <w:proofErr w:type="gramEnd"/>
      <w:r>
        <w:t xml:space="preserve"> Stratified p-value and hazard ratio. Stratification factors include tumour cell PD-L1 status (≥1 vs &lt;1% [including indeterminate]), region (Asia vs North America [United States and Canada] vs ROW)), ECOG PS (0 vs 1), chemotherapy (XELOX vs FOLFOX)</w:t>
      </w:r>
    </w:p>
    <w:p w14:paraId="3EF6DC1F" w14:textId="77777777" w:rsidR="00F519C6" w:rsidRDefault="0061000F" w:rsidP="00F519C6">
      <w:pPr>
        <w:pStyle w:val="TableFigureFooter"/>
        <w:keepNext/>
        <w:keepLines/>
      </w:pPr>
      <w:r w:rsidRPr="0072416F">
        <w:t xml:space="preserve">* Median duration of follow-up: </w:t>
      </w:r>
      <w:r w:rsidR="0039398D">
        <w:t>of 12.1 months</w:t>
      </w:r>
    </w:p>
    <w:p w14:paraId="5E4DCD10" w14:textId="38F09EB1" w:rsidR="00B6701B" w:rsidRDefault="00B6701B" w:rsidP="00F519C6">
      <w:pPr>
        <w:pStyle w:val="TableFigureFooter"/>
        <w:keepNext/>
        <w:keepLines/>
      </w:pPr>
      <w:r>
        <w:rPr>
          <w:rFonts w:eastAsiaTheme="minorHAnsi"/>
        </w:rPr>
        <w:t>Va</w:t>
      </w:r>
      <w:r w:rsidR="006A4915">
        <w:rPr>
          <w:rFonts w:eastAsiaTheme="minorHAnsi"/>
        </w:rPr>
        <w:t>l</w:t>
      </w:r>
      <w:r>
        <w:rPr>
          <w:rFonts w:eastAsiaTheme="minorHAnsi"/>
        </w:rPr>
        <w:t xml:space="preserve">ues in italics signify that the analyses were conducted during the evaluation. </w:t>
      </w:r>
    </w:p>
    <w:p w14:paraId="69C0CAA2" w14:textId="77777777" w:rsidR="00CB64BC" w:rsidRPr="00C7203B" w:rsidRDefault="00CB64BC" w:rsidP="00CB64BC">
      <w:pPr>
        <w:pStyle w:val="3-BodyText"/>
        <w:ind w:left="720"/>
      </w:pPr>
      <w:r w:rsidRPr="00CB64BC">
        <w:rPr>
          <w:rFonts w:cs="Calibri"/>
          <w:snapToGrid/>
          <w:lang w:val="en-US"/>
        </w:rPr>
        <w:t xml:space="preserve">On the basis of </w:t>
      </w:r>
      <w:r>
        <w:rPr>
          <w:rFonts w:cs="Calibri"/>
          <w:snapToGrid/>
          <w:lang w:val="en-US"/>
        </w:rPr>
        <w:t xml:space="preserve">the </w:t>
      </w:r>
      <w:proofErr w:type="spellStart"/>
      <w:r>
        <w:rPr>
          <w:rFonts w:cs="Calibri"/>
          <w:snapToGrid/>
          <w:lang w:val="en-US"/>
        </w:rPr>
        <w:t>CheckMate</w:t>
      </w:r>
      <w:proofErr w:type="spellEnd"/>
      <w:r>
        <w:rPr>
          <w:rFonts w:cs="Calibri"/>
          <w:snapToGrid/>
          <w:lang w:val="en-US"/>
        </w:rPr>
        <w:t xml:space="preserve"> 649 trial </w:t>
      </w:r>
      <w:r w:rsidRPr="00CB64BC">
        <w:rPr>
          <w:rFonts w:cs="Calibri"/>
          <w:snapToGrid/>
          <w:lang w:val="en-US"/>
        </w:rPr>
        <w:t>presented by the submission,</w:t>
      </w:r>
      <w:r>
        <w:rPr>
          <w:rFonts w:cs="Calibri"/>
          <w:snapToGrid/>
          <w:lang w:val="en-US"/>
        </w:rPr>
        <w:t xml:space="preserve"> </w:t>
      </w:r>
      <w:r w:rsidR="00C7203B">
        <w:rPr>
          <w:rFonts w:cs="Calibri"/>
          <w:snapToGrid/>
          <w:lang w:val="en-US"/>
        </w:rPr>
        <w:t xml:space="preserve">for every 100 </w:t>
      </w:r>
      <w:r>
        <w:rPr>
          <w:rFonts w:cs="Calibri"/>
          <w:snapToGrid/>
          <w:lang w:val="en-US"/>
        </w:rPr>
        <w:t>patients treated with nivolumab plus chemotherapy</w:t>
      </w:r>
      <w:r w:rsidRPr="00CB64BC">
        <w:rPr>
          <w:rFonts w:cs="Calibri"/>
          <w:snapToGrid/>
          <w:lang w:val="en-US"/>
        </w:rPr>
        <w:t xml:space="preserve"> </w:t>
      </w:r>
      <w:r>
        <w:rPr>
          <w:rFonts w:cs="Calibri"/>
          <w:snapToGrid/>
          <w:lang w:val="en-US"/>
        </w:rPr>
        <w:t>instead of chemotherapy alone for a median duration of 12.1 months:</w:t>
      </w:r>
    </w:p>
    <w:p w14:paraId="242A914E" w14:textId="77777777" w:rsidR="00C7203B" w:rsidRPr="00CB64BC" w:rsidRDefault="00C7203B" w:rsidP="00BF6111">
      <w:pPr>
        <w:pStyle w:val="3-BodyText"/>
        <w:numPr>
          <w:ilvl w:val="0"/>
          <w:numId w:val="41"/>
        </w:numPr>
        <w:ind w:left="1077" w:hanging="357"/>
      </w:pPr>
      <w:r>
        <w:t>7 more patients were alive at 12 months</w:t>
      </w:r>
      <w:r w:rsidR="00D733EF">
        <w:t>.</w:t>
      </w:r>
    </w:p>
    <w:p w14:paraId="101518C2" w14:textId="77777777" w:rsidR="00FC1884" w:rsidRPr="00B50DB8" w:rsidRDefault="00EC00C9" w:rsidP="00652CC2">
      <w:pPr>
        <w:pStyle w:val="3-BodyText"/>
        <w:ind w:left="720"/>
      </w:pPr>
      <w:r w:rsidRPr="00CF6EE4">
        <w:t xml:space="preserve">On the basis of </w:t>
      </w:r>
      <w:r w:rsidR="0061000F">
        <w:t xml:space="preserve">the </w:t>
      </w:r>
      <w:proofErr w:type="spellStart"/>
      <w:r w:rsidR="0061000F">
        <w:t>CheckMate</w:t>
      </w:r>
      <w:proofErr w:type="spellEnd"/>
      <w:r w:rsidR="0061000F">
        <w:t xml:space="preserve"> 649 trial</w:t>
      </w:r>
      <w:r w:rsidRPr="00CF6EE4">
        <w:t xml:space="preserve"> presented by the submission, for every 100 patients treated with </w:t>
      </w:r>
      <w:r w:rsidR="0061000F">
        <w:t>nivolumab plus chemotherapy</w:t>
      </w:r>
      <w:r w:rsidRPr="00CF6EE4">
        <w:t xml:space="preserve"> in comparison </w:t>
      </w:r>
      <w:r w:rsidR="006D68FB">
        <w:t>with</w:t>
      </w:r>
      <w:r w:rsidR="006D68FB" w:rsidRPr="00CF6EE4">
        <w:t xml:space="preserve"> </w:t>
      </w:r>
      <w:r w:rsidR="00781627">
        <w:t>c</w:t>
      </w:r>
      <w:r w:rsidR="0061000F">
        <w:t>hemotherapy alone,</w:t>
      </w:r>
      <w:r w:rsidR="00422260">
        <w:t xml:space="preserve"> over a </w:t>
      </w:r>
      <w:r w:rsidR="0061000F">
        <w:t xml:space="preserve">median </w:t>
      </w:r>
      <w:r w:rsidR="00422260">
        <w:t xml:space="preserve">duration of </w:t>
      </w:r>
      <w:r w:rsidR="001C2A9B">
        <w:t>follow-up</w:t>
      </w:r>
      <w:r w:rsidR="0061000F">
        <w:t xml:space="preserve"> of 12.1 months:</w:t>
      </w:r>
    </w:p>
    <w:p w14:paraId="14637F87" w14:textId="77777777" w:rsidR="00781627" w:rsidRDefault="00FC1884" w:rsidP="006F6742">
      <w:pPr>
        <w:pStyle w:val="ListParagraph"/>
        <w:spacing w:after="0"/>
        <w:ind w:left="993" w:hanging="284"/>
      </w:pPr>
      <w:r w:rsidRPr="00CF6EE4">
        <w:t>Approximately 1</w:t>
      </w:r>
      <w:r w:rsidR="00781627">
        <w:t>5</w:t>
      </w:r>
      <w:r w:rsidRPr="00CF6EE4">
        <w:t xml:space="preserve"> additional </w:t>
      </w:r>
      <w:r w:rsidR="00C41768">
        <w:t xml:space="preserve">patients would experience </w:t>
      </w:r>
      <w:r w:rsidR="00781627">
        <w:t>a severe or life threatening or disabling adverse event (Grade 3 or 4)</w:t>
      </w:r>
      <w:r w:rsidR="006F6742">
        <w:t>;</w:t>
      </w:r>
    </w:p>
    <w:p w14:paraId="48202899" w14:textId="77777777" w:rsidR="00781627" w:rsidRDefault="00781627" w:rsidP="006F6742">
      <w:pPr>
        <w:pStyle w:val="ListBullet"/>
        <w:tabs>
          <w:tab w:val="clear" w:pos="360"/>
          <w:tab w:val="num" w:pos="720"/>
        </w:tabs>
        <w:ind w:left="993" w:hanging="284"/>
      </w:pPr>
      <w:r>
        <w:t>Approximately 4 additional patients would experience a nervous system disorder</w:t>
      </w:r>
      <w:r w:rsidR="006F6742">
        <w:t>;</w:t>
      </w:r>
    </w:p>
    <w:p w14:paraId="14C24529" w14:textId="77777777" w:rsidR="00781627" w:rsidRPr="00781627" w:rsidRDefault="00781627" w:rsidP="006F6742">
      <w:pPr>
        <w:pStyle w:val="ListBullet"/>
        <w:tabs>
          <w:tab w:val="clear" w:pos="360"/>
          <w:tab w:val="num" w:pos="720"/>
        </w:tabs>
        <w:ind w:left="993" w:hanging="284"/>
      </w:pPr>
      <w:r>
        <w:t xml:space="preserve">Approximately </w:t>
      </w:r>
      <w:r w:rsidR="00151C6B">
        <w:t xml:space="preserve">8 </w:t>
      </w:r>
      <w:r>
        <w:t>additional patients would experience a blood or lymphatic system disorder</w:t>
      </w:r>
      <w:r w:rsidR="006F6742">
        <w:t>;</w:t>
      </w:r>
    </w:p>
    <w:p w14:paraId="7BE3E59F" w14:textId="77777777" w:rsidR="00B60939" w:rsidRDefault="00FC1884" w:rsidP="006F6742">
      <w:pPr>
        <w:pStyle w:val="ListParagraph"/>
        <w:spacing w:after="0"/>
        <w:ind w:left="993" w:hanging="284"/>
      </w:pPr>
      <w:r w:rsidRPr="00CF6EE4">
        <w:t>Approximately</w:t>
      </w:r>
      <w:r w:rsidR="001C2A9B">
        <w:t xml:space="preserve"> </w:t>
      </w:r>
      <w:r w:rsidR="00151C6B">
        <w:t xml:space="preserve">4 </w:t>
      </w:r>
      <w:r w:rsidR="001C2A9B">
        <w:t xml:space="preserve">additional </w:t>
      </w:r>
      <w:r w:rsidR="00C41768">
        <w:t xml:space="preserve">patients would experience </w:t>
      </w:r>
      <w:r w:rsidR="00781627">
        <w:t>anaemia</w:t>
      </w:r>
      <w:r w:rsidR="006F6742">
        <w:t>; and</w:t>
      </w:r>
    </w:p>
    <w:p w14:paraId="70ECF9A6" w14:textId="77777777" w:rsidR="00781627" w:rsidRPr="00781627" w:rsidRDefault="00781627" w:rsidP="006F6742">
      <w:pPr>
        <w:pStyle w:val="ListBullet"/>
        <w:tabs>
          <w:tab w:val="clear" w:pos="360"/>
          <w:tab w:val="num" w:pos="720"/>
        </w:tabs>
        <w:ind w:left="993" w:hanging="284"/>
      </w:pPr>
      <w:r>
        <w:t>Approximately 4 additional patients would experience an infection or infestation</w:t>
      </w:r>
      <w:r w:rsidR="006F6742">
        <w:t xml:space="preserve">. </w:t>
      </w:r>
    </w:p>
    <w:p w14:paraId="4E323CEE" w14:textId="77777777" w:rsidR="00B60939" w:rsidRPr="00C9624D" w:rsidRDefault="00B60939" w:rsidP="00E9094A">
      <w:pPr>
        <w:pStyle w:val="4-SubsectionHeading"/>
      </w:pPr>
      <w:bookmarkStart w:id="32" w:name="_Toc22897644"/>
      <w:bookmarkStart w:id="33" w:name="_Toc69567425"/>
      <w:bookmarkStart w:id="34" w:name="_Toc72308986"/>
      <w:r w:rsidRPr="00C9624D">
        <w:t>Clinical claim</w:t>
      </w:r>
      <w:bookmarkEnd w:id="32"/>
      <w:bookmarkEnd w:id="33"/>
      <w:bookmarkEnd w:id="34"/>
    </w:p>
    <w:p w14:paraId="7E6920F2" w14:textId="77777777" w:rsidR="00025ACA" w:rsidRDefault="00B82350" w:rsidP="008F715A">
      <w:pPr>
        <w:pStyle w:val="3-BodyText"/>
        <w:ind w:left="720"/>
      </w:pPr>
      <w:r w:rsidRPr="00311DF9">
        <w:t>The submission described first line treatment with nivolumab in combination with chemotherapy as superior in terms of effectiveness compared with chemotherapy alone and inferior in terms of safety compared to chemotherapy alone in patients with non-HER2 positive advanced or metastatic gastric or gastro-oesophageal junction or oesophageal adenocarcinoma.</w:t>
      </w:r>
    </w:p>
    <w:p w14:paraId="7043DDAD" w14:textId="7350D0DA" w:rsidR="00B82350" w:rsidRPr="00311DF9" w:rsidRDefault="00B82350" w:rsidP="008F715A">
      <w:pPr>
        <w:pStyle w:val="3-BodyText"/>
        <w:ind w:left="720"/>
      </w:pPr>
      <w:r w:rsidRPr="00311DF9">
        <w:t xml:space="preserve">The submission also stated that treatment with nivolumab plus chemotherapy is also associated with improvements in </w:t>
      </w:r>
      <w:r w:rsidR="00806FD5" w:rsidRPr="00311DF9">
        <w:t>patient reported outcomes (PROs)</w:t>
      </w:r>
      <w:r w:rsidRPr="00311DF9">
        <w:t xml:space="preserve">, specifically a clinically meaningful delay in the deterioration of disease-related symptoms while maintaining </w:t>
      </w:r>
      <w:r w:rsidR="00D939B9" w:rsidRPr="00311DF9">
        <w:t>health related quality of life (</w:t>
      </w:r>
      <w:proofErr w:type="spellStart"/>
      <w:r w:rsidRPr="00311DF9">
        <w:t>HRQoL</w:t>
      </w:r>
      <w:proofErr w:type="spellEnd"/>
      <w:r w:rsidR="00D939B9" w:rsidRPr="00311DF9">
        <w:t>)</w:t>
      </w:r>
      <w:r w:rsidRPr="00311DF9">
        <w:t xml:space="preserve"> compared to chemotherapy. </w:t>
      </w:r>
      <w:r w:rsidR="00615288">
        <w:t xml:space="preserve">The PBAC noted patients treated with nivolumab plus chemotherapy </w:t>
      </w:r>
      <w:r w:rsidR="00375690" w:rsidRPr="00375690">
        <w:t>had</w:t>
      </w:r>
      <w:r w:rsidR="00615288">
        <w:t xml:space="preserve"> a</w:t>
      </w:r>
      <w:r w:rsidR="00375690" w:rsidRPr="00375690">
        <w:t xml:space="preserve"> decreased risk of time to symptom deterioration compared to the chemotherapy alone group while on </w:t>
      </w:r>
      <w:r w:rsidR="00615288">
        <w:t xml:space="preserve">treatment (HR 0.77, 95% CI: 0.63, </w:t>
      </w:r>
      <w:r w:rsidR="00375690" w:rsidRPr="00375690">
        <w:t xml:space="preserve">0.95). </w:t>
      </w:r>
    </w:p>
    <w:p w14:paraId="769C1EAB" w14:textId="77777777" w:rsidR="00B82350" w:rsidRPr="00311DF9" w:rsidRDefault="00513072" w:rsidP="00652CC2">
      <w:pPr>
        <w:pStyle w:val="3-BodyText"/>
        <w:ind w:left="720"/>
      </w:pPr>
      <w:bookmarkStart w:id="35" w:name="_Ref69750340"/>
      <w:r w:rsidRPr="00311DF9">
        <w:t>T</w:t>
      </w:r>
      <w:r w:rsidR="00B82350" w:rsidRPr="00311DF9">
        <w:t xml:space="preserve">he </w:t>
      </w:r>
      <w:r w:rsidR="00E56CDA">
        <w:t xml:space="preserve">evaluation considered the </w:t>
      </w:r>
      <w:r w:rsidR="00B82350" w:rsidRPr="00311DF9">
        <w:t xml:space="preserve">submission’s claim of superior efficacy may not be adequately supported </w:t>
      </w:r>
      <w:r w:rsidRPr="00311DF9">
        <w:t xml:space="preserve">in all patients </w:t>
      </w:r>
      <w:r w:rsidR="00B82350" w:rsidRPr="00311DF9">
        <w:t>and may require further consideration as:</w:t>
      </w:r>
      <w:bookmarkEnd w:id="35"/>
    </w:p>
    <w:p w14:paraId="5E518AD1" w14:textId="77777777" w:rsidR="00806FD5" w:rsidRPr="00311DF9" w:rsidRDefault="00806FD5" w:rsidP="006A4915">
      <w:pPr>
        <w:pStyle w:val="ListParagraph"/>
        <w:ind w:left="1134" w:hanging="425"/>
      </w:pPr>
      <w:r w:rsidRPr="00311DF9">
        <w:t xml:space="preserve">The submission is requesting a listing for all patients irrespective of PD-L1 CPS status. However, in </w:t>
      </w:r>
      <w:proofErr w:type="spellStart"/>
      <w:r w:rsidRPr="00311DF9">
        <w:t>CheckMate</w:t>
      </w:r>
      <w:proofErr w:type="spellEnd"/>
      <w:r w:rsidRPr="00311DF9">
        <w:t xml:space="preserve"> 649, </w:t>
      </w:r>
      <w:r w:rsidR="00A4122B" w:rsidRPr="00311DF9">
        <w:t xml:space="preserve">a </w:t>
      </w:r>
      <w:r w:rsidRPr="00311DF9">
        <w:t>test for interaction conducted during the evaluation indicated that CPS &lt;5 was a treatment effect modifier (p=0.0374), with nivolumab + chemotherapy being statistically significantly more effective compared to chemotherapy in patients with CPS ≥5 (OS HR = 0.71, 95% CI 0.59, 0.86) but not in patients with CPS &lt;5 (OS HR = 0.94, 95%</w:t>
      </w:r>
      <w:r w:rsidR="00A4122B" w:rsidRPr="00311DF9">
        <w:t xml:space="preserve"> </w:t>
      </w:r>
      <w:r w:rsidRPr="00311DF9">
        <w:t xml:space="preserve">CI 0.78, 1.13). While it is acknowledged that the trial may not be powered to detect such differences, consideration as to whether restricting treatment to patients with PD-L1 CPS ≥5 may be prudent. No reliable PD-L1 distribution in the Australian population has been discussed. </w:t>
      </w:r>
      <w:r w:rsidR="006A4915" w:rsidRPr="00311DF9">
        <w:t xml:space="preserve">If the proportion of patients with CPS ≥5 in the general population were lower than in </w:t>
      </w:r>
      <w:proofErr w:type="spellStart"/>
      <w:r w:rsidR="006A4915" w:rsidRPr="00311DF9">
        <w:t>CheckMate</w:t>
      </w:r>
      <w:proofErr w:type="spellEnd"/>
      <w:r w:rsidR="006A4915" w:rsidRPr="00311DF9">
        <w:t xml:space="preserve"> 649 (60%), then the overall OS benefit in the general population may be lower than reported in </w:t>
      </w:r>
      <w:proofErr w:type="spellStart"/>
      <w:r w:rsidR="006A4915" w:rsidRPr="00311DF9">
        <w:t>CheckMate</w:t>
      </w:r>
      <w:proofErr w:type="spellEnd"/>
      <w:r w:rsidR="006A4915" w:rsidRPr="00311DF9">
        <w:t xml:space="preserve"> 649</w:t>
      </w:r>
      <w:r w:rsidRPr="00311DF9">
        <w:t>; and</w:t>
      </w:r>
    </w:p>
    <w:p w14:paraId="79476823" w14:textId="77777777" w:rsidR="00B82350" w:rsidRPr="00311DF9" w:rsidRDefault="00B82350" w:rsidP="00652CC2">
      <w:pPr>
        <w:pStyle w:val="3-BodyText"/>
        <w:ind w:left="720"/>
        <w:rPr>
          <w:rFonts w:eastAsia="Calibri"/>
        </w:rPr>
      </w:pPr>
      <w:bookmarkStart w:id="36" w:name="_Ref69750741"/>
      <w:r w:rsidRPr="00311DF9">
        <w:t xml:space="preserve">The submission’s </w:t>
      </w:r>
      <w:r w:rsidR="00513072" w:rsidRPr="00311DF9">
        <w:t>claim</w:t>
      </w:r>
      <w:r w:rsidRPr="00311DF9">
        <w:t xml:space="preserve"> that nivolumab plus chemotherapy was associated with improvements in PROs may </w:t>
      </w:r>
      <w:r w:rsidR="00EC5A4C" w:rsidRPr="00311DF9">
        <w:t xml:space="preserve">not </w:t>
      </w:r>
      <w:r w:rsidRPr="00311DF9">
        <w:t>be reasonable.</w:t>
      </w:r>
      <w:r w:rsidR="00EC5A4C" w:rsidRPr="00311DF9">
        <w:t xml:space="preserve"> T</w:t>
      </w:r>
      <w:r w:rsidRPr="00311DF9">
        <w:t>hese outcomes were generally exploratory outcomes, and consequently</w:t>
      </w:r>
      <w:r w:rsidR="00A4122B" w:rsidRPr="00311DF9">
        <w:t>,</w:t>
      </w:r>
      <w:r w:rsidRPr="00311DF9">
        <w:t xml:space="preserve"> improvements in quality of life cannot reasonably be claimed. Specifically,</w:t>
      </w:r>
      <w:r w:rsidR="00A4122B" w:rsidRPr="00311DF9">
        <w:t xml:space="preserve"> the</w:t>
      </w:r>
      <w:r w:rsidRPr="00311DF9">
        <w:t xml:space="preserve"> basis of the claim regarding the EQ-5D-3L results (included in the model) was that there were clinically meaningful improvements from baseline to study week in question in slightly more instances with the nivolumab plus chemotherapy group compared to chemotherapy alone. This is neither statistically robust, nor an inherently valid comparison.</w:t>
      </w:r>
      <w:bookmarkEnd w:id="36"/>
      <w:r w:rsidRPr="00311DF9">
        <w:t xml:space="preserve"> </w:t>
      </w:r>
    </w:p>
    <w:p w14:paraId="4372FC5A" w14:textId="77777777" w:rsidR="00104089" w:rsidRPr="002E6DAE" w:rsidRDefault="00104089" w:rsidP="00E56CDA">
      <w:pPr>
        <w:pStyle w:val="3-BodyText"/>
        <w:ind w:left="709"/>
        <w:rPr>
          <w:rFonts w:eastAsia="Calibri"/>
        </w:rPr>
      </w:pPr>
      <w:r w:rsidRPr="002E6DAE">
        <w:rPr>
          <w:rFonts w:eastAsia="Calibri"/>
        </w:rPr>
        <w:t xml:space="preserve">The </w:t>
      </w:r>
      <w:r w:rsidR="00E56CDA">
        <w:rPr>
          <w:rFonts w:eastAsia="Calibri"/>
        </w:rPr>
        <w:t xml:space="preserve">PBAC agreed with the </w:t>
      </w:r>
      <w:r w:rsidRPr="002E6DAE">
        <w:rPr>
          <w:rFonts w:eastAsia="Calibri"/>
        </w:rPr>
        <w:t>ESC</w:t>
      </w:r>
      <w:r w:rsidR="00CB1A32" w:rsidRPr="002E6DAE">
        <w:rPr>
          <w:rFonts w:eastAsia="Calibri"/>
        </w:rPr>
        <w:t xml:space="preserve"> </w:t>
      </w:r>
      <w:r w:rsidR="00E56CDA">
        <w:rPr>
          <w:rFonts w:eastAsia="Calibri"/>
        </w:rPr>
        <w:t xml:space="preserve">that </w:t>
      </w:r>
      <w:r w:rsidR="00CB1A32" w:rsidRPr="002E6DAE">
        <w:rPr>
          <w:rFonts w:eastAsia="Calibri"/>
        </w:rPr>
        <w:t>the submission’s claim of superior effectiveness was likely to be reasonable and noted a median incremental OS benefit of 2.</w:t>
      </w:r>
      <w:r w:rsidR="00CB0798" w:rsidRPr="002E6DAE">
        <w:rPr>
          <w:rFonts w:eastAsia="Calibri"/>
        </w:rPr>
        <w:t>3</w:t>
      </w:r>
      <w:r w:rsidR="00CB1A32" w:rsidRPr="002E6DAE">
        <w:rPr>
          <w:rFonts w:eastAsia="Calibri"/>
        </w:rPr>
        <w:t xml:space="preserve"> months </w:t>
      </w:r>
      <w:r w:rsidR="00CB0798" w:rsidRPr="002E6DAE">
        <w:rPr>
          <w:rFonts w:eastAsia="Calibri"/>
        </w:rPr>
        <w:t xml:space="preserve">was clinically meaningful </w:t>
      </w:r>
      <w:r w:rsidR="00CB1A32" w:rsidRPr="002E6DAE">
        <w:rPr>
          <w:rFonts w:eastAsia="Calibri"/>
        </w:rPr>
        <w:t xml:space="preserve">in </w:t>
      </w:r>
      <w:r w:rsidR="00CB0798" w:rsidRPr="002E6DAE">
        <w:rPr>
          <w:rFonts w:eastAsia="Calibri"/>
        </w:rPr>
        <w:t>view of the poor prognosis in this patient population.</w:t>
      </w:r>
      <w:r w:rsidR="00CB1A32" w:rsidRPr="002E6DAE">
        <w:rPr>
          <w:rFonts w:eastAsia="Calibri"/>
        </w:rPr>
        <w:t xml:space="preserve"> </w:t>
      </w:r>
      <w:r w:rsidR="00E56CDA" w:rsidRPr="00E56CDA">
        <w:rPr>
          <w:rFonts w:eastAsia="Calibri"/>
        </w:rPr>
        <w:t>The PBAC considered the magnitude of the clinical benefit in the Australian population that would be treated with</w:t>
      </w:r>
      <w:r w:rsidR="00E56CDA">
        <w:rPr>
          <w:rFonts w:eastAsia="Calibri"/>
        </w:rPr>
        <w:t xml:space="preserve"> nivolumab</w:t>
      </w:r>
      <w:r w:rsidR="00E56CDA" w:rsidRPr="00E56CDA">
        <w:rPr>
          <w:rFonts w:eastAsia="Calibri"/>
        </w:rPr>
        <w:t xml:space="preserve"> is uncertain due to the proportion</w:t>
      </w:r>
      <w:r w:rsidR="00E56CDA">
        <w:rPr>
          <w:rFonts w:eastAsia="Calibri"/>
        </w:rPr>
        <w:t xml:space="preserve"> of patients with PD-L1 CPS &lt;5/≥5 </w:t>
      </w:r>
      <w:r w:rsidR="00E56CDA" w:rsidRPr="00E56CDA">
        <w:rPr>
          <w:rFonts w:eastAsia="Calibri"/>
        </w:rPr>
        <w:t>being unknown for the Australian population.</w:t>
      </w:r>
    </w:p>
    <w:p w14:paraId="2D47E96E" w14:textId="77777777" w:rsidR="00B82350" w:rsidRPr="00E56CDA" w:rsidRDefault="00F62B33" w:rsidP="0085166A">
      <w:pPr>
        <w:pStyle w:val="3-BodyText"/>
        <w:ind w:left="709"/>
        <w:rPr>
          <w:rFonts w:eastAsia="Calibri"/>
        </w:rPr>
      </w:pPr>
      <w:r w:rsidRPr="002E6DAE">
        <w:t xml:space="preserve">The </w:t>
      </w:r>
      <w:r w:rsidR="00E56CDA">
        <w:t xml:space="preserve">PBAC agreed with the </w:t>
      </w:r>
      <w:r w:rsidRPr="002E6DAE">
        <w:t xml:space="preserve">ESC </w:t>
      </w:r>
      <w:r w:rsidR="00E56CDA">
        <w:t xml:space="preserve">that </w:t>
      </w:r>
      <w:r w:rsidRPr="002E6DAE">
        <w:t>t</w:t>
      </w:r>
      <w:r w:rsidR="00B82350" w:rsidRPr="002E6DAE">
        <w:t xml:space="preserve">he submission’s claim of inferior </w:t>
      </w:r>
      <w:r w:rsidR="0085166A" w:rsidRPr="002E6DAE">
        <w:t xml:space="preserve">but manageable </w:t>
      </w:r>
      <w:r w:rsidR="00B82350" w:rsidRPr="002E6DAE">
        <w:t xml:space="preserve">safety was reasonable. </w:t>
      </w:r>
    </w:p>
    <w:p w14:paraId="3AD2E78B" w14:textId="77777777" w:rsidR="00B60939" w:rsidRPr="00C9624D" w:rsidRDefault="00B60939" w:rsidP="00E9094A">
      <w:pPr>
        <w:pStyle w:val="4-SubsectionHeading"/>
      </w:pPr>
      <w:bookmarkStart w:id="37" w:name="_Toc22897645"/>
      <w:bookmarkStart w:id="38" w:name="_Toc69567426"/>
      <w:bookmarkStart w:id="39" w:name="_Toc72308987"/>
      <w:r w:rsidRPr="00C9624D">
        <w:t>Economic analysis</w:t>
      </w:r>
      <w:bookmarkEnd w:id="37"/>
      <w:bookmarkEnd w:id="38"/>
      <w:bookmarkEnd w:id="39"/>
      <w:r w:rsidR="00491B3A" w:rsidRPr="00C9624D">
        <w:t xml:space="preserve"> </w:t>
      </w:r>
    </w:p>
    <w:p w14:paraId="48099D62" w14:textId="77777777" w:rsidR="005747A5" w:rsidRPr="00CF1CF6" w:rsidRDefault="005747A5" w:rsidP="00CF1CF6">
      <w:pPr>
        <w:pStyle w:val="3-BodyText"/>
        <w:ind w:left="720"/>
        <w:rPr>
          <w:rFonts w:cstheme="minorHAnsi"/>
          <w:b/>
          <w:bCs/>
        </w:rPr>
      </w:pPr>
      <w:r w:rsidRPr="005747A5">
        <w:t xml:space="preserve">The submission presented a </w:t>
      </w:r>
      <w:r w:rsidRPr="00EC5A4C">
        <w:t xml:space="preserve">cost-utility analysis. </w:t>
      </w:r>
      <w:r w:rsidR="002A0BA9" w:rsidRPr="00CF1CF6">
        <w:rPr>
          <w:rStyle w:val="CommentReference"/>
          <w:rFonts w:asciiTheme="minorHAnsi" w:hAnsiTheme="minorHAnsi" w:cstheme="minorHAnsi"/>
          <w:b w:val="0"/>
          <w:sz w:val="24"/>
          <w:szCs w:val="24"/>
        </w:rPr>
        <w:t xml:space="preserve">Table </w:t>
      </w:r>
      <w:r w:rsidR="002A0BA9" w:rsidRPr="00CF1CF6">
        <w:rPr>
          <w:rStyle w:val="CommentReference"/>
          <w:rFonts w:asciiTheme="minorHAnsi" w:hAnsiTheme="minorHAnsi" w:cstheme="minorHAnsi"/>
          <w:b w:val="0"/>
          <w:noProof/>
          <w:sz w:val="24"/>
          <w:szCs w:val="24"/>
        </w:rPr>
        <w:t>9</w:t>
      </w:r>
      <w:r w:rsidRPr="00CF1CF6">
        <w:rPr>
          <w:rFonts w:cstheme="minorHAnsi"/>
        </w:rPr>
        <w:t xml:space="preserve"> presents a summary of the model structure, key inputs and rationale.</w:t>
      </w:r>
    </w:p>
    <w:p w14:paraId="33E782EE" w14:textId="77777777" w:rsidR="00275C5A" w:rsidRPr="00641FB3" w:rsidRDefault="005747A5" w:rsidP="000B55F1">
      <w:pPr>
        <w:pStyle w:val="TableFigureHeading"/>
        <w:keepLines/>
        <w:rPr>
          <w:rStyle w:val="CommentReference"/>
          <w:b/>
          <w:szCs w:val="24"/>
        </w:rPr>
      </w:pPr>
      <w:bookmarkStart w:id="40" w:name="_Ref69458422"/>
      <w:r w:rsidRPr="00781627">
        <w:rPr>
          <w:rStyle w:val="CommentReference"/>
          <w:b/>
          <w:szCs w:val="24"/>
        </w:rPr>
        <w:t xml:space="preserve">Table </w:t>
      </w:r>
      <w:r w:rsidR="002A0BA9">
        <w:rPr>
          <w:rStyle w:val="CommentReference"/>
          <w:b/>
          <w:noProof/>
          <w:szCs w:val="24"/>
        </w:rPr>
        <w:t>9</w:t>
      </w:r>
      <w:bookmarkEnd w:id="40"/>
      <w:r w:rsidRPr="00781627">
        <w:rPr>
          <w:rStyle w:val="CommentReference"/>
          <w:b/>
          <w:szCs w:val="24"/>
        </w:rPr>
        <w:t>:</w:t>
      </w:r>
      <w:r>
        <w:rPr>
          <w:rStyle w:val="CommentReference"/>
          <w:bCs w:val="0"/>
          <w:i/>
          <w:iCs/>
          <w:szCs w:val="24"/>
        </w:rPr>
        <w:t xml:space="preserve"> </w:t>
      </w:r>
      <w:r w:rsidR="00275C5A" w:rsidRPr="00641FB3">
        <w:rPr>
          <w:rStyle w:val="CommentReference"/>
          <w:b/>
          <w:szCs w:val="24"/>
        </w:rPr>
        <w:t>Summary of model structure</w:t>
      </w:r>
      <w:r w:rsidR="00184B0E" w:rsidRPr="00641FB3">
        <w:rPr>
          <w:rStyle w:val="CommentReference"/>
          <w:b/>
          <w:szCs w:val="24"/>
        </w:rPr>
        <w:t>, key inputs</w:t>
      </w:r>
      <w:r w:rsidR="00275C5A" w:rsidRPr="00641FB3">
        <w:rPr>
          <w:rStyle w:val="CommentReference"/>
          <w:b/>
          <w:szCs w:val="24"/>
        </w:rPr>
        <w:t xml:space="preserve"> and rationale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Caption w:val="Table 9: Summary of model structure, key inputs and rationale"/>
      </w:tblPr>
      <w:tblGrid>
        <w:gridCol w:w="2518"/>
        <w:gridCol w:w="6499"/>
      </w:tblGrid>
      <w:tr w:rsidR="00275C5A" w:rsidRPr="00311DF9" w14:paraId="188985D6" w14:textId="77777777" w:rsidTr="006B35E6">
        <w:trPr>
          <w:tblHeader/>
        </w:trPr>
        <w:tc>
          <w:tcPr>
            <w:tcW w:w="1396" w:type="pct"/>
            <w:shd w:val="clear" w:color="auto" w:fill="auto"/>
            <w:vAlign w:val="center"/>
          </w:tcPr>
          <w:p w14:paraId="5396C57E" w14:textId="77777777" w:rsidR="00275C5A" w:rsidRPr="00311DF9" w:rsidRDefault="00275C5A" w:rsidP="000B55F1">
            <w:pPr>
              <w:pStyle w:val="In-tableHeading"/>
              <w:keepLines/>
            </w:pPr>
            <w:r w:rsidRPr="00311DF9">
              <w:t>Component</w:t>
            </w:r>
          </w:p>
        </w:tc>
        <w:tc>
          <w:tcPr>
            <w:tcW w:w="3604" w:type="pct"/>
            <w:shd w:val="clear" w:color="auto" w:fill="auto"/>
            <w:vAlign w:val="center"/>
          </w:tcPr>
          <w:p w14:paraId="5A23553A" w14:textId="77777777" w:rsidR="00275C5A" w:rsidRPr="00311DF9" w:rsidRDefault="00275C5A" w:rsidP="000B55F1">
            <w:pPr>
              <w:pStyle w:val="In-tableHeading"/>
              <w:keepLines/>
            </w:pPr>
            <w:r w:rsidRPr="00311DF9">
              <w:t>Summary</w:t>
            </w:r>
          </w:p>
        </w:tc>
      </w:tr>
      <w:tr w:rsidR="000A6039" w:rsidRPr="00311DF9" w14:paraId="7F59C561" w14:textId="77777777" w:rsidTr="006B35E6">
        <w:tc>
          <w:tcPr>
            <w:tcW w:w="1396" w:type="pct"/>
            <w:shd w:val="clear" w:color="auto" w:fill="auto"/>
            <w:vAlign w:val="center"/>
          </w:tcPr>
          <w:p w14:paraId="6EE02E91" w14:textId="77777777" w:rsidR="000A6039" w:rsidRPr="00311DF9" w:rsidRDefault="000A6039" w:rsidP="000B55F1">
            <w:pPr>
              <w:pStyle w:val="TableText0"/>
              <w:keepLines/>
            </w:pPr>
            <w:r w:rsidRPr="00311DF9">
              <w:t>Treatments</w:t>
            </w:r>
          </w:p>
        </w:tc>
        <w:tc>
          <w:tcPr>
            <w:tcW w:w="3604" w:type="pct"/>
            <w:shd w:val="clear" w:color="auto" w:fill="auto"/>
            <w:vAlign w:val="center"/>
          </w:tcPr>
          <w:p w14:paraId="296769FD" w14:textId="77777777" w:rsidR="000A6039" w:rsidRPr="00311DF9" w:rsidRDefault="005747A5" w:rsidP="000B55F1">
            <w:pPr>
              <w:pStyle w:val="TableText0"/>
              <w:keepLines/>
            </w:pPr>
            <w:r w:rsidRPr="00311DF9">
              <w:t xml:space="preserve">Nivolumab plus chemotherapy </w:t>
            </w:r>
            <w:r w:rsidR="00F532C6" w:rsidRPr="00311DF9">
              <w:t>versus</w:t>
            </w:r>
            <w:r w:rsidRPr="00311DF9">
              <w:t xml:space="preserve"> </w:t>
            </w:r>
            <w:r w:rsidR="00F532C6" w:rsidRPr="00311DF9">
              <w:t>chemotherapy</w:t>
            </w:r>
            <w:r w:rsidRPr="00311DF9">
              <w:t xml:space="preserve"> </w:t>
            </w:r>
          </w:p>
        </w:tc>
      </w:tr>
      <w:tr w:rsidR="00275C5A" w:rsidRPr="00311DF9" w14:paraId="5256A763" w14:textId="77777777" w:rsidTr="006B35E6">
        <w:tc>
          <w:tcPr>
            <w:tcW w:w="1396" w:type="pct"/>
            <w:shd w:val="clear" w:color="auto" w:fill="auto"/>
            <w:vAlign w:val="center"/>
          </w:tcPr>
          <w:p w14:paraId="31F61C77" w14:textId="77777777" w:rsidR="00275C5A" w:rsidRPr="00311DF9" w:rsidRDefault="00275C5A" w:rsidP="000B55F1">
            <w:pPr>
              <w:pStyle w:val="TableText0"/>
              <w:keepLines/>
            </w:pPr>
            <w:r w:rsidRPr="00311DF9">
              <w:t>Time horizon</w:t>
            </w:r>
          </w:p>
        </w:tc>
        <w:tc>
          <w:tcPr>
            <w:tcW w:w="3604" w:type="pct"/>
            <w:shd w:val="clear" w:color="auto" w:fill="auto"/>
            <w:vAlign w:val="center"/>
          </w:tcPr>
          <w:p w14:paraId="49AECF61" w14:textId="77777777" w:rsidR="00275C5A" w:rsidRPr="00311DF9" w:rsidRDefault="005747A5" w:rsidP="000B55F1">
            <w:pPr>
              <w:pStyle w:val="TableText0"/>
              <w:keepLines/>
            </w:pPr>
            <w:r w:rsidRPr="00311DF9">
              <w:t>7.5 years based on a median of 12.1 months of overall survival follow up</w:t>
            </w:r>
          </w:p>
        </w:tc>
      </w:tr>
      <w:tr w:rsidR="00275C5A" w:rsidRPr="00311DF9" w14:paraId="337628D5" w14:textId="77777777" w:rsidTr="006B35E6">
        <w:tc>
          <w:tcPr>
            <w:tcW w:w="1396" w:type="pct"/>
            <w:shd w:val="clear" w:color="auto" w:fill="auto"/>
            <w:vAlign w:val="center"/>
          </w:tcPr>
          <w:p w14:paraId="61605110" w14:textId="77777777" w:rsidR="00275C5A" w:rsidRPr="00311DF9" w:rsidRDefault="00275C5A" w:rsidP="000B55F1">
            <w:pPr>
              <w:pStyle w:val="TableText0"/>
              <w:keepLines/>
            </w:pPr>
            <w:r w:rsidRPr="00311DF9">
              <w:t>Outcomes</w:t>
            </w:r>
          </w:p>
        </w:tc>
        <w:tc>
          <w:tcPr>
            <w:tcW w:w="3604" w:type="pct"/>
            <w:shd w:val="clear" w:color="auto" w:fill="auto"/>
            <w:vAlign w:val="center"/>
          </w:tcPr>
          <w:p w14:paraId="4712B352" w14:textId="77777777" w:rsidR="00275C5A" w:rsidRPr="00311DF9" w:rsidRDefault="005747A5" w:rsidP="000B55F1">
            <w:pPr>
              <w:pStyle w:val="TableText0"/>
              <w:keepLines/>
            </w:pPr>
            <w:r w:rsidRPr="00311DF9">
              <w:t>LYG, QALY</w:t>
            </w:r>
          </w:p>
        </w:tc>
      </w:tr>
      <w:tr w:rsidR="00275C5A" w:rsidRPr="00311DF9" w14:paraId="085553E2" w14:textId="77777777" w:rsidTr="006B35E6">
        <w:tc>
          <w:tcPr>
            <w:tcW w:w="1396" w:type="pct"/>
            <w:shd w:val="clear" w:color="auto" w:fill="auto"/>
            <w:vAlign w:val="center"/>
          </w:tcPr>
          <w:p w14:paraId="57093743" w14:textId="77777777" w:rsidR="00275C5A" w:rsidRPr="00311DF9" w:rsidRDefault="00275C5A" w:rsidP="000B55F1">
            <w:pPr>
              <w:pStyle w:val="TableText0"/>
              <w:keepLines/>
            </w:pPr>
            <w:r w:rsidRPr="00311DF9">
              <w:t>Methods used to generate results</w:t>
            </w:r>
          </w:p>
        </w:tc>
        <w:tc>
          <w:tcPr>
            <w:tcW w:w="3604" w:type="pct"/>
            <w:shd w:val="clear" w:color="auto" w:fill="auto"/>
            <w:vAlign w:val="center"/>
          </w:tcPr>
          <w:p w14:paraId="1799F4E9" w14:textId="77777777" w:rsidR="00275C5A" w:rsidRPr="00311DF9" w:rsidRDefault="00081E63" w:rsidP="000B55F1">
            <w:pPr>
              <w:pStyle w:val="TableText0"/>
              <w:keepLines/>
            </w:pPr>
            <w:r w:rsidRPr="00311DF9">
              <w:t xml:space="preserve">Partitioned survival model </w:t>
            </w:r>
          </w:p>
        </w:tc>
      </w:tr>
      <w:tr w:rsidR="00275C5A" w:rsidRPr="00311DF9" w14:paraId="1CB2FE44" w14:textId="77777777" w:rsidTr="006B35E6">
        <w:tc>
          <w:tcPr>
            <w:tcW w:w="1396" w:type="pct"/>
            <w:shd w:val="clear" w:color="auto" w:fill="auto"/>
            <w:vAlign w:val="center"/>
          </w:tcPr>
          <w:p w14:paraId="4C7FB248" w14:textId="77777777" w:rsidR="00275C5A" w:rsidRPr="00311DF9" w:rsidRDefault="00275C5A" w:rsidP="000B55F1">
            <w:pPr>
              <w:pStyle w:val="TableText0"/>
              <w:keepLines/>
            </w:pPr>
            <w:r w:rsidRPr="00311DF9">
              <w:t>Health states</w:t>
            </w:r>
          </w:p>
        </w:tc>
        <w:tc>
          <w:tcPr>
            <w:tcW w:w="3604" w:type="pct"/>
            <w:shd w:val="clear" w:color="auto" w:fill="auto"/>
            <w:vAlign w:val="center"/>
          </w:tcPr>
          <w:p w14:paraId="59E7624D" w14:textId="77777777" w:rsidR="00275C5A" w:rsidRPr="00311DF9" w:rsidRDefault="005747A5" w:rsidP="000B55F1">
            <w:pPr>
              <w:pStyle w:val="TableText0"/>
              <w:keepLines/>
            </w:pPr>
            <w:r w:rsidRPr="00311DF9">
              <w:t>Progression free, progressed, dead</w:t>
            </w:r>
          </w:p>
        </w:tc>
      </w:tr>
      <w:tr w:rsidR="00275C5A" w:rsidRPr="00311DF9" w14:paraId="423091E1" w14:textId="77777777" w:rsidTr="006B35E6">
        <w:tc>
          <w:tcPr>
            <w:tcW w:w="1396" w:type="pct"/>
            <w:shd w:val="clear" w:color="auto" w:fill="auto"/>
            <w:vAlign w:val="center"/>
          </w:tcPr>
          <w:p w14:paraId="19D12576" w14:textId="77777777" w:rsidR="00275C5A" w:rsidRPr="00311DF9" w:rsidRDefault="00275C5A" w:rsidP="000B55F1">
            <w:pPr>
              <w:pStyle w:val="TableText0"/>
              <w:keepLines/>
            </w:pPr>
            <w:r w:rsidRPr="00311DF9">
              <w:t>Cycle length</w:t>
            </w:r>
          </w:p>
        </w:tc>
        <w:tc>
          <w:tcPr>
            <w:tcW w:w="3604" w:type="pct"/>
            <w:shd w:val="clear" w:color="auto" w:fill="auto"/>
            <w:vAlign w:val="center"/>
          </w:tcPr>
          <w:p w14:paraId="0796E089" w14:textId="77777777" w:rsidR="00275C5A" w:rsidRPr="00311DF9" w:rsidRDefault="005747A5" w:rsidP="000B55F1">
            <w:pPr>
              <w:pStyle w:val="TableText0"/>
              <w:keepLines/>
            </w:pPr>
            <w:r w:rsidRPr="00311DF9">
              <w:t>1 week</w:t>
            </w:r>
          </w:p>
        </w:tc>
      </w:tr>
      <w:tr w:rsidR="00275C5A" w:rsidRPr="00311DF9" w14:paraId="6713527C" w14:textId="77777777" w:rsidTr="000B55F1">
        <w:trPr>
          <w:trHeight w:val="60"/>
        </w:trPr>
        <w:tc>
          <w:tcPr>
            <w:tcW w:w="1396" w:type="pct"/>
            <w:shd w:val="clear" w:color="auto" w:fill="auto"/>
            <w:vAlign w:val="center"/>
          </w:tcPr>
          <w:p w14:paraId="5C5941B9" w14:textId="77777777" w:rsidR="00081E63" w:rsidRPr="00311DF9" w:rsidRDefault="00081E63" w:rsidP="000B55F1">
            <w:pPr>
              <w:pStyle w:val="TableText0"/>
              <w:keepLines/>
            </w:pPr>
            <w:r w:rsidRPr="00311DF9">
              <w:t xml:space="preserve">Allocation to health states </w:t>
            </w:r>
          </w:p>
        </w:tc>
        <w:tc>
          <w:tcPr>
            <w:tcW w:w="3604" w:type="pct"/>
            <w:shd w:val="clear" w:color="auto" w:fill="auto"/>
            <w:vAlign w:val="center"/>
          </w:tcPr>
          <w:p w14:paraId="673B4001" w14:textId="77777777" w:rsidR="00275C5A" w:rsidRPr="00311DF9" w:rsidRDefault="00A4122B" w:rsidP="000B55F1">
            <w:pPr>
              <w:pStyle w:val="TableText0"/>
              <w:keepLines/>
            </w:pPr>
            <w:r w:rsidRPr="00311DF9">
              <w:t>B</w:t>
            </w:r>
            <w:r w:rsidR="004725DF" w:rsidRPr="00311DF9">
              <w:t xml:space="preserve">ased on PFS and OS from </w:t>
            </w:r>
            <w:proofErr w:type="spellStart"/>
            <w:r w:rsidR="004725DF" w:rsidRPr="00311DF9">
              <w:t>CheckMate</w:t>
            </w:r>
            <w:proofErr w:type="spellEnd"/>
            <w:r w:rsidR="004725DF" w:rsidRPr="00311DF9">
              <w:t xml:space="preserve"> 649.</w:t>
            </w:r>
          </w:p>
        </w:tc>
      </w:tr>
      <w:tr w:rsidR="00501854" w:rsidRPr="00311DF9" w14:paraId="73B59148" w14:textId="77777777" w:rsidTr="006B35E6">
        <w:tc>
          <w:tcPr>
            <w:tcW w:w="1396" w:type="pct"/>
            <w:shd w:val="clear" w:color="auto" w:fill="auto"/>
            <w:vAlign w:val="center"/>
          </w:tcPr>
          <w:p w14:paraId="6B503D01" w14:textId="77777777" w:rsidR="00501854" w:rsidRPr="00311DF9" w:rsidRDefault="00501854" w:rsidP="000B55F1">
            <w:pPr>
              <w:pStyle w:val="TableText0"/>
              <w:keepLines/>
            </w:pPr>
            <w:r w:rsidRPr="00311DF9">
              <w:t>Extrapolation method</w:t>
            </w:r>
          </w:p>
        </w:tc>
        <w:tc>
          <w:tcPr>
            <w:tcW w:w="3604" w:type="pct"/>
            <w:shd w:val="clear" w:color="auto" w:fill="auto"/>
            <w:vAlign w:val="center"/>
          </w:tcPr>
          <w:p w14:paraId="00414707" w14:textId="77777777" w:rsidR="004725DF" w:rsidRPr="00311DF9" w:rsidRDefault="004725DF" w:rsidP="000B55F1">
            <w:pPr>
              <w:pStyle w:val="TableText0"/>
              <w:keepLines/>
              <w:spacing w:after="40"/>
            </w:pPr>
            <w:r w:rsidRPr="00311DF9">
              <w:t>Parametric extrapolation was used for OS, PFS and time on treatment.</w:t>
            </w:r>
          </w:p>
          <w:p w14:paraId="634E8E2A" w14:textId="77777777" w:rsidR="004725DF" w:rsidRPr="00311DF9" w:rsidRDefault="004725DF" w:rsidP="000B55F1">
            <w:pPr>
              <w:pStyle w:val="TableText0"/>
              <w:keepLines/>
              <w:spacing w:after="40"/>
            </w:pPr>
            <w:r w:rsidRPr="00311DF9">
              <w:t>OS, PFS were extrapolated using a log-logistic model for nivolumab plus chemotherapy Time on treatment was extrapolate</w:t>
            </w:r>
            <w:r w:rsidR="00A4122B" w:rsidRPr="00311DF9">
              <w:t>d</w:t>
            </w:r>
            <w:r w:rsidRPr="00311DF9">
              <w:t xml:space="preserve"> using a Weibull model.</w:t>
            </w:r>
          </w:p>
          <w:p w14:paraId="57B0CB0F" w14:textId="77777777" w:rsidR="004725DF" w:rsidRPr="00311DF9" w:rsidRDefault="004725DF" w:rsidP="000B55F1">
            <w:pPr>
              <w:pStyle w:val="TableText0"/>
              <w:keepLines/>
              <w:spacing w:after="40"/>
            </w:pPr>
            <w:r w:rsidRPr="00311DF9">
              <w:t>OS, PFS and time on treatment were extrapolated using a Weibull model for chemotherapy. The Weibull model was not the best fitting model for OS and PFS in chemotherapy. Changing the selection to log-logistic (the best fitting model) increase</w:t>
            </w:r>
            <w:r w:rsidR="00A4122B" w:rsidRPr="00311DF9">
              <w:t>d</w:t>
            </w:r>
            <w:r w:rsidRPr="00311DF9">
              <w:t xml:space="preserve"> the ICER substantially.</w:t>
            </w:r>
          </w:p>
          <w:p w14:paraId="346AD298" w14:textId="77777777" w:rsidR="004725DF" w:rsidRPr="00311DF9" w:rsidRDefault="004725DF" w:rsidP="000B55F1">
            <w:pPr>
              <w:pStyle w:val="TableText0"/>
              <w:keepLines/>
              <w:spacing w:after="40"/>
            </w:pPr>
            <w:r w:rsidRPr="00311DF9">
              <w:t xml:space="preserve">No convergence in survival was assumed. The overall survival continues to diverge beyond KM data. The submission considered that this is reasonable based on a survival plateauing affect observed for nivolumab in other indications. </w:t>
            </w:r>
          </w:p>
          <w:p w14:paraId="011DEA63" w14:textId="77777777" w:rsidR="00D533EC" w:rsidRPr="00311DF9" w:rsidRDefault="00F532C6" w:rsidP="000B55F1">
            <w:pPr>
              <w:pStyle w:val="TableText0"/>
              <w:keepLines/>
              <w:spacing w:after="40"/>
            </w:pPr>
            <w:r w:rsidRPr="00311DF9">
              <w:t>26</w:t>
            </w:r>
            <w:r w:rsidR="004725DF" w:rsidRPr="00311DF9">
              <w:t xml:space="preserve">% of incremental costs </w:t>
            </w:r>
            <w:r w:rsidR="000B55F1" w:rsidRPr="00311DF9">
              <w:t>but</w:t>
            </w:r>
            <w:r w:rsidR="004725DF" w:rsidRPr="00311DF9">
              <w:t xml:space="preserve"> </w:t>
            </w:r>
            <w:r w:rsidRPr="00311DF9">
              <w:t>90</w:t>
            </w:r>
            <w:r w:rsidR="004725DF" w:rsidRPr="00311DF9">
              <w:t xml:space="preserve">% of the incremental gains occur during </w:t>
            </w:r>
            <w:r w:rsidRPr="00311DF9">
              <w:t>the extrapolated period.</w:t>
            </w:r>
          </w:p>
        </w:tc>
      </w:tr>
      <w:tr w:rsidR="00501854" w:rsidRPr="00311DF9" w14:paraId="2AC758B5" w14:textId="77777777" w:rsidTr="000B55F1">
        <w:trPr>
          <w:trHeight w:val="86"/>
        </w:trPr>
        <w:tc>
          <w:tcPr>
            <w:tcW w:w="1396" w:type="pct"/>
            <w:shd w:val="clear" w:color="auto" w:fill="auto"/>
            <w:vAlign w:val="center"/>
          </w:tcPr>
          <w:p w14:paraId="179375A4" w14:textId="77777777" w:rsidR="00501854" w:rsidRPr="00311DF9" w:rsidRDefault="00DD0F78" w:rsidP="000B55F1">
            <w:pPr>
              <w:pStyle w:val="TableText0"/>
              <w:keepLines/>
            </w:pPr>
            <w:r w:rsidRPr="00311DF9">
              <w:t>Health related quality of life</w:t>
            </w:r>
          </w:p>
        </w:tc>
        <w:tc>
          <w:tcPr>
            <w:tcW w:w="3604" w:type="pct"/>
            <w:shd w:val="clear" w:color="auto" w:fill="auto"/>
            <w:vAlign w:val="center"/>
          </w:tcPr>
          <w:p w14:paraId="0F14C49C" w14:textId="77777777" w:rsidR="001F4081" w:rsidRPr="00311DF9" w:rsidRDefault="00F532C6" w:rsidP="000B55F1">
            <w:pPr>
              <w:pStyle w:val="TableText0"/>
              <w:keepLines/>
            </w:pPr>
            <w:r w:rsidRPr="00311DF9">
              <w:t xml:space="preserve">Trial </w:t>
            </w:r>
            <w:r w:rsidR="001F4081" w:rsidRPr="00311DF9">
              <w:t xml:space="preserve">-based, </w:t>
            </w:r>
            <w:r w:rsidRPr="00311DF9">
              <w:t>treatment-specific utility values for progression free and progressed health states of 0.812 and 0.746, respectively, for nivolumab plus chemotherapy and of 0.798 and 0.721, respectively, for chemotherapy</w:t>
            </w:r>
            <w:r w:rsidR="00A4122B" w:rsidRPr="00311DF9">
              <w:t>.</w:t>
            </w:r>
          </w:p>
        </w:tc>
      </w:tr>
      <w:tr w:rsidR="00501854" w:rsidRPr="00311DF9" w14:paraId="74A29127" w14:textId="77777777" w:rsidTr="006B35E6">
        <w:tc>
          <w:tcPr>
            <w:tcW w:w="1396" w:type="pct"/>
            <w:shd w:val="clear" w:color="auto" w:fill="auto"/>
            <w:vAlign w:val="center"/>
          </w:tcPr>
          <w:p w14:paraId="3CA2EEE5" w14:textId="77777777" w:rsidR="00DD0F78" w:rsidRPr="00311DF9" w:rsidRDefault="00F532C6" w:rsidP="000B55F1">
            <w:pPr>
              <w:pStyle w:val="TableText0"/>
              <w:keepLines/>
            </w:pPr>
            <w:r w:rsidRPr="00311DF9">
              <w:t>Inclusion of terminal care costs</w:t>
            </w:r>
            <w:r w:rsidR="00DD0F78" w:rsidRPr="00311DF9">
              <w:t xml:space="preserve"> </w:t>
            </w:r>
          </w:p>
        </w:tc>
        <w:tc>
          <w:tcPr>
            <w:tcW w:w="3604" w:type="pct"/>
            <w:shd w:val="clear" w:color="auto" w:fill="auto"/>
            <w:vAlign w:val="center"/>
          </w:tcPr>
          <w:p w14:paraId="51B3AA8C" w14:textId="77777777" w:rsidR="00501854" w:rsidRPr="00311DF9" w:rsidRDefault="00F532C6" w:rsidP="000B55F1">
            <w:pPr>
              <w:pStyle w:val="TableText0"/>
              <w:keepLines/>
            </w:pPr>
            <w:r w:rsidRPr="00311DF9">
              <w:t>Terminal care costs based on Langton (2016)</w:t>
            </w:r>
            <w:r w:rsidR="001D1987">
              <w:t xml:space="preserve"> </w:t>
            </w:r>
            <w:r w:rsidR="001D1987" w:rsidRPr="006D543C">
              <w:t>($38,057.49</w:t>
            </w:r>
            <w:r w:rsidR="001D1987">
              <w:t>)</w:t>
            </w:r>
            <w:r w:rsidRPr="00311DF9">
              <w:t>. Estimate not specific to gastric cancer patient</w:t>
            </w:r>
            <w:r w:rsidR="00A4122B" w:rsidRPr="00311DF9">
              <w:t>s</w:t>
            </w:r>
            <w:r w:rsidR="0081569F" w:rsidRPr="00311DF9">
              <w:t>. M</w:t>
            </w:r>
            <w:r w:rsidRPr="00311DF9">
              <w:t xml:space="preserve">ay not be reflective of requested population, highly linked to extrapolation of overall survival benefit. May not be reasonable to include terminal care costs where survival is not expected to surpass the modelled time horizon. </w:t>
            </w:r>
          </w:p>
        </w:tc>
      </w:tr>
    </w:tbl>
    <w:p w14:paraId="1BA76C46" w14:textId="77777777" w:rsidR="0078296F" w:rsidRPr="0072416F" w:rsidRDefault="003270E4" w:rsidP="000B55F1">
      <w:pPr>
        <w:pStyle w:val="TableFigureFooter"/>
        <w:keepNext/>
        <w:keepLines/>
      </w:pPr>
      <w:r>
        <w:t xml:space="preserve">Source: </w:t>
      </w:r>
      <w:r w:rsidR="00F532C6">
        <w:t xml:space="preserve">pp86-112 of the submission. ICER = incremental cost-effectiveness ratio; </w:t>
      </w:r>
      <w:r w:rsidR="000B55F1">
        <w:t>KM= Kaplan-Meier</w:t>
      </w:r>
      <w:r w:rsidR="00F532C6">
        <w:t xml:space="preserve"> LYG – life year gained; OS = overall survival; PFS = progression free survival; QALY = quality adjusted life year</w:t>
      </w:r>
    </w:p>
    <w:p w14:paraId="00F16A83" w14:textId="49CB88E0" w:rsidR="00092E27" w:rsidRPr="00311DF9" w:rsidRDefault="00746AF1" w:rsidP="00746AF1">
      <w:pPr>
        <w:pStyle w:val="3-BodyText"/>
        <w:ind w:left="720"/>
      </w:pPr>
      <w:r>
        <w:t xml:space="preserve">The submission presented a partitioned survival model with three health states: progression free, progressed and dead. </w:t>
      </w:r>
      <w:r w:rsidR="00092E27" w:rsidRPr="00311DF9">
        <w:t xml:space="preserve">The proportion of patients in the progression free health state and the dead health state were determined by the PFS and OS curves from </w:t>
      </w:r>
      <w:proofErr w:type="spellStart"/>
      <w:r w:rsidR="00092E27" w:rsidRPr="00311DF9">
        <w:t>CheckMate</w:t>
      </w:r>
      <w:proofErr w:type="spellEnd"/>
      <w:r w:rsidR="00092E27" w:rsidRPr="00311DF9">
        <w:t xml:space="preserve"> 649, respectively. The post-progression/progressed disease survival health state was estimated as the </w:t>
      </w:r>
      <w:r w:rsidR="00541FAB" w:rsidRPr="00311DF9">
        <w:t xml:space="preserve">difference between the PFS and OS curves. Treatment costs were estimated separately based on the time to discontinuation (TTD) of trial interventions in </w:t>
      </w:r>
      <w:proofErr w:type="spellStart"/>
      <w:r w:rsidR="00541FAB" w:rsidRPr="00311DF9">
        <w:t>CheckMate</w:t>
      </w:r>
      <w:proofErr w:type="spellEnd"/>
      <w:r w:rsidR="00541FAB" w:rsidRPr="00311DF9">
        <w:t xml:space="preserve"> 649. </w:t>
      </w:r>
      <w:r w:rsidR="006E58FF" w:rsidRPr="00311DF9">
        <w:t xml:space="preserve">The treatment costs were further adjusted by the relative dose intensity used during the trial. </w:t>
      </w:r>
    </w:p>
    <w:p w14:paraId="488FD617" w14:textId="204ED098" w:rsidR="009E407D" w:rsidRPr="00311DF9" w:rsidRDefault="009E407D" w:rsidP="00394453">
      <w:pPr>
        <w:pStyle w:val="3-BodyText"/>
        <w:ind w:left="720"/>
      </w:pPr>
      <w:r w:rsidRPr="00311DF9">
        <w:t>The submission</w:t>
      </w:r>
      <w:r w:rsidR="0078296F" w:rsidRPr="00311DF9">
        <w:t xml:space="preserve"> sta</w:t>
      </w:r>
      <w:r w:rsidR="00E4708C" w:rsidRPr="00311DF9">
        <w:t>t</w:t>
      </w:r>
      <w:r w:rsidR="0078296F" w:rsidRPr="00311DF9">
        <w:t>ed</w:t>
      </w:r>
      <w:r w:rsidRPr="00311DF9">
        <w:t xml:space="preserve"> that the time horizon of 7.5 years was based on NICE evaluations.</w:t>
      </w:r>
      <w:r w:rsidR="00E4708C" w:rsidRPr="00311DF9">
        <w:t xml:space="preserve"> </w:t>
      </w:r>
      <w:r w:rsidRPr="00311DF9">
        <w:t>The submission’s advisory board considered that few patients in the requested population (10-20%) survive longer than 2 years, acknowledging that there are always outliers who survive longer, which may be due to the natural history of the disease rather than the treatment</w:t>
      </w:r>
      <w:r w:rsidR="00A4122B" w:rsidRPr="00311DF9">
        <w:t>,</w:t>
      </w:r>
      <w:r w:rsidRPr="00311DF9">
        <w:t xml:space="preserve"> suggesting that even a 5 year time horizon may be too </w:t>
      </w:r>
      <w:r w:rsidR="00B6701B" w:rsidRPr="00311DF9">
        <w:t>long</w:t>
      </w:r>
      <w:r w:rsidRPr="00311DF9">
        <w:t>.</w:t>
      </w:r>
      <w:r w:rsidR="000D250C">
        <w:t xml:space="preserve"> </w:t>
      </w:r>
      <w:r w:rsidR="002C33EF" w:rsidRPr="00D9037C">
        <w:t>The ESC considered a 7.5 year time horizon may be optimistic for this population.</w:t>
      </w:r>
      <w:r w:rsidR="002C33EF">
        <w:t xml:space="preserve"> </w:t>
      </w:r>
      <w:r w:rsidR="00D5799E">
        <w:t xml:space="preserve">The pre-PBAC response disagreed with a 5 year time horizon as this will lead to a likely underestimation of the benefit of nivolumab and was inconsistent with previous PBAC recommendations across a number of indications (including mismatch repair deficient colorectal cancer, urothelial cancer, hepatocellular cancer, and primary mediastinal B-cell lymphoma).   </w:t>
      </w:r>
    </w:p>
    <w:p w14:paraId="51151A88" w14:textId="77777777" w:rsidR="00A4122B" w:rsidRPr="00311DF9" w:rsidRDefault="002A0BA9" w:rsidP="00394453">
      <w:pPr>
        <w:pStyle w:val="3-BodyText"/>
        <w:ind w:left="720"/>
      </w:pPr>
      <w:r w:rsidRPr="002A0BA9">
        <w:t xml:space="preserve">Figure </w:t>
      </w:r>
      <w:r w:rsidR="00BF6111">
        <w:t>3</w:t>
      </w:r>
      <w:r w:rsidR="00A4122B" w:rsidRPr="00311DF9">
        <w:t xml:space="preserve"> presents the extrapolation applied in the model for OS, PFS and TTD for the nivolumab </w:t>
      </w:r>
      <w:r w:rsidR="004A40BD" w:rsidRPr="00311DF9">
        <w:t>plus</w:t>
      </w:r>
      <w:r w:rsidR="00A4122B" w:rsidRPr="00311DF9">
        <w:t xml:space="preserve"> chemotherapy and chemotherapy alone arms.</w:t>
      </w:r>
    </w:p>
    <w:p w14:paraId="31A7A11C" w14:textId="77777777" w:rsidR="00465919" w:rsidRPr="00D11895" w:rsidRDefault="00465919" w:rsidP="00A4122B">
      <w:pPr>
        <w:keepNext/>
        <w:keepLines/>
        <w:jc w:val="left"/>
        <w:rPr>
          <w:rStyle w:val="CommentReference"/>
        </w:rPr>
      </w:pPr>
      <w:bookmarkStart w:id="41" w:name="_Ref69460235"/>
      <w:r>
        <w:rPr>
          <w:rStyle w:val="CommentReference"/>
        </w:rPr>
        <w:t xml:space="preserve">Figure </w:t>
      </w:r>
      <w:bookmarkEnd w:id="41"/>
      <w:r w:rsidR="00BF6111">
        <w:rPr>
          <w:rFonts w:ascii="Arial Narrow" w:hAnsi="Arial Narrow"/>
          <w:b/>
          <w:sz w:val="20"/>
          <w:szCs w:val="16"/>
        </w:rPr>
        <w:t>3</w:t>
      </w:r>
      <w:r>
        <w:rPr>
          <w:rStyle w:val="CommentReference"/>
        </w:rPr>
        <w:t xml:space="preserve">: </w:t>
      </w:r>
      <w:r w:rsidR="00AD6FA8">
        <w:rPr>
          <w:rStyle w:val="CommentReference"/>
        </w:rPr>
        <w:t xml:space="preserve">Kaplan-Meier and </w:t>
      </w:r>
      <w:r>
        <w:rPr>
          <w:rStyle w:val="CommentReference"/>
        </w:rPr>
        <w:t>Extrapolated outcomes</w:t>
      </w:r>
      <w:r w:rsidR="00AD6FA8">
        <w:rPr>
          <w:rStyle w:val="CommentReference"/>
        </w:rPr>
        <w:t xml:space="preserve"> in economic model</w:t>
      </w:r>
    </w:p>
    <w:p w14:paraId="06DC7083" w14:textId="77777777" w:rsidR="00465919" w:rsidRDefault="00D6138B" w:rsidP="006E58FF">
      <w:pPr>
        <w:keepNext/>
        <w:keepLines/>
      </w:pPr>
      <w:r>
        <w:rPr>
          <w:noProof/>
        </w:rPr>
        <w:drawing>
          <wp:inline distT="0" distB="0" distL="0" distR="0" wp14:anchorId="3CE2B4E3" wp14:editId="176F1838">
            <wp:extent cx="5732145" cy="3032760"/>
            <wp:effectExtent l="0" t="0" r="1905" b="0"/>
            <wp:docPr id="15" name="Chart 15" descr="Figure 3: Kaplan-Meier and Extrapolated outcomes in economic model">
              <a:extLst xmlns:a="http://schemas.openxmlformats.org/drawingml/2006/main">
                <a:ext uri="{FF2B5EF4-FFF2-40B4-BE49-F238E27FC236}">
                  <a16:creationId xmlns:a16="http://schemas.microsoft.com/office/drawing/2014/main" id="{00000000-0008-0000-0200-000014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51D5140D" w14:textId="77777777" w:rsidR="00465919" w:rsidRDefault="00465919" w:rsidP="00A4122B">
      <w:pPr>
        <w:pStyle w:val="TableFooter"/>
        <w:keepNext/>
        <w:keepLines/>
        <w:jc w:val="left"/>
      </w:pPr>
      <w:r>
        <w:t>Source: Figure 23, p112 of the submission.</w:t>
      </w:r>
    </w:p>
    <w:p w14:paraId="766F14FB" w14:textId="77777777" w:rsidR="009E407D" w:rsidRDefault="00465919" w:rsidP="00AD6FA8">
      <w:pPr>
        <w:pStyle w:val="TableFooter"/>
        <w:keepNext/>
        <w:keepLines/>
        <w:jc w:val="left"/>
      </w:pPr>
      <w:proofErr w:type="spellStart"/>
      <w:r>
        <w:t>Cx</w:t>
      </w:r>
      <w:proofErr w:type="spellEnd"/>
      <w:r>
        <w:t xml:space="preserve"> = comparator</w:t>
      </w:r>
    </w:p>
    <w:p w14:paraId="1E84CE5B" w14:textId="77777777" w:rsidR="00AD6FA8" w:rsidRPr="0078296F" w:rsidRDefault="00AD6FA8" w:rsidP="00A4122B">
      <w:pPr>
        <w:pStyle w:val="TableFooter"/>
        <w:keepNext/>
        <w:keepLines/>
        <w:spacing w:after="120"/>
        <w:jc w:val="left"/>
      </w:pPr>
      <w:r>
        <w:t xml:space="preserve">Extrapolation applied at 57 weeks for nivolumab plus chemotherapy and 48 weeks for chemotherapy alone </w:t>
      </w:r>
    </w:p>
    <w:p w14:paraId="67ED458F" w14:textId="77777777" w:rsidR="00B564A0" w:rsidRPr="00311DF9" w:rsidRDefault="00B564A0" w:rsidP="00652CC2">
      <w:pPr>
        <w:pStyle w:val="3-BodyText"/>
        <w:ind w:left="720"/>
      </w:pPr>
      <w:r w:rsidRPr="00311DF9">
        <w:t xml:space="preserve">The base case chosen for the extrapolation of OS for nivolumab plus chemotherapy was the </w:t>
      </w:r>
      <w:r w:rsidR="00C01726">
        <w:t>l</w:t>
      </w:r>
      <w:r w:rsidRPr="00311DF9">
        <w:t xml:space="preserve">og-logistic function. Log-logistic was one of the most optimistic extrapolations for OS, estimating a higher proportion of patients surviving over time. The magnitude of </w:t>
      </w:r>
      <w:r w:rsidR="00A4122B" w:rsidRPr="00311DF9">
        <w:t xml:space="preserve">the </w:t>
      </w:r>
      <w:r w:rsidRPr="00311DF9">
        <w:t>difference in both AIC and BIC for all functional forms was relatively minor, and this was supported visually as all functional forms appear</w:t>
      </w:r>
      <w:r w:rsidR="00A4122B" w:rsidRPr="00311DF9">
        <w:t>ed</w:t>
      </w:r>
      <w:r w:rsidRPr="00311DF9">
        <w:t xml:space="preserve"> to match the observed KM curve reasonably. </w:t>
      </w:r>
    </w:p>
    <w:p w14:paraId="14926A40" w14:textId="77777777" w:rsidR="003B5862" w:rsidRPr="00311DF9" w:rsidRDefault="00B564A0" w:rsidP="007B24D2">
      <w:pPr>
        <w:pStyle w:val="3-BodyText"/>
        <w:ind w:left="709"/>
      </w:pPr>
      <w:r w:rsidRPr="00311DF9">
        <w:t xml:space="preserve">The submission argued that long-term OS data for nivolumab monotherapy in other cancers (melanoma, </w:t>
      </w:r>
      <w:r w:rsidR="006D543C">
        <w:t>renal cell carcinoma</w:t>
      </w:r>
      <w:r w:rsidRPr="00311DF9">
        <w:t>,</w:t>
      </w:r>
      <w:r w:rsidR="006D543C">
        <w:t xml:space="preserve"> non-small cell lung cancer</w:t>
      </w:r>
      <w:r w:rsidRPr="00311DF9">
        <w:t xml:space="preserve"> and </w:t>
      </w:r>
      <w:r w:rsidR="006D543C" w:rsidRPr="006D543C">
        <w:t>squamous cell carcinoma of the head and neck</w:t>
      </w:r>
      <w:r w:rsidRPr="00311DF9">
        <w:t xml:space="preserve">) provides evidence that immunotherapies provide durable survival for some patients with a plateau in survival at approximately 36-48 months and significant improvements on standard of care survival rates. </w:t>
      </w:r>
      <w:r w:rsidR="00AD6FA8" w:rsidRPr="00311DF9">
        <w:t xml:space="preserve">It may not have been reasonable to compare survival for nivolumab monotherapy in other cancers to nivolumab plus chemotherapy in GC, GOJC and OAC. </w:t>
      </w:r>
      <w:r w:rsidRPr="00311DF9">
        <w:t>Th</w:t>
      </w:r>
      <w:r w:rsidR="00AD6FA8" w:rsidRPr="00311DF9">
        <w:t xml:space="preserve">e assumption of a plateau </w:t>
      </w:r>
      <w:r w:rsidRPr="00311DF9">
        <w:t>was not reflective of the trial evidence provided</w:t>
      </w:r>
      <w:r w:rsidR="004C7A49">
        <w:t>.</w:t>
      </w:r>
      <w:r w:rsidRPr="00311DF9">
        <w:t xml:space="preserve"> Visual inspection of the OS </w:t>
      </w:r>
      <w:r w:rsidRPr="00311DF9">
        <w:rPr>
          <w:bCs/>
        </w:rPr>
        <w:t xml:space="preserve">KM curves </w:t>
      </w:r>
      <w:r w:rsidR="007E7779" w:rsidRPr="00311DF9">
        <w:rPr>
          <w:bCs/>
        </w:rPr>
        <w:t>(</w:t>
      </w:r>
      <w:r w:rsidR="002A0BA9" w:rsidRPr="002A0BA9">
        <w:rPr>
          <w:bCs/>
        </w:rPr>
        <w:t>Figure 1</w:t>
      </w:r>
      <w:r w:rsidR="007E7779" w:rsidRPr="00311DF9">
        <w:rPr>
          <w:bCs/>
        </w:rPr>
        <w:t xml:space="preserve">) </w:t>
      </w:r>
      <w:r w:rsidRPr="00311DF9">
        <w:rPr>
          <w:bCs/>
        </w:rPr>
        <w:t>d</w:t>
      </w:r>
      <w:r w:rsidR="007E7779" w:rsidRPr="00311DF9">
        <w:rPr>
          <w:bCs/>
        </w:rPr>
        <w:t>id</w:t>
      </w:r>
      <w:r w:rsidRPr="00311DF9">
        <w:rPr>
          <w:bCs/>
        </w:rPr>
        <w:t xml:space="preserve"> not suggest any plateau that </w:t>
      </w:r>
      <w:r w:rsidR="007E7779" w:rsidRPr="00311DF9">
        <w:rPr>
          <w:bCs/>
        </w:rPr>
        <w:t>wa</w:t>
      </w:r>
      <w:r w:rsidRPr="00311DF9">
        <w:rPr>
          <w:bCs/>
        </w:rPr>
        <w:t>s not also observed in the chemotherapy arm</w:t>
      </w:r>
      <w:r w:rsidR="006F5D88" w:rsidRPr="00311DF9">
        <w:rPr>
          <w:bCs/>
        </w:rPr>
        <w:t xml:space="preserve"> (the tails of the KM data in both arms are also based on small patient numbers)</w:t>
      </w:r>
      <w:r w:rsidRPr="00311DF9">
        <w:rPr>
          <w:bCs/>
        </w:rPr>
        <w:t>. Add</w:t>
      </w:r>
      <w:r w:rsidRPr="00311DF9">
        <w:t xml:space="preserve">itionally, it may be unreasonable to assume that expected survival functions from other cancers can be applied to GC, GOJC and OAC. </w:t>
      </w:r>
    </w:p>
    <w:p w14:paraId="5002D0EC" w14:textId="77777777" w:rsidR="00E4708C" w:rsidRPr="00311DF9" w:rsidRDefault="009B1C19" w:rsidP="00E4708C">
      <w:pPr>
        <w:pStyle w:val="3-BodyText"/>
        <w:ind w:left="720"/>
      </w:pPr>
      <w:r>
        <w:t>T</w:t>
      </w:r>
      <w:r w:rsidR="00E4708C" w:rsidRPr="00311DF9">
        <w:t>he submission</w:t>
      </w:r>
      <w:r w:rsidR="00A4122B" w:rsidRPr="00311DF9">
        <w:t>’s</w:t>
      </w:r>
      <w:r w:rsidR="00E4708C" w:rsidRPr="00311DF9">
        <w:t xml:space="preserve"> base case </w:t>
      </w:r>
      <w:r w:rsidR="00074925" w:rsidRPr="00311DF9">
        <w:t>model</w:t>
      </w:r>
      <w:r w:rsidR="00074925">
        <w:t>led</w:t>
      </w:r>
      <w:r w:rsidR="00E4708C" w:rsidRPr="00311DF9">
        <w:t xml:space="preserve"> survival between treatment arms </w:t>
      </w:r>
      <w:r w:rsidR="00A4122B" w:rsidRPr="00311DF9">
        <w:t xml:space="preserve">continued to diverge </w:t>
      </w:r>
      <w:r w:rsidR="00E4708C" w:rsidRPr="00311DF9">
        <w:t xml:space="preserve">over time (this can be observed visually in </w:t>
      </w:r>
      <w:r w:rsidR="002A0BA9" w:rsidRPr="002A0BA9">
        <w:t xml:space="preserve">Figure </w:t>
      </w:r>
      <w:r w:rsidR="00BF6111">
        <w:t>3</w:t>
      </w:r>
      <w:r w:rsidR="00E4708C" w:rsidRPr="00311DF9">
        <w:t xml:space="preserve"> which was not based on clinical evidence but rather an assumption that the survival curve in patients treated with nivolumab plus chemotherapy would plateau but </w:t>
      </w:r>
      <w:r w:rsidR="00A4122B" w:rsidRPr="00311DF9">
        <w:t>t</w:t>
      </w:r>
      <w:r w:rsidR="007E7779" w:rsidRPr="00311DF9">
        <w:t>h</w:t>
      </w:r>
      <w:r w:rsidR="00A4122B" w:rsidRPr="00311DF9">
        <w:t xml:space="preserve">is would not occur </w:t>
      </w:r>
      <w:r w:rsidR="00E4708C" w:rsidRPr="00311DF9">
        <w:t xml:space="preserve">in patients treated with chemotherapy alone. This assumption likely overestimated the survival gain associated with nivolumab plus chemotherapy. </w:t>
      </w:r>
    </w:p>
    <w:p w14:paraId="1715C601" w14:textId="77777777" w:rsidR="00F1614A" w:rsidRPr="00296BD7" w:rsidRDefault="003F15F3" w:rsidP="003A555F">
      <w:pPr>
        <w:pStyle w:val="3-BodyText"/>
        <w:ind w:left="709" w:hanging="709"/>
        <w:rPr>
          <w:i/>
        </w:rPr>
      </w:pPr>
      <w:r w:rsidRPr="00311DF9">
        <w:t xml:space="preserve">The base case chosen for the extrapolation of OS for chemotherapy alone was the Weibull function. </w:t>
      </w:r>
      <w:r w:rsidR="001655B5" w:rsidRPr="00311DF9">
        <w:t xml:space="preserve">Comparison of the extrapolated survival estimates for patients treated with chemotherapy alone at five years (0.3% remained alive) with real world data reported by the US </w:t>
      </w:r>
      <w:r w:rsidR="0029601E" w:rsidRPr="00311DF9">
        <w:t>Surveillance</w:t>
      </w:r>
      <w:r w:rsidR="001655B5" w:rsidRPr="00311DF9">
        <w:t xml:space="preserve">, Epidemiology and End Results program (SEER) for distant metastatic GC (6% five-year survival) and distant metastatic oesophageal cancer (5% five-year survival) suggested that the model substantially underestimated survival in the chemotherapy alone arm, which favoured nivolumab plus </w:t>
      </w:r>
      <w:r w:rsidRPr="00311DF9">
        <w:t xml:space="preserve">chemotherapy. Instead of the Weibull function, using a log-logistic function to extrapolate survival for chemotherapy alone </w:t>
      </w:r>
      <w:r w:rsidR="00B90AC1" w:rsidRPr="00311DF9">
        <w:t xml:space="preserve">resulted in a five-year survival of 4.7%, and increased the ICER by 73% from the base case. </w:t>
      </w:r>
      <w:r w:rsidR="003A555F" w:rsidRPr="00D9037C">
        <w:t xml:space="preserve">The PSCR </w:t>
      </w:r>
      <w:r w:rsidR="00270277">
        <w:t xml:space="preserve">and pre-PBAC response </w:t>
      </w:r>
      <w:r w:rsidR="003A555F" w:rsidRPr="00D9037C">
        <w:t xml:space="preserve">maintained that the application of a log-logistic extrapolation function for the chemotherapy arm is clinically implausible and does not match the known long-term survival of patients with metastatic gastric cancer treated with standard chemotherapies. The PSCR stated the impact of employing this assumption is to inappropriately bias the economic evaluation against nivolumab plus chemotherapy. </w:t>
      </w:r>
      <w:r w:rsidR="00296BD7" w:rsidRPr="00D9037C">
        <w:t xml:space="preserve">The ESC noted using the best fit extrapolation for the chemotherapy treatment arm </w:t>
      </w:r>
      <w:r w:rsidR="003A555F" w:rsidRPr="00D9037C">
        <w:t xml:space="preserve">appeared to </w:t>
      </w:r>
      <w:r w:rsidR="00296BD7" w:rsidRPr="00D9037C">
        <w:t>result</w:t>
      </w:r>
      <w:r w:rsidR="003A555F" w:rsidRPr="00D9037C">
        <w:t xml:space="preserve"> </w:t>
      </w:r>
      <w:r w:rsidR="00296BD7" w:rsidRPr="00D9037C">
        <w:t>in a more reasonable proportion of patients alive at 5 years</w:t>
      </w:r>
      <w:r w:rsidR="00296BD7" w:rsidRPr="00296BD7">
        <w:rPr>
          <w:i/>
        </w:rPr>
        <w:t xml:space="preserve">. </w:t>
      </w:r>
      <w:r w:rsidR="009B1C19" w:rsidRPr="009B1C19">
        <w:t xml:space="preserve">The PBAC </w:t>
      </w:r>
      <w:r w:rsidR="009B1C19">
        <w:t xml:space="preserve">agreed with the </w:t>
      </w:r>
      <w:r w:rsidR="00270277">
        <w:t xml:space="preserve">pre-PBAC response </w:t>
      </w:r>
      <w:r w:rsidR="009B1C19">
        <w:t>that a log-logistic extrapolation function for the chemotherapy arm may not be reasonable</w:t>
      </w:r>
      <w:r w:rsidR="00A42113">
        <w:t>, that other extrapolations also fitted the curve,</w:t>
      </w:r>
      <w:r w:rsidR="009B1C19">
        <w:t xml:space="preserve"> and </w:t>
      </w:r>
      <w:r w:rsidR="00A42113">
        <w:t xml:space="preserve">so </w:t>
      </w:r>
      <w:r w:rsidR="009B1C19">
        <w:t xml:space="preserve">considered the appropriate extrapolation function remained uncertain.   </w:t>
      </w:r>
    </w:p>
    <w:p w14:paraId="3959C6CA" w14:textId="77777777" w:rsidR="006E58FF" w:rsidRPr="00311DF9" w:rsidRDefault="004E0029" w:rsidP="004E0029">
      <w:pPr>
        <w:pStyle w:val="3-BodyText"/>
        <w:ind w:left="720"/>
      </w:pPr>
      <w:r w:rsidRPr="00311DF9">
        <w:t>The submission stated the model use</w:t>
      </w:r>
      <w:r w:rsidR="009B1C19">
        <w:t>d</w:t>
      </w:r>
      <w:r w:rsidRPr="00311DF9">
        <w:t xml:space="preserve"> treatment-specific utilities because the submission considered that the results of </w:t>
      </w:r>
      <w:proofErr w:type="spellStart"/>
      <w:r w:rsidRPr="00311DF9">
        <w:t>CheckMate</w:t>
      </w:r>
      <w:proofErr w:type="spellEnd"/>
      <w:r w:rsidRPr="00311DF9">
        <w:t xml:space="preserve"> 649 demonstrate that patients treated with nivolumab plus chemotherapy are generally healthier because the treatment is more efficacious than chemotherapy alone. As discussed in paragraphs </w:t>
      </w:r>
      <w:r w:rsidR="001D7F21" w:rsidRPr="001D7F21">
        <w:t>6.2</w:t>
      </w:r>
      <w:r w:rsidR="004054B4">
        <w:t>0</w:t>
      </w:r>
      <w:r w:rsidRPr="001D7F21">
        <w:t xml:space="preserve"> a</w:t>
      </w:r>
      <w:r w:rsidRPr="00311DF9">
        <w:t xml:space="preserve">nd </w:t>
      </w:r>
      <w:r w:rsidR="001D7F21">
        <w:t>6.3</w:t>
      </w:r>
      <w:r w:rsidR="004054B4">
        <w:t>3</w:t>
      </w:r>
      <w:r w:rsidRPr="00311DF9">
        <w:t xml:space="preserve">, this may not have been adequately supported by the trial data. </w:t>
      </w:r>
      <w:r w:rsidR="006E58FF" w:rsidRPr="00311DF9">
        <w:t xml:space="preserve">The submission also does not model disutility from adverse events separately, which may favour nivolumab plus chemotherapy as it has an inferior safety profile. </w:t>
      </w:r>
    </w:p>
    <w:p w14:paraId="442C1697" w14:textId="0AA51B2F" w:rsidR="00C71C69" w:rsidRPr="00C71C69" w:rsidRDefault="009B1C19" w:rsidP="00A31690">
      <w:pPr>
        <w:pStyle w:val="3-BodyText"/>
        <w:ind w:left="709"/>
        <w:rPr>
          <w:i/>
        </w:rPr>
      </w:pPr>
      <w:r>
        <w:t>T</w:t>
      </w:r>
      <w:r w:rsidR="004E0029" w:rsidRPr="00311DF9">
        <w:t>he incremental utility benefit applied to the nivolumab plus chemotherapy arm was independent of whether patients remained on treatment, and was simply dependent on whether they were in the nivolumab plus chemotherapy arm or chemotherapy arm, which was implausible</w:t>
      </w:r>
      <w:r w:rsidR="006E58FF" w:rsidRPr="00311DF9">
        <w:t xml:space="preserve"> as this suggests that patients would simply have a higher quality of life simply because nivolumab was available</w:t>
      </w:r>
      <w:r w:rsidR="004E0029" w:rsidRPr="00311DF9">
        <w:t xml:space="preserve">. Overall, it may not be reasonable to assume a differential utility based on which treatment was administered. </w:t>
      </w:r>
      <w:r w:rsidR="00951144" w:rsidRPr="00D9037C">
        <w:t>The ESC considered the use of treatment-specific utilities was not adequately justified.</w:t>
      </w:r>
      <w:r w:rsidR="00C71C69" w:rsidRPr="00D9037C">
        <w:t xml:space="preserve"> </w:t>
      </w:r>
      <w:r w:rsidR="00AF6318" w:rsidRPr="00D9037C">
        <w:t xml:space="preserve">The ESC noted the EQ-5D-3L and EQ-5D VAS results reported in Checkmate 649 do not provide robust evidence to suggest there would be differences in </w:t>
      </w:r>
      <w:proofErr w:type="spellStart"/>
      <w:r w:rsidR="00AF6318" w:rsidRPr="00D9037C">
        <w:t>HRQoL</w:t>
      </w:r>
      <w:proofErr w:type="spellEnd"/>
      <w:r w:rsidR="00AF6318" w:rsidRPr="00D9037C">
        <w:t xml:space="preserve"> between patients in the progression-free health state treated with nivolumab plus chemotherapy or chemotherapy alone. </w:t>
      </w:r>
      <w:r w:rsidR="00C71C69" w:rsidRPr="00D9037C">
        <w:t xml:space="preserve">The ESC noted assuming the same utilities applied to both treatment arms </w:t>
      </w:r>
      <w:r>
        <w:t>(</w:t>
      </w:r>
      <w:r w:rsidRPr="00311DF9">
        <w:t>averaged from both treatments, 0.805 for progression free and 0.735 for progressed</w:t>
      </w:r>
      <w:r>
        <w:t>)</w:t>
      </w:r>
      <w:r w:rsidRPr="00D9037C">
        <w:t xml:space="preserve"> </w:t>
      </w:r>
      <w:r w:rsidR="00C71C69" w:rsidRPr="00D9037C">
        <w:t xml:space="preserve">increased the ICER by 7% from </w:t>
      </w:r>
      <w:r w:rsidR="00A31690" w:rsidRPr="00A31690">
        <w:t>$55,000 to &lt; $75,000</w:t>
      </w:r>
      <w:r w:rsidR="00C71C69" w:rsidRPr="00D9037C">
        <w:t xml:space="preserve">/QALY to </w:t>
      </w:r>
      <w:r w:rsidR="00A31690" w:rsidRPr="00A31690">
        <w:t>$75,000 to &lt; $95,000</w:t>
      </w:r>
      <w:r w:rsidR="00C71C69" w:rsidRPr="00D9037C">
        <w:t>/QALY.</w:t>
      </w:r>
      <w:r w:rsidR="00C71C69" w:rsidRPr="00C71C69">
        <w:rPr>
          <w:i/>
        </w:rPr>
        <w:t xml:space="preserve"> </w:t>
      </w:r>
      <w:r w:rsidR="004116B0" w:rsidRPr="004116B0">
        <w:t xml:space="preserve">The pre-PBAC response stated that </w:t>
      </w:r>
      <w:r w:rsidR="004116B0">
        <w:t>p</w:t>
      </w:r>
      <w:r w:rsidR="004116B0" w:rsidRPr="004116B0">
        <w:t xml:space="preserve">atients treated with nivolumab (with or without chemotherapy) have </w:t>
      </w:r>
      <w:r w:rsidR="007B7D56">
        <w:t xml:space="preserve">consistently </w:t>
      </w:r>
      <w:r w:rsidR="004116B0" w:rsidRPr="004116B0">
        <w:t xml:space="preserve">shown higher preference-based </w:t>
      </w:r>
      <w:proofErr w:type="spellStart"/>
      <w:r w:rsidR="004116B0">
        <w:t>QoL</w:t>
      </w:r>
      <w:proofErr w:type="spellEnd"/>
      <w:r w:rsidR="004116B0" w:rsidRPr="004116B0">
        <w:t xml:space="preserve"> measures compared to chemotherapy in well controlled randomised trials</w:t>
      </w:r>
      <w:r w:rsidR="004116B0">
        <w:t>. The pre-PBAC response stated this</w:t>
      </w:r>
      <w:r w:rsidR="004116B0" w:rsidRPr="004116B0">
        <w:t xml:space="preserve"> is likely due to </w:t>
      </w:r>
      <w:proofErr w:type="spellStart"/>
      <w:r w:rsidR="004116B0" w:rsidRPr="004116B0">
        <w:t>nivolumab’s</w:t>
      </w:r>
      <w:proofErr w:type="spellEnd"/>
      <w:r w:rsidR="004116B0" w:rsidRPr="004116B0">
        <w:t xml:space="preserve"> ability to treat the patient’s underlying cancer more effectively than chemotherapy alone, thereby reducing the burden of disease and improving nivolumab-treated patients’ </w:t>
      </w:r>
      <w:proofErr w:type="spellStart"/>
      <w:r w:rsidR="004116B0" w:rsidRPr="004116B0">
        <w:t>QoL</w:t>
      </w:r>
      <w:proofErr w:type="spellEnd"/>
      <w:r w:rsidR="004116B0" w:rsidRPr="004116B0">
        <w:t xml:space="preserve">. The </w:t>
      </w:r>
      <w:r w:rsidR="004116B0">
        <w:t xml:space="preserve">pre-PBAC </w:t>
      </w:r>
      <w:r w:rsidR="007B7D56">
        <w:t xml:space="preserve">response </w:t>
      </w:r>
      <w:r w:rsidR="004116B0">
        <w:t xml:space="preserve">maintained </w:t>
      </w:r>
      <w:r w:rsidR="004116B0" w:rsidRPr="004116B0">
        <w:t>treatment-specific utility values</w:t>
      </w:r>
      <w:r w:rsidR="004116B0">
        <w:t xml:space="preserve"> were</w:t>
      </w:r>
      <w:r w:rsidR="00B01011">
        <w:t xml:space="preserve"> appropriate</w:t>
      </w:r>
      <w:r w:rsidR="004116B0" w:rsidRPr="004116B0">
        <w:t>.</w:t>
      </w:r>
    </w:p>
    <w:p w14:paraId="6A6B6536" w14:textId="77777777" w:rsidR="007B24D2" w:rsidRPr="00D9037C" w:rsidRDefault="00296BD7" w:rsidP="00270277">
      <w:pPr>
        <w:pStyle w:val="3-BodyText"/>
        <w:ind w:left="709"/>
      </w:pPr>
      <w:bookmarkStart w:id="42" w:name="_Ref89778675"/>
      <w:r w:rsidRPr="00D9037C">
        <w:t>The submission applied terminal care costs of approximately $38,058 (from Langton 2016 converted to 2021 prices) to the death state in the model. Langton 2016 was a retrospective analysis of claims data in two groups of elderly Australians diagnosed with cancer (those who died of cancer and those who died from non-cancer causes). Langton estimated that elderly patients with cancer who died of cancer accrued $30,001 of costs in the last six months of life. Given that few patients would be expected to survive beyond 7.5 years, and there is no indication-specific clinical evidence to support that nivolumab plus chemotherapy would improve survival at such a long term</w:t>
      </w:r>
      <w:r w:rsidR="009B19B9" w:rsidRPr="00D9037C">
        <w:t>,</w:t>
      </w:r>
      <w:r w:rsidRPr="00D9037C">
        <w:t xml:space="preserve"> it is likely more reasonable to assume that there would be no difference in terminal care costs between the treatment arms. Moreover, it is likely that treatment with nivolumab plus chemotherapy delays, rather than prevents, incurring terminal care costs in the proposed PBS population. </w:t>
      </w:r>
      <w:r w:rsidR="007B24D2" w:rsidRPr="00D9037C">
        <w:t xml:space="preserve">The ESC noted the impact of including terminal care costs on the ICER is driven by the difference in surviving proportions at the end of the model time horizon but ultimately this cost should accrue to all patients in both treatment arms. </w:t>
      </w:r>
      <w:r w:rsidR="00FB49CB" w:rsidRPr="00D9037C">
        <w:t>The ESC noted the terminal care cost was based</w:t>
      </w:r>
      <w:r w:rsidR="009B1C19">
        <w:t xml:space="preserve"> on</w:t>
      </w:r>
      <w:r w:rsidR="00FB49CB" w:rsidRPr="00D9037C">
        <w:t xml:space="preserve"> data collected in the 6 months prior to death and considered this may result in double counting as some of these costs would have accrued in the progressed health state. </w:t>
      </w:r>
      <w:r w:rsidR="007B24D2" w:rsidRPr="00D9037C">
        <w:t>Excluding terminal car</w:t>
      </w:r>
      <w:r w:rsidR="00EE24E6" w:rsidRPr="00D9037C">
        <w:t>e costs increased the ICER by 7</w:t>
      </w:r>
      <w:r w:rsidR="007B24D2" w:rsidRPr="00D9037C">
        <w:t xml:space="preserve">% from </w:t>
      </w:r>
      <w:r w:rsidR="00A31690" w:rsidRPr="00A31690">
        <w:t>$55,000 to &lt; $75,000</w:t>
      </w:r>
      <w:r w:rsidR="00A31690" w:rsidRPr="00D9037C">
        <w:t xml:space="preserve">/QALY to </w:t>
      </w:r>
      <w:r w:rsidR="00A31690" w:rsidRPr="00A31690">
        <w:t>$75,000 to &lt; $95,000</w:t>
      </w:r>
      <w:r w:rsidR="00A31690">
        <w:t>/</w:t>
      </w:r>
      <w:r w:rsidR="00A31690" w:rsidRPr="00D9037C">
        <w:t>QALY</w:t>
      </w:r>
      <w:r w:rsidR="007B24D2" w:rsidRPr="00D9037C">
        <w:t>.</w:t>
      </w:r>
      <w:r w:rsidR="00270277" w:rsidRPr="00270277">
        <w:t xml:space="preserve"> The </w:t>
      </w:r>
      <w:r w:rsidR="00270277">
        <w:t xml:space="preserve">pre-PBAC response argued the </w:t>
      </w:r>
      <w:r w:rsidR="00270277" w:rsidRPr="00270277">
        <w:t>extent of double counting of terminal care costs and costs accrued in the progressed health care state is likely to be modest and can only be a maximum of ~$1,280 (i.e. 6 months of disease management costs) or around 3.4% of the total death cost. Therefore, the ICER generated by the model (</w:t>
      </w:r>
      <w:r w:rsidR="00A31690" w:rsidRPr="00A31690">
        <w:t>$55,000 to &lt; $75,000</w:t>
      </w:r>
      <w:r w:rsidR="00A31690">
        <w:t xml:space="preserve"> </w:t>
      </w:r>
      <w:r w:rsidR="00270277" w:rsidRPr="00270277">
        <w:t xml:space="preserve">per QALY) is likely to be a much more precise estimate of the true ICER than an analysis where terminal care costs are entirely removed </w:t>
      </w:r>
      <w:r w:rsidR="00A31690" w:rsidRPr="00A31690">
        <w:t>$75,000 to &lt; $95,000</w:t>
      </w:r>
      <w:r w:rsidR="00A31690" w:rsidRPr="00270277" w:rsidDel="00A31690">
        <w:t xml:space="preserve"> </w:t>
      </w:r>
      <w:r w:rsidR="00270277" w:rsidRPr="00270277">
        <w:t>per QALY). The</w:t>
      </w:r>
      <w:r w:rsidR="00270277">
        <w:t xml:space="preserve"> pre-PBAC response stated the</w:t>
      </w:r>
      <w:r w:rsidR="00270277" w:rsidRPr="00270277">
        <w:t xml:space="preserve"> ICER generated by the </w:t>
      </w:r>
      <w:r w:rsidR="00270277">
        <w:t xml:space="preserve">base case </w:t>
      </w:r>
      <w:r w:rsidR="00270277" w:rsidRPr="00270277">
        <w:t xml:space="preserve">model </w:t>
      </w:r>
      <w:r w:rsidR="00270277">
        <w:t>i</w:t>
      </w:r>
      <w:r w:rsidR="00270277" w:rsidRPr="00270277">
        <w:t>s likely to be a much more precise estimate of the true ICER than an analysis where terminal care costs are entirely</w:t>
      </w:r>
      <w:r w:rsidR="007B7D56">
        <w:t xml:space="preserve"> removed</w:t>
      </w:r>
      <w:r w:rsidR="00270277" w:rsidRPr="00270277">
        <w:t xml:space="preserve"> </w:t>
      </w:r>
      <w:r w:rsidR="00270277">
        <w:t xml:space="preserve">and </w:t>
      </w:r>
      <w:r w:rsidR="00270277" w:rsidRPr="00270277">
        <w:t xml:space="preserve">strongly </w:t>
      </w:r>
      <w:r w:rsidR="007B7D56">
        <w:t xml:space="preserve">believed </w:t>
      </w:r>
      <w:r w:rsidR="00270277" w:rsidRPr="00270277">
        <w:t>terminal care costs should not be excluded.</w:t>
      </w:r>
      <w:bookmarkEnd w:id="42"/>
    </w:p>
    <w:p w14:paraId="3516B7F6" w14:textId="77777777" w:rsidR="00275C5A" w:rsidRPr="00311DF9" w:rsidRDefault="00CC6594" w:rsidP="00652CC2">
      <w:pPr>
        <w:pStyle w:val="3-BodyText"/>
        <w:ind w:left="720"/>
      </w:pPr>
      <w:r w:rsidRPr="00311DF9">
        <w:t xml:space="preserve">Key drivers of the model are presented </w:t>
      </w:r>
      <w:r w:rsidR="002A0BA9" w:rsidRPr="002A0BA9">
        <w:t>Table 10</w:t>
      </w:r>
      <w:r w:rsidR="000B7376" w:rsidRPr="00311DF9">
        <w:t>.</w:t>
      </w:r>
    </w:p>
    <w:p w14:paraId="439C2F0F" w14:textId="77777777" w:rsidR="00D110BD" w:rsidRPr="00BB00B3" w:rsidRDefault="00CC6594" w:rsidP="00E4708C">
      <w:pPr>
        <w:pStyle w:val="TableFigureHeading"/>
        <w:keepLines/>
        <w:rPr>
          <w:rStyle w:val="CommentReference"/>
          <w:b/>
          <w:szCs w:val="24"/>
        </w:rPr>
      </w:pPr>
      <w:bookmarkStart w:id="43" w:name="_Ref69463981"/>
      <w:r w:rsidRPr="00781627">
        <w:rPr>
          <w:rStyle w:val="CommentReference"/>
          <w:b/>
          <w:szCs w:val="24"/>
        </w:rPr>
        <w:t xml:space="preserve">Table </w:t>
      </w:r>
      <w:r w:rsidR="002A0BA9">
        <w:rPr>
          <w:rStyle w:val="CommentReference"/>
          <w:b/>
          <w:noProof/>
          <w:szCs w:val="24"/>
        </w:rPr>
        <w:t>10</w:t>
      </w:r>
      <w:bookmarkEnd w:id="43"/>
      <w:r w:rsidRPr="00781627">
        <w:rPr>
          <w:rStyle w:val="CommentReference"/>
          <w:b/>
          <w:szCs w:val="24"/>
        </w:rPr>
        <w:t>:</w:t>
      </w:r>
      <w:r>
        <w:rPr>
          <w:rStyle w:val="CommentReference"/>
          <w:bCs w:val="0"/>
          <w:i/>
          <w:iCs/>
          <w:szCs w:val="24"/>
        </w:rPr>
        <w:t xml:space="preserve"> </w:t>
      </w:r>
      <w:r w:rsidR="00D110BD" w:rsidRPr="00BB00B3">
        <w:rPr>
          <w:rStyle w:val="CommentReference"/>
          <w:b/>
          <w:szCs w:val="24"/>
        </w:rPr>
        <w:t>Key drivers of the model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Caption w:val="Table 10: Key drivers of the model"/>
      </w:tblPr>
      <w:tblGrid>
        <w:gridCol w:w="1074"/>
        <w:gridCol w:w="4590"/>
        <w:gridCol w:w="3353"/>
      </w:tblGrid>
      <w:tr w:rsidR="00537182" w:rsidRPr="00311DF9" w14:paraId="5E146200" w14:textId="77777777" w:rsidTr="000B7376">
        <w:trPr>
          <w:tblHeader/>
        </w:trPr>
        <w:tc>
          <w:tcPr>
            <w:tcW w:w="596" w:type="pct"/>
            <w:shd w:val="clear" w:color="auto" w:fill="auto"/>
            <w:vAlign w:val="center"/>
          </w:tcPr>
          <w:p w14:paraId="59C6325B" w14:textId="77777777" w:rsidR="00D110BD" w:rsidRPr="00311DF9" w:rsidRDefault="00D110BD" w:rsidP="00E4708C">
            <w:pPr>
              <w:pStyle w:val="In-tableHeading"/>
              <w:keepLines/>
              <w:jc w:val="center"/>
              <w:rPr>
                <w:lang w:val="en-AU"/>
              </w:rPr>
            </w:pPr>
            <w:r w:rsidRPr="00311DF9">
              <w:rPr>
                <w:lang w:val="en-AU"/>
              </w:rPr>
              <w:t>Description</w:t>
            </w:r>
          </w:p>
        </w:tc>
        <w:tc>
          <w:tcPr>
            <w:tcW w:w="2545" w:type="pct"/>
            <w:shd w:val="clear" w:color="auto" w:fill="auto"/>
            <w:vAlign w:val="center"/>
          </w:tcPr>
          <w:p w14:paraId="2386BA15" w14:textId="77777777" w:rsidR="00D110BD" w:rsidRPr="00311DF9" w:rsidRDefault="00D110BD" w:rsidP="00E4708C">
            <w:pPr>
              <w:pStyle w:val="In-tableHeading"/>
              <w:keepLines/>
              <w:jc w:val="center"/>
              <w:rPr>
                <w:lang w:val="en-AU"/>
              </w:rPr>
            </w:pPr>
            <w:r w:rsidRPr="00311DF9">
              <w:rPr>
                <w:lang w:val="en-AU"/>
              </w:rPr>
              <w:t>Method/Value</w:t>
            </w:r>
          </w:p>
        </w:tc>
        <w:tc>
          <w:tcPr>
            <w:tcW w:w="1859" w:type="pct"/>
            <w:shd w:val="clear" w:color="auto" w:fill="auto"/>
            <w:vAlign w:val="center"/>
          </w:tcPr>
          <w:p w14:paraId="029D7620" w14:textId="77777777" w:rsidR="00D110BD" w:rsidRPr="00311DF9" w:rsidRDefault="00D110BD" w:rsidP="00E4708C">
            <w:pPr>
              <w:pStyle w:val="In-tableHeading"/>
              <w:keepLines/>
              <w:jc w:val="center"/>
              <w:rPr>
                <w:lang w:val="en-AU"/>
              </w:rPr>
            </w:pPr>
            <w:r w:rsidRPr="00311DF9">
              <w:rPr>
                <w:lang w:val="en-AU"/>
              </w:rPr>
              <w:t>Impact</w:t>
            </w:r>
          </w:p>
          <w:p w14:paraId="6DC94978" w14:textId="77777777" w:rsidR="00490B17" w:rsidRPr="00311DF9" w:rsidRDefault="00490B17" w:rsidP="00E4708C">
            <w:pPr>
              <w:pStyle w:val="In-tableHeading"/>
              <w:keepLines/>
              <w:jc w:val="center"/>
              <w:rPr>
                <w:lang w:val="en-AU"/>
              </w:rPr>
            </w:pPr>
            <w:r w:rsidRPr="00311DF9">
              <w:rPr>
                <w:rFonts w:cs="Arial"/>
                <w:szCs w:val="20"/>
                <w:lang w:val="en-AU"/>
              </w:rPr>
              <w:t xml:space="preserve">Base case: </w:t>
            </w:r>
            <w:r w:rsidR="00DF0A4C">
              <w:rPr>
                <w:rFonts w:cs="Arial"/>
                <w:noProof/>
                <w:color w:val="000000"/>
                <w:szCs w:val="20"/>
                <w:highlight w:val="black"/>
                <w:lang w:val="en-AU"/>
              </w:rPr>
              <w:t>''''''''''''''''</w:t>
            </w:r>
            <w:r w:rsidR="00A31690">
              <w:rPr>
                <w:vertAlign w:val="superscript"/>
              </w:rPr>
              <w:t>1</w:t>
            </w:r>
            <w:r w:rsidRPr="00311DF9">
              <w:rPr>
                <w:rFonts w:cs="Arial"/>
                <w:szCs w:val="20"/>
                <w:lang w:val="en-AU"/>
              </w:rPr>
              <w:t>/QALY gained</w:t>
            </w:r>
            <w:r w:rsidR="00354F64" w:rsidRPr="00311DF9">
              <w:rPr>
                <w:rFonts w:cs="Arial"/>
                <w:color w:val="3366FF"/>
                <w:szCs w:val="20"/>
                <w:lang w:val="en-AU"/>
              </w:rPr>
              <w:t>.</w:t>
            </w:r>
          </w:p>
        </w:tc>
      </w:tr>
      <w:tr w:rsidR="00537182" w:rsidRPr="00311DF9" w14:paraId="18EAB4F8" w14:textId="77777777" w:rsidTr="000B7376">
        <w:tc>
          <w:tcPr>
            <w:tcW w:w="596" w:type="pct"/>
            <w:shd w:val="clear" w:color="auto" w:fill="auto"/>
            <w:vAlign w:val="center"/>
          </w:tcPr>
          <w:p w14:paraId="4F009003" w14:textId="77777777" w:rsidR="00D110BD" w:rsidRPr="00311DF9" w:rsidRDefault="00106B80" w:rsidP="00E4708C">
            <w:pPr>
              <w:pStyle w:val="TableText0"/>
              <w:keepLines/>
              <w:jc w:val="center"/>
            </w:pPr>
            <w:r w:rsidRPr="00311DF9">
              <w:t>Extrapolation</w:t>
            </w:r>
          </w:p>
        </w:tc>
        <w:tc>
          <w:tcPr>
            <w:tcW w:w="2545" w:type="pct"/>
            <w:shd w:val="clear" w:color="auto" w:fill="auto"/>
            <w:vAlign w:val="center"/>
          </w:tcPr>
          <w:p w14:paraId="63A1A026" w14:textId="77777777" w:rsidR="00106B80" w:rsidRPr="00311DF9" w:rsidRDefault="00C36382" w:rsidP="00A31690">
            <w:pPr>
              <w:pStyle w:val="TableText0"/>
              <w:keepLines/>
            </w:pPr>
            <w:r w:rsidRPr="00311DF9">
              <w:t>Use of log-logistic methods to extrapolate OS and PFS in nivolumab plus chemotherapy and Weibull for the OS and PFS of chemotherapy and time on treatment for both arms.  This was applied at 57 weeks in the nivolumab plus chemotherapy arm and 48 weeks in the chemotherapy arm</w:t>
            </w:r>
            <w:r w:rsidR="00111218" w:rsidRPr="00311DF9">
              <w:t xml:space="preserve"> based on median follow -up</w:t>
            </w:r>
            <w:r w:rsidRPr="00311DF9">
              <w:t xml:space="preserve">. </w:t>
            </w:r>
          </w:p>
        </w:tc>
        <w:tc>
          <w:tcPr>
            <w:tcW w:w="1859" w:type="pct"/>
            <w:shd w:val="clear" w:color="auto" w:fill="auto"/>
            <w:vAlign w:val="center"/>
          </w:tcPr>
          <w:p w14:paraId="4A89C292" w14:textId="77777777" w:rsidR="00D110BD" w:rsidRPr="00311DF9" w:rsidRDefault="00D110BD" w:rsidP="00E4708C">
            <w:pPr>
              <w:pStyle w:val="TableText0"/>
              <w:keepLines/>
            </w:pPr>
            <w:r w:rsidRPr="00311DF9">
              <w:t xml:space="preserve">High, favours </w:t>
            </w:r>
            <w:r w:rsidR="00C36382" w:rsidRPr="00311DF9">
              <w:t>nivolumab plus chemotherapy</w:t>
            </w:r>
            <w:r w:rsidR="009E750D" w:rsidRPr="00311DF9">
              <w:t>.</w:t>
            </w:r>
          </w:p>
          <w:p w14:paraId="21FA430B" w14:textId="77777777" w:rsidR="00490B17" w:rsidRPr="00311DF9" w:rsidRDefault="00C36382" w:rsidP="00EE24E6">
            <w:pPr>
              <w:pStyle w:val="TableText0"/>
              <w:keepLines/>
            </w:pPr>
            <w:r w:rsidRPr="00311DF9">
              <w:rPr>
                <w:rFonts w:cs="Arial"/>
                <w:szCs w:val="20"/>
              </w:rPr>
              <w:t>Switching extrapolation of OS and PFS in chemotherapy arm to log-logistic</w:t>
            </w:r>
            <w:r w:rsidR="00490B17" w:rsidRPr="00311DF9">
              <w:t xml:space="preserve"> increased the ICER to </w:t>
            </w:r>
            <w:r w:rsidR="00DF0A4C">
              <w:rPr>
                <w:noProof/>
                <w:color w:val="000000"/>
                <w:highlight w:val="black"/>
              </w:rPr>
              <w:t>''''''''''''''''''''''''</w:t>
            </w:r>
            <w:r w:rsidR="00A31690">
              <w:rPr>
                <w:vertAlign w:val="superscript"/>
              </w:rPr>
              <w:t>2</w:t>
            </w:r>
            <w:r w:rsidR="00490B17" w:rsidRPr="00311DF9">
              <w:t xml:space="preserve">/QALY gained. </w:t>
            </w:r>
          </w:p>
        </w:tc>
      </w:tr>
      <w:tr w:rsidR="009E750D" w:rsidRPr="00311DF9" w14:paraId="16446A7F" w14:textId="77777777" w:rsidTr="000B7376">
        <w:tc>
          <w:tcPr>
            <w:tcW w:w="596" w:type="pct"/>
            <w:shd w:val="clear" w:color="auto" w:fill="auto"/>
            <w:vAlign w:val="center"/>
          </w:tcPr>
          <w:p w14:paraId="7F2D5BDE" w14:textId="77777777" w:rsidR="009E750D" w:rsidRPr="00311DF9" w:rsidRDefault="009E750D" w:rsidP="00E4708C">
            <w:pPr>
              <w:pStyle w:val="TableText0"/>
              <w:keepLines/>
              <w:jc w:val="center"/>
            </w:pPr>
            <w:r w:rsidRPr="00311DF9">
              <w:t>Time horizon</w:t>
            </w:r>
          </w:p>
        </w:tc>
        <w:tc>
          <w:tcPr>
            <w:tcW w:w="2545" w:type="pct"/>
            <w:shd w:val="clear" w:color="auto" w:fill="auto"/>
            <w:vAlign w:val="center"/>
          </w:tcPr>
          <w:p w14:paraId="0A2A4252" w14:textId="77777777" w:rsidR="009E750D" w:rsidRPr="00311DF9" w:rsidRDefault="009E750D" w:rsidP="00E4708C">
            <w:pPr>
              <w:pStyle w:val="TableText0"/>
              <w:keepLines/>
            </w:pPr>
            <w:r w:rsidRPr="00311DF9">
              <w:t>7.5 years</w:t>
            </w:r>
            <w:r w:rsidR="00E4708C" w:rsidRPr="00311DF9">
              <w:t xml:space="preserve">, extrapolated from a median trial follow up of 12.1 months for overall survival </w:t>
            </w:r>
          </w:p>
        </w:tc>
        <w:tc>
          <w:tcPr>
            <w:tcW w:w="1859" w:type="pct"/>
            <w:shd w:val="clear" w:color="auto" w:fill="auto"/>
            <w:vAlign w:val="center"/>
          </w:tcPr>
          <w:p w14:paraId="123F0235" w14:textId="77777777" w:rsidR="009E750D" w:rsidRPr="00311DF9" w:rsidRDefault="009E407D" w:rsidP="00E4708C">
            <w:pPr>
              <w:pStyle w:val="TableText0"/>
              <w:keepLines/>
            </w:pPr>
            <w:r w:rsidRPr="00311DF9">
              <w:t>Moderate</w:t>
            </w:r>
            <w:r w:rsidR="009E750D" w:rsidRPr="00311DF9">
              <w:t>, favours nivolumab plus chemotherapy</w:t>
            </w:r>
            <w:r w:rsidR="00E4708C" w:rsidRPr="00311DF9">
              <w:t xml:space="preserve">. </w:t>
            </w:r>
            <w:r w:rsidR="009E750D" w:rsidRPr="00311DF9">
              <w:t xml:space="preserve">Shortening the time horizon to 5 years increased the ICER to </w:t>
            </w:r>
            <w:r w:rsidR="00DF0A4C">
              <w:rPr>
                <w:noProof/>
                <w:color w:val="000000"/>
                <w:highlight w:val="black"/>
              </w:rPr>
              <w:t>''''''''''''''''''''''</w:t>
            </w:r>
            <w:r w:rsidR="00A31690">
              <w:rPr>
                <w:vertAlign w:val="superscript"/>
              </w:rPr>
              <w:t>3</w:t>
            </w:r>
          </w:p>
        </w:tc>
      </w:tr>
    </w:tbl>
    <w:p w14:paraId="59B6494D" w14:textId="7B1083E2" w:rsidR="00D110BD" w:rsidRDefault="009D792E" w:rsidP="00E4708C">
      <w:pPr>
        <w:pStyle w:val="TableFigureFooter"/>
        <w:keepNext/>
        <w:keepLines/>
      </w:pPr>
      <w:r>
        <w:t>Source:</w:t>
      </w:r>
      <w:r w:rsidR="00CC6594">
        <w:t xml:space="preserve"> pp</w:t>
      </w:r>
      <w:r w:rsidR="00CC6594" w:rsidRPr="00CC6594">
        <w:t xml:space="preserve"> </w:t>
      </w:r>
      <w:r w:rsidR="00CC6594">
        <w:t>Source: pp86-112 of the submission.</w:t>
      </w:r>
    </w:p>
    <w:p w14:paraId="4126ED88" w14:textId="77777777" w:rsidR="00A31690" w:rsidRDefault="00A31690" w:rsidP="00A31690">
      <w:pPr>
        <w:pStyle w:val="TableFigureFooter"/>
        <w:spacing w:after="0"/>
        <w:contextualSpacing w:val="0"/>
        <w:rPr>
          <w:i/>
        </w:rPr>
      </w:pPr>
      <w:r w:rsidRPr="009868C4">
        <w:rPr>
          <w:i/>
        </w:rPr>
        <w:t>The redacted values correspond to the following ranges</w:t>
      </w:r>
      <w:r>
        <w:rPr>
          <w:i/>
        </w:rPr>
        <w:t xml:space="preserve">: </w:t>
      </w:r>
    </w:p>
    <w:p w14:paraId="0D735D17" w14:textId="77777777" w:rsidR="00A31690" w:rsidRPr="00870C5D" w:rsidRDefault="00A31690" w:rsidP="00A31690">
      <w:pPr>
        <w:pStyle w:val="TableFigureFooter"/>
        <w:spacing w:after="0"/>
        <w:contextualSpacing w:val="0"/>
      </w:pPr>
      <w:r>
        <w:rPr>
          <w:i/>
          <w:vertAlign w:val="superscript"/>
        </w:rPr>
        <w:t>1</w:t>
      </w:r>
      <w:r>
        <w:rPr>
          <w:i/>
        </w:rPr>
        <w:t xml:space="preserve"> </w:t>
      </w:r>
      <w:r w:rsidRPr="00A31690">
        <w:rPr>
          <w:i/>
        </w:rPr>
        <w:t>$55,000 to &lt; $75,000</w:t>
      </w:r>
    </w:p>
    <w:p w14:paraId="1DC6F74D" w14:textId="77777777" w:rsidR="00A31690" w:rsidRPr="00870C5D" w:rsidRDefault="00A31690" w:rsidP="00A31690">
      <w:pPr>
        <w:pStyle w:val="TableFigureFooter"/>
        <w:spacing w:after="0"/>
        <w:contextualSpacing w:val="0"/>
      </w:pPr>
      <w:r>
        <w:rPr>
          <w:i/>
          <w:vertAlign w:val="superscript"/>
        </w:rPr>
        <w:t>2</w:t>
      </w:r>
      <w:r>
        <w:rPr>
          <w:i/>
        </w:rPr>
        <w:t xml:space="preserve"> </w:t>
      </w:r>
      <w:r w:rsidRPr="00A31690">
        <w:rPr>
          <w:i/>
        </w:rPr>
        <w:t>$115,000 to &lt; $135,000</w:t>
      </w:r>
    </w:p>
    <w:p w14:paraId="1C5910C2" w14:textId="0AE06E76" w:rsidR="00A31690" w:rsidRDefault="00A31690" w:rsidP="002D65F4">
      <w:pPr>
        <w:pStyle w:val="TableFigureFooter"/>
        <w:contextualSpacing w:val="0"/>
      </w:pPr>
      <w:r>
        <w:rPr>
          <w:i/>
          <w:vertAlign w:val="superscript"/>
        </w:rPr>
        <w:t>3</w:t>
      </w:r>
      <w:r>
        <w:rPr>
          <w:i/>
        </w:rPr>
        <w:t xml:space="preserve"> </w:t>
      </w:r>
      <w:r w:rsidRPr="00A31690">
        <w:rPr>
          <w:i/>
        </w:rPr>
        <w:t>$75,000 to &lt; $95,000</w:t>
      </w:r>
    </w:p>
    <w:p w14:paraId="1FE4B4D3" w14:textId="77777777" w:rsidR="005A373D" w:rsidRPr="00311DF9" w:rsidRDefault="000B7376" w:rsidP="00652CC2">
      <w:pPr>
        <w:pStyle w:val="3-BodyText"/>
        <w:ind w:left="720"/>
      </w:pPr>
      <w:r w:rsidRPr="00311DF9">
        <w:t xml:space="preserve">Results of the stepped economic analysis are presented in </w:t>
      </w:r>
      <w:r w:rsidR="002A0BA9" w:rsidRPr="002A0BA9">
        <w:t>Table 11</w:t>
      </w:r>
      <w:r w:rsidRPr="00311DF9">
        <w:t>.</w:t>
      </w:r>
      <w:r w:rsidR="009E407D" w:rsidRPr="00311DF9">
        <w:t xml:space="preserve"> The results of Step 1 could not be verified during the evaluation. Results from the evaluation attempt</w:t>
      </w:r>
      <w:r w:rsidR="00A4122B" w:rsidRPr="00311DF9">
        <w:t>ing</w:t>
      </w:r>
      <w:r w:rsidR="009E407D" w:rsidRPr="00311DF9">
        <w:t xml:space="preserve"> to verify Step 1 are presented in the table.</w:t>
      </w:r>
      <w:r w:rsidR="006F5D88" w:rsidRPr="00311DF9">
        <w:t xml:space="preserve"> It appeared that the 36-month time horizon in step 1 was based on the maximum treatment duration of the nivolumab plus ipilimumab arm of </w:t>
      </w:r>
      <w:proofErr w:type="spellStart"/>
      <w:r w:rsidR="006F5D88" w:rsidRPr="00311DF9">
        <w:t>CheckMate</w:t>
      </w:r>
      <w:proofErr w:type="spellEnd"/>
      <w:r w:rsidR="006F5D88" w:rsidRPr="00311DF9">
        <w:t xml:space="preserve"> 649. This was inconsistent with the KM data included in the model. </w:t>
      </w:r>
    </w:p>
    <w:p w14:paraId="23F9CE08" w14:textId="77777777" w:rsidR="009E407D" w:rsidRPr="009E407D" w:rsidRDefault="00CC6594" w:rsidP="00E4708C">
      <w:pPr>
        <w:keepNext/>
        <w:keepLines/>
        <w:rPr>
          <w:rFonts w:ascii="Arial Narrow" w:hAnsi="Arial Narrow"/>
          <w:b/>
          <w:sz w:val="20"/>
          <w:szCs w:val="16"/>
        </w:rPr>
      </w:pPr>
      <w:bookmarkStart w:id="44" w:name="_Ref69463826"/>
      <w:r w:rsidRPr="00CC6594">
        <w:rPr>
          <w:rStyle w:val="CommentReference"/>
          <w:bCs/>
          <w:szCs w:val="24"/>
        </w:rPr>
        <w:t xml:space="preserve">Table </w:t>
      </w:r>
      <w:r w:rsidR="002A0BA9">
        <w:rPr>
          <w:rStyle w:val="CommentReference"/>
          <w:bCs/>
          <w:noProof/>
          <w:szCs w:val="24"/>
        </w:rPr>
        <w:t>11</w:t>
      </w:r>
      <w:bookmarkEnd w:id="44"/>
      <w:r w:rsidRPr="00CC6594">
        <w:rPr>
          <w:rStyle w:val="CommentReference"/>
          <w:bCs/>
          <w:szCs w:val="24"/>
        </w:rPr>
        <w:t>:</w:t>
      </w:r>
      <w:r>
        <w:rPr>
          <w:rStyle w:val="CommentReference"/>
          <w:bCs/>
          <w:i/>
          <w:iCs/>
          <w:szCs w:val="24"/>
        </w:rPr>
        <w:t xml:space="preserve"> </w:t>
      </w:r>
      <w:r w:rsidR="009E407D">
        <w:rPr>
          <w:rStyle w:val="CommentReference"/>
        </w:rPr>
        <w:t>Results of the stepped economic evaluation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Caption w:val="Table 11: Results of the stepped economic evaluation"/>
      </w:tblPr>
      <w:tblGrid>
        <w:gridCol w:w="2757"/>
        <w:gridCol w:w="2451"/>
        <w:gridCol w:w="2298"/>
        <w:gridCol w:w="1511"/>
      </w:tblGrid>
      <w:tr w:rsidR="009E407D" w:rsidRPr="005E6CBC" w14:paraId="70252CB5" w14:textId="77777777" w:rsidTr="00D43CBF">
        <w:trPr>
          <w:tblHeader/>
        </w:trPr>
        <w:tc>
          <w:tcPr>
            <w:tcW w:w="1529" w:type="pct"/>
            <w:vAlign w:val="center"/>
          </w:tcPr>
          <w:p w14:paraId="4161D868" w14:textId="77777777" w:rsidR="009E407D" w:rsidRPr="005E6CBC" w:rsidRDefault="009E407D" w:rsidP="00E4708C">
            <w:pPr>
              <w:pStyle w:val="Tabletext"/>
              <w:keepNext/>
              <w:keepLines/>
              <w:rPr>
                <w:b/>
              </w:rPr>
            </w:pPr>
            <w:r w:rsidRPr="005E6CBC">
              <w:rPr>
                <w:b/>
              </w:rPr>
              <w:t>Step and component</w:t>
            </w:r>
          </w:p>
        </w:tc>
        <w:tc>
          <w:tcPr>
            <w:tcW w:w="1359" w:type="pct"/>
            <w:vAlign w:val="center"/>
          </w:tcPr>
          <w:p w14:paraId="61B7DCE7" w14:textId="77777777" w:rsidR="009E407D" w:rsidRPr="005E6CBC" w:rsidRDefault="009E407D" w:rsidP="00E4708C">
            <w:pPr>
              <w:pStyle w:val="Tabletext"/>
              <w:keepNext/>
              <w:keepLines/>
              <w:jc w:val="center"/>
              <w:rPr>
                <w:b/>
              </w:rPr>
            </w:pPr>
            <w:r>
              <w:rPr>
                <w:b/>
              </w:rPr>
              <w:t>Nivolumab plus chemotherapy</w:t>
            </w:r>
          </w:p>
        </w:tc>
        <w:tc>
          <w:tcPr>
            <w:tcW w:w="1274" w:type="pct"/>
            <w:vAlign w:val="center"/>
          </w:tcPr>
          <w:p w14:paraId="65A282ED" w14:textId="77777777" w:rsidR="009E407D" w:rsidRPr="005E6CBC" w:rsidRDefault="00BF6111" w:rsidP="00E4708C">
            <w:pPr>
              <w:pStyle w:val="Tabletext"/>
              <w:keepNext/>
              <w:keepLines/>
              <w:jc w:val="center"/>
              <w:rPr>
                <w:b/>
              </w:rPr>
            </w:pPr>
            <w:r>
              <w:rPr>
                <w:b/>
              </w:rPr>
              <w:t>C</w:t>
            </w:r>
            <w:r w:rsidR="009E407D">
              <w:rPr>
                <w:b/>
              </w:rPr>
              <w:t>hemotherapy</w:t>
            </w:r>
          </w:p>
        </w:tc>
        <w:tc>
          <w:tcPr>
            <w:tcW w:w="838" w:type="pct"/>
            <w:vAlign w:val="center"/>
          </w:tcPr>
          <w:p w14:paraId="2685A55A" w14:textId="77777777" w:rsidR="009E407D" w:rsidRPr="005E6CBC" w:rsidRDefault="009E407D" w:rsidP="00E4708C">
            <w:pPr>
              <w:pStyle w:val="Tabletext"/>
              <w:keepNext/>
              <w:keepLines/>
              <w:jc w:val="center"/>
              <w:rPr>
                <w:b/>
              </w:rPr>
            </w:pPr>
            <w:r w:rsidRPr="005E6CBC">
              <w:rPr>
                <w:b/>
              </w:rPr>
              <w:t>Increment</w:t>
            </w:r>
          </w:p>
        </w:tc>
      </w:tr>
      <w:tr w:rsidR="009E407D" w:rsidRPr="003D5C02" w14:paraId="3EA8C795" w14:textId="77777777" w:rsidTr="00D43CBF">
        <w:tc>
          <w:tcPr>
            <w:tcW w:w="5000" w:type="pct"/>
            <w:gridSpan w:val="4"/>
            <w:vAlign w:val="center"/>
          </w:tcPr>
          <w:p w14:paraId="5D3112BD" w14:textId="77777777" w:rsidR="009E407D" w:rsidRPr="005E6CBC" w:rsidRDefault="009E407D" w:rsidP="00E4708C">
            <w:pPr>
              <w:pStyle w:val="Tabletext"/>
              <w:keepNext/>
              <w:keepLines/>
              <w:rPr>
                <w:b/>
              </w:rPr>
            </w:pPr>
            <w:r w:rsidRPr="005E6CBC">
              <w:rPr>
                <w:b/>
              </w:rPr>
              <w:t>Step 1: trial-based costs and outcomes</w:t>
            </w:r>
            <w:r>
              <w:t xml:space="preserve"> (</w:t>
            </w:r>
            <w:r w:rsidRPr="00817454">
              <w:rPr>
                <w:b/>
              </w:rPr>
              <w:t>cost per LY – 36.0-month time horizon)</w:t>
            </w:r>
          </w:p>
        </w:tc>
      </w:tr>
      <w:tr w:rsidR="009E407D" w:rsidRPr="00E2771E" w14:paraId="39EFC9EF" w14:textId="77777777" w:rsidTr="00D43CBF">
        <w:tc>
          <w:tcPr>
            <w:tcW w:w="1529" w:type="pct"/>
            <w:vAlign w:val="center"/>
          </w:tcPr>
          <w:p w14:paraId="6BFD80AF" w14:textId="77777777" w:rsidR="009E407D" w:rsidRPr="00E2771E" w:rsidRDefault="009E407D" w:rsidP="00E4708C">
            <w:pPr>
              <w:pStyle w:val="Tabletext"/>
              <w:keepNext/>
              <w:keepLines/>
              <w:rPr>
                <w:rFonts w:ascii="Times" w:hAnsi="Times"/>
              </w:rPr>
            </w:pPr>
            <w:r w:rsidRPr="00E2771E">
              <w:t>Costs</w:t>
            </w:r>
            <w:r w:rsidR="00A31690">
              <w:t xml:space="preserve"> ($)</w:t>
            </w:r>
          </w:p>
        </w:tc>
        <w:tc>
          <w:tcPr>
            <w:tcW w:w="1359" w:type="pct"/>
          </w:tcPr>
          <w:p w14:paraId="773EA671" w14:textId="77777777" w:rsidR="009E407D" w:rsidRPr="00DF0A4C" w:rsidRDefault="00DF0A4C" w:rsidP="00E4708C">
            <w:pPr>
              <w:pStyle w:val="Tabletext"/>
              <w:keepNext/>
              <w:keepLines/>
              <w:jc w:val="center"/>
              <w:rPr>
                <w:rFonts w:cs="Calibri"/>
                <w:highlight w:val="black"/>
              </w:rPr>
            </w:pPr>
            <w:r>
              <w:rPr>
                <w:rFonts w:cs="Calibri"/>
                <w:noProof/>
                <w:color w:val="000000"/>
                <w:highlight w:val="black"/>
              </w:rPr>
              <w:t>''''''''''''''''''''''''''</w:t>
            </w:r>
          </w:p>
        </w:tc>
        <w:tc>
          <w:tcPr>
            <w:tcW w:w="1274" w:type="pct"/>
            <w:vAlign w:val="center"/>
          </w:tcPr>
          <w:p w14:paraId="39843A68" w14:textId="77777777" w:rsidR="009E407D" w:rsidRPr="005E6CBC" w:rsidRDefault="009E407D" w:rsidP="00E4708C">
            <w:pPr>
              <w:pStyle w:val="Tabletext"/>
              <w:keepNext/>
              <w:keepLines/>
              <w:jc w:val="center"/>
              <w:rPr>
                <w:rFonts w:ascii="Times" w:hAnsi="Times"/>
              </w:rPr>
            </w:pPr>
            <w:r w:rsidRPr="00817454">
              <w:rPr>
                <w:rFonts w:cs="Calibri"/>
              </w:rPr>
              <w:t>$43,714.99</w:t>
            </w:r>
          </w:p>
        </w:tc>
        <w:tc>
          <w:tcPr>
            <w:tcW w:w="838" w:type="pct"/>
            <w:vAlign w:val="center"/>
          </w:tcPr>
          <w:p w14:paraId="20C17D47" w14:textId="77777777" w:rsidR="009E407D" w:rsidRPr="00DF0A4C" w:rsidRDefault="00DF0A4C" w:rsidP="00E4708C">
            <w:pPr>
              <w:pStyle w:val="Tabletext"/>
              <w:keepNext/>
              <w:keepLines/>
              <w:jc w:val="center"/>
              <w:rPr>
                <w:rFonts w:ascii="Times" w:hAnsi="Times"/>
                <w:highlight w:val="black"/>
              </w:rPr>
            </w:pPr>
            <w:r>
              <w:rPr>
                <w:rFonts w:eastAsiaTheme="minorHAnsi"/>
                <w:noProof/>
                <w:color w:val="000000"/>
                <w:highlight w:val="black"/>
              </w:rPr>
              <w:t>'''''''''''''''''''''''''''''</w:t>
            </w:r>
          </w:p>
        </w:tc>
      </w:tr>
      <w:tr w:rsidR="009E407D" w:rsidRPr="00E2771E" w14:paraId="40F157D1" w14:textId="77777777" w:rsidTr="00D43CBF">
        <w:tc>
          <w:tcPr>
            <w:tcW w:w="1529" w:type="pct"/>
            <w:vAlign w:val="center"/>
          </w:tcPr>
          <w:p w14:paraId="3F22B80E" w14:textId="77777777" w:rsidR="009E407D" w:rsidRPr="00E2771E" w:rsidRDefault="009E407D" w:rsidP="00E4708C">
            <w:pPr>
              <w:pStyle w:val="Tabletext"/>
              <w:keepNext/>
              <w:keepLines/>
              <w:rPr>
                <w:rFonts w:ascii="Times" w:hAnsi="Times"/>
              </w:rPr>
            </w:pPr>
            <w:r>
              <w:t>LYG</w:t>
            </w:r>
          </w:p>
        </w:tc>
        <w:tc>
          <w:tcPr>
            <w:tcW w:w="1359" w:type="pct"/>
          </w:tcPr>
          <w:p w14:paraId="31FBCFF2" w14:textId="77777777" w:rsidR="009E407D" w:rsidRPr="005E6CBC" w:rsidRDefault="009E407D" w:rsidP="00E4708C">
            <w:pPr>
              <w:pStyle w:val="Tabletext"/>
              <w:keepNext/>
              <w:keepLines/>
              <w:jc w:val="center"/>
              <w:rPr>
                <w:rFonts w:ascii="Times" w:hAnsi="Times"/>
              </w:rPr>
            </w:pPr>
            <w:r w:rsidRPr="00817454">
              <w:rPr>
                <w:rFonts w:cs="Calibri"/>
              </w:rPr>
              <w:t>1.317</w:t>
            </w:r>
          </w:p>
        </w:tc>
        <w:tc>
          <w:tcPr>
            <w:tcW w:w="1274" w:type="pct"/>
            <w:vAlign w:val="center"/>
          </w:tcPr>
          <w:p w14:paraId="24654F1B" w14:textId="77777777" w:rsidR="009E407D" w:rsidRPr="005E6CBC" w:rsidRDefault="009E407D" w:rsidP="00E4708C">
            <w:pPr>
              <w:pStyle w:val="Tabletext"/>
              <w:keepNext/>
              <w:keepLines/>
              <w:jc w:val="center"/>
              <w:rPr>
                <w:rFonts w:ascii="Times" w:hAnsi="Times"/>
              </w:rPr>
            </w:pPr>
            <w:r w:rsidRPr="00817454">
              <w:rPr>
                <w:rFonts w:cs="Calibri"/>
              </w:rPr>
              <w:t>1.140</w:t>
            </w:r>
          </w:p>
        </w:tc>
        <w:tc>
          <w:tcPr>
            <w:tcW w:w="838" w:type="pct"/>
            <w:vAlign w:val="center"/>
          </w:tcPr>
          <w:p w14:paraId="5D9890A1" w14:textId="77777777" w:rsidR="009E407D" w:rsidRPr="005E6CBC" w:rsidRDefault="009E407D" w:rsidP="00E4708C">
            <w:pPr>
              <w:pStyle w:val="Tabletext"/>
              <w:keepNext/>
              <w:keepLines/>
              <w:jc w:val="center"/>
            </w:pPr>
            <w:r w:rsidRPr="00817454">
              <w:rPr>
                <w:rFonts w:eastAsiaTheme="minorHAnsi"/>
              </w:rPr>
              <w:t>0.177</w:t>
            </w:r>
          </w:p>
        </w:tc>
      </w:tr>
      <w:tr w:rsidR="009E407D" w:rsidRPr="00E2771E" w14:paraId="21D9B3BE" w14:textId="77777777" w:rsidTr="00D43CBF">
        <w:tc>
          <w:tcPr>
            <w:tcW w:w="4162" w:type="pct"/>
            <w:gridSpan w:val="3"/>
            <w:vAlign w:val="center"/>
          </w:tcPr>
          <w:p w14:paraId="05C2B2EA" w14:textId="77777777" w:rsidR="009E407D" w:rsidRPr="005E6CBC" w:rsidRDefault="009E407D" w:rsidP="00E4708C">
            <w:pPr>
              <w:pStyle w:val="Tabletext"/>
              <w:keepNext/>
              <w:keepLines/>
              <w:rPr>
                <w:rFonts w:ascii="Times" w:hAnsi="Times"/>
              </w:rPr>
            </w:pPr>
            <w:r w:rsidRPr="005E6CBC">
              <w:t>Incremental cost/extra LYG gained</w:t>
            </w:r>
          </w:p>
        </w:tc>
        <w:tc>
          <w:tcPr>
            <w:tcW w:w="838" w:type="pct"/>
            <w:vAlign w:val="center"/>
          </w:tcPr>
          <w:p w14:paraId="19566126" w14:textId="77777777" w:rsidR="009E407D" w:rsidRPr="005E6CBC" w:rsidRDefault="00DF0A4C" w:rsidP="00E4708C">
            <w:pPr>
              <w:pStyle w:val="Tabletext"/>
              <w:keepNext/>
              <w:keepLines/>
              <w:jc w:val="center"/>
              <w:rPr>
                <w:rFonts w:ascii="Times" w:hAnsi="Times"/>
              </w:rPr>
            </w:pPr>
            <w:r>
              <w:rPr>
                <w:rFonts w:eastAsiaTheme="minorHAnsi"/>
                <w:noProof/>
                <w:color w:val="000000"/>
                <w:highlight w:val="black"/>
              </w:rPr>
              <w:t>''''''''''''''''''''''''''''''</w:t>
            </w:r>
            <w:r w:rsidR="00EF23EA">
              <w:rPr>
                <w:vertAlign w:val="superscript"/>
              </w:rPr>
              <w:t>1</w:t>
            </w:r>
          </w:p>
        </w:tc>
      </w:tr>
      <w:tr w:rsidR="009E407D" w:rsidRPr="00BF6111" w14:paraId="2802A641" w14:textId="77777777" w:rsidTr="00D43CBF">
        <w:tc>
          <w:tcPr>
            <w:tcW w:w="4162" w:type="pct"/>
            <w:gridSpan w:val="3"/>
            <w:vAlign w:val="center"/>
          </w:tcPr>
          <w:p w14:paraId="37D137B2" w14:textId="77777777" w:rsidR="009E407D" w:rsidRPr="00BF6111" w:rsidRDefault="009E407D" w:rsidP="00E4708C">
            <w:pPr>
              <w:pStyle w:val="Tabletext"/>
              <w:keepNext/>
              <w:keepLines/>
              <w:rPr>
                <w:b/>
                <w:bCs/>
              </w:rPr>
            </w:pPr>
            <w:r w:rsidRPr="00BF6111">
              <w:rPr>
                <w:b/>
                <w:bCs/>
              </w:rPr>
              <w:t>Step 1: trial-based costs and outcomes (cost per LY – 36-month time horizon) -- evaluation</w:t>
            </w:r>
          </w:p>
        </w:tc>
        <w:tc>
          <w:tcPr>
            <w:tcW w:w="838" w:type="pct"/>
            <w:vAlign w:val="center"/>
          </w:tcPr>
          <w:p w14:paraId="70527FED" w14:textId="77777777" w:rsidR="009E407D" w:rsidRPr="00BF6111" w:rsidRDefault="009E407D" w:rsidP="00E4708C">
            <w:pPr>
              <w:pStyle w:val="Tabletext"/>
              <w:keepNext/>
              <w:keepLines/>
              <w:jc w:val="center"/>
              <w:rPr>
                <w:rFonts w:eastAsiaTheme="minorHAnsi"/>
              </w:rPr>
            </w:pPr>
          </w:p>
        </w:tc>
      </w:tr>
      <w:tr w:rsidR="009E407D" w:rsidRPr="00BF6111" w14:paraId="2F0C9D82" w14:textId="77777777" w:rsidTr="00D43CBF">
        <w:tc>
          <w:tcPr>
            <w:tcW w:w="1529" w:type="pct"/>
            <w:vAlign w:val="center"/>
          </w:tcPr>
          <w:p w14:paraId="08B0C889" w14:textId="77777777" w:rsidR="009E407D" w:rsidRPr="00BF6111" w:rsidRDefault="009E407D" w:rsidP="00E4708C">
            <w:pPr>
              <w:pStyle w:val="Tabletext"/>
              <w:keepNext/>
              <w:keepLines/>
            </w:pPr>
            <w:r w:rsidRPr="00BF6111">
              <w:t>Costs</w:t>
            </w:r>
            <w:r w:rsidR="00A31690">
              <w:t xml:space="preserve"> ($)</w:t>
            </w:r>
          </w:p>
        </w:tc>
        <w:tc>
          <w:tcPr>
            <w:tcW w:w="1359" w:type="pct"/>
            <w:vAlign w:val="center"/>
          </w:tcPr>
          <w:p w14:paraId="0109D6BD" w14:textId="77777777" w:rsidR="009E407D" w:rsidRPr="00DF0A4C" w:rsidRDefault="00DF0A4C" w:rsidP="00E4708C">
            <w:pPr>
              <w:pStyle w:val="Tabletext"/>
              <w:keepNext/>
              <w:keepLines/>
              <w:jc w:val="center"/>
              <w:rPr>
                <w:highlight w:val="black"/>
              </w:rPr>
            </w:pPr>
            <w:r>
              <w:rPr>
                <w:noProof/>
                <w:color w:val="000000"/>
                <w:highlight w:val="black"/>
              </w:rPr>
              <w:t>'''''''''''''''''''''''''</w:t>
            </w:r>
          </w:p>
        </w:tc>
        <w:tc>
          <w:tcPr>
            <w:tcW w:w="1274" w:type="pct"/>
            <w:vAlign w:val="center"/>
          </w:tcPr>
          <w:p w14:paraId="717FAF27" w14:textId="77777777" w:rsidR="009E407D" w:rsidRPr="00BF6111" w:rsidRDefault="009E407D" w:rsidP="00E4708C">
            <w:pPr>
              <w:pStyle w:val="Tabletext"/>
              <w:keepNext/>
              <w:keepLines/>
              <w:jc w:val="center"/>
            </w:pPr>
            <w:r w:rsidRPr="00BF6111">
              <w:t>$45,785.05</w:t>
            </w:r>
          </w:p>
        </w:tc>
        <w:tc>
          <w:tcPr>
            <w:tcW w:w="838" w:type="pct"/>
            <w:vAlign w:val="center"/>
          </w:tcPr>
          <w:p w14:paraId="4A6F6899" w14:textId="77777777" w:rsidR="009E407D" w:rsidRPr="00DF0A4C" w:rsidRDefault="00DF0A4C" w:rsidP="00E4708C">
            <w:pPr>
              <w:pStyle w:val="Tabletext"/>
              <w:keepNext/>
              <w:keepLines/>
              <w:jc w:val="center"/>
              <w:rPr>
                <w:rFonts w:eastAsiaTheme="minorHAnsi"/>
                <w:highlight w:val="black"/>
              </w:rPr>
            </w:pPr>
            <w:r>
              <w:rPr>
                <w:rFonts w:eastAsiaTheme="minorHAnsi"/>
                <w:noProof/>
                <w:color w:val="000000"/>
                <w:highlight w:val="black"/>
              </w:rPr>
              <w:t>'''''''''''''''''''''''''</w:t>
            </w:r>
          </w:p>
        </w:tc>
      </w:tr>
      <w:tr w:rsidR="009E407D" w:rsidRPr="00BF6111" w14:paraId="37D12E67" w14:textId="77777777" w:rsidTr="00D43CBF">
        <w:tc>
          <w:tcPr>
            <w:tcW w:w="1529" w:type="pct"/>
            <w:vAlign w:val="center"/>
          </w:tcPr>
          <w:p w14:paraId="12035B99" w14:textId="77777777" w:rsidR="009E407D" w:rsidRPr="00BF6111" w:rsidRDefault="009E407D" w:rsidP="00E4708C">
            <w:pPr>
              <w:pStyle w:val="Tabletext"/>
              <w:keepNext/>
              <w:keepLines/>
            </w:pPr>
            <w:r w:rsidRPr="00BF6111">
              <w:t>LYG</w:t>
            </w:r>
          </w:p>
        </w:tc>
        <w:tc>
          <w:tcPr>
            <w:tcW w:w="1359" w:type="pct"/>
            <w:vAlign w:val="center"/>
          </w:tcPr>
          <w:p w14:paraId="25DDA81E" w14:textId="77777777" w:rsidR="009E407D" w:rsidRPr="00BF6111" w:rsidRDefault="009E407D" w:rsidP="00E4708C">
            <w:pPr>
              <w:pStyle w:val="Tabletext"/>
              <w:keepNext/>
              <w:keepLines/>
              <w:jc w:val="center"/>
            </w:pPr>
            <w:r w:rsidRPr="00BF6111">
              <w:t>1.333</w:t>
            </w:r>
          </w:p>
        </w:tc>
        <w:tc>
          <w:tcPr>
            <w:tcW w:w="1274" w:type="pct"/>
            <w:vAlign w:val="center"/>
          </w:tcPr>
          <w:p w14:paraId="43874ED4" w14:textId="77777777" w:rsidR="009E407D" w:rsidRPr="00BF6111" w:rsidRDefault="009E407D" w:rsidP="00E4708C">
            <w:pPr>
              <w:pStyle w:val="Tabletext"/>
              <w:keepNext/>
              <w:keepLines/>
              <w:jc w:val="center"/>
            </w:pPr>
            <w:r w:rsidRPr="00BF6111">
              <w:t>1.119</w:t>
            </w:r>
          </w:p>
        </w:tc>
        <w:tc>
          <w:tcPr>
            <w:tcW w:w="838" w:type="pct"/>
            <w:vAlign w:val="center"/>
          </w:tcPr>
          <w:p w14:paraId="38E8033E" w14:textId="77777777" w:rsidR="009E407D" w:rsidRPr="00BF6111" w:rsidRDefault="009E407D" w:rsidP="00E4708C">
            <w:pPr>
              <w:pStyle w:val="Tabletext"/>
              <w:keepNext/>
              <w:keepLines/>
              <w:jc w:val="center"/>
              <w:rPr>
                <w:rFonts w:eastAsiaTheme="minorHAnsi"/>
              </w:rPr>
            </w:pPr>
            <w:r w:rsidRPr="00BF6111">
              <w:rPr>
                <w:rFonts w:eastAsiaTheme="minorHAnsi"/>
              </w:rPr>
              <w:t>0.214</w:t>
            </w:r>
          </w:p>
        </w:tc>
      </w:tr>
      <w:tr w:rsidR="009E407D" w:rsidRPr="00BF6111" w14:paraId="72B8D956" w14:textId="77777777" w:rsidTr="00D43CBF">
        <w:tc>
          <w:tcPr>
            <w:tcW w:w="4162" w:type="pct"/>
            <w:gridSpan w:val="3"/>
            <w:vAlign w:val="center"/>
          </w:tcPr>
          <w:p w14:paraId="6EEDE6D4" w14:textId="77777777" w:rsidR="009E407D" w:rsidRPr="00BF6111" w:rsidRDefault="009E407D" w:rsidP="00E4708C">
            <w:pPr>
              <w:pStyle w:val="Tabletext"/>
              <w:keepNext/>
              <w:keepLines/>
            </w:pPr>
            <w:r w:rsidRPr="00BF6111">
              <w:t>Incremental cost/extra LYG gained</w:t>
            </w:r>
          </w:p>
        </w:tc>
        <w:tc>
          <w:tcPr>
            <w:tcW w:w="838" w:type="pct"/>
            <w:vAlign w:val="center"/>
          </w:tcPr>
          <w:p w14:paraId="37BD42CF" w14:textId="77777777" w:rsidR="009E407D" w:rsidRPr="00BF6111" w:rsidRDefault="00DF0A4C" w:rsidP="00E4708C">
            <w:pPr>
              <w:pStyle w:val="Tabletext"/>
              <w:keepNext/>
              <w:keepLines/>
              <w:jc w:val="center"/>
              <w:rPr>
                <w:rFonts w:eastAsiaTheme="minorHAnsi"/>
              </w:rPr>
            </w:pPr>
            <w:r>
              <w:rPr>
                <w:rFonts w:eastAsiaTheme="minorHAnsi"/>
                <w:noProof/>
                <w:color w:val="000000"/>
                <w:highlight w:val="black"/>
              </w:rPr>
              <w:t>''''''''''''''''''''''''''''''''</w:t>
            </w:r>
            <w:r w:rsidR="00EF23EA">
              <w:rPr>
                <w:vertAlign w:val="superscript"/>
              </w:rPr>
              <w:t>2</w:t>
            </w:r>
          </w:p>
        </w:tc>
      </w:tr>
      <w:tr w:rsidR="009E407D" w:rsidRPr="00BF6111" w14:paraId="3AC2FF70" w14:textId="77777777" w:rsidTr="00D43CBF">
        <w:tc>
          <w:tcPr>
            <w:tcW w:w="5000" w:type="pct"/>
            <w:gridSpan w:val="4"/>
            <w:vAlign w:val="center"/>
          </w:tcPr>
          <w:p w14:paraId="3876A5CA" w14:textId="77777777" w:rsidR="009E407D" w:rsidRPr="00BF6111" w:rsidRDefault="009E407D" w:rsidP="00E4708C">
            <w:pPr>
              <w:pStyle w:val="Tabletext"/>
              <w:keepNext/>
              <w:keepLines/>
              <w:rPr>
                <w:b/>
              </w:rPr>
            </w:pPr>
            <w:r w:rsidRPr="00BF6111">
              <w:rPr>
                <w:b/>
              </w:rPr>
              <w:t>Step 2: time horizon extended to 7.5-year time horizon</w:t>
            </w:r>
          </w:p>
        </w:tc>
      </w:tr>
      <w:tr w:rsidR="009E407D" w:rsidRPr="00E2771E" w14:paraId="2A1F4ABC" w14:textId="77777777" w:rsidTr="00D43CBF">
        <w:tc>
          <w:tcPr>
            <w:tcW w:w="1529" w:type="pct"/>
            <w:vAlign w:val="center"/>
          </w:tcPr>
          <w:p w14:paraId="65CE4959" w14:textId="77777777" w:rsidR="009E407D" w:rsidRPr="00EF23EA" w:rsidRDefault="009E407D" w:rsidP="00EF23EA">
            <w:pPr>
              <w:pStyle w:val="Tabletext"/>
              <w:keepNext/>
              <w:keepLines/>
              <w:rPr>
                <w:rFonts w:ascii="Times" w:hAnsi="Times"/>
                <w:vertAlign w:val="superscript"/>
              </w:rPr>
            </w:pPr>
            <w:r w:rsidRPr="00E2771E">
              <w:t>Costs</w:t>
            </w:r>
            <w:r w:rsidR="00A31690">
              <w:t xml:space="preserve"> ($)</w:t>
            </w:r>
          </w:p>
        </w:tc>
        <w:tc>
          <w:tcPr>
            <w:tcW w:w="1359" w:type="pct"/>
          </w:tcPr>
          <w:p w14:paraId="35E0B71F" w14:textId="77777777" w:rsidR="009E407D" w:rsidRPr="00DF0A4C" w:rsidRDefault="00DF0A4C" w:rsidP="00E4708C">
            <w:pPr>
              <w:pStyle w:val="Tabletext"/>
              <w:keepNext/>
              <w:keepLines/>
              <w:jc w:val="center"/>
              <w:rPr>
                <w:rFonts w:ascii="Times" w:hAnsi="Times"/>
                <w:highlight w:val="black"/>
              </w:rPr>
            </w:pPr>
            <w:r>
              <w:rPr>
                <w:rFonts w:eastAsiaTheme="minorHAnsi"/>
                <w:noProof/>
                <w:color w:val="000000"/>
                <w:highlight w:val="black"/>
              </w:rPr>
              <w:t>'''''''''''''''''''''''''''</w:t>
            </w:r>
          </w:p>
        </w:tc>
        <w:tc>
          <w:tcPr>
            <w:tcW w:w="1274" w:type="pct"/>
            <w:vAlign w:val="center"/>
          </w:tcPr>
          <w:p w14:paraId="08DDE74C" w14:textId="77777777" w:rsidR="009E407D" w:rsidRPr="005E6CBC" w:rsidRDefault="009E407D" w:rsidP="00E4708C">
            <w:pPr>
              <w:pStyle w:val="Tabletext"/>
              <w:keepNext/>
              <w:keepLines/>
              <w:jc w:val="center"/>
              <w:rPr>
                <w:rFonts w:ascii="Times" w:hAnsi="Times"/>
              </w:rPr>
            </w:pPr>
            <w:r w:rsidRPr="00817454">
              <w:rPr>
                <w:rFonts w:eastAsiaTheme="minorHAnsi"/>
              </w:rPr>
              <w:t>$47,402.05</w:t>
            </w:r>
          </w:p>
        </w:tc>
        <w:tc>
          <w:tcPr>
            <w:tcW w:w="838" w:type="pct"/>
            <w:vAlign w:val="center"/>
          </w:tcPr>
          <w:p w14:paraId="43FF0994" w14:textId="77777777" w:rsidR="009E407D" w:rsidRPr="00DF0A4C" w:rsidRDefault="00DF0A4C" w:rsidP="00E4708C">
            <w:pPr>
              <w:pStyle w:val="Tabletext"/>
              <w:keepNext/>
              <w:keepLines/>
              <w:jc w:val="center"/>
              <w:rPr>
                <w:rFonts w:ascii="Times" w:hAnsi="Times"/>
                <w:highlight w:val="black"/>
              </w:rPr>
            </w:pPr>
            <w:r>
              <w:rPr>
                <w:rFonts w:eastAsiaTheme="minorHAnsi"/>
                <w:noProof/>
                <w:color w:val="000000"/>
                <w:highlight w:val="black"/>
              </w:rPr>
              <w:t>''''''''''''''''''''''''''</w:t>
            </w:r>
          </w:p>
        </w:tc>
      </w:tr>
      <w:tr w:rsidR="009E407D" w:rsidRPr="00E2771E" w14:paraId="32F80BB6" w14:textId="77777777" w:rsidTr="00D43CBF">
        <w:tc>
          <w:tcPr>
            <w:tcW w:w="1529" w:type="pct"/>
            <w:vAlign w:val="center"/>
          </w:tcPr>
          <w:p w14:paraId="0D82CB38" w14:textId="77777777" w:rsidR="009E407D" w:rsidRPr="00E2771E" w:rsidRDefault="009E407D" w:rsidP="00E4708C">
            <w:pPr>
              <w:pStyle w:val="Tabletext"/>
              <w:keepNext/>
              <w:keepLines/>
              <w:rPr>
                <w:rFonts w:ascii="Times" w:hAnsi="Times"/>
              </w:rPr>
            </w:pPr>
            <w:r>
              <w:t>LYG</w:t>
            </w:r>
          </w:p>
        </w:tc>
        <w:tc>
          <w:tcPr>
            <w:tcW w:w="1359" w:type="pct"/>
          </w:tcPr>
          <w:p w14:paraId="6DBACA4E" w14:textId="77777777" w:rsidR="009E407D" w:rsidRPr="005E6CBC" w:rsidRDefault="009E407D" w:rsidP="00E4708C">
            <w:pPr>
              <w:pStyle w:val="Tabletext"/>
              <w:keepNext/>
              <w:keepLines/>
              <w:jc w:val="center"/>
              <w:rPr>
                <w:rFonts w:ascii="Times" w:hAnsi="Times"/>
              </w:rPr>
            </w:pPr>
            <w:r w:rsidRPr="00817454">
              <w:rPr>
                <w:rFonts w:eastAsiaTheme="minorHAnsi"/>
              </w:rPr>
              <w:t>1.617</w:t>
            </w:r>
          </w:p>
        </w:tc>
        <w:tc>
          <w:tcPr>
            <w:tcW w:w="1274" w:type="pct"/>
            <w:vAlign w:val="center"/>
          </w:tcPr>
          <w:p w14:paraId="31EFFD8F" w14:textId="77777777" w:rsidR="009E407D" w:rsidRPr="005E6CBC" w:rsidRDefault="009E407D" w:rsidP="00E4708C">
            <w:pPr>
              <w:pStyle w:val="Tabletext"/>
              <w:keepNext/>
              <w:keepLines/>
              <w:jc w:val="center"/>
              <w:rPr>
                <w:rFonts w:ascii="Times" w:hAnsi="Times"/>
              </w:rPr>
            </w:pPr>
            <w:r w:rsidRPr="00817454">
              <w:rPr>
                <w:rFonts w:eastAsiaTheme="minorHAnsi"/>
              </w:rPr>
              <w:t>1.148</w:t>
            </w:r>
          </w:p>
        </w:tc>
        <w:tc>
          <w:tcPr>
            <w:tcW w:w="838" w:type="pct"/>
            <w:vAlign w:val="center"/>
          </w:tcPr>
          <w:p w14:paraId="5EDF2E17" w14:textId="77777777" w:rsidR="009E407D" w:rsidRPr="005E6CBC" w:rsidRDefault="009E407D" w:rsidP="00E4708C">
            <w:pPr>
              <w:pStyle w:val="Tabletext"/>
              <w:keepNext/>
              <w:keepLines/>
              <w:jc w:val="center"/>
            </w:pPr>
            <w:r w:rsidRPr="00817454">
              <w:rPr>
                <w:rFonts w:eastAsiaTheme="minorHAnsi"/>
              </w:rPr>
              <w:t>0.470</w:t>
            </w:r>
          </w:p>
        </w:tc>
      </w:tr>
      <w:tr w:rsidR="009E407D" w:rsidRPr="00EE64D8" w14:paraId="60CE2054" w14:textId="77777777" w:rsidTr="00D43CBF">
        <w:tc>
          <w:tcPr>
            <w:tcW w:w="4162" w:type="pct"/>
            <w:gridSpan w:val="3"/>
            <w:vAlign w:val="center"/>
          </w:tcPr>
          <w:p w14:paraId="70E61969" w14:textId="77777777" w:rsidR="009E407D" w:rsidRPr="005E6CBC" w:rsidRDefault="009E407D" w:rsidP="00E4708C">
            <w:pPr>
              <w:pStyle w:val="Tabletext"/>
              <w:keepNext/>
              <w:keepLines/>
              <w:rPr>
                <w:rFonts w:ascii="Times" w:hAnsi="Times"/>
              </w:rPr>
            </w:pPr>
            <w:r w:rsidRPr="005E6CBC">
              <w:t>Incremental cost/extra LYG gained</w:t>
            </w:r>
          </w:p>
        </w:tc>
        <w:tc>
          <w:tcPr>
            <w:tcW w:w="838" w:type="pct"/>
            <w:vAlign w:val="center"/>
          </w:tcPr>
          <w:p w14:paraId="4669B83F" w14:textId="77777777" w:rsidR="009E407D" w:rsidRPr="005E6CBC" w:rsidRDefault="00DF0A4C" w:rsidP="00E4708C">
            <w:pPr>
              <w:pStyle w:val="Tabletext"/>
              <w:keepNext/>
              <w:keepLines/>
              <w:jc w:val="center"/>
              <w:rPr>
                <w:rFonts w:ascii="Times" w:hAnsi="Times"/>
              </w:rPr>
            </w:pPr>
            <w:r>
              <w:rPr>
                <w:rFonts w:eastAsiaTheme="minorHAnsi"/>
                <w:noProof/>
                <w:color w:val="000000"/>
                <w:highlight w:val="black"/>
              </w:rPr>
              <w:t>''''''''''''''''''''''''''</w:t>
            </w:r>
            <w:r w:rsidR="00EF23EA">
              <w:rPr>
                <w:vertAlign w:val="superscript"/>
              </w:rPr>
              <w:t>3</w:t>
            </w:r>
          </w:p>
        </w:tc>
      </w:tr>
      <w:tr w:rsidR="009E407D" w:rsidRPr="00EE64D8" w14:paraId="4949E669" w14:textId="77777777" w:rsidTr="00D43CBF">
        <w:tc>
          <w:tcPr>
            <w:tcW w:w="5000" w:type="pct"/>
            <w:gridSpan w:val="4"/>
            <w:vAlign w:val="center"/>
          </w:tcPr>
          <w:p w14:paraId="5EBB0F61" w14:textId="77777777" w:rsidR="009E407D" w:rsidRPr="005E6CBC" w:rsidRDefault="009E407D" w:rsidP="00E4708C">
            <w:pPr>
              <w:pStyle w:val="Tabletext"/>
              <w:keepNext/>
              <w:keepLines/>
              <w:rPr>
                <w:b/>
              </w:rPr>
            </w:pPr>
            <w:r w:rsidRPr="005E6CBC">
              <w:rPr>
                <w:b/>
              </w:rPr>
              <w:t xml:space="preserve">Step 3: </w:t>
            </w:r>
            <w:r>
              <w:rPr>
                <w:b/>
              </w:rPr>
              <w:t>Transformation to QALYs</w:t>
            </w:r>
          </w:p>
        </w:tc>
      </w:tr>
      <w:tr w:rsidR="009E407D" w:rsidRPr="00E2771E" w14:paraId="2C9ACF20" w14:textId="77777777" w:rsidTr="00D43CBF">
        <w:tc>
          <w:tcPr>
            <w:tcW w:w="1529" w:type="pct"/>
            <w:vAlign w:val="center"/>
          </w:tcPr>
          <w:p w14:paraId="331932BF" w14:textId="77777777" w:rsidR="009E407D" w:rsidRPr="00E2771E" w:rsidRDefault="009E407D" w:rsidP="00E4708C">
            <w:pPr>
              <w:pStyle w:val="Tabletext"/>
              <w:keepNext/>
              <w:keepLines/>
              <w:rPr>
                <w:rFonts w:ascii="Times" w:hAnsi="Times"/>
              </w:rPr>
            </w:pPr>
            <w:r w:rsidRPr="00E2771E">
              <w:t>Costs</w:t>
            </w:r>
            <w:r w:rsidR="00A31690">
              <w:t xml:space="preserve"> ($)</w:t>
            </w:r>
          </w:p>
        </w:tc>
        <w:tc>
          <w:tcPr>
            <w:tcW w:w="1359" w:type="pct"/>
          </w:tcPr>
          <w:p w14:paraId="68BC92BD" w14:textId="77777777" w:rsidR="009E407D" w:rsidRPr="00DF0A4C" w:rsidRDefault="00DF0A4C" w:rsidP="00E4708C">
            <w:pPr>
              <w:pStyle w:val="Tabletext"/>
              <w:keepNext/>
              <w:keepLines/>
              <w:jc w:val="center"/>
              <w:rPr>
                <w:rFonts w:ascii="Times" w:hAnsi="Times"/>
                <w:highlight w:val="black"/>
              </w:rPr>
            </w:pPr>
            <w:r>
              <w:rPr>
                <w:rFonts w:eastAsiaTheme="minorHAnsi"/>
                <w:noProof/>
                <w:color w:val="000000"/>
                <w:highlight w:val="black"/>
              </w:rPr>
              <w:t>''''''''''''''''''''''''</w:t>
            </w:r>
          </w:p>
        </w:tc>
        <w:tc>
          <w:tcPr>
            <w:tcW w:w="1274" w:type="pct"/>
            <w:vAlign w:val="center"/>
          </w:tcPr>
          <w:p w14:paraId="25565632" w14:textId="77777777" w:rsidR="009E407D" w:rsidRPr="005E6CBC" w:rsidRDefault="009E407D" w:rsidP="00E4708C">
            <w:pPr>
              <w:pStyle w:val="Tabletext"/>
              <w:keepNext/>
              <w:keepLines/>
              <w:jc w:val="center"/>
              <w:rPr>
                <w:rFonts w:ascii="Times" w:hAnsi="Times"/>
              </w:rPr>
            </w:pPr>
            <w:r w:rsidRPr="00817454">
              <w:rPr>
                <w:rFonts w:eastAsiaTheme="minorHAnsi"/>
              </w:rPr>
              <w:t>$47,402.05</w:t>
            </w:r>
          </w:p>
        </w:tc>
        <w:tc>
          <w:tcPr>
            <w:tcW w:w="838" w:type="pct"/>
            <w:vAlign w:val="center"/>
          </w:tcPr>
          <w:p w14:paraId="7C358777" w14:textId="77777777" w:rsidR="009E407D" w:rsidRPr="00DF0A4C" w:rsidRDefault="00DF0A4C" w:rsidP="00E4708C">
            <w:pPr>
              <w:pStyle w:val="Tabletext"/>
              <w:keepNext/>
              <w:keepLines/>
              <w:jc w:val="center"/>
              <w:rPr>
                <w:rFonts w:ascii="Times" w:hAnsi="Times"/>
                <w:highlight w:val="black"/>
              </w:rPr>
            </w:pPr>
            <w:r>
              <w:rPr>
                <w:rFonts w:eastAsiaTheme="minorHAnsi"/>
                <w:noProof/>
                <w:color w:val="000000"/>
                <w:highlight w:val="black"/>
              </w:rPr>
              <w:t>'''''''''''''''''''''''''''''</w:t>
            </w:r>
          </w:p>
        </w:tc>
      </w:tr>
      <w:tr w:rsidR="009E407D" w:rsidRPr="00E2771E" w14:paraId="4BBAE061" w14:textId="77777777" w:rsidTr="00D43CBF">
        <w:tc>
          <w:tcPr>
            <w:tcW w:w="1529" w:type="pct"/>
            <w:vAlign w:val="center"/>
          </w:tcPr>
          <w:p w14:paraId="4A08D1DF" w14:textId="77777777" w:rsidR="009E407D" w:rsidRPr="00E2771E" w:rsidRDefault="00AE3473" w:rsidP="00E4708C">
            <w:pPr>
              <w:pStyle w:val="Tabletext"/>
              <w:keepNext/>
              <w:keepLines/>
              <w:rPr>
                <w:rFonts w:ascii="Times" w:hAnsi="Times"/>
              </w:rPr>
            </w:pPr>
            <w:r>
              <w:t>QALY</w:t>
            </w:r>
          </w:p>
        </w:tc>
        <w:tc>
          <w:tcPr>
            <w:tcW w:w="1359" w:type="pct"/>
          </w:tcPr>
          <w:p w14:paraId="4F682A48" w14:textId="77777777" w:rsidR="009E407D" w:rsidRPr="005E6CBC" w:rsidRDefault="009E407D" w:rsidP="00E4708C">
            <w:pPr>
              <w:pStyle w:val="Tabletext"/>
              <w:keepNext/>
              <w:keepLines/>
              <w:jc w:val="center"/>
              <w:rPr>
                <w:rFonts w:ascii="Times" w:hAnsi="Times"/>
              </w:rPr>
            </w:pPr>
            <w:r w:rsidRPr="00817454">
              <w:rPr>
                <w:rFonts w:eastAsiaTheme="minorHAnsi"/>
              </w:rPr>
              <w:t>1.276</w:t>
            </w:r>
          </w:p>
        </w:tc>
        <w:tc>
          <w:tcPr>
            <w:tcW w:w="1274" w:type="pct"/>
            <w:vAlign w:val="center"/>
          </w:tcPr>
          <w:p w14:paraId="6A2AF6ED" w14:textId="77777777" w:rsidR="009E407D" w:rsidRPr="005E6CBC" w:rsidRDefault="009E407D" w:rsidP="00E4708C">
            <w:pPr>
              <w:pStyle w:val="Tabletext"/>
              <w:keepNext/>
              <w:keepLines/>
              <w:jc w:val="center"/>
              <w:rPr>
                <w:rFonts w:ascii="Times" w:hAnsi="Times"/>
              </w:rPr>
            </w:pPr>
            <w:r w:rsidRPr="00817454">
              <w:rPr>
                <w:rFonts w:eastAsiaTheme="minorHAnsi"/>
              </w:rPr>
              <w:t>0.881</w:t>
            </w:r>
          </w:p>
        </w:tc>
        <w:tc>
          <w:tcPr>
            <w:tcW w:w="838" w:type="pct"/>
            <w:vAlign w:val="center"/>
          </w:tcPr>
          <w:p w14:paraId="0D4FDC16" w14:textId="77777777" w:rsidR="009E407D" w:rsidRPr="005E6CBC" w:rsidRDefault="009E407D" w:rsidP="00E4708C">
            <w:pPr>
              <w:pStyle w:val="Tabletext"/>
              <w:keepNext/>
              <w:keepLines/>
              <w:jc w:val="center"/>
            </w:pPr>
            <w:r w:rsidRPr="00817454">
              <w:rPr>
                <w:rFonts w:eastAsiaTheme="minorHAnsi"/>
              </w:rPr>
              <w:t>0.395</w:t>
            </w:r>
          </w:p>
        </w:tc>
      </w:tr>
      <w:tr w:rsidR="009E407D" w:rsidRPr="00E2771E" w14:paraId="249336F0" w14:textId="77777777" w:rsidTr="00D43CBF">
        <w:tc>
          <w:tcPr>
            <w:tcW w:w="4162" w:type="pct"/>
            <w:gridSpan w:val="3"/>
            <w:vAlign w:val="center"/>
          </w:tcPr>
          <w:p w14:paraId="5B3EBF68" w14:textId="77777777" w:rsidR="009E407D" w:rsidRPr="005E6CBC" w:rsidRDefault="009E407D" w:rsidP="00AE3473">
            <w:pPr>
              <w:pStyle w:val="Tabletext"/>
              <w:keepNext/>
              <w:keepLines/>
              <w:rPr>
                <w:rFonts w:ascii="Times" w:hAnsi="Times"/>
              </w:rPr>
            </w:pPr>
            <w:r w:rsidRPr="005E6CBC">
              <w:t xml:space="preserve">Incremental cost/extra </w:t>
            </w:r>
            <w:r w:rsidR="00AE3473">
              <w:t>QALY</w:t>
            </w:r>
            <w:r w:rsidR="00AE3473" w:rsidRPr="005E6CBC">
              <w:t xml:space="preserve"> </w:t>
            </w:r>
            <w:r w:rsidRPr="005E6CBC">
              <w:t>gained</w:t>
            </w:r>
          </w:p>
        </w:tc>
        <w:tc>
          <w:tcPr>
            <w:tcW w:w="838" w:type="pct"/>
            <w:vAlign w:val="center"/>
          </w:tcPr>
          <w:p w14:paraId="1141CE47" w14:textId="77777777" w:rsidR="009E407D" w:rsidRPr="00E35ABA" w:rsidRDefault="00DF0A4C" w:rsidP="00E4708C">
            <w:pPr>
              <w:pStyle w:val="Tabletext"/>
              <w:keepNext/>
              <w:keepLines/>
              <w:jc w:val="center"/>
              <w:rPr>
                <w:rFonts w:ascii="Times" w:hAnsi="Times"/>
                <w:b/>
                <w:bCs/>
              </w:rPr>
            </w:pPr>
            <w:r>
              <w:rPr>
                <w:rFonts w:eastAsiaTheme="minorHAnsi"/>
                <w:b/>
                <w:bCs/>
                <w:noProof/>
                <w:color w:val="000000"/>
                <w:highlight w:val="black"/>
              </w:rPr>
              <w:t>''''''''''''''''''''''</w:t>
            </w:r>
            <w:r w:rsidR="00EF23EA">
              <w:rPr>
                <w:vertAlign w:val="superscript"/>
              </w:rPr>
              <w:t>3</w:t>
            </w:r>
          </w:p>
        </w:tc>
      </w:tr>
    </w:tbl>
    <w:p w14:paraId="3EAF510E" w14:textId="77777777" w:rsidR="009E407D" w:rsidRDefault="009E407D" w:rsidP="00E4708C">
      <w:pPr>
        <w:pStyle w:val="TableFooter"/>
        <w:keepNext/>
        <w:keepLines/>
        <w:rPr>
          <w:rFonts w:eastAsiaTheme="minorHAnsi"/>
        </w:rPr>
      </w:pPr>
      <w:r>
        <w:rPr>
          <w:rFonts w:eastAsiaTheme="minorHAnsi"/>
        </w:rPr>
        <w:t>Source: Table 62, ppp114-115 of the submission.</w:t>
      </w:r>
    </w:p>
    <w:p w14:paraId="66C564F1" w14:textId="77777777" w:rsidR="009E407D" w:rsidRDefault="009E407D" w:rsidP="00A31690">
      <w:pPr>
        <w:pStyle w:val="TableFooter"/>
        <w:keepNext/>
        <w:keepLines/>
        <w:rPr>
          <w:rFonts w:eastAsiaTheme="minorHAnsi"/>
        </w:rPr>
      </w:pPr>
      <w:r w:rsidRPr="00020B25">
        <w:rPr>
          <w:rFonts w:eastAsiaTheme="minorHAnsi"/>
        </w:rPr>
        <w:t xml:space="preserve"> ICER</w:t>
      </w:r>
      <w:r>
        <w:rPr>
          <w:rFonts w:eastAsiaTheme="minorHAnsi"/>
        </w:rPr>
        <w:t xml:space="preserve"> =</w:t>
      </w:r>
      <w:r w:rsidRPr="00020B25">
        <w:rPr>
          <w:rFonts w:eastAsiaTheme="minorHAnsi"/>
        </w:rPr>
        <w:t xml:space="preserve"> incremental cost</w:t>
      </w:r>
      <w:r>
        <w:rPr>
          <w:rFonts w:eastAsiaTheme="minorHAnsi"/>
        </w:rPr>
        <w:t xml:space="preserve"> </w:t>
      </w:r>
      <w:r w:rsidRPr="00020B25">
        <w:rPr>
          <w:rFonts w:eastAsiaTheme="minorHAnsi"/>
        </w:rPr>
        <w:t>effectiveness ratio; LY</w:t>
      </w:r>
      <w:r>
        <w:rPr>
          <w:rFonts w:eastAsiaTheme="minorHAnsi"/>
        </w:rPr>
        <w:t xml:space="preserve"> =</w:t>
      </w:r>
      <w:r w:rsidRPr="00020B25">
        <w:rPr>
          <w:rFonts w:eastAsiaTheme="minorHAnsi"/>
        </w:rPr>
        <w:t xml:space="preserve"> life-year; QALY</w:t>
      </w:r>
      <w:r>
        <w:rPr>
          <w:rFonts w:eastAsiaTheme="minorHAnsi"/>
        </w:rPr>
        <w:t xml:space="preserve"> =</w:t>
      </w:r>
      <w:r w:rsidRPr="00020B25">
        <w:rPr>
          <w:rFonts w:eastAsiaTheme="minorHAnsi"/>
        </w:rPr>
        <w:t xml:space="preserve"> quality-adjusted life-year</w:t>
      </w:r>
    </w:p>
    <w:p w14:paraId="3DBE701B" w14:textId="77777777" w:rsidR="00A31690" w:rsidRDefault="00A31690" w:rsidP="00A31690">
      <w:pPr>
        <w:pStyle w:val="TableFigureFooter"/>
        <w:spacing w:after="0"/>
        <w:contextualSpacing w:val="0"/>
        <w:rPr>
          <w:i/>
        </w:rPr>
      </w:pPr>
      <w:r w:rsidRPr="009868C4">
        <w:rPr>
          <w:i/>
        </w:rPr>
        <w:t>The redacted values correspond to the following ranges</w:t>
      </w:r>
      <w:r>
        <w:rPr>
          <w:i/>
        </w:rPr>
        <w:t xml:space="preserve">: </w:t>
      </w:r>
    </w:p>
    <w:p w14:paraId="4DDF8DA1" w14:textId="77777777" w:rsidR="00A31690" w:rsidRPr="00870C5D" w:rsidRDefault="00A31690" w:rsidP="00A31690">
      <w:pPr>
        <w:pStyle w:val="TableFigureFooter"/>
        <w:spacing w:after="0"/>
        <w:contextualSpacing w:val="0"/>
      </w:pPr>
      <w:r>
        <w:rPr>
          <w:i/>
          <w:vertAlign w:val="superscript"/>
        </w:rPr>
        <w:t>1</w:t>
      </w:r>
      <w:r>
        <w:rPr>
          <w:i/>
        </w:rPr>
        <w:t xml:space="preserve"> </w:t>
      </w:r>
      <w:r w:rsidR="00EF23EA" w:rsidRPr="00EF23EA">
        <w:rPr>
          <w:i/>
        </w:rPr>
        <w:t>$155,000 to &lt; $255,000</w:t>
      </w:r>
    </w:p>
    <w:p w14:paraId="144940D1" w14:textId="77777777" w:rsidR="00A31690" w:rsidRPr="00870C5D" w:rsidRDefault="00A31690" w:rsidP="00A31690">
      <w:pPr>
        <w:pStyle w:val="TableFigureFooter"/>
        <w:spacing w:after="0"/>
        <w:contextualSpacing w:val="0"/>
      </w:pPr>
      <w:r>
        <w:rPr>
          <w:i/>
          <w:vertAlign w:val="superscript"/>
        </w:rPr>
        <w:t>2</w:t>
      </w:r>
      <w:r>
        <w:rPr>
          <w:i/>
        </w:rPr>
        <w:t xml:space="preserve"> </w:t>
      </w:r>
      <w:r w:rsidR="00EF23EA" w:rsidRPr="00EF23EA">
        <w:rPr>
          <w:i/>
        </w:rPr>
        <w:t>$115,000 to &lt; $135,000</w:t>
      </w:r>
    </w:p>
    <w:p w14:paraId="47615225" w14:textId="709DE7A4" w:rsidR="00A31690" w:rsidRPr="008632D9" w:rsidRDefault="00A31690" w:rsidP="00431BFA">
      <w:pPr>
        <w:pStyle w:val="TableFigureFooter"/>
        <w:spacing w:after="40"/>
        <w:contextualSpacing w:val="0"/>
      </w:pPr>
      <w:r>
        <w:rPr>
          <w:i/>
          <w:vertAlign w:val="superscript"/>
        </w:rPr>
        <w:t>3</w:t>
      </w:r>
      <w:r>
        <w:rPr>
          <w:i/>
        </w:rPr>
        <w:t xml:space="preserve"> </w:t>
      </w:r>
      <w:r w:rsidR="00EF23EA" w:rsidRPr="00EF23EA">
        <w:rPr>
          <w:i/>
        </w:rPr>
        <w:t>$55,000 to &lt; $75,000</w:t>
      </w:r>
    </w:p>
    <w:p w14:paraId="7B9940BC" w14:textId="77777777" w:rsidR="000B7376" w:rsidRPr="000B7376" w:rsidRDefault="00D23D11" w:rsidP="00431BFA">
      <w:pPr>
        <w:pStyle w:val="3-BodyText"/>
        <w:spacing w:after="40"/>
        <w:ind w:left="720"/>
        <w:rPr>
          <w:rFonts w:ascii="Arial Narrow" w:hAnsi="Arial Narrow"/>
          <w:b/>
          <w:sz w:val="20"/>
          <w:szCs w:val="16"/>
        </w:rPr>
      </w:pPr>
      <w:r w:rsidRPr="00D23D11">
        <w:t xml:space="preserve">The results of key </w:t>
      </w:r>
      <w:r w:rsidR="00E4708C">
        <w:t xml:space="preserve">sensitivity </w:t>
      </w:r>
      <w:r w:rsidRPr="00D23D11">
        <w:t xml:space="preserve">analyses </w:t>
      </w:r>
      <w:r w:rsidR="00E4708C">
        <w:t xml:space="preserve">of the model </w:t>
      </w:r>
      <w:r w:rsidRPr="00D23D11">
        <w:t xml:space="preserve">are summarised </w:t>
      </w:r>
      <w:r w:rsidR="000B7376">
        <w:t>in</w:t>
      </w:r>
      <w:r w:rsidR="000B7376" w:rsidRPr="000B7376">
        <w:t xml:space="preserve"> </w:t>
      </w:r>
      <w:r w:rsidR="002A0BA9" w:rsidRPr="002A0BA9">
        <w:t>Table 12</w:t>
      </w:r>
      <w:r w:rsidRPr="00D23D11">
        <w:t>.</w:t>
      </w:r>
    </w:p>
    <w:p w14:paraId="415570B2" w14:textId="77777777" w:rsidR="000B7376" w:rsidRPr="000B7376" w:rsidRDefault="000B7376" w:rsidP="00E4708C">
      <w:pPr>
        <w:pStyle w:val="3-BodyText"/>
        <w:keepNext/>
        <w:keepLines/>
        <w:numPr>
          <w:ilvl w:val="0"/>
          <w:numId w:val="0"/>
        </w:numPr>
        <w:spacing w:after="0"/>
        <w:rPr>
          <w:rStyle w:val="CommentReference"/>
        </w:rPr>
      </w:pPr>
      <w:bookmarkStart w:id="45" w:name="_Ref69464269"/>
      <w:r w:rsidRPr="000B7376">
        <w:rPr>
          <w:rStyle w:val="CommentReference"/>
        </w:rPr>
        <w:t xml:space="preserve">Table </w:t>
      </w:r>
      <w:r w:rsidR="002A0BA9">
        <w:rPr>
          <w:rStyle w:val="CommentReference"/>
          <w:noProof/>
        </w:rPr>
        <w:t>12</w:t>
      </w:r>
      <w:bookmarkEnd w:id="45"/>
      <w:r w:rsidRPr="000B7376">
        <w:rPr>
          <w:rStyle w:val="CommentReference"/>
        </w:rPr>
        <w:t xml:space="preserve">: Results of </w:t>
      </w:r>
      <w:r w:rsidR="00E4708C">
        <w:rPr>
          <w:rStyle w:val="CommentReference"/>
        </w:rPr>
        <w:t xml:space="preserve">key </w:t>
      </w:r>
      <w:r w:rsidRPr="000B7376">
        <w:rPr>
          <w:rStyle w:val="CommentReference"/>
        </w:rPr>
        <w:t>sensitivity analyses</w:t>
      </w:r>
      <w:r w:rsidR="00E4708C">
        <w:rPr>
          <w:rStyle w:val="CommentReference"/>
        </w:rPr>
        <w:t xml:space="preserve"> of economic model</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12: Results of key sensitivity analyses of economic model"/>
      </w:tblPr>
      <w:tblGrid>
        <w:gridCol w:w="4618"/>
        <w:gridCol w:w="1137"/>
        <w:gridCol w:w="1137"/>
        <w:gridCol w:w="1129"/>
        <w:gridCol w:w="1046"/>
      </w:tblGrid>
      <w:tr w:rsidR="003B5862" w:rsidRPr="00264D26" w14:paraId="08C2EC4E" w14:textId="77777777" w:rsidTr="00111218">
        <w:trPr>
          <w:tblHeader/>
        </w:trPr>
        <w:tc>
          <w:tcPr>
            <w:tcW w:w="4618" w:type="dxa"/>
          </w:tcPr>
          <w:p w14:paraId="05D13502" w14:textId="77777777" w:rsidR="003B5862" w:rsidRPr="00264D26" w:rsidRDefault="003B5862" w:rsidP="00E4708C">
            <w:pPr>
              <w:pStyle w:val="Tabletext"/>
              <w:keepNext/>
              <w:keepLines/>
              <w:tabs>
                <w:tab w:val="left" w:pos="142"/>
              </w:tabs>
              <w:rPr>
                <w:b/>
              </w:rPr>
            </w:pPr>
            <w:r>
              <w:rPr>
                <w:b/>
              </w:rPr>
              <w:t>Analyses</w:t>
            </w:r>
          </w:p>
        </w:tc>
        <w:tc>
          <w:tcPr>
            <w:tcW w:w="1137" w:type="dxa"/>
          </w:tcPr>
          <w:p w14:paraId="45EB471F" w14:textId="77777777" w:rsidR="003B5862" w:rsidRPr="00264D26" w:rsidRDefault="003B5862" w:rsidP="00E4708C">
            <w:pPr>
              <w:pStyle w:val="Tabletext"/>
              <w:keepNext/>
              <w:keepLines/>
              <w:jc w:val="center"/>
              <w:rPr>
                <w:b/>
              </w:rPr>
            </w:pPr>
            <w:r w:rsidRPr="00264D26">
              <w:rPr>
                <w:b/>
              </w:rPr>
              <w:t>Incremental cost</w:t>
            </w:r>
            <w:r w:rsidR="00EF23EA">
              <w:rPr>
                <w:b/>
              </w:rPr>
              <w:t xml:space="preserve"> ($)</w:t>
            </w:r>
          </w:p>
        </w:tc>
        <w:tc>
          <w:tcPr>
            <w:tcW w:w="1137" w:type="dxa"/>
          </w:tcPr>
          <w:p w14:paraId="6E144F58" w14:textId="77777777" w:rsidR="003B5862" w:rsidRPr="00264D26" w:rsidRDefault="003B5862" w:rsidP="00E4708C">
            <w:pPr>
              <w:pStyle w:val="Tabletext"/>
              <w:keepNext/>
              <w:keepLines/>
              <w:jc w:val="center"/>
              <w:rPr>
                <w:b/>
              </w:rPr>
            </w:pPr>
            <w:r w:rsidRPr="00264D26">
              <w:rPr>
                <w:b/>
              </w:rPr>
              <w:t>Incremental QALY</w:t>
            </w:r>
          </w:p>
        </w:tc>
        <w:tc>
          <w:tcPr>
            <w:tcW w:w="1129" w:type="dxa"/>
          </w:tcPr>
          <w:p w14:paraId="1C34D011" w14:textId="77777777" w:rsidR="003B5862" w:rsidRPr="00264D26" w:rsidRDefault="003B5862" w:rsidP="00E4708C">
            <w:pPr>
              <w:pStyle w:val="Tabletext"/>
              <w:keepNext/>
              <w:keepLines/>
              <w:jc w:val="center"/>
              <w:rPr>
                <w:b/>
              </w:rPr>
            </w:pPr>
            <w:r w:rsidRPr="00264D26">
              <w:rPr>
                <w:b/>
              </w:rPr>
              <w:t>ICER</w:t>
            </w:r>
          </w:p>
        </w:tc>
        <w:tc>
          <w:tcPr>
            <w:tcW w:w="1046" w:type="dxa"/>
          </w:tcPr>
          <w:p w14:paraId="311EE1A3" w14:textId="77777777" w:rsidR="003B5862" w:rsidRPr="00264D26" w:rsidRDefault="003B5862" w:rsidP="00E4708C">
            <w:pPr>
              <w:pStyle w:val="Tabletext"/>
              <w:keepNext/>
              <w:keepLines/>
              <w:jc w:val="center"/>
              <w:rPr>
                <w:b/>
              </w:rPr>
            </w:pPr>
            <w:r>
              <w:rPr>
                <w:b/>
              </w:rPr>
              <w:t>Percent change</w:t>
            </w:r>
          </w:p>
        </w:tc>
      </w:tr>
      <w:tr w:rsidR="003B5862" w14:paraId="4304468A" w14:textId="77777777" w:rsidTr="00111218">
        <w:tc>
          <w:tcPr>
            <w:tcW w:w="4618" w:type="dxa"/>
            <w:vAlign w:val="center"/>
          </w:tcPr>
          <w:p w14:paraId="38F027C1" w14:textId="77777777" w:rsidR="003B5862" w:rsidRPr="00171EE7" w:rsidRDefault="003B5862" w:rsidP="00E4708C">
            <w:pPr>
              <w:pStyle w:val="Tabletext"/>
              <w:keepNext/>
              <w:keepLines/>
            </w:pPr>
            <w:r w:rsidRPr="00171EE7">
              <w:t>Base-case</w:t>
            </w:r>
          </w:p>
        </w:tc>
        <w:tc>
          <w:tcPr>
            <w:tcW w:w="1137" w:type="dxa"/>
            <w:vAlign w:val="center"/>
          </w:tcPr>
          <w:p w14:paraId="7031F286" w14:textId="77777777" w:rsidR="003B5862" w:rsidRPr="00DF0A4C" w:rsidRDefault="00DF0A4C" w:rsidP="00E4708C">
            <w:pPr>
              <w:pStyle w:val="Tabletext"/>
              <w:keepNext/>
              <w:keepLines/>
              <w:jc w:val="center"/>
              <w:rPr>
                <w:highlight w:val="black"/>
              </w:rPr>
            </w:pPr>
            <w:r>
              <w:rPr>
                <w:noProof/>
                <w:color w:val="000000"/>
                <w:highlight w:val="black"/>
              </w:rPr>
              <w:t>'''''''''''''''''</w:t>
            </w:r>
          </w:p>
        </w:tc>
        <w:tc>
          <w:tcPr>
            <w:tcW w:w="1137" w:type="dxa"/>
            <w:vAlign w:val="center"/>
          </w:tcPr>
          <w:p w14:paraId="4731EF99" w14:textId="77777777" w:rsidR="003B5862" w:rsidRPr="00171EE7" w:rsidRDefault="003B5862" w:rsidP="00E4708C">
            <w:pPr>
              <w:pStyle w:val="Tabletext"/>
              <w:keepNext/>
              <w:keepLines/>
              <w:jc w:val="center"/>
            </w:pPr>
            <w:r w:rsidRPr="00171EE7">
              <w:t>0.395</w:t>
            </w:r>
          </w:p>
        </w:tc>
        <w:tc>
          <w:tcPr>
            <w:tcW w:w="1129" w:type="dxa"/>
            <w:vAlign w:val="center"/>
          </w:tcPr>
          <w:p w14:paraId="61C1903B" w14:textId="77777777" w:rsidR="003B5862" w:rsidRPr="00DF0A4C" w:rsidRDefault="00DF0A4C" w:rsidP="00E4708C">
            <w:pPr>
              <w:pStyle w:val="Tabletext"/>
              <w:keepNext/>
              <w:keepLines/>
              <w:jc w:val="center"/>
            </w:pPr>
            <w:r>
              <w:rPr>
                <w:noProof/>
                <w:color w:val="000000"/>
                <w:highlight w:val="black"/>
              </w:rPr>
              <w:t>'''''''''''''''''''''</w:t>
            </w:r>
            <w:r w:rsidR="00EF23EA">
              <w:rPr>
                <w:vertAlign w:val="superscript"/>
              </w:rPr>
              <w:t>1</w:t>
            </w:r>
          </w:p>
        </w:tc>
        <w:tc>
          <w:tcPr>
            <w:tcW w:w="1046" w:type="dxa"/>
            <w:vAlign w:val="center"/>
          </w:tcPr>
          <w:p w14:paraId="59C7047E" w14:textId="77777777" w:rsidR="003B5862" w:rsidRPr="008407D9" w:rsidRDefault="0077426F" w:rsidP="00E4708C">
            <w:pPr>
              <w:pStyle w:val="Tabletext"/>
              <w:keepNext/>
              <w:keepLines/>
              <w:jc w:val="center"/>
              <w:rPr>
                <w:i/>
                <w:iCs/>
              </w:rPr>
            </w:pPr>
            <w:r>
              <w:rPr>
                <w:i/>
                <w:iCs/>
              </w:rPr>
              <w:t>-</w:t>
            </w:r>
          </w:p>
        </w:tc>
      </w:tr>
      <w:tr w:rsidR="003B5862" w14:paraId="71D9A191" w14:textId="77777777" w:rsidTr="00111218">
        <w:tc>
          <w:tcPr>
            <w:tcW w:w="4618" w:type="dxa"/>
            <w:vAlign w:val="center"/>
          </w:tcPr>
          <w:p w14:paraId="16130423" w14:textId="77777777" w:rsidR="003B5862" w:rsidRPr="00171EE7" w:rsidRDefault="003B5862" w:rsidP="00E4708C">
            <w:pPr>
              <w:pStyle w:val="Tabletext"/>
              <w:keepNext/>
              <w:keepLines/>
            </w:pPr>
            <w:r w:rsidRPr="00171EE7">
              <w:t>Time horizon decreased from 7.5 to 5 years</w:t>
            </w:r>
          </w:p>
        </w:tc>
        <w:tc>
          <w:tcPr>
            <w:tcW w:w="1137" w:type="dxa"/>
            <w:vAlign w:val="center"/>
          </w:tcPr>
          <w:p w14:paraId="72926AAF" w14:textId="77777777" w:rsidR="003B5862" w:rsidRPr="00DF0A4C" w:rsidRDefault="00DF0A4C" w:rsidP="00E4708C">
            <w:pPr>
              <w:pStyle w:val="Tabletext"/>
              <w:keepNext/>
              <w:keepLines/>
              <w:jc w:val="center"/>
              <w:rPr>
                <w:highlight w:val="black"/>
              </w:rPr>
            </w:pPr>
            <w:r>
              <w:rPr>
                <w:noProof/>
                <w:color w:val="000000"/>
                <w:highlight w:val="black"/>
              </w:rPr>
              <w:t>''''''''''''''''''''</w:t>
            </w:r>
          </w:p>
        </w:tc>
        <w:tc>
          <w:tcPr>
            <w:tcW w:w="1137" w:type="dxa"/>
            <w:vAlign w:val="center"/>
          </w:tcPr>
          <w:p w14:paraId="7613AFB6" w14:textId="77777777" w:rsidR="003B5862" w:rsidRPr="00171EE7" w:rsidRDefault="003B5862" w:rsidP="00E4708C">
            <w:pPr>
              <w:pStyle w:val="Tabletext"/>
              <w:keepNext/>
              <w:keepLines/>
              <w:jc w:val="center"/>
            </w:pPr>
            <w:r w:rsidRPr="00171EE7">
              <w:t>0.317</w:t>
            </w:r>
          </w:p>
        </w:tc>
        <w:tc>
          <w:tcPr>
            <w:tcW w:w="1129" w:type="dxa"/>
            <w:vAlign w:val="center"/>
          </w:tcPr>
          <w:p w14:paraId="6C48C7EF" w14:textId="77777777" w:rsidR="003B5862" w:rsidRPr="00DF0A4C" w:rsidRDefault="00DF0A4C" w:rsidP="00E4708C">
            <w:pPr>
              <w:pStyle w:val="Tabletext"/>
              <w:keepNext/>
              <w:keepLines/>
              <w:jc w:val="center"/>
            </w:pPr>
            <w:r>
              <w:rPr>
                <w:noProof/>
                <w:color w:val="000000"/>
                <w:highlight w:val="black"/>
              </w:rPr>
              <w:t>'''''''''''''''''</w:t>
            </w:r>
            <w:r w:rsidR="00EF23EA">
              <w:rPr>
                <w:vertAlign w:val="superscript"/>
              </w:rPr>
              <w:t>2</w:t>
            </w:r>
          </w:p>
        </w:tc>
        <w:tc>
          <w:tcPr>
            <w:tcW w:w="1046" w:type="dxa"/>
            <w:vAlign w:val="center"/>
          </w:tcPr>
          <w:p w14:paraId="3F2B0E8A" w14:textId="77777777" w:rsidR="003B5862" w:rsidRPr="00927AEE" w:rsidRDefault="003B5862" w:rsidP="00E4708C">
            <w:pPr>
              <w:pStyle w:val="Tabletext"/>
              <w:keepNext/>
              <w:keepLines/>
              <w:jc w:val="center"/>
              <w:rPr>
                <w:iCs/>
              </w:rPr>
            </w:pPr>
            <w:r w:rsidRPr="00927AEE">
              <w:rPr>
                <w:iCs/>
              </w:rPr>
              <w:t>19%</w:t>
            </w:r>
          </w:p>
        </w:tc>
      </w:tr>
      <w:tr w:rsidR="003B5862" w14:paraId="39F07BB7" w14:textId="77777777" w:rsidTr="00111218">
        <w:tc>
          <w:tcPr>
            <w:tcW w:w="4618" w:type="dxa"/>
            <w:vAlign w:val="center"/>
          </w:tcPr>
          <w:p w14:paraId="451824EC" w14:textId="77777777" w:rsidR="003B5862" w:rsidRPr="00171EE7" w:rsidRDefault="003B5862" w:rsidP="00E4708C">
            <w:pPr>
              <w:pStyle w:val="Tabletext"/>
              <w:keepNext/>
              <w:keepLines/>
            </w:pPr>
            <w:r>
              <w:t xml:space="preserve">Treatment arm </w:t>
            </w:r>
            <w:r w:rsidRPr="00171EE7">
              <w:t>utility at parity</w:t>
            </w:r>
          </w:p>
        </w:tc>
        <w:tc>
          <w:tcPr>
            <w:tcW w:w="1137" w:type="dxa"/>
            <w:vAlign w:val="center"/>
          </w:tcPr>
          <w:p w14:paraId="4A4D4547" w14:textId="77777777" w:rsidR="003B5862" w:rsidRPr="00DF0A4C" w:rsidRDefault="00DF0A4C" w:rsidP="00E4708C">
            <w:pPr>
              <w:pStyle w:val="Tabletext"/>
              <w:keepNext/>
              <w:keepLines/>
              <w:jc w:val="center"/>
              <w:rPr>
                <w:highlight w:val="black"/>
              </w:rPr>
            </w:pPr>
            <w:r>
              <w:rPr>
                <w:noProof/>
                <w:color w:val="000000"/>
                <w:highlight w:val="black"/>
              </w:rPr>
              <w:t>'''''''''''''''''''</w:t>
            </w:r>
          </w:p>
        </w:tc>
        <w:tc>
          <w:tcPr>
            <w:tcW w:w="1137" w:type="dxa"/>
            <w:vAlign w:val="center"/>
          </w:tcPr>
          <w:p w14:paraId="1167A2F1" w14:textId="77777777" w:rsidR="003B5862" w:rsidRPr="00171EE7" w:rsidRDefault="003B5862" w:rsidP="00E4708C">
            <w:pPr>
              <w:pStyle w:val="Tabletext"/>
              <w:keepNext/>
              <w:keepLines/>
              <w:jc w:val="center"/>
            </w:pPr>
            <w:r w:rsidRPr="00171EE7">
              <w:t>0.370</w:t>
            </w:r>
          </w:p>
        </w:tc>
        <w:tc>
          <w:tcPr>
            <w:tcW w:w="1129" w:type="dxa"/>
            <w:vAlign w:val="center"/>
          </w:tcPr>
          <w:p w14:paraId="4FE2AB7A" w14:textId="77777777" w:rsidR="003B5862" w:rsidRPr="00DF0A4C" w:rsidRDefault="00DF0A4C" w:rsidP="00E4708C">
            <w:pPr>
              <w:pStyle w:val="Tabletext"/>
              <w:keepNext/>
              <w:keepLines/>
              <w:jc w:val="center"/>
            </w:pPr>
            <w:r>
              <w:rPr>
                <w:noProof/>
                <w:color w:val="000000"/>
                <w:highlight w:val="black"/>
              </w:rPr>
              <w:t>'''''''''''''''''''''</w:t>
            </w:r>
            <w:r w:rsidR="00EF23EA">
              <w:rPr>
                <w:vertAlign w:val="superscript"/>
              </w:rPr>
              <w:t>2</w:t>
            </w:r>
          </w:p>
        </w:tc>
        <w:tc>
          <w:tcPr>
            <w:tcW w:w="1046" w:type="dxa"/>
            <w:vAlign w:val="center"/>
          </w:tcPr>
          <w:p w14:paraId="45D93C70" w14:textId="77777777" w:rsidR="003B5862" w:rsidRPr="008407D9" w:rsidRDefault="003B5862" w:rsidP="00E4708C">
            <w:pPr>
              <w:pStyle w:val="Tabletext"/>
              <w:keepNext/>
              <w:keepLines/>
              <w:jc w:val="center"/>
              <w:rPr>
                <w:i/>
                <w:iCs/>
              </w:rPr>
            </w:pPr>
            <w:r w:rsidRPr="008407D9">
              <w:rPr>
                <w:i/>
                <w:iCs/>
              </w:rPr>
              <w:t>7%</w:t>
            </w:r>
          </w:p>
        </w:tc>
      </w:tr>
      <w:tr w:rsidR="00EE24E6" w14:paraId="4C857E8F" w14:textId="77777777" w:rsidTr="00111218">
        <w:tc>
          <w:tcPr>
            <w:tcW w:w="4618" w:type="dxa"/>
            <w:vAlign w:val="center"/>
          </w:tcPr>
          <w:p w14:paraId="59C6EBF4" w14:textId="77777777" w:rsidR="00EE24E6" w:rsidRPr="00EE24E6" w:rsidRDefault="00EE24E6" w:rsidP="00EE24E6">
            <w:pPr>
              <w:pStyle w:val="Tabletext"/>
              <w:keepNext/>
              <w:keepLines/>
            </w:pPr>
            <w:r w:rsidRPr="00EE24E6">
              <w:rPr>
                <w:iCs/>
              </w:rPr>
              <w:t xml:space="preserve">Change OS function in </w:t>
            </w:r>
            <w:proofErr w:type="spellStart"/>
            <w:r w:rsidRPr="00EE24E6">
              <w:rPr>
                <w:iCs/>
              </w:rPr>
              <w:t>Nivo</w:t>
            </w:r>
            <w:proofErr w:type="spellEnd"/>
            <w:r w:rsidRPr="00EE24E6">
              <w:rPr>
                <w:iCs/>
              </w:rPr>
              <w:t xml:space="preserve"> + Chemo to Weibull - same as chemo only (base case</w:t>
            </w:r>
            <w:r w:rsidR="00C01726">
              <w:rPr>
                <w:iCs/>
              </w:rPr>
              <w:t xml:space="preserve"> l</w:t>
            </w:r>
            <w:r w:rsidRPr="00EE24E6">
              <w:rPr>
                <w:iCs/>
              </w:rPr>
              <w:t>og-logistic)</w:t>
            </w:r>
          </w:p>
        </w:tc>
        <w:tc>
          <w:tcPr>
            <w:tcW w:w="1137" w:type="dxa"/>
            <w:vAlign w:val="center"/>
          </w:tcPr>
          <w:p w14:paraId="3F56CCA1" w14:textId="77777777" w:rsidR="00EE24E6" w:rsidRPr="00DF0A4C" w:rsidRDefault="00DF0A4C" w:rsidP="00EE24E6">
            <w:pPr>
              <w:pStyle w:val="Tabletext"/>
              <w:keepNext/>
              <w:keepLines/>
              <w:jc w:val="center"/>
              <w:rPr>
                <w:highlight w:val="black"/>
              </w:rPr>
            </w:pPr>
            <w:r>
              <w:rPr>
                <w:iCs/>
                <w:noProof/>
                <w:color w:val="000000"/>
                <w:highlight w:val="black"/>
              </w:rPr>
              <w:t>'''''''''''''''''''''</w:t>
            </w:r>
          </w:p>
        </w:tc>
        <w:tc>
          <w:tcPr>
            <w:tcW w:w="1137" w:type="dxa"/>
            <w:vAlign w:val="center"/>
          </w:tcPr>
          <w:p w14:paraId="7FF4FFEC" w14:textId="77777777" w:rsidR="00EE24E6" w:rsidRPr="00EE24E6" w:rsidRDefault="00EE24E6" w:rsidP="00EE24E6">
            <w:pPr>
              <w:pStyle w:val="Tabletext"/>
              <w:keepNext/>
              <w:keepLines/>
              <w:jc w:val="center"/>
            </w:pPr>
            <w:r w:rsidRPr="00EE24E6">
              <w:rPr>
                <w:iCs/>
              </w:rPr>
              <w:t>0.202</w:t>
            </w:r>
          </w:p>
        </w:tc>
        <w:tc>
          <w:tcPr>
            <w:tcW w:w="1129" w:type="dxa"/>
            <w:vAlign w:val="center"/>
          </w:tcPr>
          <w:p w14:paraId="750AECDA" w14:textId="77777777" w:rsidR="00EE24E6" w:rsidRPr="00DF0A4C" w:rsidRDefault="00DF0A4C" w:rsidP="00EE24E6">
            <w:pPr>
              <w:pStyle w:val="Tabletext"/>
              <w:keepNext/>
              <w:keepLines/>
              <w:jc w:val="center"/>
            </w:pPr>
            <w:r>
              <w:rPr>
                <w:iCs/>
                <w:noProof/>
                <w:color w:val="000000"/>
                <w:highlight w:val="black"/>
              </w:rPr>
              <w:t>'''''''''''''''''''''''</w:t>
            </w:r>
            <w:r w:rsidR="00EF23EA">
              <w:rPr>
                <w:vertAlign w:val="superscript"/>
              </w:rPr>
              <w:t>3</w:t>
            </w:r>
          </w:p>
        </w:tc>
        <w:tc>
          <w:tcPr>
            <w:tcW w:w="1046" w:type="dxa"/>
            <w:vAlign w:val="center"/>
          </w:tcPr>
          <w:p w14:paraId="3F2D6B98" w14:textId="77777777" w:rsidR="00EE24E6" w:rsidRPr="00EE24E6" w:rsidRDefault="00EE24E6" w:rsidP="00EE24E6">
            <w:pPr>
              <w:pStyle w:val="Tabletext"/>
              <w:keepNext/>
              <w:keepLines/>
              <w:jc w:val="center"/>
              <w:rPr>
                <w:iCs/>
              </w:rPr>
            </w:pPr>
            <w:r w:rsidRPr="00EE24E6">
              <w:rPr>
                <w:iCs/>
              </w:rPr>
              <w:t>101%</w:t>
            </w:r>
          </w:p>
        </w:tc>
      </w:tr>
      <w:tr w:rsidR="00EE24E6" w14:paraId="7B14B69E" w14:textId="77777777" w:rsidTr="00111218">
        <w:tc>
          <w:tcPr>
            <w:tcW w:w="4618" w:type="dxa"/>
            <w:vAlign w:val="center"/>
          </w:tcPr>
          <w:p w14:paraId="385513B5" w14:textId="43A05C94" w:rsidR="00EE24E6" w:rsidRPr="00EE24E6" w:rsidRDefault="00EE24E6" w:rsidP="00EE24E6">
            <w:pPr>
              <w:pStyle w:val="Tabletext"/>
              <w:keepNext/>
              <w:keepLines/>
            </w:pPr>
            <w:r w:rsidRPr="00EE24E6">
              <w:rPr>
                <w:iCs/>
              </w:rPr>
              <w:t xml:space="preserve">Change OS function in chemo only to log-logistic – same as </w:t>
            </w:r>
            <w:proofErr w:type="spellStart"/>
            <w:r w:rsidRPr="00EE24E6">
              <w:rPr>
                <w:iCs/>
              </w:rPr>
              <w:t>nivo</w:t>
            </w:r>
            <w:proofErr w:type="spellEnd"/>
            <w:r w:rsidRPr="00EE24E6">
              <w:rPr>
                <w:iCs/>
              </w:rPr>
              <w:t xml:space="preserve"> + chemo (base case Weibull)</w:t>
            </w:r>
          </w:p>
        </w:tc>
        <w:tc>
          <w:tcPr>
            <w:tcW w:w="1137" w:type="dxa"/>
            <w:vAlign w:val="center"/>
          </w:tcPr>
          <w:p w14:paraId="32E1E5D7" w14:textId="77777777" w:rsidR="00EE24E6" w:rsidRPr="00DF0A4C" w:rsidRDefault="00DF0A4C" w:rsidP="00EE24E6">
            <w:pPr>
              <w:pStyle w:val="Tabletext"/>
              <w:keepNext/>
              <w:keepLines/>
              <w:jc w:val="center"/>
              <w:rPr>
                <w:highlight w:val="black"/>
              </w:rPr>
            </w:pPr>
            <w:r>
              <w:rPr>
                <w:iCs/>
                <w:noProof/>
                <w:color w:val="000000"/>
                <w:highlight w:val="black"/>
              </w:rPr>
              <w:t>'''''''''''''''''''''</w:t>
            </w:r>
          </w:p>
        </w:tc>
        <w:tc>
          <w:tcPr>
            <w:tcW w:w="1137" w:type="dxa"/>
            <w:vAlign w:val="center"/>
          </w:tcPr>
          <w:p w14:paraId="1F3B2FD7" w14:textId="77777777" w:rsidR="00EE24E6" w:rsidRPr="00EE24E6" w:rsidRDefault="00EE24E6" w:rsidP="00EE24E6">
            <w:pPr>
              <w:pStyle w:val="Tabletext"/>
              <w:keepNext/>
              <w:keepLines/>
              <w:jc w:val="center"/>
            </w:pPr>
            <w:r w:rsidRPr="00EE24E6">
              <w:rPr>
                <w:iCs/>
              </w:rPr>
              <w:t>0.232</w:t>
            </w:r>
          </w:p>
        </w:tc>
        <w:tc>
          <w:tcPr>
            <w:tcW w:w="1129" w:type="dxa"/>
            <w:vAlign w:val="center"/>
          </w:tcPr>
          <w:p w14:paraId="3CA71091" w14:textId="77777777" w:rsidR="00EE24E6" w:rsidRPr="00DF0A4C" w:rsidRDefault="00DF0A4C" w:rsidP="00EE24E6">
            <w:pPr>
              <w:pStyle w:val="Tabletext"/>
              <w:keepNext/>
              <w:keepLines/>
              <w:jc w:val="center"/>
            </w:pPr>
            <w:r>
              <w:rPr>
                <w:iCs/>
                <w:noProof/>
                <w:color w:val="000000"/>
                <w:highlight w:val="black"/>
              </w:rPr>
              <w:t>''''''''''''''''''''</w:t>
            </w:r>
            <w:r w:rsidR="00EF23EA">
              <w:rPr>
                <w:vertAlign w:val="superscript"/>
              </w:rPr>
              <w:t>4</w:t>
            </w:r>
          </w:p>
        </w:tc>
        <w:tc>
          <w:tcPr>
            <w:tcW w:w="1046" w:type="dxa"/>
            <w:vAlign w:val="center"/>
          </w:tcPr>
          <w:p w14:paraId="70334CC3" w14:textId="77777777" w:rsidR="00EE24E6" w:rsidRPr="00EE24E6" w:rsidRDefault="00EE24E6" w:rsidP="00EE24E6">
            <w:pPr>
              <w:pStyle w:val="Tabletext"/>
              <w:keepNext/>
              <w:keepLines/>
              <w:jc w:val="center"/>
              <w:rPr>
                <w:iCs/>
              </w:rPr>
            </w:pPr>
            <w:r w:rsidRPr="00EE24E6">
              <w:rPr>
                <w:iCs/>
              </w:rPr>
              <w:t>73%</w:t>
            </w:r>
          </w:p>
        </w:tc>
      </w:tr>
      <w:tr w:rsidR="00EE24E6" w14:paraId="2CCA21E3" w14:textId="77777777" w:rsidTr="00111218">
        <w:tc>
          <w:tcPr>
            <w:tcW w:w="4618" w:type="dxa"/>
            <w:vAlign w:val="center"/>
          </w:tcPr>
          <w:p w14:paraId="64AECD3F" w14:textId="77777777" w:rsidR="00EE24E6" w:rsidRPr="00171EE7" w:rsidRDefault="00EE24E6" w:rsidP="00EE24E6">
            <w:pPr>
              <w:pStyle w:val="Tabletext"/>
              <w:keepNext/>
              <w:keepLines/>
            </w:pPr>
            <w:r w:rsidRPr="00171EE7">
              <w:t>Model run using best fit according to AIC and BIC (PFS and OS in chemotherapy arm =</w:t>
            </w:r>
            <w:r w:rsidR="00C01726">
              <w:t>l</w:t>
            </w:r>
            <w:r w:rsidRPr="00171EE7">
              <w:t>og-logistic)</w:t>
            </w:r>
          </w:p>
        </w:tc>
        <w:tc>
          <w:tcPr>
            <w:tcW w:w="1137" w:type="dxa"/>
            <w:vAlign w:val="center"/>
          </w:tcPr>
          <w:p w14:paraId="2104E1D9" w14:textId="77777777" w:rsidR="00EE24E6" w:rsidRPr="00DF0A4C" w:rsidRDefault="00DF0A4C" w:rsidP="00EE24E6">
            <w:pPr>
              <w:pStyle w:val="Tabletext"/>
              <w:keepNext/>
              <w:keepLines/>
              <w:jc w:val="center"/>
              <w:rPr>
                <w:highlight w:val="black"/>
              </w:rPr>
            </w:pPr>
            <w:r>
              <w:rPr>
                <w:noProof/>
                <w:color w:val="000000"/>
                <w:highlight w:val="black"/>
              </w:rPr>
              <w:t>''''''''''''''''''''</w:t>
            </w:r>
          </w:p>
        </w:tc>
        <w:tc>
          <w:tcPr>
            <w:tcW w:w="1137" w:type="dxa"/>
            <w:vAlign w:val="center"/>
          </w:tcPr>
          <w:p w14:paraId="53591441" w14:textId="77777777" w:rsidR="00EE24E6" w:rsidRPr="00171EE7" w:rsidRDefault="00EE24E6" w:rsidP="00EE24E6">
            <w:pPr>
              <w:pStyle w:val="Tabletext"/>
              <w:keepNext/>
              <w:keepLines/>
              <w:jc w:val="center"/>
            </w:pPr>
            <w:r w:rsidRPr="00171EE7">
              <w:t>0.222</w:t>
            </w:r>
          </w:p>
        </w:tc>
        <w:tc>
          <w:tcPr>
            <w:tcW w:w="1129" w:type="dxa"/>
            <w:vAlign w:val="center"/>
          </w:tcPr>
          <w:p w14:paraId="1B6AD3F6" w14:textId="77777777" w:rsidR="00EE24E6" w:rsidRPr="00DF0A4C" w:rsidRDefault="00DF0A4C" w:rsidP="00EE24E6">
            <w:pPr>
              <w:pStyle w:val="Tabletext"/>
              <w:keepNext/>
              <w:keepLines/>
              <w:jc w:val="center"/>
            </w:pPr>
            <w:r>
              <w:rPr>
                <w:noProof/>
                <w:color w:val="000000"/>
                <w:highlight w:val="black"/>
              </w:rPr>
              <w:t>''''''''''''''''''''''</w:t>
            </w:r>
            <w:r w:rsidR="00EF23EA">
              <w:rPr>
                <w:vertAlign w:val="superscript"/>
              </w:rPr>
              <w:t>4</w:t>
            </w:r>
          </w:p>
        </w:tc>
        <w:tc>
          <w:tcPr>
            <w:tcW w:w="1046" w:type="dxa"/>
            <w:vAlign w:val="center"/>
          </w:tcPr>
          <w:p w14:paraId="6C524FBE" w14:textId="77777777" w:rsidR="00EE24E6" w:rsidRPr="00BF6111" w:rsidRDefault="00EE24E6" w:rsidP="00EE24E6">
            <w:pPr>
              <w:pStyle w:val="Tabletext"/>
              <w:keepNext/>
              <w:keepLines/>
              <w:jc w:val="center"/>
            </w:pPr>
            <w:r w:rsidRPr="00BF6111">
              <w:t>80%</w:t>
            </w:r>
          </w:p>
        </w:tc>
      </w:tr>
      <w:tr w:rsidR="00EE24E6" w14:paraId="5F227143" w14:textId="77777777" w:rsidTr="00111218">
        <w:tc>
          <w:tcPr>
            <w:tcW w:w="4618" w:type="dxa"/>
            <w:tcBorders>
              <w:top w:val="single" w:sz="4" w:space="0" w:color="auto"/>
              <w:left w:val="single" w:sz="4" w:space="0" w:color="auto"/>
              <w:bottom w:val="single" w:sz="4" w:space="0" w:color="auto"/>
              <w:right w:val="single" w:sz="4" w:space="0" w:color="auto"/>
            </w:tcBorders>
            <w:vAlign w:val="center"/>
          </w:tcPr>
          <w:p w14:paraId="6182D0AA" w14:textId="77777777" w:rsidR="00EE24E6" w:rsidRPr="00EE24E6" w:rsidRDefault="00EE24E6" w:rsidP="00EE24E6">
            <w:pPr>
              <w:pStyle w:val="Tabletext"/>
              <w:keepNext/>
              <w:keepLines/>
              <w:rPr>
                <w:iCs/>
              </w:rPr>
            </w:pPr>
            <w:r w:rsidRPr="00EE24E6">
              <w:rPr>
                <w:iCs/>
              </w:rPr>
              <w:t>Remove terminal care costs</w:t>
            </w:r>
          </w:p>
        </w:tc>
        <w:tc>
          <w:tcPr>
            <w:tcW w:w="1137" w:type="dxa"/>
            <w:tcBorders>
              <w:top w:val="single" w:sz="4" w:space="0" w:color="auto"/>
              <w:left w:val="single" w:sz="4" w:space="0" w:color="auto"/>
              <w:bottom w:val="single" w:sz="4" w:space="0" w:color="auto"/>
              <w:right w:val="single" w:sz="4" w:space="0" w:color="auto"/>
            </w:tcBorders>
            <w:vAlign w:val="center"/>
          </w:tcPr>
          <w:p w14:paraId="728BE35F" w14:textId="77777777" w:rsidR="00EE24E6" w:rsidRPr="00DF0A4C" w:rsidRDefault="00DF0A4C" w:rsidP="00EE24E6">
            <w:pPr>
              <w:pStyle w:val="Tabletext"/>
              <w:keepNext/>
              <w:keepLines/>
              <w:jc w:val="center"/>
              <w:rPr>
                <w:iCs/>
                <w:highlight w:val="black"/>
              </w:rPr>
            </w:pPr>
            <w:r>
              <w:rPr>
                <w:iCs/>
                <w:noProof/>
                <w:color w:val="000000"/>
                <w:highlight w:val="black"/>
              </w:rPr>
              <w:t>''''''''''''''''''</w:t>
            </w:r>
          </w:p>
        </w:tc>
        <w:tc>
          <w:tcPr>
            <w:tcW w:w="1137" w:type="dxa"/>
            <w:tcBorders>
              <w:top w:val="single" w:sz="4" w:space="0" w:color="auto"/>
              <w:left w:val="single" w:sz="4" w:space="0" w:color="auto"/>
              <w:bottom w:val="single" w:sz="4" w:space="0" w:color="auto"/>
              <w:right w:val="single" w:sz="4" w:space="0" w:color="auto"/>
            </w:tcBorders>
            <w:vAlign w:val="center"/>
          </w:tcPr>
          <w:p w14:paraId="7B9E96A3" w14:textId="77777777" w:rsidR="00EE24E6" w:rsidRPr="00EE24E6" w:rsidRDefault="00EE24E6" w:rsidP="00EE24E6">
            <w:pPr>
              <w:pStyle w:val="Tabletext"/>
              <w:keepNext/>
              <w:keepLines/>
              <w:jc w:val="center"/>
              <w:rPr>
                <w:iCs/>
              </w:rPr>
            </w:pPr>
            <w:r w:rsidRPr="00EE24E6">
              <w:rPr>
                <w:iCs/>
              </w:rPr>
              <w:t>0.395</w:t>
            </w:r>
          </w:p>
        </w:tc>
        <w:tc>
          <w:tcPr>
            <w:tcW w:w="1129" w:type="dxa"/>
            <w:tcBorders>
              <w:top w:val="single" w:sz="4" w:space="0" w:color="auto"/>
              <w:left w:val="single" w:sz="4" w:space="0" w:color="auto"/>
              <w:bottom w:val="single" w:sz="4" w:space="0" w:color="auto"/>
              <w:right w:val="single" w:sz="4" w:space="0" w:color="auto"/>
            </w:tcBorders>
            <w:vAlign w:val="center"/>
          </w:tcPr>
          <w:p w14:paraId="0E05F769" w14:textId="77777777" w:rsidR="00EE24E6" w:rsidRPr="00DF0A4C" w:rsidRDefault="00DF0A4C" w:rsidP="00EE24E6">
            <w:pPr>
              <w:pStyle w:val="Tabletext"/>
              <w:keepNext/>
              <w:keepLines/>
              <w:jc w:val="center"/>
              <w:rPr>
                <w:iCs/>
              </w:rPr>
            </w:pPr>
            <w:r>
              <w:rPr>
                <w:iCs/>
                <w:noProof/>
                <w:color w:val="000000"/>
                <w:highlight w:val="black"/>
              </w:rPr>
              <w:t>'''''''''''''''''''</w:t>
            </w:r>
            <w:r w:rsidR="00EF23EA">
              <w:rPr>
                <w:vertAlign w:val="superscript"/>
              </w:rPr>
              <w:t>2</w:t>
            </w:r>
          </w:p>
        </w:tc>
        <w:tc>
          <w:tcPr>
            <w:tcW w:w="1046" w:type="dxa"/>
            <w:tcBorders>
              <w:top w:val="single" w:sz="4" w:space="0" w:color="auto"/>
              <w:left w:val="single" w:sz="4" w:space="0" w:color="auto"/>
              <w:bottom w:val="single" w:sz="4" w:space="0" w:color="auto"/>
              <w:right w:val="single" w:sz="4" w:space="0" w:color="auto"/>
            </w:tcBorders>
            <w:vAlign w:val="center"/>
          </w:tcPr>
          <w:p w14:paraId="15F124EE" w14:textId="77777777" w:rsidR="00EE24E6" w:rsidRPr="00EE24E6" w:rsidRDefault="00EE24E6" w:rsidP="00EE24E6">
            <w:pPr>
              <w:pStyle w:val="Tabletext"/>
              <w:keepNext/>
              <w:keepLines/>
              <w:jc w:val="center"/>
              <w:rPr>
                <w:iCs/>
              </w:rPr>
            </w:pPr>
            <w:r w:rsidRPr="00EE24E6">
              <w:rPr>
                <w:iCs/>
              </w:rPr>
              <w:t>7%</w:t>
            </w:r>
          </w:p>
        </w:tc>
      </w:tr>
      <w:tr w:rsidR="00EE24E6" w14:paraId="4794794C" w14:textId="77777777" w:rsidTr="00D43CBF">
        <w:tc>
          <w:tcPr>
            <w:tcW w:w="9067" w:type="dxa"/>
            <w:gridSpan w:val="5"/>
            <w:vAlign w:val="center"/>
          </w:tcPr>
          <w:p w14:paraId="475FF706" w14:textId="77777777" w:rsidR="00EE24E6" w:rsidRPr="00EE24E6" w:rsidRDefault="00EE24E6" w:rsidP="00EE24E6">
            <w:pPr>
              <w:pStyle w:val="Tabletext"/>
              <w:keepNext/>
              <w:keepLines/>
              <w:rPr>
                <w:b/>
              </w:rPr>
            </w:pPr>
            <w:r w:rsidRPr="00EE24E6">
              <w:rPr>
                <w:b/>
              </w:rPr>
              <w:t>Multivariate sensitivity analyses</w:t>
            </w:r>
          </w:p>
        </w:tc>
      </w:tr>
      <w:tr w:rsidR="00EE24E6" w:rsidRPr="00155AC0" w14:paraId="2402D82F" w14:textId="77777777" w:rsidTr="00111218">
        <w:tc>
          <w:tcPr>
            <w:tcW w:w="4618" w:type="dxa"/>
            <w:vAlign w:val="center"/>
          </w:tcPr>
          <w:p w14:paraId="25FE2377" w14:textId="77777777" w:rsidR="00EE24E6" w:rsidRPr="00EE24E6" w:rsidRDefault="00EE24E6" w:rsidP="00EE24E6">
            <w:pPr>
              <w:pStyle w:val="Tabletext"/>
              <w:keepNext/>
              <w:keepLines/>
              <w:rPr>
                <w:iCs/>
              </w:rPr>
            </w:pPr>
            <w:r w:rsidRPr="00EE24E6">
              <w:rPr>
                <w:iCs/>
              </w:rPr>
              <w:t xml:space="preserve">Model run using best fit according to AIC and BIC and remove terminal care costs and remove treatment specific utilities </w:t>
            </w:r>
          </w:p>
        </w:tc>
        <w:tc>
          <w:tcPr>
            <w:tcW w:w="1137" w:type="dxa"/>
            <w:vAlign w:val="center"/>
          </w:tcPr>
          <w:p w14:paraId="21A35151" w14:textId="77777777" w:rsidR="00EE24E6" w:rsidRPr="00DF0A4C" w:rsidRDefault="00DF0A4C" w:rsidP="00EE24E6">
            <w:pPr>
              <w:pStyle w:val="Tabletext"/>
              <w:keepNext/>
              <w:keepLines/>
              <w:jc w:val="center"/>
              <w:rPr>
                <w:iCs/>
                <w:highlight w:val="black"/>
              </w:rPr>
            </w:pPr>
            <w:r>
              <w:rPr>
                <w:iCs/>
                <w:noProof/>
                <w:color w:val="000000"/>
                <w:highlight w:val="black"/>
              </w:rPr>
              <w:t>''''''''''''''''''</w:t>
            </w:r>
          </w:p>
        </w:tc>
        <w:tc>
          <w:tcPr>
            <w:tcW w:w="1137" w:type="dxa"/>
            <w:vAlign w:val="center"/>
          </w:tcPr>
          <w:p w14:paraId="1173560A" w14:textId="77777777" w:rsidR="00EE24E6" w:rsidRPr="00EE24E6" w:rsidRDefault="00EE24E6" w:rsidP="00EE24E6">
            <w:pPr>
              <w:pStyle w:val="Tabletext"/>
              <w:keepNext/>
              <w:keepLines/>
              <w:jc w:val="center"/>
              <w:rPr>
                <w:iCs/>
              </w:rPr>
            </w:pPr>
            <w:r w:rsidRPr="00EE24E6">
              <w:rPr>
                <w:iCs/>
              </w:rPr>
              <w:t>0.195</w:t>
            </w:r>
          </w:p>
        </w:tc>
        <w:tc>
          <w:tcPr>
            <w:tcW w:w="1129" w:type="dxa"/>
            <w:vAlign w:val="center"/>
          </w:tcPr>
          <w:p w14:paraId="10B8674C" w14:textId="77777777" w:rsidR="00EE24E6" w:rsidRPr="00DF0A4C" w:rsidRDefault="00DF0A4C" w:rsidP="00EE24E6">
            <w:pPr>
              <w:pStyle w:val="Tabletext"/>
              <w:keepNext/>
              <w:keepLines/>
              <w:jc w:val="center"/>
              <w:rPr>
                <w:iCs/>
              </w:rPr>
            </w:pPr>
            <w:r>
              <w:rPr>
                <w:iCs/>
                <w:noProof/>
                <w:color w:val="000000"/>
                <w:highlight w:val="black"/>
              </w:rPr>
              <w:t>''''''''''''''''''''''</w:t>
            </w:r>
            <w:r w:rsidR="00EF23EA">
              <w:rPr>
                <w:vertAlign w:val="superscript"/>
              </w:rPr>
              <w:t>5</w:t>
            </w:r>
          </w:p>
        </w:tc>
        <w:tc>
          <w:tcPr>
            <w:tcW w:w="1046" w:type="dxa"/>
            <w:vAlign w:val="center"/>
          </w:tcPr>
          <w:p w14:paraId="0D5F81CA" w14:textId="77777777" w:rsidR="00EE24E6" w:rsidRPr="00EE24E6" w:rsidRDefault="00EE24E6" w:rsidP="00EE24E6">
            <w:pPr>
              <w:pStyle w:val="Tabletext"/>
              <w:keepNext/>
              <w:keepLines/>
              <w:jc w:val="center"/>
              <w:rPr>
                <w:iCs/>
              </w:rPr>
            </w:pPr>
            <w:r w:rsidRPr="00EE24E6">
              <w:rPr>
                <w:iCs/>
              </w:rPr>
              <w:t>111%</w:t>
            </w:r>
          </w:p>
        </w:tc>
      </w:tr>
      <w:tr w:rsidR="00EE24E6" w:rsidRPr="00155AC0" w14:paraId="50ABEF84" w14:textId="77777777" w:rsidTr="00111218">
        <w:tc>
          <w:tcPr>
            <w:tcW w:w="4618" w:type="dxa"/>
            <w:vAlign w:val="center"/>
          </w:tcPr>
          <w:p w14:paraId="1C2C4696" w14:textId="77777777" w:rsidR="00EE24E6" w:rsidRPr="00EE24E6" w:rsidRDefault="00EE24E6" w:rsidP="00EE24E6">
            <w:pPr>
              <w:pStyle w:val="Tabletext"/>
              <w:keepNext/>
              <w:keepLines/>
              <w:rPr>
                <w:iCs/>
              </w:rPr>
            </w:pPr>
            <w:r w:rsidRPr="00EE24E6">
              <w:rPr>
                <w:iCs/>
              </w:rPr>
              <w:t>Model run using best fit according to AIC and BIC and remove terminal care costs, remove treatment specific utilities and time horizon 5 years</w:t>
            </w:r>
          </w:p>
        </w:tc>
        <w:tc>
          <w:tcPr>
            <w:tcW w:w="1137" w:type="dxa"/>
            <w:vAlign w:val="center"/>
          </w:tcPr>
          <w:p w14:paraId="699CB537" w14:textId="77777777" w:rsidR="00EE24E6" w:rsidRPr="00DF0A4C" w:rsidRDefault="00DF0A4C" w:rsidP="00EE24E6">
            <w:pPr>
              <w:pStyle w:val="Tabletext"/>
              <w:keepNext/>
              <w:keepLines/>
              <w:jc w:val="center"/>
              <w:rPr>
                <w:iCs/>
                <w:highlight w:val="black"/>
              </w:rPr>
            </w:pPr>
            <w:r>
              <w:rPr>
                <w:iCs/>
                <w:noProof/>
                <w:color w:val="000000"/>
                <w:highlight w:val="black"/>
              </w:rPr>
              <w:t>'''''''''''''''''''</w:t>
            </w:r>
          </w:p>
        </w:tc>
        <w:tc>
          <w:tcPr>
            <w:tcW w:w="1137" w:type="dxa"/>
            <w:vAlign w:val="center"/>
          </w:tcPr>
          <w:p w14:paraId="3BE0FF2F" w14:textId="77777777" w:rsidR="00EE24E6" w:rsidRPr="00EE24E6" w:rsidRDefault="00EE24E6" w:rsidP="00EE24E6">
            <w:pPr>
              <w:pStyle w:val="Tabletext"/>
              <w:keepNext/>
              <w:keepLines/>
              <w:jc w:val="center"/>
              <w:rPr>
                <w:iCs/>
              </w:rPr>
            </w:pPr>
            <w:r w:rsidRPr="00EE24E6">
              <w:rPr>
                <w:iCs/>
              </w:rPr>
              <w:t>0.166</w:t>
            </w:r>
          </w:p>
        </w:tc>
        <w:tc>
          <w:tcPr>
            <w:tcW w:w="1129" w:type="dxa"/>
            <w:vAlign w:val="center"/>
          </w:tcPr>
          <w:p w14:paraId="41AA7FBF" w14:textId="77777777" w:rsidR="00EE24E6" w:rsidRPr="00DF0A4C" w:rsidRDefault="00DF0A4C" w:rsidP="00EE24E6">
            <w:pPr>
              <w:pStyle w:val="Tabletext"/>
              <w:keepNext/>
              <w:keepLines/>
              <w:jc w:val="center"/>
              <w:rPr>
                <w:iCs/>
              </w:rPr>
            </w:pPr>
            <w:r>
              <w:rPr>
                <w:iCs/>
                <w:noProof/>
                <w:color w:val="000000"/>
                <w:highlight w:val="black"/>
              </w:rPr>
              <w:t>''''''''''''''''''''''''</w:t>
            </w:r>
            <w:r w:rsidR="00EF23EA">
              <w:rPr>
                <w:vertAlign w:val="superscript"/>
              </w:rPr>
              <w:t>5</w:t>
            </w:r>
          </w:p>
        </w:tc>
        <w:tc>
          <w:tcPr>
            <w:tcW w:w="1046" w:type="dxa"/>
            <w:vAlign w:val="center"/>
          </w:tcPr>
          <w:p w14:paraId="44F39BC7" w14:textId="77777777" w:rsidR="00EE24E6" w:rsidRPr="00EE24E6" w:rsidRDefault="00EE24E6" w:rsidP="00EE24E6">
            <w:pPr>
              <w:pStyle w:val="Tabletext"/>
              <w:keepNext/>
              <w:keepLines/>
              <w:jc w:val="center"/>
              <w:rPr>
                <w:iCs/>
              </w:rPr>
            </w:pPr>
            <w:r w:rsidRPr="00EE24E6">
              <w:rPr>
                <w:iCs/>
              </w:rPr>
              <w:t>147%</w:t>
            </w:r>
          </w:p>
        </w:tc>
      </w:tr>
    </w:tbl>
    <w:p w14:paraId="6F108D11" w14:textId="77777777" w:rsidR="000B7376" w:rsidRDefault="000B7376" w:rsidP="00E4708C">
      <w:pPr>
        <w:pStyle w:val="TableFooter"/>
        <w:keepNext/>
        <w:keepLines/>
      </w:pPr>
      <w:r>
        <w:t>Source: Table 67, pp117-119</w:t>
      </w:r>
    </w:p>
    <w:p w14:paraId="6900B784" w14:textId="77777777" w:rsidR="00A86E8B" w:rsidRDefault="000B7376" w:rsidP="004E0029">
      <w:pPr>
        <w:pStyle w:val="TableFooter"/>
        <w:keepNext/>
        <w:keepLines/>
      </w:pPr>
      <w:r w:rsidRPr="009F0C9F">
        <w:t xml:space="preserve">AE = adverse events; AIC = </w:t>
      </w:r>
      <w:proofErr w:type="spellStart"/>
      <w:r w:rsidRPr="009F0C9F">
        <w:t>Akaike</w:t>
      </w:r>
      <w:proofErr w:type="spellEnd"/>
      <w:r w:rsidRPr="009F0C9F">
        <w:t xml:space="preserve"> information criterion; BIC = Bayesian information criterion; BSA = body surface area; KM = Kaplan-Meier; OS = overall survival; PFS = progression free survival</w:t>
      </w:r>
    </w:p>
    <w:p w14:paraId="5B8D23FC" w14:textId="77777777" w:rsidR="00EF23EA" w:rsidRDefault="00EF23EA" w:rsidP="00EF23EA">
      <w:pPr>
        <w:pStyle w:val="TableFigureFooter"/>
        <w:spacing w:after="0"/>
        <w:contextualSpacing w:val="0"/>
        <w:rPr>
          <w:i/>
        </w:rPr>
      </w:pPr>
      <w:r w:rsidRPr="009868C4">
        <w:rPr>
          <w:i/>
        </w:rPr>
        <w:t>The redacted values correspond to the following ranges</w:t>
      </w:r>
      <w:r>
        <w:rPr>
          <w:i/>
        </w:rPr>
        <w:t xml:space="preserve">: </w:t>
      </w:r>
    </w:p>
    <w:p w14:paraId="50AA5D01" w14:textId="77777777" w:rsidR="00EF23EA" w:rsidRPr="00870C5D" w:rsidRDefault="00EF23EA" w:rsidP="00EF23EA">
      <w:pPr>
        <w:pStyle w:val="TableFigureFooter"/>
        <w:spacing w:after="0"/>
        <w:contextualSpacing w:val="0"/>
      </w:pPr>
      <w:r>
        <w:rPr>
          <w:i/>
          <w:vertAlign w:val="superscript"/>
        </w:rPr>
        <w:t>1</w:t>
      </w:r>
      <w:r>
        <w:rPr>
          <w:i/>
        </w:rPr>
        <w:t xml:space="preserve"> </w:t>
      </w:r>
      <w:r w:rsidRPr="00EF23EA">
        <w:rPr>
          <w:i/>
        </w:rPr>
        <w:t>$55,000 to &lt; $75,000</w:t>
      </w:r>
    </w:p>
    <w:p w14:paraId="32BEBCC4" w14:textId="77777777" w:rsidR="00EF23EA" w:rsidRPr="00870C5D" w:rsidRDefault="00EF23EA" w:rsidP="00EF23EA">
      <w:pPr>
        <w:pStyle w:val="TableFigureFooter"/>
        <w:spacing w:after="0"/>
        <w:contextualSpacing w:val="0"/>
      </w:pPr>
      <w:r>
        <w:rPr>
          <w:i/>
          <w:vertAlign w:val="superscript"/>
        </w:rPr>
        <w:t>2</w:t>
      </w:r>
      <w:r>
        <w:rPr>
          <w:i/>
        </w:rPr>
        <w:t xml:space="preserve"> </w:t>
      </w:r>
      <w:r w:rsidRPr="00EF23EA">
        <w:rPr>
          <w:i/>
        </w:rPr>
        <w:t>$75,000 to &lt; $95,000</w:t>
      </w:r>
    </w:p>
    <w:p w14:paraId="5A5C7707" w14:textId="77777777" w:rsidR="00EF23EA" w:rsidRPr="00870C5D" w:rsidRDefault="00EF23EA" w:rsidP="00EF23EA">
      <w:pPr>
        <w:pStyle w:val="TableFigureFooter"/>
        <w:spacing w:after="0"/>
        <w:contextualSpacing w:val="0"/>
      </w:pPr>
      <w:r>
        <w:rPr>
          <w:i/>
          <w:vertAlign w:val="superscript"/>
        </w:rPr>
        <w:t>3</w:t>
      </w:r>
      <w:r>
        <w:rPr>
          <w:i/>
        </w:rPr>
        <w:t xml:space="preserve"> </w:t>
      </w:r>
      <w:r w:rsidRPr="00EF23EA">
        <w:rPr>
          <w:i/>
        </w:rPr>
        <w:t>$135,000 to &lt; $155,000</w:t>
      </w:r>
    </w:p>
    <w:p w14:paraId="284F40DB" w14:textId="77777777" w:rsidR="00EF23EA" w:rsidRPr="00870C5D" w:rsidRDefault="00EF23EA" w:rsidP="00EF23EA">
      <w:pPr>
        <w:pStyle w:val="TableFigureFooter"/>
        <w:spacing w:after="0"/>
        <w:contextualSpacing w:val="0"/>
      </w:pPr>
      <w:r>
        <w:rPr>
          <w:i/>
          <w:vertAlign w:val="superscript"/>
        </w:rPr>
        <w:t>4</w:t>
      </w:r>
      <w:r>
        <w:rPr>
          <w:i/>
        </w:rPr>
        <w:t xml:space="preserve"> </w:t>
      </w:r>
      <w:r w:rsidRPr="00EF23EA">
        <w:rPr>
          <w:i/>
        </w:rPr>
        <w:t>$115,000 to &lt; $135,000</w:t>
      </w:r>
    </w:p>
    <w:p w14:paraId="253ED6E6" w14:textId="5FEA0149" w:rsidR="000D250C" w:rsidRDefault="00EF23EA" w:rsidP="008632D9">
      <w:pPr>
        <w:pStyle w:val="TableFigureFooter"/>
        <w:contextualSpacing w:val="0"/>
      </w:pPr>
      <w:r>
        <w:rPr>
          <w:i/>
          <w:vertAlign w:val="superscript"/>
        </w:rPr>
        <w:t>5</w:t>
      </w:r>
      <w:r>
        <w:rPr>
          <w:i/>
        </w:rPr>
        <w:t xml:space="preserve"> </w:t>
      </w:r>
      <w:r w:rsidRPr="00EF23EA">
        <w:rPr>
          <w:i/>
        </w:rPr>
        <w:t>$155,000 to &lt; $255,000</w:t>
      </w:r>
    </w:p>
    <w:p w14:paraId="76C707AC" w14:textId="7A0C6DC2" w:rsidR="006E58FF" w:rsidRPr="00311DF9" w:rsidRDefault="003B5862" w:rsidP="00394453">
      <w:pPr>
        <w:pStyle w:val="3-BodyText"/>
        <w:ind w:left="720"/>
      </w:pPr>
      <w:r w:rsidRPr="00311DF9">
        <w:t xml:space="preserve">The sensitivity analyses presented demonstrate the ICER was highly sensitive to </w:t>
      </w:r>
      <w:r w:rsidR="00FB268A" w:rsidRPr="00311DF9">
        <w:t xml:space="preserve">the </w:t>
      </w:r>
      <w:r w:rsidRPr="00311DF9">
        <w:t>extrapolation method</w:t>
      </w:r>
      <w:r w:rsidR="004E0029" w:rsidRPr="00311DF9">
        <w:t xml:space="preserve"> for OS</w:t>
      </w:r>
      <w:r w:rsidRPr="00311DF9">
        <w:t xml:space="preserve">. Use of different extrapolation </w:t>
      </w:r>
      <w:r w:rsidR="004E0029" w:rsidRPr="00311DF9">
        <w:t xml:space="preserve">methods </w:t>
      </w:r>
      <w:r w:rsidR="00FB268A" w:rsidRPr="00311DF9">
        <w:t>resulted</w:t>
      </w:r>
      <w:r w:rsidR="004E0029" w:rsidRPr="00311DF9">
        <w:t xml:space="preserve"> in an ICER which was more than </w:t>
      </w:r>
      <w:r w:rsidRPr="00311DF9">
        <w:t xml:space="preserve">double the base case ICER. Moreover, </w:t>
      </w:r>
      <w:r w:rsidR="004E0029" w:rsidRPr="00311DF9">
        <w:t xml:space="preserve">as discussed in </w:t>
      </w:r>
      <w:r w:rsidR="004E0029" w:rsidRPr="001D7F21">
        <w:t xml:space="preserve">paragraph </w:t>
      </w:r>
      <w:r w:rsidR="001D7F21" w:rsidRPr="001D7F21">
        <w:t>6.3</w:t>
      </w:r>
      <w:r w:rsidR="004054B4">
        <w:t>2</w:t>
      </w:r>
      <w:r w:rsidRPr="00311DF9">
        <w:t xml:space="preserve">, the </w:t>
      </w:r>
      <w:r w:rsidR="004E0029" w:rsidRPr="00311DF9">
        <w:t xml:space="preserve">survival benefit reported in the clinical trial (and applied to the economic model) may be </w:t>
      </w:r>
      <w:r w:rsidRPr="00311DF9">
        <w:t xml:space="preserve">greater than </w:t>
      </w:r>
      <w:r w:rsidR="004E0029" w:rsidRPr="00311DF9">
        <w:t xml:space="preserve">what may </w:t>
      </w:r>
      <w:r w:rsidRPr="00311DF9">
        <w:t xml:space="preserve">be </w:t>
      </w:r>
      <w:r w:rsidR="004E0029" w:rsidRPr="00311DF9">
        <w:t xml:space="preserve">experienced by </w:t>
      </w:r>
      <w:r w:rsidRPr="00311DF9">
        <w:t>the proposed PBS population</w:t>
      </w:r>
      <w:r w:rsidR="004E0029" w:rsidRPr="00311DF9">
        <w:t xml:space="preserve"> which may have a lower proportion of patients with CPS </w:t>
      </w:r>
      <w:r w:rsidR="004E0029" w:rsidRPr="00311DF9">
        <w:rPr>
          <w:rFonts w:cstheme="minorHAnsi"/>
        </w:rPr>
        <w:t>≥</w:t>
      </w:r>
      <w:r w:rsidR="004E0029" w:rsidRPr="00311DF9">
        <w:t>5</w:t>
      </w:r>
      <w:r w:rsidR="006E58FF" w:rsidRPr="00311DF9">
        <w:t xml:space="preserve">, when combined with the modest OS gain in </w:t>
      </w:r>
      <w:proofErr w:type="spellStart"/>
      <w:r w:rsidR="006E58FF" w:rsidRPr="00311DF9">
        <w:t>CheckMate</w:t>
      </w:r>
      <w:proofErr w:type="spellEnd"/>
      <w:r w:rsidR="006E58FF" w:rsidRPr="00311DF9">
        <w:t xml:space="preserve"> 649, also suggests that the OS benefit estimated by the model may be overestimated. </w:t>
      </w:r>
    </w:p>
    <w:p w14:paraId="4C7E54AF" w14:textId="77777777" w:rsidR="003B5862" w:rsidRDefault="006E58FF" w:rsidP="003B5862">
      <w:pPr>
        <w:pStyle w:val="3-BodyText"/>
        <w:ind w:left="720"/>
      </w:pPr>
      <w:r w:rsidRPr="00311DF9">
        <w:t xml:space="preserve">The model was also sensitive (but to a much smaller degree) to the time horizon assumption and to the assumption of differential utility between treatment arms which may not be justified. </w:t>
      </w:r>
    </w:p>
    <w:p w14:paraId="25839983" w14:textId="77777777" w:rsidR="00A23405" w:rsidRDefault="00A23405" w:rsidP="00EF23EA">
      <w:pPr>
        <w:pStyle w:val="3-BodyText"/>
        <w:ind w:left="709"/>
      </w:pPr>
      <w:r w:rsidRPr="00D9037C">
        <w:t>The ESC noted a multivariate analysis (</w:t>
      </w:r>
      <w:proofErr w:type="spellStart"/>
      <w:r w:rsidRPr="00D9037C">
        <w:t>i</w:t>
      </w:r>
      <w:proofErr w:type="spellEnd"/>
      <w:r w:rsidRPr="00D9037C">
        <w:t xml:space="preserve">) using a log-logistic extrapolation function for chemotherapy alone (ii) assuming the same utilities applied to both treatment arms (0.805 for progression free, 0.735 for progressed disease) (iii) removing terminal care and (iv) a time horizon of 5 years increased the ICER from </w:t>
      </w:r>
      <w:r w:rsidR="00EF23EA">
        <w:t>$55,000 to &lt; $75,000</w:t>
      </w:r>
      <w:r w:rsidRPr="00D9037C">
        <w:t xml:space="preserve">/ QALY to </w:t>
      </w:r>
      <w:r w:rsidR="00EF23EA" w:rsidRPr="00EF23EA">
        <w:t>$155,000 to &lt; $255,000</w:t>
      </w:r>
      <w:r w:rsidRPr="00D9037C">
        <w:t>/ QALY and considered this may be a more reasonable base case.</w:t>
      </w:r>
      <w:r w:rsidR="004116B0">
        <w:t xml:space="preserve">  </w:t>
      </w:r>
    </w:p>
    <w:p w14:paraId="44A50B8F" w14:textId="77777777" w:rsidR="00C25D9C" w:rsidRDefault="00C25D9C" w:rsidP="00BB732D">
      <w:pPr>
        <w:pStyle w:val="4-SubsectionHeading"/>
      </w:pPr>
      <w:bookmarkStart w:id="46" w:name="_Toc22897646"/>
      <w:bookmarkStart w:id="47" w:name="_Toc69567427"/>
      <w:bookmarkStart w:id="48" w:name="_Toc72308988"/>
      <w:r w:rsidRPr="002C2775">
        <w:t>Drug</w:t>
      </w:r>
      <w:r w:rsidR="00E859C6">
        <w:t xml:space="preserve"> </w:t>
      </w:r>
      <w:r w:rsidRPr="002C2775">
        <w:t>cost/patient/course</w:t>
      </w:r>
      <w:bookmarkEnd w:id="46"/>
      <w:bookmarkEnd w:id="47"/>
      <w:r w:rsidR="006E58FF">
        <w:t xml:space="preserve"> $</w:t>
      </w:r>
      <w:r w:rsidR="00DF0A4C">
        <w:rPr>
          <w:noProof/>
          <w:color w:val="000000"/>
          <w:highlight w:val="black"/>
        </w:rPr>
        <w:t>'''''''''''</w:t>
      </w:r>
      <w:r w:rsidR="00FA447A">
        <w:t xml:space="preserve"> to $</w:t>
      </w:r>
      <w:bookmarkEnd w:id="48"/>
      <w:r w:rsidR="00DF0A4C">
        <w:rPr>
          <w:noProof/>
          <w:color w:val="000000"/>
          <w:highlight w:val="black"/>
        </w:rPr>
        <w:t>'''''''''''''</w:t>
      </w:r>
    </w:p>
    <w:p w14:paraId="0AB9460B" w14:textId="77777777" w:rsidR="00223C6E" w:rsidRPr="00311DF9" w:rsidRDefault="00FA447A" w:rsidP="00223C6E">
      <w:pPr>
        <w:pStyle w:val="3-BodyText"/>
        <w:ind w:left="720"/>
      </w:pPr>
      <w:r w:rsidRPr="00D42EDC">
        <w:t>The submission calculated</w:t>
      </w:r>
      <w:r>
        <w:t xml:space="preserve"> average cost per patient per course of nivolumab plus chemotherapy by calculating a cost per mg (based on weighted private/ public </w:t>
      </w:r>
      <w:r w:rsidRPr="00311DF9">
        <w:t>dispensed price) and total number of mg dispensed for each component of nivolumab plus chemotherapy (based on time on treatment frequency of dosing and dose per administration). Each component was added together and a weighted average for FOLFOX and XELOX regimens was calculated</w:t>
      </w:r>
      <w:r w:rsidR="00223C6E" w:rsidRPr="00311DF9">
        <w:t>.</w:t>
      </w:r>
    </w:p>
    <w:p w14:paraId="00C0C65A" w14:textId="77777777" w:rsidR="00223C6E" w:rsidRPr="00311DF9" w:rsidRDefault="00223C6E" w:rsidP="00223C6E">
      <w:pPr>
        <w:pStyle w:val="3-BodyText"/>
        <w:ind w:left="720"/>
        <w:rPr>
          <w:snapToGrid/>
          <w:lang w:val="en-US"/>
        </w:rPr>
      </w:pPr>
      <w:r w:rsidRPr="00311DF9">
        <w:t xml:space="preserve">During the evaluation, </w:t>
      </w:r>
      <w:r w:rsidR="00FB2004" w:rsidRPr="00311DF9">
        <w:t xml:space="preserve">drug </w:t>
      </w:r>
      <w:r w:rsidRPr="00311DF9">
        <w:t xml:space="preserve">costs were </w:t>
      </w:r>
      <w:r w:rsidR="00FB2004" w:rsidRPr="00311DF9">
        <w:t xml:space="preserve">calculated </w:t>
      </w:r>
      <w:r w:rsidRPr="00311DF9">
        <w:t>as costs per cycle and number of cycles</w:t>
      </w:r>
      <w:r w:rsidR="00C82607" w:rsidRPr="00311DF9">
        <w:t xml:space="preserve"> and is presented in </w:t>
      </w:r>
      <w:r w:rsidR="002A0BA9" w:rsidRPr="002A0BA9">
        <w:t>Table 13</w:t>
      </w:r>
      <w:r w:rsidRPr="00311DF9">
        <w:t xml:space="preserve">. The following </w:t>
      </w:r>
      <w:r w:rsidR="00C82607" w:rsidRPr="00311DF9">
        <w:t xml:space="preserve">differences between the drug costs as estimated using information from the </w:t>
      </w:r>
      <w:proofErr w:type="spellStart"/>
      <w:r w:rsidR="00C82607" w:rsidRPr="00311DF9">
        <w:t>CheckMate</w:t>
      </w:r>
      <w:proofErr w:type="spellEnd"/>
      <w:r w:rsidR="00C82607" w:rsidRPr="00311DF9">
        <w:t xml:space="preserve"> 649 trial, in the economic model and the financial estimates were </w:t>
      </w:r>
      <w:r w:rsidRPr="00311DF9">
        <w:t>noted</w:t>
      </w:r>
      <w:r w:rsidR="00C82607" w:rsidRPr="00311DF9">
        <w:t>:</w:t>
      </w:r>
    </w:p>
    <w:p w14:paraId="7E862091" w14:textId="77777777" w:rsidR="007B3BC9" w:rsidRPr="00311DF9" w:rsidRDefault="00FA447A" w:rsidP="00F1614A">
      <w:pPr>
        <w:pStyle w:val="3-BodyText"/>
        <w:numPr>
          <w:ilvl w:val="0"/>
          <w:numId w:val="10"/>
        </w:numPr>
        <w:rPr>
          <w:snapToGrid/>
          <w:lang w:val="en-US"/>
        </w:rPr>
      </w:pPr>
      <w:r w:rsidRPr="00311DF9">
        <w:t xml:space="preserve">The financial estimates and economic evaluation assumed an 80%/20% FOLFOX to XELOX split based on advice from the expert advisory board. </w:t>
      </w:r>
      <w:proofErr w:type="spellStart"/>
      <w:r w:rsidRPr="00311DF9">
        <w:t>CheckMate</w:t>
      </w:r>
      <w:proofErr w:type="spellEnd"/>
      <w:r w:rsidRPr="00311DF9">
        <w:t xml:space="preserve"> 649 had an approximately even split between FOLFOX and XELOX</w:t>
      </w:r>
      <w:r w:rsidR="00C8720D" w:rsidRPr="00311DF9">
        <w:t xml:space="preserve">. </w:t>
      </w:r>
      <w:r w:rsidR="00F47D8F" w:rsidRPr="00311DF9">
        <w:t xml:space="preserve">Altering the relative use of </w:t>
      </w:r>
      <w:r w:rsidR="00C8720D" w:rsidRPr="00311DF9">
        <w:t>FOLFOX to XELOX ha</w:t>
      </w:r>
      <w:r w:rsidR="00F47D8F" w:rsidRPr="00311DF9">
        <w:t>d</w:t>
      </w:r>
      <w:r w:rsidR="00C8720D" w:rsidRPr="00311DF9">
        <w:t xml:space="preserve"> a minimal impact on the ICER</w:t>
      </w:r>
      <w:r w:rsidR="00F47D8F" w:rsidRPr="00311DF9">
        <w:t xml:space="preserve"> and financial estimates</w:t>
      </w:r>
      <w:r w:rsidRPr="00311DF9">
        <w:t xml:space="preserve">; </w:t>
      </w:r>
    </w:p>
    <w:p w14:paraId="7A9C4B84" w14:textId="77777777" w:rsidR="00FA447A" w:rsidRPr="00311DF9" w:rsidRDefault="007B3BC9" w:rsidP="00FA447A">
      <w:pPr>
        <w:pStyle w:val="3-BodyText"/>
        <w:numPr>
          <w:ilvl w:val="0"/>
          <w:numId w:val="10"/>
        </w:numPr>
        <w:rPr>
          <w:snapToGrid/>
          <w:lang w:val="en-US"/>
        </w:rPr>
      </w:pPr>
      <w:r w:rsidRPr="00311DF9">
        <w:t>The base case of the economic model assumed no vial sharing of chemotherapy</w:t>
      </w:r>
      <w:r w:rsidR="00F96979" w:rsidRPr="00311DF9">
        <w:t xml:space="preserve">, therefore the doses of chemotherapy were higher than the financial estimates which used precise doses for chemotherapy; </w:t>
      </w:r>
      <w:r w:rsidR="00FA447A" w:rsidRPr="00311DF9">
        <w:t xml:space="preserve">and </w:t>
      </w:r>
    </w:p>
    <w:p w14:paraId="590A0176" w14:textId="77777777" w:rsidR="00FA447A" w:rsidRPr="00311DF9" w:rsidRDefault="00FA447A" w:rsidP="00FA447A">
      <w:pPr>
        <w:pStyle w:val="3-BodyText"/>
        <w:numPr>
          <w:ilvl w:val="0"/>
          <w:numId w:val="10"/>
        </w:numPr>
        <w:rPr>
          <w:snapToGrid/>
          <w:lang w:val="en-US"/>
        </w:rPr>
      </w:pPr>
      <w:r w:rsidRPr="00311DF9">
        <w:t xml:space="preserve">Treatment duration. </w:t>
      </w:r>
      <w:r w:rsidR="00FB268A" w:rsidRPr="00311DF9">
        <w:t>T</w:t>
      </w:r>
      <w:r w:rsidRPr="00311DF9">
        <w:t xml:space="preserve">he cumulative dose in the trial was lower in the trial for each of the individual agents than in the economic evaluation this was a result of shorter estimated treatment duration over the trial period than the </w:t>
      </w:r>
      <w:r w:rsidR="001E5219" w:rsidRPr="00311DF9">
        <w:t>seven and a half</w:t>
      </w:r>
      <w:r w:rsidRPr="00311DF9">
        <w:t xml:space="preserve"> year time horizon. </w:t>
      </w:r>
    </w:p>
    <w:p w14:paraId="6FE6E51B" w14:textId="77777777" w:rsidR="00D43CBF" w:rsidRDefault="00D726B4" w:rsidP="00C82607">
      <w:pPr>
        <w:pStyle w:val="TableFigureHeading"/>
        <w:keepLines/>
        <w:rPr>
          <w:rStyle w:val="CommentReference"/>
          <w:b/>
          <w:bCs w:val="0"/>
        </w:rPr>
      </w:pPr>
      <w:bookmarkStart w:id="49" w:name="_Ref69751629"/>
      <w:r w:rsidRPr="00D726B4">
        <w:rPr>
          <w:rStyle w:val="CommentReference"/>
          <w:b/>
          <w:bCs w:val="0"/>
        </w:rPr>
        <w:t xml:space="preserve">Table </w:t>
      </w:r>
      <w:r w:rsidR="002A0BA9">
        <w:rPr>
          <w:rStyle w:val="CommentReference"/>
          <w:b/>
          <w:bCs w:val="0"/>
          <w:noProof/>
        </w:rPr>
        <w:t>13</w:t>
      </w:r>
      <w:bookmarkEnd w:id="49"/>
      <w:r w:rsidRPr="00D726B4">
        <w:rPr>
          <w:rStyle w:val="CommentReference"/>
          <w:b/>
          <w:bCs w:val="0"/>
        </w:rPr>
        <w:t>:</w:t>
      </w:r>
      <w:r>
        <w:rPr>
          <w:rStyle w:val="CommentReference"/>
        </w:rPr>
        <w:t xml:space="preserve"> </w:t>
      </w:r>
      <w:r w:rsidR="00D42EDC" w:rsidRPr="00E84E6C">
        <w:rPr>
          <w:rStyle w:val="CommentReference"/>
          <w:b/>
          <w:bCs w:val="0"/>
        </w:rPr>
        <w:t xml:space="preserve">Drug per patient drug cost of nivolumab plus chemotherapy </w:t>
      </w:r>
    </w:p>
    <w:tbl>
      <w:tblPr>
        <w:tblW w:w="5000" w:type="pct"/>
        <w:tblCellMar>
          <w:left w:w="29" w:type="dxa"/>
          <w:right w:w="29" w:type="dxa"/>
        </w:tblCellMar>
        <w:tblLook w:val="04A0" w:firstRow="1" w:lastRow="0" w:firstColumn="1" w:lastColumn="0" w:noHBand="0" w:noVBand="1"/>
        <w:tblCaption w:val="Table 13: Drug per patient drug cost of nivolumab plus chemotherapy "/>
      </w:tblPr>
      <w:tblGrid>
        <w:gridCol w:w="1069"/>
        <w:gridCol w:w="855"/>
        <w:gridCol w:w="857"/>
        <w:gridCol w:w="927"/>
        <w:gridCol w:w="532"/>
        <w:gridCol w:w="989"/>
        <w:gridCol w:w="844"/>
        <w:gridCol w:w="970"/>
        <w:gridCol w:w="994"/>
        <w:gridCol w:w="970"/>
      </w:tblGrid>
      <w:tr w:rsidR="00F47D8F" w:rsidRPr="003F6B31" w14:paraId="603C12B9" w14:textId="77777777" w:rsidTr="00F47D8F">
        <w:trPr>
          <w:trHeight w:val="20"/>
        </w:trPr>
        <w:tc>
          <w:tcPr>
            <w:tcW w:w="601" w:type="pct"/>
            <w:vMerge w:val="restart"/>
            <w:tcBorders>
              <w:top w:val="single" w:sz="8" w:space="0" w:color="auto"/>
              <w:left w:val="single" w:sz="8" w:space="0" w:color="auto"/>
              <w:right w:val="single" w:sz="8" w:space="0" w:color="auto"/>
            </w:tcBorders>
            <w:shd w:val="clear" w:color="auto" w:fill="auto"/>
            <w:vAlign w:val="center"/>
          </w:tcPr>
          <w:p w14:paraId="07F02377" w14:textId="77777777" w:rsidR="00F47D8F" w:rsidRPr="003F6B31" w:rsidRDefault="00F47D8F" w:rsidP="00C82607">
            <w:pPr>
              <w:keepNext/>
              <w:keepLines/>
              <w:jc w:val="center"/>
              <w:rPr>
                <w:rFonts w:ascii="Arial Narrow" w:hAnsi="Arial Narrow" w:cs="Calibri"/>
                <w:b/>
                <w:bCs/>
                <w:color w:val="000000"/>
                <w:sz w:val="20"/>
                <w:szCs w:val="20"/>
                <w:lang w:val="en-US" w:eastAsia="en-US"/>
              </w:rPr>
            </w:pPr>
          </w:p>
        </w:tc>
        <w:tc>
          <w:tcPr>
            <w:tcW w:w="1487" w:type="pct"/>
            <w:gridSpan w:val="3"/>
            <w:tcBorders>
              <w:top w:val="single" w:sz="8" w:space="0" w:color="auto"/>
              <w:left w:val="nil"/>
              <w:bottom w:val="single" w:sz="8" w:space="0" w:color="auto"/>
              <w:right w:val="single" w:sz="8" w:space="0" w:color="auto"/>
            </w:tcBorders>
            <w:shd w:val="clear" w:color="auto" w:fill="auto"/>
            <w:vAlign w:val="center"/>
          </w:tcPr>
          <w:p w14:paraId="228D3A04" w14:textId="7B473979" w:rsidR="00F47D8F" w:rsidRPr="003F6B31" w:rsidRDefault="00F47D8F" w:rsidP="00C82607">
            <w:pPr>
              <w:keepNext/>
              <w:keepLines/>
              <w:jc w:val="center"/>
              <w:rPr>
                <w:rFonts w:ascii="Arial Narrow" w:hAnsi="Arial Narrow" w:cs="Calibri"/>
                <w:b/>
                <w:bCs/>
                <w:color w:val="000000"/>
                <w:sz w:val="20"/>
                <w:szCs w:val="20"/>
                <w:lang w:val="en-US" w:eastAsia="en-US"/>
              </w:rPr>
            </w:pPr>
            <w:r w:rsidRPr="003F6B31">
              <w:rPr>
                <w:rFonts w:ascii="Arial Narrow" w:hAnsi="Arial Narrow" w:cs="Calibri"/>
                <w:b/>
                <w:bCs/>
                <w:color w:val="000000"/>
                <w:sz w:val="20"/>
                <w:szCs w:val="20"/>
                <w:lang w:val="en-US" w:eastAsia="en-US"/>
              </w:rPr>
              <w:t>Cost per cycle</w:t>
            </w:r>
            <w:r w:rsidR="00220AA4">
              <w:rPr>
                <w:rFonts w:ascii="Arial Narrow" w:hAnsi="Arial Narrow" w:cs="Calibri"/>
                <w:b/>
                <w:bCs/>
                <w:color w:val="000000"/>
                <w:sz w:val="20"/>
                <w:szCs w:val="20"/>
                <w:lang w:val="en-US" w:eastAsia="en-US"/>
              </w:rPr>
              <w:t xml:space="preserve"> ($)</w:t>
            </w:r>
          </w:p>
        </w:tc>
        <w:tc>
          <w:tcPr>
            <w:tcW w:w="1327" w:type="pct"/>
            <w:gridSpan w:val="3"/>
            <w:tcBorders>
              <w:top w:val="single" w:sz="8" w:space="0" w:color="auto"/>
              <w:left w:val="nil"/>
              <w:bottom w:val="single" w:sz="8" w:space="0" w:color="auto"/>
              <w:right w:val="single" w:sz="8" w:space="0" w:color="000000"/>
            </w:tcBorders>
            <w:shd w:val="clear" w:color="auto" w:fill="auto"/>
            <w:vAlign w:val="center"/>
            <w:hideMark/>
          </w:tcPr>
          <w:p w14:paraId="1EF75E42" w14:textId="77777777" w:rsidR="00F47D8F" w:rsidRPr="003F6B31" w:rsidRDefault="00F47D8F" w:rsidP="00C82607">
            <w:pPr>
              <w:keepNext/>
              <w:keepLines/>
              <w:jc w:val="center"/>
              <w:rPr>
                <w:rFonts w:ascii="Arial Narrow" w:hAnsi="Arial Narrow" w:cs="Calibri"/>
                <w:b/>
                <w:bCs/>
                <w:color w:val="000000"/>
                <w:sz w:val="20"/>
                <w:szCs w:val="20"/>
                <w:lang w:val="en-US" w:eastAsia="en-US"/>
              </w:rPr>
            </w:pPr>
            <w:r w:rsidRPr="003F6B31">
              <w:rPr>
                <w:rFonts w:ascii="Arial Narrow" w:hAnsi="Arial Narrow" w:cs="Calibri"/>
                <w:b/>
                <w:bCs/>
                <w:color w:val="000000"/>
                <w:sz w:val="20"/>
                <w:szCs w:val="20"/>
                <w:lang w:val="en-US" w:eastAsia="en-US"/>
              </w:rPr>
              <w:t>Number of cycles</w:t>
            </w:r>
          </w:p>
        </w:tc>
        <w:tc>
          <w:tcPr>
            <w:tcW w:w="1585" w:type="pct"/>
            <w:gridSpan w:val="3"/>
            <w:tcBorders>
              <w:top w:val="single" w:sz="8" w:space="0" w:color="auto"/>
              <w:left w:val="nil"/>
              <w:bottom w:val="single" w:sz="8" w:space="0" w:color="auto"/>
              <w:right w:val="single" w:sz="8" w:space="0" w:color="000000"/>
            </w:tcBorders>
            <w:shd w:val="clear" w:color="auto" w:fill="auto"/>
            <w:vAlign w:val="center"/>
            <w:hideMark/>
          </w:tcPr>
          <w:p w14:paraId="12E7C34D" w14:textId="2EA3861E" w:rsidR="00F47D8F" w:rsidRPr="003F6B31" w:rsidRDefault="00F47D8F" w:rsidP="00C82607">
            <w:pPr>
              <w:keepNext/>
              <w:keepLines/>
              <w:jc w:val="center"/>
              <w:rPr>
                <w:rFonts w:ascii="Arial Narrow" w:hAnsi="Arial Narrow" w:cs="Calibri"/>
                <w:b/>
                <w:bCs/>
                <w:color w:val="000000"/>
                <w:sz w:val="20"/>
                <w:szCs w:val="20"/>
                <w:lang w:val="en-US" w:eastAsia="en-US"/>
              </w:rPr>
            </w:pPr>
            <w:r w:rsidRPr="003F6B31">
              <w:rPr>
                <w:rFonts w:ascii="Arial Narrow" w:hAnsi="Arial Narrow" w:cs="Calibri"/>
                <w:b/>
                <w:bCs/>
                <w:color w:val="000000"/>
                <w:sz w:val="20"/>
                <w:szCs w:val="20"/>
                <w:lang w:val="en-US" w:eastAsia="en-US"/>
              </w:rPr>
              <w:t>Total cost per course</w:t>
            </w:r>
            <w:r w:rsidR="00220AA4">
              <w:rPr>
                <w:rFonts w:ascii="Arial Narrow" w:hAnsi="Arial Narrow" w:cs="Calibri"/>
                <w:b/>
                <w:bCs/>
                <w:color w:val="000000"/>
                <w:sz w:val="20"/>
                <w:szCs w:val="20"/>
                <w:lang w:val="en-US" w:eastAsia="en-US"/>
              </w:rPr>
              <w:t xml:space="preserve"> ($)</w:t>
            </w:r>
          </w:p>
        </w:tc>
      </w:tr>
      <w:tr w:rsidR="00F47D8F" w:rsidRPr="003F6B31" w14:paraId="4411DE06" w14:textId="77777777" w:rsidTr="00F47D8F">
        <w:trPr>
          <w:trHeight w:val="20"/>
        </w:trPr>
        <w:tc>
          <w:tcPr>
            <w:tcW w:w="601" w:type="pct"/>
            <w:vMerge/>
            <w:tcBorders>
              <w:left w:val="single" w:sz="8" w:space="0" w:color="auto"/>
              <w:bottom w:val="single" w:sz="8" w:space="0" w:color="auto"/>
              <w:right w:val="single" w:sz="8" w:space="0" w:color="auto"/>
            </w:tcBorders>
            <w:shd w:val="clear" w:color="auto" w:fill="auto"/>
            <w:vAlign w:val="center"/>
            <w:hideMark/>
          </w:tcPr>
          <w:p w14:paraId="7BA7346C" w14:textId="77777777" w:rsidR="00F47D8F" w:rsidRPr="003F6B31" w:rsidRDefault="00F47D8F" w:rsidP="00C82607">
            <w:pPr>
              <w:keepNext/>
              <w:keepLines/>
              <w:jc w:val="center"/>
              <w:rPr>
                <w:rFonts w:ascii="Arial Narrow" w:hAnsi="Arial Narrow" w:cs="Calibri"/>
                <w:b/>
                <w:bCs/>
                <w:color w:val="008080"/>
                <w:sz w:val="20"/>
                <w:szCs w:val="20"/>
                <w:u w:val="single"/>
                <w:lang w:val="en-US" w:eastAsia="en-US"/>
              </w:rPr>
            </w:pPr>
          </w:p>
        </w:tc>
        <w:tc>
          <w:tcPr>
            <w:tcW w:w="482" w:type="pct"/>
            <w:tcBorders>
              <w:top w:val="nil"/>
              <w:left w:val="nil"/>
              <w:bottom w:val="single" w:sz="8" w:space="0" w:color="auto"/>
              <w:right w:val="single" w:sz="8" w:space="0" w:color="auto"/>
            </w:tcBorders>
            <w:shd w:val="clear" w:color="auto" w:fill="auto"/>
            <w:vAlign w:val="center"/>
            <w:hideMark/>
          </w:tcPr>
          <w:p w14:paraId="5892FEAE" w14:textId="77777777" w:rsidR="00F47D8F" w:rsidRPr="003F6B31" w:rsidRDefault="00F47D8F" w:rsidP="00C82607">
            <w:pPr>
              <w:keepNext/>
              <w:keepLines/>
              <w:jc w:val="center"/>
              <w:rPr>
                <w:rFonts w:ascii="Arial Narrow" w:hAnsi="Arial Narrow" w:cs="Calibri"/>
                <w:b/>
                <w:bCs/>
                <w:color w:val="000000"/>
                <w:sz w:val="20"/>
                <w:szCs w:val="20"/>
                <w:lang w:val="en-US" w:eastAsia="en-US"/>
              </w:rPr>
            </w:pPr>
            <w:r w:rsidRPr="003F6B31">
              <w:rPr>
                <w:rFonts w:ascii="Arial Narrow" w:hAnsi="Arial Narrow" w:cs="Calibri"/>
                <w:b/>
                <w:bCs/>
                <w:color w:val="000000"/>
                <w:sz w:val="20"/>
                <w:szCs w:val="20"/>
                <w:lang w:val="en-US" w:eastAsia="en-US"/>
              </w:rPr>
              <w:t>Model*</w:t>
            </w:r>
          </w:p>
        </w:tc>
        <w:tc>
          <w:tcPr>
            <w:tcW w:w="483" w:type="pct"/>
            <w:tcBorders>
              <w:top w:val="nil"/>
              <w:left w:val="nil"/>
              <w:bottom w:val="single" w:sz="8" w:space="0" w:color="auto"/>
              <w:right w:val="single" w:sz="8" w:space="0" w:color="auto"/>
            </w:tcBorders>
            <w:shd w:val="clear" w:color="auto" w:fill="auto"/>
            <w:vAlign w:val="center"/>
            <w:hideMark/>
          </w:tcPr>
          <w:p w14:paraId="1A414556" w14:textId="77777777" w:rsidR="00F47D8F" w:rsidRPr="003F6B31" w:rsidRDefault="00F47D8F" w:rsidP="00C82607">
            <w:pPr>
              <w:keepNext/>
              <w:keepLines/>
              <w:jc w:val="center"/>
              <w:rPr>
                <w:rFonts w:ascii="Arial Narrow" w:hAnsi="Arial Narrow" w:cs="Calibri"/>
                <w:b/>
                <w:bCs/>
                <w:color w:val="000000"/>
                <w:sz w:val="20"/>
                <w:szCs w:val="20"/>
                <w:lang w:val="en-US" w:eastAsia="en-US"/>
              </w:rPr>
            </w:pPr>
            <w:r w:rsidRPr="003F6B31">
              <w:rPr>
                <w:rFonts w:ascii="Arial Narrow" w:hAnsi="Arial Narrow" w:cs="Calibri"/>
                <w:b/>
                <w:bCs/>
                <w:color w:val="000000"/>
                <w:sz w:val="20"/>
                <w:szCs w:val="20"/>
                <w:lang w:val="en-US" w:eastAsia="en-US"/>
              </w:rPr>
              <w:t>CM649</w:t>
            </w:r>
          </w:p>
        </w:tc>
        <w:tc>
          <w:tcPr>
            <w:tcW w:w="521" w:type="pct"/>
            <w:tcBorders>
              <w:top w:val="nil"/>
              <w:left w:val="nil"/>
              <w:bottom w:val="single" w:sz="8" w:space="0" w:color="auto"/>
              <w:right w:val="single" w:sz="8" w:space="0" w:color="auto"/>
            </w:tcBorders>
            <w:shd w:val="clear" w:color="auto" w:fill="auto"/>
            <w:vAlign w:val="center"/>
            <w:hideMark/>
          </w:tcPr>
          <w:p w14:paraId="550DABD7" w14:textId="77777777" w:rsidR="00F47D8F" w:rsidRPr="003F6B31" w:rsidRDefault="00F47D8F" w:rsidP="00C82607">
            <w:pPr>
              <w:keepNext/>
              <w:keepLines/>
              <w:jc w:val="center"/>
              <w:rPr>
                <w:rFonts w:ascii="Arial Narrow" w:hAnsi="Arial Narrow" w:cs="Calibri"/>
                <w:b/>
                <w:bCs/>
                <w:color w:val="000000"/>
                <w:sz w:val="20"/>
                <w:szCs w:val="20"/>
                <w:lang w:val="en-US" w:eastAsia="en-US"/>
              </w:rPr>
            </w:pPr>
            <w:r w:rsidRPr="003F6B31">
              <w:rPr>
                <w:rFonts w:ascii="Arial Narrow" w:hAnsi="Arial Narrow" w:cs="Calibri"/>
                <w:b/>
                <w:bCs/>
                <w:color w:val="000000"/>
                <w:sz w:val="20"/>
                <w:szCs w:val="20"/>
                <w:lang w:val="en-US" w:eastAsia="en-US"/>
              </w:rPr>
              <w:t>Financials (weighted DPMQ)</w:t>
            </w:r>
          </w:p>
        </w:tc>
        <w:tc>
          <w:tcPr>
            <w:tcW w:w="295" w:type="pct"/>
            <w:tcBorders>
              <w:top w:val="nil"/>
              <w:left w:val="nil"/>
              <w:bottom w:val="single" w:sz="8" w:space="0" w:color="auto"/>
              <w:right w:val="single" w:sz="8" w:space="0" w:color="auto"/>
            </w:tcBorders>
            <w:shd w:val="clear" w:color="auto" w:fill="auto"/>
            <w:vAlign w:val="center"/>
            <w:hideMark/>
          </w:tcPr>
          <w:p w14:paraId="08862868" w14:textId="77777777" w:rsidR="00F47D8F" w:rsidRDefault="00F47D8F" w:rsidP="00C82607">
            <w:pPr>
              <w:keepNext/>
              <w:keepLines/>
              <w:jc w:val="center"/>
              <w:rPr>
                <w:rFonts w:ascii="Arial Narrow" w:hAnsi="Arial Narrow" w:cs="Calibri"/>
                <w:b/>
                <w:bCs/>
                <w:color w:val="000000"/>
                <w:sz w:val="20"/>
                <w:szCs w:val="20"/>
                <w:lang w:val="en-US" w:eastAsia="en-US"/>
              </w:rPr>
            </w:pPr>
            <w:r w:rsidRPr="003F6B31">
              <w:rPr>
                <w:rFonts w:ascii="Arial Narrow" w:hAnsi="Arial Narrow" w:cs="Calibri"/>
                <w:b/>
                <w:bCs/>
                <w:color w:val="000000"/>
                <w:sz w:val="20"/>
                <w:szCs w:val="20"/>
                <w:lang w:val="en-US" w:eastAsia="en-US"/>
              </w:rPr>
              <w:t>Model</w:t>
            </w:r>
          </w:p>
          <w:p w14:paraId="1DC8D455" w14:textId="77777777" w:rsidR="00F47D8F" w:rsidRPr="003F6B31" w:rsidRDefault="00F47D8F" w:rsidP="00C82607">
            <w:pPr>
              <w:keepNext/>
              <w:keepLines/>
              <w:jc w:val="center"/>
              <w:rPr>
                <w:rFonts w:ascii="Arial Narrow" w:hAnsi="Arial Narrow" w:cs="Calibri"/>
                <w:b/>
                <w:bCs/>
                <w:color w:val="000000"/>
                <w:sz w:val="20"/>
                <w:szCs w:val="20"/>
                <w:lang w:val="en-US" w:eastAsia="en-US"/>
              </w:rPr>
            </w:pPr>
            <w:r w:rsidRPr="003F6B31">
              <w:rPr>
                <w:rFonts w:ascii="Arial Narrow" w:hAnsi="Arial Narrow" w:cs="Calibri"/>
                <w:b/>
                <w:bCs/>
                <w:color w:val="000000"/>
                <w:sz w:val="20"/>
                <w:szCs w:val="20"/>
                <w:lang w:val="en-US" w:eastAsia="en-US"/>
              </w:rPr>
              <w:t>**</w:t>
            </w:r>
          </w:p>
        </w:tc>
        <w:tc>
          <w:tcPr>
            <w:tcW w:w="556" w:type="pct"/>
            <w:tcBorders>
              <w:top w:val="nil"/>
              <w:left w:val="nil"/>
              <w:bottom w:val="single" w:sz="8" w:space="0" w:color="auto"/>
              <w:right w:val="single" w:sz="8" w:space="0" w:color="auto"/>
            </w:tcBorders>
            <w:shd w:val="clear" w:color="auto" w:fill="auto"/>
            <w:vAlign w:val="center"/>
            <w:hideMark/>
          </w:tcPr>
          <w:p w14:paraId="3C867D59" w14:textId="77777777" w:rsidR="00F47D8F" w:rsidRPr="003F6B31" w:rsidRDefault="00F47D8F" w:rsidP="00C82607">
            <w:pPr>
              <w:keepNext/>
              <w:keepLines/>
              <w:jc w:val="center"/>
              <w:rPr>
                <w:rFonts w:ascii="Arial Narrow" w:hAnsi="Arial Narrow" w:cs="Calibri"/>
                <w:b/>
                <w:bCs/>
                <w:color w:val="000000"/>
                <w:sz w:val="20"/>
                <w:szCs w:val="20"/>
                <w:lang w:val="en-US" w:eastAsia="en-US"/>
              </w:rPr>
            </w:pPr>
            <w:r w:rsidRPr="003F6B31">
              <w:rPr>
                <w:rFonts w:ascii="Arial Narrow" w:hAnsi="Arial Narrow" w:cs="Calibri"/>
                <w:b/>
                <w:bCs/>
                <w:color w:val="000000"/>
                <w:sz w:val="20"/>
                <w:szCs w:val="20"/>
                <w:lang w:val="en-US" w:eastAsia="en-US"/>
              </w:rPr>
              <w:t>CM</w:t>
            </w:r>
            <w:r>
              <w:rPr>
                <w:rFonts w:ascii="Arial Narrow" w:hAnsi="Arial Narrow" w:cs="Calibri"/>
                <w:b/>
                <w:bCs/>
                <w:color w:val="000000"/>
                <w:sz w:val="20"/>
                <w:szCs w:val="20"/>
                <w:lang w:val="en-US" w:eastAsia="en-US"/>
              </w:rPr>
              <w:t>-</w:t>
            </w:r>
            <w:r w:rsidRPr="003F6B31">
              <w:rPr>
                <w:rFonts w:ascii="Arial Narrow" w:hAnsi="Arial Narrow" w:cs="Calibri"/>
                <w:b/>
                <w:bCs/>
                <w:color w:val="000000"/>
                <w:sz w:val="20"/>
                <w:szCs w:val="20"/>
                <w:lang w:val="en-US" w:eastAsia="en-US"/>
              </w:rPr>
              <w:t>649</w:t>
            </w:r>
          </w:p>
        </w:tc>
        <w:tc>
          <w:tcPr>
            <w:tcW w:w="475" w:type="pct"/>
            <w:tcBorders>
              <w:top w:val="nil"/>
              <w:left w:val="nil"/>
              <w:bottom w:val="single" w:sz="8" w:space="0" w:color="auto"/>
              <w:right w:val="single" w:sz="8" w:space="0" w:color="auto"/>
            </w:tcBorders>
            <w:shd w:val="clear" w:color="auto" w:fill="auto"/>
            <w:vAlign w:val="center"/>
            <w:hideMark/>
          </w:tcPr>
          <w:p w14:paraId="0E838937" w14:textId="77777777" w:rsidR="00F47D8F" w:rsidRPr="003F6B31" w:rsidRDefault="00F47D8F" w:rsidP="00C82607">
            <w:pPr>
              <w:keepNext/>
              <w:keepLines/>
              <w:jc w:val="center"/>
              <w:rPr>
                <w:rFonts w:ascii="Arial Narrow" w:hAnsi="Arial Narrow" w:cs="Calibri"/>
                <w:b/>
                <w:bCs/>
                <w:color w:val="000000"/>
                <w:sz w:val="20"/>
                <w:szCs w:val="20"/>
                <w:lang w:val="en-US" w:eastAsia="en-US"/>
              </w:rPr>
            </w:pPr>
            <w:r w:rsidRPr="003F6B31">
              <w:rPr>
                <w:rFonts w:ascii="Arial Narrow" w:hAnsi="Arial Narrow" w:cs="Calibri"/>
                <w:b/>
                <w:bCs/>
                <w:color w:val="000000"/>
                <w:sz w:val="20"/>
                <w:szCs w:val="20"/>
                <w:lang w:val="en-US" w:eastAsia="en-US"/>
              </w:rPr>
              <w:t>Financial (number of scripts)</w:t>
            </w:r>
          </w:p>
        </w:tc>
        <w:tc>
          <w:tcPr>
            <w:tcW w:w="530" w:type="pct"/>
            <w:tcBorders>
              <w:top w:val="nil"/>
              <w:left w:val="nil"/>
              <w:bottom w:val="single" w:sz="8" w:space="0" w:color="auto"/>
              <w:right w:val="single" w:sz="8" w:space="0" w:color="auto"/>
            </w:tcBorders>
            <w:shd w:val="clear" w:color="auto" w:fill="auto"/>
            <w:vAlign w:val="center"/>
            <w:hideMark/>
          </w:tcPr>
          <w:p w14:paraId="6733BA33" w14:textId="77777777" w:rsidR="00F47D8F" w:rsidRPr="003F6B31" w:rsidRDefault="00F47D8F" w:rsidP="00C82607">
            <w:pPr>
              <w:keepNext/>
              <w:keepLines/>
              <w:jc w:val="center"/>
              <w:rPr>
                <w:rFonts w:ascii="Arial Narrow" w:hAnsi="Arial Narrow" w:cs="Calibri"/>
                <w:b/>
                <w:bCs/>
                <w:color w:val="000000"/>
                <w:sz w:val="20"/>
                <w:szCs w:val="20"/>
                <w:lang w:val="en-US" w:eastAsia="en-US"/>
              </w:rPr>
            </w:pPr>
            <w:r w:rsidRPr="003F6B31">
              <w:rPr>
                <w:rFonts w:ascii="Arial Narrow" w:hAnsi="Arial Narrow" w:cs="Calibri"/>
                <w:b/>
                <w:bCs/>
                <w:color w:val="000000"/>
                <w:sz w:val="20"/>
                <w:szCs w:val="20"/>
                <w:lang w:val="en-US" w:eastAsia="en-US"/>
              </w:rPr>
              <w:t>Model</w:t>
            </w:r>
          </w:p>
        </w:tc>
        <w:tc>
          <w:tcPr>
            <w:tcW w:w="530" w:type="pct"/>
            <w:tcBorders>
              <w:top w:val="nil"/>
              <w:left w:val="nil"/>
              <w:bottom w:val="single" w:sz="8" w:space="0" w:color="auto"/>
              <w:right w:val="single" w:sz="8" w:space="0" w:color="auto"/>
            </w:tcBorders>
            <w:shd w:val="clear" w:color="auto" w:fill="auto"/>
            <w:vAlign w:val="center"/>
            <w:hideMark/>
          </w:tcPr>
          <w:p w14:paraId="467B31B6" w14:textId="77777777" w:rsidR="00F47D8F" w:rsidRPr="003F6B31" w:rsidRDefault="00F47D8F" w:rsidP="00C82607">
            <w:pPr>
              <w:keepNext/>
              <w:keepLines/>
              <w:jc w:val="center"/>
              <w:rPr>
                <w:rFonts w:ascii="Arial Narrow" w:hAnsi="Arial Narrow" w:cs="Calibri"/>
                <w:b/>
                <w:bCs/>
                <w:color w:val="000000"/>
                <w:sz w:val="20"/>
                <w:szCs w:val="20"/>
                <w:lang w:val="en-US" w:eastAsia="en-US"/>
              </w:rPr>
            </w:pPr>
            <w:r w:rsidRPr="003F6B31">
              <w:rPr>
                <w:rFonts w:ascii="Arial Narrow" w:hAnsi="Arial Narrow" w:cs="Calibri"/>
                <w:b/>
                <w:bCs/>
                <w:color w:val="000000"/>
                <w:sz w:val="20"/>
                <w:szCs w:val="20"/>
                <w:lang w:val="en-US" w:eastAsia="en-US"/>
              </w:rPr>
              <w:t>CM649</w:t>
            </w:r>
          </w:p>
        </w:tc>
        <w:tc>
          <w:tcPr>
            <w:tcW w:w="525" w:type="pct"/>
            <w:tcBorders>
              <w:top w:val="nil"/>
              <w:left w:val="nil"/>
              <w:bottom w:val="single" w:sz="8" w:space="0" w:color="auto"/>
              <w:right w:val="single" w:sz="8" w:space="0" w:color="auto"/>
            </w:tcBorders>
            <w:shd w:val="clear" w:color="auto" w:fill="auto"/>
            <w:vAlign w:val="center"/>
            <w:hideMark/>
          </w:tcPr>
          <w:p w14:paraId="7F2EDE44" w14:textId="77777777" w:rsidR="00F47D8F" w:rsidRPr="003F6B31" w:rsidRDefault="00F47D8F" w:rsidP="00C82607">
            <w:pPr>
              <w:keepNext/>
              <w:keepLines/>
              <w:jc w:val="center"/>
              <w:rPr>
                <w:rFonts w:ascii="Arial Narrow" w:hAnsi="Arial Narrow" w:cs="Calibri"/>
                <w:b/>
                <w:bCs/>
                <w:color w:val="000000"/>
                <w:sz w:val="20"/>
                <w:szCs w:val="20"/>
                <w:lang w:val="en-US" w:eastAsia="en-US"/>
              </w:rPr>
            </w:pPr>
            <w:r w:rsidRPr="003F6B31">
              <w:rPr>
                <w:rFonts w:ascii="Arial Narrow" w:hAnsi="Arial Narrow" w:cs="Calibri"/>
                <w:b/>
                <w:bCs/>
                <w:color w:val="000000"/>
                <w:sz w:val="20"/>
                <w:szCs w:val="20"/>
                <w:lang w:val="en-US" w:eastAsia="en-US"/>
              </w:rPr>
              <w:t>Financials</w:t>
            </w:r>
          </w:p>
        </w:tc>
      </w:tr>
      <w:tr w:rsidR="00F47D8F" w:rsidRPr="003F6B31" w14:paraId="3EBE9C63" w14:textId="77777777" w:rsidTr="00F47D8F">
        <w:trPr>
          <w:trHeight w:val="20"/>
        </w:trPr>
        <w:tc>
          <w:tcPr>
            <w:tcW w:w="5000" w:type="pct"/>
            <w:gridSpan w:val="10"/>
            <w:tcBorders>
              <w:top w:val="single" w:sz="8" w:space="0" w:color="auto"/>
              <w:left w:val="single" w:sz="8" w:space="0" w:color="auto"/>
              <w:bottom w:val="single" w:sz="8" w:space="0" w:color="auto"/>
              <w:right w:val="single" w:sz="8" w:space="0" w:color="000000"/>
            </w:tcBorders>
            <w:shd w:val="clear" w:color="auto" w:fill="auto"/>
            <w:vAlign w:val="center"/>
            <w:hideMark/>
          </w:tcPr>
          <w:p w14:paraId="7C7F67D0" w14:textId="77777777" w:rsidR="00F47D8F" w:rsidRPr="003F6B31" w:rsidRDefault="00F47D8F" w:rsidP="00C82607">
            <w:pPr>
              <w:keepNext/>
              <w:keepLines/>
              <w:jc w:val="left"/>
              <w:rPr>
                <w:rFonts w:ascii="Arial Narrow" w:hAnsi="Arial Narrow" w:cs="Calibri"/>
                <w:b/>
                <w:bCs/>
                <w:color w:val="000000"/>
                <w:sz w:val="20"/>
                <w:szCs w:val="20"/>
                <w:lang w:val="en-US" w:eastAsia="en-US"/>
              </w:rPr>
            </w:pPr>
            <w:r w:rsidRPr="003F6B31">
              <w:rPr>
                <w:rFonts w:ascii="Arial Narrow" w:hAnsi="Arial Narrow" w:cs="Calibri"/>
                <w:b/>
                <w:bCs/>
                <w:color w:val="000000"/>
                <w:sz w:val="20"/>
                <w:szCs w:val="20"/>
                <w:lang w:val="en-US" w:eastAsia="en-US"/>
              </w:rPr>
              <w:t>Nivolumab plus chemotherapy</w:t>
            </w:r>
          </w:p>
        </w:tc>
      </w:tr>
      <w:tr w:rsidR="00F47D8F" w:rsidRPr="003F6B31" w14:paraId="6DAA664E" w14:textId="77777777" w:rsidTr="00F47D8F">
        <w:trPr>
          <w:trHeight w:val="20"/>
        </w:trPr>
        <w:tc>
          <w:tcPr>
            <w:tcW w:w="5000" w:type="pct"/>
            <w:gridSpan w:val="10"/>
            <w:tcBorders>
              <w:top w:val="single" w:sz="8" w:space="0" w:color="auto"/>
              <w:left w:val="single" w:sz="8" w:space="0" w:color="auto"/>
              <w:bottom w:val="single" w:sz="8" w:space="0" w:color="auto"/>
              <w:right w:val="single" w:sz="8" w:space="0" w:color="000000"/>
            </w:tcBorders>
            <w:shd w:val="clear" w:color="auto" w:fill="auto"/>
            <w:vAlign w:val="center"/>
            <w:hideMark/>
          </w:tcPr>
          <w:p w14:paraId="31824554" w14:textId="77777777" w:rsidR="00F47D8F" w:rsidRPr="003F6B31" w:rsidRDefault="00F47D8F" w:rsidP="00C82607">
            <w:pPr>
              <w:keepNext/>
              <w:keepLines/>
              <w:jc w:val="left"/>
              <w:rPr>
                <w:rFonts w:ascii="Arial Narrow" w:hAnsi="Arial Narrow" w:cs="Calibri"/>
                <w:color w:val="000000"/>
                <w:sz w:val="20"/>
                <w:szCs w:val="20"/>
                <w:lang w:val="en-US" w:eastAsia="en-US"/>
              </w:rPr>
            </w:pPr>
            <w:r w:rsidRPr="003F6B31">
              <w:rPr>
                <w:rFonts w:ascii="Arial Narrow" w:hAnsi="Arial Narrow" w:cs="Calibri"/>
                <w:bCs/>
                <w:color w:val="000000"/>
                <w:sz w:val="20"/>
                <w:szCs w:val="20"/>
                <w:lang w:val="en-US" w:eastAsia="en-US"/>
              </w:rPr>
              <w:t>Nivolumab plus FOLFOX</w:t>
            </w:r>
          </w:p>
        </w:tc>
      </w:tr>
      <w:tr w:rsidR="00F47D8F" w:rsidRPr="003F6B31" w14:paraId="3668379A" w14:textId="77777777" w:rsidTr="00F47D8F">
        <w:trPr>
          <w:trHeight w:val="20"/>
        </w:trPr>
        <w:tc>
          <w:tcPr>
            <w:tcW w:w="601" w:type="pct"/>
            <w:tcBorders>
              <w:top w:val="nil"/>
              <w:left w:val="single" w:sz="8" w:space="0" w:color="auto"/>
              <w:bottom w:val="single" w:sz="8" w:space="0" w:color="auto"/>
              <w:right w:val="single" w:sz="8" w:space="0" w:color="auto"/>
            </w:tcBorders>
            <w:shd w:val="clear" w:color="auto" w:fill="auto"/>
            <w:vAlign w:val="center"/>
            <w:hideMark/>
          </w:tcPr>
          <w:p w14:paraId="3D23A06B" w14:textId="754C8EE8" w:rsidR="00F47D8F" w:rsidRPr="003F6B31" w:rsidRDefault="00F47D8F" w:rsidP="00C82607">
            <w:pPr>
              <w:keepNext/>
              <w:keepLines/>
              <w:jc w:val="left"/>
              <w:rPr>
                <w:rFonts w:ascii="Arial Narrow" w:hAnsi="Arial Narrow" w:cs="Calibri"/>
                <w:color w:val="000000"/>
                <w:sz w:val="20"/>
                <w:szCs w:val="20"/>
                <w:lang w:val="en-US" w:eastAsia="en-US"/>
              </w:rPr>
            </w:pPr>
            <w:r w:rsidRPr="003F6B31">
              <w:rPr>
                <w:rFonts w:ascii="Arial Narrow" w:hAnsi="Arial Narrow" w:cs="Calibri"/>
                <w:bCs/>
                <w:color w:val="000000"/>
                <w:sz w:val="20"/>
                <w:szCs w:val="20"/>
                <w:lang w:val="en-US" w:eastAsia="en-US"/>
              </w:rPr>
              <w:t xml:space="preserve">Nivolumab </w:t>
            </w:r>
          </w:p>
        </w:tc>
        <w:tc>
          <w:tcPr>
            <w:tcW w:w="482" w:type="pct"/>
            <w:tcBorders>
              <w:top w:val="nil"/>
              <w:left w:val="nil"/>
              <w:bottom w:val="single" w:sz="8" w:space="0" w:color="auto"/>
              <w:right w:val="single" w:sz="8" w:space="0" w:color="auto"/>
            </w:tcBorders>
            <w:shd w:val="clear" w:color="auto" w:fill="auto"/>
            <w:vAlign w:val="center"/>
            <w:hideMark/>
          </w:tcPr>
          <w:p w14:paraId="1ACDF9DF" w14:textId="77777777" w:rsidR="00F47D8F" w:rsidRPr="00DF0A4C" w:rsidRDefault="00DF0A4C" w:rsidP="00C82607">
            <w:pPr>
              <w:keepNext/>
              <w:keepLines/>
              <w:jc w:val="center"/>
              <w:rPr>
                <w:rFonts w:ascii="Arial Narrow" w:hAnsi="Arial Narrow" w:cs="Calibri"/>
                <w:color w:val="000000"/>
                <w:sz w:val="20"/>
                <w:szCs w:val="20"/>
                <w:highlight w:val="black"/>
                <w:lang w:val="en-US" w:eastAsia="en-US"/>
              </w:rPr>
            </w:pPr>
            <w:r>
              <w:rPr>
                <w:rFonts w:ascii="Arial Narrow" w:hAnsi="Arial Narrow" w:cs="Calibri"/>
                <w:bCs/>
                <w:noProof/>
                <w:color w:val="000000"/>
                <w:sz w:val="20"/>
                <w:szCs w:val="20"/>
                <w:highlight w:val="black"/>
                <w:lang w:val="en-US" w:eastAsia="en-US"/>
              </w:rPr>
              <w:t>'''''''''''''''''''''''''</w:t>
            </w:r>
            <w:r w:rsidR="00F47D8F" w:rsidRPr="00DF0A4C">
              <w:rPr>
                <w:rFonts w:ascii="Arial Narrow" w:hAnsi="Arial Narrow" w:cs="Calibri"/>
                <w:bCs/>
                <w:color w:val="000000"/>
                <w:sz w:val="20"/>
                <w:szCs w:val="20"/>
                <w:highlight w:val="black"/>
                <w:lang w:val="en-US" w:eastAsia="en-US"/>
              </w:rPr>
              <w:t xml:space="preserve"> </w:t>
            </w:r>
          </w:p>
        </w:tc>
        <w:tc>
          <w:tcPr>
            <w:tcW w:w="483" w:type="pct"/>
            <w:tcBorders>
              <w:top w:val="nil"/>
              <w:left w:val="nil"/>
              <w:bottom w:val="single" w:sz="8" w:space="0" w:color="auto"/>
              <w:right w:val="single" w:sz="8" w:space="0" w:color="auto"/>
            </w:tcBorders>
            <w:shd w:val="clear" w:color="auto" w:fill="auto"/>
            <w:vAlign w:val="center"/>
            <w:hideMark/>
          </w:tcPr>
          <w:p w14:paraId="6AF7A10C" w14:textId="77777777" w:rsidR="00F47D8F" w:rsidRPr="00DF0A4C" w:rsidRDefault="00DF0A4C" w:rsidP="00C82607">
            <w:pPr>
              <w:keepNext/>
              <w:keepLines/>
              <w:jc w:val="center"/>
              <w:rPr>
                <w:rFonts w:ascii="Arial Narrow" w:hAnsi="Arial Narrow" w:cs="Calibri"/>
                <w:color w:val="000000"/>
                <w:sz w:val="20"/>
                <w:szCs w:val="20"/>
                <w:highlight w:val="black"/>
                <w:lang w:val="en-US" w:eastAsia="en-US"/>
              </w:rPr>
            </w:pPr>
            <w:r>
              <w:rPr>
                <w:rFonts w:ascii="Arial Narrow" w:hAnsi="Arial Narrow" w:cs="Calibri"/>
                <w:noProof/>
                <w:color w:val="000000"/>
                <w:sz w:val="20"/>
                <w:szCs w:val="20"/>
                <w:highlight w:val="black"/>
                <w:lang w:val="en-US" w:eastAsia="en-US"/>
              </w:rPr>
              <w:t xml:space="preserve">'''''''''''''''''''''' </w:t>
            </w:r>
          </w:p>
        </w:tc>
        <w:tc>
          <w:tcPr>
            <w:tcW w:w="521" w:type="pct"/>
            <w:tcBorders>
              <w:top w:val="nil"/>
              <w:left w:val="nil"/>
              <w:bottom w:val="single" w:sz="8" w:space="0" w:color="auto"/>
              <w:right w:val="single" w:sz="8" w:space="0" w:color="auto"/>
            </w:tcBorders>
            <w:shd w:val="clear" w:color="auto" w:fill="auto"/>
            <w:vAlign w:val="center"/>
            <w:hideMark/>
          </w:tcPr>
          <w:p w14:paraId="38EA3CAD" w14:textId="77777777" w:rsidR="00F47D8F" w:rsidRPr="00DF0A4C" w:rsidRDefault="00DF0A4C" w:rsidP="00C82607">
            <w:pPr>
              <w:keepNext/>
              <w:keepLines/>
              <w:jc w:val="center"/>
              <w:rPr>
                <w:rFonts w:ascii="Arial Narrow" w:hAnsi="Arial Narrow" w:cs="Calibri"/>
                <w:color w:val="000000"/>
                <w:sz w:val="20"/>
                <w:szCs w:val="20"/>
                <w:highlight w:val="black"/>
                <w:lang w:val="en-US" w:eastAsia="en-US"/>
              </w:rPr>
            </w:pPr>
            <w:r>
              <w:rPr>
                <w:rFonts w:ascii="Arial Narrow" w:hAnsi="Arial Narrow" w:cs="Calibri"/>
                <w:noProof/>
                <w:color w:val="000000"/>
                <w:sz w:val="20"/>
                <w:szCs w:val="20"/>
                <w:highlight w:val="black"/>
                <w:lang w:val="en-US" w:eastAsia="en-US"/>
              </w:rPr>
              <w:t>'''''''''''''''''''''''''</w:t>
            </w:r>
          </w:p>
        </w:tc>
        <w:tc>
          <w:tcPr>
            <w:tcW w:w="295" w:type="pct"/>
            <w:vMerge w:val="restart"/>
            <w:tcBorders>
              <w:top w:val="nil"/>
              <w:left w:val="single" w:sz="8" w:space="0" w:color="auto"/>
              <w:bottom w:val="single" w:sz="8" w:space="0" w:color="000000"/>
              <w:right w:val="single" w:sz="8" w:space="0" w:color="auto"/>
            </w:tcBorders>
            <w:shd w:val="clear" w:color="auto" w:fill="auto"/>
            <w:vAlign w:val="center"/>
            <w:hideMark/>
          </w:tcPr>
          <w:p w14:paraId="0D26814F" w14:textId="77777777" w:rsidR="00F47D8F" w:rsidRPr="003F6B31" w:rsidRDefault="00F47D8F" w:rsidP="00C82607">
            <w:pPr>
              <w:keepNext/>
              <w:keepLines/>
              <w:jc w:val="center"/>
              <w:rPr>
                <w:rFonts w:ascii="Arial Narrow" w:hAnsi="Arial Narrow" w:cs="Calibri"/>
                <w:color w:val="000000"/>
                <w:sz w:val="20"/>
                <w:szCs w:val="20"/>
                <w:lang w:val="en-US" w:eastAsia="en-US"/>
              </w:rPr>
            </w:pPr>
            <w:r w:rsidRPr="003F6B31">
              <w:rPr>
                <w:rFonts w:ascii="Arial Narrow" w:hAnsi="Arial Narrow" w:cs="Calibri"/>
                <w:bCs/>
                <w:color w:val="000000"/>
                <w:sz w:val="20"/>
                <w:szCs w:val="20"/>
                <w:lang w:val="en-US" w:eastAsia="en-US"/>
              </w:rPr>
              <w:t>20.</w:t>
            </w:r>
            <w:r>
              <w:rPr>
                <w:rFonts w:ascii="Arial Narrow" w:hAnsi="Arial Narrow" w:cs="Calibri"/>
                <w:bCs/>
                <w:color w:val="000000"/>
                <w:sz w:val="20"/>
                <w:szCs w:val="20"/>
                <w:lang w:val="en-US" w:eastAsia="en-US"/>
              </w:rPr>
              <w:t>6</w:t>
            </w:r>
          </w:p>
        </w:tc>
        <w:tc>
          <w:tcPr>
            <w:tcW w:w="556" w:type="pct"/>
            <w:tcBorders>
              <w:top w:val="nil"/>
              <w:left w:val="nil"/>
              <w:bottom w:val="single" w:sz="8" w:space="0" w:color="auto"/>
              <w:right w:val="single" w:sz="8" w:space="0" w:color="auto"/>
            </w:tcBorders>
            <w:shd w:val="clear" w:color="auto" w:fill="auto"/>
            <w:vAlign w:val="center"/>
            <w:hideMark/>
          </w:tcPr>
          <w:p w14:paraId="193B599E" w14:textId="77777777" w:rsidR="00F47D8F" w:rsidRPr="003F6B31" w:rsidRDefault="00F47D8F" w:rsidP="00C82607">
            <w:pPr>
              <w:keepNext/>
              <w:keepLines/>
              <w:jc w:val="center"/>
              <w:rPr>
                <w:rFonts w:ascii="Arial Narrow" w:hAnsi="Arial Narrow" w:cs="Calibri"/>
                <w:color w:val="000000"/>
                <w:sz w:val="20"/>
                <w:szCs w:val="20"/>
                <w:lang w:val="en-US" w:eastAsia="en-US"/>
              </w:rPr>
            </w:pPr>
            <w:r w:rsidRPr="003F6B31">
              <w:rPr>
                <w:rFonts w:ascii="Arial Narrow" w:hAnsi="Arial Narrow" w:cs="Calibri"/>
                <w:bCs/>
                <w:color w:val="000000"/>
                <w:sz w:val="20"/>
                <w:szCs w:val="20"/>
                <w:lang w:val="en-US" w:eastAsia="en-US"/>
              </w:rPr>
              <w:t>17.17</w:t>
            </w:r>
          </w:p>
        </w:tc>
        <w:tc>
          <w:tcPr>
            <w:tcW w:w="475" w:type="pct"/>
            <w:tcBorders>
              <w:top w:val="nil"/>
              <w:left w:val="nil"/>
              <w:bottom w:val="single" w:sz="8" w:space="0" w:color="auto"/>
              <w:right w:val="single" w:sz="8" w:space="0" w:color="auto"/>
            </w:tcBorders>
            <w:shd w:val="clear" w:color="auto" w:fill="auto"/>
            <w:vAlign w:val="center"/>
            <w:hideMark/>
          </w:tcPr>
          <w:p w14:paraId="14E9B26E" w14:textId="77777777" w:rsidR="00F47D8F" w:rsidRPr="003F6B31" w:rsidRDefault="00F47D8F" w:rsidP="00C82607">
            <w:pPr>
              <w:keepNext/>
              <w:keepLines/>
              <w:jc w:val="center"/>
              <w:rPr>
                <w:rFonts w:ascii="Arial Narrow" w:hAnsi="Arial Narrow" w:cs="Calibri"/>
                <w:color w:val="000000"/>
                <w:sz w:val="20"/>
                <w:szCs w:val="20"/>
                <w:lang w:val="en-US" w:eastAsia="en-US"/>
              </w:rPr>
            </w:pPr>
            <w:r w:rsidRPr="003F6B31">
              <w:rPr>
                <w:rFonts w:ascii="Arial Narrow" w:hAnsi="Arial Narrow" w:cs="Calibri"/>
                <w:bCs/>
                <w:color w:val="000000"/>
                <w:sz w:val="20"/>
                <w:szCs w:val="20"/>
                <w:lang w:val="en-US" w:eastAsia="en-US"/>
              </w:rPr>
              <w:t>17.74</w:t>
            </w:r>
          </w:p>
        </w:tc>
        <w:tc>
          <w:tcPr>
            <w:tcW w:w="530" w:type="pct"/>
            <w:tcBorders>
              <w:top w:val="nil"/>
              <w:left w:val="nil"/>
              <w:bottom w:val="single" w:sz="8" w:space="0" w:color="auto"/>
              <w:right w:val="single" w:sz="8" w:space="0" w:color="auto"/>
            </w:tcBorders>
            <w:shd w:val="clear" w:color="auto" w:fill="auto"/>
            <w:vAlign w:val="center"/>
            <w:hideMark/>
          </w:tcPr>
          <w:p w14:paraId="646EE9FE" w14:textId="77777777" w:rsidR="00F47D8F" w:rsidRPr="00DF0A4C" w:rsidRDefault="00DF0A4C" w:rsidP="00C82607">
            <w:pPr>
              <w:keepNext/>
              <w:keepLines/>
              <w:jc w:val="center"/>
              <w:rPr>
                <w:rFonts w:ascii="Arial Narrow" w:hAnsi="Arial Narrow" w:cs="Calibri"/>
                <w:color w:val="000000"/>
                <w:sz w:val="20"/>
                <w:szCs w:val="20"/>
                <w:highlight w:val="black"/>
                <w:lang w:val="en-US" w:eastAsia="en-US"/>
              </w:rPr>
            </w:pPr>
            <w:r>
              <w:rPr>
                <w:rFonts w:ascii="Arial Narrow" w:hAnsi="Arial Narrow" w:cs="Calibri"/>
                <w:noProof/>
                <w:color w:val="000000"/>
                <w:sz w:val="20"/>
                <w:szCs w:val="20"/>
                <w:highlight w:val="black"/>
                <w:lang w:val="en-US" w:eastAsia="en-US"/>
              </w:rPr>
              <w:t xml:space="preserve">'''''''''''''''''''''''' </w:t>
            </w:r>
          </w:p>
        </w:tc>
        <w:tc>
          <w:tcPr>
            <w:tcW w:w="530" w:type="pct"/>
            <w:tcBorders>
              <w:top w:val="nil"/>
              <w:left w:val="nil"/>
              <w:bottom w:val="single" w:sz="8" w:space="0" w:color="auto"/>
              <w:right w:val="single" w:sz="8" w:space="0" w:color="auto"/>
            </w:tcBorders>
            <w:shd w:val="clear" w:color="auto" w:fill="auto"/>
            <w:vAlign w:val="center"/>
            <w:hideMark/>
          </w:tcPr>
          <w:p w14:paraId="0E13B2C8" w14:textId="77777777" w:rsidR="00F47D8F" w:rsidRPr="00DF0A4C" w:rsidRDefault="00DF0A4C" w:rsidP="00C82607">
            <w:pPr>
              <w:keepNext/>
              <w:keepLines/>
              <w:jc w:val="center"/>
              <w:rPr>
                <w:rFonts w:ascii="Arial Narrow" w:hAnsi="Arial Narrow" w:cs="Calibri"/>
                <w:color w:val="000000"/>
                <w:sz w:val="20"/>
                <w:szCs w:val="20"/>
                <w:highlight w:val="black"/>
                <w:lang w:val="en-US" w:eastAsia="en-US"/>
              </w:rPr>
            </w:pPr>
            <w:r>
              <w:rPr>
                <w:rFonts w:ascii="Arial Narrow" w:hAnsi="Arial Narrow" w:cs="Calibri"/>
                <w:noProof/>
                <w:color w:val="000000"/>
                <w:sz w:val="20"/>
                <w:szCs w:val="20"/>
                <w:highlight w:val="black"/>
                <w:lang w:val="en-US" w:eastAsia="en-US"/>
              </w:rPr>
              <w:t xml:space="preserve">''''''''''''''''''''''''''''' </w:t>
            </w:r>
          </w:p>
        </w:tc>
        <w:tc>
          <w:tcPr>
            <w:tcW w:w="525" w:type="pct"/>
            <w:tcBorders>
              <w:top w:val="nil"/>
              <w:left w:val="nil"/>
              <w:bottom w:val="single" w:sz="8" w:space="0" w:color="auto"/>
              <w:right w:val="single" w:sz="8" w:space="0" w:color="auto"/>
            </w:tcBorders>
            <w:shd w:val="clear" w:color="auto" w:fill="auto"/>
            <w:vAlign w:val="center"/>
            <w:hideMark/>
          </w:tcPr>
          <w:p w14:paraId="24BE5FA6" w14:textId="77777777" w:rsidR="00F47D8F" w:rsidRPr="00DF0A4C" w:rsidRDefault="00DF0A4C" w:rsidP="00C82607">
            <w:pPr>
              <w:keepNext/>
              <w:keepLines/>
              <w:jc w:val="center"/>
              <w:rPr>
                <w:rFonts w:ascii="Arial Narrow" w:hAnsi="Arial Narrow" w:cs="Calibri"/>
                <w:color w:val="000000"/>
                <w:sz w:val="20"/>
                <w:szCs w:val="20"/>
                <w:highlight w:val="black"/>
                <w:lang w:val="en-US" w:eastAsia="en-US"/>
              </w:rPr>
            </w:pPr>
            <w:r>
              <w:rPr>
                <w:rFonts w:ascii="Arial Narrow" w:hAnsi="Arial Narrow" w:cs="Calibri"/>
                <w:noProof/>
                <w:color w:val="000000"/>
                <w:sz w:val="20"/>
                <w:szCs w:val="20"/>
                <w:highlight w:val="black"/>
                <w:lang w:val="en-US" w:eastAsia="en-US"/>
              </w:rPr>
              <w:t xml:space="preserve">''''''''''''''''''''''''' </w:t>
            </w:r>
          </w:p>
        </w:tc>
      </w:tr>
      <w:tr w:rsidR="00F47D8F" w:rsidRPr="003F6B31" w14:paraId="15107112" w14:textId="77777777" w:rsidTr="00F47D8F">
        <w:trPr>
          <w:trHeight w:val="20"/>
        </w:trPr>
        <w:tc>
          <w:tcPr>
            <w:tcW w:w="601" w:type="pct"/>
            <w:tcBorders>
              <w:top w:val="nil"/>
              <w:left w:val="single" w:sz="8" w:space="0" w:color="auto"/>
              <w:bottom w:val="single" w:sz="8" w:space="0" w:color="auto"/>
              <w:right w:val="single" w:sz="8" w:space="0" w:color="auto"/>
            </w:tcBorders>
            <w:shd w:val="clear" w:color="auto" w:fill="auto"/>
            <w:vAlign w:val="center"/>
            <w:hideMark/>
          </w:tcPr>
          <w:p w14:paraId="5729CFAF" w14:textId="77777777" w:rsidR="00F47D8F" w:rsidRPr="003F6B31" w:rsidRDefault="00F47D8F" w:rsidP="00C82607">
            <w:pPr>
              <w:keepNext/>
              <w:keepLines/>
              <w:jc w:val="left"/>
              <w:rPr>
                <w:rFonts w:ascii="Arial Narrow" w:hAnsi="Arial Narrow" w:cs="Calibri"/>
                <w:color w:val="000000"/>
                <w:sz w:val="20"/>
                <w:szCs w:val="20"/>
                <w:lang w:val="en-US" w:eastAsia="en-US"/>
              </w:rPr>
            </w:pPr>
            <w:proofErr w:type="spellStart"/>
            <w:r w:rsidRPr="003F6B31">
              <w:rPr>
                <w:rFonts w:ascii="Arial Narrow" w:hAnsi="Arial Narrow" w:cs="Calibri"/>
                <w:bCs/>
                <w:color w:val="000000"/>
                <w:sz w:val="20"/>
                <w:szCs w:val="20"/>
                <w:lang w:val="en-US" w:eastAsia="en-US"/>
              </w:rPr>
              <w:t>Oxaliplatin</w:t>
            </w:r>
            <w:proofErr w:type="spellEnd"/>
            <w:r w:rsidRPr="003F6B31">
              <w:rPr>
                <w:rFonts w:ascii="Arial Narrow" w:hAnsi="Arial Narrow" w:cs="Calibri"/>
                <w:bCs/>
                <w:color w:val="000000"/>
                <w:sz w:val="20"/>
                <w:szCs w:val="20"/>
                <w:lang w:val="en-US" w:eastAsia="en-US"/>
              </w:rPr>
              <w:t xml:space="preserve"> </w:t>
            </w:r>
          </w:p>
        </w:tc>
        <w:tc>
          <w:tcPr>
            <w:tcW w:w="482" w:type="pct"/>
            <w:tcBorders>
              <w:top w:val="nil"/>
              <w:left w:val="nil"/>
              <w:bottom w:val="single" w:sz="8" w:space="0" w:color="auto"/>
              <w:right w:val="single" w:sz="8" w:space="0" w:color="auto"/>
            </w:tcBorders>
            <w:shd w:val="clear" w:color="auto" w:fill="auto"/>
            <w:vAlign w:val="center"/>
            <w:hideMark/>
          </w:tcPr>
          <w:p w14:paraId="7A114403" w14:textId="77777777" w:rsidR="00F47D8F" w:rsidRPr="003F6B31" w:rsidRDefault="00F47D8F" w:rsidP="00C82607">
            <w:pPr>
              <w:keepNext/>
              <w:keepLines/>
              <w:jc w:val="center"/>
              <w:rPr>
                <w:rFonts w:ascii="Arial Narrow" w:hAnsi="Arial Narrow" w:cs="Calibri"/>
                <w:color w:val="000000"/>
                <w:sz w:val="20"/>
                <w:szCs w:val="20"/>
                <w:lang w:val="en-US" w:eastAsia="en-US"/>
              </w:rPr>
            </w:pPr>
            <w:r w:rsidRPr="003F6B31">
              <w:rPr>
                <w:rFonts w:ascii="Arial Narrow" w:hAnsi="Arial Narrow" w:cs="Calibri"/>
                <w:bCs/>
                <w:color w:val="000000"/>
                <w:sz w:val="20"/>
                <w:szCs w:val="20"/>
                <w:lang w:val="en-US" w:eastAsia="en-US"/>
              </w:rPr>
              <w:t xml:space="preserve">$51.89 </w:t>
            </w:r>
          </w:p>
        </w:tc>
        <w:tc>
          <w:tcPr>
            <w:tcW w:w="483" w:type="pct"/>
            <w:tcBorders>
              <w:top w:val="nil"/>
              <w:left w:val="nil"/>
              <w:bottom w:val="single" w:sz="8" w:space="0" w:color="auto"/>
              <w:right w:val="single" w:sz="8" w:space="0" w:color="auto"/>
            </w:tcBorders>
            <w:shd w:val="clear" w:color="auto" w:fill="auto"/>
            <w:vAlign w:val="center"/>
            <w:hideMark/>
          </w:tcPr>
          <w:p w14:paraId="036B2652" w14:textId="77777777" w:rsidR="00F47D8F" w:rsidRPr="003F6B31" w:rsidRDefault="00F47D8F" w:rsidP="00C82607">
            <w:pPr>
              <w:keepNext/>
              <w:keepLines/>
              <w:jc w:val="center"/>
              <w:rPr>
                <w:rFonts w:ascii="Arial Narrow" w:hAnsi="Arial Narrow" w:cs="Calibri"/>
                <w:color w:val="000000"/>
                <w:sz w:val="20"/>
                <w:szCs w:val="20"/>
                <w:lang w:val="en-US" w:eastAsia="en-US"/>
              </w:rPr>
            </w:pPr>
            <w:r w:rsidRPr="003F6B31">
              <w:rPr>
                <w:rFonts w:ascii="Arial Narrow" w:hAnsi="Arial Narrow" w:cs="Calibri"/>
                <w:color w:val="000000"/>
                <w:sz w:val="20"/>
                <w:szCs w:val="20"/>
                <w:lang w:val="en-US" w:eastAsia="en-US"/>
              </w:rPr>
              <w:t xml:space="preserve">$115.14 </w:t>
            </w:r>
          </w:p>
        </w:tc>
        <w:tc>
          <w:tcPr>
            <w:tcW w:w="521" w:type="pct"/>
            <w:tcBorders>
              <w:top w:val="nil"/>
              <w:left w:val="nil"/>
              <w:bottom w:val="single" w:sz="8" w:space="0" w:color="auto"/>
              <w:right w:val="single" w:sz="8" w:space="0" w:color="auto"/>
            </w:tcBorders>
            <w:shd w:val="clear" w:color="auto" w:fill="auto"/>
            <w:vAlign w:val="center"/>
            <w:hideMark/>
          </w:tcPr>
          <w:p w14:paraId="40A9DBC0" w14:textId="77777777" w:rsidR="00F47D8F" w:rsidRPr="003F6B31" w:rsidRDefault="00F47D8F" w:rsidP="00C82607">
            <w:pPr>
              <w:keepNext/>
              <w:keepLines/>
              <w:jc w:val="center"/>
              <w:rPr>
                <w:rFonts w:ascii="Arial Narrow" w:hAnsi="Arial Narrow" w:cs="Calibri"/>
                <w:color w:val="000000"/>
                <w:sz w:val="20"/>
                <w:szCs w:val="20"/>
                <w:lang w:val="en-US" w:eastAsia="en-US"/>
              </w:rPr>
            </w:pPr>
            <w:r w:rsidRPr="003F6B31">
              <w:rPr>
                <w:rFonts w:ascii="Arial Narrow" w:hAnsi="Arial Narrow" w:cs="Calibri"/>
                <w:color w:val="000000"/>
                <w:sz w:val="20"/>
                <w:szCs w:val="20"/>
                <w:lang w:val="en-US" w:eastAsia="en-US"/>
              </w:rPr>
              <w:t>$142.82</w:t>
            </w:r>
          </w:p>
        </w:tc>
        <w:tc>
          <w:tcPr>
            <w:tcW w:w="295" w:type="pct"/>
            <w:vMerge/>
            <w:tcBorders>
              <w:top w:val="nil"/>
              <w:left w:val="single" w:sz="8" w:space="0" w:color="auto"/>
              <w:bottom w:val="single" w:sz="8" w:space="0" w:color="000000"/>
              <w:right w:val="single" w:sz="8" w:space="0" w:color="auto"/>
            </w:tcBorders>
            <w:vAlign w:val="center"/>
            <w:hideMark/>
          </w:tcPr>
          <w:p w14:paraId="4F6024EC" w14:textId="77777777" w:rsidR="00F47D8F" w:rsidRPr="003F6B31" w:rsidRDefault="00F47D8F" w:rsidP="00C82607">
            <w:pPr>
              <w:keepNext/>
              <w:keepLines/>
              <w:jc w:val="left"/>
              <w:rPr>
                <w:rFonts w:ascii="Arial Narrow" w:hAnsi="Arial Narrow" w:cs="Calibri"/>
                <w:color w:val="000000"/>
                <w:sz w:val="20"/>
                <w:szCs w:val="20"/>
                <w:lang w:val="en-US" w:eastAsia="en-US"/>
              </w:rPr>
            </w:pPr>
          </w:p>
        </w:tc>
        <w:tc>
          <w:tcPr>
            <w:tcW w:w="556" w:type="pct"/>
            <w:tcBorders>
              <w:top w:val="nil"/>
              <w:left w:val="nil"/>
              <w:bottom w:val="single" w:sz="8" w:space="0" w:color="auto"/>
              <w:right w:val="single" w:sz="8" w:space="0" w:color="auto"/>
            </w:tcBorders>
            <w:shd w:val="clear" w:color="auto" w:fill="auto"/>
            <w:vAlign w:val="center"/>
            <w:hideMark/>
          </w:tcPr>
          <w:p w14:paraId="36755936" w14:textId="77777777" w:rsidR="00F47D8F" w:rsidRPr="003F6B31" w:rsidRDefault="00F47D8F" w:rsidP="00C82607">
            <w:pPr>
              <w:keepNext/>
              <w:keepLines/>
              <w:jc w:val="center"/>
              <w:rPr>
                <w:rFonts w:ascii="Arial Narrow" w:hAnsi="Arial Narrow" w:cs="Calibri"/>
                <w:color w:val="000000"/>
                <w:sz w:val="20"/>
                <w:szCs w:val="20"/>
                <w:lang w:val="en-US" w:eastAsia="en-US"/>
              </w:rPr>
            </w:pPr>
            <w:r w:rsidRPr="003F6B31">
              <w:rPr>
                <w:rFonts w:ascii="Arial Narrow" w:hAnsi="Arial Narrow" w:cs="Calibri"/>
                <w:bCs/>
                <w:color w:val="000000"/>
                <w:sz w:val="20"/>
                <w:szCs w:val="20"/>
                <w:lang w:val="en-US" w:eastAsia="en-US"/>
              </w:rPr>
              <w:t>9.37</w:t>
            </w:r>
          </w:p>
        </w:tc>
        <w:tc>
          <w:tcPr>
            <w:tcW w:w="475" w:type="pct"/>
            <w:tcBorders>
              <w:top w:val="nil"/>
              <w:left w:val="nil"/>
              <w:bottom w:val="single" w:sz="8" w:space="0" w:color="auto"/>
              <w:right w:val="single" w:sz="8" w:space="0" w:color="auto"/>
            </w:tcBorders>
            <w:shd w:val="clear" w:color="auto" w:fill="auto"/>
            <w:vAlign w:val="center"/>
            <w:hideMark/>
          </w:tcPr>
          <w:p w14:paraId="4EEC4089" w14:textId="77777777" w:rsidR="00F47D8F" w:rsidRPr="003F6B31" w:rsidRDefault="00F47D8F" w:rsidP="00C82607">
            <w:pPr>
              <w:keepNext/>
              <w:keepLines/>
              <w:jc w:val="center"/>
              <w:rPr>
                <w:rFonts w:ascii="Arial Narrow" w:hAnsi="Arial Narrow" w:cs="Calibri"/>
                <w:color w:val="000000"/>
                <w:sz w:val="20"/>
                <w:szCs w:val="20"/>
                <w:lang w:val="en-US" w:eastAsia="en-US"/>
              </w:rPr>
            </w:pPr>
            <w:r w:rsidRPr="003F6B31">
              <w:rPr>
                <w:rFonts w:ascii="Arial Narrow" w:hAnsi="Arial Narrow" w:cs="Calibri"/>
                <w:bCs/>
                <w:color w:val="000000"/>
                <w:sz w:val="20"/>
                <w:szCs w:val="20"/>
                <w:lang w:val="en-US" w:eastAsia="en-US"/>
              </w:rPr>
              <w:t>8.85</w:t>
            </w:r>
          </w:p>
        </w:tc>
        <w:tc>
          <w:tcPr>
            <w:tcW w:w="530" w:type="pct"/>
            <w:tcBorders>
              <w:top w:val="nil"/>
              <w:left w:val="nil"/>
              <w:bottom w:val="single" w:sz="8" w:space="0" w:color="auto"/>
              <w:right w:val="single" w:sz="8" w:space="0" w:color="auto"/>
            </w:tcBorders>
            <w:shd w:val="clear" w:color="auto" w:fill="auto"/>
            <w:vAlign w:val="center"/>
            <w:hideMark/>
          </w:tcPr>
          <w:p w14:paraId="5874B264" w14:textId="77777777" w:rsidR="00F47D8F" w:rsidRPr="003F6B31" w:rsidRDefault="00F47D8F" w:rsidP="00C82607">
            <w:pPr>
              <w:keepNext/>
              <w:keepLines/>
              <w:jc w:val="center"/>
              <w:rPr>
                <w:rFonts w:ascii="Arial Narrow" w:hAnsi="Arial Narrow" w:cs="Calibri"/>
                <w:color w:val="000000"/>
                <w:sz w:val="20"/>
                <w:szCs w:val="20"/>
                <w:lang w:val="en-US" w:eastAsia="en-US"/>
              </w:rPr>
            </w:pPr>
            <w:r w:rsidRPr="003F6B31">
              <w:rPr>
                <w:rFonts w:ascii="Arial Narrow" w:hAnsi="Arial Narrow" w:cs="Calibri"/>
                <w:color w:val="000000"/>
                <w:sz w:val="20"/>
                <w:szCs w:val="20"/>
                <w:lang w:val="en-US" w:eastAsia="en-US"/>
              </w:rPr>
              <w:t xml:space="preserve">$1,068.67 </w:t>
            </w:r>
          </w:p>
        </w:tc>
        <w:tc>
          <w:tcPr>
            <w:tcW w:w="530" w:type="pct"/>
            <w:tcBorders>
              <w:top w:val="nil"/>
              <w:left w:val="nil"/>
              <w:bottom w:val="single" w:sz="8" w:space="0" w:color="auto"/>
              <w:right w:val="single" w:sz="8" w:space="0" w:color="auto"/>
            </w:tcBorders>
            <w:shd w:val="clear" w:color="auto" w:fill="auto"/>
            <w:vAlign w:val="center"/>
            <w:hideMark/>
          </w:tcPr>
          <w:p w14:paraId="0FEC9261" w14:textId="77777777" w:rsidR="00F47D8F" w:rsidRPr="003F6B31" w:rsidRDefault="00F47D8F" w:rsidP="00C82607">
            <w:pPr>
              <w:keepNext/>
              <w:keepLines/>
              <w:jc w:val="center"/>
              <w:rPr>
                <w:rFonts w:ascii="Arial Narrow" w:hAnsi="Arial Narrow" w:cs="Calibri"/>
                <w:color w:val="000000"/>
                <w:sz w:val="20"/>
                <w:szCs w:val="20"/>
                <w:lang w:val="en-US" w:eastAsia="en-US"/>
              </w:rPr>
            </w:pPr>
            <w:r w:rsidRPr="003F6B31">
              <w:rPr>
                <w:rFonts w:ascii="Arial Narrow" w:hAnsi="Arial Narrow" w:cs="Calibri"/>
                <w:color w:val="000000"/>
                <w:sz w:val="20"/>
                <w:szCs w:val="20"/>
                <w:lang w:val="en-US" w:eastAsia="en-US"/>
              </w:rPr>
              <w:t xml:space="preserve">$1,078.86 </w:t>
            </w:r>
          </w:p>
        </w:tc>
        <w:tc>
          <w:tcPr>
            <w:tcW w:w="525" w:type="pct"/>
            <w:tcBorders>
              <w:top w:val="nil"/>
              <w:left w:val="nil"/>
              <w:bottom w:val="single" w:sz="8" w:space="0" w:color="auto"/>
              <w:right w:val="single" w:sz="8" w:space="0" w:color="auto"/>
            </w:tcBorders>
            <w:shd w:val="clear" w:color="auto" w:fill="auto"/>
            <w:vAlign w:val="center"/>
            <w:hideMark/>
          </w:tcPr>
          <w:p w14:paraId="01B843DF" w14:textId="77777777" w:rsidR="00F47D8F" w:rsidRPr="003F6B31" w:rsidRDefault="00F47D8F" w:rsidP="00C82607">
            <w:pPr>
              <w:keepNext/>
              <w:keepLines/>
              <w:jc w:val="center"/>
              <w:rPr>
                <w:rFonts w:ascii="Arial Narrow" w:hAnsi="Arial Narrow" w:cs="Calibri"/>
                <w:color w:val="000000"/>
                <w:sz w:val="20"/>
                <w:szCs w:val="20"/>
                <w:lang w:val="en-US" w:eastAsia="en-US"/>
              </w:rPr>
            </w:pPr>
            <w:r w:rsidRPr="003F6B31">
              <w:rPr>
                <w:rFonts w:ascii="Arial Narrow" w:hAnsi="Arial Narrow" w:cs="Calibri"/>
                <w:color w:val="000000"/>
                <w:sz w:val="20"/>
                <w:szCs w:val="20"/>
                <w:lang w:val="en-US" w:eastAsia="en-US"/>
              </w:rPr>
              <w:t xml:space="preserve">$1,263.96 </w:t>
            </w:r>
          </w:p>
        </w:tc>
      </w:tr>
      <w:tr w:rsidR="00F47D8F" w:rsidRPr="003F6B31" w14:paraId="42F267B1" w14:textId="77777777" w:rsidTr="00F47D8F">
        <w:trPr>
          <w:trHeight w:val="20"/>
        </w:trPr>
        <w:tc>
          <w:tcPr>
            <w:tcW w:w="601" w:type="pct"/>
            <w:tcBorders>
              <w:top w:val="nil"/>
              <w:left w:val="single" w:sz="8" w:space="0" w:color="auto"/>
              <w:bottom w:val="single" w:sz="8" w:space="0" w:color="auto"/>
              <w:right w:val="single" w:sz="8" w:space="0" w:color="auto"/>
            </w:tcBorders>
            <w:shd w:val="clear" w:color="auto" w:fill="auto"/>
            <w:vAlign w:val="center"/>
            <w:hideMark/>
          </w:tcPr>
          <w:p w14:paraId="32CE75B7" w14:textId="77777777" w:rsidR="00F47D8F" w:rsidRPr="003F6B31" w:rsidRDefault="00F47D8F" w:rsidP="00C82607">
            <w:pPr>
              <w:keepNext/>
              <w:keepLines/>
              <w:jc w:val="left"/>
              <w:rPr>
                <w:rFonts w:ascii="Arial Narrow" w:hAnsi="Arial Narrow" w:cs="Calibri"/>
                <w:color w:val="000000"/>
                <w:sz w:val="20"/>
                <w:szCs w:val="20"/>
                <w:lang w:val="en-US" w:eastAsia="en-US"/>
              </w:rPr>
            </w:pPr>
            <w:proofErr w:type="spellStart"/>
            <w:r w:rsidRPr="003F6B31">
              <w:rPr>
                <w:rFonts w:ascii="Arial Narrow" w:hAnsi="Arial Narrow" w:cs="Calibri"/>
                <w:color w:val="000000"/>
                <w:sz w:val="20"/>
                <w:szCs w:val="20"/>
                <w:lang w:eastAsia="en-US"/>
              </w:rPr>
              <w:t>Leucovorin</w:t>
            </w:r>
            <w:proofErr w:type="spellEnd"/>
            <w:r w:rsidRPr="003F6B31">
              <w:rPr>
                <w:rFonts w:ascii="Arial Narrow" w:hAnsi="Arial Narrow" w:cs="Calibri"/>
                <w:color w:val="000000"/>
                <w:sz w:val="20"/>
                <w:szCs w:val="20"/>
                <w:lang w:eastAsia="en-US"/>
              </w:rPr>
              <w:t xml:space="preserve"> </w:t>
            </w:r>
          </w:p>
        </w:tc>
        <w:tc>
          <w:tcPr>
            <w:tcW w:w="482" w:type="pct"/>
            <w:tcBorders>
              <w:top w:val="nil"/>
              <w:left w:val="nil"/>
              <w:bottom w:val="single" w:sz="8" w:space="0" w:color="auto"/>
              <w:right w:val="single" w:sz="8" w:space="0" w:color="auto"/>
            </w:tcBorders>
            <w:shd w:val="clear" w:color="auto" w:fill="auto"/>
            <w:vAlign w:val="center"/>
            <w:hideMark/>
          </w:tcPr>
          <w:p w14:paraId="3586C479" w14:textId="77777777" w:rsidR="00F47D8F" w:rsidRPr="003F6B31" w:rsidRDefault="00F47D8F" w:rsidP="00C82607">
            <w:pPr>
              <w:keepNext/>
              <w:keepLines/>
              <w:jc w:val="center"/>
              <w:rPr>
                <w:rFonts w:ascii="Arial Narrow" w:hAnsi="Arial Narrow" w:cs="Calibri"/>
                <w:color w:val="000000"/>
                <w:sz w:val="20"/>
                <w:szCs w:val="20"/>
                <w:lang w:val="en-US" w:eastAsia="en-US"/>
              </w:rPr>
            </w:pPr>
            <w:r w:rsidRPr="003F6B31">
              <w:rPr>
                <w:rFonts w:ascii="Arial Narrow" w:hAnsi="Arial Narrow" w:cs="Calibri"/>
                <w:color w:val="000000"/>
                <w:sz w:val="20"/>
                <w:szCs w:val="20"/>
                <w:lang w:val="en-US" w:eastAsia="en-US"/>
              </w:rPr>
              <w:t xml:space="preserve">$21.61 </w:t>
            </w:r>
          </w:p>
        </w:tc>
        <w:tc>
          <w:tcPr>
            <w:tcW w:w="483" w:type="pct"/>
            <w:tcBorders>
              <w:top w:val="nil"/>
              <w:left w:val="nil"/>
              <w:bottom w:val="single" w:sz="8" w:space="0" w:color="auto"/>
              <w:right w:val="single" w:sz="8" w:space="0" w:color="auto"/>
            </w:tcBorders>
            <w:shd w:val="clear" w:color="auto" w:fill="auto"/>
            <w:vAlign w:val="center"/>
            <w:hideMark/>
          </w:tcPr>
          <w:p w14:paraId="0E2C2B61" w14:textId="77777777" w:rsidR="00F47D8F" w:rsidRPr="003F6B31" w:rsidRDefault="00F47D8F" w:rsidP="00C82607">
            <w:pPr>
              <w:keepNext/>
              <w:keepLines/>
              <w:jc w:val="center"/>
              <w:rPr>
                <w:rFonts w:ascii="Arial Narrow" w:hAnsi="Arial Narrow" w:cs="Calibri"/>
                <w:color w:val="000000"/>
                <w:sz w:val="20"/>
                <w:szCs w:val="20"/>
                <w:lang w:val="en-US" w:eastAsia="en-US"/>
              </w:rPr>
            </w:pPr>
            <w:r w:rsidRPr="003F6B31">
              <w:rPr>
                <w:rFonts w:ascii="Arial Narrow" w:hAnsi="Arial Narrow" w:cs="Calibri"/>
                <w:color w:val="000000"/>
                <w:sz w:val="20"/>
                <w:szCs w:val="20"/>
                <w:lang w:val="en-US" w:eastAsia="en-US"/>
              </w:rPr>
              <w:t xml:space="preserve">$31.59 </w:t>
            </w:r>
          </w:p>
        </w:tc>
        <w:tc>
          <w:tcPr>
            <w:tcW w:w="521" w:type="pct"/>
            <w:tcBorders>
              <w:top w:val="nil"/>
              <w:left w:val="nil"/>
              <w:bottom w:val="single" w:sz="8" w:space="0" w:color="auto"/>
              <w:right w:val="single" w:sz="8" w:space="0" w:color="auto"/>
            </w:tcBorders>
            <w:shd w:val="clear" w:color="auto" w:fill="auto"/>
            <w:vAlign w:val="center"/>
            <w:hideMark/>
          </w:tcPr>
          <w:p w14:paraId="4F88DE69" w14:textId="77777777" w:rsidR="00F47D8F" w:rsidRPr="003F6B31" w:rsidRDefault="00F47D8F" w:rsidP="00C82607">
            <w:pPr>
              <w:keepNext/>
              <w:keepLines/>
              <w:jc w:val="center"/>
              <w:rPr>
                <w:rFonts w:ascii="Arial Narrow" w:hAnsi="Arial Narrow" w:cs="Calibri"/>
                <w:color w:val="000000"/>
                <w:sz w:val="20"/>
                <w:szCs w:val="20"/>
                <w:lang w:val="en-US" w:eastAsia="en-US"/>
              </w:rPr>
            </w:pPr>
            <w:r w:rsidRPr="003F6B31">
              <w:rPr>
                <w:rFonts w:ascii="Arial Narrow" w:hAnsi="Arial Narrow" w:cs="Calibri"/>
                <w:color w:val="000000"/>
                <w:sz w:val="20"/>
                <w:szCs w:val="20"/>
                <w:lang w:val="en-US" w:eastAsia="en-US"/>
              </w:rPr>
              <w:t>$24.71</w:t>
            </w:r>
          </w:p>
        </w:tc>
        <w:tc>
          <w:tcPr>
            <w:tcW w:w="295" w:type="pct"/>
            <w:vMerge/>
            <w:tcBorders>
              <w:top w:val="nil"/>
              <w:left w:val="single" w:sz="8" w:space="0" w:color="auto"/>
              <w:bottom w:val="single" w:sz="8" w:space="0" w:color="000000"/>
              <w:right w:val="single" w:sz="8" w:space="0" w:color="auto"/>
            </w:tcBorders>
            <w:vAlign w:val="center"/>
            <w:hideMark/>
          </w:tcPr>
          <w:p w14:paraId="50C9487F" w14:textId="77777777" w:rsidR="00F47D8F" w:rsidRPr="003F6B31" w:rsidRDefault="00F47D8F" w:rsidP="00C82607">
            <w:pPr>
              <w:keepNext/>
              <w:keepLines/>
              <w:jc w:val="left"/>
              <w:rPr>
                <w:rFonts w:ascii="Arial Narrow" w:hAnsi="Arial Narrow" w:cs="Calibri"/>
                <w:color w:val="000000"/>
                <w:sz w:val="20"/>
                <w:szCs w:val="20"/>
                <w:lang w:val="en-US" w:eastAsia="en-US"/>
              </w:rPr>
            </w:pPr>
          </w:p>
        </w:tc>
        <w:tc>
          <w:tcPr>
            <w:tcW w:w="556" w:type="pct"/>
            <w:tcBorders>
              <w:top w:val="nil"/>
              <w:left w:val="nil"/>
              <w:bottom w:val="single" w:sz="8" w:space="0" w:color="auto"/>
              <w:right w:val="single" w:sz="8" w:space="0" w:color="auto"/>
            </w:tcBorders>
            <w:shd w:val="clear" w:color="auto" w:fill="auto"/>
            <w:vAlign w:val="center"/>
            <w:hideMark/>
          </w:tcPr>
          <w:p w14:paraId="54EF0E9F" w14:textId="77777777" w:rsidR="00F47D8F" w:rsidRPr="003F6B31" w:rsidRDefault="00F47D8F" w:rsidP="00C82607">
            <w:pPr>
              <w:keepNext/>
              <w:keepLines/>
              <w:jc w:val="center"/>
              <w:rPr>
                <w:rFonts w:ascii="Arial Narrow" w:hAnsi="Arial Narrow" w:cs="Calibri"/>
                <w:color w:val="000000"/>
                <w:sz w:val="20"/>
                <w:szCs w:val="20"/>
                <w:lang w:val="en-US" w:eastAsia="en-US"/>
              </w:rPr>
            </w:pPr>
            <w:r w:rsidRPr="003F6B31">
              <w:rPr>
                <w:rFonts w:ascii="Arial Narrow" w:hAnsi="Arial Narrow" w:cs="Calibri"/>
                <w:color w:val="000000"/>
                <w:sz w:val="20"/>
                <w:szCs w:val="20"/>
                <w:lang w:val="en-US" w:eastAsia="en-US"/>
              </w:rPr>
              <w:t>14.67</w:t>
            </w:r>
          </w:p>
        </w:tc>
        <w:tc>
          <w:tcPr>
            <w:tcW w:w="475" w:type="pct"/>
            <w:tcBorders>
              <w:top w:val="nil"/>
              <w:left w:val="nil"/>
              <w:bottom w:val="single" w:sz="8" w:space="0" w:color="auto"/>
              <w:right w:val="single" w:sz="8" w:space="0" w:color="auto"/>
            </w:tcBorders>
            <w:shd w:val="clear" w:color="auto" w:fill="auto"/>
            <w:vAlign w:val="center"/>
            <w:hideMark/>
          </w:tcPr>
          <w:p w14:paraId="7210C579" w14:textId="77777777" w:rsidR="00F47D8F" w:rsidRPr="003F6B31" w:rsidRDefault="00F47D8F" w:rsidP="00C82607">
            <w:pPr>
              <w:keepNext/>
              <w:keepLines/>
              <w:jc w:val="center"/>
              <w:rPr>
                <w:rFonts w:ascii="Arial Narrow" w:hAnsi="Arial Narrow" w:cs="Calibri"/>
                <w:color w:val="000000"/>
                <w:sz w:val="20"/>
                <w:szCs w:val="20"/>
                <w:lang w:val="en-US" w:eastAsia="en-US"/>
              </w:rPr>
            </w:pPr>
            <w:r w:rsidRPr="003F6B31">
              <w:rPr>
                <w:rFonts w:ascii="Arial Narrow" w:hAnsi="Arial Narrow" w:cs="Calibri"/>
                <w:color w:val="000000"/>
                <w:sz w:val="20"/>
                <w:szCs w:val="20"/>
                <w:lang w:val="en-US" w:eastAsia="en-US"/>
              </w:rPr>
              <w:t>13.43</w:t>
            </w:r>
          </w:p>
        </w:tc>
        <w:tc>
          <w:tcPr>
            <w:tcW w:w="530" w:type="pct"/>
            <w:tcBorders>
              <w:top w:val="nil"/>
              <w:left w:val="nil"/>
              <w:bottom w:val="single" w:sz="8" w:space="0" w:color="auto"/>
              <w:right w:val="single" w:sz="8" w:space="0" w:color="auto"/>
            </w:tcBorders>
            <w:shd w:val="clear" w:color="auto" w:fill="auto"/>
            <w:vAlign w:val="center"/>
            <w:hideMark/>
          </w:tcPr>
          <w:p w14:paraId="08749963" w14:textId="77777777" w:rsidR="00F47D8F" w:rsidRPr="003F6B31" w:rsidRDefault="00F47D8F" w:rsidP="00C82607">
            <w:pPr>
              <w:keepNext/>
              <w:keepLines/>
              <w:jc w:val="center"/>
              <w:rPr>
                <w:rFonts w:ascii="Arial Narrow" w:hAnsi="Arial Narrow" w:cs="Calibri"/>
                <w:color w:val="000000" w:themeColor="text1"/>
                <w:sz w:val="20"/>
                <w:szCs w:val="20"/>
                <w:lang w:val="en-US" w:eastAsia="en-US"/>
              </w:rPr>
            </w:pPr>
            <w:r w:rsidRPr="003F6B31">
              <w:rPr>
                <w:rFonts w:ascii="Arial Narrow" w:hAnsi="Arial Narrow" w:cs="Calibri"/>
                <w:color w:val="000000" w:themeColor="text1"/>
                <w:sz w:val="20"/>
                <w:szCs w:val="20"/>
                <w:lang w:val="en-US" w:eastAsia="en-US"/>
              </w:rPr>
              <w:t xml:space="preserve">$445.06 </w:t>
            </w:r>
          </w:p>
        </w:tc>
        <w:tc>
          <w:tcPr>
            <w:tcW w:w="530" w:type="pct"/>
            <w:tcBorders>
              <w:top w:val="nil"/>
              <w:left w:val="nil"/>
              <w:bottom w:val="single" w:sz="8" w:space="0" w:color="auto"/>
              <w:right w:val="single" w:sz="8" w:space="0" w:color="auto"/>
            </w:tcBorders>
            <w:shd w:val="clear" w:color="auto" w:fill="auto"/>
            <w:vAlign w:val="center"/>
            <w:hideMark/>
          </w:tcPr>
          <w:p w14:paraId="7C2D2A20" w14:textId="77777777" w:rsidR="00F47D8F" w:rsidRPr="003F6B31" w:rsidRDefault="00F47D8F" w:rsidP="00C82607">
            <w:pPr>
              <w:keepNext/>
              <w:keepLines/>
              <w:jc w:val="center"/>
              <w:rPr>
                <w:rFonts w:ascii="Arial Narrow" w:hAnsi="Arial Narrow" w:cs="Calibri"/>
                <w:color w:val="000000" w:themeColor="text1"/>
                <w:sz w:val="20"/>
                <w:szCs w:val="20"/>
                <w:lang w:val="en-US" w:eastAsia="en-US"/>
              </w:rPr>
            </w:pPr>
            <w:r w:rsidRPr="003F6B31">
              <w:rPr>
                <w:rFonts w:ascii="Arial Narrow" w:hAnsi="Arial Narrow" w:cs="Calibri"/>
                <w:color w:val="000000" w:themeColor="text1"/>
                <w:sz w:val="20"/>
                <w:szCs w:val="20"/>
                <w:lang w:val="en-US" w:eastAsia="en-US"/>
              </w:rPr>
              <w:t xml:space="preserve">$463.43 </w:t>
            </w:r>
          </w:p>
        </w:tc>
        <w:tc>
          <w:tcPr>
            <w:tcW w:w="525" w:type="pct"/>
            <w:tcBorders>
              <w:top w:val="nil"/>
              <w:left w:val="nil"/>
              <w:bottom w:val="single" w:sz="8" w:space="0" w:color="auto"/>
              <w:right w:val="single" w:sz="8" w:space="0" w:color="auto"/>
            </w:tcBorders>
            <w:shd w:val="clear" w:color="auto" w:fill="auto"/>
            <w:vAlign w:val="center"/>
            <w:hideMark/>
          </w:tcPr>
          <w:p w14:paraId="6BB6128C" w14:textId="77777777" w:rsidR="00F47D8F" w:rsidRPr="003F6B31" w:rsidRDefault="00F47D8F" w:rsidP="00C82607">
            <w:pPr>
              <w:keepNext/>
              <w:keepLines/>
              <w:jc w:val="center"/>
              <w:rPr>
                <w:rFonts w:ascii="Arial Narrow" w:hAnsi="Arial Narrow" w:cs="Calibri"/>
                <w:color w:val="000000" w:themeColor="text1"/>
                <w:sz w:val="20"/>
                <w:szCs w:val="20"/>
                <w:lang w:val="en-US" w:eastAsia="en-US"/>
              </w:rPr>
            </w:pPr>
            <w:r w:rsidRPr="003F6B31">
              <w:rPr>
                <w:rFonts w:ascii="Arial Narrow" w:hAnsi="Arial Narrow" w:cs="Calibri"/>
                <w:color w:val="000000" w:themeColor="text1"/>
                <w:sz w:val="20"/>
                <w:szCs w:val="20"/>
                <w:lang w:val="en-US" w:eastAsia="en-US"/>
              </w:rPr>
              <w:t xml:space="preserve">$331.86 </w:t>
            </w:r>
          </w:p>
        </w:tc>
      </w:tr>
      <w:tr w:rsidR="00F47D8F" w:rsidRPr="003F6B31" w14:paraId="60706380" w14:textId="77777777" w:rsidTr="00F47D8F">
        <w:trPr>
          <w:trHeight w:val="20"/>
        </w:trPr>
        <w:tc>
          <w:tcPr>
            <w:tcW w:w="601" w:type="pct"/>
            <w:tcBorders>
              <w:top w:val="nil"/>
              <w:left w:val="single" w:sz="8" w:space="0" w:color="auto"/>
              <w:bottom w:val="single" w:sz="8" w:space="0" w:color="auto"/>
              <w:right w:val="single" w:sz="8" w:space="0" w:color="auto"/>
            </w:tcBorders>
            <w:shd w:val="clear" w:color="auto" w:fill="auto"/>
            <w:vAlign w:val="center"/>
            <w:hideMark/>
          </w:tcPr>
          <w:p w14:paraId="6880BB41" w14:textId="77777777" w:rsidR="00F47D8F" w:rsidRPr="003F6B31" w:rsidRDefault="00F47D8F" w:rsidP="00C82607">
            <w:pPr>
              <w:keepNext/>
              <w:keepLines/>
              <w:jc w:val="left"/>
              <w:rPr>
                <w:rFonts w:ascii="Arial Narrow" w:hAnsi="Arial Narrow" w:cs="Calibri"/>
                <w:color w:val="000000"/>
                <w:sz w:val="20"/>
                <w:szCs w:val="20"/>
                <w:lang w:val="en-US" w:eastAsia="en-US"/>
              </w:rPr>
            </w:pPr>
            <w:r w:rsidRPr="003F6B31">
              <w:rPr>
                <w:rFonts w:ascii="Arial Narrow" w:hAnsi="Arial Narrow" w:cs="Calibri"/>
                <w:color w:val="000000"/>
                <w:sz w:val="20"/>
                <w:szCs w:val="20"/>
                <w:lang w:eastAsia="en-US"/>
              </w:rPr>
              <w:t xml:space="preserve">Fluorouracil </w:t>
            </w:r>
          </w:p>
        </w:tc>
        <w:tc>
          <w:tcPr>
            <w:tcW w:w="482" w:type="pct"/>
            <w:tcBorders>
              <w:top w:val="nil"/>
              <w:left w:val="nil"/>
              <w:bottom w:val="single" w:sz="8" w:space="0" w:color="auto"/>
              <w:right w:val="single" w:sz="8" w:space="0" w:color="auto"/>
            </w:tcBorders>
            <w:shd w:val="clear" w:color="auto" w:fill="auto"/>
            <w:vAlign w:val="center"/>
            <w:hideMark/>
          </w:tcPr>
          <w:p w14:paraId="2D9C912B" w14:textId="77777777" w:rsidR="00F47D8F" w:rsidRPr="003F6B31" w:rsidRDefault="00F47D8F" w:rsidP="00C82607">
            <w:pPr>
              <w:keepNext/>
              <w:keepLines/>
              <w:jc w:val="center"/>
              <w:rPr>
                <w:rFonts w:ascii="Arial Narrow" w:hAnsi="Arial Narrow" w:cs="Calibri"/>
                <w:color w:val="000000"/>
                <w:sz w:val="20"/>
                <w:szCs w:val="20"/>
                <w:lang w:val="en-US" w:eastAsia="en-US"/>
              </w:rPr>
            </w:pPr>
            <w:r w:rsidRPr="003F6B31">
              <w:rPr>
                <w:rFonts w:ascii="Arial Narrow" w:hAnsi="Arial Narrow" w:cs="Calibri"/>
                <w:color w:val="000000"/>
                <w:sz w:val="20"/>
                <w:szCs w:val="20"/>
                <w:lang w:val="en-US" w:eastAsia="en-US"/>
              </w:rPr>
              <w:t xml:space="preserve">$81.65 </w:t>
            </w:r>
          </w:p>
        </w:tc>
        <w:tc>
          <w:tcPr>
            <w:tcW w:w="483" w:type="pct"/>
            <w:tcBorders>
              <w:top w:val="nil"/>
              <w:left w:val="nil"/>
              <w:bottom w:val="single" w:sz="8" w:space="0" w:color="auto"/>
              <w:right w:val="single" w:sz="8" w:space="0" w:color="auto"/>
            </w:tcBorders>
            <w:shd w:val="clear" w:color="auto" w:fill="auto"/>
            <w:vAlign w:val="center"/>
            <w:hideMark/>
          </w:tcPr>
          <w:p w14:paraId="6A79EF51" w14:textId="77777777" w:rsidR="00F47D8F" w:rsidRPr="003F6B31" w:rsidRDefault="00F47D8F" w:rsidP="00C82607">
            <w:pPr>
              <w:keepNext/>
              <w:keepLines/>
              <w:jc w:val="center"/>
              <w:rPr>
                <w:rFonts w:ascii="Arial Narrow" w:hAnsi="Arial Narrow" w:cs="Calibri"/>
                <w:color w:val="000000"/>
                <w:sz w:val="20"/>
                <w:szCs w:val="20"/>
                <w:lang w:val="en-US" w:eastAsia="en-US"/>
              </w:rPr>
            </w:pPr>
            <w:r w:rsidRPr="003F6B31">
              <w:rPr>
                <w:rFonts w:ascii="Arial Narrow" w:hAnsi="Arial Narrow" w:cs="Calibri"/>
                <w:color w:val="000000"/>
                <w:sz w:val="20"/>
                <w:szCs w:val="20"/>
                <w:lang w:val="en-US" w:eastAsia="en-US"/>
              </w:rPr>
              <w:t xml:space="preserve">$120.09 </w:t>
            </w:r>
          </w:p>
        </w:tc>
        <w:tc>
          <w:tcPr>
            <w:tcW w:w="521" w:type="pct"/>
            <w:tcBorders>
              <w:top w:val="nil"/>
              <w:left w:val="nil"/>
              <w:bottom w:val="single" w:sz="8" w:space="0" w:color="auto"/>
              <w:right w:val="single" w:sz="8" w:space="0" w:color="auto"/>
            </w:tcBorders>
            <w:shd w:val="clear" w:color="auto" w:fill="auto"/>
            <w:vAlign w:val="center"/>
            <w:hideMark/>
          </w:tcPr>
          <w:p w14:paraId="62DEE851" w14:textId="77777777" w:rsidR="00F47D8F" w:rsidRPr="003F6B31" w:rsidRDefault="00F47D8F" w:rsidP="00C82607">
            <w:pPr>
              <w:keepNext/>
              <w:keepLines/>
              <w:jc w:val="center"/>
              <w:rPr>
                <w:rFonts w:ascii="Arial Narrow" w:hAnsi="Arial Narrow" w:cs="Calibri"/>
                <w:color w:val="000000"/>
                <w:sz w:val="20"/>
                <w:szCs w:val="20"/>
                <w:lang w:val="en-US" w:eastAsia="en-US"/>
              </w:rPr>
            </w:pPr>
            <w:r w:rsidRPr="003F6B31">
              <w:rPr>
                <w:rFonts w:ascii="Arial Narrow" w:hAnsi="Arial Narrow" w:cs="Calibri"/>
                <w:color w:val="000000"/>
                <w:sz w:val="20"/>
                <w:szCs w:val="20"/>
                <w:lang w:val="en-US" w:eastAsia="en-US"/>
              </w:rPr>
              <w:t>$117.98</w:t>
            </w:r>
          </w:p>
        </w:tc>
        <w:tc>
          <w:tcPr>
            <w:tcW w:w="295" w:type="pct"/>
            <w:vMerge/>
            <w:tcBorders>
              <w:top w:val="nil"/>
              <w:left w:val="single" w:sz="8" w:space="0" w:color="auto"/>
              <w:bottom w:val="single" w:sz="8" w:space="0" w:color="000000"/>
              <w:right w:val="single" w:sz="8" w:space="0" w:color="auto"/>
            </w:tcBorders>
            <w:vAlign w:val="center"/>
            <w:hideMark/>
          </w:tcPr>
          <w:p w14:paraId="1C8348DD" w14:textId="77777777" w:rsidR="00F47D8F" w:rsidRPr="003F6B31" w:rsidRDefault="00F47D8F" w:rsidP="00C82607">
            <w:pPr>
              <w:keepNext/>
              <w:keepLines/>
              <w:jc w:val="left"/>
              <w:rPr>
                <w:rFonts w:ascii="Arial Narrow" w:hAnsi="Arial Narrow" w:cs="Calibri"/>
                <w:color w:val="000000"/>
                <w:sz w:val="20"/>
                <w:szCs w:val="20"/>
                <w:lang w:val="en-US" w:eastAsia="en-US"/>
              </w:rPr>
            </w:pPr>
          </w:p>
        </w:tc>
        <w:tc>
          <w:tcPr>
            <w:tcW w:w="556" w:type="pct"/>
            <w:tcBorders>
              <w:top w:val="nil"/>
              <w:left w:val="nil"/>
              <w:bottom w:val="single" w:sz="8" w:space="0" w:color="auto"/>
              <w:right w:val="single" w:sz="8" w:space="0" w:color="auto"/>
            </w:tcBorders>
            <w:shd w:val="clear" w:color="auto" w:fill="auto"/>
            <w:vAlign w:val="center"/>
            <w:hideMark/>
          </w:tcPr>
          <w:p w14:paraId="738F0D2A" w14:textId="77777777" w:rsidR="00F47D8F" w:rsidRPr="003F6B31" w:rsidRDefault="00F47D8F" w:rsidP="00C82607">
            <w:pPr>
              <w:keepNext/>
              <w:keepLines/>
              <w:jc w:val="center"/>
              <w:rPr>
                <w:rFonts w:ascii="Arial Narrow" w:hAnsi="Arial Narrow" w:cs="Calibri"/>
                <w:color w:val="000000"/>
                <w:sz w:val="20"/>
                <w:szCs w:val="20"/>
                <w:lang w:val="en-US" w:eastAsia="en-US"/>
              </w:rPr>
            </w:pPr>
            <w:r w:rsidRPr="003F6B31">
              <w:rPr>
                <w:rFonts w:ascii="Arial Narrow" w:hAnsi="Arial Narrow" w:cs="Calibri"/>
                <w:color w:val="000000"/>
                <w:sz w:val="20"/>
                <w:szCs w:val="20"/>
                <w:lang w:val="en-US" w:eastAsia="en-US"/>
              </w:rPr>
              <w:t>13.92</w:t>
            </w:r>
          </w:p>
        </w:tc>
        <w:tc>
          <w:tcPr>
            <w:tcW w:w="475" w:type="pct"/>
            <w:tcBorders>
              <w:top w:val="nil"/>
              <w:left w:val="nil"/>
              <w:bottom w:val="single" w:sz="8" w:space="0" w:color="auto"/>
              <w:right w:val="single" w:sz="8" w:space="0" w:color="auto"/>
            </w:tcBorders>
            <w:shd w:val="clear" w:color="auto" w:fill="auto"/>
            <w:vAlign w:val="center"/>
            <w:hideMark/>
          </w:tcPr>
          <w:p w14:paraId="51F8FE04" w14:textId="77777777" w:rsidR="00F47D8F" w:rsidRPr="003F6B31" w:rsidRDefault="00F47D8F" w:rsidP="00C82607">
            <w:pPr>
              <w:keepNext/>
              <w:keepLines/>
              <w:jc w:val="center"/>
              <w:rPr>
                <w:rFonts w:ascii="Arial Narrow" w:hAnsi="Arial Narrow" w:cs="Calibri"/>
                <w:color w:val="000000"/>
                <w:sz w:val="20"/>
                <w:szCs w:val="20"/>
                <w:lang w:val="en-US" w:eastAsia="en-US"/>
              </w:rPr>
            </w:pPr>
            <w:r w:rsidRPr="003F6B31">
              <w:rPr>
                <w:rFonts w:ascii="Arial Narrow" w:hAnsi="Arial Narrow" w:cs="Calibri"/>
                <w:color w:val="000000"/>
                <w:sz w:val="20"/>
                <w:szCs w:val="20"/>
                <w:lang w:val="en-US" w:eastAsia="en-US"/>
              </w:rPr>
              <w:t>13.35</w:t>
            </w:r>
          </w:p>
        </w:tc>
        <w:tc>
          <w:tcPr>
            <w:tcW w:w="530" w:type="pct"/>
            <w:tcBorders>
              <w:top w:val="nil"/>
              <w:left w:val="nil"/>
              <w:bottom w:val="single" w:sz="8" w:space="0" w:color="auto"/>
              <w:right w:val="single" w:sz="8" w:space="0" w:color="auto"/>
            </w:tcBorders>
            <w:shd w:val="clear" w:color="auto" w:fill="auto"/>
            <w:vAlign w:val="center"/>
            <w:hideMark/>
          </w:tcPr>
          <w:p w14:paraId="5835BFBC" w14:textId="77777777" w:rsidR="00F47D8F" w:rsidRPr="003F6B31" w:rsidRDefault="00F47D8F" w:rsidP="00C82607">
            <w:pPr>
              <w:keepNext/>
              <w:keepLines/>
              <w:jc w:val="center"/>
              <w:rPr>
                <w:rFonts w:ascii="Arial Narrow" w:hAnsi="Arial Narrow" w:cs="Calibri"/>
                <w:color w:val="000000" w:themeColor="text1"/>
                <w:sz w:val="20"/>
                <w:szCs w:val="20"/>
                <w:lang w:val="en-US" w:eastAsia="en-US"/>
              </w:rPr>
            </w:pPr>
            <w:r w:rsidRPr="003F6B31">
              <w:rPr>
                <w:rFonts w:ascii="Arial Narrow" w:hAnsi="Arial Narrow" w:cs="Calibri"/>
                <w:color w:val="000000" w:themeColor="text1"/>
                <w:sz w:val="20"/>
                <w:szCs w:val="20"/>
                <w:lang w:val="en-US" w:eastAsia="en-US"/>
              </w:rPr>
              <w:t xml:space="preserve">$1,681.58 </w:t>
            </w:r>
          </w:p>
        </w:tc>
        <w:tc>
          <w:tcPr>
            <w:tcW w:w="530" w:type="pct"/>
            <w:tcBorders>
              <w:top w:val="nil"/>
              <w:left w:val="nil"/>
              <w:bottom w:val="single" w:sz="8" w:space="0" w:color="auto"/>
              <w:right w:val="single" w:sz="8" w:space="0" w:color="auto"/>
            </w:tcBorders>
            <w:shd w:val="clear" w:color="auto" w:fill="auto"/>
            <w:vAlign w:val="center"/>
            <w:hideMark/>
          </w:tcPr>
          <w:p w14:paraId="210978CC" w14:textId="77777777" w:rsidR="00F47D8F" w:rsidRPr="003F6B31" w:rsidRDefault="00F47D8F" w:rsidP="00C82607">
            <w:pPr>
              <w:keepNext/>
              <w:keepLines/>
              <w:jc w:val="center"/>
              <w:rPr>
                <w:rFonts w:ascii="Arial Narrow" w:hAnsi="Arial Narrow" w:cs="Calibri"/>
                <w:color w:val="000000" w:themeColor="text1"/>
                <w:sz w:val="20"/>
                <w:szCs w:val="20"/>
                <w:lang w:val="en-US" w:eastAsia="en-US"/>
              </w:rPr>
            </w:pPr>
            <w:r w:rsidRPr="003F6B31">
              <w:rPr>
                <w:rFonts w:ascii="Arial Narrow" w:hAnsi="Arial Narrow" w:cs="Calibri"/>
                <w:color w:val="000000" w:themeColor="text1"/>
                <w:sz w:val="20"/>
                <w:szCs w:val="20"/>
                <w:lang w:val="en-US" w:eastAsia="en-US"/>
              </w:rPr>
              <w:t xml:space="preserve">$1,671.65 </w:t>
            </w:r>
          </w:p>
        </w:tc>
        <w:tc>
          <w:tcPr>
            <w:tcW w:w="525" w:type="pct"/>
            <w:tcBorders>
              <w:top w:val="nil"/>
              <w:left w:val="nil"/>
              <w:bottom w:val="single" w:sz="8" w:space="0" w:color="auto"/>
              <w:right w:val="single" w:sz="8" w:space="0" w:color="auto"/>
            </w:tcBorders>
            <w:shd w:val="clear" w:color="auto" w:fill="auto"/>
            <w:vAlign w:val="center"/>
            <w:hideMark/>
          </w:tcPr>
          <w:p w14:paraId="036BFA5D" w14:textId="77777777" w:rsidR="00F47D8F" w:rsidRPr="003F6B31" w:rsidRDefault="00F47D8F" w:rsidP="00C82607">
            <w:pPr>
              <w:keepNext/>
              <w:keepLines/>
              <w:jc w:val="center"/>
              <w:rPr>
                <w:rFonts w:ascii="Arial Narrow" w:hAnsi="Arial Narrow" w:cs="Calibri"/>
                <w:color w:val="000000" w:themeColor="text1"/>
                <w:sz w:val="20"/>
                <w:szCs w:val="20"/>
                <w:lang w:val="en-US" w:eastAsia="en-US"/>
              </w:rPr>
            </w:pPr>
            <w:r w:rsidRPr="003F6B31">
              <w:rPr>
                <w:rFonts w:ascii="Arial Narrow" w:hAnsi="Arial Narrow" w:cs="Calibri"/>
                <w:color w:val="000000" w:themeColor="text1"/>
                <w:sz w:val="20"/>
                <w:szCs w:val="20"/>
                <w:lang w:val="en-US" w:eastAsia="en-US"/>
              </w:rPr>
              <w:t xml:space="preserve">$1,575.02 </w:t>
            </w:r>
          </w:p>
        </w:tc>
      </w:tr>
      <w:tr w:rsidR="00F47D8F" w:rsidRPr="003F6B31" w14:paraId="029206D9" w14:textId="77777777" w:rsidTr="00F47D8F">
        <w:trPr>
          <w:trHeight w:val="20"/>
        </w:trPr>
        <w:tc>
          <w:tcPr>
            <w:tcW w:w="601" w:type="pct"/>
            <w:tcBorders>
              <w:top w:val="nil"/>
              <w:left w:val="single" w:sz="8" w:space="0" w:color="auto"/>
              <w:bottom w:val="single" w:sz="8" w:space="0" w:color="auto"/>
              <w:right w:val="single" w:sz="8" w:space="0" w:color="auto"/>
            </w:tcBorders>
            <w:shd w:val="clear" w:color="auto" w:fill="auto"/>
            <w:vAlign w:val="center"/>
            <w:hideMark/>
          </w:tcPr>
          <w:p w14:paraId="52A61BA9" w14:textId="77777777" w:rsidR="00F47D8F" w:rsidRPr="003F6B31" w:rsidRDefault="00F47D8F" w:rsidP="00C82607">
            <w:pPr>
              <w:keepNext/>
              <w:keepLines/>
              <w:jc w:val="left"/>
              <w:rPr>
                <w:rFonts w:ascii="Arial Narrow" w:hAnsi="Arial Narrow" w:cs="Calibri"/>
                <w:color w:val="000000"/>
                <w:sz w:val="20"/>
                <w:szCs w:val="20"/>
                <w:lang w:val="en-US" w:eastAsia="en-US"/>
              </w:rPr>
            </w:pPr>
            <w:r w:rsidRPr="003F6B31">
              <w:rPr>
                <w:rFonts w:ascii="Arial Narrow" w:hAnsi="Arial Narrow" w:cs="Calibri"/>
                <w:color w:val="000000"/>
                <w:sz w:val="20"/>
                <w:szCs w:val="20"/>
                <w:lang w:eastAsia="en-US"/>
              </w:rPr>
              <w:t xml:space="preserve">Fluorouracil cont. </w:t>
            </w:r>
          </w:p>
        </w:tc>
        <w:tc>
          <w:tcPr>
            <w:tcW w:w="482" w:type="pct"/>
            <w:tcBorders>
              <w:top w:val="nil"/>
              <w:left w:val="nil"/>
              <w:bottom w:val="single" w:sz="8" w:space="0" w:color="auto"/>
              <w:right w:val="single" w:sz="8" w:space="0" w:color="auto"/>
            </w:tcBorders>
            <w:shd w:val="clear" w:color="auto" w:fill="auto"/>
            <w:vAlign w:val="center"/>
            <w:hideMark/>
          </w:tcPr>
          <w:p w14:paraId="49800D64" w14:textId="77777777" w:rsidR="00F47D8F" w:rsidRPr="003F6B31" w:rsidRDefault="00F47D8F" w:rsidP="00C82607">
            <w:pPr>
              <w:keepNext/>
              <w:keepLines/>
              <w:jc w:val="center"/>
              <w:rPr>
                <w:rFonts w:ascii="Arial Narrow" w:hAnsi="Arial Narrow" w:cs="Calibri"/>
                <w:color w:val="000000"/>
                <w:sz w:val="20"/>
                <w:szCs w:val="20"/>
                <w:lang w:val="en-US" w:eastAsia="en-US"/>
              </w:rPr>
            </w:pPr>
            <w:r w:rsidRPr="003F6B31">
              <w:rPr>
                <w:rFonts w:ascii="Arial Narrow" w:hAnsi="Arial Narrow" w:cs="Calibri"/>
                <w:color w:val="000000"/>
                <w:sz w:val="20"/>
                <w:szCs w:val="20"/>
                <w:lang w:val="en-US" w:eastAsia="en-US"/>
              </w:rPr>
              <w:t xml:space="preserve">$95.84 </w:t>
            </w:r>
          </w:p>
        </w:tc>
        <w:tc>
          <w:tcPr>
            <w:tcW w:w="483" w:type="pct"/>
            <w:tcBorders>
              <w:top w:val="nil"/>
              <w:left w:val="nil"/>
              <w:bottom w:val="single" w:sz="8" w:space="0" w:color="auto"/>
              <w:right w:val="single" w:sz="8" w:space="0" w:color="auto"/>
            </w:tcBorders>
            <w:shd w:val="clear" w:color="auto" w:fill="auto"/>
            <w:vAlign w:val="center"/>
            <w:hideMark/>
          </w:tcPr>
          <w:p w14:paraId="508E9DDA" w14:textId="77777777" w:rsidR="00F47D8F" w:rsidRPr="003F6B31" w:rsidRDefault="00F47D8F" w:rsidP="00C82607">
            <w:pPr>
              <w:keepNext/>
              <w:keepLines/>
              <w:jc w:val="center"/>
              <w:rPr>
                <w:rFonts w:ascii="Arial Narrow" w:hAnsi="Arial Narrow" w:cs="Calibri"/>
                <w:color w:val="000000"/>
                <w:sz w:val="20"/>
                <w:szCs w:val="20"/>
                <w:lang w:val="en-US" w:eastAsia="en-US"/>
              </w:rPr>
            </w:pPr>
            <w:r w:rsidRPr="003F6B31">
              <w:rPr>
                <w:rFonts w:ascii="Arial Narrow" w:hAnsi="Arial Narrow" w:cs="Calibri"/>
                <w:color w:val="000000"/>
                <w:sz w:val="20"/>
                <w:szCs w:val="20"/>
                <w:lang w:val="en-US" w:eastAsia="en-US"/>
              </w:rPr>
              <w:t xml:space="preserve">$124.61 </w:t>
            </w:r>
          </w:p>
        </w:tc>
        <w:tc>
          <w:tcPr>
            <w:tcW w:w="521" w:type="pct"/>
            <w:tcBorders>
              <w:top w:val="nil"/>
              <w:left w:val="nil"/>
              <w:bottom w:val="single" w:sz="8" w:space="0" w:color="auto"/>
              <w:right w:val="single" w:sz="8" w:space="0" w:color="auto"/>
            </w:tcBorders>
            <w:shd w:val="clear" w:color="auto" w:fill="auto"/>
            <w:vAlign w:val="center"/>
            <w:hideMark/>
          </w:tcPr>
          <w:p w14:paraId="0A4A9CF3" w14:textId="77777777" w:rsidR="00F47D8F" w:rsidRPr="003F6B31" w:rsidRDefault="00F47D8F" w:rsidP="00C82607">
            <w:pPr>
              <w:keepNext/>
              <w:keepLines/>
              <w:jc w:val="center"/>
              <w:rPr>
                <w:rFonts w:ascii="Arial Narrow" w:hAnsi="Arial Narrow" w:cs="Calibri"/>
                <w:color w:val="000000"/>
                <w:sz w:val="20"/>
                <w:szCs w:val="20"/>
                <w:lang w:val="en-US" w:eastAsia="en-US"/>
              </w:rPr>
            </w:pPr>
            <w:r w:rsidRPr="003F6B31">
              <w:rPr>
                <w:rFonts w:ascii="Arial Narrow" w:hAnsi="Arial Narrow" w:cs="Calibri"/>
                <w:color w:val="000000"/>
                <w:sz w:val="20"/>
                <w:szCs w:val="20"/>
                <w:lang w:val="en-US" w:eastAsia="en-US"/>
              </w:rPr>
              <w:t>$128.08</w:t>
            </w:r>
          </w:p>
        </w:tc>
        <w:tc>
          <w:tcPr>
            <w:tcW w:w="295" w:type="pct"/>
            <w:vMerge/>
            <w:tcBorders>
              <w:top w:val="nil"/>
              <w:left w:val="single" w:sz="8" w:space="0" w:color="auto"/>
              <w:bottom w:val="single" w:sz="8" w:space="0" w:color="000000"/>
              <w:right w:val="single" w:sz="8" w:space="0" w:color="auto"/>
            </w:tcBorders>
            <w:vAlign w:val="center"/>
            <w:hideMark/>
          </w:tcPr>
          <w:p w14:paraId="6B73C734" w14:textId="77777777" w:rsidR="00F47D8F" w:rsidRPr="003F6B31" w:rsidRDefault="00F47D8F" w:rsidP="00C82607">
            <w:pPr>
              <w:keepNext/>
              <w:keepLines/>
              <w:jc w:val="left"/>
              <w:rPr>
                <w:rFonts w:ascii="Arial Narrow" w:hAnsi="Arial Narrow" w:cs="Calibri"/>
                <w:color w:val="000000"/>
                <w:sz w:val="20"/>
                <w:szCs w:val="20"/>
                <w:lang w:val="en-US" w:eastAsia="en-US"/>
              </w:rPr>
            </w:pPr>
          </w:p>
        </w:tc>
        <w:tc>
          <w:tcPr>
            <w:tcW w:w="556" w:type="pct"/>
            <w:tcBorders>
              <w:top w:val="nil"/>
              <w:left w:val="nil"/>
              <w:bottom w:val="single" w:sz="8" w:space="0" w:color="auto"/>
              <w:right w:val="single" w:sz="8" w:space="0" w:color="auto"/>
            </w:tcBorders>
            <w:shd w:val="clear" w:color="auto" w:fill="auto"/>
            <w:vAlign w:val="center"/>
            <w:hideMark/>
          </w:tcPr>
          <w:p w14:paraId="53AE072E" w14:textId="77777777" w:rsidR="00F47D8F" w:rsidRPr="003F6B31" w:rsidRDefault="00F47D8F" w:rsidP="00C82607">
            <w:pPr>
              <w:keepNext/>
              <w:keepLines/>
              <w:jc w:val="center"/>
              <w:rPr>
                <w:rFonts w:ascii="Arial Narrow" w:hAnsi="Arial Narrow" w:cs="Calibri"/>
                <w:color w:val="000000"/>
                <w:sz w:val="20"/>
                <w:szCs w:val="20"/>
                <w:lang w:val="en-US" w:eastAsia="en-US"/>
              </w:rPr>
            </w:pPr>
            <w:r w:rsidRPr="003F6B31">
              <w:rPr>
                <w:rFonts w:ascii="Arial Narrow" w:hAnsi="Arial Narrow" w:cs="Calibri"/>
                <w:color w:val="000000"/>
                <w:sz w:val="20"/>
                <w:szCs w:val="20"/>
                <w:lang w:val="en-US" w:eastAsia="en-US"/>
              </w:rPr>
              <w:t>15.25</w:t>
            </w:r>
          </w:p>
        </w:tc>
        <w:tc>
          <w:tcPr>
            <w:tcW w:w="475" w:type="pct"/>
            <w:tcBorders>
              <w:top w:val="nil"/>
              <w:left w:val="nil"/>
              <w:bottom w:val="single" w:sz="8" w:space="0" w:color="auto"/>
              <w:right w:val="single" w:sz="8" w:space="0" w:color="auto"/>
            </w:tcBorders>
            <w:shd w:val="clear" w:color="auto" w:fill="auto"/>
            <w:vAlign w:val="center"/>
            <w:hideMark/>
          </w:tcPr>
          <w:p w14:paraId="56566220" w14:textId="77777777" w:rsidR="00F47D8F" w:rsidRPr="003F6B31" w:rsidRDefault="00F47D8F" w:rsidP="00C82607">
            <w:pPr>
              <w:keepNext/>
              <w:keepLines/>
              <w:jc w:val="center"/>
              <w:rPr>
                <w:rFonts w:ascii="Arial Narrow" w:hAnsi="Arial Narrow" w:cs="Calibri"/>
                <w:color w:val="000000"/>
                <w:sz w:val="20"/>
                <w:szCs w:val="20"/>
                <w:lang w:val="en-US" w:eastAsia="en-US"/>
              </w:rPr>
            </w:pPr>
            <w:r w:rsidRPr="003F6B31">
              <w:rPr>
                <w:rFonts w:ascii="Arial Narrow" w:hAnsi="Arial Narrow" w:cs="Calibri"/>
                <w:color w:val="000000"/>
                <w:sz w:val="20"/>
                <w:szCs w:val="20"/>
                <w:lang w:val="en-US" w:eastAsia="en-US"/>
              </w:rPr>
              <w:t>15.1</w:t>
            </w:r>
          </w:p>
        </w:tc>
        <w:tc>
          <w:tcPr>
            <w:tcW w:w="530" w:type="pct"/>
            <w:tcBorders>
              <w:top w:val="nil"/>
              <w:left w:val="nil"/>
              <w:bottom w:val="single" w:sz="8" w:space="0" w:color="auto"/>
              <w:right w:val="single" w:sz="8" w:space="0" w:color="auto"/>
            </w:tcBorders>
            <w:shd w:val="clear" w:color="auto" w:fill="auto"/>
            <w:vAlign w:val="center"/>
            <w:hideMark/>
          </w:tcPr>
          <w:p w14:paraId="4AFF4D7A" w14:textId="77777777" w:rsidR="00F47D8F" w:rsidRPr="003F6B31" w:rsidRDefault="00F47D8F" w:rsidP="00C82607">
            <w:pPr>
              <w:keepNext/>
              <w:keepLines/>
              <w:jc w:val="center"/>
              <w:rPr>
                <w:rFonts w:ascii="Arial Narrow" w:hAnsi="Arial Narrow" w:cs="Calibri"/>
                <w:color w:val="000000" w:themeColor="text1"/>
                <w:sz w:val="20"/>
                <w:szCs w:val="20"/>
                <w:lang w:val="en-US" w:eastAsia="en-US"/>
              </w:rPr>
            </w:pPr>
            <w:r w:rsidRPr="003F6B31">
              <w:rPr>
                <w:rFonts w:ascii="Arial Narrow" w:hAnsi="Arial Narrow" w:cs="Calibri"/>
                <w:color w:val="000000" w:themeColor="text1"/>
                <w:sz w:val="20"/>
                <w:szCs w:val="20"/>
                <w:lang w:val="en-US" w:eastAsia="en-US"/>
              </w:rPr>
              <w:t xml:space="preserve">$1,973.82 </w:t>
            </w:r>
          </w:p>
        </w:tc>
        <w:tc>
          <w:tcPr>
            <w:tcW w:w="530" w:type="pct"/>
            <w:tcBorders>
              <w:top w:val="nil"/>
              <w:left w:val="nil"/>
              <w:bottom w:val="single" w:sz="8" w:space="0" w:color="auto"/>
              <w:right w:val="single" w:sz="8" w:space="0" w:color="auto"/>
            </w:tcBorders>
            <w:shd w:val="clear" w:color="auto" w:fill="auto"/>
            <w:vAlign w:val="center"/>
            <w:hideMark/>
          </w:tcPr>
          <w:p w14:paraId="3F4C11B8" w14:textId="77777777" w:rsidR="00F47D8F" w:rsidRPr="003F6B31" w:rsidRDefault="00F47D8F" w:rsidP="00C82607">
            <w:pPr>
              <w:keepNext/>
              <w:keepLines/>
              <w:jc w:val="center"/>
              <w:rPr>
                <w:rFonts w:ascii="Arial Narrow" w:hAnsi="Arial Narrow" w:cs="Calibri"/>
                <w:color w:val="000000" w:themeColor="text1"/>
                <w:sz w:val="20"/>
                <w:szCs w:val="20"/>
                <w:lang w:val="en-US" w:eastAsia="en-US"/>
              </w:rPr>
            </w:pPr>
            <w:r w:rsidRPr="003F6B31">
              <w:rPr>
                <w:rFonts w:ascii="Arial Narrow" w:hAnsi="Arial Narrow" w:cs="Calibri"/>
                <w:color w:val="000000" w:themeColor="text1"/>
                <w:sz w:val="20"/>
                <w:szCs w:val="20"/>
                <w:lang w:val="en-US" w:eastAsia="en-US"/>
              </w:rPr>
              <w:t xml:space="preserve">$1,900.30 </w:t>
            </w:r>
          </w:p>
        </w:tc>
        <w:tc>
          <w:tcPr>
            <w:tcW w:w="525" w:type="pct"/>
            <w:tcBorders>
              <w:top w:val="nil"/>
              <w:left w:val="nil"/>
              <w:bottom w:val="single" w:sz="8" w:space="0" w:color="auto"/>
              <w:right w:val="single" w:sz="8" w:space="0" w:color="auto"/>
            </w:tcBorders>
            <w:shd w:val="clear" w:color="auto" w:fill="auto"/>
            <w:vAlign w:val="center"/>
            <w:hideMark/>
          </w:tcPr>
          <w:p w14:paraId="645095DC" w14:textId="77777777" w:rsidR="00F47D8F" w:rsidRPr="003F6B31" w:rsidRDefault="00F47D8F" w:rsidP="00C82607">
            <w:pPr>
              <w:keepNext/>
              <w:keepLines/>
              <w:jc w:val="center"/>
              <w:rPr>
                <w:rFonts w:ascii="Arial Narrow" w:hAnsi="Arial Narrow" w:cs="Calibri"/>
                <w:color w:val="000000" w:themeColor="text1"/>
                <w:sz w:val="20"/>
                <w:szCs w:val="20"/>
                <w:lang w:val="en-US" w:eastAsia="en-US"/>
              </w:rPr>
            </w:pPr>
            <w:r w:rsidRPr="003F6B31">
              <w:rPr>
                <w:rFonts w:ascii="Arial Narrow" w:hAnsi="Arial Narrow" w:cs="Calibri"/>
                <w:color w:val="000000" w:themeColor="text1"/>
                <w:sz w:val="20"/>
                <w:szCs w:val="20"/>
                <w:lang w:val="en-US" w:eastAsia="en-US"/>
              </w:rPr>
              <w:t xml:space="preserve">$1,933.95 </w:t>
            </w:r>
          </w:p>
        </w:tc>
      </w:tr>
      <w:tr w:rsidR="00F47D8F" w:rsidRPr="003F6B31" w14:paraId="79CCCEC2" w14:textId="77777777" w:rsidTr="00F47D8F">
        <w:trPr>
          <w:trHeight w:val="20"/>
        </w:trPr>
        <w:tc>
          <w:tcPr>
            <w:tcW w:w="3415" w:type="pct"/>
            <w:gridSpan w:val="7"/>
            <w:tcBorders>
              <w:top w:val="nil"/>
              <w:left w:val="single" w:sz="8" w:space="0" w:color="auto"/>
              <w:bottom w:val="single" w:sz="8" w:space="0" w:color="auto"/>
              <w:right w:val="single" w:sz="8" w:space="0" w:color="auto"/>
            </w:tcBorders>
            <w:shd w:val="clear" w:color="auto" w:fill="auto"/>
            <w:vAlign w:val="center"/>
            <w:hideMark/>
          </w:tcPr>
          <w:p w14:paraId="371D51DA" w14:textId="77777777" w:rsidR="00F47D8F" w:rsidRPr="003F6B31" w:rsidRDefault="00F47D8F" w:rsidP="00C82607">
            <w:pPr>
              <w:keepNext/>
              <w:keepLines/>
              <w:jc w:val="left"/>
              <w:rPr>
                <w:rFonts w:ascii="Arial Narrow" w:hAnsi="Arial Narrow" w:cs="Calibri"/>
                <w:color w:val="008080"/>
                <w:sz w:val="20"/>
                <w:szCs w:val="20"/>
                <w:u w:val="single"/>
                <w:lang w:val="en-US" w:eastAsia="en-US"/>
              </w:rPr>
            </w:pPr>
            <w:r w:rsidRPr="003F6B31">
              <w:rPr>
                <w:rFonts w:ascii="Arial Narrow" w:hAnsi="Arial Narrow" w:cs="Calibri"/>
                <w:color w:val="000000"/>
                <w:sz w:val="20"/>
                <w:szCs w:val="20"/>
                <w:lang w:val="en-US" w:eastAsia="en-US"/>
              </w:rPr>
              <w:t>Subtotal</w:t>
            </w:r>
          </w:p>
        </w:tc>
        <w:tc>
          <w:tcPr>
            <w:tcW w:w="530" w:type="pct"/>
            <w:tcBorders>
              <w:top w:val="nil"/>
              <w:left w:val="nil"/>
              <w:bottom w:val="single" w:sz="8" w:space="0" w:color="auto"/>
              <w:right w:val="single" w:sz="8" w:space="0" w:color="auto"/>
            </w:tcBorders>
            <w:shd w:val="clear" w:color="auto" w:fill="auto"/>
            <w:vAlign w:val="center"/>
            <w:hideMark/>
          </w:tcPr>
          <w:p w14:paraId="7AD9F9AD" w14:textId="77777777" w:rsidR="00F47D8F" w:rsidRPr="00DF0A4C" w:rsidRDefault="00DF0A4C" w:rsidP="00C82607">
            <w:pPr>
              <w:keepNext/>
              <w:keepLines/>
              <w:jc w:val="center"/>
              <w:rPr>
                <w:rFonts w:ascii="Arial Narrow" w:hAnsi="Arial Narrow" w:cs="Calibri"/>
                <w:color w:val="000000" w:themeColor="text1"/>
                <w:sz w:val="20"/>
                <w:szCs w:val="20"/>
                <w:highlight w:val="black"/>
                <w:lang w:val="en-US" w:eastAsia="en-US"/>
              </w:rPr>
            </w:pPr>
            <w:r>
              <w:rPr>
                <w:rFonts w:ascii="Arial Narrow" w:hAnsi="Arial Narrow" w:cs="Calibri"/>
                <w:noProof/>
                <w:color w:val="000000"/>
                <w:sz w:val="20"/>
                <w:szCs w:val="20"/>
                <w:highlight w:val="black"/>
                <w:lang w:val="en-US" w:eastAsia="en-US"/>
              </w:rPr>
              <w:t xml:space="preserve">''''''''''''''''''''''''''''' </w:t>
            </w:r>
          </w:p>
        </w:tc>
        <w:tc>
          <w:tcPr>
            <w:tcW w:w="530" w:type="pct"/>
            <w:tcBorders>
              <w:top w:val="nil"/>
              <w:left w:val="nil"/>
              <w:bottom w:val="single" w:sz="8" w:space="0" w:color="auto"/>
              <w:right w:val="single" w:sz="8" w:space="0" w:color="auto"/>
            </w:tcBorders>
            <w:shd w:val="clear" w:color="auto" w:fill="auto"/>
            <w:vAlign w:val="center"/>
            <w:hideMark/>
          </w:tcPr>
          <w:p w14:paraId="174C5EC2" w14:textId="77777777" w:rsidR="00F47D8F" w:rsidRPr="00DF0A4C" w:rsidRDefault="00DF0A4C" w:rsidP="00C82607">
            <w:pPr>
              <w:keepNext/>
              <w:keepLines/>
              <w:jc w:val="center"/>
              <w:rPr>
                <w:rFonts w:ascii="Arial Narrow" w:hAnsi="Arial Narrow" w:cs="Calibri"/>
                <w:color w:val="000000" w:themeColor="text1"/>
                <w:sz w:val="20"/>
                <w:szCs w:val="20"/>
                <w:highlight w:val="black"/>
                <w:lang w:val="en-US" w:eastAsia="en-US"/>
              </w:rPr>
            </w:pPr>
            <w:r>
              <w:rPr>
                <w:rFonts w:ascii="Arial Narrow" w:hAnsi="Arial Narrow" w:cs="Calibri"/>
                <w:noProof/>
                <w:color w:val="000000"/>
                <w:sz w:val="20"/>
                <w:szCs w:val="20"/>
                <w:highlight w:val="black"/>
                <w:lang w:val="en-US" w:eastAsia="en-US"/>
              </w:rPr>
              <w:t xml:space="preserve">'''''''''''''''''''''''''''' </w:t>
            </w:r>
          </w:p>
        </w:tc>
        <w:tc>
          <w:tcPr>
            <w:tcW w:w="525" w:type="pct"/>
            <w:tcBorders>
              <w:top w:val="nil"/>
              <w:left w:val="nil"/>
              <w:bottom w:val="single" w:sz="8" w:space="0" w:color="auto"/>
              <w:right w:val="single" w:sz="8" w:space="0" w:color="auto"/>
            </w:tcBorders>
            <w:shd w:val="clear" w:color="auto" w:fill="auto"/>
            <w:vAlign w:val="center"/>
            <w:hideMark/>
          </w:tcPr>
          <w:p w14:paraId="67DBE428" w14:textId="77777777" w:rsidR="00F47D8F" w:rsidRPr="00DF0A4C" w:rsidRDefault="00DF0A4C" w:rsidP="00C82607">
            <w:pPr>
              <w:keepNext/>
              <w:keepLines/>
              <w:jc w:val="center"/>
              <w:rPr>
                <w:rFonts w:ascii="Arial Narrow" w:hAnsi="Arial Narrow" w:cs="Calibri"/>
                <w:color w:val="000000" w:themeColor="text1"/>
                <w:sz w:val="20"/>
                <w:szCs w:val="20"/>
                <w:highlight w:val="black"/>
                <w:lang w:val="en-US" w:eastAsia="en-US"/>
              </w:rPr>
            </w:pPr>
            <w:r>
              <w:rPr>
                <w:rFonts w:ascii="Arial Narrow" w:hAnsi="Arial Narrow" w:cs="Calibri"/>
                <w:noProof/>
                <w:color w:val="000000"/>
                <w:sz w:val="20"/>
                <w:szCs w:val="20"/>
                <w:highlight w:val="black"/>
                <w:lang w:val="en-US" w:eastAsia="en-US"/>
              </w:rPr>
              <w:t xml:space="preserve">''''''''''''''''''''''''''''' </w:t>
            </w:r>
          </w:p>
        </w:tc>
      </w:tr>
      <w:tr w:rsidR="00F47D8F" w:rsidRPr="003F6B31" w14:paraId="40EAE25A" w14:textId="77777777" w:rsidTr="00F47D8F">
        <w:trPr>
          <w:trHeight w:val="20"/>
        </w:trPr>
        <w:tc>
          <w:tcPr>
            <w:tcW w:w="5000" w:type="pct"/>
            <w:gridSpan w:val="10"/>
            <w:tcBorders>
              <w:top w:val="nil"/>
              <w:left w:val="single" w:sz="8" w:space="0" w:color="auto"/>
              <w:bottom w:val="single" w:sz="8" w:space="0" w:color="auto"/>
              <w:right w:val="single" w:sz="8" w:space="0" w:color="auto"/>
            </w:tcBorders>
            <w:shd w:val="clear" w:color="auto" w:fill="auto"/>
            <w:vAlign w:val="center"/>
            <w:hideMark/>
          </w:tcPr>
          <w:p w14:paraId="4124EED3" w14:textId="77777777" w:rsidR="00F47D8F" w:rsidRPr="003F6B31" w:rsidRDefault="00F47D8F" w:rsidP="00C82607">
            <w:pPr>
              <w:keepNext/>
              <w:keepLines/>
              <w:jc w:val="left"/>
              <w:rPr>
                <w:rFonts w:ascii="Arial Narrow" w:hAnsi="Arial Narrow" w:cs="Calibri"/>
                <w:color w:val="000000"/>
                <w:sz w:val="20"/>
                <w:szCs w:val="20"/>
                <w:lang w:val="en-US" w:eastAsia="en-US"/>
              </w:rPr>
            </w:pPr>
            <w:r w:rsidRPr="003F6B31">
              <w:rPr>
                <w:rFonts w:ascii="Arial Narrow" w:hAnsi="Arial Narrow" w:cs="Calibri"/>
                <w:color w:val="000000"/>
                <w:sz w:val="20"/>
                <w:szCs w:val="20"/>
                <w:lang w:eastAsia="en-US"/>
              </w:rPr>
              <w:t>Nivolumab plus XELOX</w:t>
            </w:r>
          </w:p>
        </w:tc>
      </w:tr>
      <w:tr w:rsidR="00F47D8F" w:rsidRPr="003F6B31" w14:paraId="65A0D02A" w14:textId="77777777" w:rsidTr="00F47D8F">
        <w:trPr>
          <w:trHeight w:val="20"/>
        </w:trPr>
        <w:tc>
          <w:tcPr>
            <w:tcW w:w="601" w:type="pct"/>
            <w:tcBorders>
              <w:top w:val="nil"/>
              <w:left w:val="single" w:sz="8" w:space="0" w:color="auto"/>
              <w:bottom w:val="single" w:sz="8" w:space="0" w:color="auto"/>
              <w:right w:val="single" w:sz="8" w:space="0" w:color="auto"/>
            </w:tcBorders>
            <w:shd w:val="clear" w:color="auto" w:fill="auto"/>
            <w:vAlign w:val="center"/>
            <w:hideMark/>
          </w:tcPr>
          <w:p w14:paraId="0DFA7E66" w14:textId="77777777" w:rsidR="00F47D8F" w:rsidRPr="003F6B31" w:rsidRDefault="00F47D8F" w:rsidP="00C82607">
            <w:pPr>
              <w:keepNext/>
              <w:keepLines/>
              <w:jc w:val="left"/>
              <w:rPr>
                <w:rFonts w:ascii="Arial Narrow" w:hAnsi="Arial Narrow" w:cs="Calibri"/>
                <w:color w:val="000000"/>
                <w:sz w:val="20"/>
                <w:szCs w:val="20"/>
                <w:lang w:val="en-US" w:eastAsia="en-US"/>
              </w:rPr>
            </w:pPr>
            <w:r w:rsidRPr="003F6B31">
              <w:rPr>
                <w:rFonts w:ascii="Arial Narrow" w:hAnsi="Arial Narrow" w:cs="Calibri"/>
                <w:color w:val="000000"/>
                <w:sz w:val="20"/>
                <w:szCs w:val="20"/>
                <w:lang w:eastAsia="en-US"/>
              </w:rPr>
              <w:t xml:space="preserve">Nivolumab </w:t>
            </w:r>
          </w:p>
        </w:tc>
        <w:tc>
          <w:tcPr>
            <w:tcW w:w="482" w:type="pct"/>
            <w:tcBorders>
              <w:top w:val="nil"/>
              <w:left w:val="nil"/>
              <w:bottom w:val="single" w:sz="8" w:space="0" w:color="auto"/>
              <w:right w:val="single" w:sz="8" w:space="0" w:color="auto"/>
            </w:tcBorders>
            <w:shd w:val="clear" w:color="auto" w:fill="auto"/>
            <w:vAlign w:val="center"/>
            <w:hideMark/>
          </w:tcPr>
          <w:p w14:paraId="5DCFD184" w14:textId="77777777" w:rsidR="00F47D8F" w:rsidRPr="00DF0A4C" w:rsidRDefault="00DF0A4C" w:rsidP="00C82607">
            <w:pPr>
              <w:keepNext/>
              <w:keepLines/>
              <w:jc w:val="center"/>
              <w:rPr>
                <w:rFonts w:ascii="Arial Narrow" w:hAnsi="Arial Narrow" w:cs="Calibri"/>
                <w:color w:val="000000"/>
                <w:sz w:val="20"/>
                <w:szCs w:val="20"/>
                <w:highlight w:val="black"/>
                <w:lang w:val="en-US" w:eastAsia="en-US"/>
              </w:rPr>
            </w:pPr>
            <w:r>
              <w:rPr>
                <w:rFonts w:ascii="Arial Narrow" w:hAnsi="Arial Narrow" w:cs="Calibri"/>
                <w:noProof/>
                <w:color w:val="000000"/>
                <w:sz w:val="20"/>
                <w:szCs w:val="20"/>
                <w:highlight w:val="black"/>
                <w:lang w:eastAsia="en-US"/>
              </w:rPr>
              <w:t xml:space="preserve">'''''''''''''''''''''' </w:t>
            </w:r>
          </w:p>
        </w:tc>
        <w:tc>
          <w:tcPr>
            <w:tcW w:w="483" w:type="pct"/>
            <w:tcBorders>
              <w:top w:val="nil"/>
              <w:left w:val="nil"/>
              <w:bottom w:val="single" w:sz="8" w:space="0" w:color="auto"/>
              <w:right w:val="single" w:sz="8" w:space="0" w:color="auto"/>
            </w:tcBorders>
            <w:shd w:val="clear" w:color="auto" w:fill="auto"/>
            <w:vAlign w:val="center"/>
            <w:hideMark/>
          </w:tcPr>
          <w:p w14:paraId="08A59337" w14:textId="77777777" w:rsidR="00F47D8F" w:rsidRPr="00DF0A4C" w:rsidRDefault="00DF0A4C" w:rsidP="00C82607">
            <w:pPr>
              <w:keepNext/>
              <w:keepLines/>
              <w:jc w:val="center"/>
              <w:rPr>
                <w:rFonts w:ascii="Arial Narrow" w:hAnsi="Arial Narrow" w:cs="Calibri"/>
                <w:color w:val="000000"/>
                <w:sz w:val="20"/>
                <w:szCs w:val="20"/>
                <w:highlight w:val="black"/>
                <w:lang w:val="en-US" w:eastAsia="en-US"/>
              </w:rPr>
            </w:pPr>
            <w:r>
              <w:rPr>
                <w:rFonts w:ascii="Arial Narrow" w:hAnsi="Arial Narrow" w:cs="Calibri"/>
                <w:noProof/>
                <w:color w:val="000000"/>
                <w:sz w:val="20"/>
                <w:szCs w:val="20"/>
                <w:highlight w:val="black"/>
                <w:lang w:val="en-US" w:eastAsia="en-US"/>
              </w:rPr>
              <w:t>'''''''''''''''''''''''''</w:t>
            </w:r>
          </w:p>
        </w:tc>
        <w:tc>
          <w:tcPr>
            <w:tcW w:w="521" w:type="pct"/>
            <w:tcBorders>
              <w:top w:val="nil"/>
              <w:left w:val="nil"/>
              <w:bottom w:val="single" w:sz="8" w:space="0" w:color="auto"/>
              <w:right w:val="single" w:sz="8" w:space="0" w:color="auto"/>
            </w:tcBorders>
            <w:shd w:val="clear" w:color="auto" w:fill="auto"/>
            <w:vAlign w:val="center"/>
            <w:hideMark/>
          </w:tcPr>
          <w:p w14:paraId="530D6BC9" w14:textId="77777777" w:rsidR="00F47D8F" w:rsidRPr="00DF0A4C" w:rsidRDefault="00DF0A4C" w:rsidP="00C82607">
            <w:pPr>
              <w:keepNext/>
              <w:keepLines/>
              <w:jc w:val="center"/>
              <w:rPr>
                <w:rFonts w:ascii="Arial Narrow" w:hAnsi="Arial Narrow" w:cs="Calibri"/>
                <w:color w:val="000000"/>
                <w:sz w:val="20"/>
                <w:szCs w:val="20"/>
                <w:highlight w:val="black"/>
                <w:lang w:val="en-US" w:eastAsia="en-US"/>
              </w:rPr>
            </w:pPr>
            <w:r>
              <w:rPr>
                <w:rFonts w:ascii="Arial Narrow" w:hAnsi="Arial Narrow" w:cs="Calibri"/>
                <w:noProof/>
                <w:color w:val="000000"/>
                <w:sz w:val="20"/>
                <w:szCs w:val="20"/>
                <w:highlight w:val="black"/>
                <w:lang w:val="en-US" w:eastAsia="en-US"/>
              </w:rPr>
              <w:t>'''''''''''''''''''''''</w:t>
            </w:r>
          </w:p>
        </w:tc>
        <w:tc>
          <w:tcPr>
            <w:tcW w:w="295" w:type="pct"/>
            <w:vMerge w:val="restart"/>
            <w:tcBorders>
              <w:top w:val="nil"/>
              <w:left w:val="single" w:sz="8" w:space="0" w:color="auto"/>
              <w:bottom w:val="single" w:sz="8" w:space="0" w:color="000000"/>
              <w:right w:val="single" w:sz="8" w:space="0" w:color="auto"/>
            </w:tcBorders>
            <w:shd w:val="clear" w:color="auto" w:fill="auto"/>
            <w:vAlign w:val="center"/>
            <w:hideMark/>
          </w:tcPr>
          <w:p w14:paraId="44ECF0CF" w14:textId="77777777" w:rsidR="00F47D8F" w:rsidRPr="003F6B31" w:rsidRDefault="00F47D8F" w:rsidP="00C82607">
            <w:pPr>
              <w:keepNext/>
              <w:keepLines/>
              <w:jc w:val="center"/>
              <w:rPr>
                <w:rFonts w:ascii="Arial Narrow" w:hAnsi="Arial Narrow" w:cs="Calibri"/>
                <w:color w:val="000000"/>
                <w:sz w:val="20"/>
                <w:szCs w:val="20"/>
                <w:lang w:val="en-US" w:eastAsia="en-US"/>
              </w:rPr>
            </w:pPr>
            <w:r w:rsidRPr="003F6B31">
              <w:rPr>
                <w:rFonts w:ascii="Arial Narrow" w:hAnsi="Arial Narrow" w:cs="Calibri"/>
                <w:color w:val="000000"/>
                <w:sz w:val="20"/>
                <w:szCs w:val="20"/>
                <w:lang w:val="en-US" w:eastAsia="en-US"/>
              </w:rPr>
              <w:t>13.73</w:t>
            </w:r>
          </w:p>
        </w:tc>
        <w:tc>
          <w:tcPr>
            <w:tcW w:w="556" w:type="pct"/>
            <w:tcBorders>
              <w:top w:val="nil"/>
              <w:left w:val="nil"/>
              <w:bottom w:val="single" w:sz="8" w:space="0" w:color="auto"/>
              <w:right w:val="single" w:sz="8" w:space="0" w:color="auto"/>
            </w:tcBorders>
            <w:shd w:val="clear" w:color="auto" w:fill="auto"/>
            <w:vAlign w:val="center"/>
            <w:hideMark/>
          </w:tcPr>
          <w:p w14:paraId="50DF1987" w14:textId="77777777" w:rsidR="00F47D8F" w:rsidRPr="003F6B31" w:rsidRDefault="00F47D8F" w:rsidP="00C82607">
            <w:pPr>
              <w:keepNext/>
              <w:keepLines/>
              <w:jc w:val="center"/>
              <w:rPr>
                <w:rFonts w:ascii="Arial Narrow" w:hAnsi="Arial Narrow" w:cs="Calibri"/>
                <w:color w:val="000000"/>
                <w:sz w:val="20"/>
                <w:szCs w:val="20"/>
                <w:lang w:val="en-US" w:eastAsia="en-US"/>
              </w:rPr>
            </w:pPr>
            <w:r w:rsidRPr="003F6B31">
              <w:rPr>
                <w:rFonts w:ascii="Arial Narrow" w:hAnsi="Arial Narrow" w:cs="Calibri"/>
                <w:color w:val="000000"/>
                <w:sz w:val="20"/>
                <w:szCs w:val="20"/>
                <w:lang w:val="en-US" w:eastAsia="en-US"/>
              </w:rPr>
              <w:t>11.36</w:t>
            </w:r>
          </w:p>
        </w:tc>
        <w:tc>
          <w:tcPr>
            <w:tcW w:w="475" w:type="pct"/>
            <w:tcBorders>
              <w:top w:val="nil"/>
              <w:left w:val="nil"/>
              <w:bottom w:val="single" w:sz="8" w:space="0" w:color="auto"/>
              <w:right w:val="single" w:sz="8" w:space="0" w:color="auto"/>
            </w:tcBorders>
            <w:shd w:val="clear" w:color="auto" w:fill="auto"/>
            <w:vAlign w:val="center"/>
            <w:hideMark/>
          </w:tcPr>
          <w:p w14:paraId="19E33234" w14:textId="77777777" w:rsidR="00F47D8F" w:rsidRPr="003F6B31" w:rsidRDefault="00F47D8F" w:rsidP="00C82607">
            <w:pPr>
              <w:keepNext/>
              <w:keepLines/>
              <w:jc w:val="center"/>
              <w:rPr>
                <w:rFonts w:ascii="Arial Narrow" w:hAnsi="Arial Narrow" w:cs="Calibri"/>
                <w:color w:val="000000"/>
                <w:sz w:val="20"/>
                <w:szCs w:val="20"/>
                <w:lang w:val="en-US" w:eastAsia="en-US"/>
              </w:rPr>
            </w:pPr>
            <w:r w:rsidRPr="003F6B31">
              <w:rPr>
                <w:rFonts w:ascii="Arial Narrow" w:hAnsi="Arial Narrow" w:cs="Calibri"/>
                <w:color w:val="000000"/>
                <w:sz w:val="20"/>
                <w:szCs w:val="20"/>
                <w:lang w:val="en-US" w:eastAsia="en-US"/>
              </w:rPr>
              <w:t>12.37</w:t>
            </w:r>
          </w:p>
        </w:tc>
        <w:tc>
          <w:tcPr>
            <w:tcW w:w="530" w:type="pct"/>
            <w:tcBorders>
              <w:top w:val="nil"/>
              <w:left w:val="nil"/>
              <w:bottom w:val="single" w:sz="8" w:space="0" w:color="auto"/>
              <w:right w:val="single" w:sz="8" w:space="0" w:color="auto"/>
            </w:tcBorders>
            <w:shd w:val="clear" w:color="auto" w:fill="auto"/>
            <w:vAlign w:val="center"/>
            <w:hideMark/>
          </w:tcPr>
          <w:p w14:paraId="3C09A66B" w14:textId="77777777" w:rsidR="00F47D8F" w:rsidRPr="00DF0A4C" w:rsidRDefault="00DF0A4C" w:rsidP="00C82607">
            <w:pPr>
              <w:keepNext/>
              <w:keepLines/>
              <w:jc w:val="center"/>
              <w:rPr>
                <w:rFonts w:ascii="Arial Narrow" w:hAnsi="Arial Narrow" w:cs="Calibri"/>
                <w:color w:val="000000"/>
                <w:sz w:val="20"/>
                <w:szCs w:val="20"/>
                <w:highlight w:val="black"/>
                <w:lang w:val="en-US" w:eastAsia="en-US"/>
              </w:rPr>
            </w:pPr>
            <w:r>
              <w:rPr>
                <w:rFonts w:ascii="Arial Narrow" w:hAnsi="Arial Narrow" w:cs="Calibri"/>
                <w:noProof/>
                <w:color w:val="000000"/>
                <w:sz w:val="20"/>
                <w:szCs w:val="20"/>
                <w:highlight w:val="black"/>
                <w:lang w:val="en-US" w:eastAsia="en-US"/>
              </w:rPr>
              <w:t xml:space="preserve">'''''''''''''''''''''''''''' </w:t>
            </w:r>
          </w:p>
        </w:tc>
        <w:tc>
          <w:tcPr>
            <w:tcW w:w="530" w:type="pct"/>
            <w:tcBorders>
              <w:top w:val="nil"/>
              <w:left w:val="nil"/>
              <w:bottom w:val="single" w:sz="8" w:space="0" w:color="auto"/>
              <w:right w:val="single" w:sz="8" w:space="0" w:color="auto"/>
            </w:tcBorders>
            <w:shd w:val="clear" w:color="auto" w:fill="auto"/>
            <w:vAlign w:val="center"/>
            <w:hideMark/>
          </w:tcPr>
          <w:p w14:paraId="5942332E" w14:textId="77777777" w:rsidR="00F47D8F" w:rsidRPr="00DF0A4C" w:rsidRDefault="00DF0A4C" w:rsidP="00C82607">
            <w:pPr>
              <w:keepNext/>
              <w:keepLines/>
              <w:jc w:val="center"/>
              <w:rPr>
                <w:rFonts w:ascii="Arial Narrow" w:hAnsi="Arial Narrow" w:cs="Calibri"/>
                <w:color w:val="000000"/>
                <w:sz w:val="20"/>
                <w:szCs w:val="20"/>
                <w:highlight w:val="black"/>
                <w:lang w:val="en-US" w:eastAsia="en-US"/>
              </w:rPr>
            </w:pPr>
            <w:r>
              <w:rPr>
                <w:rFonts w:ascii="Arial Narrow" w:hAnsi="Arial Narrow" w:cs="Calibri"/>
                <w:noProof/>
                <w:color w:val="000000"/>
                <w:sz w:val="20"/>
                <w:szCs w:val="20"/>
                <w:highlight w:val="black"/>
                <w:lang w:val="en-US" w:eastAsia="en-US"/>
              </w:rPr>
              <w:t>'''''''''''''''''''''''''''</w:t>
            </w:r>
          </w:p>
        </w:tc>
        <w:tc>
          <w:tcPr>
            <w:tcW w:w="525" w:type="pct"/>
            <w:tcBorders>
              <w:top w:val="nil"/>
              <w:left w:val="nil"/>
              <w:bottom w:val="single" w:sz="8" w:space="0" w:color="auto"/>
              <w:right w:val="single" w:sz="8" w:space="0" w:color="auto"/>
            </w:tcBorders>
            <w:shd w:val="clear" w:color="auto" w:fill="auto"/>
            <w:vAlign w:val="center"/>
            <w:hideMark/>
          </w:tcPr>
          <w:p w14:paraId="5BB26385" w14:textId="77777777" w:rsidR="00F47D8F" w:rsidRPr="00DF0A4C" w:rsidRDefault="00DF0A4C" w:rsidP="00C82607">
            <w:pPr>
              <w:keepNext/>
              <w:keepLines/>
              <w:jc w:val="center"/>
              <w:rPr>
                <w:rFonts w:ascii="Arial Narrow" w:hAnsi="Arial Narrow" w:cs="Calibri"/>
                <w:color w:val="000000"/>
                <w:sz w:val="20"/>
                <w:szCs w:val="20"/>
                <w:highlight w:val="black"/>
                <w:lang w:val="en-US" w:eastAsia="en-US"/>
              </w:rPr>
            </w:pPr>
            <w:r>
              <w:rPr>
                <w:rFonts w:ascii="Arial Narrow" w:hAnsi="Arial Narrow" w:cs="Calibri"/>
                <w:noProof/>
                <w:color w:val="000000"/>
                <w:sz w:val="20"/>
                <w:szCs w:val="20"/>
                <w:highlight w:val="black"/>
                <w:lang w:val="en-US" w:eastAsia="en-US"/>
              </w:rPr>
              <w:t>''''''''''''''''''''''''''</w:t>
            </w:r>
          </w:p>
        </w:tc>
      </w:tr>
      <w:tr w:rsidR="00F47D8F" w:rsidRPr="003F6B31" w14:paraId="0F4B7414" w14:textId="77777777" w:rsidTr="00F47D8F">
        <w:trPr>
          <w:trHeight w:val="20"/>
        </w:trPr>
        <w:tc>
          <w:tcPr>
            <w:tcW w:w="601" w:type="pct"/>
            <w:tcBorders>
              <w:top w:val="nil"/>
              <w:left w:val="single" w:sz="8" w:space="0" w:color="auto"/>
              <w:bottom w:val="single" w:sz="8" w:space="0" w:color="auto"/>
              <w:right w:val="single" w:sz="8" w:space="0" w:color="auto"/>
            </w:tcBorders>
            <w:shd w:val="clear" w:color="auto" w:fill="auto"/>
            <w:vAlign w:val="center"/>
            <w:hideMark/>
          </w:tcPr>
          <w:p w14:paraId="655EB5D8" w14:textId="77777777" w:rsidR="00F47D8F" w:rsidRPr="003F6B31" w:rsidRDefault="00F47D8F" w:rsidP="00C82607">
            <w:pPr>
              <w:keepNext/>
              <w:keepLines/>
              <w:jc w:val="left"/>
              <w:rPr>
                <w:rFonts w:ascii="Arial Narrow" w:hAnsi="Arial Narrow" w:cs="Calibri"/>
                <w:color w:val="000000"/>
                <w:sz w:val="20"/>
                <w:szCs w:val="20"/>
                <w:lang w:val="en-US" w:eastAsia="en-US"/>
              </w:rPr>
            </w:pPr>
            <w:proofErr w:type="spellStart"/>
            <w:r w:rsidRPr="003F6B31">
              <w:rPr>
                <w:rFonts w:ascii="Arial Narrow" w:hAnsi="Arial Narrow" w:cs="Calibri"/>
                <w:color w:val="000000"/>
                <w:sz w:val="20"/>
                <w:szCs w:val="20"/>
                <w:lang w:eastAsia="en-US"/>
              </w:rPr>
              <w:t>Oxaliplatin</w:t>
            </w:r>
            <w:proofErr w:type="spellEnd"/>
            <w:r w:rsidRPr="003F6B31">
              <w:rPr>
                <w:rFonts w:ascii="Arial Narrow" w:hAnsi="Arial Narrow" w:cs="Calibri"/>
                <w:color w:val="000000"/>
                <w:sz w:val="20"/>
                <w:szCs w:val="20"/>
                <w:lang w:eastAsia="en-US"/>
              </w:rPr>
              <w:t xml:space="preserve"> </w:t>
            </w:r>
          </w:p>
        </w:tc>
        <w:tc>
          <w:tcPr>
            <w:tcW w:w="482" w:type="pct"/>
            <w:tcBorders>
              <w:top w:val="nil"/>
              <w:left w:val="nil"/>
              <w:bottom w:val="single" w:sz="8" w:space="0" w:color="auto"/>
              <w:right w:val="single" w:sz="8" w:space="0" w:color="auto"/>
            </w:tcBorders>
            <w:shd w:val="clear" w:color="auto" w:fill="auto"/>
            <w:vAlign w:val="center"/>
            <w:hideMark/>
          </w:tcPr>
          <w:p w14:paraId="7D731075" w14:textId="77777777" w:rsidR="00F47D8F" w:rsidRPr="003F6B31" w:rsidRDefault="00F47D8F" w:rsidP="00C82607">
            <w:pPr>
              <w:keepNext/>
              <w:keepLines/>
              <w:jc w:val="center"/>
              <w:rPr>
                <w:rFonts w:ascii="Arial Narrow" w:hAnsi="Arial Narrow" w:cs="Calibri"/>
                <w:color w:val="000000"/>
                <w:sz w:val="20"/>
                <w:szCs w:val="20"/>
                <w:lang w:val="en-US" w:eastAsia="en-US"/>
              </w:rPr>
            </w:pPr>
            <w:r w:rsidRPr="003F6B31">
              <w:rPr>
                <w:rFonts w:ascii="Arial Narrow" w:hAnsi="Arial Narrow" w:cs="Calibri"/>
                <w:color w:val="000000"/>
                <w:sz w:val="20"/>
                <w:szCs w:val="20"/>
                <w:lang w:eastAsia="en-US"/>
              </w:rPr>
              <w:t xml:space="preserve">$80.16 </w:t>
            </w:r>
          </w:p>
        </w:tc>
        <w:tc>
          <w:tcPr>
            <w:tcW w:w="483" w:type="pct"/>
            <w:tcBorders>
              <w:top w:val="nil"/>
              <w:left w:val="nil"/>
              <w:bottom w:val="single" w:sz="8" w:space="0" w:color="auto"/>
              <w:right w:val="single" w:sz="8" w:space="0" w:color="auto"/>
            </w:tcBorders>
            <w:shd w:val="clear" w:color="auto" w:fill="auto"/>
            <w:vAlign w:val="center"/>
            <w:hideMark/>
          </w:tcPr>
          <w:p w14:paraId="424B5569" w14:textId="77777777" w:rsidR="00F47D8F" w:rsidRPr="003F6B31" w:rsidRDefault="00F47D8F" w:rsidP="00C82607">
            <w:pPr>
              <w:keepNext/>
              <w:keepLines/>
              <w:jc w:val="center"/>
              <w:rPr>
                <w:rFonts w:ascii="Arial Narrow" w:hAnsi="Arial Narrow" w:cs="Calibri"/>
                <w:color w:val="000000"/>
                <w:sz w:val="20"/>
                <w:szCs w:val="20"/>
                <w:lang w:val="en-US" w:eastAsia="en-US"/>
              </w:rPr>
            </w:pPr>
            <w:r w:rsidRPr="003F6B31">
              <w:rPr>
                <w:rFonts w:ascii="Arial Narrow" w:hAnsi="Arial Narrow" w:cs="Calibri"/>
                <w:color w:val="000000"/>
                <w:sz w:val="20"/>
                <w:szCs w:val="20"/>
                <w:lang w:val="en-US" w:eastAsia="en-US"/>
              </w:rPr>
              <w:t>$172.71</w:t>
            </w:r>
          </w:p>
        </w:tc>
        <w:tc>
          <w:tcPr>
            <w:tcW w:w="521" w:type="pct"/>
            <w:tcBorders>
              <w:top w:val="nil"/>
              <w:left w:val="nil"/>
              <w:bottom w:val="single" w:sz="8" w:space="0" w:color="auto"/>
              <w:right w:val="single" w:sz="8" w:space="0" w:color="auto"/>
            </w:tcBorders>
            <w:shd w:val="clear" w:color="auto" w:fill="auto"/>
            <w:vAlign w:val="center"/>
            <w:hideMark/>
          </w:tcPr>
          <w:p w14:paraId="5F186F30" w14:textId="77777777" w:rsidR="00F47D8F" w:rsidRPr="003F6B31" w:rsidRDefault="00F47D8F" w:rsidP="00C82607">
            <w:pPr>
              <w:keepNext/>
              <w:keepLines/>
              <w:jc w:val="center"/>
              <w:rPr>
                <w:rFonts w:ascii="Arial Narrow" w:hAnsi="Arial Narrow" w:cs="Calibri"/>
                <w:color w:val="000000"/>
                <w:sz w:val="20"/>
                <w:szCs w:val="20"/>
                <w:lang w:val="en-US" w:eastAsia="en-US"/>
              </w:rPr>
            </w:pPr>
            <w:r w:rsidRPr="003F6B31">
              <w:rPr>
                <w:rFonts w:ascii="Arial Narrow" w:hAnsi="Arial Narrow" w:cs="Calibri"/>
                <w:color w:val="000000"/>
                <w:sz w:val="20"/>
                <w:szCs w:val="20"/>
                <w:lang w:val="en-US" w:eastAsia="en-US"/>
              </w:rPr>
              <w:t>$158.56</w:t>
            </w:r>
          </w:p>
        </w:tc>
        <w:tc>
          <w:tcPr>
            <w:tcW w:w="295" w:type="pct"/>
            <w:vMerge/>
            <w:tcBorders>
              <w:top w:val="nil"/>
              <w:left w:val="single" w:sz="8" w:space="0" w:color="auto"/>
              <w:bottom w:val="single" w:sz="8" w:space="0" w:color="000000"/>
              <w:right w:val="single" w:sz="8" w:space="0" w:color="auto"/>
            </w:tcBorders>
            <w:vAlign w:val="center"/>
            <w:hideMark/>
          </w:tcPr>
          <w:p w14:paraId="476E80AB" w14:textId="77777777" w:rsidR="00F47D8F" w:rsidRPr="003F6B31" w:rsidRDefault="00F47D8F" w:rsidP="00C82607">
            <w:pPr>
              <w:keepNext/>
              <w:keepLines/>
              <w:jc w:val="left"/>
              <w:rPr>
                <w:rFonts w:ascii="Arial Narrow" w:hAnsi="Arial Narrow" w:cs="Calibri"/>
                <w:color w:val="000000"/>
                <w:sz w:val="20"/>
                <w:szCs w:val="20"/>
                <w:lang w:val="en-US" w:eastAsia="en-US"/>
              </w:rPr>
            </w:pPr>
          </w:p>
        </w:tc>
        <w:tc>
          <w:tcPr>
            <w:tcW w:w="556" w:type="pct"/>
            <w:tcBorders>
              <w:top w:val="nil"/>
              <w:left w:val="nil"/>
              <w:bottom w:val="single" w:sz="8" w:space="0" w:color="auto"/>
              <w:right w:val="single" w:sz="8" w:space="0" w:color="auto"/>
            </w:tcBorders>
            <w:shd w:val="clear" w:color="auto" w:fill="auto"/>
            <w:vAlign w:val="center"/>
            <w:hideMark/>
          </w:tcPr>
          <w:p w14:paraId="754B001A" w14:textId="77777777" w:rsidR="00F47D8F" w:rsidRPr="003F6B31" w:rsidRDefault="00F47D8F" w:rsidP="00C82607">
            <w:pPr>
              <w:keepNext/>
              <w:keepLines/>
              <w:jc w:val="center"/>
              <w:rPr>
                <w:rFonts w:ascii="Arial Narrow" w:hAnsi="Arial Narrow" w:cs="Calibri"/>
                <w:color w:val="000000"/>
                <w:sz w:val="20"/>
                <w:szCs w:val="20"/>
                <w:lang w:val="en-US" w:eastAsia="en-US"/>
              </w:rPr>
            </w:pPr>
            <w:r w:rsidRPr="003F6B31">
              <w:rPr>
                <w:rFonts w:ascii="Arial Narrow" w:hAnsi="Arial Narrow" w:cs="Calibri"/>
                <w:color w:val="000000"/>
                <w:sz w:val="20"/>
                <w:szCs w:val="20"/>
                <w:lang w:val="en-US" w:eastAsia="en-US"/>
              </w:rPr>
              <w:t>6.48</w:t>
            </w:r>
          </w:p>
        </w:tc>
        <w:tc>
          <w:tcPr>
            <w:tcW w:w="475" w:type="pct"/>
            <w:tcBorders>
              <w:top w:val="nil"/>
              <w:left w:val="nil"/>
              <w:bottom w:val="single" w:sz="8" w:space="0" w:color="auto"/>
              <w:right w:val="single" w:sz="8" w:space="0" w:color="auto"/>
            </w:tcBorders>
            <w:shd w:val="clear" w:color="auto" w:fill="auto"/>
            <w:vAlign w:val="center"/>
            <w:hideMark/>
          </w:tcPr>
          <w:p w14:paraId="594FD96F" w14:textId="77777777" w:rsidR="00F47D8F" w:rsidRPr="003F6B31" w:rsidRDefault="00F47D8F" w:rsidP="00C82607">
            <w:pPr>
              <w:keepNext/>
              <w:keepLines/>
              <w:jc w:val="center"/>
              <w:rPr>
                <w:rFonts w:ascii="Arial Narrow" w:hAnsi="Arial Narrow" w:cs="Calibri"/>
                <w:color w:val="000000"/>
                <w:sz w:val="20"/>
                <w:szCs w:val="20"/>
                <w:lang w:val="en-US" w:eastAsia="en-US"/>
              </w:rPr>
            </w:pPr>
            <w:r w:rsidRPr="003F6B31">
              <w:rPr>
                <w:rFonts w:ascii="Arial Narrow" w:hAnsi="Arial Narrow" w:cs="Calibri"/>
                <w:color w:val="000000"/>
                <w:sz w:val="20"/>
                <w:szCs w:val="20"/>
                <w:lang w:val="en-US" w:eastAsia="en-US"/>
              </w:rPr>
              <w:t>6.13</w:t>
            </w:r>
          </w:p>
        </w:tc>
        <w:tc>
          <w:tcPr>
            <w:tcW w:w="530" w:type="pct"/>
            <w:tcBorders>
              <w:top w:val="nil"/>
              <w:left w:val="nil"/>
              <w:bottom w:val="single" w:sz="8" w:space="0" w:color="auto"/>
              <w:right w:val="single" w:sz="8" w:space="0" w:color="auto"/>
            </w:tcBorders>
            <w:shd w:val="clear" w:color="auto" w:fill="auto"/>
            <w:vAlign w:val="center"/>
            <w:hideMark/>
          </w:tcPr>
          <w:p w14:paraId="6755580E" w14:textId="77777777" w:rsidR="00F47D8F" w:rsidRPr="003F6B31" w:rsidRDefault="00F47D8F" w:rsidP="00C82607">
            <w:pPr>
              <w:keepNext/>
              <w:keepLines/>
              <w:jc w:val="center"/>
              <w:rPr>
                <w:rFonts w:ascii="Arial Narrow" w:hAnsi="Arial Narrow" w:cs="Calibri"/>
                <w:color w:val="000000"/>
                <w:sz w:val="20"/>
                <w:szCs w:val="20"/>
                <w:lang w:val="en-US" w:eastAsia="en-US"/>
              </w:rPr>
            </w:pPr>
            <w:r w:rsidRPr="003F6B31">
              <w:rPr>
                <w:rFonts w:ascii="Arial Narrow" w:hAnsi="Arial Narrow" w:cs="Calibri"/>
                <w:color w:val="000000"/>
                <w:sz w:val="20"/>
                <w:szCs w:val="20"/>
                <w:lang w:val="en-US" w:eastAsia="en-US"/>
              </w:rPr>
              <w:t xml:space="preserve">$1,100.60 </w:t>
            </w:r>
          </w:p>
        </w:tc>
        <w:tc>
          <w:tcPr>
            <w:tcW w:w="530" w:type="pct"/>
            <w:tcBorders>
              <w:top w:val="nil"/>
              <w:left w:val="nil"/>
              <w:bottom w:val="single" w:sz="8" w:space="0" w:color="auto"/>
              <w:right w:val="single" w:sz="8" w:space="0" w:color="auto"/>
            </w:tcBorders>
            <w:shd w:val="clear" w:color="auto" w:fill="auto"/>
            <w:vAlign w:val="center"/>
            <w:hideMark/>
          </w:tcPr>
          <w:p w14:paraId="501FFE08" w14:textId="77777777" w:rsidR="00F47D8F" w:rsidRPr="003F6B31" w:rsidRDefault="00F47D8F" w:rsidP="00C82607">
            <w:pPr>
              <w:keepNext/>
              <w:keepLines/>
              <w:jc w:val="center"/>
              <w:rPr>
                <w:rFonts w:ascii="Arial Narrow" w:hAnsi="Arial Narrow" w:cs="Calibri"/>
                <w:color w:val="000000"/>
                <w:sz w:val="20"/>
                <w:szCs w:val="20"/>
                <w:lang w:val="en-US" w:eastAsia="en-US"/>
              </w:rPr>
            </w:pPr>
            <w:r w:rsidRPr="003F6B31">
              <w:rPr>
                <w:rFonts w:ascii="Arial Narrow" w:hAnsi="Arial Narrow" w:cs="Calibri"/>
                <w:color w:val="000000"/>
                <w:sz w:val="20"/>
                <w:szCs w:val="20"/>
                <w:lang w:val="en-US" w:eastAsia="en-US"/>
              </w:rPr>
              <w:t>$1,119.15</w:t>
            </w:r>
          </w:p>
        </w:tc>
        <w:tc>
          <w:tcPr>
            <w:tcW w:w="525" w:type="pct"/>
            <w:tcBorders>
              <w:top w:val="nil"/>
              <w:left w:val="nil"/>
              <w:bottom w:val="single" w:sz="8" w:space="0" w:color="auto"/>
              <w:right w:val="single" w:sz="8" w:space="0" w:color="auto"/>
            </w:tcBorders>
            <w:shd w:val="clear" w:color="auto" w:fill="auto"/>
            <w:vAlign w:val="center"/>
            <w:hideMark/>
          </w:tcPr>
          <w:p w14:paraId="766156CA" w14:textId="77777777" w:rsidR="00F47D8F" w:rsidRPr="003F6B31" w:rsidRDefault="00F47D8F" w:rsidP="00C82607">
            <w:pPr>
              <w:keepNext/>
              <w:keepLines/>
              <w:jc w:val="center"/>
              <w:rPr>
                <w:rFonts w:ascii="Arial Narrow" w:hAnsi="Arial Narrow" w:cs="Calibri"/>
                <w:color w:val="000000"/>
                <w:sz w:val="20"/>
                <w:szCs w:val="20"/>
                <w:lang w:val="en-US" w:eastAsia="en-US"/>
              </w:rPr>
            </w:pPr>
            <w:r w:rsidRPr="003F6B31">
              <w:rPr>
                <w:rFonts w:ascii="Arial Narrow" w:hAnsi="Arial Narrow" w:cs="Calibri"/>
                <w:color w:val="000000"/>
                <w:sz w:val="20"/>
                <w:szCs w:val="20"/>
                <w:lang w:val="en-US" w:eastAsia="en-US"/>
              </w:rPr>
              <w:t>$971.98</w:t>
            </w:r>
          </w:p>
        </w:tc>
      </w:tr>
      <w:tr w:rsidR="00F47D8F" w:rsidRPr="003F6B31" w14:paraId="121A33A2" w14:textId="77777777" w:rsidTr="00F47D8F">
        <w:trPr>
          <w:trHeight w:val="20"/>
        </w:trPr>
        <w:tc>
          <w:tcPr>
            <w:tcW w:w="601" w:type="pct"/>
            <w:tcBorders>
              <w:top w:val="nil"/>
              <w:left w:val="single" w:sz="8" w:space="0" w:color="auto"/>
              <w:bottom w:val="single" w:sz="8" w:space="0" w:color="auto"/>
              <w:right w:val="single" w:sz="8" w:space="0" w:color="auto"/>
            </w:tcBorders>
            <w:shd w:val="clear" w:color="auto" w:fill="auto"/>
            <w:vAlign w:val="center"/>
            <w:hideMark/>
          </w:tcPr>
          <w:p w14:paraId="5CB0DDEF" w14:textId="77777777" w:rsidR="00F47D8F" w:rsidRPr="003F6B31" w:rsidRDefault="00F47D8F" w:rsidP="00C82607">
            <w:pPr>
              <w:keepNext/>
              <w:keepLines/>
              <w:jc w:val="left"/>
              <w:rPr>
                <w:rFonts w:ascii="Arial Narrow" w:hAnsi="Arial Narrow" w:cs="Calibri"/>
                <w:color w:val="000000"/>
                <w:sz w:val="20"/>
                <w:szCs w:val="20"/>
                <w:lang w:val="en-US" w:eastAsia="en-US"/>
              </w:rPr>
            </w:pPr>
            <w:proofErr w:type="spellStart"/>
            <w:r w:rsidRPr="003F6B31">
              <w:rPr>
                <w:rFonts w:ascii="Arial Narrow" w:hAnsi="Arial Narrow" w:cs="Calibri"/>
                <w:color w:val="000000"/>
                <w:sz w:val="20"/>
                <w:szCs w:val="20"/>
                <w:lang w:eastAsia="en-US"/>
              </w:rPr>
              <w:t>Capecitabine</w:t>
            </w:r>
            <w:proofErr w:type="spellEnd"/>
            <w:r w:rsidRPr="003F6B31">
              <w:rPr>
                <w:rFonts w:ascii="Arial Narrow" w:hAnsi="Arial Narrow" w:cs="Calibri"/>
                <w:color w:val="000000"/>
                <w:sz w:val="20"/>
                <w:szCs w:val="20"/>
                <w:lang w:eastAsia="en-US"/>
              </w:rPr>
              <w:t xml:space="preserve"> </w:t>
            </w:r>
          </w:p>
        </w:tc>
        <w:tc>
          <w:tcPr>
            <w:tcW w:w="482" w:type="pct"/>
            <w:tcBorders>
              <w:top w:val="nil"/>
              <w:left w:val="nil"/>
              <w:bottom w:val="single" w:sz="8" w:space="0" w:color="auto"/>
              <w:right w:val="single" w:sz="8" w:space="0" w:color="auto"/>
            </w:tcBorders>
            <w:shd w:val="clear" w:color="auto" w:fill="auto"/>
            <w:vAlign w:val="center"/>
            <w:hideMark/>
          </w:tcPr>
          <w:p w14:paraId="083EFC49" w14:textId="77777777" w:rsidR="00F47D8F" w:rsidRPr="003F6B31" w:rsidRDefault="00F47D8F" w:rsidP="00C82607">
            <w:pPr>
              <w:keepNext/>
              <w:keepLines/>
              <w:jc w:val="center"/>
              <w:rPr>
                <w:rFonts w:ascii="Arial Narrow" w:hAnsi="Arial Narrow" w:cs="Calibri"/>
                <w:color w:val="000000"/>
                <w:sz w:val="20"/>
                <w:szCs w:val="20"/>
                <w:lang w:val="en-US" w:eastAsia="en-US"/>
              </w:rPr>
            </w:pPr>
            <w:r w:rsidRPr="003F6B31">
              <w:rPr>
                <w:rFonts w:ascii="Arial Narrow" w:hAnsi="Arial Narrow" w:cs="Calibri"/>
                <w:color w:val="000000"/>
                <w:sz w:val="20"/>
                <w:szCs w:val="20"/>
                <w:lang w:eastAsia="en-US"/>
              </w:rPr>
              <w:t xml:space="preserve">$51.26 </w:t>
            </w:r>
          </w:p>
        </w:tc>
        <w:tc>
          <w:tcPr>
            <w:tcW w:w="483" w:type="pct"/>
            <w:tcBorders>
              <w:top w:val="nil"/>
              <w:left w:val="nil"/>
              <w:bottom w:val="single" w:sz="8" w:space="0" w:color="auto"/>
              <w:right w:val="single" w:sz="8" w:space="0" w:color="auto"/>
            </w:tcBorders>
            <w:shd w:val="clear" w:color="auto" w:fill="auto"/>
            <w:vAlign w:val="center"/>
            <w:hideMark/>
          </w:tcPr>
          <w:p w14:paraId="7361238E" w14:textId="77777777" w:rsidR="00F47D8F" w:rsidRPr="003F6B31" w:rsidRDefault="00F47D8F" w:rsidP="00C82607">
            <w:pPr>
              <w:keepNext/>
              <w:keepLines/>
              <w:jc w:val="center"/>
              <w:rPr>
                <w:rFonts w:ascii="Arial Narrow" w:hAnsi="Arial Narrow" w:cs="Calibri"/>
                <w:color w:val="000000"/>
                <w:sz w:val="20"/>
                <w:szCs w:val="20"/>
                <w:lang w:val="en-US" w:eastAsia="en-US"/>
              </w:rPr>
            </w:pPr>
            <w:r w:rsidRPr="003F6B31">
              <w:rPr>
                <w:rFonts w:ascii="Arial Narrow" w:hAnsi="Arial Narrow" w:cs="Calibri"/>
                <w:color w:val="000000"/>
                <w:sz w:val="20"/>
                <w:szCs w:val="20"/>
                <w:lang w:val="en-US" w:eastAsia="en-US"/>
              </w:rPr>
              <w:t>$65.35</w:t>
            </w:r>
          </w:p>
        </w:tc>
        <w:tc>
          <w:tcPr>
            <w:tcW w:w="521" w:type="pct"/>
            <w:tcBorders>
              <w:top w:val="nil"/>
              <w:left w:val="nil"/>
              <w:bottom w:val="single" w:sz="8" w:space="0" w:color="auto"/>
              <w:right w:val="single" w:sz="8" w:space="0" w:color="auto"/>
            </w:tcBorders>
            <w:shd w:val="clear" w:color="auto" w:fill="auto"/>
            <w:vAlign w:val="center"/>
            <w:hideMark/>
          </w:tcPr>
          <w:p w14:paraId="709DF0C6" w14:textId="77777777" w:rsidR="00F47D8F" w:rsidRPr="003F6B31" w:rsidRDefault="00F47D8F" w:rsidP="00C82607">
            <w:pPr>
              <w:keepNext/>
              <w:keepLines/>
              <w:jc w:val="center"/>
              <w:rPr>
                <w:rFonts w:ascii="Arial Narrow" w:hAnsi="Arial Narrow" w:cs="Calibri"/>
                <w:color w:val="000000"/>
                <w:sz w:val="20"/>
                <w:szCs w:val="20"/>
                <w:lang w:val="en-US" w:eastAsia="en-US"/>
              </w:rPr>
            </w:pPr>
            <w:r w:rsidRPr="003F6B31">
              <w:rPr>
                <w:rFonts w:ascii="Arial Narrow" w:hAnsi="Arial Narrow" w:cs="Calibri"/>
                <w:color w:val="000000"/>
                <w:sz w:val="20"/>
                <w:szCs w:val="20"/>
                <w:lang w:val="en-US" w:eastAsia="en-US"/>
              </w:rPr>
              <w:t>$79.21</w:t>
            </w:r>
          </w:p>
        </w:tc>
        <w:tc>
          <w:tcPr>
            <w:tcW w:w="295" w:type="pct"/>
            <w:vMerge/>
            <w:tcBorders>
              <w:top w:val="nil"/>
              <w:left w:val="single" w:sz="8" w:space="0" w:color="auto"/>
              <w:bottom w:val="single" w:sz="8" w:space="0" w:color="000000"/>
              <w:right w:val="single" w:sz="8" w:space="0" w:color="auto"/>
            </w:tcBorders>
            <w:vAlign w:val="center"/>
            <w:hideMark/>
          </w:tcPr>
          <w:p w14:paraId="762AD53C" w14:textId="77777777" w:rsidR="00F47D8F" w:rsidRPr="003F6B31" w:rsidRDefault="00F47D8F" w:rsidP="00C82607">
            <w:pPr>
              <w:keepNext/>
              <w:keepLines/>
              <w:jc w:val="left"/>
              <w:rPr>
                <w:rFonts w:ascii="Arial Narrow" w:hAnsi="Arial Narrow" w:cs="Calibri"/>
                <w:color w:val="000000"/>
                <w:sz w:val="20"/>
                <w:szCs w:val="20"/>
                <w:lang w:val="en-US" w:eastAsia="en-US"/>
              </w:rPr>
            </w:pPr>
          </w:p>
        </w:tc>
        <w:tc>
          <w:tcPr>
            <w:tcW w:w="556" w:type="pct"/>
            <w:tcBorders>
              <w:top w:val="nil"/>
              <w:left w:val="nil"/>
              <w:bottom w:val="single" w:sz="8" w:space="0" w:color="auto"/>
              <w:right w:val="single" w:sz="8" w:space="0" w:color="auto"/>
            </w:tcBorders>
            <w:shd w:val="clear" w:color="auto" w:fill="auto"/>
            <w:vAlign w:val="center"/>
            <w:hideMark/>
          </w:tcPr>
          <w:p w14:paraId="644361FF" w14:textId="77777777" w:rsidR="00F47D8F" w:rsidRPr="003F6B31" w:rsidRDefault="00F47D8F" w:rsidP="00C82607">
            <w:pPr>
              <w:keepNext/>
              <w:keepLines/>
              <w:jc w:val="center"/>
              <w:rPr>
                <w:rFonts w:ascii="Arial Narrow" w:hAnsi="Arial Narrow" w:cs="Calibri"/>
                <w:color w:val="000000"/>
                <w:sz w:val="20"/>
                <w:szCs w:val="20"/>
                <w:lang w:val="en-US" w:eastAsia="en-US"/>
              </w:rPr>
            </w:pPr>
            <w:r w:rsidRPr="003F6B31">
              <w:rPr>
                <w:rFonts w:ascii="Arial Narrow" w:hAnsi="Arial Narrow" w:cs="Calibri"/>
                <w:color w:val="000000"/>
                <w:sz w:val="20"/>
                <w:szCs w:val="20"/>
                <w:lang w:val="en-US" w:eastAsia="en-US"/>
              </w:rPr>
              <w:t>10.88</w:t>
            </w:r>
          </w:p>
        </w:tc>
        <w:tc>
          <w:tcPr>
            <w:tcW w:w="475" w:type="pct"/>
            <w:tcBorders>
              <w:top w:val="nil"/>
              <w:left w:val="nil"/>
              <w:bottom w:val="single" w:sz="8" w:space="0" w:color="auto"/>
              <w:right w:val="single" w:sz="8" w:space="0" w:color="auto"/>
            </w:tcBorders>
            <w:shd w:val="clear" w:color="auto" w:fill="auto"/>
            <w:vAlign w:val="center"/>
            <w:hideMark/>
          </w:tcPr>
          <w:p w14:paraId="08134F94" w14:textId="77777777" w:rsidR="00F47D8F" w:rsidRPr="003F6B31" w:rsidRDefault="00F47D8F" w:rsidP="00C82607">
            <w:pPr>
              <w:keepNext/>
              <w:keepLines/>
              <w:jc w:val="center"/>
              <w:rPr>
                <w:rFonts w:ascii="Arial Narrow" w:hAnsi="Arial Narrow" w:cs="Calibri"/>
                <w:color w:val="000000"/>
                <w:sz w:val="20"/>
                <w:szCs w:val="20"/>
                <w:lang w:val="en-US" w:eastAsia="en-US"/>
              </w:rPr>
            </w:pPr>
            <w:r w:rsidRPr="003F6B31">
              <w:rPr>
                <w:rFonts w:ascii="Arial Narrow" w:hAnsi="Arial Narrow" w:cs="Calibri"/>
                <w:color w:val="000000"/>
                <w:sz w:val="20"/>
                <w:szCs w:val="20"/>
                <w:lang w:val="en-US" w:eastAsia="en-US"/>
              </w:rPr>
              <w:t>8.52</w:t>
            </w:r>
          </w:p>
        </w:tc>
        <w:tc>
          <w:tcPr>
            <w:tcW w:w="530" w:type="pct"/>
            <w:tcBorders>
              <w:top w:val="nil"/>
              <w:left w:val="nil"/>
              <w:bottom w:val="single" w:sz="8" w:space="0" w:color="auto"/>
              <w:right w:val="single" w:sz="8" w:space="0" w:color="auto"/>
            </w:tcBorders>
            <w:shd w:val="clear" w:color="auto" w:fill="auto"/>
            <w:vAlign w:val="center"/>
            <w:hideMark/>
          </w:tcPr>
          <w:p w14:paraId="67E08F5E" w14:textId="77777777" w:rsidR="00F47D8F" w:rsidRPr="003F6B31" w:rsidRDefault="00F47D8F" w:rsidP="00C82607">
            <w:pPr>
              <w:keepNext/>
              <w:keepLines/>
              <w:jc w:val="center"/>
              <w:rPr>
                <w:rFonts w:ascii="Arial Narrow" w:hAnsi="Arial Narrow" w:cs="Calibri"/>
                <w:color w:val="000000"/>
                <w:sz w:val="20"/>
                <w:szCs w:val="20"/>
                <w:lang w:val="en-US" w:eastAsia="en-US"/>
              </w:rPr>
            </w:pPr>
            <w:r w:rsidRPr="003F6B31">
              <w:rPr>
                <w:rFonts w:ascii="Arial Narrow" w:hAnsi="Arial Narrow" w:cs="Calibri"/>
                <w:color w:val="000000"/>
                <w:sz w:val="20"/>
                <w:szCs w:val="20"/>
                <w:lang w:val="en-US" w:eastAsia="en-US"/>
              </w:rPr>
              <w:t xml:space="preserve">$703.80 </w:t>
            </w:r>
          </w:p>
        </w:tc>
        <w:tc>
          <w:tcPr>
            <w:tcW w:w="530" w:type="pct"/>
            <w:tcBorders>
              <w:top w:val="nil"/>
              <w:left w:val="nil"/>
              <w:bottom w:val="single" w:sz="8" w:space="0" w:color="auto"/>
              <w:right w:val="single" w:sz="8" w:space="0" w:color="auto"/>
            </w:tcBorders>
            <w:shd w:val="clear" w:color="auto" w:fill="auto"/>
            <w:vAlign w:val="center"/>
            <w:hideMark/>
          </w:tcPr>
          <w:p w14:paraId="2CE9089A" w14:textId="77777777" w:rsidR="00F47D8F" w:rsidRPr="003F6B31" w:rsidRDefault="00F47D8F" w:rsidP="00C82607">
            <w:pPr>
              <w:keepNext/>
              <w:keepLines/>
              <w:jc w:val="center"/>
              <w:rPr>
                <w:rFonts w:ascii="Arial Narrow" w:hAnsi="Arial Narrow" w:cs="Calibri"/>
                <w:color w:val="000000"/>
                <w:sz w:val="20"/>
                <w:szCs w:val="20"/>
                <w:lang w:val="en-US" w:eastAsia="en-US"/>
              </w:rPr>
            </w:pPr>
            <w:r w:rsidRPr="003F6B31">
              <w:rPr>
                <w:rFonts w:ascii="Arial Narrow" w:hAnsi="Arial Narrow" w:cs="Calibri"/>
                <w:color w:val="000000"/>
                <w:sz w:val="20"/>
                <w:szCs w:val="20"/>
                <w:lang w:val="en-US" w:eastAsia="en-US"/>
              </w:rPr>
              <w:t>$710.99</w:t>
            </w:r>
          </w:p>
        </w:tc>
        <w:tc>
          <w:tcPr>
            <w:tcW w:w="525" w:type="pct"/>
            <w:tcBorders>
              <w:top w:val="nil"/>
              <w:left w:val="nil"/>
              <w:bottom w:val="single" w:sz="8" w:space="0" w:color="auto"/>
              <w:right w:val="single" w:sz="8" w:space="0" w:color="auto"/>
            </w:tcBorders>
            <w:shd w:val="clear" w:color="auto" w:fill="auto"/>
            <w:vAlign w:val="center"/>
            <w:hideMark/>
          </w:tcPr>
          <w:p w14:paraId="02FBD4AA" w14:textId="77777777" w:rsidR="00F47D8F" w:rsidRPr="003F6B31" w:rsidRDefault="00F47D8F" w:rsidP="00C82607">
            <w:pPr>
              <w:keepNext/>
              <w:keepLines/>
              <w:jc w:val="center"/>
              <w:rPr>
                <w:rFonts w:ascii="Arial Narrow" w:hAnsi="Arial Narrow" w:cs="Calibri"/>
                <w:color w:val="000000"/>
                <w:sz w:val="20"/>
                <w:szCs w:val="20"/>
                <w:lang w:val="en-US" w:eastAsia="en-US"/>
              </w:rPr>
            </w:pPr>
            <w:r w:rsidRPr="003F6B31">
              <w:rPr>
                <w:rFonts w:ascii="Arial Narrow" w:hAnsi="Arial Narrow" w:cs="Calibri"/>
                <w:color w:val="000000"/>
                <w:sz w:val="20"/>
                <w:szCs w:val="20"/>
                <w:lang w:val="en-US" w:eastAsia="en-US"/>
              </w:rPr>
              <w:t>$674.87</w:t>
            </w:r>
          </w:p>
        </w:tc>
      </w:tr>
      <w:tr w:rsidR="00F47D8F" w:rsidRPr="003F6B31" w14:paraId="720EA211" w14:textId="77777777" w:rsidTr="00F47D8F">
        <w:trPr>
          <w:trHeight w:val="20"/>
        </w:trPr>
        <w:tc>
          <w:tcPr>
            <w:tcW w:w="601" w:type="pct"/>
            <w:tcBorders>
              <w:top w:val="nil"/>
              <w:left w:val="single" w:sz="8" w:space="0" w:color="auto"/>
              <w:bottom w:val="single" w:sz="8" w:space="0" w:color="auto"/>
              <w:right w:val="single" w:sz="8" w:space="0" w:color="auto"/>
            </w:tcBorders>
            <w:shd w:val="clear" w:color="auto" w:fill="auto"/>
            <w:vAlign w:val="center"/>
            <w:hideMark/>
          </w:tcPr>
          <w:p w14:paraId="123B9856" w14:textId="77777777" w:rsidR="00F47D8F" w:rsidRPr="003F6B31" w:rsidRDefault="00F47D8F" w:rsidP="00C82607">
            <w:pPr>
              <w:keepNext/>
              <w:keepLines/>
              <w:jc w:val="left"/>
              <w:rPr>
                <w:rFonts w:ascii="Arial Narrow" w:hAnsi="Arial Narrow" w:cs="Calibri"/>
                <w:color w:val="000000"/>
                <w:sz w:val="20"/>
                <w:szCs w:val="20"/>
                <w:lang w:val="en-US" w:eastAsia="en-US"/>
              </w:rPr>
            </w:pPr>
            <w:r w:rsidRPr="003F6B31">
              <w:rPr>
                <w:rFonts w:ascii="Arial Narrow" w:hAnsi="Arial Narrow" w:cs="Calibri"/>
                <w:color w:val="000000"/>
                <w:sz w:val="20"/>
                <w:szCs w:val="20"/>
                <w:lang w:eastAsia="en-US"/>
              </w:rPr>
              <w:t>Subtotal -</w:t>
            </w:r>
          </w:p>
        </w:tc>
        <w:tc>
          <w:tcPr>
            <w:tcW w:w="2813" w:type="pct"/>
            <w:gridSpan w:val="6"/>
            <w:tcBorders>
              <w:top w:val="nil"/>
              <w:left w:val="nil"/>
              <w:bottom w:val="single" w:sz="8" w:space="0" w:color="auto"/>
              <w:right w:val="single" w:sz="8" w:space="0" w:color="auto"/>
            </w:tcBorders>
            <w:shd w:val="clear" w:color="auto" w:fill="auto"/>
            <w:vAlign w:val="center"/>
            <w:hideMark/>
          </w:tcPr>
          <w:p w14:paraId="134FD47E" w14:textId="77777777" w:rsidR="00F47D8F" w:rsidRPr="003F6B31" w:rsidRDefault="00F47D8F" w:rsidP="00C82607">
            <w:pPr>
              <w:keepNext/>
              <w:keepLines/>
              <w:rPr>
                <w:rFonts w:ascii="Arial Narrow" w:hAnsi="Arial Narrow" w:cs="Calibri"/>
                <w:color w:val="000000"/>
                <w:sz w:val="20"/>
                <w:szCs w:val="20"/>
                <w:lang w:val="en-US" w:eastAsia="en-US"/>
              </w:rPr>
            </w:pPr>
          </w:p>
        </w:tc>
        <w:tc>
          <w:tcPr>
            <w:tcW w:w="530" w:type="pct"/>
            <w:tcBorders>
              <w:top w:val="nil"/>
              <w:left w:val="nil"/>
              <w:bottom w:val="single" w:sz="8" w:space="0" w:color="auto"/>
              <w:right w:val="single" w:sz="8" w:space="0" w:color="auto"/>
            </w:tcBorders>
            <w:shd w:val="clear" w:color="auto" w:fill="auto"/>
            <w:vAlign w:val="center"/>
            <w:hideMark/>
          </w:tcPr>
          <w:p w14:paraId="7897908E" w14:textId="77777777" w:rsidR="00F47D8F" w:rsidRPr="00DF0A4C" w:rsidRDefault="00DF0A4C" w:rsidP="00C82607">
            <w:pPr>
              <w:keepNext/>
              <w:keepLines/>
              <w:jc w:val="center"/>
              <w:rPr>
                <w:rFonts w:ascii="Arial Narrow" w:hAnsi="Arial Narrow" w:cs="Calibri"/>
                <w:color w:val="000000"/>
                <w:sz w:val="20"/>
                <w:szCs w:val="20"/>
                <w:highlight w:val="black"/>
                <w:lang w:val="en-US" w:eastAsia="en-US"/>
              </w:rPr>
            </w:pPr>
            <w:r>
              <w:rPr>
                <w:rFonts w:ascii="Arial Narrow" w:hAnsi="Arial Narrow" w:cs="Calibri"/>
                <w:noProof/>
                <w:color w:val="000000"/>
                <w:sz w:val="20"/>
                <w:szCs w:val="20"/>
                <w:highlight w:val="black"/>
                <w:lang w:val="en-US" w:eastAsia="en-US"/>
              </w:rPr>
              <w:t xml:space="preserve">'''''''''''''''''''''''''' </w:t>
            </w:r>
          </w:p>
        </w:tc>
        <w:tc>
          <w:tcPr>
            <w:tcW w:w="530" w:type="pct"/>
            <w:tcBorders>
              <w:top w:val="nil"/>
              <w:left w:val="nil"/>
              <w:bottom w:val="single" w:sz="8" w:space="0" w:color="auto"/>
              <w:right w:val="single" w:sz="8" w:space="0" w:color="auto"/>
            </w:tcBorders>
            <w:shd w:val="clear" w:color="auto" w:fill="auto"/>
            <w:vAlign w:val="center"/>
            <w:hideMark/>
          </w:tcPr>
          <w:p w14:paraId="69918CEC" w14:textId="77777777" w:rsidR="00F47D8F" w:rsidRPr="00DF0A4C" w:rsidRDefault="00DF0A4C" w:rsidP="00C82607">
            <w:pPr>
              <w:keepNext/>
              <w:keepLines/>
              <w:jc w:val="center"/>
              <w:rPr>
                <w:rFonts w:ascii="Arial Narrow" w:hAnsi="Arial Narrow" w:cs="Calibri"/>
                <w:color w:val="000000"/>
                <w:sz w:val="20"/>
                <w:szCs w:val="20"/>
                <w:highlight w:val="black"/>
                <w:lang w:val="en-US" w:eastAsia="en-US"/>
              </w:rPr>
            </w:pPr>
            <w:r>
              <w:rPr>
                <w:rFonts w:ascii="Arial Narrow" w:hAnsi="Arial Narrow" w:cs="Calibri"/>
                <w:noProof/>
                <w:color w:val="000000"/>
                <w:sz w:val="20"/>
                <w:szCs w:val="20"/>
                <w:highlight w:val="black"/>
                <w:lang w:val="en-US" w:eastAsia="en-US"/>
              </w:rPr>
              <w:t xml:space="preserve">'''''''''''''''''''''''''''' </w:t>
            </w:r>
          </w:p>
        </w:tc>
        <w:tc>
          <w:tcPr>
            <w:tcW w:w="525" w:type="pct"/>
            <w:tcBorders>
              <w:top w:val="nil"/>
              <w:left w:val="nil"/>
              <w:bottom w:val="single" w:sz="8" w:space="0" w:color="auto"/>
              <w:right w:val="single" w:sz="8" w:space="0" w:color="auto"/>
            </w:tcBorders>
            <w:shd w:val="clear" w:color="auto" w:fill="auto"/>
            <w:vAlign w:val="center"/>
            <w:hideMark/>
          </w:tcPr>
          <w:p w14:paraId="0FD824F6" w14:textId="77777777" w:rsidR="00F47D8F" w:rsidRPr="00DF0A4C" w:rsidRDefault="00DF0A4C" w:rsidP="00C82607">
            <w:pPr>
              <w:keepNext/>
              <w:keepLines/>
              <w:jc w:val="center"/>
              <w:rPr>
                <w:rFonts w:ascii="Arial Narrow" w:hAnsi="Arial Narrow" w:cs="Calibri"/>
                <w:color w:val="000000"/>
                <w:sz w:val="20"/>
                <w:szCs w:val="20"/>
                <w:highlight w:val="black"/>
                <w:lang w:val="en-US" w:eastAsia="en-US"/>
              </w:rPr>
            </w:pPr>
            <w:r>
              <w:rPr>
                <w:rFonts w:ascii="Arial Narrow" w:hAnsi="Arial Narrow" w:cs="Calibri"/>
                <w:noProof/>
                <w:color w:val="000000"/>
                <w:sz w:val="20"/>
                <w:szCs w:val="20"/>
                <w:highlight w:val="black"/>
                <w:lang w:val="en-US" w:eastAsia="en-US"/>
              </w:rPr>
              <w:t xml:space="preserve">''''''''''''''''''''''''''' </w:t>
            </w:r>
          </w:p>
        </w:tc>
      </w:tr>
      <w:tr w:rsidR="00F47D8F" w:rsidRPr="003F6B31" w14:paraId="254DD5A4" w14:textId="77777777" w:rsidTr="00F47D8F">
        <w:trPr>
          <w:trHeight w:val="20"/>
        </w:trPr>
        <w:tc>
          <w:tcPr>
            <w:tcW w:w="3415" w:type="pct"/>
            <w:gridSpan w:val="7"/>
            <w:tcBorders>
              <w:top w:val="nil"/>
              <w:left w:val="single" w:sz="8" w:space="0" w:color="auto"/>
              <w:bottom w:val="single" w:sz="8" w:space="0" w:color="auto"/>
              <w:right w:val="single" w:sz="8" w:space="0" w:color="auto"/>
            </w:tcBorders>
            <w:shd w:val="clear" w:color="auto" w:fill="auto"/>
            <w:vAlign w:val="center"/>
            <w:hideMark/>
          </w:tcPr>
          <w:p w14:paraId="366C68ED" w14:textId="77777777" w:rsidR="00F47D8F" w:rsidRPr="003F6B31" w:rsidRDefault="00F47D8F" w:rsidP="00C82607">
            <w:pPr>
              <w:keepNext/>
              <w:keepLines/>
              <w:jc w:val="left"/>
              <w:rPr>
                <w:rFonts w:ascii="Arial Narrow" w:hAnsi="Arial Narrow" w:cs="Calibri"/>
                <w:b/>
                <w:bCs/>
                <w:color w:val="000000"/>
                <w:sz w:val="20"/>
                <w:szCs w:val="20"/>
                <w:lang w:val="en-US" w:eastAsia="en-US"/>
              </w:rPr>
            </w:pPr>
            <w:r w:rsidRPr="003F6B31">
              <w:rPr>
                <w:rFonts w:ascii="Arial Narrow" w:hAnsi="Arial Narrow" w:cs="Calibri"/>
                <w:b/>
                <w:bCs/>
                <w:color w:val="000000"/>
                <w:sz w:val="20"/>
                <w:szCs w:val="20"/>
                <w:lang w:eastAsia="en-US"/>
              </w:rPr>
              <w:t>Total (weighted)</w:t>
            </w:r>
          </w:p>
        </w:tc>
        <w:tc>
          <w:tcPr>
            <w:tcW w:w="530" w:type="pct"/>
            <w:tcBorders>
              <w:top w:val="nil"/>
              <w:left w:val="single" w:sz="8" w:space="0" w:color="auto"/>
              <w:bottom w:val="single" w:sz="8" w:space="0" w:color="auto"/>
              <w:right w:val="single" w:sz="8" w:space="0" w:color="auto"/>
            </w:tcBorders>
            <w:shd w:val="clear" w:color="auto" w:fill="auto"/>
            <w:vAlign w:val="center"/>
          </w:tcPr>
          <w:p w14:paraId="78022496" w14:textId="77777777" w:rsidR="00F47D8F" w:rsidRPr="00DF0A4C" w:rsidRDefault="00DF0A4C" w:rsidP="00C82607">
            <w:pPr>
              <w:keepNext/>
              <w:keepLines/>
              <w:jc w:val="left"/>
              <w:rPr>
                <w:rFonts w:ascii="Arial Narrow" w:hAnsi="Arial Narrow" w:cs="Calibri"/>
                <w:b/>
                <w:bCs/>
                <w:color w:val="000000"/>
                <w:sz w:val="20"/>
                <w:szCs w:val="20"/>
                <w:highlight w:val="black"/>
                <w:lang w:val="en-US" w:eastAsia="en-US"/>
              </w:rPr>
            </w:pPr>
            <w:r>
              <w:rPr>
                <w:rFonts w:ascii="Arial Narrow" w:hAnsi="Arial Narrow" w:cs="Calibri"/>
                <w:b/>
                <w:bCs/>
                <w:noProof/>
                <w:color w:val="000000"/>
                <w:sz w:val="20"/>
                <w:szCs w:val="20"/>
                <w:highlight w:val="black"/>
              </w:rPr>
              <w:t xml:space="preserve">''''''''''''''''''' </w:t>
            </w:r>
          </w:p>
        </w:tc>
        <w:tc>
          <w:tcPr>
            <w:tcW w:w="530" w:type="pct"/>
            <w:tcBorders>
              <w:top w:val="nil"/>
              <w:left w:val="single" w:sz="8" w:space="0" w:color="auto"/>
              <w:bottom w:val="single" w:sz="8" w:space="0" w:color="auto"/>
              <w:right w:val="single" w:sz="8" w:space="0" w:color="auto"/>
            </w:tcBorders>
            <w:shd w:val="clear" w:color="auto" w:fill="auto"/>
            <w:vAlign w:val="center"/>
          </w:tcPr>
          <w:p w14:paraId="05427C31" w14:textId="77777777" w:rsidR="00F47D8F" w:rsidRPr="00DF0A4C" w:rsidRDefault="00DF0A4C" w:rsidP="00C82607">
            <w:pPr>
              <w:keepNext/>
              <w:keepLines/>
              <w:jc w:val="left"/>
              <w:rPr>
                <w:rFonts w:ascii="Arial Narrow" w:hAnsi="Arial Narrow" w:cs="Calibri"/>
                <w:b/>
                <w:bCs/>
                <w:color w:val="000000"/>
                <w:sz w:val="20"/>
                <w:szCs w:val="20"/>
                <w:highlight w:val="black"/>
                <w:lang w:val="en-US" w:eastAsia="en-US"/>
              </w:rPr>
            </w:pPr>
            <w:r>
              <w:rPr>
                <w:rFonts w:ascii="Arial Narrow" w:hAnsi="Arial Narrow" w:cs="Calibri"/>
                <w:b/>
                <w:bCs/>
                <w:noProof/>
                <w:color w:val="000000"/>
                <w:sz w:val="20"/>
                <w:szCs w:val="20"/>
                <w:highlight w:val="black"/>
              </w:rPr>
              <w:t xml:space="preserve">'''''''''''''''''''''''' </w:t>
            </w:r>
          </w:p>
        </w:tc>
        <w:tc>
          <w:tcPr>
            <w:tcW w:w="525" w:type="pct"/>
            <w:tcBorders>
              <w:top w:val="nil"/>
              <w:left w:val="single" w:sz="8" w:space="0" w:color="auto"/>
              <w:bottom w:val="single" w:sz="8" w:space="0" w:color="auto"/>
              <w:right w:val="single" w:sz="8" w:space="0" w:color="auto"/>
            </w:tcBorders>
            <w:shd w:val="clear" w:color="auto" w:fill="auto"/>
            <w:vAlign w:val="center"/>
          </w:tcPr>
          <w:p w14:paraId="62A31447" w14:textId="77777777" w:rsidR="00F47D8F" w:rsidRPr="00DF0A4C" w:rsidRDefault="00DF0A4C" w:rsidP="00C82607">
            <w:pPr>
              <w:keepNext/>
              <w:keepLines/>
              <w:jc w:val="left"/>
              <w:rPr>
                <w:rFonts w:ascii="Arial Narrow" w:hAnsi="Arial Narrow" w:cs="Calibri"/>
                <w:b/>
                <w:bCs/>
                <w:color w:val="000000"/>
                <w:sz w:val="20"/>
                <w:szCs w:val="20"/>
                <w:highlight w:val="black"/>
                <w:lang w:val="en-US" w:eastAsia="en-US"/>
              </w:rPr>
            </w:pPr>
            <w:r>
              <w:rPr>
                <w:rFonts w:ascii="Arial Narrow" w:hAnsi="Arial Narrow" w:cs="Calibri"/>
                <w:b/>
                <w:bCs/>
                <w:noProof/>
                <w:color w:val="000000"/>
                <w:sz w:val="20"/>
                <w:szCs w:val="20"/>
                <w:highlight w:val="black"/>
              </w:rPr>
              <w:t xml:space="preserve">''''''''''''''''''''''' </w:t>
            </w:r>
          </w:p>
        </w:tc>
      </w:tr>
      <w:tr w:rsidR="00F47D8F" w:rsidRPr="003F6B31" w14:paraId="2D249FE1" w14:textId="77777777" w:rsidTr="00F47D8F">
        <w:trPr>
          <w:trHeight w:val="20"/>
        </w:trPr>
        <w:tc>
          <w:tcPr>
            <w:tcW w:w="5000" w:type="pct"/>
            <w:gridSpan w:val="10"/>
            <w:tcBorders>
              <w:top w:val="nil"/>
              <w:left w:val="single" w:sz="8" w:space="0" w:color="auto"/>
              <w:bottom w:val="single" w:sz="8" w:space="0" w:color="auto"/>
              <w:right w:val="single" w:sz="8" w:space="0" w:color="auto"/>
            </w:tcBorders>
            <w:shd w:val="clear" w:color="auto" w:fill="auto"/>
            <w:vAlign w:val="center"/>
            <w:hideMark/>
          </w:tcPr>
          <w:p w14:paraId="3609B2FF" w14:textId="77777777" w:rsidR="00F47D8F" w:rsidRPr="003F6B31" w:rsidRDefault="00F47D8F" w:rsidP="00C82607">
            <w:pPr>
              <w:keepNext/>
              <w:keepLines/>
              <w:jc w:val="left"/>
              <w:rPr>
                <w:rFonts w:ascii="Arial Narrow" w:hAnsi="Arial Narrow" w:cs="Calibri"/>
                <w:b/>
                <w:bCs/>
                <w:color w:val="000000"/>
                <w:sz w:val="20"/>
                <w:szCs w:val="20"/>
                <w:lang w:val="en-US" w:eastAsia="en-US"/>
              </w:rPr>
            </w:pPr>
            <w:r w:rsidRPr="003F6B31">
              <w:rPr>
                <w:rFonts w:ascii="Arial Narrow" w:hAnsi="Arial Narrow" w:cs="Calibri"/>
                <w:b/>
                <w:bCs/>
                <w:color w:val="000000"/>
                <w:sz w:val="20"/>
                <w:szCs w:val="20"/>
                <w:lang w:val="en-US" w:eastAsia="en-US"/>
              </w:rPr>
              <w:t>Chemotherapy alone</w:t>
            </w:r>
          </w:p>
        </w:tc>
      </w:tr>
      <w:tr w:rsidR="00F47D8F" w:rsidRPr="00BF6111" w14:paraId="7CB83179" w14:textId="77777777" w:rsidTr="00F47D8F">
        <w:trPr>
          <w:trHeight w:val="20"/>
        </w:trPr>
        <w:tc>
          <w:tcPr>
            <w:tcW w:w="5000" w:type="pct"/>
            <w:gridSpan w:val="10"/>
            <w:tcBorders>
              <w:top w:val="nil"/>
              <w:left w:val="single" w:sz="8" w:space="0" w:color="auto"/>
              <w:bottom w:val="single" w:sz="8" w:space="0" w:color="auto"/>
              <w:right w:val="single" w:sz="8" w:space="0" w:color="auto"/>
            </w:tcBorders>
            <w:shd w:val="clear" w:color="auto" w:fill="auto"/>
            <w:vAlign w:val="center"/>
            <w:hideMark/>
          </w:tcPr>
          <w:p w14:paraId="711639E6" w14:textId="77777777" w:rsidR="00F47D8F" w:rsidRPr="00BF6111" w:rsidRDefault="00F47D8F" w:rsidP="00C82607">
            <w:pPr>
              <w:keepNext/>
              <w:keepLines/>
              <w:jc w:val="left"/>
              <w:rPr>
                <w:rFonts w:ascii="Arial Narrow" w:hAnsi="Arial Narrow" w:cs="Calibri"/>
                <w:color w:val="000000"/>
                <w:sz w:val="20"/>
                <w:szCs w:val="20"/>
                <w:lang w:val="en-US" w:eastAsia="en-US"/>
              </w:rPr>
            </w:pPr>
            <w:r w:rsidRPr="00BF6111">
              <w:rPr>
                <w:rFonts w:ascii="Arial Narrow" w:hAnsi="Arial Narrow" w:cs="Calibri"/>
                <w:color w:val="000000"/>
                <w:sz w:val="20"/>
                <w:szCs w:val="20"/>
                <w:lang w:eastAsia="en-US"/>
              </w:rPr>
              <w:t xml:space="preserve">FOLFOX </w:t>
            </w:r>
          </w:p>
        </w:tc>
      </w:tr>
      <w:tr w:rsidR="00F47D8F" w:rsidRPr="00BF6111" w14:paraId="664CD2F0" w14:textId="77777777" w:rsidTr="00F47D8F">
        <w:trPr>
          <w:trHeight w:val="20"/>
        </w:trPr>
        <w:tc>
          <w:tcPr>
            <w:tcW w:w="601" w:type="pct"/>
            <w:tcBorders>
              <w:top w:val="nil"/>
              <w:left w:val="single" w:sz="8" w:space="0" w:color="auto"/>
              <w:bottom w:val="single" w:sz="8" w:space="0" w:color="auto"/>
              <w:right w:val="single" w:sz="8" w:space="0" w:color="auto"/>
            </w:tcBorders>
            <w:shd w:val="clear" w:color="auto" w:fill="auto"/>
            <w:vAlign w:val="center"/>
            <w:hideMark/>
          </w:tcPr>
          <w:p w14:paraId="414EF827" w14:textId="77777777" w:rsidR="00F47D8F" w:rsidRPr="00BF6111" w:rsidRDefault="00F47D8F" w:rsidP="00C82607">
            <w:pPr>
              <w:keepNext/>
              <w:keepLines/>
              <w:jc w:val="left"/>
              <w:rPr>
                <w:rFonts w:ascii="Arial Narrow" w:hAnsi="Arial Narrow" w:cs="Calibri"/>
                <w:color w:val="000000"/>
                <w:sz w:val="20"/>
                <w:szCs w:val="20"/>
                <w:lang w:val="en-US" w:eastAsia="en-US"/>
              </w:rPr>
            </w:pPr>
            <w:proofErr w:type="spellStart"/>
            <w:r w:rsidRPr="00BF6111">
              <w:rPr>
                <w:rFonts w:ascii="Arial Narrow" w:hAnsi="Arial Narrow" w:cs="Calibri"/>
                <w:color w:val="000000"/>
                <w:sz w:val="20"/>
                <w:szCs w:val="20"/>
                <w:lang w:eastAsia="en-US"/>
              </w:rPr>
              <w:t>Oxaliplatin</w:t>
            </w:r>
            <w:proofErr w:type="spellEnd"/>
            <w:r w:rsidRPr="00BF6111">
              <w:rPr>
                <w:rFonts w:ascii="Arial Narrow" w:hAnsi="Arial Narrow" w:cs="Calibri"/>
                <w:color w:val="000000"/>
                <w:sz w:val="20"/>
                <w:szCs w:val="20"/>
                <w:lang w:eastAsia="en-US"/>
              </w:rPr>
              <w:t xml:space="preserve"> </w:t>
            </w:r>
          </w:p>
        </w:tc>
        <w:tc>
          <w:tcPr>
            <w:tcW w:w="482" w:type="pct"/>
            <w:tcBorders>
              <w:top w:val="nil"/>
              <w:left w:val="nil"/>
              <w:bottom w:val="single" w:sz="8" w:space="0" w:color="auto"/>
              <w:right w:val="single" w:sz="8" w:space="0" w:color="auto"/>
            </w:tcBorders>
            <w:shd w:val="clear" w:color="auto" w:fill="auto"/>
            <w:vAlign w:val="center"/>
            <w:hideMark/>
          </w:tcPr>
          <w:p w14:paraId="0D92BA20" w14:textId="77777777" w:rsidR="00F47D8F" w:rsidRPr="00BF6111" w:rsidRDefault="00F47D8F" w:rsidP="00C82607">
            <w:pPr>
              <w:keepNext/>
              <w:keepLines/>
              <w:jc w:val="center"/>
              <w:rPr>
                <w:rFonts w:ascii="Arial Narrow" w:hAnsi="Arial Narrow" w:cs="Calibri"/>
                <w:color w:val="000000"/>
                <w:sz w:val="20"/>
                <w:szCs w:val="20"/>
                <w:lang w:val="en-US" w:eastAsia="en-US"/>
              </w:rPr>
            </w:pPr>
            <w:r w:rsidRPr="00BF6111">
              <w:rPr>
                <w:rFonts w:ascii="Arial Narrow" w:hAnsi="Arial Narrow" w:cs="Calibri"/>
                <w:color w:val="000000"/>
                <w:sz w:val="20"/>
                <w:szCs w:val="20"/>
                <w:lang w:eastAsia="en-US"/>
              </w:rPr>
              <w:t xml:space="preserve">$72.61 </w:t>
            </w:r>
          </w:p>
        </w:tc>
        <w:tc>
          <w:tcPr>
            <w:tcW w:w="483" w:type="pct"/>
            <w:tcBorders>
              <w:top w:val="nil"/>
              <w:left w:val="nil"/>
              <w:bottom w:val="single" w:sz="8" w:space="0" w:color="auto"/>
              <w:right w:val="single" w:sz="8" w:space="0" w:color="auto"/>
            </w:tcBorders>
            <w:shd w:val="clear" w:color="auto" w:fill="auto"/>
            <w:vAlign w:val="center"/>
            <w:hideMark/>
          </w:tcPr>
          <w:p w14:paraId="50FB1BD1" w14:textId="77777777" w:rsidR="00F47D8F" w:rsidRPr="00BF6111" w:rsidRDefault="00F47D8F" w:rsidP="00C82607">
            <w:pPr>
              <w:keepNext/>
              <w:keepLines/>
              <w:jc w:val="center"/>
              <w:rPr>
                <w:rFonts w:ascii="Arial Narrow" w:hAnsi="Arial Narrow" w:cs="Calibri"/>
                <w:color w:val="000000"/>
                <w:sz w:val="20"/>
                <w:szCs w:val="20"/>
                <w:lang w:val="en-US" w:eastAsia="en-US"/>
              </w:rPr>
            </w:pPr>
            <w:r w:rsidRPr="00BF6111">
              <w:rPr>
                <w:rFonts w:ascii="Arial Narrow" w:hAnsi="Arial Narrow" w:cs="Calibri"/>
                <w:color w:val="000000"/>
                <w:sz w:val="20"/>
                <w:szCs w:val="20"/>
                <w:lang w:val="en-US" w:eastAsia="en-US"/>
              </w:rPr>
              <w:t>$115.14</w:t>
            </w:r>
          </w:p>
        </w:tc>
        <w:tc>
          <w:tcPr>
            <w:tcW w:w="521" w:type="pct"/>
            <w:tcBorders>
              <w:top w:val="nil"/>
              <w:left w:val="nil"/>
              <w:bottom w:val="single" w:sz="8" w:space="0" w:color="auto"/>
              <w:right w:val="single" w:sz="8" w:space="0" w:color="auto"/>
            </w:tcBorders>
            <w:shd w:val="clear" w:color="auto" w:fill="auto"/>
            <w:vAlign w:val="center"/>
            <w:hideMark/>
          </w:tcPr>
          <w:p w14:paraId="4C66F1A0" w14:textId="77777777" w:rsidR="00F47D8F" w:rsidRPr="00BF6111" w:rsidRDefault="00F47D8F" w:rsidP="00C82607">
            <w:pPr>
              <w:keepNext/>
              <w:keepLines/>
              <w:jc w:val="center"/>
              <w:rPr>
                <w:rFonts w:ascii="Arial Narrow" w:hAnsi="Arial Narrow" w:cs="Calibri"/>
                <w:color w:val="000000"/>
                <w:sz w:val="20"/>
                <w:szCs w:val="20"/>
                <w:lang w:val="en-US" w:eastAsia="en-US"/>
              </w:rPr>
            </w:pPr>
            <w:r w:rsidRPr="00BF6111">
              <w:rPr>
                <w:rFonts w:ascii="Arial Narrow" w:hAnsi="Arial Narrow" w:cs="Calibri"/>
                <w:color w:val="000000"/>
                <w:sz w:val="20"/>
                <w:szCs w:val="20"/>
                <w:lang w:val="en-US" w:eastAsia="en-US"/>
              </w:rPr>
              <w:t>$142.82</w:t>
            </w:r>
          </w:p>
        </w:tc>
        <w:tc>
          <w:tcPr>
            <w:tcW w:w="295" w:type="pct"/>
            <w:vMerge w:val="restart"/>
            <w:tcBorders>
              <w:top w:val="nil"/>
              <w:left w:val="single" w:sz="8" w:space="0" w:color="auto"/>
              <w:right w:val="single" w:sz="8" w:space="0" w:color="auto"/>
            </w:tcBorders>
            <w:shd w:val="clear" w:color="auto" w:fill="auto"/>
            <w:vAlign w:val="center"/>
            <w:hideMark/>
          </w:tcPr>
          <w:p w14:paraId="245052A8" w14:textId="77777777" w:rsidR="00F47D8F" w:rsidRPr="00BF6111" w:rsidRDefault="00F47D8F" w:rsidP="00C82607">
            <w:pPr>
              <w:keepNext/>
              <w:keepLines/>
              <w:jc w:val="center"/>
              <w:rPr>
                <w:rFonts w:ascii="Arial Narrow" w:hAnsi="Arial Narrow" w:cs="Calibri"/>
                <w:color w:val="000000"/>
                <w:sz w:val="20"/>
                <w:szCs w:val="20"/>
                <w:lang w:val="en-US" w:eastAsia="en-US"/>
              </w:rPr>
            </w:pPr>
            <w:r w:rsidRPr="00BF6111">
              <w:rPr>
                <w:rFonts w:ascii="Arial Narrow" w:hAnsi="Arial Narrow" w:cs="Calibri"/>
                <w:color w:val="000000"/>
                <w:sz w:val="20"/>
                <w:szCs w:val="20"/>
                <w:lang w:val="en-US" w:eastAsia="en-US"/>
              </w:rPr>
              <w:t>13.98</w:t>
            </w:r>
          </w:p>
        </w:tc>
        <w:tc>
          <w:tcPr>
            <w:tcW w:w="556" w:type="pct"/>
            <w:tcBorders>
              <w:top w:val="nil"/>
              <w:left w:val="nil"/>
              <w:bottom w:val="single" w:sz="8" w:space="0" w:color="auto"/>
              <w:right w:val="single" w:sz="8" w:space="0" w:color="auto"/>
            </w:tcBorders>
            <w:shd w:val="clear" w:color="auto" w:fill="auto"/>
            <w:vAlign w:val="center"/>
            <w:hideMark/>
          </w:tcPr>
          <w:p w14:paraId="387FAE1B" w14:textId="77777777" w:rsidR="00F47D8F" w:rsidRPr="00BF6111" w:rsidRDefault="00F47D8F" w:rsidP="00C82607">
            <w:pPr>
              <w:keepNext/>
              <w:keepLines/>
              <w:jc w:val="center"/>
              <w:rPr>
                <w:rFonts w:ascii="Arial Narrow" w:hAnsi="Arial Narrow" w:cs="Calibri"/>
                <w:color w:val="000000"/>
                <w:sz w:val="20"/>
                <w:szCs w:val="20"/>
                <w:lang w:val="en-US" w:eastAsia="en-US"/>
              </w:rPr>
            </w:pPr>
            <w:r w:rsidRPr="00BF6111">
              <w:rPr>
                <w:rFonts w:ascii="Arial Narrow" w:hAnsi="Arial Narrow" w:cs="Calibri"/>
                <w:color w:val="000000"/>
                <w:sz w:val="20"/>
                <w:szCs w:val="20"/>
                <w:lang w:val="en-US" w:eastAsia="en-US"/>
              </w:rPr>
              <w:t>9.37</w:t>
            </w:r>
          </w:p>
        </w:tc>
        <w:tc>
          <w:tcPr>
            <w:tcW w:w="475" w:type="pct"/>
            <w:tcBorders>
              <w:top w:val="nil"/>
              <w:left w:val="nil"/>
              <w:bottom w:val="single" w:sz="8" w:space="0" w:color="auto"/>
              <w:right w:val="single" w:sz="8" w:space="0" w:color="auto"/>
            </w:tcBorders>
            <w:shd w:val="clear" w:color="auto" w:fill="auto"/>
            <w:vAlign w:val="center"/>
            <w:hideMark/>
          </w:tcPr>
          <w:p w14:paraId="154708B2" w14:textId="77777777" w:rsidR="00F47D8F" w:rsidRPr="00BF6111" w:rsidRDefault="00F47D8F" w:rsidP="00C82607">
            <w:pPr>
              <w:keepNext/>
              <w:keepLines/>
              <w:jc w:val="center"/>
              <w:rPr>
                <w:rFonts w:ascii="Arial Narrow" w:hAnsi="Arial Narrow" w:cs="Calibri"/>
                <w:color w:val="000000"/>
                <w:sz w:val="20"/>
                <w:szCs w:val="20"/>
                <w:lang w:val="en-US" w:eastAsia="en-US"/>
              </w:rPr>
            </w:pPr>
            <w:r w:rsidRPr="00BF6111">
              <w:rPr>
                <w:rFonts w:ascii="Arial Narrow" w:hAnsi="Arial Narrow" w:cs="Calibri"/>
                <w:color w:val="000000"/>
                <w:sz w:val="20"/>
                <w:szCs w:val="20"/>
                <w:lang w:eastAsia="en-US"/>
              </w:rPr>
              <w:t>8.7</w:t>
            </w:r>
          </w:p>
        </w:tc>
        <w:tc>
          <w:tcPr>
            <w:tcW w:w="530" w:type="pct"/>
            <w:tcBorders>
              <w:top w:val="nil"/>
              <w:left w:val="nil"/>
              <w:bottom w:val="single" w:sz="8" w:space="0" w:color="auto"/>
              <w:right w:val="single" w:sz="8" w:space="0" w:color="auto"/>
            </w:tcBorders>
            <w:shd w:val="clear" w:color="auto" w:fill="auto"/>
            <w:vAlign w:val="center"/>
            <w:hideMark/>
          </w:tcPr>
          <w:p w14:paraId="612541B2" w14:textId="77777777" w:rsidR="00F47D8F" w:rsidRPr="00BF6111" w:rsidRDefault="00F47D8F" w:rsidP="00C82607">
            <w:pPr>
              <w:keepNext/>
              <w:keepLines/>
              <w:jc w:val="center"/>
              <w:rPr>
                <w:rFonts w:ascii="Arial Narrow" w:hAnsi="Arial Narrow" w:cs="Calibri"/>
                <w:color w:val="000000"/>
                <w:sz w:val="20"/>
                <w:szCs w:val="20"/>
                <w:lang w:val="en-US" w:eastAsia="en-US"/>
              </w:rPr>
            </w:pPr>
            <w:r w:rsidRPr="00BF6111">
              <w:rPr>
                <w:rFonts w:ascii="Arial Narrow" w:hAnsi="Arial Narrow" w:cs="Calibri"/>
                <w:color w:val="000000"/>
                <w:sz w:val="20"/>
                <w:szCs w:val="20"/>
                <w:lang w:val="en-US" w:eastAsia="en-US"/>
              </w:rPr>
              <w:t xml:space="preserve">$1,015.09 </w:t>
            </w:r>
          </w:p>
        </w:tc>
        <w:tc>
          <w:tcPr>
            <w:tcW w:w="530" w:type="pct"/>
            <w:tcBorders>
              <w:top w:val="nil"/>
              <w:left w:val="nil"/>
              <w:bottom w:val="single" w:sz="8" w:space="0" w:color="auto"/>
              <w:right w:val="single" w:sz="8" w:space="0" w:color="auto"/>
            </w:tcBorders>
            <w:shd w:val="clear" w:color="auto" w:fill="auto"/>
            <w:vAlign w:val="center"/>
            <w:hideMark/>
          </w:tcPr>
          <w:p w14:paraId="6D5629DF" w14:textId="77777777" w:rsidR="00F47D8F" w:rsidRPr="00BF6111" w:rsidRDefault="00F47D8F" w:rsidP="00C82607">
            <w:pPr>
              <w:keepNext/>
              <w:keepLines/>
              <w:jc w:val="center"/>
              <w:rPr>
                <w:rFonts w:ascii="Arial Narrow" w:hAnsi="Arial Narrow" w:cs="Calibri"/>
                <w:color w:val="000000"/>
                <w:sz w:val="20"/>
                <w:szCs w:val="20"/>
                <w:lang w:val="en-US" w:eastAsia="en-US"/>
              </w:rPr>
            </w:pPr>
            <w:r w:rsidRPr="00BF6111">
              <w:rPr>
                <w:rFonts w:ascii="Arial Narrow" w:hAnsi="Arial Narrow" w:cs="Calibri"/>
                <w:color w:val="000000"/>
                <w:sz w:val="20"/>
                <w:szCs w:val="20"/>
                <w:lang w:val="en-US" w:eastAsia="en-US"/>
              </w:rPr>
              <w:t>$1,078.85</w:t>
            </w:r>
          </w:p>
        </w:tc>
        <w:tc>
          <w:tcPr>
            <w:tcW w:w="525" w:type="pct"/>
            <w:tcBorders>
              <w:top w:val="nil"/>
              <w:left w:val="nil"/>
              <w:bottom w:val="single" w:sz="8" w:space="0" w:color="auto"/>
              <w:right w:val="single" w:sz="8" w:space="0" w:color="auto"/>
            </w:tcBorders>
            <w:shd w:val="clear" w:color="auto" w:fill="auto"/>
            <w:vAlign w:val="center"/>
            <w:hideMark/>
          </w:tcPr>
          <w:p w14:paraId="1D91328B" w14:textId="77777777" w:rsidR="00F47D8F" w:rsidRPr="00BF6111" w:rsidRDefault="00F47D8F" w:rsidP="00C82607">
            <w:pPr>
              <w:keepNext/>
              <w:keepLines/>
              <w:jc w:val="center"/>
              <w:rPr>
                <w:rFonts w:ascii="Arial Narrow" w:hAnsi="Arial Narrow" w:cs="Calibri"/>
                <w:color w:val="000000"/>
                <w:sz w:val="20"/>
                <w:szCs w:val="20"/>
                <w:lang w:val="en-US" w:eastAsia="en-US"/>
              </w:rPr>
            </w:pPr>
            <w:r w:rsidRPr="00BF6111">
              <w:rPr>
                <w:rFonts w:ascii="Arial Narrow" w:hAnsi="Arial Narrow" w:cs="Calibri"/>
                <w:color w:val="000000"/>
                <w:sz w:val="20"/>
                <w:szCs w:val="20"/>
                <w:lang w:val="en-US" w:eastAsia="en-US"/>
              </w:rPr>
              <w:t>$1,242.54</w:t>
            </w:r>
          </w:p>
        </w:tc>
      </w:tr>
      <w:tr w:rsidR="00F47D8F" w:rsidRPr="00BF6111" w14:paraId="5166C0C0" w14:textId="77777777" w:rsidTr="00F47D8F">
        <w:trPr>
          <w:trHeight w:val="20"/>
        </w:trPr>
        <w:tc>
          <w:tcPr>
            <w:tcW w:w="601" w:type="pct"/>
            <w:tcBorders>
              <w:top w:val="nil"/>
              <w:left w:val="single" w:sz="8" w:space="0" w:color="auto"/>
              <w:bottom w:val="single" w:sz="8" w:space="0" w:color="auto"/>
              <w:right w:val="single" w:sz="8" w:space="0" w:color="auto"/>
            </w:tcBorders>
            <w:shd w:val="clear" w:color="auto" w:fill="auto"/>
            <w:vAlign w:val="center"/>
            <w:hideMark/>
          </w:tcPr>
          <w:p w14:paraId="2C45363A" w14:textId="77777777" w:rsidR="00F47D8F" w:rsidRPr="00BF6111" w:rsidRDefault="00F47D8F" w:rsidP="00C82607">
            <w:pPr>
              <w:keepNext/>
              <w:keepLines/>
              <w:jc w:val="left"/>
              <w:rPr>
                <w:rFonts w:ascii="Arial Narrow" w:hAnsi="Arial Narrow" w:cs="Calibri"/>
                <w:color w:val="000000"/>
                <w:sz w:val="20"/>
                <w:szCs w:val="20"/>
                <w:lang w:val="en-US" w:eastAsia="en-US"/>
              </w:rPr>
            </w:pPr>
            <w:proofErr w:type="spellStart"/>
            <w:r w:rsidRPr="00BF6111">
              <w:rPr>
                <w:rFonts w:ascii="Arial Narrow" w:hAnsi="Arial Narrow" w:cs="Calibri"/>
                <w:color w:val="000000"/>
                <w:sz w:val="20"/>
                <w:szCs w:val="20"/>
                <w:lang w:eastAsia="en-US"/>
              </w:rPr>
              <w:t>Leucovorin</w:t>
            </w:r>
            <w:proofErr w:type="spellEnd"/>
            <w:r w:rsidRPr="00BF6111">
              <w:rPr>
                <w:rFonts w:ascii="Arial Narrow" w:hAnsi="Arial Narrow" w:cs="Calibri"/>
                <w:color w:val="000000"/>
                <w:sz w:val="20"/>
                <w:szCs w:val="20"/>
                <w:lang w:eastAsia="en-US"/>
              </w:rPr>
              <w:t xml:space="preserve"> </w:t>
            </w:r>
          </w:p>
        </w:tc>
        <w:tc>
          <w:tcPr>
            <w:tcW w:w="482" w:type="pct"/>
            <w:tcBorders>
              <w:top w:val="nil"/>
              <w:left w:val="nil"/>
              <w:bottom w:val="single" w:sz="8" w:space="0" w:color="auto"/>
              <w:right w:val="single" w:sz="8" w:space="0" w:color="auto"/>
            </w:tcBorders>
            <w:shd w:val="clear" w:color="auto" w:fill="auto"/>
            <w:vAlign w:val="center"/>
            <w:hideMark/>
          </w:tcPr>
          <w:p w14:paraId="763E1E44" w14:textId="77777777" w:rsidR="00F47D8F" w:rsidRPr="00BF6111" w:rsidRDefault="00F47D8F" w:rsidP="00C82607">
            <w:pPr>
              <w:keepNext/>
              <w:keepLines/>
              <w:jc w:val="center"/>
              <w:rPr>
                <w:rFonts w:ascii="Arial Narrow" w:hAnsi="Arial Narrow" w:cs="Calibri"/>
                <w:color w:val="000000"/>
                <w:sz w:val="20"/>
                <w:szCs w:val="20"/>
                <w:lang w:val="en-US" w:eastAsia="en-US"/>
              </w:rPr>
            </w:pPr>
            <w:r w:rsidRPr="00BF6111">
              <w:rPr>
                <w:rFonts w:ascii="Arial Narrow" w:hAnsi="Arial Narrow" w:cs="Calibri"/>
                <w:color w:val="000000"/>
                <w:sz w:val="20"/>
                <w:szCs w:val="20"/>
                <w:lang w:eastAsia="en-US"/>
              </w:rPr>
              <w:t xml:space="preserve">$25.85 </w:t>
            </w:r>
          </w:p>
        </w:tc>
        <w:tc>
          <w:tcPr>
            <w:tcW w:w="483" w:type="pct"/>
            <w:tcBorders>
              <w:top w:val="nil"/>
              <w:left w:val="nil"/>
              <w:bottom w:val="single" w:sz="8" w:space="0" w:color="auto"/>
              <w:right w:val="single" w:sz="8" w:space="0" w:color="auto"/>
            </w:tcBorders>
            <w:shd w:val="clear" w:color="auto" w:fill="auto"/>
            <w:vAlign w:val="center"/>
            <w:hideMark/>
          </w:tcPr>
          <w:p w14:paraId="481C16AE" w14:textId="77777777" w:rsidR="00F47D8F" w:rsidRPr="00BF6111" w:rsidRDefault="00F47D8F" w:rsidP="00C82607">
            <w:pPr>
              <w:keepNext/>
              <w:keepLines/>
              <w:jc w:val="center"/>
              <w:rPr>
                <w:rFonts w:ascii="Arial Narrow" w:hAnsi="Arial Narrow" w:cs="Calibri"/>
                <w:color w:val="000000"/>
                <w:sz w:val="20"/>
                <w:szCs w:val="20"/>
                <w:lang w:val="en-US" w:eastAsia="en-US"/>
              </w:rPr>
            </w:pPr>
            <w:r w:rsidRPr="00BF6111">
              <w:rPr>
                <w:rFonts w:ascii="Arial Narrow" w:hAnsi="Arial Narrow" w:cs="Calibri"/>
                <w:color w:val="000000"/>
                <w:sz w:val="20"/>
                <w:szCs w:val="20"/>
                <w:lang w:val="en-US" w:eastAsia="en-US"/>
              </w:rPr>
              <w:t>$31.59</w:t>
            </w:r>
          </w:p>
        </w:tc>
        <w:tc>
          <w:tcPr>
            <w:tcW w:w="521" w:type="pct"/>
            <w:tcBorders>
              <w:top w:val="nil"/>
              <w:left w:val="nil"/>
              <w:bottom w:val="single" w:sz="8" w:space="0" w:color="auto"/>
              <w:right w:val="single" w:sz="8" w:space="0" w:color="auto"/>
            </w:tcBorders>
            <w:shd w:val="clear" w:color="auto" w:fill="auto"/>
            <w:vAlign w:val="center"/>
            <w:hideMark/>
          </w:tcPr>
          <w:p w14:paraId="789EF457" w14:textId="77777777" w:rsidR="00F47D8F" w:rsidRPr="00BF6111" w:rsidRDefault="00F47D8F" w:rsidP="00C82607">
            <w:pPr>
              <w:keepNext/>
              <w:keepLines/>
              <w:jc w:val="center"/>
              <w:rPr>
                <w:rFonts w:ascii="Arial Narrow" w:hAnsi="Arial Narrow" w:cs="Calibri"/>
                <w:color w:val="000000"/>
                <w:sz w:val="20"/>
                <w:szCs w:val="20"/>
                <w:lang w:val="en-US" w:eastAsia="en-US"/>
              </w:rPr>
            </w:pPr>
            <w:r w:rsidRPr="00BF6111">
              <w:rPr>
                <w:rFonts w:ascii="Arial Narrow" w:hAnsi="Arial Narrow" w:cs="Calibri"/>
                <w:color w:val="000000"/>
                <w:sz w:val="20"/>
                <w:szCs w:val="20"/>
                <w:lang w:val="en-US" w:eastAsia="en-US"/>
              </w:rPr>
              <w:t>$24.71</w:t>
            </w:r>
          </w:p>
        </w:tc>
        <w:tc>
          <w:tcPr>
            <w:tcW w:w="295" w:type="pct"/>
            <w:vMerge/>
            <w:tcBorders>
              <w:left w:val="single" w:sz="8" w:space="0" w:color="auto"/>
              <w:right w:val="single" w:sz="8" w:space="0" w:color="auto"/>
            </w:tcBorders>
            <w:vAlign w:val="center"/>
            <w:hideMark/>
          </w:tcPr>
          <w:p w14:paraId="0510935D" w14:textId="77777777" w:rsidR="00F47D8F" w:rsidRPr="00BF6111" w:rsidRDefault="00F47D8F" w:rsidP="00C82607">
            <w:pPr>
              <w:keepNext/>
              <w:keepLines/>
              <w:jc w:val="left"/>
              <w:rPr>
                <w:rFonts w:ascii="Arial Narrow" w:hAnsi="Arial Narrow" w:cs="Calibri"/>
                <w:color w:val="000000"/>
                <w:sz w:val="20"/>
                <w:szCs w:val="20"/>
                <w:lang w:val="en-US" w:eastAsia="en-US"/>
              </w:rPr>
            </w:pPr>
          </w:p>
        </w:tc>
        <w:tc>
          <w:tcPr>
            <w:tcW w:w="556" w:type="pct"/>
            <w:tcBorders>
              <w:top w:val="nil"/>
              <w:left w:val="nil"/>
              <w:bottom w:val="single" w:sz="8" w:space="0" w:color="auto"/>
              <w:right w:val="single" w:sz="8" w:space="0" w:color="auto"/>
            </w:tcBorders>
            <w:shd w:val="clear" w:color="auto" w:fill="auto"/>
            <w:vAlign w:val="center"/>
            <w:hideMark/>
          </w:tcPr>
          <w:p w14:paraId="67F1FDAC" w14:textId="77777777" w:rsidR="00F47D8F" w:rsidRPr="00BF6111" w:rsidRDefault="00F47D8F" w:rsidP="00C82607">
            <w:pPr>
              <w:keepNext/>
              <w:keepLines/>
              <w:jc w:val="center"/>
              <w:rPr>
                <w:rFonts w:ascii="Arial Narrow" w:hAnsi="Arial Narrow" w:cs="Calibri"/>
                <w:color w:val="000000"/>
                <w:sz w:val="20"/>
                <w:szCs w:val="20"/>
                <w:lang w:val="en-US" w:eastAsia="en-US"/>
              </w:rPr>
            </w:pPr>
            <w:r w:rsidRPr="00BF6111">
              <w:rPr>
                <w:rFonts w:ascii="Arial Narrow" w:hAnsi="Arial Narrow" w:cs="Calibri"/>
                <w:color w:val="000000"/>
                <w:sz w:val="20"/>
                <w:szCs w:val="20"/>
                <w:lang w:val="en-US" w:eastAsia="en-US"/>
              </w:rPr>
              <w:t>12.15</w:t>
            </w:r>
          </w:p>
        </w:tc>
        <w:tc>
          <w:tcPr>
            <w:tcW w:w="475" w:type="pct"/>
            <w:tcBorders>
              <w:top w:val="nil"/>
              <w:left w:val="nil"/>
              <w:bottom w:val="single" w:sz="8" w:space="0" w:color="auto"/>
              <w:right w:val="single" w:sz="8" w:space="0" w:color="auto"/>
            </w:tcBorders>
            <w:shd w:val="clear" w:color="auto" w:fill="auto"/>
            <w:vAlign w:val="center"/>
            <w:hideMark/>
          </w:tcPr>
          <w:p w14:paraId="499D93BD" w14:textId="77777777" w:rsidR="00F47D8F" w:rsidRPr="00BF6111" w:rsidRDefault="00F47D8F" w:rsidP="00C82607">
            <w:pPr>
              <w:keepNext/>
              <w:keepLines/>
              <w:jc w:val="center"/>
              <w:rPr>
                <w:rFonts w:ascii="Arial Narrow" w:hAnsi="Arial Narrow" w:cs="Calibri"/>
                <w:color w:val="000000"/>
                <w:sz w:val="20"/>
                <w:szCs w:val="20"/>
                <w:lang w:val="en-US" w:eastAsia="en-US"/>
              </w:rPr>
            </w:pPr>
            <w:r w:rsidRPr="00BF6111">
              <w:rPr>
                <w:rFonts w:ascii="Arial Narrow" w:hAnsi="Arial Narrow" w:cs="Calibri"/>
                <w:color w:val="000000"/>
                <w:sz w:val="20"/>
                <w:szCs w:val="20"/>
                <w:lang w:eastAsia="en-US"/>
              </w:rPr>
              <w:t>11.29</w:t>
            </w:r>
          </w:p>
        </w:tc>
        <w:tc>
          <w:tcPr>
            <w:tcW w:w="530" w:type="pct"/>
            <w:tcBorders>
              <w:top w:val="nil"/>
              <w:left w:val="nil"/>
              <w:bottom w:val="single" w:sz="8" w:space="0" w:color="auto"/>
              <w:right w:val="single" w:sz="8" w:space="0" w:color="auto"/>
            </w:tcBorders>
            <w:shd w:val="clear" w:color="auto" w:fill="auto"/>
            <w:vAlign w:val="center"/>
            <w:hideMark/>
          </w:tcPr>
          <w:p w14:paraId="3D3994D9" w14:textId="77777777" w:rsidR="00F47D8F" w:rsidRPr="00BF6111" w:rsidRDefault="00F47D8F" w:rsidP="00C82607">
            <w:pPr>
              <w:keepNext/>
              <w:keepLines/>
              <w:jc w:val="center"/>
              <w:rPr>
                <w:rFonts w:ascii="Arial Narrow" w:hAnsi="Arial Narrow" w:cs="Calibri"/>
                <w:color w:val="000000"/>
                <w:sz w:val="20"/>
                <w:szCs w:val="20"/>
                <w:lang w:val="en-US" w:eastAsia="en-US"/>
              </w:rPr>
            </w:pPr>
            <w:r w:rsidRPr="00BF6111">
              <w:rPr>
                <w:rFonts w:ascii="Arial Narrow" w:hAnsi="Arial Narrow" w:cs="Calibri"/>
                <w:color w:val="000000"/>
                <w:sz w:val="20"/>
                <w:szCs w:val="20"/>
                <w:lang w:val="en-US" w:eastAsia="en-US"/>
              </w:rPr>
              <w:t xml:space="preserve">$361.38 </w:t>
            </w:r>
          </w:p>
        </w:tc>
        <w:tc>
          <w:tcPr>
            <w:tcW w:w="530" w:type="pct"/>
            <w:tcBorders>
              <w:top w:val="nil"/>
              <w:left w:val="nil"/>
              <w:bottom w:val="single" w:sz="8" w:space="0" w:color="auto"/>
              <w:right w:val="single" w:sz="8" w:space="0" w:color="auto"/>
            </w:tcBorders>
            <w:shd w:val="clear" w:color="auto" w:fill="auto"/>
            <w:vAlign w:val="center"/>
            <w:hideMark/>
          </w:tcPr>
          <w:p w14:paraId="651024D8" w14:textId="77777777" w:rsidR="00F47D8F" w:rsidRPr="00BF6111" w:rsidRDefault="00F47D8F" w:rsidP="00C82607">
            <w:pPr>
              <w:keepNext/>
              <w:keepLines/>
              <w:jc w:val="center"/>
              <w:rPr>
                <w:rFonts w:ascii="Arial Narrow" w:hAnsi="Arial Narrow" w:cs="Calibri"/>
                <w:color w:val="000000"/>
                <w:sz w:val="20"/>
                <w:szCs w:val="20"/>
                <w:lang w:val="en-US" w:eastAsia="en-US"/>
              </w:rPr>
            </w:pPr>
            <w:r w:rsidRPr="00BF6111">
              <w:rPr>
                <w:rFonts w:ascii="Arial Narrow" w:hAnsi="Arial Narrow" w:cs="Calibri"/>
                <w:color w:val="000000"/>
                <w:sz w:val="20"/>
                <w:szCs w:val="20"/>
                <w:lang w:val="en-US" w:eastAsia="en-US"/>
              </w:rPr>
              <w:t>$383.82</w:t>
            </w:r>
          </w:p>
        </w:tc>
        <w:tc>
          <w:tcPr>
            <w:tcW w:w="525" w:type="pct"/>
            <w:tcBorders>
              <w:top w:val="nil"/>
              <w:left w:val="nil"/>
              <w:bottom w:val="single" w:sz="8" w:space="0" w:color="auto"/>
              <w:right w:val="single" w:sz="8" w:space="0" w:color="auto"/>
            </w:tcBorders>
            <w:shd w:val="clear" w:color="auto" w:fill="auto"/>
            <w:vAlign w:val="center"/>
            <w:hideMark/>
          </w:tcPr>
          <w:p w14:paraId="37624E68" w14:textId="77777777" w:rsidR="00F47D8F" w:rsidRPr="00BF6111" w:rsidRDefault="00F47D8F" w:rsidP="00C82607">
            <w:pPr>
              <w:keepNext/>
              <w:keepLines/>
              <w:jc w:val="center"/>
              <w:rPr>
                <w:rFonts w:ascii="Arial Narrow" w:hAnsi="Arial Narrow" w:cs="Calibri"/>
                <w:color w:val="000000"/>
                <w:sz w:val="20"/>
                <w:szCs w:val="20"/>
                <w:lang w:val="en-US" w:eastAsia="en-US"/>
              </w:rPr>
            </w:pPr>
            <w:r w:rsidRPr="00BF6111">
              <w:rPr>
                <w:rFonts w:ascii="Arial Narrow" w:hAnsi="Arial Narrow" w:cs="Calibri"/>
                <w:color w:val="000000"/>
                <w:sz w:val="20"/>
                <w:szCs w:val="20"/>
                <w:lang w:val="en-US" w:eastAsia="en-US"/>
              </w:rPr>
              <w:t>$278.98</w:t>
            </w:r>
          </w:p>
        </w:tc>
      </w:tr>
      <w:tr w:rsidR="00F47D8F" w:rsidRPr="00BF6111" w14:paraId="08BCF2DA" w14:textId="77777777" w:rsidTr="00F47D8F">
        <w:trPr>
          <w:trHeight w:val="20"/>
        </w:trPr>
        <w:tc>
          <w:tcPr>
            <w:tcW w:w="601" w:type="pct"/>
            <w:tcBorders>
              <w:top w:val="nil"/>
              <w:left w:val="single" w:sz="8" w:space="0" w:color="auto"/>
              <w:bottom w:val="single" w:sz="8" w:space="0" w:color="auto"/>
              <w:right w:val="single" w:sz="8" w:space="0" w:color="auto"/>
            </w:tcBorders>
            <w:shd w:val="clear" w:color="auto" w:fill="auto"/>
            <w:vAlign w:val="center"/>
            <w:hideMark/>
          </w:tcPr>
          <w:p w14:paraId="6DFD5ED6" w14:textId="77777777" w:rsidR="00F47D8F" w:rsidRPr="00BF6111" w:rsidRDefault="00F47D8F" w:rsidP="00C82607">
            <w:pPr>
              <w:keepNext/>
              <w:keepLines/>
              <w:jc w:val="left"/>
              <w:rPr>
                <w:rFonts w:ascii="Arial Narrow" w:hAnsi="Arial Narrow" w:cs="Calibri"/>
                <w:color w:val="000000"/>
                <w:sz w:val="20"/>
                <w:szCs w:val="20"/>
                <w:lang w:val="en-US" w:eastAsia="en-US"/>
              </w:rPr>
            </w:pPr>
            <w:r w:rsidRPr="00BF6111">
              <w:rPr>
                <w:rFonts w:ascii="Arial Narrow" w:hAnsi="Arial Narrow" w:cs="Calibri"/>
                <w:color w:val="000000"/>
                <w:sz w:val="20"/>
                <w:szCs w:val="20"/>
                <w:lang w:eastAsia="en-US"/>
              </w:rPr>
              <w:t xml:space="preserve">Fluorouracil </w:t>
            </w:r>
          </w:p>
        </w:tc>
        <w:tc>
          <w:tcPr>
            <w:tcW w:w="482" w:type="pct"/>
            <w:tcBorders>
              <w:top w:val="nil"/>
              <w:left w:val="nil"/>
              <w:bottom w:val="single" w:sz="8" w:space="0" w:color="auto"/>
              <w:right w:val="single" w:sz="8" w:space="0" w:color="auto"/>
            </w:tcBorders>
            <w:shd w:val="clear" w:color="auto" w:fill="auto"/>
            <w:vAlign w:val="center"/>
            <w:hideMark/>
          </w:tcPr>
          <w:p w14:paraId="2C2C36D2" w14:textId="77777777" w:rsidR="00F47D8F" w:rsidRPr="00BF6111" w:rsidRDefault="00F47D8F" w:rsidP="00C82607">
            <w:pPr>
              <w:keepNext/>
              <w:keepLines/>
              <w:jc w:val="center"/>
              <w:rPr>
                <w:rFonts w:ascii="Arial Narrow" w:hAnsi="Arial Narrow" w:cs="Calibri"/>
                <w:color w:val="000000"/>
                <w:sz w:val="20"/>
                <w:szCs w:val="20"/>
                <w:lang w:val="en-US" w:eastAsia="en-US"/>
              </w:rPr>
            </w:pPr>
            <w:r w:rsidRPr="00BF6111">
              <w:rPr>
                <w:rFonts w:ascii="Arial Narrow" w:hAnsi="Arial Narrow" w:cs="Calibri"/>
                <w:color w:val="000000"/>
                <w:sz w:val="20"/>
                <w:szCs w:val="20"/>
                <w:lang w:eastAsia="en-US"/>
              </w:rPr>
              <w:t xml:space="preserve">$97.81 </w:t>
            </w:r>
          </w:p>
        </w:tc>
        <w:tc>
          <w:tcPr>
            <w:tcW w:w="483" w:type="pct"/>
            <w:tcBorders>
              <w:top w:val="nil"/>
              <w:left w:val="nil"/>
              <w:bottom w:val="single" w:sz="8" w:space="0" w:color="auto"/>
              <w:right w:val="single" w:sz="8" w:space="0" w:color="auto"/>
            </w:tcBorders>
            <w:shd w:val="clear" w:color="auto" w:fill="auto"/>
            <w:vAlign w:val="center"/>
            <w:hideMark/>
          </w:tcPr>
          <w:p w14:paraId="373FF287" w14:textId="77777777" w:rsidR="00F47D8F" w:rsidRPr="00BF6111" w:rsidRDefault="00F47D8F" w:rsidP="00C82607">
            <w:pPr>
              <w:keepNext/>
              <w:keepLines/>
              <w:jc w:val="center"/>
              <w:rPr>
                <w:rFonts w:ascii="Arial Narrow" w:hAnsi="Arial Narrow" w:cs="Calibri"/>
                <w:color w:val="000000"/>
                <w:sz w:val="20"/>
                <w:szCs w:val="20"/>
                <w:lang w:val="en-US" w:eastAsia="en-US"/>
              </w:rPr>
            </w:pPr>
            <w:r w:rsidRPr="00BF6111">
              <w:rPr>
                <w:rFonts w:ascii="Arial Narrow" w:hAnsi="Arial Narrow" w:cs="Calibri"/>
                <w:color w:val="000000"/>
                <w:sz w:val="20"/>
                <w:szCs w:val="20"/>
                <w:lang w:val="en-US" w:eastAsia="en-US"/>
              </w:rPr>
              <w:t>$120.09</w:t>
            </w:r>
          </w:p>
        </w:tc>
        <w:tc>
          <w:tcPr>
            <w:tcW w:w="521" w:type="pct"/>
            <w:tcBorders>
              <w:top w:val="nil"/>
              <w:left w:val="nil"/>
              <w:bottom w:val="single" w:sz="8" w:space="0" w:color="auto"/>
              <w:right w:val="single" w:sz="8" w:space="0" w:color="auto"/>
            </w:tcBorders>
            <w:shd w:val="clear" w:color="auto" w:fill="auto"/>
            <w:vAlign w:val="center"/>
            <w:hideMark/>
          </w:tcPr>
          <w:p w14:paraId="2B47EF86" w14:textId="77777777" w:rsidR="00F47D8F" w:rsidRPr="00BF6111" w:rsidRDefault="00F47D8F" w:rsidP="00C82607">
            <w:pPr>
              <w:keepNext/>
              <w:keepLines/>
              <w:jc w:val="center"/>
              <w:rPr>
                <w:rFonts w:ascii="Arial Narrow" w:hAnsi="Arial Narrow" w:cs="Calibri"/>
                <w:color w:val="000000"/>
                <w:sz w:val="20"/>
                <w:szCs w:val="20"/>
                <w:lang w:val="en-US" w:eastAsia="en-US"/>
              </w:rPr>
            </w:pPr>
            <w:r w:rsidRPr="00BF6111">
              <w:rPr>
                <w:rFonts w:ascii="Arial Narrow" w:hAnsi="Arial Narrow" w:cs="Calibri"/>
                <w:color w:val="000000"/>
                <w:sz w:val="20"/>
                <w:szCs w:val="20"/>
                <w:lang w:val="en-US" w:eastAsia="en-US"/>
              </w:rPr>
              <w:t>$117.98</w:t>
            </w:r>
          </w:p>
        </w:tc>
        <w:tc>
          <w:tcPr>
            <w:tcW w:w="295" w:type="pct"/>
            <w:vMerge/>
            <w:tcBorders>
              <w:left w:val="single" w:sz="8" w:space="0" w:color="auto"/>
              <w:right w:val="single" w:sz="8" w:space="0" w:color="auto"/>
            </w:tcBorders>
            <w:vAlign w:val="center"/>
            <w:hideMark/>
          </w:tcPr>
          <w:p w14:paraId="01BCB04A" w14:textId="77777777" w:rsidR="00F47D8F" w:rsidRPr="00BF6111" w:rsidRDefault="00F47D8F" w:rsidP="00C82607">
            <w:pPr>
              <w:keepNext/>
              <w:keepLines/>
              <w:jc w:val="left"/>
              <w:rPr>
                <w:rFonts w:ascii="Arial Narrow" w:hAnsi="Arial Narrow" w:cs="Calibri"/>
                <w:color w:val="000000"/>
                <w:sz w:val="20"/>
                <w:szCs w:val="20"/>
                <w:lang w:val="en-US" w:eastAsia="en-US"/>
              </w:rPr>
            </w:pPr>
          </w:p>
        </w:tc>
        <w:tc>
          <w:tcPr>
            <w:tcW w:w="556" w:type="pct"/>
            <w:tcBorders>
              <w:top w:val="nil"/>
              <w:left w:val="nil"/>
              <w:bottom w:val="single" w:sz="8" w:space="0" w:color="auto"/>
              <w:right w:val="single" w:sz="8" w:space="0" w:color="auto"/>
            </w:tcBorders>
            <w:shd w:val="clear" w:color="auto" w:fill="auto"/>
            <w:vAlign w:val="center"/>
            <w:hideMark/>
          </w:tcPr>
          <w:p w14:paraId="3EC3BABC" w14:textId="77777777" w:rsidR="00F47D8F" w:rsidRPr="00BF6111" w:rsidRDefault="00F47D8F" w:rsidP="00C82607">
            <w:pPr>
              <w:keepNext/>
              <w:keepLines/>
              <w:jc w:val="center"/>
              <w:rPr>
                <w:rFonts w:ascii="Arial Narrow" w:hAnsi="Arial Narrow" w:cs="Calibri"/>
                <w:color w:val="000000"/>
                <w:sz w:val="20"/>
                <w:szCs w:val="20"/>
                <w:lang w:val="en-US" w:eastAsia="en-US"/>
              </w:rPr>
            </w:pPr>
            <w:r w:rsidRPr="00BF6111">
              <w:rPr>
                <w:rFonts w:ascii="Arial Narrow" w:hAnsi="Arial Narrow" w:cs="Calibri"/>
                <w:color w:val="000000"/>
                <w:sz w:val="20"/>
                <w:szCs w:val="20"/>
                <w:lang w:val="en-US" w:eastAsia="en-US"/>
              </w:rPr>
              <w:t>11.67</w:t>
            </w:r>
          </w:p>
        </w:tc>
        <w:tc>
          <w:tcPr>
            <w:tcW w:w="475" w:type="pct"/>
            <w:tcBorders>
              <w:top w:val="nil"/>
              <w:left w:val="nil"/>
              <w:bottom w:val="single" w:sz="8" w:space="0" w:color="auto"/>
              <w:right w:val="single" w:sz="8" w:space="0" w:color="auto"/>
            </w:tcBorders>
            <w:shd w:val="clear" w:color="auto" w:fill="auto"/>
            <w:vAlign w:val="center"/>
            <w:hideMark/>
          </w:tcPr>
          <w:p w14:paraId="75DF8C72" w14:textId="77777777" w:rsidR="00F47D8F" w:rsidRPr="00BF6111" w:rsidRDefault="00F47D8F" w:rsidP="00C82607">
            <w:pPr>
              <w:keepNext/>
              <w:keepLines/>
              <w:jc w:val="center"/>
              <w:rPr>
                <w:rFonts w:ascii="Arial Narrow" w:hAnsi="Arial Narrow" w:cs="Calibri"/>
                <w:color w:val="000000"/>
                <w:sz w:val="20"/>
                <w:szCs w:val="20"/>
                <w:lang w:val="en-US" w:eastAsia="en-US"/>
              </w:rPr>
            </w:pPr>
            <w:r w:rsidRPr="00BF6111">
              <w:rPr>
                <w:rFonts w:ascii="Arial Narrow" w:hAnsi="Arial Narrow" w:cs="Calibri"/>
                <w:color w:val="000000"/>
                <w:sz w:val="20"/>
                <w:szCs w:val="20"/>
                <w:lang w:eastAsia="en-US"/>
              </w:rPr>
              <w:t>11.23</w:t>
            </w:r>
          </w:p>
        </w:tc>
        <w:tc>
          <w:tcPr>
            <w:tcW w:w="530" w:type="pct"/>
            <w:tcBorders>
              <w:top w:val="nil"/>
              <w:left w:val="nil"/>
              <w:bottom w:val="single" w:sz="8" w:space="0" w:color="auto"/>
              <w:right w:val="single" w:sz="8" w:space="0" w:color="auto"/>
            </w:tcBorders>
            <w:shd w:val="clear" w:color="auto" w:fill="auto"/>
            <w:vAlign w:val="center"/>
            <w:hideMark/>
          </w:tcPr>
          <w:p w14:paraId="1C1BF391" w14:textId="77777777" w:rsidR="00F47D8F" w:rsidRPr="00BF6111" w:rsidRDefault="00F47D8F" w:rsidP="00C82607">
            <w:pPr>
              <w:keepNext/>
              <w:keepLines/>
              <w:jc w:val="center"/>
              <w:rPr>
                <w:rFonts w:ascii="Arial Narrow" w:hAnsi="Arial Narrow" w:cs="Calibri"/>
                <w:color w:val="000000"/>
                <w:sz w:val="20"/>
                <w:szCs w:val="20"/>
                <w:lang w:val="en-US" w:eastAsia="en-US"/>
              </w:rPr>
            </w:pPr>
            <w:r w:rsidRPr="00BF6111">
              <w:rPr>
                <w:rFonts w:ascii="Arial Narrow" w:hAnsi="Arial Narrow" w:cs="Calibri"/>
                <w:color w:val="000000"/>
                <w:sz w:val="20"/>
                <w:szCs w:val="20"/>
                <w:lang w:val="en-US" w:eastAsia="en-US"/>
              </w:rPr>
              <w:t xml:space="preserve">$1,367.38 </w:t>
            </w:r>
          </w:p>
        </w:tc>
        <w:tc>
          <w:tcPr>
            <w:tcW w:w="530" w:type="pct"/>
            <w:tcBorders>
              <w:top w:val="nil"/>
              <w:left w:val="nil"/>
              <w:bottom w:val="single" w:sz="8" w:space="0" w:color="auto"/>
              <w:right w:val="single" w:sz="8" w:space="0" w:color="auto"/>
            </w:tcBorders>
            <w:shd w:val="clear" w:color="auto" w:fill="auto"/>
            <w:vAlign w:val="center"/>
            <w:hideMark/>
          </w:tcPr>
          <w:p w14:paraId="775BC8C8" w14:textId="77777777" w:rsidR="00F47D8F" w:rsidRPr="00BF6111" w:rsidRDefault="00F47D8F" w:rsidP="00C82607">
            <w:pPr>
              <w:keepNext/>
              <w:keepLines/>
              <w:jc w:val="center"/>
              <w:rPr>
                <w:rFonts w:ascii="Arial Narrow" w:hAnsi="Arial Narrow" w:cs="Calibri"/>
                <w:color w:val="000000"/>
                <w:sz w:val="20"/>
                <w:szCs w:val="20"/>
                <w:lang w:val="en-US" w:eastAsia="en-US"/>
              </w:rPr>
            </w:pPr>
            <w:r w:rsidRPr="00BF6111">
              <w:rPr>
                <w:rFonts w:ascii="Arial Narrow" w:hAnsi="Arial Narrow" w:cs="Calibri"/>
                <w:color w:val="000000"/>
                <w:sz w:val="20"/>
                <w:szCs w:val="20"/>
                <w:lang w:val="en-US" w:eastAsia="en-US"/>
              </w:rPr>
              <w:t>$1,401.45</w:t>
            </w:r>
          </w:p>
        </w:tc>
        <w:tc>
          <w:tcPr>
            <w:tcW w:w="525" w:type="pct"/>
            <w:tcBorders>
              <w:top w:val="nil"/>
              <w:left w:val="nil"/>
              <w:bottom w:val="single" w:sz="8" w:space="0" w:color="auto"/>
              <w:right w:val="single" w:sz="8" w:space="0" w:color="auto"/>
            </w:tcBorders>
            <w:shd w:val="clear" w:color="auto" w:fill="auto"/>
            <w:vAlign w:val="center"/>
            <w:hideMark/>
          </w:tcPr>
          <w:p w14:paraId="173288F6" w14:textId="77777777" w:rsidR="00F47D8F" w:rsidRPr="00BF6111" w:rsidRDefault="00F47D8F" w:rsidP="00C82607">
            <w:pPr>
              <w:keepNext/>
              <w:keepLines/>
              <w:jc w:val="center"/>
              <w:rPr>
                <w:rFonts w:ascii="Arial Narrow" w:hAnsi="Arial Narrow" w:cs="Calibri"/>
                <w:color w:val="000000"/>
                <w:sz w:val="20"/>
                <w:szCs w:val="20"/>
                <w:lang w:val="en-US" w:eastAsia="en-US"/>
              </w:rPr>
            </w:pPr>
            <w:r w:rsidRPr="00BF6111">
              <w:rPr>
                <w:rFonts w:ascii="Arial Narrow" w:hAnsi="Arial Narrow" w:cs="Calibri"/>
                <w:color w:val="000000"/>
                <w:sz w:val="20"/>
                <w:szCs w:val="20"/>
                <w:lang w:val="en-US" w:eastAsia="en-US"/>
              </w:rPr>
              <w:t>$1,324.90</w:t>
            </w:r>
          </w:p>
        </w:tc>
      </w:tr>
      <w:tr w:rsidR="00F47D8F" w:rsidRPr="00BF6111" w14:paraId="59E56B6F" w14:textId="77777777" w:rsidTr="00F47D8F">
        <w:trPr>
          <w:trHeight w:val="20"/>
        </w:trPr>
        <w:tc>
          <w:tcPr>
            <w:tcW w:w="601" w:type="pct"/>
            <w:tcBorders>
              <w:top w:val="nil"/>
              <w:left w:val="single" w:sz="8" w:space="0" w:color="auto"/>
              <w:bottom w:val="single" w:sz="8" w:space="0" w:color="auto"/>
              <w:right w:val="single" w:sz="8" w:space="0" w:color="auto"/>
            </w:tcBorders>
            <w:shd w:val="clear" w:color="auto" w:fill="auto"/>
            <w:vAlign w:val="center"/>
            <w:hideMark/>
          </w:tcPr>
          <w:p w14:paraId="53BD527C" w14:textId="77777777" w:rsidR="00F47D8F" w:rsidRPr="00BF6111" w:rsidRDefault="00F47D8F" w:rsidP="00C82607">
            <w:pPr>
              <w:keepNext/>
              <w:keepLines/>
              <w:jc w:val="left"/>
              <w:rPr>
                <w:rFonts w:ascii="Arial Narrow" w:hAnsi="Arial Narrow" w:cs="Calibri"/>
                <w:color w:val="000000"/>
                <w:sz w:val="20"/>
                <w:szCs w:val="20"/>
                <w:lang w:val="en-US" w:eastAsia="en-US"/>
              </w:rPr>
            </w:pPr>
            <w:r w:rsidRPr="00BF6111">
              <w:rPr>
                <w:rFonts w:ascii="Arial Narrow" w:hAnsi="Arial Narrow" w:cs="Calibri"/>
                <w:color w:val="000000"/>
                <w:sz w:val="20"/>
                <w:szCs w:val="20"/>
                <w:lang w:eastAsia="en-US"/>
              </w:rPr>
              <w:t xml:space="preserve">Fluorouracil cont. </w:t>
            </w:r>
          </w:p>
        </w:tc>
        <w:tc>
          <w:tcPr>
            <w:tcW w:w="482" w:type="pct"/>
            <w:tcBorders>
              <w:top w:val="nil"/>
              <w:left w:val="nil"/>
              <w:bottom w:val="single" w:sz="8" w:space="0" w:color="auto"/>
              <w:right w:val="single" w:sz="8" w:space="0" w:color="auto"/>
            </w:tcBorders>
            <w:shd w:val="clear" w:color="auto" w:fill="auto"/>
            <w:vAlign w:val="center"/>
            <w:hideMark/>
          </w:tcPr>
          <w:p w14:paraId="21124F37" w14:textId="77777777" w:rsidR="00F47D8F" w:rsidRPr="00BF6111" w:rsidRDefault="00F47D8F" w:rsidP="00C82607">
            <w:pPr>
              <w:keepNext/>
              <w:keepLines/>
              <w:jc w:val="center"/>
              <w:rPr>
                <w:rFonts w:ascii="Arial Narrow" w:hAnsi="Arial Narrow" w:cs="Calibri"/>
                <w:color w:val="000000"/>
                <w:sz w:val="20"/>
                <w:szCs w:val="20"/>
                <w:lang w:val="en-US" w:eastAsia="en-US"/>
              </w:rPr>
            </w:pPr>
            <w:r w:rsidRPr="00BF6111">
              <w:rPr>
                <w:rFonts w:ascii="Arial Narrow" w:hAnsi="Arial Narrow" w:cs="Calibri"/>
                <w:color w:val="000000"/>
                <w:sz w:val="20"/>
                <w:szCs w:val="20"/>
                <w:lang w:eastAsia="en-US"/>
              </w:rPr>
              <w:t xml:space="preserve">$110.38 </w:t>
            </w:r>
          </w:p>
        </w:tc>
        <w:tc>
          <w:tcPr>
            <w:tcW w:w="483" w:type="pct"/>
            <w:tcBorders>
              <w:top w:val="nil"/>
              <w:left w:val="nil"/>
              <w:bottom w:val="single" w:sz="8" w:space="0" w:color="auto"/>
              <w:right w:val="single" w:sz="8" w:space="0" w:color="auto"/>
            </w:tcBorders>
            <w:shd w:val="clear" w:color="auto" w:fill="auto"/>
            <w:vAlign w:val="center"/>
            <w:hideMark/>
          </w:tcPr>
          <w:p w14:paraId="5675C799" w14:textId="77777777" w:rsidR="00F47D8F" w:rsidRPr="00BF6111" w:rsidRDefault="00F47D8F" w:rsidP="00C82607">
            <w:pPr>
              <w:keepNext/>
              <w:keepLines/>
              <w:jc w:val="center"/>
              <w:rPr>
                <w:rFonts w:ascii="Arial Narrow" w:hAnsi="Arial Narrow" w:cs="Calibri"/>
                <w:color w:val="000000"/>
                <w:sz w:val="20"/>
                <w:szCs w:val="20"/>
                <w:lang w:val="en-US" w:eastAsia="en-US"/>
              </w:rPr>
            </w:pPr>
            <w:r w:rsidRPr="00BF6111">
              <w:rPr>
                <w:rFonts w:ascii="Arial Narrow" w:hAnsi="Arial Narrow" w:cs="Calibri"/>
                <w:color w:val="000000"/>
                <w:sz w:val="20"/>
                <w:szCs w:val="20"/>
                <w:lang w:val="en-US" w:eastAsia="en-US"/>
              </w:rPr>
              <w:t>$124.61</w:t>
            </w:r>
          </w:p>
        </w:tc>
        <w:tc>
          <w:tcPr>
            <w:tcW w:w="521" w:type="pct"/>
            <w:tcBorders>
              <w:top w:val="nil"/>
              <w:left w:val="nil"/>
              <w:bottom w:val="single" w:sz="8" w:space="0" w:color="auto"/>
              <w:right w:val="single" w:sz="8" w:space="0" w:color="auto"/>
            </w:tcBorders>
            <w:shd w:val="clear" w:color="auto" w:fill="auto"/>
            <w:vAlign w:val="center"/>
            <w:hideMark/>
          </w:tcPr>
          <w:p w14:paraId="7F771185" w14:textId="77777777" w:rsidR="00F47D8F" w:rsidRPr="00BF6111" w:rsidRDefault="00F47D8F" w:rsidP="00C82607">
            <w:pPr>
              <w:keepNext/>
              <w:keepLines/>
              <w:jc w:val="center"/>
              <w:rPr>
                <w:rFonts w:ascii="Arial Narrow" w:hAnsi="Arial Narrow" w:cs="Calibri"/>
                <w:color w:val="000000"/>
                <w:sz w:val="20"/>
                <w:szCs w:val="20"/>
                <w:lang w:val="en-US" w:eastAsia="en-US"/>
              </w:rPr>
            </w:pPr>
            <w:r w:rsidRPr="00BF6111">
              <w:rPr>
                <w:rFonts w:ascii="Arial Narrow" w:hAnsi="Arial Narrow" w:cs="Calibri"/>
                <w:color w:val="000000"/>
                <w:sz w:val="20"/>
                <w:szCs w:val="20"/>
                <w:lang w:val="en-US" w:eastAsia="en-US"/>
              </w:rPr>
              <w:t>$128.08</w:t>
            </w:r>
          </w:p>
        </w:tc>
        <w:tc>
          <w:tcPr>
            <w:tcW w:w="295" w:type="pct"/>
            <w:vMerge/>
            <w:tcBorders>
              <w:left w:val="single" w:sz="8" w:space="0" w:color="auto"/>
              <w:bottom w:val="single" w:sz="8" w:space="0" w:color="auto"/>
              <w:right w:val="single" w:sz="8" w:space="0" w:color="auto"/>
            </w:tcBorders>
            <w:shd w:val="clear" w:color="auto" w:fill="auto"/>
            <w:vAlign w:val="center"/>
            <w:hideMark/>
          </w:tcPr>
          <w:p w14:paraId="15E80C76" w14:textId="77777777" w:rsidR="00F47D8F" w:rsidRPr="00BF6111" w:rsidRDefault="00F47D8F" w:rsidP="00C82607">
            <w:pPr>
              <w:keepNext/>
              <w:keepLines/>
              <w:jc w:val="center"/>
              <w:rPr>
                <w:rFonts w:ascii="Arial Narrow" w:hAnsi="Arial Narrow" w:cs="Calibri"/>
                <w:color w:val="000000"/>
                <w:sz w:val="20"/>
                <w:szCs w:val="20"/>
                <w:lang w:val="en-US" w:eastAsia="en-US"/>
              </w:rPr>
            </w:pPr>
          </w:p>
        </w:tc>
        <w:tc>
          <w:tcPr>
            <w:tcW w:w="556" w:type="pct"/>
            <w:tcBorders>
              <w:top w:val="nil"/>
              <w:left w:val="nil"/>
              <w:bottom w:val="single" w:sz="8" w:space="0" w:color="auto"/>
              <w:right w:val="single" w:sz="8" w:space="0" w:color="auto"/>
            </w:tcBorders>
            <w:shd w:val="clear" w:color="auto" w:fill="auto"/>
            <w:vAlign w:val="center"/>
            <w:hideMark/>
          </w:tcPr>
          <w:p w14:paraId="0232C923" w14:textId="77777777" w:rsidR="00F47D8F" w:rsidRPr="00BF6111" w:rsidRDefault="00F47D8F" w:rsidP="00C82607">
            <w:pPr>
              <w:keepNext/>
              <w:keepLines/>
              <w:jc w:val="center"/>
              <w:rPr>
                <w:rFonts w:ascii="Arial Narrow" w:hAnsi="Arial Narrow" w:cs="Calibri"/>
                <w:color w:val="000000"/>
                <w:sz w:val="20"/>
                <w:szCs w:val="20"/>
                <w:lang w:val="en-US" w:eastAsia="en-US"/>
              </w:rPr>
            </w:pPr>
            <w:r w:rsidRPr="00BF6111">
              <w:rPr>
                <w:rFonts w:ascii="Arial Narrow" w:hAnsi="Arial Narrow" w:cs="Calibri"/>
                <w:color w:val="000000"/>
                <w:sz w:val="20"/>
                <w:szCs w:val="20"/>
                <w:lang w:val="en-US" w:eastAsia="en-US"/>
              </w:rPr>
              <w:t>12.32</w:t>
            </w:r>
          </w:p>
        </w:tc>
        <w:tc>
          <w:tcPr>
            <w:tcW w:w="475" w:type="pct"/>
            <w:tcBorders>
              <w:top w:val="nil"/>
              <w:left w:val="nil"/>
              <w:bottom w:val="single" w:sz="8" w:space="0" w:color="auto"/>
              <w:right w:val="single" w:sz="8" w:space="0" w:color="auto"/>
            </w:tcBorders>
            <w:shd w:val="clear" w:color="auto" w:fill="auto"/>
            <w:vAlign w:val="center"/>
            <w:hideMark/>
          </w:tcPr>
          <w:p w14:paraId="715AF504" w14:textId="77777777" w:rsidR="00F47D8F" w:rsidRPr="00BF6111" w:rsidRDefault="00F47D8F" w:rsidP="00C82607">
            <w:pPr>
              <w:keepNext/>
              <w:keepLines/>
              <w:jc w:val="center"/>
              <w:rPr>
                <w:rFonts w:ascii="Arial Narrow" w:hAnsi="Arial Narrow" w:cs="Calibri"/>
                <w:color w:val="000000"/>
                <w:sz w:val="20"/>
                <w:szCs w:val="20"/>
                <w:lang w:val="en-US" w:eastAsia="en-US"/>
              </w:rPr>
            </w:pPr>
            <w:r w:rsidRPr="00BF6111">
              <w:rPr>
                <w:rFonts w:ascii="Arial Narrow" w:hAnsi="Arial Narrow" w:cs="Calibri"/>
                <w:color w:val="000000"/>
                <w:sz w:val="20"/>
                <w:szCs w:val="20"/>
                <w:lang w:eastAsia="en-US"/>
              </w:rPr>
              <w:t>12.22</w:t>
            </w:r>
          </w:p>
        </w:tc>
        <w:tc>
          <w:tcPr>
            <w:tcW w:w="530" w:type="pct"/>
            <w:tcBorders>
              <w:top w:val="nil"/>
              <w:left w:val="nil"/>
              <w:bottom w:val="single" w:sz="8" w:space="0" w:color="auto"/>
              <w:right w:val="single" w:sz="8" w:space="0" w:color="auto"/>
            </w:tcBorders>
            <w:shd w:val="clear" w:color="auto" w:fill="auto"/>
            <w:vAlign w:val="center"/>
            <w:hideMark/>
          </w:tcPr>
          <w:p w14:paraId="4976883A" w14:textId="77777777" w:rsidR="00F47D8F" w:rsidRPr="00BF6111" w:rsidRDefault="00F47D8F" w:rsidP="00C82607">
            <w:pPr>
              <w:keepNext/>
              <w:keepLines/>
              <w:jc w:val="center"/>
              <w:rPr>
                <w:rFonts w:ascii="Arial Narrow" w:hAnsi="Arial Narrow" w:cs="Calibri"/>
                <w:color w:val="000000"/>
                <w:sz w:val="20"/>
                <w:szCs w:val="20"/>
                <w:lang w:val="en-US" w:eastAsia="en-US"/>
              </w:rPr>
            </w:pPr>
            <w:r w:rsidRPr="00BF6111">
              <w:rPr>
                <w:rFonts w:ascii="Arial Narrow" w:hAnsi="Arial Narrow" w:cs="Calibri"/>
                <w:color w:val="000000"/>
                <w:sz w:val="20"/>
                <w:szCs w:val="20"/>
                <w:lang w:val="en-US" w:eastAsia="en-US"/>
              </w:rPr>
              <w:t xml:space="preserve">$1,543.11 </w:t>
            </w:r>
          </w:p>
        </w:tc>
        <w:tc>
          <w:tcPr>
            <w:tcW w:w="530" w:type="pct"/>
            <w:tcBorders>
              <w:top w:val="nil"/>
              <w:left w:val="nil"/>
              <w:bottom w:val="single" w:sz="8" w:space="0" w:color="auto"/>
              <w:right w:val="single" w:sz="8" w:space="0" w:color="auto"/>
            </w:tcBorders>
            <w:shd w:val="clear" w:color="auto" w:fill="auto"/>
            <w:vAlign w:val="center"/>
            <w:hideMark/>
          </w:tcPr>
          <w:p w14:paraId="6354E785" w14:textId="77777777" w:rsidR="00F47D8F" w:rsidRPr="00BF6111" w:rsidRDefault="00F47D8F" w:rsidP="00C82607">
            <w:pPr>
              <w:keepNext/>
              <w:keepLines/>
              <w:jc w:val="center"/>
              <w:rPr>
                <w:rFonts w:ascii="Arial Narrow" w:hAnsi="Arial Narrow" w:cs="Calibri"/>
                <w:color w:val="000000"/>
                <w:sz w:val="20"/>
                <w:szCs w:val="20"/>
                <w:lang w:val="en-US" w:eastAsia="en-US"/>
              </w:rPr>
            </w:pPr>
            <w:r w:rsidRPr="00BF6111">
              <w:rPr>
                <w:rFonts w:ascii="Arial Narrow" w:hAnsi="Arial Narrow" w:cs="Calibri"/>
                <w:color w:val="000000"/>
                <w:sz w:val="20"/>
                <w:szCs w:val="20"/>
                <w:lang w:val="en-US" w:eastAsia="en-US"/>
              </w:rPr>
              <w:t>$1,535.19</w:t>
            </w:r>
          </w:p>
        </w:tc>
        <w:tc>
          <w:tcPr>
            <w:tcW w:w="525" w:type="pct"/>
            <w:tcBorders>
              <w:top w:val="nil"/>
              <w:left w:val="nil"/>
              <w:bottom w:val="single" w:sz="8" w:space="0" w:color="auto"/>
              <w:right w:val="single" w:sz="8" w:space="0" w:color="auto"/>
            </w:tcBorders>
            <w:shd w:val="clear" w:color="auto" w:fill="auto"/>
            <w:vAlign w:val="center"/>
            <w:hideMark/>
          </w:tcPr>
          <w:p w14:paraId="4B42B9F9" w14:textId="77777777" w:rsidR="00F47D8F" w:rsidRPr="00BF6111" w:rsidRDefault="00F47D8F" w:rsidP="00C82607">
            <w:pPr>
              <w:keepNext/>
              <w:keepLines/>
              <w:jc w:val="center"/>
              <w:rPr>
                <w:rFonts w:ascii="Arial Narrow" w:hAnsi="Arial Narrow" w:cs="Calibri"/>
                <w:color w:val="000000"/>
                <w:sz w:val="20"/>
                <w:szCs w:val="20"/>
                <w:lang w:val="en-US" w:eastAsia="en-US"/>
              </w:rPr>
            </w:pPr>
            <w:r w:rsidRPr="00BF6111">
              <w:rPr>
                <w:rFonts w:ascii="Arial Narrow" w:hAnsi="Arial Narrow" w:cs="Calibri"/>
                <w:color w:val="000000"/>
                <w:sz w:val="20"/>
                <w:szCs w:val="20"/>
                <w:lang w:val="en-US" w:eastAsia="en-US"/>
              </w:rPr>
              <w:t>$1,565.09</w:t>
            </w:r>
          </w:p>
        </w:tc>
      </w:tr>
      <w:tr w:rsidR="00F47D8F" w:rsidRPr="00BF6111" w14:paraId="6B0F5548" w14:textId="77777777" w:rsidTr="00F47D8F">
        <w:trPr>
          <w:trHeight w:val="20"/>
        </w:trPr>
        <w:tc>
          <w:tcPr>
            <w:tcW w:w="3415" w:type="pct"/>
            <w:gridSpan w:val="7"/>
            <w:tcBorders>
              <w:top w:val="nil"/>
              <w:left w:val="single" w:sz="8" w:space="0" w:color="auto"/>
              <w:bottom w:val="single" w:sz="8" w:space="0" w:color="auto"/>
              <w:right w:val="single" w:sz="8" w:space="0" w:color="auto"/>
            </w:tcBorders>
            <w:shd w:val="clear" w:color="auto" w:fill="auto"/>
            <w:vAlign w:val="center"/>
            <w:hideMark/>
          </w:tcPr>
          <w:p w14:paraId="51576354" w14:textId="77777777" w:rsidR="00F47D8F" w:rsidRPr="00BF6111" w:rsidRDefault="00F47D8F" w:rsidP="00C82607">
            <w:pPr>
              <w:keepNext/>
              <w:keepLines/>
              <w:jc w:val="left"/>
              <w:rPr>
                <w:rFonts w:ascii="Arial Narrow" w:hAnsi="Arial Narrow" w:cs="Calibri"/>
                <w:color w:val="000000"/>
                <w:sz w:val="20"/>
                <w:szCs w:val="20"/>
                <w:lang w:val="en-US" w:eastAsia="en-US"/>
              </w:rPr>
            </w:pPr>
            <w:r w:rsidRPr="00BF6111">
              <w:rPr>
                <w:rFonts w:ascii="Arial Narrow" w:hAnsi="Arial Narrow" w:cs="Calibri"/>
                <w:color w:val="000000"/>
                <w:sz w:val="20"/>
                <w:szCs w:val="20"/>
                <w:lang w:eastAsia="en-US"/>
              </w:rPr>
              <w:t>Subtotal</w:t>
            </w:r>
          </w:p>
        </w:tc>
        <w:tc>
          <w:tcPr>
            <w:tcW w:w="530" w:type="pct"/>
            <w:tcBorders>
              <w:top w:val="nil"/>
              <w:left w:val="nil"/>
              <w:bottom w:val="single" w:sz="8" w:space="0" w:color="auto"/>
              <w:right w:val="single" w:sz="8" w:space="0" w:color="auto"/>
            </w:tcBorders>
            <w:shd w:val="clear" w:color="auto" w:fill="auto"/>
            <w:vAlign w:val="center"/>
            <w:hideMark/>
          </w:tcPr>
          <w:p w14:paraId="208A7DD6" w14:textId="77777777" w:rsidR="00F47D8F" w:rsidRPr="00BF6111" w:rsidRDefault="00F47D8F" w:rsidP="00C82607">
            <w:pPr>
              <w:keepNext/>
              <w:keepLines/>
              <w:jc w:val="center"/>
              <w:rPr>
                <w:rFonts w:ascii="Arial Narrow" w:hAnsi="Arial Narrow" w:cs="Calibri"/>
                <w:color w:val="000000"/>
                <w:sz w:val="20"/>
                <w:szCs w:val="20"/>
                <w:lang w:val="en-US" w:eastAsia="en-US"/>
              </w:rPr>
            </w:pPr>
            <w:r w:rsidRPr="00BF6111">
              <w:rPr>
                <w:rFonts w:ascii="Arial Narrow" w:hAnsi="Arial Narrow" w:cs="Calibri"/>
                <w:color w:val="000000"/>
                <w:sz w:val="20"/>
                <w:szCs w:val="20"/>
                <w:lang w:val="en-US" w:eastAsia="en-US"/>
              </w:rPr>
              <w:t xml:space="preserve">$4,286.97 </w:t>
            </w:r>
          </w:p>
        </w:tc>
        <w:tc>
          <w:tcPr>
            <w:tcW w:w="530" w:type="pct"/>
            <w:tcBorders>
              <w:top w:val="nil"/>
              <w:left w:val="nil"/>
              <w:bottom w:val="single" w:sz="8" w:space="0" w:color="auto"/>
              <w:right w:val="single" w:sz="8" w:space="0" w:color="auto"/>
            </w:tcBorders>
            <w:shd w:val="clear" w:color="auto" w:fill="auto"/>
            <w:vAlign w:val="center"/>
            <w:hideMark/>
          </w:tcPr>
          <w:p w14:paraId="7C0A38EE" w14:textId="77777777" w:rsidR="00F47D8F" w:rsidRPr="00BF6111" w:rsidRDefault="00F47D8F" w:rsidP="00C82607">
            <w:pPr>
              <w:keepNext/>
              <w:keepLines/>
              <w:jc w:val="center"/>
              <w:rPr>
                <w:rFonts w:ascii="Arial Narrow" w:hAnsi="Arial Narrow" w:cs="Calibri"/>
                <w:color w:val="000000"/>
                <w:sz w:val="20"/>
                <w:szCs w:val="20"/>
                <w:lang w:val="en-US" w:eastAsia="en-US"/>
              </w:rPr>
            </w:pPr>
            <w:r w:rsidRPr="00BF6111">
              <w:rPr>
                <w:rFonts w:ascii="Arial Narrow" w:hAnsi="Arial Narrow" w:cs="Calibri"/>
                <w:color w:val="000000"/>
                <w:sz w:val="20"/>
                <w:szCs w:val="20"/>
                <w:lang w:val="en-US" w:eastAsia="en-US"/>
              </w:rPr>
              <w:t xml:space="preserve">$4,399.30 </w:t>
            </w:r>
          </w:p>
        </w:tc>
        <w:tc>
          <w:tcPr>
            <w:tcW w:w="525" w:type="pct"/>
            <w:tcBorders>
              <w:top w:val="nil"/>
              <w:left w:val="nil"/>
              <w:bottom w:val="single" w:sz="8" w:space="0" w:color="auto"/>
              <w:right w:val="single" w:sz="8" w:space="0" w:color="auto"/>
            </w:tcBorders>
            <w:shd w:val="clear" w:color="auto" w:fill="auto"/>
            <w:vAlign w:val="center"/>
            <w:hideMark/>
          </w:tcPr>
          <w:p w14:paraId="2F36F986" w14:textId="77777777" w:rsidR="00F47D8F" w:rsidRPr="00BF6111" w:rsidRDefault="00F47D8F" w:rsidP="00C82607">
            <w:pPr>
              <w:keepNext/>
              <w:keepLines/>
              <w:jc w:val="center"/>
              <w:rPr>
                <w:rFonts w:ascii="Arial Narrow" w:hAnsi="Arial Narrow" w:cs="Calibri"/>
                <w:color w:val="000000"/>
                <w:sz w:val="20"/>
                <w:szCs w:val="20"/>
                <w:lang w:val="en-US" w:eastAsia="en-US"/>
              </w:rPr>
            </w:pPr>
            <w:r w:rsidRPr="00BF6111">
              <w:rPr>
                <w:rFonts w:ascii="Arial Narrow" w:hAnsi="Arial Narrow" w:cs="Calibri"/>
                <w:color w:val="000000"/>
                <w:sz w:val="20"/>
                <w:szCs w:val="20"/>
                <w:lang w:val="en-US" w:eastAsia="en-US"/>
              </w:rPr>
              <w:t xml:space="preserve">$4,411.52 </w:t>
            </w:r>
          </w:p>
        </w:tc>
      </w:tr>
      <w:tr w:rsidR="00F47D8F" w:rsidRPr="00BF6111" w14:paraId="425B4A13" w14:textId="77777777" w:rsidTr="00F47D8F">
        <w:trPr>
          <w:trHeight w:val="20"/>
        </w:trPr>
        <w:tc>
          <w:tcPr>
            <w:tcW w:w="5000" w:type="pct"/>
            <w:gridSpan w:val="10"/>
            <w:tcBorders>
              <w:top w:val="nil"/>
              <w:left w:val="single" w:sz="8" w:space="0" w:color="auto"/>
              <w:bottom w:val="single" w:sz="8" w:space="0" w:color="auto"/>
              <w:right w:val="single" w:sz="8" w:space="0" w:color="auto"/>
            </w:tcBorders>
            <w:shd w:val="clear" w:color="auto" w:fill="auto"/>
            <w:vAlign w:val="center"/>
            <w:hideMark/>
          </w:tcPr>
          <w:p w14:paraId="46478F8F" w14:textId="77777777" w:rsidR="00F47D8F" w:rsidRPr="00BF6111" w:rsidRDefault="00F47D8F" w:rsidP="00C82607">
            <w:pPr>
              <w:keepNext/>
              <w:keepLines/>
              <w:jc w:val="left"/>
              <w:rPr>
                <w:rFonts w:ascii="Arial Narrow" w:hAnsi="Arial Narrow" w:cs="Calibri"/>
                <w:color w:val="000000"/>
                <w:sz w:val="20"/>
                <w:szCs w:val="20"/>
                <w:lang w:val="en-US" w:eastAsia="en-US"/>
              </w:rPr>
            </w:pPr>
            <w:r w:rsidRPr="00BF6111">
              <w:rPr>
                <w:rFonts w:ascii="Arial Narrow" w:hAnsi="Arial Narrow" w:cs="Calibri"/>
                <w:color w:val="000000"/>
                <w:sz w:val="20"/>
                <w:szCs w:val="20"/>
                <w:lang w:eastAsia="en-US"/>
              </w:rPr>
              <w:t xml:space="preserve">XELOX </w:t>
            </w:r>
          </w:p>
        </w:tc>
      </w:tr>
      <w:tr w:rsidR="00F47D8F" w:rsidRPr="00BF6111" w14:paraId="371FEA39" w14:textId="77777777" w:rsidTr="00F47D8F">
        <w:trPr>
          <w:trHeight w:val="20"/>
        </w:trPr>
        <w:tc>
          <w:tcPr>
            <w:tcW w:w="601" w:type="pct"/>
            <w:tcBorders>
              <w:top w:val="nil"/>
              <w:left w:val="single" w:sz="8" w:space="0" w:color="auto"/>
              <w:bottom w:val="single" w:sz="8" w:space="0" w:color="auto"/>
              <w:right w:val="single" w:sz="8" w:space="0" w:color="auto"/>
            </w:tcBorders>
            <w:shd w:val="clear" w:color="auto" w:fill="auto"/>
            <w:vAlign w:val="center"/>
            <w:hideMark/>
          </w:tcPr>
          <w:p w14:paraId="43358EAC" w14:textId="77777777" w:rsidR="00F47D8F" w:rsidRPr="00BF6111" w:rsidRDefault="00F47D8F" w:rsidP="00C82607">
            <w:pPr>
              <w:keepNext/>
              <w:keepLines/>
              <w:jc w:val="left"/>
              <w:rPr>
                <w:rFonts w:ascii="Arial Narrow" w:hAnsi="Arial Narrow" w:cs="Calibri"/>
                <w:color w:val="000000"/>
                <w:sz w:val="20"/>
                <w:szCs w:val="20"/>
                <w:lang w:val="en-US" w:eastAsia="en-US"/>
              </w:rPr>
            </w:pPr>
            <w:proofErr w:type="spellStart"/>
            <w:r w:rsidRPr="00BF6111">
              <w:rPr>
                <w:rFonts w:ascii="Arial Narrow" w:hAnsi="Arial Narrow" w:cs="Calibri"/>
                <w:color w:val="000000"/>
                <w:sz w:val="20"/>
                <w:szCs w:val="20"/>
                <w:lang w:eastAsia="en-US"/>
              </w:rPr>
              <w:t>Oxaliplatin</w:t>
            </w:r>
            <w:proofErr w:type="spellEnd"/>
            <w:r w:rsidRPr="00BF6111">
              <w:rPr>
                <w:rFonts w:ascii="Arial Narrow" w:hAnsi="Arial Narrow" w:cs="Calibri"/>
                <w:color w:val="000000"/>
                <w:sz w:val="20"/>
                <w:szCs w:val="20"/>
                <w:lang w:eastAsia="en-US"/>
              </w:rPr>
              <w:t xml:space="preserve"> </w:t>
            </w:r>
          </w:p>
        </w:tc>
        <w:tc>
          <w:tcPr>
            <w:tcW w:w="482" w:type="pct"/>
            <w:tcBorders>
              <w:top w:val="nil"/>
              <w:left w:val="nil"/>
              <w:bottom w:val="single" w:sz="8" w:space="0" w:color="auto"/>
              <w:right w:val="single" w:sz="8" w:space="0" w:color="auto"/>
            </w:tcBorders>
            <w:shd w:val="clear" w:color="auto" w:fill="auto"/>
            <w:vAlign w:val="center"/>
            <w:hideMark/>
          </w:tcPr>
          <w:p w14:paraId="78AF392B" w14:textId="77777777" w:rsidR="00F47D8F" w:rsidRPr="00BF6111" w:rsidRDefault="00F47D8F" w:rsidP="00C82607">
            <w:pPr>
              <w:keepNext/>
              <w:keepLines/>
              <w:jc w:val="center"/>
              <w:rPr>
                <w:rFonts w:ascii="Arial Narrow" w:hAnsi="Arial Narrow" w:cs="Calibri"/>
                <w:color w:val="000000"/>
                <w:sz w:val="20"/>
                <w:szCs w:val="20"/>
                <w:lang w:val="en-US" w:eastAsia="en-US"/>
              </w:rPr>
            </w:pPr>
            <w:r w:rsidRPr="00BF6111">
              <w:rPr>
                <w:rFonts w:ascii="Arial Narrow" w:hAnsi="Arial Narrow" w:cs="Calibri"/>
                <w:color w:val="000000"/>
                <w:sz w:val="20"/>
                <w:szCs w:val="20"/>
                <w:lang w:eastAsia="en-US"/>
              </w:rPr>
              <w:t xml:space="preserve">$99.52 </w:t>
            </w:r>
          </w:p>
        </w:tc>
        <w:tc>
          <w:tcPr>
            <w:tcW w:w="483" w:type="pct"/>
            <w:tcBorders>
              <w:top w:val="nil"/>
              <w:left w:val="nil"/>
              <w:bottom w:val="single" w:sz="8" w:space="0" w:color="auto"/>
              <w:right w:val="single" w:sz="8" w:space="0" w:color="auto"/>
            </w:tcBorders>
            <w:shd w:val="clear" w:color="auto" w:fill="auto"/>
            <w:vAlign w:val="center"/>
            <w:hideMark/>
          </w:tcPr>
          <w:p w14:paraId="75311AE8" w14:textId="77777777" w:rsidR="00F47D8F" w:rsidRPr="00BF6111" w:rsidRDefault="00F47D8F" w:rsidP="00C82607">
            <w:pPr>
              <w:keepNext/>
              <w:keepLines/>
              <w:jc w:val="center"/>
              <w:rPr>
                <w:rFonts w:ascii="Arial Narrow" w:hAnsi="Arial Narrow" w:cs="Calibri"/>
                <w:color w:val="000000"/>
                <w:sz w:val="20"/>
                <w:szCs w:val="20"/>
                <w:lang w:val="en-US" w:eastAsia="en-US"/>
              </w:rPr>
            </w:pPr>
            <w:r w:rsidRPr="00BF6111">
              <w:rPr>
                <w:rFonts w:ascii="Arial Narrow" w:hAnsi="Arial Narrow" w:cs="Calibri"/>
                <w:color w:val="000000"/>
                <w:sz w:val="20"/>
                <w:szCs w:val="20"/>
                <w:lang w:val="en-US" w:eastAsia="en-US"/>
              </w:rPr>
              <w:t>$172.71</w:t>
            </w:r>
          </w:p>
        </w:tc>
        <w:tc>
          <w:tcPr>
            <w:tcW w:w="521" w:type="pct"/>
            <w:tcBorders>
              <w:top w:val="nil"/>
              <w:left w:val="nil"/>
              <w:bottom w:val="single" w:sz="8" w:space="0" w:color="auto"/>
              <w:right w:val="single" w:sz="8" w:space="0" w:color="auto"/>
            </w:tcBorders>
            <w:shd w:val="clear" w:color="auto" w:fill="auto"/>
            <w:vAlign w:val="center"/>
            <w:hideMark/>
          </w:tcPr>
          <w:p w14:paraId="77E232E2" w14:textId="77777777" w:rsidR="00F47D8F" w:rsidRPr="00BF6111" w:rsidRDefault="00F47D8F" w:rsidP="00C82607">
            <w:pPr>
              <w:keepNext/>
              <w:keepLines/>
              <w:jc w:val="center"/>
              <w:rPr>
                <w:rFonts w:ascii="Arial Narrow" w:hAnsi="Arial Narrow" w:cs="Calibri"/>
                <w:color w:val="000000"/>
                <w:sz w:val="20"/>
                <w:szCs w:val="20"/>
                <w:lang w:val="en-US" w:eastAsia="en-US"/>
              </w:rPr>
            </w:pPr>
            <w:r w:rsidRPr="00BF6111">
              <w:rPr>
                <w:rFonts w:ascii="Arial Narrow" w:hAnsi="Arial Narrow" w:cs="Calibri"/>
                <w:color w:val="000000"/>
                <w:sz w:val="20"/>
                <w:szCs w:val="20"/>
                <w:lang w:val="en-US" w:eastAsia="en-US"/>
              </w:rPr>
              <w:t>$158.56</w:t>
            </w:r>
          </w:p>
        </w:tc>
        <w:tc>
          <w:tcPr>
            <w:tcW w:w="295" w:type="pct"/>
            <w:vMerge w:val="restart"/>
            <w:tcBorders>
              <w:top w:val="nil"/>
              <w:left w:val="single" w:sz="8" w:space="0" w:color="auto"/>
              <w:bottom w:val="single" w:sz="8" w:space="0" w:color="000000"/>
              <w:right w:val="single" w:sz="8" w:space="0" w:color="auto"/>
            </w:tcBorders>
            <w:shd w:val="clear" w:color="auto" w:fill="auto"/>
            <w:vAlign w:val="center"/>
            <w:hideMark/>
          </w:tcPr>
          <w:p w14:paraId="3BC70B00" w14:textId="77777777" w:rsidR="00F47D8F" w:rsidRPr="00BF6111" w:rsidRDefault="00F47D8F" w:rsidP="00C82607">
            <w:pPr>
              <w:keepNext/>
              <w:keepLines/>
              <w:jc w:val="center"/>
              <w:rPr>
                <w:rFonts w:ascii="Arial Narrow" w:hAnsi="Arial Narrow" w:cs="Calibri"/>
                <w:color w:val="000000"/>
                <w:sz w:val="20"/>
                <w:szCs w:val="20"/>
                <w:lang w:val="en-US" w:eastAsia="en-US"/>
              </w:rPr>
            </w:pPr>
            <w:r w:rsidRPr="00BF6111">
              <w:rPr>
                <w:rFonts w:ascii="Arial Narrow" w:hAnsi="Arial Narrow" w:cs="Calibri"/>
                <w:color w:val="000000"/>
                <w:sz w:val="20"/>
                <w:szCs w:val="20"/>
                <w:lang w:val="en-US" w:eastAsia="en-US"/>
              </w:rPr>
              <w:t>9.32</w:t>
            </w:r>
          </w:p>
        </w:tc>
        <w:tc>
          <w:tcPr>
            <w:tcW w:w="556" w:type="pct"/>
            <w:tcBorders>
              <w:top w:val="nil"/>
              <w:left w:val="nil"/>
              <w:bottom w:val="single" w:sz="8" w:space="0" w:color="auto"/>
              <w:right w:val="single" w:sz="8" w:space="0" w:color="auto"/>
            </w:tcBorders>
            <w:shd w:val="clear" w:color="auto" w:fill="auto"/>
            <w:vAlign w:val="center"/>
            <w:hideMark/>
          </w:tcPr>
          <w:p w14:paraId="5DFDE56D" w14:textId="77777777" w:rsidR="00F47D8F" w:rsidRPr="00BF6111" w:rsidRDefault="00F47D8F" w:rsidP="00C82607">
            <w:pPr>
              <w:keepNext/>
              <w:keepLines/>
              <w:jc w:val="center"/>
              <w:rPr>
                <w:rFonts w:ascii="Arial Narrow" w:hAnsi="Arial Narrow" w:cs="Calibri"/>
                <w:color w:val="000000"/>
                <w:sz w:val="20"/>
                <w:szCs w:val="20"/>
                <w:lang w:val="en-US" w:eastAsia="en-US"/>
              </w:rPr>
            </w:pPr>
            <w:r w:rsidRPr="00BF6111">
              <w:rPr>
                <w:rFonts w:ascii="Arial Narrow" w:hAnsi="Arial Narrow" w:cs="Calibri"/>
                <w:color w:val="000000"/>
                <w:sz w:val="20"/>
                <w:szCs w:val="20"/>
                <w:lang w:val="en-US" w:eastAsia="en-US"/>
              </w:rPr>
              <w:t>6.7</w:t>
            </w:r>
          </w:p>
        </w:tc>
        <w:tc>
          <w:tcPr>
            <w:tcW w:w="475" w:type="pct"/>
            <w:tcBorders>
              <w:top w:val="nil"/>
              <w:left w:val="nil"/>
              <w:bottom w:val="single" w:sz="8" w:space="0" w:color="auto"/>
              <w:right w:val="single" w:sz="8" w:space="0" w:color="auto"/>
            </w:tcBorders>
            <w:shd w:val="clear" w:color="auto" w:fill="auto"/>
            <w:vAlign w:val="center"/>
            <w:hideMark/>
          </w:tcPr>
          <w:p w14:paraId="70576C0C" w14:textId="77777777" w:rsidR="00F47D8F" w:rsidRPr="00BF6111" w:rsidRDefault="00F47D8F" w:rsidP="00C82607">
            <w:pPr>
              <w:keepNext/>
              <w:keepLines/>
              <w:jc w:val="center"/>
              <w:rPr>
                <w:rFonts w:ascii="Arial Narrow" w:hAnsi="Arial Narrow" w:cs="Calibri"/>
                <w:color w:val="000000"/>
                <w:sz w:val="20"/>
                <w:szCs w:val="20"/>
                <w:lang w:val="en-US" w:eastAsia="en-US"/>
              </w:rPr>
            </w:pPr>
            <w:r w:rsidRPr="00BF6111">
              <w:rPr>
                <w:rFonts w:ascii="Arial Narrow" w:hAnsi="Arial Narrow" w:cs="Calibri"/>
                <w:color w:val="000000"/>
                <w:sz w:val="20"/>
                <w:szCs w:val="20"/>
                <w:lang w:eastAsia="en-US"/>
              </w:rPr>
              <w:t>5.38</w:t>
            </w:r>
          </w:p>
        </w:tc>
        <w:tc>
          <w:tcPr>
            <w:tcW w:w="530" w:type="pct"/>
            <w:tcBorders>
              <w:top w:val="nil"/>
              <w:left w:val="nil"/>
              <w:bottom w:val="single" w:sz="8" w:space="0" w:color="auto"/>
              <w:right w:val="single" w:sz="8" w:space="0" w:color="auto"/>
            </w:tcBorders>
            <w:shd w:val="clear" w:color="auto" w:fill="auto"/>
            <w:vAlign w:val="center"/>
            <w:hideMark/>
          </w:tcPr>
          <w:p w14:paraId="64D90650" w14:textId="77777777" w:rsidR="00F47D8F" w:rsidRPr="00BF6111" w:rsidRDefault="00F47D8F" w:rsidP="00C82607">
            <w:pPr>
              <w:keepNext/>
              <w:keepLines/>
              <w:jc w:val="center"/>
              <w:rPr>
                <w:rFonts w:ascii="Arial Narrow" w:hAnsi="Arial Narrow" w:cs="Calibri"/>
                <w:color w:val="000000"/>
                <w:sz w:val="20"/>
                <w:szCs w:val="20"/>
                <w:lang w:val="en-US" w:eastAsia="en-US"/>
              </w:rPr>
            </w:pPr>
            <w:r w:rsidRPr="00BF6111">
              <w:rPr>
                <w:rFonts w:ascii="Arial Narrow" w:hAnsi="Arial Narrow" w:cs="Calibri"/>
                <w:color w:val="000000"/>
                <w:sz w:val="20"/>
                <w:szCs w:val="20"/>
                <w:lang w:val="en-US" w:eastAsia="en-US"/>
              </w:rPr>
              <w:t xml:space="preserve">$927.53 </w:t>
            </w:r>
          </w:p>
        </w:tc>
        <w:tc>
          <w:tcPr>
            <w:tcW w:w="530" w:type="pct"/>
            <w:tcBorders>
              <w:top w:val="nil"/>
              <w:left w:val="nil"/>
              <w:bottom w:val="single" w:sz="8" w:space="0" w:color="auto"/>
              <w:right w:val="single" w:sz="8" w:space="0" w:color="auto"/>
            </w:tcBorders>
            <w:shd w:val="clear" w:color="auto" w:fill="auto"/>
            <w:vAlign w:val="center"/>
            <w:hideMark/>
          </w:tcPr>
          <w:p w14:paraId="74D411F0" w14:textId="77777777" w:rsidR="00F47D8F" w:rsidRPr="00BF6111" w:rsidRDefault="00F47D8F" w:rsidP="00C82607">
            <w:pPr>
              <w:keepNext/>
              <w:keepLines/>
              <w:jc w:val="center"/>
              <w:rPr>
                <w:rFonts w:ascii="Arial Narrow" w:hAnsi="Arial Narrow" w:cs="Calibri"/>
                <w:color w:val="000000"/>
                <w:sz w:val="20"/>
                <w:szCs w:val="20"/>
                <w:lang w:val="en-US" w:eastAsia="en-US"/>
              </w:rPr>
            </w:pPr>
            <w:r w:rsidRPr="00BF6111">
              <w:rPr>
                <w:rFonts w:ascii="Arial Narrow" w:hAnsi="Arial Narrow" w:cs="Calibri"/>
                <w:color w:val="000000"/>
                <w:sz w:val="20"/>
                <w:szCs w:val="20"/>
                <w:lang w:val="en-US" w:eastAsia="en-US"/>
              </w:rPr>
              <w:t>$1,157.14</w:t>
            </w:r>
          </w:p>
        </w:tc>
        <w:tc>
          <w:tcPr>
            <w:tcW w:w="525" w:type="pct"/>
            <w:tcBorders>
              <w:top w:val="nil"/>
              <w:left w:val="nil"/>
              <w:bottom w:val="single" w:sz="8" w:space="0" w:color="auto"/>
              <w:right w:val="single" w:sz="8" w:space="0" w:color="auto"/>
            </w:tcBorders>
            <w:shd w:val="clear" w:color="auto" w:fill="auto"/>
            <w:vAlign w:val="center"/>
            <w:hideMark/>
          </w:tcPr>
          <w:p w14:paraId="06C10D17" w14:textId="77777777" w:rsidR="00F47D8F" w:rsidRPr="00BF6111" w:rsidRDefault="00F47D8F" w:rsidP="00C82607">
            <w:pPr>
              <w:keepNext/>
              <w:keepLines/>
              <w:jc w:val="center"/>
              <w:rPr>
                <w:rFonts w:ascii="Arial Narrow" w:hAnsi="Arial Narrow" w:cs="Calibri"/>
                <w:color w:val="000000"/>
                <w:sz w:val="20"/>
                <w:szCs w:val="20"/>
                <w:lang w:val="en-US" w:eastAsia="en-US"/>
              </w:rPr>
            </w:pPr>
            <w:r w:rsidRPr="00BF6111">
              <w:rPr>
                <w:rFonts w:ascii="Arial Narrow" w:hAnsi="Arial Narrow" w:cs="Calibri"/>
                <w:color w:val="000000"/>
                <w:sz w:val="20"/>
                <w:szCs w:val="20"/>
                <w:lang w:val="en-US" w:eastAsia="en-US"/>
              </w:rPr>
              <w:t>$853.06</w:t>
            </w:r>
          </w:p>
        </w:tc>
      </w:tr>
      <w:tr w:rsidR="00F47D8F" w:rsidRPr="00BF6111" w14:paraId="485ACF6F" w14:textId="77777777" w:rsidTr="00F47D8F">
        <w:trPr>
          <w:trHeight w:val="20"/>
        </w:trPr>
        <w:tc>
          <w:tcPr>
            <w:tcW w:w="601" w:type="pct"/>
            <w:tcBorders>
              <w:top w:val="nil"/>
              <w:left w:val="single" w:sz="8" w:space="0" w:color="auto"/>
              <w:bottom w:val="single" w:sz="8" w:space="0" w:color="auto"/>
              <w:right w:val="single" w:sz="8" w:space="0" w:color="auto"/>
            </w:tcBorders>
            <w:shd w:val="clear" w:color="auto" w:fill="auto"/>
            <w:vAlign w:val="center"/>
            <w:hideMark/>
          </w:tcPr>
          <w:p w14:paraId="5E694F64" w14:textId="77777777" w:rsidR="00F47D8F" w:rsidRPr="00BF6111" w:rsidRDefault="00F47D8F" w:rsidP="00C82607">
            <w:pPr>
              <w:keepNext/>
              <w:keepLines/>
              <w:jc w:val="left"/>
              <w:rPr>
                <w:rFonts w:ascii="Arial Narrow" w:hAnsi="Arial Narrow" w:cs="Calibri"/>
                <w:color w:val="000000"/>
                <w:sz w:val="20"/>
                <w:szCs w:val="20"/>
                <w:lang w:val="en-US" w:eastAsia="en-US"/>
              </w:rPr>
            </w:pPr>
            <w:proofErr w:type="spellStart"/>
            <w:r w:rsidRPr="00BF6111">
              <w:rPr>
                <w:rFonts w:ascii="Arial Narrow" w:hAnsi="Arial Narrow" w:cs="Calibri"/>
                <w:color w:val="000000"/>
                <w:sz w:val="20"/>
                <w:szCs w:val="20"/>
                <w:lang w:eastAsia="en-US"/>
              </w:rPr>
              <w:t>Capecitabine</w:t>
            </w:r>
            <w:proofErr w:type="spellEnd"/>
            <w:r w:rsidRPr="00BF6111">
              <w:rPr>
                <w:rFonts w:ascii="Arial Narrow" w:hAnsi="Arial Narrow" w:cs="Calibri"/>
                <w:color w:val="000000"/>
                <w:sz w:val="20"/>
                <w:szCs w:val="20"/>
                <w:lang w:eastAsia="en-US"/>
              </w:rPr>
              <w:t xml:space="preserve"> </w:t>
            </w:r>
          </w:p>
        </w:tc>
        <w:tc>
          <w:tcPr>
            <w:tcW w:w="482" w:type="pct"/>
            <w:tcBorders>
              <w:top w:val="nil"/>
              <w:left w:val="nil"/>
              <w:bottom w:val="single" w:sz="8" w:space="0" w:color="auto"/>
              <w:right w:val="single" w:sz="8" w:space="0" w:color="auto"/>
            </w:tcBorders>
            <w:shd w:val="clear" w:color="auto" w:fill="auto"/>
            <w:vAlign w:val="center"/>
            <w:hideMark/>
          </w:tcPr>
          <w:p w14:paraId="0917A27F" w14:textId="77777777" w:rsidR="00F47D8F" w:rsidRPr="00BF6111" w:rsidRDefault="00F47D8F" w:rsidP="00C82607">
            <w:pPr>
              <w:keepNext/>
              <w:keepLines/>
              <w:jc w:val="center"/>
              <w:rPr>
                <w:rFonts w:ascii="Arial Narrow" w:hAnsi="Arial Narrow" w:cs="Calibri"/>
                <w:color w:val="000000"/>
                <w:sz w:val="20"/>
                <w:szCs w:val="20"/>
                <w:lang w:val="en-US" w:eastAsia="en-US"/>
              </w:rPr>
            </w:pPr>
            <w:r w:rsidRPr="00BF6111">
              <w:rPr>
                <w:rFonts w:ascii="Arial Narrow" w:hAnsi="Arial Narrow" w:cs="Calibri"/>
                <w:color w:val="000000"/>
                <w:sz w:val="20"/>
                <w:szCs w:val="20"/>
                <w:lang w:eastAsia="en-US"/>
              </w:rPr>
              <w:t xml:space="preserve">$52.41 </w:t>
            </w:r>
          </w:p>
        </w:tc>
        <w:tc>
          <w:tcPr>
            <w:tcW w:w="483" w:type="pct"/>
            <w:tcBorders>
              <w:top w:val="nil"/>
              <w:left w:val="nil"/>
              <w:bottom w:val="single" w:sz="8" w:space="0" w:color="auto"/>
              <w:right w:val="single" w:sz="8" w:space="0" w:color="auto"/>
            </w:tcBorders>
            <w:shd w:val="clear" w:color="auto" w:fill="auto"/>
            <w:vAlign w:val="center"/>
            <w:hideMark/>
          </w:tcPr>
          <w:p w14:paraId="6AC19C94" w14:textId="77777777" w:rsidR="00F47D8F" w:rsidRPr="00BF6111" w:rsidRDefault="00F47D8F" w:rsidP="00C82607">
            <w:pPr>
              <w:keepNext/>
              <w:keepLines/>
              <w:jc w:val="center"/>
              <w:rPr>
                <w:rFonts w:ascii="Arial Narrow" w:hAnsi="Arial Narrow" w:cs="Calibri"/>
                <w:color w:val="000000"/>
                <w:sz w:val="20"/>
                <w:szCs w:val="20"/>
                <w:lang w:val="en-US" w:eastAsia="en-US"/>
              </w:rPr>
            </w:pPr>
            <w:r w:rsidRPr="00BF6111">
              <w:rPr>
                <w:rFonts w:ascii="Arial Narrow" w:hAnsi="Arial Narrow" w:cs="Calibri"/>
                <w:color w:val="000000"/>
                <w:sz w:val="20"/>
                <w:szCs w:val="20"/>
                <w:lang w:val="en-US" w:eastAsia="en-US"/>
              </w:rPr>
              <w:t>$65.35</w:t>
            </w:r>
          </w:p>
        </w:tc>
        <w:tc>
          <w:tcPr>
            <w:tcW w:w="521" w:type="pct"/>
            <w:tcBorders>
              <w:top w:val="nil"/>
              <w:left w:val="nil"/>
              <w:bottom w:val="single" w:sz="8" w:space="0" w:color="auto"/>
              <w:right w:val="single" w:sz="8" w:space="0" w:color="auto"/>
            </w:tcBorders>
            <w:shd w:val="clear" w:color="auto" w:fill="auto"/>
            <w:vAlign w:val="center"/>
            <w:hideMark/>
          </w:tcPr>
          <w:p w14:paraId="20A0CDAF" w14:textId="77777777" w:rsidR="00F47D8F" w:rsidRPr="00BF6111" w:rsidRDefault="00F47D8F" w:rsidP="00C82607">
            <w:pPr>
              <w:keepNext/>
              <w:keepLines/>
              <w:jc w:val="center"/>
              <w:rPr>
                <w:rFonts w:ascii="Arial Narrow" w:hAnsi="Arial Narrow" w:cs="Calibri"/>
                <w:color w:val="000000"/>
                <w:sz w:val="20"/>
                <w:szCs w:val="20"/>
                <w:lang w:val="en-US" w:eastAsia="en-US"/>
              </w:rPr>
            </w:pPr>
            <w:r w:rsidRPr="00BF6111">
              <w:rPr>
                <w:rFonts w:ascii="Arial Narrow" w:hAnsi="Arial Narrow" w:cs="Calibri"/>
                <w:color w:val="000000"/>
                <w:sz w:val="20"/>
                <w:szCs w:val="20"/>
                <w:lang w:val="en-US" w:eastAsia="en-US"/>
              </w:rPr>
              <w:t>$79.21</w:t>
            </w:r>
          </w:p>
        </w:tc>
        <w:tc>
          <w:tcPr>
            <w:tcW w:w="295" w:type="pct"/>
            <w:vMerge/>
            <w:tcBorders>
              <w:top w:val="nil"/>
              <w:left w:val="single" w:sz="8" w:space="0" w:color="auto"/>
              <w:bottom w:val="single" w:sz="8" w:space="0" w:color="000000"/>
              <w:right w:val="single" w:sz="8" w:space="0" w:color="auto"/>
            </w:tcBorders>
            <w:vAlign w:val="center"/>
            <w:hideMark/>
          </w:tcPr>
          <w:p w14:paraId="53FF65F9" w14:textId="77777777" w:rsidR="00F47D8F" w:rsidRPr="00BF6111" w:rsidRDefault="00F47D8F" w:rsidP="00C82607">
            <w:pPr>
              <w:keepNext/>
              <w:keepLines/>
              <w:jc w:val="left"/>
              <w:rPr>
                <w:rFonts w:ascii="Arial Narrow" w:hAnsi="Arial Narrow" w:cs="Calibri"/>
                <w:color w:val="000000"/>
                <w:sz w:val="20"/>
                <w:szCs w:val="20"/>
                <w:lang w:val="en-US" w:eastAsia="en-US"/>
              </w:rPr>
            </w:pPr>
          </w:p>
        </w:tc>
        <w:tc>
          <w:tcPr>
            <w:tcW w:w="556" w:type="pct"/>
            <w:tcBorders>
              <w:top w:val="nil"/>
              <w:left w:val="nil"/>
              <w:bottom w:val="single" w:sz="8" w:space="0" w:color="auto"/>
              <w:right w:val="single" w:sz="8" w:space="0" w:color="auto"/>
            </w:tcBorders>
            <w:shd w:val="clear" w:color="auto" w:fill="auto"/>
            <w:vAlign w:val="center"/>
            <w:hideMark/>
          </w:tcPr>
          <w:p w14:paraId="07F7F287" w14:textId="77777777" w:rsidR="00F47D8F" w:rsidRPr="00BF6111" w:rsidRDefault="00F47D8F" w:rsidP="00C82607">
            <w:pPr>
              <w:keepNext/>
              <w:keepLines/>
              <w:jc w:val="center"/>
              <w:rPr>
                <w:rFonts w:ascii="Arial Narrow" w:hAnsi="Arial Narrow" w:cs="Calibri"/>
                <w:color w:val="000000"/>
                <w:sz w:val="20"/>
                <w:szCs w:val="20"/>
                <w:lang w:val="en-US" w:eastAsia="en-US"/>
              </w:rPr>
            </w:pPr>
            <w:r w:rsidRPr="00BF6111">
              <w:rPr>
                <w:rFonts w:ascii="Arial Narrow" w:hAnsi="Arial Narrow" w:cs="Calibri"/>
                <w:color w:val="000000"/>
                <w:sz w:val="20"/>
                <w:szCs w:val="20"/>
                <w:lang w:val="en-US" w:eastAsia="en-US"/>
              </w:rPr>
              <w:t>9.27</w:t>
            </w:r>
          </w:p>
        </w:tc>
        <w:tc>
          <w:tcPr>
            <w:tcW w:w="475" w:type="pct"/>
            <w:tcBorders>
              <w:top w:val="nil"/>
              <w:left w:val="nil"/>
              <w:bottom w:val="single" w:sz="8" w:space="0" w:color="auto"/>
              <w:right w:val="single" w:sz="8" w:space="0" w:color="auto"/>
            </w:tcBorders>
            <w:shd w:val="clear" w:color="auto" w:fill="auto"/>
            <w:vAlign w:val="center"/>
            <w:hideMark/>
          </w:tcPr>
          <w:p w14:paraId="4E1FDC31" w14:textId="77777777" w:rsidR="00F47D8F" w:rsidRPr="00BF6111" w:rsidRDefault="00F47D8F" w:rsidP="00C82607">
            <w:pPr>
              <w:keepNext/>
              <w:keepLines/>
              <w:jc w:val="center"/>
              <w:rPr>
                <w:rFonts w:ascii="Arial Narrow" w:hAnsi="Arial Narrow" w:cs="Calibri"/>
                <w:color w:val="000000"/>
                <w:sz w:val="20"/>
                <w:szCs w:val="20"/>
                <w:lang w:val="en-US" w:eastAsia="en-US"/>
              </w:rPr>
            </w:pPr>
            <w:r w:rsidRPr="00BF6111">
              <w:rPr>
                <w:rFonts w:ascii="Arial Narrow" w:hAnsi="Arial Narrow" w:cs="Calibri"/>
                <w:color w:val="000000"/>
                <w:sz w:val="20"/>
                <w:szCs w:val="20"/>
                <w:lang w:eastAsia="en-US"/>
              </w:rPr>
              <w:t>6.16</w:t>
            </w:r>
          </w:p>
        </w:tc>
        <w:tc>
          <w:tcPr>
            <w:tcW w:w="530" w:type="pct"/>
            <w:tcBorders>
              <w:top w:val="nil"/>
              <w:left w:val="nil"/>
              <w:bottom w:val="single" w:sz="8" w:space="0" w:color="auto"/>
              <w:right w:val="single" w:sz="8" w:space="0" w:color="auto"/>
            </w:tcBorders>
            <w:shd w:val="clear" w:color="auto" w:fill="auto"/>
            <w:vAlign w:val="center"/>
            <w:hideMark/>
          </w:tcPr>
          <w:p w14:paraId="374F11A7" w14:textId="77777777" w:rsidR="00F47D8F" w:rsidRPr="00BF6111" w:rsidRDefault="00F47D8F" w:rsidP="00C82607">
            <w:pPr>
              <w:keepNext/>
              <w:keepLines/>
              <w:jc w:val="center"/>
              <w:rPr>
                <w:rFonts w:ascii="Arial Narrow" w:hAnsi="Arial Narrow" w:cs="Calibri"/>
                <w:color w:val="000000"/>
                <w:sz w:val="20"/>
                <w:szCs w:val="20"/>
                <w:lang w:val="en-US" w:eastAsia="en-US"/>
              </w:rPr>
            </w:pPr>
            <w:r w:rsidRPr="00BF6111">
              <w:rPr>
                <w:rFonts w:ascii="Arial Narrow" w:hAnsi="Arial Narrow" w:cs="Calibri"/>
                <w:color w:val="000000"/>
                <w:sz w:val="20"/>
                <w:szCs w:val="20"/>
                <w:lang w:val="en-US" w:eastAsia="en-US"/>
              </w:rPr>
              <w:t xml:space="preserve">$488.46 </w:t>
            </w:r>
          </w:p>
        </w:tc>
        <w:tc>
          <w:tcPr>
            <w:tcW w:w="530" w:type="pct"/>
            <w:tcBorders>
              <w:top w:val="nil"/>
              <w:left w:val="nil"/>
              <w:bottom w:val="single" w:sz="8" w:space="0" w:color="auto"/>
              <w:right w:val="single" w:sz="8" w:space="0" w:color="auto"/>
            </w:tcBorders>
            <w:shd w:val="clear" w:color="auto" w:fill="auto"/>
            <w:vAlign w:val="center"/>
            <w:hideMark/>
          </w:tcPr>
          <w:p w14:paraId="6F6502F1" w14:textId="77777777" w:rsidR="00F47D8F" w:rsidRPr="00BF6111" w:rsidRDefault="00F47D8F" w:rsidP="00C82607">
            <w:pPr>
              <w:keepNext/>
              <w:keepLines/>
              <w:jc w:val="center"/>
              <w:rPr>
                <w:rFonts w:ascii="Arial Narrow" w:hAnsi="Arial Narrow" w:cs="Calibri"/>
                <w:color w:val="000000"/>
                <w:sz w:val="20"/>
                <w:szCs w:val="20"/>
                <w:lang w:val="en-US" w:eastAsia="en-US"/>
              </w:rPr>
            </w:pPr>
            <w:r w:rsidRPr="00BF6111">
              <w:rPr>
                <w:rFonts w:ascii="Arial Narrow" w:hAnsi="Arial Narrow" w:cs="Calibri"/>
                <w:color w:val="000000"/>
                <w:sz w:val="20"/>
                <w:szCs w:val="20"/>
                <w:lang w:val="en-US" w:eastAsia="en-US"/>
              </w:rPr>
              <w:t>$605.78</w:t>
            </w:r>
          </w:p>
        </w:tc>
        <w:tc>
          <w:tcPr>
            <w:tcW w:w="525" w:type="pct"/>
            <w:tcBorders>
              <w:top w:val="nil"/>
              <w:left w:val="nil"/>
              <w:bottom w:val="single" w:sz="8" w:space="0" w:color="auto"/>
              <w:right w:val="single" w:sz="8" w:space="0" w:color="auto"/>
            </w:tcBorders>
            <w:shd w:val="clear" w:color="auto" w:fill="auto"/>
            <w:vAlign w:val="center"/>
            <w:hideMark/>
          </w:tcPr>
          <w:p w14:paraId="112EB823" w14:textId="77777777" w:rsidR="00F47D8F" w:rsidRPr="00BF6111" w:rsidRDefault="00F47D8F" w:rsidP="00C82607">
            <w:pPr>
              <w:keepNext/>
              <w:keepLines/>
              <w:jc w:val="center"/>
              <w:rPr>
                <w:rFonts w:ascii="Arial Narrow" w:hAnsi="Arial Narrow" w:cs="Calibri"/>
                <w:color w:val="000000"/>
                <w:sz w:val="20"/>
                <w:szCs w:val="20"/>
                <w:lang w:val="en-US" w:eastAsia="en-US"/>
              </w:rPr>
            </w:pPr>
            <w:r w:rsidRPr="00BF6111">
              <w:rPr>
                <w:rFonts w:ascii="Arial Narrow" w:hAnsi="Arial Narrow" w:cs="Calibri"/>
                <w:color w:val="000000"/>
                <w:sz w:val="20"/>
                <w:szCs w:val="20"/>
                <w:lang w:val="en-US" w:eastAsia="en-US"/>
              </w:rPr>
              <w:t>487.9336</w:t>
            </w:r>
          </w:p>
        </w:tc>
      </w:tr>
      <w:tr w:rsidR="00F47D8F" w:rsidRPr="00BF6111" w14:paraId="30296BD2" w14:textId="77777777" w:rsidTr="00F47D8F">
        <w:trPr>
          <w:trHeight w:val="20"/>
        </w:trPr>
        <w:tc>
          <w:tcPr>
            <w:tcW w:w="3415" w:type="pct"/>
            <w:gridSpan w:val="7"/>
            <w:tcBorders>
              <w:top w:val="nil"/>
              <w:left w:val="single" w:sz="8" w:space="0" w:color="auto"/>
              <w:bottom w:val="single" w:sz="8" w:space="0" w:color="auto"/>
              <w:right w:val="single" w:sz="8" w:space="0" w:color="auto"/>
            </w:tcBorders>
            <w:shd w:val="clear" w:color="auto" w:fill="auto"/>
            <w:vAlign w:val="center"/>
            <w:hideMark/>
          </w:tcPr>
          <w:p w14:paraId="5ED4C26B" w14:textId="77777777" w:rsidR="00F47D8F" w:rsidRPr="00BF6111" w:rsidRDefault="00F47D8F" w:rsidP="00C82607">
            <w:pPr>
              <w:keepNext/>
              <w:keepLines/>
              <w:jc w:val="left"/>
              <w:rPr>
                <w:rFonts w:ascii="Arial Narrow" w:hAnsi="Arial Narrow" w:cs="Calibri"/>
                <w:color w:val="000000"/>
                <w:sz w:val="20"/>
                <w:szCs w:val="20"/>
                <w:lang w:val="en-US" w:eastAsia="en-US"/>
              </w:rPr>
            </w:pPr>
            <w:r w:rsidRPr="00BF6111">
              <w:rPr>
                <w:rFonts w:ascii="Arial Narrow" w:hAnsi="Arial Narrow" w:cs="Calibri"/>
                <w:color w:val="000000"/>
                <w:sz w:val="20"/>
                <w:szCs w:val="20"/>
                <w:lang w:eastAsia="en-US"/>
              </w:rPr>
              <w:t>Subtotal</w:t>
            </w:r>
          </w:p>
        </w:tc>
        <w:tc>
          <w:tcPr>
            <w:tcW w:w="530" w:type="pct"/>
            <w:tcBorders>
              <w:top w:val="nil"/>
              <w:left w:val="nil"/>
              <w:bottom w:val="single" w:sz="8" w:space="0" w:color="auto"/>
              <w:right w:val="single" w:sz="8" w:space="0" w:color="auto"/>
            </w:tcBorders>
            <w:shd w:val="clear" w:color="auto" w:fill="auto"/>
            <w:vAlign w:val="center"/>
            <w:hideMark/>
          </w:tcPr>
          <w:p w14:paraId="23336EB2" w14:textId="77777777" w:rsidR="00F47D8F" w:rsidRPr="00BF6111" w:rsidRDefault="00F47D8F" w:rsidP="00C82607">
            <w:pPr>
              <w:keepNext/>
              <w:keepLines/>
              <w:jc w:val="center"/>
              <w:rPr>
                <w:rFonts w:ascii="Arial Narrow" w:hAnsi="Arial Narrow" w:cs="Calibri"/>
                <w:color w:val="000000"/>
                <w:sz w:val="20"/>
                <w:szCs w:val="20"/>
                <w:lang w:val="en-US" w:eastAsia="en-US"/>
              </w:rPr>
            </w:pPr>
            <w:r w:rsidRPr="00BF6111">
              <w:rPr>
                <w:rFonts w:ascii="Arial Narrow" w:hAnsi="Arial Narrow" w:cs="Calibri"/>
                <w:color w:val="000000"/>
                <w:sz w:val="20"/>
                <w:szCs w:val="20"/>
                <w:lang w:val="en-US" w:eastAsia="en-US"/>
              </w:rPr>
              <w:t xml:space="preserve">$1,415.99 </w:t>
            </w:r>
          </w:p>
        </w:tc>
        <w:tc>
          <w:tcPr>
            <w:tcW w:w="530" w:type="pct"/>
            <w:tcBorders>
              <w:top w:val="nil"/>
              <w:left w:val="nil"/>
              <w:bottom w:val="single" w:sz="8" w:space="0" w:color="auto"/>
              <w:right w:val="single" w:sz="8" w:space="0" w:color="auto"/>
            </w:tcBorders>
            <w:shd w:val="clear" w:color="auto" w:fill="auto"/>
            <w:vAlign w:val="center"/>
            <w:hideMark/>
          </w:tcPr>
          <w:p w14:paraId="072A64C1" w14:textId="77777777" w:rsidR="00F47D8F" w:rsidRPr="00BF6111" w:rsidRDefault="00F47D8F" w:rsidP="00C82607">
            <w:pPr>
              <w:keepNext/>
              <w:keepLines/>
              <w:jc w:val="center"/>
              <w:rPr>
                <w:rFonts w:ascii="Arial Narrow" w:hAnsi="Arial Narrow" w:cs="Calibri"/>
                <w:color w:val="000000"/>
                <w:sz w:val="20"/>
                <w:szCs w:val="20"/>
                <w:lang w:val="en-US" w:eastAsia="en-US"/>
              </w:rPr>
            </w:pPr>
            <w:r w:rsidRPr="00BF6111">
              <w:rPr>
                <w:rFonts w:ascii="Arial Narrow" w:hAnsi="Arial Narrow" w:cs="Calibri"/>
                <w:color w:val="000000"/>
                <w:sz w:val="20"/>
                <w:szCs w:val="20"/>
                <w:lang w:val="en-US" w:eastAsia="en-US"/>
              </w:rPr>
              <w:t xml:space="preserve">$1,762.92 </w:t>
            </w:r>
          </w:p>
        </w:tc>
        <w:tc>
          <w:tcPr>
            <w:tcW w:w="525" w:type="pct"/>
            <w:tcBorders>
              <w:top w:val="nil"/>
              <w:left w:val="nil"/>
              <w:bottom w:val="single" w:sz="8" w:space="0" w:color="auto"/>
              <w:right w:val="single" w:sz="8" w:space="0" w:color="auto"/>
            </w:tcBorders>
            <w:shd w:val="clear" w:color="auto" w:fill="auto"/>
            <w:vAlign w:val="center"/>
            <w:hideMark/>
          </w:tcPr>
          <w:p w14:paraId="0067FB89" w14:textId="77777777" w:rsidR="00F47D8F" w:rsidRPr="00BF6111" w:rsidRDefault="00F47D8F" w:rsidP="00C82607">
            <w:pPr>
              <w:keepNext/>
              <w:keepLines/>
              <w:jc w:val="center"/>
              <w:rPr>
                <w:rFonts w:ascii="Arial Narrow" w:hAnsi="Arial Narrow" w:cs="Calibri"/>
                <w:color w:val="000000"/>
                <w:sz w:val="20"/>
                <w:szCs w:val="20"/>
                <w:lang w:val="en-US" w:eastAsia="en-US"/>
              </w:rPr>
            </w:pPr>
            <w:r w:rsidRPr="00BF6111">
              <w:rPr>
                <w:rFonts w:ascii="Arial Narrow" w:hAnsi="Arial Narrow" w:cs="Calibri"/>
                <w:color w:val="000000"/>
                <w:sz w:val="20"/>
                <w:szCs w:val="20"/>
                <w:lang w:val="en-US" w:eastAsia="en-US"/>
              </w:rPr>
              <w:t xml:space="preserve">$1,340.99 </w:t>
            </w:r>
          </w:p>
        </w:tc>
      </w:tr>
      <w:tr w:rsidR="00F47D8F" w:rsidRPr="00BF6111" w14:paraId="7D2B394B" w14:textId="77777777" w:rsidTr="00F47D8F">
        <w:trPr>
          <w:trHeight w:val="20"/>
        </w:trPr>
        <w:tc>
          <w:tcPr>
            <w:tcW w:w="3415" w:type="pct"/>
            <w:gridSpan w:val="7"/>
            <w:tcBorders>
              <w:top w:val="nil"/>
              <w:left w:val="single" w:sz="8" w:space="0" w:color="auto"/>
              <w:bottom w:val="single" w:sz="8" w:space="0" w:color="auto"/>
              <w:right w:val="single" w:sz="8" w:space="0" w:color="auto"/>
            </w:tcBorders>
            <w:shd w:val="clear" w:color="auto" w:fill="auto"/>
            <w:vAlign w:val="center"/>
            <w:hideMark/>
          </w:tcPr>
          <w:p w14:paraId="401A21D8" w14:textId="77777777" w:rsidR="00F47D8F" w:rsidRPr="00BF6111" w:rsidRDefault="00F47D8F" w:rsidP="00C82607">
            <w:pPr>
              <w:keepNext/>
              <w:keepLines/>
              <w:jc w:val="left"/>
              <w:rPr>
                <w:rFonts w:ascii="Arial Narrow" w:hAnsi="Arial Narrow" w:cs="Calibri"/>
                <w:color w:val="000000"/>
                <w:sz w:val="20"/>
                <w:szCs w:val="20"/>
                <w:lang w:val="en-US" w:eastAsia="en-US"/>
              </w:rPr>
            </w:pPr>
            <w:r w:rsidRPr="00BF6111">
              <w:rPr>
                <w:rFonts w:ascii="Arial Narrow" w:hAnsi="Arial Narrow" w:cs="Calibri"/>
                <w:b/>
                <w:bCs/>
                <w:color w:val="000000"/>
                <w:sz w:val="20"/>
                <w:szCs w:val="20"/>
                <w:lang w:eastAsia="en-US"/>
              </w:rPr>
              <w:t>Total (weighted)</w:t>
            </w:r>
          </w:p>
        </w:tc>
        <w:tc>
          <w:tcPr>
            <w:tcW w:w="530" w:type="pct"/>
            <w:tcBorders>
              <w:top w:val="nil"/>
              <w:left w:val="nil"/>
              <w:bottom w:val="single" w:sz="8" w:space="0" w:color="auto"/>
              <w:right w:val="single" w:sz="8" w:space="0" w:color="auto"/>
            </w:tcBorders>
            <w:shd w:val="clear" w:color="auto" w:fill="auto"/>
            <w:vAlign w:val="center"/>
            <w:hideMark/>
          </w:tcPr>
          <w:p w14:paraId="4591396E" w14:textId="77777777" w:rsidR="00F47D8F" w:rsidRPr="00BF6111" w:rsidRDefault="00F47D8F" w:rsidP="00C82607">
            <w:pPr>
              <w:keepNext/>
              <w:keepLines/>
              <w:jc w:val="center"/>
              <w:rPr>
                <w:rFonts w:ascii="Arial Narrow" w:hAnsi="Arial Narrow" w:cs="Calibri"/>
                <w:b/>
                <w:bCs/>
                <w:color w:val="000000"/>
                <w:sz w:val="20"/>
                <w:szCs w:val="20"/>
                <w:lang w:val="en-US" w:eastAsia="en-US"/>
              </w:rPr>
            </w:pPr>
            <w:r w:rsidRPr="00BF6111">
              <w:rPr>
                <w:rFonts w:ascii="Arial Narrow" w:hAnsi="Arial Narrow" w:cs="Calibri"/>
                <w:b/>
                <w:bCs/>
                <w:color w:val="000000"/>
                <w:sz w:val="20"/>
                <w:szCs w:val="20"/>
                <w:lang w:val="en-US" w:eastAsia="en-US"/>
              </w:rPr>
              <w:t xml:space="preserve">$3,712.77 </w:t>
            </w:r>
          </w:p>
        </w:tc>
        <w:tc>
          <w:tcPr>
            <w:tcW w:w="530" w:type="pct"/>
            <w:tcBorders>
              <w:top w:val="nil"/>
              <w:left w:val="nil"/>
              <w:bottom w:val="single" w:sz="8" w:space="0" w:color="auto"/>
              <w:right w:val="single" w:sz="8" w:space="0" w:color="auto"/>
            </w:tcBorders>
            <w:shd w:val="clear" w:color="auto" w:fill="auto"/>
            <w:vAlign w:val="center"/>
            <w:hideMark/>
          </w:tcPr>
          <w:p w14:paraId="6F550241" w14:textId="77777777" w:rsidR="00F47D8F" w:rsidRPr="00BF6111" w:rsidRDefault="00F47D8F" w:rsidP="00C82607">
            <w:pPr>
              <w:keepNext/>
              <w:keepLines/>
              <w:jc w:val="center"/>
              <w:rPr>
                <w:rFonts w:ascii="Arial Narrow" w:hAnsi="Arial Narrow" w:cs="Calibri"/>
                <w:b/>
                <w:bCs/>
                <w:color w:val="000000"/>
                <w:sz w:val="20"/>
                <w:szCs w:val="20"/>
                <w:lang w:val="en-US" w:eastAsia="en-US"/>
              </w:rPr>
            </w:pPr>
            <w:r w:rsidRPr="00BF6111">
              <w:rPr>
                <w:rFonts w:ascii="Arial Narrow" w:hAnsi="Arial Narrow" w:cs="Calibri"/>
                <w:b/>
                <w:bCs/>
                <w:color w:val="000000"/>
                <w:sz w:val="20"/>
                <w:szCs w:val="20"/>
                <w:lang w:val="en-US" w:eastAsia="en-US"/>
              </w:rPr>
              <w:t xml:space="preserve">$3,158.36 </w:t>
            </w:r>
          </w:p>
        </w:tc>
        <w:tc>
          <w:tcPr>
            <w:tcW w:w="525" w:type="pct"/>
            <w:tcBorders>
              <w:top w:val="nil"/>
              <w:left w:val="nil"/>
              <w:bottom w:val="single" w:sz="8" w:space="0" w:color="auto"/>
              <w:right w:val="single" w:sz="8" w:space="0" w:color="auto"/>
            </w:tcBorders>
            <w:shd w:val="clear" w:color="auto" w:fill="auto"/>
            <w:vAlign w:val="center"/>
            <w:hideMark/>
          </w:tcPr>
          <w:p w14:paraId="2B447AE4" w14:textId="77777777" w:rsidR="00F47D8F" w:rsidRPr="00BF6111" w:rsidRDefault="00F47D8F" w:rsidP="00C82607">
            <w:pPr>
              <w:keepNext/>
              <w:keepLines/>
              <w:jc w:val="center"/>
              <w:rPr>
                <w:rFonts w:ascii="Arial Narrow" w:hAnsi="Arial Narrow" w:cs="Calibri"/>
                <w:b/>
                <w:bCs/>
                <w:color w:val="000000"/>
                <w:sz w:val="20"/>
                <w:szCs w:val="20"/>
                <w:lang w:val="en-US" w:eastAsia="en-US"/>
              </w:rPr>
            </w:pPr>
            <w:r w:rsidRPr="00BF6111">
              <w:rPr>
                <w:rFonts w:ascii="Arial Narrow" w:hAnsi="Arial Narrow" w:cs="Calibri"/>
                <w:b/>
                <w:bCs/>
                <w:color w:val="000000"/>
                <w:sz w:val="20"/>
                <w:szCs w:val="20"/>
                <w:lang w:val="en-US" w:eastAsia="en-US"/>
              </w:rPr>
              <w:t xml:space="preserve">$3,797.41 </w:t>
            </w:r>
          </w:p>
        </w:tc>
      </w:tr>
    </w:tbl>
    <w:p w14:paraId="7E41E27C" w14:textId="77777777" w:rsidR="00F47D8F" w:rsidRDefault="00F47D8F" w:rsidP="00C82607">
      <w:pPr>
        <w:pStyle w:val="TableFooter"/>
        <w:keepNext/>
        <w:keepLines/>
        <w:rPr>
          <w:rFonts w:eastAsiaTheme="minorHAnsi"/>
        </w:rPr>
      </w:pPr>
      <w:r>
        <w:rPr>
          <w:rFonts w:eastAsiaTheme="minorHAnsi"/>
        </w:rPr>
        <w:t xml:space="preserve">Source: Table 61, p114 of the submission, </w:t>
      </w:r>
      <w:r w:rsidR="00986CA0">
        <w:rPr>
          <w:rFonts w:eastAsiaTheme="minorHAnsi"/>
        </w:rPr>
        <w:t>T</w:t>
      </w:r>
      <w:r>
        <w:rPr>
          <w:rFonts w:eastAsiaTheme="minorHAnsi"/>
        </w:rPr>
        <w:t xml:space="preserve">able 6.1.1-1, pp61-63 of the CSR, attached spreadsheet of financial estimates. </w:t>
      </w:r>
    </w:p>
    <w:p w14:paraId="409AB325" w14:textId="77777777" w:rsidR="00F47D8F" w:rsidRDefault="00F47D8F" w:rsidP="00C82607">
      <w:pPr>
        <w:pStyle w:val="TableFooter"/>
        <w:keepNext/>
        <w:keepLines/>
        <w:rPr>
          <w:rFonts w:eastAsiaTheme="minorHAnsi"/>
        </w:rPr>
      </w:pPr>
      <w:r>
        <w:rPr>
          <w:rFonts w:eastAsiaTheme="minorHAnsi"/>
        </w:rPr>
        <w:t>DPMQ = dispensed price per maximum quantity</w:t>
      </w:r>
      <w:r w:rsidR="005D08D7">
        <w:rPr>
          <w:rFonts w:eastAsiaTheme="minorHAnsi"/>
        </w:rPr>
        <w:t xml:space="preserve">; </w:t>
      </w:r>
      <w:r w:rsidRPr="00642C08">
        <w:rPr>
          <w:rFonts w:eastAsiaTheme="minorHAnsi"/>
        </w:rPr>
        <w:t>mg</w:t>
      </w:r>
      <w:r>
        <w:rPr>
          <w:rFonts w:eastAsiaTheme="minorHAnsi"/>
        </w:rPr>
        <w:t xml:space="preserve"> =</w:t>
      </w:r>
      <w:r w:rsidRPr="00642C08">
        <w:rPr>
          <w:rFonts w:eastAsiaTheme="minorHAnsi"/>
        </w:rPr>
        <w:t xml:space="preserve"> milligram </w:t>
      </w:r>
    </w:p>
    <w:p w14:paraId="09D77547" w14:textId="77777777" w:rsidR="00F47D8F" w:rsidRDefault="00F47D8F" w:rsidP="00C82607">
      <w:pPr>
        <w:pStyle w:val="TableFooter"/>
        <w:keepNext/>
        <w:keepLines/>
      </w:pPr>
      <w:r>
        <w:t>*</w:t>
      </w:r>
      <w:r w:rsidR="00BF6111">
        <w:t xml:space="preserve"> A</w:t>
      </w:r>
      <w:r>
        <w:t>djusted for dose intensity and relative time on treatment</w:t>
      </w:r>
    </w:p>
    <w:p w14:paraId="29BAC850" w14:textId="77777777" w:rsidR="00F47D8F" w:rsidRDefault="00F47D8F" w:rsidP="00C82607">
      <w:pPr>
        <w:pStyle w:val="TableFooter"/>
        <w:keepNext/>
        <w:keepLines/>
      </w:pPr>
      <w:r>
        <w:t>**</w:t>
      </w:r>
      <w:r w:rsidR="00BF6111">
        <w:t xml:space="preserve"> Ca</w:t>
      </w:r>
      <w:r>
        <w:t>lculated by area under the curve and divided by the length of each cycle (2 weeks for FOLFOX and 3 weeks for XELOX based regimens)</w:t>
      </w:r>
    </w:p>
    <w:p w14:paraId="7DA35C48" w14:textId="77777777" w:rsidR="00F47D8F" w:rsidRDefault="00F47D8F" w:rsidP="00C82607">
      <w:pPr>
        <w:pStyle w:val="TableFooter"/>
        <w:keepNext/>
        <w:keepLines/>
        <w:rPr>
          <w:rFonts w:eastAsiaTheme="minorHAnsi"/>
        </w:rPr>
      </w:pPr>
      <w:r>
        <w:rPr>
          <w:rFonts w:eastAsiaTheme="minorHAnsi"/>
        </w:rPr>
        <w:t>FOLFOX XELOX weighting was calculated as:</w:t>
      </w:r>
    </w:p>
    <w:p w14:paraId="7F183156" w14:textId="77777777" w:rsidR="00F47D8F" w:rsidRPr="00F26C46" w:rsidRDefault="00F47D8F" w:rsidP="00C82607">
      <w:pPr>
        <w:pStyle w:val="TableFooter"/>
        <w:keepNext/>
        <w:keepLines/>
        <w:rPr>
          <w:rFonts w:eastAsiaTheme="minorHAnsi"/>
        </w:rPr>
      </w:pPr>
      <w:r>
        <w:rPr>
          <w:rFonts w:eastAsiaTheme="minorHAnsi"/>
        </w:rPr>
        <w:tab/>
      </w:r>
      <w:r w:rsidRPr="00F26C46">
        <w:rPr>
          <w:rFonts w:eastAsiaTheme="minorHAnsi"/>
        </w:rPr>
        <w:t>80%:20% FOLFOX XELOX split</w:t>
      </w:r>
      <w:r>
        <w:rPr>
          <w:rFonts w:eastAsiaTheme="minorHAnsi"/>
        </w:rPr>
        <w:t xml:space="preserve"> in economic and financial analyses</w:t>
      </w:r>
    </w:p>
    <w:p w14:paraId="5E29A1C2" w14:textId="77777777" w:rsidR="00F47D8F" w:rsidRPr="00F26C46" w:rsidRDefault="00F47D8F" w:rsidP="00C82607">
      <w:pPr>
        <w:pStyle w:val="TableFooter"/>
        <w:keepNext/>
        <w:keepLines/>
        <w:ind w:firstLine="720"/>
        <w:rPr>
          <w:rFonts w:eastAsiaTheme="minorHAnsi"/>
        </w:rPr>
      </w:pPr>
      <w:r w:rsidRPr="00F26C46">
        <w:rPr>
          <w:rFonts w:eastAsiaTheme="minorHAnsi"/>
        </w:rPr>
        <w:t xml:space="preserve">***53.96%:46.04% FOLFOX XELOX </w:t>
      </w:r>
      <w:r>
        <w:rPr>
          <w:rFonts w:eastAsiaTheme="minorHAnsi"/>
        </w:rPr>
        <w:t xml:space="preserve">in the nivolumab plus chemotherapy arm of </w:t>
      </w:r>
      <w:proofErr w:type="spellStart"/>
      <w:r>
        <w:rPr>
          <w:rFonts w:eastAsiaTheme="minorHAnsi"/>
        </w:rPr>
        <w:t>CheckMate</w:t>
      </w:r>
      <w:proofErr w:type="spellEnd"/>
      <w:r>
        <w:rPr>
          <w:rFonts w:eastAsiaTheme="minorHAnsi"/>
        </w:rPr>
        <w:t xml:space="preserve"> 649</w:t>
      </w:r>
    </w:p>
    <w:p w14:paraId="7CFC0DAE" w14:textId="64A23802" w:rsidR="00F47D8F" w:rsidRPr="002D65F4" w:rsidRDefault="00F47D8F" w:rsidP="002D65F4">
      <w:pPr>
        <w:pStyle w:val="TableFooter"/>
        <w:keepNext/>
        <w:keepLines/>
        <w:ind w:firstLine="720"/>
        <w:rPr>
          <w:rFonts w:eastAsiaTheme="minorHAnsi"/>
        </w:rPr>
      </w:pPr>
      <w:r w:rsidRPr="00F26C46">
        <w:rPr>
          <w:rFonts w:eastAsiaTheme="minorHAnsi"/>
        </w:rPr>
        <w:t>52.93%: 47.07% FOLFOX XELOX split</w:t>
      </w:r>
      <w:r>
        <w:rPr>
          <w:rFonts w:eastAsiaTheme="minorHAnsi"/>
        </w:rPr>
        <w:t xml:space="preserve"> in the chemotherapy alone arm of </w:t>
      </w:r>
      <w:proofErr w:type="spellStart"/>
      <w:r>
        <w:rPr>
          <w:rFonts w:eastAsiaTheme="minorHAnsi"/>
        </w:rPr>
        <w:t>CheckMate</w:t>
      </w:r>
      <w:proofErr w:type="spellEnd"/>
      <w:r>
        <w:rPr>
          <w:rFonts w:eastAsiaTheme="minorHAnsi"/>
        </w:rPr>
        <w:t xml:space="preserve"> 649</w:t>
      </w:r>
    </w:p>
    <w:p w14:paraId="6CA5C01F" w14:textId="77777777" w:rsidR="00B60939" w:rsidRPr="00E859C6" w:rsidRDefault="00B60939" w:rsidP="002B05A1">
      <w:pPr>
        <w:pStyle w:val="4-SubsectionHeading"/>
      </w:pPr>
      <w:bookmarkStart w:id="50" w:name="_Toc22897647"/>
      <w:bookmarkStart w:id="51" w:name="_Toc69567428"/>
      <w:bookmarkStart w:id="52" w:name="_Toc72308989"/>
      <w:r w:rsidRPr="00C9624D">
        <w:t>Estimated PBS usage &amp; financial implications</w:t>
      </w:r>
      <w:bookmarkEnd w:id="50"/>
      <w:bookmarkEnd w:id="51"/>
      <w:bookmarkEnd w:id="52"/>
    </w:p>
    <w:p w14:paraId="2DC86577" w14:textId="77777777" w:rsidR="00EF73C8" w:rsidRPr="00FA447A" w:rsidRDefault="00EF73C8" w:rsidP="00EF73C8">
      <w:pPr>
        <w:pStyle w:val="3-BodyText"/>
        <w:ind w:left="720"/>
      </w:pPr>
      <w:r w:rsidRPr="00FA447A">
        <w:t xml:space="preserve">This submission </w:t>
      </w:r>
      <w:r w:rsidR="009B1C19">
        <w:t xml:space="preserve">was </w:t>
      </w:r>
      <w:r w:rsidRPr="00FA447A">
        <w:t xml:space="preserve">not be considered by DUSC. The submission took an epidemiological approach to estimating use and financial implications. </w:t>
      </w:r>
    </w:p>
    <w:p w14:paraId="7BE957F9" w14:textId="77777777" w:rsidR="00EF73C8" w:rsidRPr="00FA447A" w:rsidRDefault="002A0BA9" w:rsidP="00EF73C8">
      <w:pPr>
        <w:pStyle w:val="3-BodyText"/>
        <w:ind w:left="720"/>
      </w:pPr>
      <w:r w:rsidRPr="002A0BA9">
        <w:t>Table 14</w:t>
      </w:r>
      <w:r w:rsidR="00EF73C8" w:rsidRPr="00FA447A">
        <w:t xml:space="preserve"> presents </w:t>
      </w:r>
      <w:r w:rsidR="00AE2C42">
        <w:t>k</w:t>
      </w:r>
      <w:r w:rsidR="00EF73C8" w:rsidRPr="00FA447A">
        <w:t>ey inputs applied in the utilisation and financial estimates</w:t>
      </w:r>
      <w:r w:rsidR="00FB268A">
        <w:t>.</w:t>
      </w:r>
    </w:p>
    <w:p w14:paraId="41E0F22E" w14:textId="77777777" w:rsidR="00EF73C8" w:rsidRDefault="00EF73C8" w:rsidP="00EF73C8">
      <w:pPr>
        <w:rPr>
          <w:rStyle w:val="CommentReference"/>
          <w:bCs/>
          <w:szCs w:val="24"/>
        </w:rPr>
      </w:pPr>
    </w:p>
    <w:p w14:paraId="6DB798F6" w14:textId="77777777" w:rsidR="00EF73C8" w:rsidRPr="00914C77" w:rsidRDefault="00EF73C8" w:rsidP="00BF6111">
      <w:pPr>
        <w:keepLines/>
        <w:rPr>
          <w:rStyle w:val="CommentReference"/>
        </w:rPr>
      </w:pPr>
      <w:bookmarkStart w:id="53" w:name="_Ref69552089"/>
      <w:r w:rsidRPr="00CC6594">
        <w:rPr>
          <w:rStyle w:val="CommentReference"/>
          <w:bCs/>
          <w:szCs w:val="24"/>
        </w:rPr>
        <w:t xml:space="preserve">Table </w:t>
      </w:r>
      <w:r w:rsidR="003D6833">
        <w:rPr>
          <w:rStyle w:val="CommentReference"/>
          <w:bCs/>
          <w:noProof/>
          <w:szCs w:val="24"/>
        </w:rPr>
        <w:t>14</w:t>
      </w:r>
      <w:bookmarkEnd w:id="53"/>
      <w:r w:rsidRPr="00CC6594">
        <w:rPr>
          <w:rStyle w:val="CommentReference"/>
          <w:bCs/>
          <w:szCs w:val="24"/>
        </w:rPr>
        <w:t>:</w:t>
      </w:r>
      <w:r>
        <w:rPr>
          <w:rStyle w:val="CommentReference"/>
          <w:bCs/>
          <w:i/>
          <w:iCs/>
          <w:szCs w:val="24"/>
        </w:rPr>
        <w:t xml:space="preserve"> </w:t>
      </w:r>
      <w:r w:rsidRPr="00E859C6">
        <w:rPr>
          <w:rStyle w:val="CommentReference"/>
          <w:bCs/>
          <w:szCs w:val="24"/>
        </w:rPr>
        <w:t>Key inputs</w:t>
      </w:r>
      <w:r w:rsidRPr="007925DF">
        <w:rPr>
          <w:rStyle w:val="CommentReference"/>
          <w:b w:val="0"/>
          <w:szCs w:val="24"/>
        </w:rPr>
        <w:t xml:space="preserve"> </w:t>
      </w:r>
      <w:r w:rsidRPr="00914C77">
        <w:rPr>
          <w:rStyle w:val="CommentReference"/>
        </w:rPr>
        <w:t>applied in the utilisation and financial estimates</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9" w:type="dxa"/>
          <w:right w:w="29" w:type="dxa"/>
        </w:tblCellMar>
        <w:tblLook w:val="04A0" w:firstRow="1" w:lastRow="0" w:firstColumn="1" w:lastColumn="0" w:noHBand="0" w:noVBand="1"/>
        <w:tblCaption w:val="Table 14: Key inputs applied in the utilisation and financial estimates"/>
      </w:tblPr>
      <w:tblGrid>
        <w:gridCol w:w="1696"/>
        <w:gridCol w:w="1134"/>
        <w:gridCol w:w="1701"/>
        <w:gridCol w:w="4649"/>
      </w:tblGrid>
      <w:tr w:rsidR="00F74376" w:rsidRPr="00311DF9" w14:paraId="60888F25" w14:textId="77777777" w:rsidTr="00FD11EB">
        <w:trPr>
          <w:tblHeader/>
        </w:trPr>
        <w:tc>
          <w:tcPr>
            <w:tcW w:w="1696" w:type="dxa"/>
          </w:tcPr>
          <w:p w14:paraId="377415CC" w14:textId="77777777" w:rsidR="00F74376" w:rsidRPr="00311DF9" w:rsidRDefault="00F74376" w:rsidP="00BF6111">
            <w:pPr>
              <w:pStyle w:val="Tabletext"/>
              <w:keepLines/>
              <w:rPr>
                <w:b/>
              </w:rPr>
            </w:pPr>
            <w:r w:rsidRPr="00311DF9">
              <w:rPr>
                <w:b/>
              </w:rPr>
              <w:t>Data</w:t>
            </w:r>
          </w:p>
        </w:tc>
        <w:tc>
          <w:tcPr>
            <w:tcW w:w="1134" w:type="dxa"/>
          </w:tcPr>
          <w:p w14:paraId="7B74F378" w14:textId="77777777" w:rsidR="00F74376" w:rsidRPr="00311DF9" w:rsidRDefault="00F74376" w:rsidP="00BF6111">
            <w:pPr>
              <w:pStyle w:val="Tabletext"/>
              <w:keepLines/>
              <w:jc w:val="center"/>
              <w:rPr>
                <w:b/>
              </w:rPr>
            </w:pPr>
            <w:r w:rsidRPr="00311DF9">
              <w:rPr>
                <w:b/>
              </w:rPr>
              <w:t>Value</w:t>
            </w:r>
          </w:p>
        </w:tc>
        <w:tc>
          <w:tcPr>
            <w:tcW w:w="1701" w:type="dxa"/>
          </w:tcPr>
          <w:p w14:paraId="50AD43EB" w14:textId="77777777" w:rsidR="00F74376" w:rsidRPr="00311DF9" w:rsidRDefault="00F74376" w:rsidP="00BF6111">
            <w:pPr>
              <w:pStyle w:val="Tabletext"/>
              <w:keepLines/>
              <w:jc w:val="center"/>
              <w:rPr>
                <w:b/>
              </w:rPr>
            </w:pPr>
            <w:r w:rsidRPr="00311DF9">
              <w:rPr>
                <w:b/>
              </w:rPr>
              <w:t>Source</w:t>
            </w:r>
          </w:p>
        </w:tc>
        <w:tc>
          <w:tcPr>
            <w:tcW w:w="4649" w:type="dxa"/>
          </w:tcPr>
          <w:p w14:paraId="22137BFE" w14:textId="77777777" w:rsidR="00F74376" w:rsidRPr="00311DF9" w:rsidRDefault="00F74376" w:rsidP="00BF6111">
            <w:pPr>
              <w:pStyle w:val="Tabletext"/>
              <w:keepLines/>
              <w:jc w:val="center"/>
              <w:rPr>
                <w:b/>
              </w:rPr>
            </w:pPr>
            <w:r w:rsidRPr="00311DF9">
              <w:rPr>
                <w:b/>
              </w:rPr>
              <w:t>Comment</w:t>
            </w:r>
          </w:p>
        </w:tc>
      </w:tr>
      <w:tr w:rsidR="00F74376" w:rsidRPr="00311DF9" w14:paraId="7D2D2A2F" w14:textId="77777777" w:rsidTr="00D43CBF">
        <w:tc>
          <w:tcPr>
            <w:tcW w:w="9180" w:type="dxa"/>
            <w:gridSpan w:val="4"/>
          </w:tcPr>
          <w:p w14:paraId="71E87068" w14:textId="77777777" w:rsidR="00F74376" w:rsidRPr="00311DF9" w:rsidRDefault="00F74376" w:rsidP="00BF6111">
            <w:pPr>
              <w:pStyle w:val="Tabletext"/>
              <w:keepLines/>
              <w:rPr>
                <w:b/>
              </w:rPr>
            </w:pPr>
            <w:r w:rsidRPr="00311DF9">
              <w:rPr>
                <w:b/>
              </w:rPr>
              <w:t>Eligible population</w:t>
            </w:r>
          </w:p>
        </w:tc>
      </w:tr>
      <w:tr w:rsidR="00F74376" w:rsidRPr="00311DF9" w14:paraId="0195FBED" w14:textId="77777777" w:rsidTr="00FD11EB">
        <w:trPr>
          <w:trHeight w:val="568"/>
        </w:trPr>
        <w:tc>
          <w:tcPr>
            <w:tcW w:w="1696" w:type="dxa"/>
            <w:vAlign w:val="center"/>
          </w:tcPr>
          <w:p w14:paraId="48B83633" w14:textId="77777777" w:rsidR="00F74376" w:rsidRPr="00311DF9" w:rsidRDefault="00F74376" w:rsidP="00BF6111">
            <w:pPr>
              <w:pStyle w:val="Tabletext"/>
              <w:keepLines/>
            </w:pPr>
            <w:r w:rsidRPr="00311DF9">
              <w:t xml:space="preserve">Persons diagnosed with GC </w:t>
            </w:r>
            <w:r w:rsidR="00585981" w:rsidRPr="00311DF9">
              <w:t xml:space="preserve">or </w:t>
            </w:r>
            <w:r w:rsidRPr="00311DF9">
              <w:t xml:space="preserve">GOJC: </w:t>
            </w:r>
          </w:p>
        </w:tc>
        <w:tc>
          <w:tcPr>
            <w:tcW w:w="1134" w:type="dxa"/>
            <w:vAlign w:val="center"/>
          </w:tcPr>
          <w:p w14:paraId="5E04165F" w14:textId="77777777" w:rsidR="00F74376" w:rsidRPr="00311DF9" w:rsidRDefault="00F74376" w:rsidP="00BF6111">
            <w:pPr>
              <w:pStyle w:val="Tabletext"/>
              <w:keepLines/>
              <w:jc w:val="center"/>
            </w:pPr>
            <w:r w:rsidRPr="00311DF9">
              <w:t>2,246</w:t>
            </w:r>
          </w:p>
        </w:tc>
        <w:tc>
          <w:tcPr>
            <w:tcW w:w="1701" w:type="dxa"/>
            <w:vAlign w:val="center"/>
          </w:tcPr>
          <w:p w14:paraId="5DDB1E2A" w14:textId="77777777" w:rsidR="00F74376" w:rsidRPr="00311DF9" w:rsidRDefault="00F74376" w:rsidP="00BF6111">
            <w:pPr>
              <w:pStyle w:val="Tabletext"/>
              <w:keepLines/>
              <w:jc w:val="center"/>
            </w:pPr>
            <w:r w:rsidRPr="00311DF9">
              <w:t>AIHW 2020 estimate</w:t>
            </w:r>
          </w:p>
          <w:p w14:paraId="3A21216D" w14:textId="77777777" w:rsidR="00F74376" w:rsidRPr="00311DF9" w:rsidRDefault="00F74376" w:rsidP="00BF6111">
            <w:pPr>
              <w:pStyle w:val="Tabletext"/>
              <w:keepLines/>
              <w:jc w:val="center"/>
            </w:pPr>
            <w:r w:rsidRPr="00311DF9">
              <w:t>(Cancer Australia, 2020b)</w:t>
            </w:r>
          </w:p>
        </w:tc>
        <w:tc>
          <w:tcPr>
            <w:tcW w:w="4649" w:type="dxa"/>
            <w:vMerge w:val="restart"/>
            <w:vAlign w:val="center"/>
          </w:tcPr>
          <w:p w14:paraId="240C2937" w14:textId="77777777" w:rsidR="00F74376" w:rsidRPr="00311DF9" w:rsidRDefault="00F74376" w:rsidP="00BF6111">
            <w:pPr>
              <w:pStyle w:val="Tabletext"/>
              <w:keepLines/>
            </w:pPr>
            <w:r w:rsidRPr="00311DF9">
              <w:t xml:space="preserve">These estimates were based on incident cases. </w:t>
            </w:r>
          </w:p>
        </w:tc>
      </w:tr>
      <w:tr w:rsidR="00F74376" w:rsidRPr="00311DF9" w14:paraId="1C38E655" w14:textId="77777777" w:rsidTr="00FD11EB">
        <w:trPr>
          <w:trHeight w:val="569"/>
        </w:trPr>
        <w:tc>
          <w:tcPr>
            <w:tcW w:w="1696" w:type="dxa"/>
            <w:vAlign w:val="center"/>
          </w:tcPr>
          <w:p w14:paraId="71EE5783" w14:textId="77777777" w:rsidR="00F74376" w:rsidRPr="00311DF9" w:rsidRDefault="00F74376" w:rsidP="00BF6111">
            <w:pPr>
              <w:pStyle w:val="Tabletext"/>
              <w:keepLines/>
            </w:pPr>
            <w:r w:rsidRPr="00311DF9">
              <w:t xml:space="preserve">Persons diagnosed with OC: </w:t>
            </w:r>
          </w:p>
        </w:tc>
        <w:tc>
          <w:tcPr>
            <w:tcW w:w="1134" w:type="dxa"/>
            <w:vAlign w:val="center"/>
          </w:tcPr>
          <w:p w14:paraId="5FA02111" w14:textId="77777777" w:rsidR="00F74376" w:rsidRPr="00311DF9" w:rsidRDefault="00F74376" w:rsidP="00BF6111">
            <w:pPr>
              <w:pStyle w:val="Tabletext"/>
              <w:keepLines/>
              <w:jc w:val="center"/>
            </w:pPr>
            <w:r w:rsidRPr="00311DF9">
              <w:t>1,587</w:t>
            </w:r>
          </w:p>
        </w:tc>
        <w:tc>
          <w:tcPr>
            <w:tcW w:w="1701" w:type="dxa"/>
            <w:vAlign w:val="center"/>
          </w:tcPr>
          <w:p w14:paraId="1D2184E3" w14:textId="77777777" w:rsidR="00F74376" w:rsidRPr="00311DF9" w:rsidRDefault="00F74376" w:rsidP="00BF6111">
            <w:pPr>
              <w:pStyle w:val="Tabletext"/>
              <w:keepLines/>
              <w:jc w:val="center"/>
            </w:pPr>
            <w:r w:rsidRPr="00311DF9">
              <w:t>AIHW 2020 estimate</w:t>
            </w:r>
          </w:p>
          <w:p w14:paraId="29F3A7AC" w14:textId="77777777" w:rsidR="00F74376" w:rsidRPr="00311DF9" w:rsidRDefault="00F74376" w:rsidP="00BF6111">
            <w:pPr>
              <w:pStyle w:val="Tabletext"/>
              <w:keepLines/>
              <w:jc w:val="center"/>
            </w:pPr>
            <w:r w:rsidRPr="00311DF9">
              <w:t>(Cancer Australia, 2020a)</w:t>
            </w:r>
          </w:p>
        </w:tc>
        <w:tc>
          <w:tcPr>
            <w:tcW w:w="4649" w:type="dxa"/>
            <w:vMerge/>
            <w:vAlign w:val="center"/>
          </w:tcPr>
          <w:p w14:paraId="03743599" w14:textId="77777777" w:rsidR="00F74376" w:rsidRPr="00311DF9" w:rsidRDefault="00F74376" w:rsidP="00BF6111">
            <w:pPr>
              <w:pStyle w:val="Tabletext"/>
              <w:keepLines/>
              <w:jc w:val="both"/>
            </w:pPr>
          </w:p>
        </w:tc>
      </w:tr>
      <w:tr w:rsidR="001A558C" w:rsidRPr="00311DF9" w14:paraId="5802066E" w14:textId="77777777" w:rsidTr="00FD11EB">
        <w:tc>
          <w:tcPr>
            <w:tcW w:w="1696" w:type="dxa"/>
            <w:vAlign w:val="center"/>
          </w:tcPr>
          <w:p w14:paraId="4DE903C0" w14:textId="77777777" w:rsidR="001A558C" w:rsidRPr="00311DF9" w:rsidRDefault="001A558C" w:rsidP="00BF6111">
            <w:pPr>
              <w:pStyle w:val="Tabletext"/>
              <w:keepLines/>
            </w:pPr>
            <w:r w:rsidRPr="00311DF9">
              <w:t xml:space="preserve">Population growth rate: </w:t>
            </w:r>
          </w:p>
        </w:tc>
        <w:tc>
          <w:tcPr>
            <w:tcW w:w="1134" w:type="dxa"/>
            <w:vAlign w:val="center"/>
          </w:tcPr>
          <w:p w14:paraId="7F41B16A" w14:textId="77777777" w:rsidR="001A558C" w:rsidRPr="00311DF9" w:rsidRDefault="001A558C" w:rsidP="00BF6111">
            <w:pPr>
              <w:pStyle w:val="Tabletext"/>
              <w:keepLines/>
              <w:jc w:val="center"/>
            </w:pPr>
            <w:r w:rsidRPr="00311DF9">
              <w:t>1.3%</w:t>
            </w:r>
          </w:p>
        </w:tc>
        <w:tc>
          <w:tcPr>
            <w:tcW w:w="1701" w:type="dxa"/>
            <w:vAlign w:val="center"/>
          </w:tcPr>
          <w:p w14:paraId="16403974" w14:textId="77777777" w:rsidR="001A558C" w:rsidRPr="00311DF9" w:rsidRDefault="001A558C" w:rsidP="00BF6111">
            <w:pPr>
              <w:pStyle w:val="Tabletext"/>
              <w:keepLines/>
              <w:jc w:val="center"/>
            </w:pPr>
            <w:r w:rsidRPr="00311DF9">
              <w:t>(Australian Bureau of Statistics, 2020)</w:t>
            </w:r>
          </w:p>
        </w:tc>
        <w:tc>
          <w:tcPr>
            <w:tcW w:w="4649" w:type="dxa"/>
            <w:vAlign w:val="center"/>
          </w:tcPr>
          <w:p w14:paraId="38E8DA0D" w14:textId="49DB9D11" w:rsidR="001A558C" w:rsidRPr="00311DF9" w:rsidRDefault="001A558C" w:rsidP="00BF6111">
            <w:pPr>
              <w:pStyle w:val="Tabletext"/>
              <w:keepLines/>
            </w:pPr>
            <w:r w:rsidRPr="00311DF9">
              <w:t xml:space="preserve">Data from Cancer Australia (2020) suggests that age standardised </w:t>
            </w:r>
            <w:r w:rsidR="00585981" w:rsidRPr="00311DF9">
              <w:t>GC</w:t>
            </w:r>
            <w:r w:rsidRPr="00311DF9">
              <w:t xml:space="preserve"> rates have been decreasing over several decades. Age standardised rates of </w:t>
            </w:r>
            <w:r w:rsidR="00585981" w:rsidRPr="00311DF9">
              <w:t xml:space="preserve">OC </w:t>
            </w:r>
            <w:r w:rsidRPr="00311DF9">
              <w:t>is more difficult to generali</w:t>
            </w:r>
            <w:r w:rsidR="00FB268A" w:rsidRPr="00311DF9">
              <w:t>s</w:t>
            </w:r>
            <w:r w:rsidRPr="00311DF9">
              <w:t xml:space="preserve">e with an increasing trend in males and a decreasing trend in females, but a broadly consistent age-standardised rate on average. It </w:t>
            </w:r>
            <w:r w:rsidR="001E5219" w:rsidRPr="00311DF9">
              <w:t>wa</w:t>
            </w:r>
            <w:r w:rsidRPr="00311DF9">
              <w:t xml:space="preserve">s thus unclear if applying a population growth rate is appropriate </w:t>
            </w:r>
            <w:r w:rsidR="001E5219" w:rsidRPr="00311DF9">
              <w:t xml:space="preserve">and </w:t>
            </w:r>
            <w:r w:rsidRPr="00311DF9">
              <w:t xml:space="preserve">might </w:t>
            </w:r>
            <w:r w:rsidR="001E5219" w:rsidRPr="00311DF9">
              <w:t xml:space="preserve">have led to an </w:t>
            </w:r>
            <w:r w:rsidRPr="00311DF9">
              <w:t>overestimated</w:t>
            </w:r>
            <w:r w:rsidR="001E5219" w:rsidRPr="00311DF9">
              <w:t xml:space="preserve"> incidence</w:t>
            </w:r>
            <w:r w:rsidR="00FB268A" w:rsidRPr="00311DF9">
              <w:t>.</w:t>
            </w:r>
            <w:r w:rsidRPr="00311DF9">
              <w:t xml:space="preserve"> </w:t>
            </w:r>
          </w:p>
        </w:tc>
      </w:tr>
      <w:tr w:rsidR="00FD11EB" w:rsidRPr="00311DF9" w14:paraId="5F2CB486" w14:textId="77777777" w:rsidTr="00FD11EB">
        <w:tc>
          <w:tcPr>
            <w:tcW w:w="1696" w:type="dxa"/>
            <w:vAlign w:val="center"/>
          </w:tcPr>
          <w:p w14:paraId="60BD7E67" w14:textId="77777777" w:rsidR="00FD11EB" w:rsidRPr="00311DF9" w:rsidRDefault="00FD11EB" w:rsidP="00BF6111">
            <w:pPr>
              <w:pStyle w:val="Tabletext"/>
              <w:keepLines/>
            </w:pPr>
            <w:r w:rsidRPr="00311DF9">
              <w:t>Proportion with AC histology:</w:t>
            </w:r>
          </w:p>
        </w:tc>
        <w:tc>
          <w:tcPr>
            <w:tcW w:w="1134" w:type="dxa"/>
            <w:vAlign w:val="center"/>
          </w:tcPr>
          <w:p w14:paraId="60A72A74" w14:textId="77777777" w:rsidR="00FD11EB" w:rsidRPr="00311DF9" w:rsidRDefault="00FD11EB" w:rsidP="00BF6111">
            <w:pPr>
              <w:pStyle w:val="Tabletext"/>
              <w:keepLines/>
              <w:jc w:val="center"/>
            </w:pPr>
            <w:r w:rsidRPr="00311DF9">
              <w:t>GC and GOJC: 84.08%</w:t>
            </w:r>
          </w:p>
          <w:p w14:paraId="081499B5" w14:textId="77777777" w:rsidR="00FD11EB" w:rsidRPr="00311DF9" w:rsidRDefault="00FD11EB" w:rsidP="00BF6111">
            <w:pPr>
              <w:pStyle w:val="Tabletext"/>
              <w:keepLines/>
              <w:jc w:val="center"/>
            </w:pPr>
            <w:r w:rsidRPr="00311DF9">
              <w:t>OAC: 53.53%</w:t>
            </w:r>
          </w:p>
        </w:tc>
        <w:tc>
          <w:tcPr>
            <w:tcW w:w="1701" w:type="dxa"/>
            <w:vAlign w:val="center"/>
          </w:tcPr>
          <w:p w14:paraId="19596802" w14:textId="77777777" w:rsidR="00FD11EB" w:rsidRPr="00311DF9" w:rsidRDefault="00FD11EB" w:rsidP="00BF6111">
            <w:pPr>
              <w:pStyle w:val="Tabletext"/>
              <w:keepLines/>
              <w:jc w:val="center"/>
            </w:pPr>
            <w:r w:rsidRPr="00311DF9">
              <w:t>(Australian Institute of Health and Welfare, 2021a)</w:t>
            </w:r>
          </w:p>
        </w:tc>
        <w:tc>
          <w:tcPr>
            <w:tcW w:w="4649" w:type="dxa"/>
            <w:vAlign w:val="center"/>
          </w:tcPr>
          <w:p w14:paraId="15F7D17F" w14:textId="77777777" w:rsidR="00FD11EB" w:rsidRPr="00311DF9" w:rsidRDefault="00FD11EB" w:rsidP="00BF6111">
            <w:pPr>
              <w:pStyle w:val="Tabletext"/>
              <w:keepLines/>
            </w:pPr>
            <w:r w:rsidRPr="00311DF9">
              <w:t>Reasonable.</w:t>
            </w:r>
          </w:p>
        </w:tc>
      </w:tr>
      <w:tr w:rsidR="00FD11EB" w:rsidRPr="00311DF9" w14:paraId="34C0E8A1" w14:textId="77777777" w:rsidTr="00FD11EB">
        <w:tc>
          <w:tcPr>
            <w:tcW w:w="1696" w:type="dxa"/>
            <w:vAlign w:val="center"/>
          </w:tcPr>
          <w:p w14:paraId="51166C25" w14:textId="77777777" w:rsidR="00FD11EB" w:rsidRPr="00311DF9" w:rsidRDefault="00FD11EB" w:rsidP="00BF6111">
            <w:pPr>
              <w:pStyle w:val="Tabletext"/>
              <w:keepLines/>
            </w:pPr>
            <w:r w:rsidRPr="00311DF9">
              <w:t>Proportion diagnosed with advanced or metastatic disease</w:t>
            </w:r>
          </w:p>
        </w:tc>
        <w:tc>
          <w:tcPr>
            <w:tcW w:w="1134" w:type="dxa"/>
            <w:vAlign w:val="center"/>
          </w:tcPr>
          <w:p w14:paraId="643F9DC2" w14:textId="77777777" w:rsidR="00FD11EB" w:rsidRPr="00311DF9" w:rsidRDefault="00FD11EB" w:rsidP="00BF6111">
            <w:pPr>
              <w:pStyle w:val="Tabletext"/>
              <w:keepLines/>
              <w:jc w:val="center"/>
            </w:pPr>
            <w:r w:rsidRPr="00311DF9">
              <w:t>75%</w:t>
            </w:r>
          </w:p>
        </w:tc>
        <w:tc>
          <w:tcPr>
            <w:tcW w:w="1701" w:type="dxa"/>
            <w:vAlign w:val="center"/>
          </w:tcPr>
          <w:p w14:paraId="7793FEE7" w14:textId="77777777" w:rsidR="00FD11EB" w:rsidRPr="00311DF9" w:rsidRDefault="00FD11EB" w:rsidP="00BF6111">
            <w:pPr>
              <w:pStyle w:val="Tabletext"/>
              <w:keepLines/>
              <w:jc w:val="center"/>
            </w:pPr>
            <w:r w:rsidRPr="00311DF9">
              <w:t>Advisory board</w:t>
            </w:r>
          </w:p>
        </w:tc>
        <w:tc>
          <w:tcPr>
            <w:tcW w:w="4649" w:type="dxa"/>
            <w:vAlign w:val="center"/>
          </w:tcPr>
          <w:p w14:paraId="03A6E58C" w14:textId="77777777" w:rsidR="00FD11EB" w:rsidRPr="00311DF9" w:rsidRDefault="00FD11EB" w:rsidP="00BF6111">
            <w:pPr>
              <w:pStyle w:val="Tabletext"/>
              <w:keepLines/>
            </w:pPr>
            <w:r w:rsidRPr="00311DF9">
              <w:t xml:space="preserve">This is essentially an assumption, with estimates in the identified literature being higher. An Australian review on management of advanced GC reported in the Western world, suggested that 80 to 90% of patients are ultimately diagnosed at an advanced stage when the tumour is inoperable (Price 2012; Wagner 2017). An audit of the South Australian Upper GI Cancer Database was conducted on patients with oesophageal cancer which also revealed 84% of patients presented with advanced or metastatic disease (Stages II, III and IV) (Nguyen 2019) The model is sensitive to this assumption, but it may not be unreasonable. </w:t>
            </w:r>
          </w:p>
        </w:tc>
      </w:tr>
      <w:tr w:rsidR="00FD11EB" w:rsidRPr="00311DF9" w14:paraId="0BEA4806" w14:textId="77777777" w:rsidTr="00FD11EB">
        <w:tc>
          <w:tcPr>
            <w:tcW w:w="1696" w:type="dxa"/>
            <w:vAlign w:val="center"/>
          </w:tcPr>
          <w:p w14:paraId="67A927E0" w14:textId="77777777" w:rsidR="00FD11EB" w:rsidRPr="00311DF9" w:rsidRDefault="00FD11EB" w:rsidP="00BF6111">
            <w:pPr>
              <w:pStyle w:val="Tabletext"/>
              <w:keepLines/>
            </w:pPr>
            <w:r w:rsidRPr="00311DF9">
              <w:t xml:space="preserve">Proportion of patients who are non-HER2 positive: </w:t>
            </w:r>
          </w:p>
        </w:tc>
        <w:tc>
          <w:tcPr>
            <w:tcW w:w="1134" w:type="dxa"/>
            <w:vAlign w:val="center"/>
          </w:tcPr>
          <w:p w14:paraId="5F6BAFD7" w14:textId="77777777" w:rsidR="00FD11EB" w:rsidRPr="00311DF9" w:rsidRDefault="00FD11EB" w:rsidP="00BF6111">
            <w:pPr>
              <w:pStyle w:val="Tabletext"/>
              <w:keepLines/>
              <w:jc w:val="center"/>
            </w:pPr>
            <w:r w:rsidRPr="00311DF9">
              <w:t>86.10%</w:t>
            </w:r>
          </w:p>
        </w:tc>
        <w:tc>
          <w:tcPr>
            <w:tcW w:w="1701" w:type="dxa"/>
            <w:vAlign w:val="center"/>
          </w:tcPr>
          <w:p w14:paraId="4145A16C" w14:textId="77777777" w:rsidR="00FD11EB" w:rsidRPr="00311DF9" w:rsidRDefault="00FD11EB" w:rsidP="00BF6111">
            <w:pPr>
              <w:pStyle w:val="Tabletext"/>
              <w:keepLines/>
              <w:jc w:val="center"/>
            </w:pPr>
            <w:r w:rsidRPr="00311DF9">
              <w:t>(</w:t>
            </w:r>
            <w:proofErr w:type="spellStart"/>
            <w:r w:rsidRPr="00311DF9">
              <w:t>Kumarasinghe</w:t>
            </w:r>
            <w:proofErr w:type="spellEnd"/>
            <w:r w:rsidRPr="00311DF9">
              <w:t xml:space="preserve"> et al., 2017) with validation from Advisory board</w:t>
            </w:r>
          </w:p>
        </w:tc>
        <w:tc>
          <w:tcPr>
            <w:tcW w:w="4649" w:type="dxa"/>
            <w:vAlign w:val="center"/>
          </w:tcPr>
          <w:p w14:paraId="274E8FAB" w14:textId="77777777" w:rsidR="00FD11EB" w:rsidRPr="00311DF9" w:rsidRDefault="00FD11EB" w:rsidP="00BF6111">
            <w:pPr>
              <w:pStyle w:val="Tabletext"/>
              <w:keepLines/>
              <w:jc w:val="both"/>
            </w:pPr>
          </w:p>
        </w:tc>
      </w:tr>
      <w:tr w:rsidR="00FD11EB" w:rsidRPr="00311DF9" w14:paraId="25AF83BF" w14:textId="77777777" w:rsidTr="00FD11EB">
        <w:tc>
          <w:tcPr>
            <w:tcW w:w="1696" w:type="dxa"/>
            <w:vAlign w:val="center"/>
          </w:tcPr>
          <w:p w14:paraId="35D9CACC" w14:textId="77777777" w:rsidR="00FD11EB" w:rsidRPr="00311DF9" w:rsidRDefault="00FD11EB" w:rsidP="00BF6111">
            <w:pPr>
              <w:pStyle w:val="Tabletext"/>
              <w:keepLines/>
            </w:pPr>
            <w:r w:rsidRPr="00311DF9">
              <w:t>Proportion of patients with ECOG performance status score of 0 or 1</w:t>
            </w:r>
          </w:p>
        </w:tc>
        <w:tc>
          <w:tcPr>
            <w:tcW w:w="1134" w:type="dxa"/>
            <w:vAlign w:val="center"/>
          </w:tcPr>
          <w:p w14:paraId="7F45CBEC" w14:textId="77777777" w:rsidR="00FD11EB" w:rsidRPr="00311DF9" w:rsidRDefault="00FD11EB" w:rsidP="00BF6111">
            <w:pPr>
              <w:pStyle w:val="Tabletext"/>
              <w:keepLines/>
              <w:jc w:val="center"/>
            </w:pPr>
            <w:r w:rsidRPr="00311DF9">
              <w:t>74.75%</w:t>
            </w:r>
          </w:p>
        </w:tc>
        <w:tc>
          <w:tcPr>
            <w:tcW w:w="1701" w:type="dxa"/>
            <w:vAlign w:val="center"/>
          </w:tcPr>
          <w:p w14:paraId="33AD1871" w14:textId="77777777" w:rsidR="00FD11EB" w:rsidRPr="00311DF9" w:rsidRDefault="00FD11EB" w:rsidP="00BF6111">
            <w:pPr>
              <w:pStyle w:val="Tabletext"/>
              <w:keepLines/>
              <w:jc w:val="center"/>
            </w:pPr>
            <w:r w:rsidRPr="00311DF9">
              <w:t xml:space="preserve">(Ma et al., 2020) and (Hall JP, </w:t>
            </w:r>
            <w:proofErr w:type="spellStart"/>
            <w:r w:rsidRPr="00311DF9">
              <w:t>Khela</w:t>
            </w:r>
            <w:proofErr w:type="spellEnd"/>
            <w:r w:rsidRPr="00311DF9">
              <w:t xml:space="preserve"> K, </w:t>
            </w:r>
            <w:proofErr w:type="spellStart"/>
            <w:r w:rsidRPr="00311DF9">
              <w:t>Bertwistle</w:t>
            </w:r>
            <w:proofErr w:type="spellEnd"/>
            <w:r w:rsidRPr="00311DF9">
              <w:t xml:space="preserve"> D, 2020) with validation from Advisory board</w:t>
            </w:r>
          </w:p>
        </w:tc>
        <w:tc>
          <w:tcPr>
            <w:tcW w:w="4649" w:type="dxa"/>
            <w:vAlign w:val="center"/>
          </w:tcPr>
          <w:p w14:paraId="128F7CB2" w14:textId="77777777" w:rsidR="00FD11EB" w:rsidRPr="00311DF9" w:rsidRDefault="00FD11EB" w:rsidP="00BF6111">
            <w:pPr>
              <w:pStyle w:val="Tabletext"/>
              <w:keepLines/>
              <w:jc w:val="both"/>
            </w:pPr>
          </w:p>
        </w:tc>
      </w:tr>
      <w:tr w:rsidR="00FD11EB" w:rsidRPr="00311DF9" w14:paraId="3683A095" w14:textId="77777777" w:rsidTr="00FD11EB">
        <w:tc>
          <w:tcPr>
            <w:tcW w:w="1696" w:type="dxa"/>
            <w:tcBorders>
              <w:bottom w:val="single" w:sz="4" w:space="0" w:color="auto"/>
            </w:tcBorders>
            <w:vAlign w:val="center"/>
          </w:tcPr>
          <w:p w14:paraId="595DEA03" w14:textId="77777777" w:rsidR="00FD11EB" w:rsidRPr="00311DF9" w:rsidRDefault="00FD11EB" w:rsidP="00BF6111">
            <w:pPr>
              <w:pStyle w:val="Tabletext"/>
              <w:keepLines/>
            </w:pPr>
            <w:r w:rsidRPr="00311DF9">
              <w:t xml:space="preserve">Proportion of patients electing treatment: </w:t>
            </w:r>
          </w:p>
        </w:tc>
        <w:tc>
          <w:tcPr>
            <w:tcW w:w="1134" w:type="dxa"/>
            <w:tcBorders>
              <w:bottom w:val="single" w:sz="4" w:space="0" w:color="auto"/>
            </w:tcBorders>
            <w:vAlign w:val="center"/>
          </w:tcPr>
          <w:p w14:paraId="02E754B4" w14:textId="77777777" w:rsidR="00FD11EB" w:rsidRPr="00311DF9" w:rsidRDefault="00DF0A4C" w:rsidP="00BF6111">
            <w:pPr>
              <w:pStyle w:val="Tabletext"/>
              <w:keepLines/>
              <w:jc w:val="center"/>
            </w:pPr>
            <w:r>
              <w:rPr>
                <w:noProof/>
                <w:color w:val="000000"/>
                <w:highlight w:val="black"/>
              </w:rPr>
              <w:t>''''''''''''</w:t>
            </w:r>
            <w:r w:rsidR="00FD11EB" w:rsidRPr="00311DF9">
              <w:t>%</w:t>
            </w:r>
          </w:p>
        </w:tc>
        <w:tc>
          <w:tcPr>
            <w:tcW w:w="1701" w:type="dxa"/>
            <w:tcBorders>
              <w:bottom w:val="single" w:sz="4" w:space="0" w:color="auto"/>
            </w:tcBorders>
            <w:vAlign w:val="center"/>
          </w:tcPr>
          <w:p w14:paraId="7FA9282C" w14:textId="77777777" w:rsidR="00FD11EB" w:rsidRPr="00311DF9" w:rsidRDefault="00FD11EB" w:rsidP="00BF6111">
            <w:pPr>
              <w:pStyle w:val="Tabletext"/>
              <w:keepLines/>
              <w:jc w:val="center"/>
            </w:pPr>
            <w:r w:rsidRPr="00311DF9">
              <w:t>Advisory board</w:t>
            </w:r>
          </w:p>
          <w:p w14:paraId="17771554" w14:textId="77777777" w:rsidR="00FD11EB" w:rsidRPr="00311DF9" w:rsidRDefault="00FD11EB" w:rsidP="00BF6111">
            <w:pPr>
              <w:pStyle w:val="Tabletext"/>
              <w:keepLines/>
              <w:jc w:val="center"/>
            </w:pPr>
          </w:p>
        </w:tc>
        <w:tc>
          <w:tcPr>
            <w:tcW w:w="4649" w:type="dxa"/>
            <w:tcBorders>
              <w:bottom w:val="single" w:sz="4" w:space="0" w:color="auto"/>
            </w:tcBorders>
            <w:vAlign w:val="center"/>
          </w:tcPr>
          <w:p w14:paraId="4E79ECF0" w14:textId="77777777" w:rsidR="00FD11EB" w:rsidRPr="00311DF9" w:rsidRDefault="00FD11EB" w:rsidP="00BF6111">
            <w:pPr>
              <w:pStyle w:val="Tabletext"/>
              <w:keepLines/>
            </w:pPr>
            <w:r w:rsidRPr="00311DF9">
              <w:t xml:space="preserve">This may be an overestimate. The Advisors indicated </w:t>
            </w:r>
            <w:proofErr w:type="gramStart"/>
            <w:r w:rsidRPr="00311DF9">
              <w:t>between 10% to 30% of patients</w:t>
            </w:r>
            <w:proofErr w:type="gramEnd"/>
            <w:r w:rsidRPr="00311DF9">
              <w:t xml:space="preserve"> did not receive chemotherapy. There are some patients who were too old, had comorbidities/organ dysfunction or were too frail to receive chemotherapy. It would be expected that these patients were unlikely to have a PS of 0 or 1.However, an increase in proportion electing treatment may represent market growth due to availability of nivolumab, though not estimating market growth separately will overestimate chemotherapy substituted for and cost offsets. </w:t>
            </w:r>
          </w:p>
        </w:tc>
      </w:tr>
    </w:tbl>
    <w:p w14:paraId="72B45575" w14:textId="77777777" w:rsidR="00EF73C8" w:rsidRDefault="00EF73C8" w:rsidP="00BF6111">
      <w:pPr>
        <w:pStyle w:val="TableFooter"/>
        <w:keepLines/>
      </w:pPr>
      <w:r>
        <w:t xml:space="preserve">Source: Table 70, p126 of the submission. </w:t>
      </w:r>
    </w:p>
    <w:p w14:paraId="0B3F67D6" w14:textId="77777777" w:rsidR="00EF73C8" w:rsidRDefault="00EF73C8" w:rsidP="00FA447A">
      <w:pPr>
        <w:pStyle w:val="TableFooter"/>
        <w:keepNext/>
        <w:keepLines/>
        <w:spacing w:after="120"/>
      </w:pPr>
      <w:r w:rsidRPr="001C15D2">
        <w:t>AC = adenocarcinoma; AIHW = Australian Institute of Health and Welfare; CSR = clinical study report; DOT = duration of therapy; ECOG = Eastern Cooperative Oncology Group; GC = gastric cancer; GOJC = gastro-oesophageal junction cancer; HER2 = human epidermal growth factor receptor 2; OAC = oesophageal adenocarcinoma; OC = oesophageal cancer; PBS = Pharmaceutical Benefits Scheme; RPBS = Repatriation Pharmaceutical Benefits Scheme</w:t>
      </w:r>
    </w:p>
    <w:p w14:paraId="1A7F39D0" w14:textId="77777777" w:rsidR="00EF73C8" w:rsidRDefault="002A0BA9" w:rsidP="00EF73C8">
      <w:pPr>
        <w:pStyle w:val="3-BodyText"/>
        <w:ind w:left="720"/>
      </w:pPr>
      <w:r w:rsidRPr="002A0BA9">
        <w:t>Table 15</w:t>
      </w:r>
      <w:r w:rsidR="00EF73C8" w:rsidRPr="00EF73C8">
        <w:t xml:space="preserve"> presents</w:t>
      </w:r>
      <w:r w:rsidR="00EF73C8">
        <w:t xml:space="preserve"> the estimated use and financial implications in the submission.</w:t>
      </w:r>
    </w:p>
    <w:p w14:paraId="1DD99577" w14:textId="77777777" w:rsidR="00EF73C8" w:rsidRPr="00606FBA" w:rsidRDefault="00EF73C8" w:rsidP="00FA447A">
      <w:pPr>
        <w:pStyle w:val="TableFigureHeading"/>
        <w:keepLines/>
      </w:pPr>
      <w:bookmarkStart w:id="54" w:name="_Ref69552018"/>
      <w:r w:rsidRPr="00EF73C8">
        <w:rPr>
          <w:rStyle w:val="CommentReference"/>
          <w:b/>
          <w:szCs w:val="24"/>
        </w:rPr>
        <w:t xml:space="preserve">Table </w:t>
      </w:r>
      <w:r w:rsidR="002A0BA9">
        <w:rPr>
          <w:rStyle w:val="CommentReference"/>
          <w:b/>
          <w:noProof/>
          <w:szCs w:val="24"/>
        </w:rPr>
        <w:t>15</w:t>
      </w:r>
      <w:bookmarkEnd w:id="54"/>
      <w:r w:rsidRPr="00EF73C8">
        <w:rPr>
          <w:rStyle w:val="CommentReference"/>
          <w:b/>
          <w:szCs w:val="24"/>
        </w:rPr>
        <w:t>:</w:t>
      </w:r>
      <w:r w:rsidRPr="00606FBA">
        <w:rPr>
          <w:rStyle w:val="CommentReference"/>
          <w:b/>
          <w:szCs w:val="24"/>
        </w:rPr>
        <w:t xml:space="preserve"> Estimated use and financial implications</w:t>
      </w:r>
    </w:p>
    <w:tbl>
      <w:tblPr>
        <w:tblStyle w:val="ASDTable2"/>
        <w:tblW w:w="5000" w:type="pct"/>
        <w:tblInd w:w="0" w:type="dxa"/>
        <w:tblLayout w:type="fixed"/>
        <w:tblLook w:val="04A0" w:firstRow="1" w:lastRow="0" w:firstColumn="1" w:lastColumn="0" w:noHBand="0" w:noVBand="1"/>
        <w:tblCaption w:val="Table 15: Estimated use and financial implications"/>
      </w:tblPr>
      <w:tblGrid>
        <w:gridCol w:w="1981"/>
        <w:gridCol w:w="1172"/>
        <w:gridCol w:w="1172"/>
        <w:gridCol w:w="1172"/>
        <w:gridCol w:w="1172"/>
        <w:gridCol w:w="1172"/>
        <w:gridCol w:w="1176"/>
      </w:tblGrid>
      <w:tr w:rsidR="00EF73C8" w:rsidRPr="00D1078F" w14:paraId="336EC6C4" w14:textId="77777777" w:rsidTr="00224556">
        <w:trPr>
          <w:tblHeader/>
        </w:trPr>
        <w:tc>
          <w:tcPr>
            <w:tcW w:w="1098" w:type="pct"/>
          </w:tcPr>
          <w:p w14:paraId="3F47B2D9" w14:textId="77777777" w:rsidR="00EF73C8" w:rsidRPr="003639A6" w:rsidRDefault="00EF73C8" w:rsidP="00FA447A">
            <w:pPr>
              <w:pStyle w:val="In-tableHeading"/>
              <w:keepLines/>
              <w:jc w:val="center"/>
            </w:pPr>
          </w:p>
        </w:tc>
        <w:tc>
          <w:tcPr>
            <w:tcW w:w="650" w:type="pct"/>
          </w:tcPr>
          <w:p w14:paraId="3CA506A6" w14:textId="77777777" w:rsidR="00EF73C8" w:rsidRPr="00D1078F" w:rsidRDefault="00EF73C8" w:rsidP="00FA447A">
            <w:pPr>
              <w:pStyle w:val="In-tableHeading"/>
              <w:keepLines/>
              <w:jc w:val="center"/>
            </w:pPr>
            <w:r w:rsidRPr="00D1078F">
              <w:t>Year 1</w:t>
            </w:r>
          </w:p>
        </w:tc>
        <w:tc>
          <w:tcPr>
            <w:tcW w:w="650" w:type="pct"/>
          </w:tcPr>
          <w:p w14:paraId="21FCE3A6" w14:textId="77777777" w:rsidR="00EF73C8" w:rsidRPr="00D1078F" w:rsidRDefault="00EF73C8" w:rsidP="00FA447A">
            <w:pPr>
              <w:pStyle w:val="In-tableHeading"/>
              <w:keepLines/>
              <w:jc w:val="center"/>
            </w:pPr>
            <w:r w:rsidRPr="00D1078F">
              <w:t>Year 2</w:t>
            </w:r>
          </w:p>
        </w:tc>
        <w:tc>
          <w:tcPr>
            <w:tcW w:w="650" w:type="pct"/>
          </w:tcPr>
          <w:p w14:paraId="7DB62CDF" w14:textId="77777777" w:rsidR="00EF73C8" w:rsidRPr="00D1078F" w:rsidRDefault="00EF73C8" w:rsidP="00FA447A">
            <w:pPr>
              <w:pStyle w:val="In-tableHeading"/>
              <w:keepLines/>
              <w:jc w:val="center"/>
            </w:pPr>
            <w:r w:rsidRPr="00D1078F">
              <w:t>Year 3</w:t>
            </w:r>
          </w:p>
        </w:tc>
        <w:tc>
          <w:tcPr>
            <w:tcW w:w="650" w:type="pct"/>
          </w:tcPr>
          <w:p w14:paraId="50E4517C" w14:textId="77777777" w:rsidR="00EF73C8" w:rsidRPr="00D1078F" w:rsidRDefault="00EF73C8" w:rsidP="00FA447A">
            <w:pPr>
              <w:pStyle w:val="In-tableHeading"/>
              <w:keepLines/>
              <w:jc w:val="center"/>
            </w:pPr>
            <w:r w:rsidRPr="00D1078F">
              <w:t>Year 4</w:t>
            </w:r>
          </w:p>
        </w:tc>
        <w:tc>
          <w:tcPr>
            <w:tcW w:w="650" w:type="pct"/>
          </w:tcPr>
          <w:p w14:paraId="6216E03B" w14:textId="77777777" w:rsidR="00EF73C8" w:rsidRPr="00D1078F" w:rsidRDefault="00EF73C8" w:rsidP="00FA447A">
            <w:pPr>
              <w:pStyle w:val="In-tableHeading"/>
              <w:keepLines/>
              <w:jc w:val="center"/>
            </w:pPr>
            <w:r w:rsidRPr="00D1078F">
              <w:t>Year 5</w:t>
            </w:r>
          </w:p>
        </w:tc>
        <w:tc>
          <w:tcPr>
            <w:tcW w:w="652" w:type="pct"/>
          </w:tcPr>
          <w:p w14:paraId="22A51DA3" w14:textId="77777777" w:rsidR="00EF73C8" w:rsidRPr="00D1078F" w:rsidRDefault="00EF73C8" w:rsidP="00FA447A">
            <w:pPr>
              <w:pStyle w:val="In-tableHeading"/>
              <w:keepLines/>
              <w:jc w:val="center"/>
            </w:pPr>
            <w:r w:rsidRPr="00D1078F">
              <w:t>Year 6</w:t>
            </w:r>
          </w:p>
        </w:tc>
      </w:tr>
      <w:tr w:rsidR="00EF73C8" w:rsidRPr="00D1078F" w14:paraId="1DC6F36D" w14:textId="77777777" w:rsidTr="0066571E">
        <w:tc>
          <w:tcPr>
            <w:tcW w:w="5000" w:type="pct"/>
            <w:gridSpan w:val="7"/>
          </w:tcPr>
          <w:p w14:paraId="3BCC0ACB" w14:textId="77777777" w:rsidR="00EF73C8" w:rsidRPr="00D1078F" w:rsidRDefault="00EF73C8" w:rsidP="00FA447A">
            <w:pPr>
              <w:pStyle w:val="In-tableHeading"/>
              <w:keepLines/>
              <w:rPr>
                <w:bCs/>
                <w:color w:val="000000"/>
              </w:rPr>
            </w:pPr>
            <w:r w:rsidRPr="00D1078F">
              <w:rPr>
                <w:bCs/>
                <w:color w:val="000000"/>
              </w:rPr>
              <w:t>Estimated extent of use</w:t>
            </w:r>
          </w:p>
        </w:tc>
      </w:tr>
      <w:tr w:rsidR="00EF73C8" w:rsidRPr="003639A6" w14:paraId="7A6B10B8" w14:textId="77777777" w:rsidTr="004054B4">
        <w:tc>
          <w:tcPr>
            <w:tcW w:w="1098" w:type="pct"/>
          </w:tcPr>
          <w:p w14:paraId="747562BA" w14:textId="77777777" w:rsidR="00EF73C8" w:rsidRPr="003639A6" w:rsidRDefault="00EF73C8" w:rsidP="00FA447A">
            <w:pPr>
              <w:pStyle w:val="TableText0"/>
              <w:keepLines/>
              <w:rPr>
                <w:rFonts w:ascii="Times" w:hAnsi="Times"/>
              </w:rPr>
            </w:pPr>
            <w:r w:rsidRPr="003639A6">
              <w:t>Number of patients treated</w:t>
            </w:r>
          </w:p>
        </w:tc>
        <w:tc>
          <w:tcPr>
            <w:tcW w:w="650" w:type="pct"/>
          </w:tcPr>
          <w:p w14:paraId="56597A5F" w14:textId="77777777" w:rsidR="00EF73C8" w:rsidRPr="00DF0A4C" w:rsidRDefault="00DF0A4C" w:rsidP="00FA447A">
            <w:pPr>
              <w:pStyle w:val="TableText0"/>
              <w:keepLines/>
              <w:jc w:val="center"/>
              <w:rPr>
                <w:bCs w:val="0"/>
                <w:color w:val="000000"/>
              </w:rPr>
            </w:pPr>
            <w:r>
              <w:rPr>
                <w:bCs w:val="0"/>
                <w:noProof/>
                <w:color w:val="000000"/>
                <w:highlight w:val="black"/>
              </w:rPr>
              <w:t>''''''''''''''</w:t>
            </w:r>
            <w:r w:rsidR="00F27046">
              <w:rPr>
                <w:sz w:val="19"/>
                <w:szCs w:val="19"/>
                <w:vertAlign w:val="superscript"/>
              </w:rPr>
              <w:t>1</w:t>
            </w:r>
          </w:p>
        </w:tc>
        <w:tc>
          <w:tcPr>
            <w:tcW w:w="650" w:type="pct"/>
          </w:tcPr>
          <w:p w14:paraId="41B871A4" w14:textId="77777777" w:rsidR="00EF73C8" w:rsidRPr="00DF0A4C" w:rsidRDefault="00DF0A4C" w:rsidP="00FA447A">
            <w:pPr>
              <w:pStyle w:val="TableText0"/>
              <w:keepLines/>
              <w:jc w:val="center"/>
              <w:rPr>
                <w:bCs w:val="0"/>
                <w:color w:val="000000"/>
              </w:rPr>
            </w:pPr>
            <w:r>
              <w:rPr>
                <w:bCs w:val="0"/>
                <w:noProof/>
                <w:color w:val="000000"/>
                <w:highlight w:val="black"/>
              </w:rPr>
              <w:t>'''''''''''''''</w:t>
            </w:r>
            <w:r w:rsidR="00F27046">
              <w:rPr>
                <w:sz w:val="19"/>
                <w:szCs w:val="19"/>
                <w:vertAlign w:val="superscript"/>
              </w:rPr>
              <w:t>1</w:t>
            </w:r>
          </w:p>
        </w:tc>
        <w:tc>
          <w:tcPr>
            <w:tcW w:w="650" w:type="pct"/>
          </w:tcPr>
          <w:p w14:paraId="5BEC8654" w14:textId="77777777" w:rsidR="00EF73C8" w:rsidRPr="00DF0A4C" w:rsidRDefault="00DF0A4C" w:rsidP="00FA447A">
            <w:pPr>
              <w:pStyle w:val="TableText0"/>
              <w:keepLines/>
              <w:jc w:val="center"/>
              <w:rPr>
                <w:bCs w:val="0"/>
                <w:color w:val="000000"/>
              </w:rPr>
            </w:pPr>
            <w:r>
              <w:rPr>
                <w:bCs w:val="0"/>
                <w:noProof/>
                <w:color w:val="000000"/>
                <w:highlight w:val="black"/>
              </w:rPr>
              <w:t>''''''''''''''</w:t>
            </w:r>
            <w:r w:rsidR="00F27046">
              <w:rPr>
                <w:sz w:val="19"/>
                <w:szCs w:val="19"/>
                <w:vertAlign w:val="superscript"/>
              </w:rPr>
              <w:t>1</w:t>
            </w:r>
          </w:p>
        </w:tc>
        <w:tc>
          <w:tcPr>
            <w:tcW w:w="650" w:type="pct"/>
          </w:tcPr>
          <w:p w14:paraId="1BEA37FC" w14:textId="77777777" w:rsidR="00EF73C8" w:rsidRPr="00DF0A4C" w:rsidRDefault="00DF0A4C" w:rsidP="00FA447A">
            <w:pPr>
              <w:pStyle w:val="TableText0"/>
              <w:keepLines/>
              <w:jc w:val="center"/>
              <w:rPr>
                <w:bCs w:val="0"/>
                <w:color w:val="000000"/>
              </w:rPr>
            </w:pPr>
            <w:r>
              <w:rPr>
                <w:bCs w:val="0"/>
                <w:noProof/>
                <w:color w:val="000000"/>
                <w:highlight w:val="black"/>
              </w:rPr>
              <w:t>'''''''''''''</w:t>
            </w:r>
            <w:r w:rsidR="00F27046">
              <w:rPr>
                <w:sz w:val="19"/>
                <w:szCs w:val="19"/>
                <w:vertAlign w:val="superscript"/>
              </w:rPr>
              <w:t>1</w:t>
            </w:r>
          </w:p>
        </w:tc>
        <w:tc>
          <w:tcPr>
            <w:tcW w:w="650" w:type="pct"/>
          </w:tcPr>
          <w:p w14:paraId="03726E81" w14:textId="77777777" w:rsidR="00EF73C8" w:rsidRPr="00DF0A4C" w:rsidRDefault="00DF0A4C" w:rsidP="00FA447A">
            <w:pPr>
              <w:pStyle w:val="TableText0"/>
              <w:keepLines/>
              <w:jc w:val="center"/>
              <w:rPr>
                <w:bCs w:val="0"/>
                <w:color w:val="000000"/>
              </w:rPr>
            </w:pPr>
            <w:r>
              <w:rPr>
                <w:bCs w:val="0"/>
                <w:noProof/>
                <w:color w:val="000000"/>
                <w:highlight w:val="black"/>
              </w:rPr>
              <w:t>'''''''''''''</w:t>
            </w:r>
            <w:r w:rsidR="00F27046">
              <w:rPr>
                <w:sz w:val="19"/>
                <w:szCs w:val="19"/>
                <w:vertAlign w:val="superscript"/>
              </w:rPr>
              <w:t>1</w:t>
            </w:r>
          </w:p>
        </w:tc>
        <w:tc>
          <w:tcPr>
            <w:tcW w:w="652" w:type="pct"/>
          </w:tcPr>
          <w:p w14:paraId="580607EE" w14:textId="77777777" w:rsidR="00EF73C8" w:rsidRPr="00DF0A4C" w:rsidRDefault="00DF0A4C" w:rsidP="00FA447A">
            <w:pPr>
              <w:pStyle w:val="TableText0"/>
              <w:keepLines/>
              <w:jc w:val="center"/>
              <w:rPr>
                <w:bCs w:val="0"/>
                <w:color w:val="000000"/>
              </w:rPr>
            </w:pPr>
            <w:r>
              <w:rPr>
                <w:bCs w:val="0"/>
                <w:noProof/>
                <w:color w:val="000000"/>
                <w:highlight w:val="black"/>
              </w:rPr>
              <w:t>''''''''''''</w:t>
            </w:r>
            <w:r w:rsidR="00F27046">
              <w:rPr>
                <w:sz w:val="19"/>
                <w:szCs w:val="19"/>
                <w:vertAlign w:val="superscript"/>
              </w:rPr>
              <w:t>1</w:t>
            </w:r>
          </w:p>
        </w:tc>
      </w:tr>
      <w:tr w:rsidR="00DE704C" w:rsidRPr="009A3CE2" w14:paraId="18DC4555" w14:textId="77777777" w:rsidTr="004054B4">
        <w:tc>
          <w:tcPr>
            <w:tcW w:w="5000" w:type="pct"/>
            <w:gridSpan w:val="7"/>
          </w:tcPr>
          <w:p w14:paraId="786D6C2F" w14:textId="77777777" w:rsidR="00DE704C" w:rsidRPr="009A3CE2" w:rsidRDefault="00DE704C" w:rsidP="00DE704C">
            <w:pPr>
              <w:pStyle w:val="TableText0"/>
              <w:keepLines/>
              <w:rPr>
                <w:b/>
                <w:bCs w:val="0"/>
              </w:rPr>
            </w:pPr>
            <w:r w:rsidRPr="009A3CE2">
              <w:rPr>
                <w:b/>
                <w:bCs w:val="0"/>
              </w:rPr>
              <w:t>Estimated number of scripts</w:t>
            </w:r>
          </w:p>
        </w:tc>
      </w:tr>
      <w:tr w:rsidR="004054B4" w:rsidRPr="009A3CE2" w14:paraId="593D0D55" w14:textId="77777777" w:rsidTr="004054B4">
        <w:tc>
          <w:tcPr>
            <w:tcW w:w="5000" w:type="pct"/>
            <w:gridSpan w:val="7"/>
          </w:tcPr>
          <w:p w14:paraId="555C83E7" w14:textId="77777777" w:rsidR="004054B4" w:rsidRPr="009A3CE2" w:rsidRDefault="004054B4" w:rsidP="004054B4">
            <w:pPr>
              <w:pStyle w:val="TableText0"/>
              <w:keepLines/>
              <w:rPr>
                <w:color w:val="000000"/>
              </w:rPr>
            </w:pPr>
            <w:r w:rsidRPr="009A3CE2">
              <w:t>Nivolumab plus FOLFOX Q2W</w:t>
            </w:r>
          </w:p>
        </w:tc>
      </w:tr>
      <w:tr w:rsidR="00EF73C8" w:rsidRPr="003639A6" w14:paraId="50B8182A" w14:textId="77777777" w:rsidTr="00DE704C">
        <w:tc>
          <w:tcPr>
            <w:tcW w:w="1098" w:type="pct"/>
          </w:tcPr>
          <w:p w14:paraId="16355C9C" w14:textId="77777777" w:rsidR="00EF73C8" w:rsidRPr="003639A6" w:rsidRDefault="00EF73C8" w:rsidP="00FA447A">
            <w:pPr>
              <w:pStyle w:val="TableText0"/>
              <w:keepLines/>
            </w:pPr>
            <w:r w:rsidRPr="00BB1200">
              <w:t>Nivolumab</w:t>
            </w:r>
            <w:r>
              <w:t xml:space="preserve"> 240 mg</w:t>
            </w:r>
          </w:p>
        </w:tc>
        <w:tc>
          <w:tcPr>
            <w:tcW w:w="650" w:type="pct"/>
          </w:tcPr>
          <w:p w14:paraId="182E8146" w14:textId="77777777" w:rsidR="00EF73C8" w:rsidRPr="00DF0A4C" w:rsidRDefault="00DF0A4C" w:rsidP="00FA447A">
            <w:pPr>
              <w:pStyle w:val="TableText0"/>
              <w:keepLines/>
              <w:jc w:val="center"/>
              <w:rPr>
                <w:color w:val="000000"/>
              </w:rPr>
            </w:pPr>
            <w:r>
              <w:rPr>
                <w:noProof/>
                <w:color w:val="000000"/>
                <w:highlight w:val="black"/>
              </w:rPr>
              <w:t xml:space="preserve">''''''''''''''''' </w:t>
            </w:r>
            <w:r w:rsidR="00F27046">
              <w:rPr>
                <w:sz w:val="19"/>
                <w:szCs w:val="19"/>
                <w:vertAlign w:val="superscript"/>
              </w:rPr>
              <w:t>2</w:t>
            </w:r>
          </w:p>
        </w:tc>
        <w:tc>
          <w:tcPr>
            <w:tcW w:w="650" w:type="pct"/>
          </w:tcPr>
          <w:p w14:paraId="4B222189" w14:textId="77777777" w:rsidR="00EF73C8" w:rsidRPr="00DF0A4C" w:rsidRDefault="00DF0A4C" w:rsidP="00FA447A">
            <w:pPr>
              <w:pStyle w:val="TableText0"/>
              <w:keepLines/>
              <w:jc w:val="center"/>
              <w:rPr>
                <w:color w:val="000000"/>
              </w:rPr>
            </w:pPr>
            <w:r>
              <w:rPr>
                <w:noProof/>
                <w:color w:val="000000"/>
                <w:highlight w:val="black"/>
              </w:rPr>
              <w:t xml:space="preserve">'''''''''''''''' </w:t>
            </w:r>
            <w:r w:rsidR="00F27046">
              <w:rPr>
                <w:sz w:val="19"/>
                <w:szCs w:val="19"/>
                <w:vertAlign w:val="superscript"/>
              </w:rPr>
              <w:t>2</w:t>
            </w:r>
          </w:p>
        </w:tc>
        <w:tc>
          <w:tcPr>
            <w:tcW w:w="650" w:type="pct"/>
          </w:tcPr>
          <w:p w14:paraId="776D6D11" w14:textId="77777777" w:rsidR="00EF73C8" w:rsidRPr="00DF0A4C" w:rsidRDefault="00DF0A4C" w:rsidP="00FA447A">
            <w:pPr>
              <w:pStyle w:val="TableText0"/>
              <w:keepLines/>
              <w:jc w:val="center"/>
              <w:rPr>
                <w:color w:val="000000"/>
              </w:rPr>
            </w:pPr>
            <w:r>
              <w:rPr>
                <w:noProof/>
                <w:color w:val="000000"/>
                <w:highlight w:val="black"/>
              </w:rPr>
              <w:t xml:space="preserve">'''''''''''''''''' </w:t>
            </w:r>
            <w:r w:rsidR="00F27046">
              <w:rPr>
                <w:sz w:val="19"/>
                <w:szCs w:val="19"/>
                <w:vertAlign w:val="superscript"/>
              </w:rPr>
              <w:t>2</w:t>
            </w:r>
          </w:p>
        </w:tc>
        <w:tc>
          <w:tcPr>
            <w:tcW w:w="650" w:type="pct"/>
          </w:tcPr>
          <w:p w14:paraId="3BFE1F62" w14:textId="77777777" w:rsidR="00EF73C8" w:rsidRPr="00DF0A4C" w:rsidRDefault="00DF0A4C" w:rsidP="00FA447A">
            <w:pPr>
              <w:pStyle w:val="TableText0"/>
              <w:keepLines/>
              <w:jc w:val="center"/>
              <w:rPr>
                <w:color w:val="000000"/>
              </w:rPr>
            </w:pPr>
            <w:r>
              <w:rPr>
                <w:noProof/>
                <w:color w:val="000000"/>
                <w:highlight w:val="black"/>
              </w:rPr>
              <w:t xml:space="preserve">''''''''''''''''' </w:t>
            </w:r>
            <w:r w:rsidR="00F27046">
              <w:rPr>
                <w:sz w:val="19"/>
                <w:szCs w:val="19"/>
                <w:vertAlign w:val="superscript"/>
              </w:rPr>
              <w:t>2</w:t>
            </w:r>
          </w:p>
        </w:tc>
        <w:tc>
          <w:tcPr>
            <w:tcW w:w="650" w:type="pct"/>
          </w:tcPr>
          <w:p w14:paraId="1F06D655" w14:textId="77777777" w:rsidR="00EF73C8" w:rsidRPr="00DF0A4C" w:rsidRDefault="00DF0A4C" w:rsidP="00FA447A">
            <w:pPr>
              <w:pStyle w:val="TableText0"/>
              <w:keepLines/>
              <w:jc w:val="center"/>
              <w:rPr>
                <w:color w:val="000000"/>
              </w:rPr>
            </w:pPr>
            <w:r>
              <w:rPr>
                <w:noProof/>
                <w:color w:val="000000"/>
                <w:highlight w:val="black"/>
              </w:rPr>
              <w:t xml:space="preserve">''''''''''''''''' </w:t>
            </w:r>
            <w:r w:rsidR="00F27046">
              <w:rPr>
                <w:sz w:val="19"/>
                <w:szCs w:val="19"/>
                <w:vertAlign w:val="superscript"/>
              </w:rPr>
              <w:t>2</w:t>
            </w:r>
          </w:p>
        </w:tc>
        <w:tc>
          <w:tcPr>
            <w:tcW w:w="652" w:type="pct"/>
          </w:tcPr>
          <w:p w14:paraId="64594BA6" w14:textId="77777777" w:rsidR="00EF73C8" w:rsidRPr="00DF0A4C" w:rsidRDefault="00DF0A4C" w:rsidP="00FA447A">
            <w:pPr>
              <w:pStyle w:val="TableText0"/>
              <w:keepLines/>
              <w:jc w:val="center"/>
              <w:rPr>
                <w:color w:val="000000"/>
              </w:rPr>
            </w:pPr>
            <w:r>
              <w:rPr>
                <w:noProof/>
                <w:color w:val="000000"/>
                <w:highlight w:val="black"/>
              </w:rPr>
              <w:t xml:space="preserve">'''''''''''''''' </w:t>
            </w:r>
            <w:r w:rsidR="00F27046">
              <w:rPr>
                <w:sz w:val="19"/>
                <w:szCs w:val="19"/>
                <w:vertAlign w:val="superscript"/>
              </w:rPr>
              <w:t>2</w:t>
            </w:r>
          </w:p>
        </w:tc>
      </w:tr>
      <w:tr w:rsidR="00EF73C8" w:rsidRPr="003639A6" w14:paraId="54DCCF83" w14:textId="77777777" w:rsidTr="00DE704C">
        <w:tc>
          <w:tcPr>
            <w:tcW w:w="1098" w:type="pct"/>
          </w:tcPr>
          <w:p w14:paraId="4183DC93" w14:textId="77777777" w:rsidR="00EF73C8" w:rsidRPr="003639A6" w:rsidRDefault="00EF73C8" w:rsidP="00FA447A">
            <w:pPr>
              <w:pStyle w:val="TableText0"/>
              <w:keepLines/>
            </w:pPr>
            <w:proofErr w:type="spellStart"/>
            <w:r w:rsidRPr="00BB1200">
              <w:t>Oxaliplatin</w:t>
            </w:r>
            <w:proofErr w:type="spellEnd"/>
            <w:r>
              <w:t xml:space="preserve"> 150 mg</w:t>
            </w:r>
          </w:p>
        </w:tc>
        <w:tc>
          <w:tcPr>
            <w:tcW w:w="650" w:type="pct"/>
          </w:tcPr>
          <w:p w14:paraId="7AB1BAA8" w14:textId="77777777" w:rsidR="00EF73C8" w:rsidRPr="003639A6" w:rsidRDefault="00EF73C8" w:rsidP="00FA447A">
            <w:pPr>
              <w:pStyle w:val="TableText0"/>
              <w:keepLines/>
              <w:jc w:val="center"/>
              <w:rPr>
                <w:color w:val="000000"/>
              </w:rPr>
            </w:pPr>
            <w:r w:rsidRPr="00F004A4">
              <w:t xml:space="preserve">8,534 </w:t>
            </w:r>
          </w:p>
        </w:tc>
        <w:tc>
          <w:tcPr>
            <w:tcW w:w="650" w:type="pct"/>
          </w:tcPr>
          <w:p w14:paraId="0F52B545" w14:textId="77777777" w:rsidR="00EF73C8" w:rsidRPr="003639A6" w:rsidRDefault="00EF73C8" w:rsidP="00FA447A">
            <w:pPr>
              <w:pStyle w:val="TableText0"/>
              <w:keepLines/>
              <w:jc w:val="center"/>
              <w:rPr>
                <w:color w:val="000000"/>
              </w:rPr>
            </w:pPr>
            <w:r w:rsidRPr="00F004A4">
              <w:t xml:space="preserve">8,640 </w:t>
            </w:r>
          </w:p>
        </w:tc>
        <w:tc>
          <w:tcPr>
            <w:tcW w:w="650" w:type="pct"/>
          </w:tcPr>
          <w:p w14:paraId="7300E3D1" w14:textId="77777777" w:rsidR="00EF73C8" w:rsidRPr="003639A6" w:rsidRDefault="00EF73C8" w:rsidP="00FA447A">
            <w:pPr>
              <w:pStyle w:val="TableText0"/>
              <w:keepLines/>
              <w:jc w:val="center"/>
              <w:rPr>
                <w:color w:val="000000"/>
              </w:rPr>
            </w:pPr>
            <w:r w:rsidRPr="00F004A4">
              <w:t xml:space="preserve">8,754 </w:t>
            </w:r>
          </w:p>
        </w:tc>
        <w:tc>
          <w:tcPr>
            <w:tcW w:w="650" w:type="pct"/>
          </w:tcPr>
          <w:p w14:paraId="0430BB45" w14:textId="77777777" w:rsidR="00EF73C8" w:rsidRPr="003639A6" w:rsidRDefault="00EF73C8" w:rsidP="00FA447A">
            <w:pPr>
              <w:pStyle w:val="TableText0"/>
              <w:keepLines/>
              <w:jc w:val="center"/>
              <w:rPr>
                <w:color w:val="000000"/>
              </w:rPr>
            </w:pPr>
            <w:r w:rsidRPr="00F004A4">
              <w:t xml:space="preserve">8,869 </w:t>
            </w:r>
          </w:p>
        </w:tc>
        <w:tc>
          <w:tcPr>
            <w:tcW w:w="650" w:type="pct"/>
          </w:tcPr>
          <w:p w14:paraId="5C8D00BC" w14:textId="77777777" w:rsidR="00EF73C8" w:rsidRPr="003639A6" w:rsidRDefault="00EF73C8" w:rsidP="00FA447A">
            <w:pPr>
              <w:pStyle w:val="TableText0"/>
              <w:keepLines/>
              <w:jc w:val="center"/>
              <w:rPr>
                <w:color w:val="000000"/>
              </w:rPr>
            </w:pPr>
            <w:r w:rsidRPr="00F004A4">
              <w:t xml:space="preserve">8,986 </w:t>
            </w:r>
          </w:p>
        </w:tc>
        <w:tc>
          <w:tcPr>
            <w:tcW w:w="652" w:type="pct"/>
          </w:tcPr>
          <w:p w14:paraId="28620EC1" w14:textId="77777777" w:rsidR="00EF73C8" w:rsidRPr="003639A6" w:rsidRDefault="00EF73C8" w:rsidP="00FA447A">
            <w:pPr>
              <w:pStyle w:val="TableText0"/>
              <w:keepLines/>
              <w:jc w:val="center"/>
              <w:rPr>
                <w:color w:val="000000"/>
              </w:rPr>
            </w:pPr>
            <w:r w:rsidRPr="00F004A4">
              <w:t xml:space="preserve">9,098 </w:t>
            </w:r>
          </w:p>
        </w:tc>
      </w:tr>
      <w:tr w:rsidR="00EF73C8" w:rsidRPr="003639A6" w14:paraId="5E1DF670" w14:textId="77777777" w:rsidTr="00DE704C">
        <w:tc>
          <w:tcPr>
            <w:tcW w:w="1098" w:type="pct"/>
          </w:tcPr>
          <w:p w14:paraId="3611C6C8" w14:textId="77777777" w:rsidR="00EF73C8" w:rsidRPr="003639A6" w:rsidRDefault="00EF73C8" w:rsidP="00FA447A">
            <w:pPr>
              <w:pStyle w:val="TableText0"/>
              <w:keepLines/>
            </w:pPr>
            <w:proofErr w:type="spellStart"/>
            <w:r w:rsidRPr="00BB1200">
              <w:t>Folinic</w:t>
            </w:r>
            <w:proofErr w:type="spellEnd"/>
            <w:r w:rsidRPr="00BB1200">
              <w:t xml:space="preserve"> acid</w:t>
            </w:r>
            <w:r>
              <w:t xml:space="preserve"> 704 mg</w:t>
            </w:r>
          </w:p>
        </w:tc>
        <w:tc>
          <w:tcPr>
            <w:tcW w:w="650" w:type="pct"/>
          </w:tcPr>
          <w:p w14:paraId="6303B99A" w14:textId="77777777" w:rsidR="00EF73C8" w:rsidRPr="003639A6" w:rsidRDefault="00EF73C8" w:rsidP="00FA447A">
            <w:pPr>
              <w:pStyle w:val="TableText0"/>
              <w:keepLines/>
              <w:jc w:val="center"/>
              <w:rPr>
                <w:color w:val="000000"/>
              </w:rPr>
            </w:pPr>
            <w:r w:rsidRPr="00F004A4">
              <w:t xml:space="preserve">12,958 </w:t>
            </w:r>
          </w:p>
        </w:tc>
        <w:tc>
          <w:tcPr>
            <w:tcW w:w="650" w:type="pct"/>
          </w:tcPr>
          <w:p w14:paraId="20F425B5" w14:textId="77777777" w:rsidR="00EF73C8" w:rsidRPr="003639A6" w:rsidRDefault="00EF73C8" w:rsidP="00FA447A">
            <w:pPr>
              <w:pStyle w:val="TableText0"/>
              <w:keepLines/>
              <w:jc w:val="center"/>
              <w:rPr>
                <w:color w:val="000000"/>
              </w:rPr>
            </w:pPr>
            <w:r w:rsidRPr="00F004A4">
              <w:t xml:space="preserve">13,118 </w:t>
            </w:r>
          </w:p>
        </w:tc>
        <w:tc>
          <w:tcPr>
            <w:tcW w:w="650" w:type="pct"/>
          </w:tcPr>
          <w:p w14:paraId="515765A6" w14:textId="77777777" w:rsidR="00EF73C8" w:rsidRPr="003639A6" w:rsidRDefault="00EF73C8" w:rsidP="00FA447A">
            <w:pPr>
              <w:pStyle w:val="TableText0"/>
              <w:keepLines/>
              <w:jc w:val="center"/>
              <w:rPr>
                <w:color w:val="000000"/>
              </w:rPr>
            </w:pPr>
            <w:r w:rsidRPr="00F004A4">
              <w:t xml:space="preserve">13,291 </w:t>
            </w:r>
          </w:p>
        </w:tc>
        <w:tc>
          <w:tcPr>
            <w:tcW w:w="650" w:type="pct"/>
          </w:tcPr>
          <w:p w14:paraId="20E3636E" w14:textId="77777777" w:rsidR="00EF73C8" w:rsidRPr="003639A6" w:rsidRDefault="00EF73C8" w:rsidP="00FA447A">
            <w:pPr>
              <w:pStyle w:val="TableText0"/>
              <w:keepLines/>
              <w:jc w:val="center"/>
              <w:rPr>
                <w:color w:val="000000"/>
              </w:rPr>
            </w:pPr>
            <w:r w:rsidRPr="00F004A4">
              <w:t xml:space="preserve">13,466 </w:t>
            </w:r>
          </w:p>
        </w:tc>
        <w:tc>
          <w:tcPr>
            <w:tcW w:w="650" w:type="pct"/>
          </w:tcPr>
          <w:p w14:paraId="4E6A296F" w14:textId="77777777" w:rsidR="00EF73C8" w:rsidRPr="003639A6" w:rsidRDefault="00EF73C8" w:rsidP="00FA447A">
            <w:pPr>
              <w:pStyle w:val="TableText0"/>
              <w:keepLines/>
              <w:jc w:val="center"/>
              <w:rPr>
                <w:color w:val="000000"/>
              </w:rPr>
            </w:pPr>
            <w:r w:rsidRPr="00F004A4">
              <w:t xml:space="preserve">13,644 </w:t>
            </w:r>
          </w:p>
        </w:tc>
        <w:tc>
          <w:tcPr>
            <w:tcW w:w="652" w:type="pct"/>
          </w:tcPr>
          <w:p w14:paraId="59C4632F" w14:textId="77777777" w:rsidR="00EF73C8" w:rsidRPr="003639A6" w:rsidRDefault="00EF73C8" w:rsidP="00FA447A">
            <w:pPr>
              <w:pStyle w:val="TableText0"/>
              <w:keepLines/>
              <w:jc w:val="center"/>
              <w:rPr>
                <w:color w:val="000000"/>
              </w:rPr>
            </w:pPr>
            <w:r w:rsidRPr="00F004A4">
              <w:t xml:space="preserve">13,813 </w:t>
            </w:r>
          </w:p>
        </w:tc>
      </w:tr>
      <w:tr w:rsidR="00EF73C8" w:rsidRPr="003639A6" w14:paraId="4B3226E4" w14:textId="77777777" w:rsidTr="00DE704C">
        <w:tc>
          <w:tcPr>
            <w:tcW w:w="1098" w:type="pct"/>
          </w:tcPr>
          <w:p w14:paraId="3E8403E6" w14:textId="77777777" w:rsidR="00EF73C8" w:rsidRPr="003639A6" w:rsidRDefault="00EF73C8" w:rsidP="00FA447A">
            <w:pPr>
              <w:pStyle w:val="TableText0"/>
              <w:keepLines/>
            </w:pPr>
            <w:r w:rsidRPr="00BB1200">
              <w:t>Fluorouracil</w:t>
            </w:r>
            <w:r>
              <w:t xml:space="preserve"> 704 mg</w:t>
            </w:r>
          </w:p>
        </w:tc>
        <w:tc>
          <w:tcPr>
            <w:tcW w:w="650" w:type="pct"/>
          </w:tcPr>
          <w:p w14:paraId="699666E5" w14:textId="77777777" w:rsidR="00EF73C8" w:rsidRPr="003639A6" w:rsidRDefault="00EF73C8" w:rsidP="00FA447A">
            <w:pPr>
              <w:pStyle w:val="TableText0"/>
              <w:keepLines/>
              <w:jc w:val="center"/>
              <w:rPr>
                <w:color w:val="000000"/>
              </w:rPr>
            </w:pPr>
            <w:r w:rsidRPr="00F004A4">
              <w:t xml:space="preserve">12,877 </w:t>
            </w:r>
          </w:p>
        </w:tc>
        <w:tc>
          <w:tcPr>
            <w:tcW w:w="650" w:type="pct"/>
          </w:tcPr>
          <w:p w14:paraId="49F63EF3" w14:textId="77777777" w:rsidR="00EF73C8" w:rsidRPr="003639A6" w:rsidRDefault="00EF73C8" w:rsidP="00FA447A">
            <w:pPr>
              <w:pStyle w:val="TableText0"/>
              <w:keepLines/>
              <w:jc w:val="center"/>
              <w:rPr>
                <w:color w:val="000000"/>
              </w:rPr>
            </w:pPr>
            <w:r w:rsidRPr="00F004A4">
              <w:t xml:space="preserve">13,036 </w:t>
            </w:r>
          </w:p>
        </w:tc>
        <w:tc>
          <w:tcPr>
            <w:tcW w:w="650" w:type="pct"/>
          </w:tcPr>
          <w:p w14:paraId="06D9CF5D" w14:textId="77777777" w:rsidR="00EF73C8" w:rsidRPr="003639A6" w:rsidRDefault="00EF73C8" w:rsidP="00FA447A">
            <w:pPr>
              <w:pStyle w:val="TableText0"/>
              <w:keepLines/>
              <w:jc w:val="center"/>
              <w:rPr>
                <w:color w:val="000000"/>
              </w:rPr>
            </w:pPr>
            <w:r w:rsidRPr="00F004A4">
              <w:t xml:space="preserve">13,208 </w:t>
            </w:r>
          </w:p>
        </w:tc>
        <w:tc>
          <w:tcPr>
            <w:tcW w:w="650" w:type="pct"/>
          </w:tcPr>
          <w:p w14:paraId="6CF4E984" w14:textId="77777777" w:rsidR="00EF73C8" w:rsidRPr="003639A6" w:rsidRDefault="00EF73C8" w:rsidP="00FA447A">
            <w:pPr>
              <w:pStyle w:val="TableText0"/>
              <w:keepLines/>
              <w:jc w:val="center"/>
              <w:rPr>
                <w:color w:val="000000"/>
              </w:rPr>
            </w:pPr>
            <w:r w:rsidRPr="00F004A4">
              <w:t xml:space="preserve">13,382 </w:t>
            </w:r>
          </w:p>
        </w:tc>
        <w:tc>
          <w:tcPr>
            <w:tcW w:w="650" w:type="pct"/>
          </w:tcPr>
          <w:p w14:paraId="0AAF58C7" w14:textId="77777777" w:rsidR="00EF73C8" w:rsidRPr="003639A6" w:rsidRDefault="00EF73C8" w:rsidP="00FA447A">
            <w:pPr>
              <w:pStyle w:val="TableText0"/>
              <w:keepLines/>
              <w:jc w:val="center"/>
              <w:rPr>
                <w:color w:val="000000"/>
              </w:rPr>
            </w:pPr>
            <w:r w:rsidRPr="00F004A4">
              <w:t xml:space="preserve">13,559 </w:t>
            </w:r>
          </w:p>
        </w:tc>
        <w:tc>
          <w:tcPr>
            <w:tcW w:w="652" w:type="pct"/>
          </w:tcPr>
          <w:p w14:paraId="03ED8C75" w14:textId="77777777" w:rsidR="00EF73C8" w:rsidRPr="003639A6" w:rsidRDefault="00EF73C8" w:rsidP="00FA447A">
            <w:pPr>
              <w:pStyle w:val="TableText0"/>
              <w:keepLines/>
              <w:jc w:val="center"/>
              <w:rPr>
                <w:color w:val="000000"/>
              </w:rPr>
            </w:pPr>
            <w:r w:rsidRPr="00F004A4">
              <w:t xml:space="preserve">13,727 </w:t>
            </w:r>
          </w:p>
        </w:tc>
      </w:tr>
      <w:tr w:rsidR="00EF73C8" w:rsidRPr="003639A6" w14:paraId="2841430D" w14:textId="77777777" w:rsidTr="00DE704C">
        <w:tc>
          <w:tcPr>
            <w:tcW w:w="1098" w:type="pct"/>
          </w:tcPr>
          <w:p w14:paraId="5E0AD01E" w14:textId="77777777" w:rsidR="00EF73C8" w:rsidRPr="003639A6" w:rsidRDefault="00EF73C8" w:rsidP="00FA447A">
            <w:pPr>
              <w:pStyle w:val="TableText0"/>
              <w:keepLines/>
            </w:pPr>
            <w:r w:rsidRPr="00BB1200">
              <w:t>Fluorouracil continuous</w:t>
            </w:r>
            <w:r>
              <w:t xml:space="preserve"> 2,113 mg</w:t>
            </w:r>
          </w:p>
        </w:tc>
        <w:tc>
          <w:tcPr>
            <w:tcW w:w="650" w:type="pct"/>
          </w:tcPr>
          <w:p w14:paraId="5FDF0030" w14:textId="77777777" w:rsidR="00EF73C8" w:rsidRPr="003639A6" w:rsidRDefault="00EF73C8" w:rsidP="00FA447A">
            <w:pPr>
              <w:pStyle w:val="TableText0"/>
              <w:keepLines/>
              <w:jc w:val="center"/>
              <w:rPr>
                <w:color w:val="000000"/>
              </w:rPr>
            </w:pPr>
            <w:r w:rsidRPr="00F004A4">
              <w:t xml:space="preserve">29,134 </w:t>
            </w:r>
          </w:p>
        </w:tc>
        <w:tc>
          <w:tcPr>
            <w:tcW w:w="650" w:type="pct"/>
          </w:tcPr>
          <w:p w14:paraId="091723DB" w14:textId="77777777" w:rsidR="00EF73C8" w:rsidRPr="003639A6" w:rsidRDefault="00EF73C8" w:rsidP="00FA447A">
            <w:pPr>
              <w:pStyle w:val="TableText0"/>
              <w:keepLines/>
              <w:jc w:val="center"/>
              <w:rPr>
                <w:color w:val="000000"/>
              </w:rPr>
            </w:pPr>
            <w:r w:rsidRPr="00F004A4">
              <w:t xml:space="preserve">29,494 </w:t>
            </w:r>
          </w:p>
        </w:tc>
        <w:tc>
          <w:tcPr>
            <w:tcW w:w="650" w:type="pct"/>
          </w:tcPr>
          <w:p w14:paraId="57C74A0B" w14:textId="77777777" w:rsidR="00EF73C8" w:rsidRPr="003639A6" w:rsidRDefault="00EF73C8" w:rsidP="00FA447A">
            <w:pPr>
              <w:pStyle w:val="TableText0"/>
              <w:keepLines/>
              <w:jc w:val="center"/>
              <w:rPr>
                <w:color w:val="000000"/>
              </w:rPr>
            </w:pPr>
            <w:r w:rsidRPr="00F004A4">
              <w:t xml:space="preserve">29,883 </w:t>
            </w:r>
          </w:p>
        </w:tc>
        <w:tc>
          <w:tcPr>
            <w:tcW w:w="650" w:type="pct"/>
          </w:tcPr>
          <w:p w14:paraId="13707EC3" w14:textId="77777777" w:rsidR="00EF73C8" w:rsidRPr="003639A6" w:rsidRDefault="00EF73C8" w:rsidP="00FA447A">
            <w:pPr>
              <w:pStyle w:val="TableText0"/>
              <w:keepLines/>
              <w:jc w:val="center"/>
              <w:rPr>
                <w:color w:val="000000"/>
              </w:rPr>
            </w:pPr>
            <w:r w:rsidRPr="00F004A4">
              <w:t xml:space="preserve">30,278 </w:t>
            </w:r>
          </w:p>
        </w:tc>
        <w:tc>
          <w:tcPr>
            <w:tcW w:w="650" w:type="pct"/>
          </w:tcPr>
          <w:p w14:paraId="5DBBAE7E" w14:textId="77777777" w:rsidR="00EF73C8" w:rsidRPr="003639A6" w:rsidRDefault="00EF73C8" w:rsidP="00FA447A">
            <w:pPr>
              <w:pStyle w:val="TableText0"/>
              <w:keepLines/>
              <w:jc w:val="center"/>
              <w:rPr>
                <w:color w:val="000000"/>
              </w:rPr>
            </w:pPr>
            <w:r w:rsidRPr="00F004A4">
              <w:t xml:space="preserve">30,677 </w:t>
            </w:r>
          </w:p>
        </w:tc>
        <w:tc>
          <w:tcPr>
            <w:tcW w:w="652" w:type="pct"/>
          </w:tcPr>
          <w:p w14:paraId="042205B2" w14:textId="77777777" w:rsidR="00EF73C8" w:rsidRPr="003639A6" w:rsidRDefault="00EF73C8" w:rsidP="00FA447A">
            <w:pPr>
              <w:pStyle w:val="TableText0"/>
              <w:keepLines/>
              <w:jc w:val="center"/>
              <w:rPr>
                <w:color w:val="000000"/>
              </w:rPr>
            </w:pPr>
            <w:r w:rsidRPr="00F004A4">
              <w:t xml:space="preserve">31,058 </w:t>
            </w:r>
          </w:p>
        </w:tc>
      </w:tr>
      <w:tr w:rsidR="004054B4" w:rsidRPr="009A3CE2" w14:paraId="63E49202" w14:textId="77777777" w:rsidTr="004054B4">
        <w:tc>
          <w:tcPr>
            <w:tcW w:w="5000" w:type="pct"/>
            <w:gridSpan w:val="7"/>
          </w:tcPr>
          <w:p w14:paraId="6AB604D7" w14:textId="77777777" w:rsidR="004054B4" w:rsidRPr="009A3CE2" w:rsidRDefault="004054B4" w:rsidP="004054B4">
            <w:pPr>
              <w:pStyle w:val="TableText0"/>
              <w:keepLines/>
              <w:rPr>
                <w:color w:val="000000"/>
              </w:rPr>
            </w:pPr>
            <w:r w:rsidRPr="009A3CE2">
              <w:t>Nivolumab plus XELOX Q3W</w:t>
            </w:r>
          </w:p>
        </w:tc>
      </w:tr>
      <w:tr w:rsidR="00EF73C8" w:rsidRPr="003639A6" w14:paraId="49F68E70" w14:textId="77777777" w:rsidTr="00DE704C">
        <w:tc>
          <w:tcPr>
            <w:tcW w:w="1098" w:type="pct"/>
          </w:tcPr>
          <w:p w14:paraId="52C231C3" w14:textId="77777777" w:rsidR="00EF73C8" w:rsidRPr="003639A6" w:rsidRDefault="00EF73C8" w:rsidP="00FA447A">
            <w:pPr>
              <w:pStyle w:val="TableText0"/>
              <w:keepLines/>
            </w:pPr>
            <w:r w:rsidRPr="00BB1200">
              <w:t>Nivolumab</w:t>
            </w:r>
            <w:r>
              <w:t xml:space="preserve"> 360 mg</w:t>
            </w:r>
          </w:p>
        </w:tc>
        <w:tc>
          <w:tcPr>
            <w:tcW w:w="650" w:type="pct"/>
          </w:tcPr>
          <w:p w14:paraId="7EFBFA46" w14:textId="77777777" w:rsidR="00EF73C8" w:rsidRPr="00DF0A4C" w:rsidRDefault="00DF0A4C" w:rsidP="00FA447A">
            <w:pPr>
              <w:pStyle w:val="TableText0"/>
              <w:keepLines/>
              <w:jc w:val="center"/>
              <w:rPr>
                <w:color w:val="000000"/>
              </w:rPr>
            </w:pPr>
            <w:r>
              <w:rPr>
                <w:noProof/>
                <w:color w:val="000000"/>
                <w:highlight w:val="black"/>
              </w:rPr>
              <w:t>''''''''''''</w:t>
            </w:r>
            <w:r w:rsidR="00F27046">
              <w:rPr>
                <w:sz w:val="19"/>
                <w:szCs w:val="19"/>
                <w:vertAlign w:val="superscript"/>
              </w:rPr>
              <w:t>1</w:t>
            </w:r>
            <w:r>
              <w:rPr>
                <w:noProof/>
                <w:color w:val="000000"/>
                <w:highlight w:val="black"/>
              </w:rPr>
              <w:t xml:space="preserve"> </w:t>
            </w:r>
          </w:p>
        </w:tc>
        <w:tc>
          <w:tcPr>
            <w:tcW w:w="650" w:type="pct"/>
          </w:tcPr>
          <w:p w14:paraId="23BD59F9" w14:textId="77777777" w:rsidR="00EF73C8" w:rsidRPr="00DF0A4C" w:rsidRDefault="00DF0A4C" w:rsidP="00FA447A">
            <w:pPr>
              <w:pStyle w:val="TableText0"/>
              <w:keepLines/>
              <w:jc w:val="center"/>
              <w:rPr>
                <w:color w:val="000000"/>
              </w:rPr>
            </w:pPr>
            <w:r>
              <w:rPr>
                <w:noProof/>
                <w:color w:val="000000"/>
                <w:highlight w:val="black"/>
              </w:rPr>
              <w:t xml:space="preserve">''''''''''''''' </w:t>
            </w:r>
            <w:r w:rsidR="00F27046">
              <w:rPr>
                <w:sz w:val="19"/>
                <w:szCs w:val="19"/>
                <w:vertAlign w:val="superscript"/>
              </w:rPr>
              <w:t>1</w:t>
            </w:r>
          </w:p>
        </w:tc>
        <w:tc>
          <w:tcPr>
            <w:tcW w:w="650" w:type="pct"/>
          </w:tcPr>
          <w:p w14:paraId="323179C1" w14:textId="77777777" w:rsidR="00EF73C8" w:rsidRPr="00DF0A4C" w:rsidRDefault="00DF0A4C" w:rsidP="00FA447A">
            <w:pPr>
              <w:pStyle w:val="TableText0"/>
              <w:keepLines/>
              <w:jc w:val="center"/>
              <w:rPr>
                <w:color w:val="000000"/>
              </w:rPr>
            </w:pPr>
            <w:r>
              <w:rPr>
                <w:noProof/>
                <w:color w:val="000000"/>
                <w:highlight w:val="black"/>
              </w:rPr>
              <w:t>'''''''''''''</w:t>
            </w:r>
            <w:r w:rsidR="00F27046">
              <w:rPr>
                <w:sz w:val="19"/>
                <w:szCs w:val="19"/>
                <w:vertAlign w:val="superscript"/>
              </w:rPr>
              <w:t>1</w:t>
            </w:r>
            <w:r>
              <w:rPr>
                <w:noProof/>
                <w:color w:val="000000"/>
                <w:highlight w:val="black"/>
              </w:rPr>
              <w:t xml:space="preserve"> </w:t>
            </w:r>
          </w:p>
        </w:tc>
        <w:tc>
          <w:tcPr>
            <w:tcW w:w="650" w:type="pct"/>
          </w:tcPr>
          <w:p w14:paraId="2F18A1DA" w14:textId="77777777" w:rsidR="00EF73C8" w:rsidRPr="00DF0A4C" w:rsidRDefault="00DF0A4C" w:rsidP="00FA447A">
            <w:pPr>
              <w:pStyle w:val="TableText0"/>
              <w:keepLines/>
              <w:jc w:val="center"/>
              <w:rPr>
                <w:color w:val="000000"/>
              </w:rPr>
            </w:pPr>
            <w:r>
              <w:rPr>
                <w:noProof/>
                <w:color w:val="000000"/>
                <w:highlight w:val="black"/>
              </w:rPr>
              <w:t xml:space="preserve">'''''''''''' </w:t>
            </w:r>
            <w:r w:rsidR="00F27046">
              <w:rPr>
                <w:sz w:val="19"/>
                <w:szCs w:val="19"/>
                <w:vertAlign w:val="superscript"/>
              </w:rPr>
              <w:t>1</w:t>
            </w:r>
          </w:p>
        </w:tc>
        <w:tc>
          <w:tcPr>
            <w:tcW w:w="650" w:type="pct"/>
          </w:tcPr>
          <w:p w14:paraId="5F05FFA3" w14:textId="77777777" w:rsidR="00EF73C8" w:rsidRPr="00DF0A4C" w:rsidRDefault="00DF0A4C" w:rsidP="00FA447A">
            <w:pPr>
              <w:pStyle w:val="TableText0"/>
              <w:keepLines/>
              <w:jc w:val="center"/>
              <w:rPr>
                <w:color w:val="000000"/>
              </w:rPr>
            </w:pPr>
            <w:r>
              <w:rPr>
                <w:noProof/>
                <w:color w:val="000000"/>
                <w:highlight w:val="black"/>
              </w:rPr>
              <w:t xml:space="preserve">'''''''''''' </w:t>
            </w:r>
            <w:r w:rsidR="00F27046">
              <w:rPr>
                <w:sz w:val="19"/>
                <w:szCs w:val="19"/>
                <w:vertAlign w:val="superscript"/>
              </w:rPr>
              <w:t>1</w:t>
            </w:r>
          </w:p>
        </w:tc>
        <w:tc>
          <w:tcPr>
            <w:tcW w:w="652" w:type="pct"/>
          </w:tcPr>
          <w:p w14:paraId="042CE915" w14:textId="77777777" w:rsidR="00EF73C8" w:rsidRPr="00DF0A4C" w:rsidRDefault="00DF0A4C" w:rsidP="00FA447A">
            <w:pPr>
              <w:pStyle w:val="TableText0"/>
              <w:keepLines/>
              <w:jc w:val="center"/>
              <w:rPr>
                <w:color w:val="000000"/>
              </w:rPr>
            </w:pPr>
            <w:r>
              <w:rPr>
                <w:noProof/>
                <w:color w:val="000000"/>
                <w:highlight w:val="black"/>
              </w:rPr>
              <w:t xml:space="preserve">'''''''''''''' </w:t>
            </w:r>
            <w:r w:rsidR="00F27046">
              <w:rPr>
                <w:sz w:val="19"/>
                <w:szCs w:val="19"/>
                <w:vertAlign w:val="superscript"/>
              </w:rPr>
              <w:t>1</w:t>
            </w:r>
          </w:p>
        </w:tc>
      </w:tr>
      <w:tr w:rsidR="00EF73C8" w:rsidRPr="003639A6" w14:paraId="47F58B55" w14:textId="77777777" w:rsidTr="00DE704C">
        <w:tc>
          <w:tcPr>
            <w:tcW w:w="1098" w:type="pct"/>
          </w:tcPr>
          <w:p w14:paraId="12C3474A" w14:textId="77777777" w:rsidR="00EF73C8" w:rsidRPr="003639A6" w:rsidRDefault="00EF73C8" w:rsidP="00FA447A">
            <w:pPr>
              <w:pStyle w:val="TableText0"/>
              <w:keepLines/>
            </w:pPr>
            <w:proofErr w:type="spellStart"/>
            <w:r w:rsidRPr="00BB1200">
              <w:t>Oxaliplatin</w:t>
            </w:r>
            <w:proofErr w:type="spellEnd"/>
            <w:r>
              <w:t xml:space="preserve"> 229 mg</w:t>
            </w:r>
          </w:p>
        </w:tc>
        <w:tc>
          <w:tcPr>
            <w:tcW w:w="650" w:type="pct"/>
          </w:tcPr>
          <w:p w14:paraId="6892AB3C" w14:textId="77777777" w:rsidR="00EF73C8" w:rsidRPr="003639A6" w:rsidRDefault="00EF73C8" w:rsidP="00FA447A">
            <w:pPr>
              <w:pStyle w:val="TableText0"/>
              <w:keepLines/>
              <w:jc w:val="center"/>
              <w:rPr>
                <w:color w:val="000000"/>
              </w:rPr>
            </w:pPr>
            <w:r w:rsidRPr="000A3DFE">
              <w:t xml:space="preserve">1,479 </w:t>
            </w:r>
          </w:p>
        </w:tc>
        <w:tc>
          <w:tcPr>
            <w:tcW w:w="650" w:type="pct"/>
          </w:tcPr>
          <w:p w14:paraId="5DC01654" w14:textId="77777777" w:rsidR="00EF73C8" w:rsidRPr="003639A6" w:rsidRDefault="00EF73C8" w:rsidP="00FA447A">
            <w:pPr>
              <w:pStyle w:val="TableText0"/>
              <w:keepLines/>
              <w:jc w:val="center"/>
              <w:rPr>
                <w:color w:val="000000"/>
              </w:rPr>
            </w:pPr>
            <w:r w:rsidRPr="000A3DFE">
              <w:t xml:space="preserve">1,497 </w:t>
            </w:r>
          </w:p>
        </w:tc>
        <w:tc>
          <w:tcPr>
            <w:tcW w:w="650" w:type="pct"/>
          </w:tcPr>
          <w:p w14:paraId="2D25862F" w14:textId="77777777" w:rsidR="00EF73C8" w:rsidRPr="003639A6" w:rsidRDefault="00EF73C8" w:rsidP="00FA447A">
            <w:pPr>
              <w:pStyle w:val="TableText0"/>
              <w:keepLines/>
              <w:jc w:val="center"/>
              <w:rPr>
                <w:color w:val="000000"/>
              </w:rPr>
            </w:pPr>
            <w:r w:rsidRPr="000A3DFE">
              <w:t xml:space="preserve">1,517 </w:t>
            </w:r>
          </w:p>
        </w:tc>
        <w:tc>
          <w:tcPr>
            <w:tcW w:w="650" w:type="pct"/>
          </w:tcPr>
          <w:p w14:paraId="1399819C" w14:textId="77777777" w:rsidR="00EF73C8" w:rsidRPr="003639A6" w:rsidRDefault="00EF73C8" w:rsidP="00FA447A">
            <w:pPr>
              <w:pStyle w:val="TableText0"/>
              <w:keepLines/>
              <w:jc w:val="center"/>
              <w:rPr>
                <w:color w:val="000000"/>
              </w:rPr>
            </w:pPr>
            <w:r w:rsidRPr="000A3DFE">
              <w:t xml:space="preserve">1,537 </w:t>
            </w:r>
          </w:p>
        </w:tc>
        <w:tc>
          <w:tcPr>
            <w:tcW w:w="650" w:type="pct"/>
          </w:tcPr>
          <w:p w14:paraId="030DEA8F" w14:textId="77777777" w:rsidR="00EF73C8" w:rsidRPr="003639A6" w:rsidRDefault="00EF73C8" w:rsidP="00FA447A">
            <w:pPr>
              <w:pStyle w:val="TableText0"/>
              <w:keepLines/>
              <w:jc w:val="center"/>
              <w:rPr>
                <w:color w:val="000000"/>
              </w:rPr>
            </w:pPr>
            <w:r w:rsidRPr="000A3DFE">
              <w:t xml:space="preserve">1,557 </w:t>
            </w:r>
          </w:p>
        </w:tc>
        <w:tc>
          <w:tcPr>
            <w:tcW w:w="652" w:type="pct"/>
          </w:tcPr>
          <w:p w14:paraId="47EC1BDB" w14:textId="77777777" w:rsidR="00EF73C8" w:rsidRPr="003639A6" w:rsidRDefault="00EF73C8" w:rsidP="00FA447A">
            <w:pPr>
              <w:pStyle w:val="TableText0"/>
              <w:keepLines/>
              <w:jc w:val="center"/>
              <w:rPr>
                <w:color w:val="000000"/>
              </w:rPr>
            </w:pPr>
            <w:r w:rsidRPr="000A3DFE">
              <w:t xml:space="preserve">1,576 </w:t>
            </w:r>
          </w:p>
        </w:tc>
      </w:tr>
      <w:tr w:rsidR="00EF73C8" w:rsidRPr="003639A6" w14:paraId="3F6A8493" w14:textId="77777777" w:rsidTr="00DE704C">
        <w:tc>
          <w:tcPr>
            <w:tcW w:w="1098" w:type="pct"/>
          </w:tcPr>
          <w:p w14:paraId="31EF2681" w14:textId="77777777" w:rsidR="00EF73C8" w:rsidRPr="003639A6" w:rsidRDefault="00EF73C8" w:rsidP="00FA447A">
            <w:pPr>
              <w:pStyle w:val="TableText0"/>
              <w:keepLines/>
            </w:pPr>
            <w:proofErr w:type="spellStart"/>
            <w:r w:rsidRPr="00BB1200">
              <w:t>Capecitabine</w:t>
            </w:r>
            <w:proofErr w:type="spellEnd"/>
            <w:r>
              <w:t xml:space="preserve"> 500 mg x 120</w:t>
            </w:r>
          </w:p>
        </w:tc>
        <w:tc>
          <w:tcPr>
            <w:tcW w:w="650" w:type="pct"/>
          </w:tcPr>
          <w:p w14:paraId="3EA4E88C" w14:textId="77777777" w:rsidR="00EF73C8" w:rsidRPr="003639A6" w:rsidRDefault="00EF73C8" w:rsidP="00FA447A">
            <w:pPr>
              <w:pStyle w:val="TableText0"/>
              <w:keepLines/>
              <w:jc w:val="center"/>
              <w:rPr>
                <w:color w:val="000000"/>
              </w:rPr>
            </w:pPr>
            <w:r w:rsidRPr="000A3DFE">
              <w:t xml:space="preserve">2,054 </w:t>
            </w:r>
          </w:p>
        </w:tc>
        <w:tc>
          <w:tcPr>
            <w:tcW w:w="650" w:type="pct"/>
          </w:tcPr>
          <w:p w14:paraId="577A19DA" w14:textId="77777777" w:rsidR="00EF73C8" w:rsidRPr="003639A6" w:rsidRDefault="00EF73C8" w:rsidP="00FA447A">
            <w:pPr>
              <w:pStyle w:val="TableText0"/>
              <w:keepLines/>
              <w:jc w:val="center"/>
              <w:rPr>
                <w:color w:val="000000"/>
              </w:rPr>
            </w:pPr>
            <w:r w:rsidRPr="000A3DFE">
              <w:t xml:space="preserve">2,079 </w:t>
            </w:r>
          </w:p>
        </w:tc>
        <w:tc>
          <w:tcPr>
            <w:tcW w:w="650" w:type="pct"/>
          </w:tcPr>
          <w:p w14:paraId="023E959E" w14:textId="77777777" w:rsidR="00EF73C8" w:rsidRPr="003639A6" w:rsidRDefault="00EF73C8" w:rsidP="00FA447A">
            <w:pPr>
              <w:pStyle w:val="TableText0"/>
              <w:keepLines/>
              <w:jc w:val="center"/>
              <w:rPr>
                <w:color w:val="000000"/>
              </w:rPr>
            </w:pPr>
            <w:r w:rsidRPr="000A3DFE">
              <w:t xml:space="preserve">2,107 </w:t>
            </w:r>
          </w:p>
        </w:tc>
        <w:tc>
          <w:tcPr>
            <w:tcW w:w="650" w:type="pct"/>
          </w:tcPr>
          <w:p w14:paraId="35FE8493" w14:textId="77777777" w:rsidR="00EF73C8" w:rsidRPr="003639A6" w:rsidRDefault="00EF73C8" w:rsidP="00FA447A">
            <w:pPr>
              <w:pStyle w:val="TableText0"/>
              <w:keepLines/>
              <w:jc w:val="center"/>
              <w:rPr>
                <w:color w:val="000000"/>
              </w:rPr>
            </w:pPr>
            <w:r w:rsidRPr="000A3DFE">
              <w:t xml:space="preserve">2,135 </w:t>
            </w:r>
          </w:p>
        </w:tc>
        <w:tc>
          <w:tcPr>
            <w:tcW w:w="650" w:type="pct"/>
          </w:tcPr>
          <w:p w14:paraId="0030BB66" w14:textId="77777777" w:rsidR="00EF73C8" w:rsidRPr="003639A6" w:rsidRDefault="00EF73C8" w:rsidP="00FA447A">
            <w:pPr>
              <w:pStyle w:val="TableText0"/>
              <w:keepLines/>
              <w:jc w:val="center"/>
              <w:rPr>
                <w:color w:val="000000"/>
              </w:rPr>
            </w:pPr>
            <w:r w:rsidRPr="000A3DFE">
              <w:t xml:space="preserve">2,163 </w:t>
            </w:r>
          </w:p>
        </w:tc>
        <w:tc>
          <w:tcPr>
            <w:tcW w:w="652" w:type="pct"/>
          </w:tcPr>
          <w:p w14:paraId="6891E0D0" w14:textId="77777777" w:rsidR="00EF73C8" w:rsidRPr="003639A6" w:rsidRDefault="00EF73C8" w:rsidP="00FA447A">
            <w:pPr>
              <w:pStyle w:val="TableText0"/>
              <w:keepLines/>
              <w:jc w:val="center"/>
              <w:rPr>
                <w:color w:val="000000"/>
              </w:rPr>
            </w:pPr>
            <w:r w:rsidRPr="000A3DFE">
              <w:t xml:space="preserve">2,190 </w:t>
            </w:r>
          </w:p>
        </w:tc>
      </w:tr>
      <w:tr w:rsidR="00FA447A" w:rsidRPr="003639A6" w14:paraId="0CA82F6F" w14:textId="77777777" w:rsidTr="0066571E">
        <w:tc>
          <w:tcPr>
            <w:tcW w:w="5000" w:type="pct"/>
            <w:gridSpan w:val="7"/>
          </w:tcPr>
          <w:p w14:paraId="746CCAAC" w14:textId="77777777" w:rsidR="00FA447A" w:rsidRPr="00AD027F" w:rsidRDefault="00FA447A" w:rsidP="00FA447A">
            <w:pPr>
              <w:pStyle w:val="TableText0"/>
              <w:keepLines/>
            </w:pPr>
            <w:r w:rsidRPr="00FA447A">
              <w:rPr>
                <w:b/>
                <w:bCs w:val="0"/>
              </w:rPr>
              <w:t>Estimated financial implications of nivolumab plus chemotherapy</w:t>
            </w:r>
          </w:p>
        </w:tc>
      </w:tr>
      <w:tr w:rsidR="0066571E" w:rsidRPr="003639A6" w14:paraId="1DAA2936" w14:textId="77777777" w:rsidTr="00DE704C">
        <w:tc>
          <w:tcPr>
            <w:tcW w:w="1098" w:type="pct"/>
          </w:tcPr>
          <w:p w14:paraId="2B306E0C" w14:textId="77777777" w:rsidR="0066571E" w:rsidRDefault="0066571E" w:rsidP="0066571E">
            <w:pPr>
              <w:pStyle w:val="TableText0"/>
              <w:keepLines/>
              <w:rPr>
                <w:sz w:val="19"/>
                <w:szCs w:val="19"/>
              </w:rPr>
            </w:pPr>
            <w:r>
              <w:rPr>
                <w:sz w:val="19"/>
                <w:szCs w:val="19"/>
              </w:rPr>
              <w:t xml:space="preserve">Cost to PBS/RPBS less </w:t>
            </w:r>
            <w:proofErr w:type="spellStart"/>
            <w:r>
              <w:rPr>
                <w:sz w:val="19"/>
                <w:szCs w:val="19"/>
              </w:rPr>
              <w:t>copayments</w:t>
            </w:r>
            <w:proofErr w:type="spellEnd"/>
            <w:r>
              <w:rPr>
                <w:sz w:val="19"/>
                <w:szCs w:val="19"/>
              </w:rPr>
              <w:t>, nivolumab</w:t>
            </w:r>
          </w:p>
        </w:tc>
        <w:tc>
          <w:tcPr>
            <w:tcW w:w="650" w:type="pct"/>
          </w:tcPr>
          <w:p w14:paraId="7BFA8917" w14:textId="77777777" w:rsidR="0066571E" w:rsidRPr="00DF0A4C" w:rsidRDefault="00DF0A4C" w:rsidP="0066571E">
            <w:pPr>
              <w:pStyle w:val="TableText0"/>
              <w:keepLines/>
              <w:jc w:val="center"/>
            </w:pPr>
            <w:r>
              <w:rPr>
                <w:noProof/>
                <w:color w:val="000000"/>
                <w:highlight w:val="black"/>
              </w:rPr>
              <w:t>'''''''''''''''''''''''''''</w:t>
            </w:r>
            <w:r w:rsidR="00F27046">
              <w:rPr>
                <w:sz w:val="19"/>
                <w:szCs w:val="19"/>
                <w:vertAlign w:val="superscript"/>
              </w:rPr>
              <w:t>3</w:t>
            </w:r>
          </w:p>
        </w:tc>
        <w:tc>
          <w:tcPr>
            <w:tcW w:w="650" w:type="pct"/>
          </w:tcPr>
          <w:p w14:paraId="556A232D" w14:textId="77777777" w:rsidR="0066571E" w:rsidRPr="00DF0A4C" w:rsidRDefault="00DF0A4C" w:rsidP="0066571E">
            <w:pPr>
              <w:pStyle w:val="TableText0"/>
              <w:keepLines/>
              <w:jc w:val="center"/>
            </w:pPr>
            <w:r>
              <w:rPr>
                <w:noProof/>
                <w:color w:val="000000"/>
                <w:highlight w:val="black"/>
              </w:rPr>
              <w:t>'''''''''''''''''''''''''''</w:t>
            </w:r>
            <w:r w:rsidR="00F27046">
              <w:rPr>
                <w:sz w:val="19"/>
                <w:szCs w:val="19"/>
                <w:vertAlign w:val="superscript"/>
              </w:rPr>
              <w:t>3</w:t>
            </w:r>
          </w:p>
        </w:tc>
        <w:tc>
          <w:tcPr>
            <w:tcW w:w="650" w:type="pct"/>
          </w:tcPr>
          <w:p w14:paraId="63D45DDF" w14:textId="77777777" w:rsidR="0066571E" w:rsidRPr="00DF0A4C" w:rsidRDefault="00DF0A4C" w:rsidP="0066571E">
            <w:pPr>
              <w:pStyle w:val="TableText0"/>
              <w:keepLines/>
              <w:jc w:val="center"/>
            </w:pPr>
            <w:r>
              <w:rPr>
                <w:noProof/>
                <w:color w:val="000000"/>
                <w:highlight w:val="black"/>
              </w:rPr>
              <w:t>'''''''''''''''''''''''''''</w:t>
            </w:r>
            <w:r w:rsidR="00F27046">
              <w:rPr>
                <w:sz w:val="19"/>
                <w:szCs w:val="19"/>
                <w:vertAlign w:val="superscript"/>
              </w:rPr>
              <w:t>3</w:t>
            </w:r>
          </w:p>
        </w:tc>
        <w:tc>
          <w:tcPr>
            <w:tcW w:w="650" w:type="pct"/>
          </w:tcPr>
          <w:p w14:paraId="65221CC2" w14:textId="77777777" w:rsidR="0066571E" w:rsidRPr="00DF0A4C" w:rsidRDefault="00DF0A4C" w:rsidP="0066571E">
            <w:pPr>
              <w:pStyle w:val="TableText0"/>
              <w:keepLines/>
              <w:jc w:val="center"/>
            </w:pPr>
            <w:r>
              <w:rPr>
                <w:noProof/>
                <w:color w:val="000000"/>
                <w:highlight w:val="black"/>
              </w:rPr>
              <w:t>'''''''''''''''''''''''''''</w:t>
            </w:r>
            <w:r w:rsidR="00F27046">
              <w:rPr>
                <w:sz w:val="19"/>
                <w:szCs w:val="19"/>
                <w:vertAlign w:val="superscript"/>
              </w:rPr>
              <w:t>3</w:t>
            </w:r>
          </w:p>
        </w:tc>
        <w:tc>
          <w:tcPr>
            <w:tcW w:w="650" w:type="pct"/>
          </w:tcPr>
          <w:p w14:paraId="68B63C21" w14:textId="77777777" w:rsidR="0066571E" w:rsidRPr="00DF0A4C" w:rsidRDefault="00DF0A4C" w:rsidP="0066571E">
            <w:pPr>
              <w:pStyle w:val="TableText0"/>
              <w:keepLines/>
              <w:jc w:val="center"/>
            </w:pPr>
            <w:r>
              <w:rPr>
                <w:noProof/>
                <w:color w:val="000000"/>
                <w:highlight w:val="black"/>
              </w:rPr>
              <w:t>''''''''''''''''''''''''''''</w:t>
            </w:r>
            <w:r w:rsidR="00F27046">
              <w:rPr>
                <w:sz w:val="19"/>
                <w:szCs w:val="19"/>
                <w:vertAlign w:val="superscript"/>
              </w:rPr>
              <w:t>3</w:t>
            </w:r>
          </w:p>
        </w:tc>
        <w:tc>
          <w:tcPr>
            <w:tcW w:w="652" w:type="pct"/>
          </w:tcPr>
          <w:p w14:paraId="322DAF48" w14:textId="77777777" w:rsidR="0066571E" w:rsidRPr="00DF0A4C" w:rsidRDefault="00DF0A4C" w:rsidP="0066571E">
            <w:pPr>
              <w:pStyle w:val="TableText0"/>
              <w:keepLines/>
              <w:jc w:val="center"/>
            </w:pPr>
            <w:r>
              <w:rPr>
                <w:noProof/>
                <w:color w:val="000000"/>
                <w:highlight w:val="black"/>
              </w:rPr>
              <w:t>'''''''''''''''''''''''''''</w:t>
            </w:r>
            <w:r w:rsidR="00F27046">
              <w:rPr>
                <w:sz w:val="19"/>
                <w:szCs w:val="19"/>
                <w:vertAlign w:val="superscript"/>
              </w:rPr>
              <w:t>3</w:t>
            </w:r>
          </w:p>
        </w:tc>
      </w:tr>
      <w:tr w:rsidR="0066571E" w:rsidRPr="003639A6" w14:paraId="316337DE" w14:textId="77777777" w:rsidTr="00DE704C">
        <w:tc>
          <w:tcPr>
            <w:tcW w:w="1098" w:type="pct"/>
          </w:tcPr>
          <w:p w14:paraId="23FBBE1B" w14:textId="77777777" w:rsidR="0066571E" w:rsidRDefault="0066571E" w:rsidP="0066571E">
            <w:pPr>
              <w:pStyle w:val="TableText0"/>
              <w:keepLines/>
              <w:rPr>
                <w:sz w:val="19"/>
                <w:szCs w:val="19"/>
              </w:rPr>
            </w:pPr>
            <w:r>
              <w:rPr>
                <w:sz w:val="19"/>
                <w:szCs w:val="19"/>
              </w:rPr>
              <w:t xml:space="preserve">Cost to PBS/RPBS less </w:t>
            </w:r>
            <w:proofErr w:type="spellStart"/>
            <w:r>
              <w:rPr>
                <w:sz w:val="19"/>
                <w:szCs w:val="19"/>
              </w:rPr>
              <w:t>copayments</w:t>
            </w:r>
            <w:proofErr w:type="spellEnd"/>
            <w:r>
              <w:rPr>
                <w:sz w:val="19"/>
                <w:szCs w:val="19"/>
              </w:rPr>
              <w:t>, chemotherapy</w:t>
            </w:r>
          </w:p>
        </w:tc>
        <w:tc>
          <w:tcPr>
            <w:tcW w:w="650" w:type="pct"/>
          </w:tcPr>
          <w:p w14:paraId="0BB8E236" w14:textId="77777777" w:rsidR="0066571E" w:rsidRPr="00DF0A4C" w:rsidRDefault="00DF0A4C" w:rsidP="0066571E">
            <w:pPr>
              <w:pStyle w:val="TableText0"/>
              <w:keepLines/>
              <w:jc w:val="center"/>
            </w:pPr>
            <w:r>
              <w:rPr>
                <w:noProof/>
                <w:color w:val="000000"/>
                <w:highlight w:val="black"/>
              </w:rPr>
              <w:t>'''''''''''''''''''''''''''</w:t>
            </w:r>
            <w:r w:rsidR="00250B3A">
              <w:rPr>
                <w:sz w:val="19"/>
                <w:szCs w:val="19"/>
                <w:vertAlign w:val="superscript"/>
              </w:rPr>
              <w:t>4</w:t>
            </w:r>
          </w:p>
        </w:tc>
        <w:tc>
          <w:tcPr>
            <w:tcW w:w="650" w:type="pct"/>
          </w:tcPr>
          <w:p w14:paraId="4ECAE145" w14:textId="77777777" w:rsidR="0066571E" w:rsidRPr="00DF0A4C" w:rsidRDefault="00DF0A4C" w:rsidP="0066571E">
            <w:pPr>
              <w:pStyle w:val="TableText0"/>
              <w:keepLines/>
              <w:jc w:val="center"/>
            </w:pPr>
            <w:r>
              <w:rPr>
                <w:noProof/>
                <w:color w:val="000000"/>
                <w:highlight w:val="black"/>
              </w:rPr>
              <w:t>'''''''''''''''''''''''''''</w:t>
            </w:r>
            <w:r w:rsidR="00250B3A">
              <w:rPr>
                <w:sz w:val="19"/>
                <w:szCs w:val="19"/>
                <w:vertAlign w:val="superscript"/>
              </w:rPr>
              <w:t>4</w:t>
            </w:r>
          </w:p>
        </w:tc>
        <w:tc>
          <w:tcPr>
            <w:tcW w:w="650" w:type="pct"/>
          </w:tcPr>
          <w:p w14:paraId="583101FC" w14:textId="77777777" w:rsidR="0066571E" w:rsidRPr="00DF0A4C" w:rsidRDefault="00DF0A4C" w:rsidP="0066571E">
            <w:pPr>
              <w:pStyle w:val="TableText0"/>
              <w:keepLines/>
              <w:jc w:val="center"/>
            </w:pPr>
            <w:r>
              <w:rPr>
                <w:noProof/>
                <w:color w:val="000000"/>
                <w:highlight w:val="black"/>
              </w:rPr>
              <w:t>'''''''''''''''''''''''''</w:t>
            </w:r>
            <w:r w:rsidR="00250B3A">
              <w:rPr>
                <w:sz w:val="19"/>
                <w:szCs w:val="19"/>
                <w:vertAlign w:val="superscript"/>
              </w:rPr>
              <w:t>4</w:t>
            </w:r>
          </w:p>
        </w:tc>
        <w:tc>
          <w:tcPr>
            <w:tcW w:w="650" w:type="pct"/>
          </w:tcPr>
          <w:p w14:paraId="6B260C4B" w14:textId="77777777" w:rsidR="0066571E" w:rsidRPr="00DF0A4C" w:rsidRDefault="00DF0A4C" w:rsidP="0066571E">
            <w:pPr>
              <w:pStyle w:val="TableText0"/>
              <w:keepLines/>
              <w:jc w:val="center"/>
            </w:pPr>
            <w:r>
              <w:rPr>
                <w:noProof/>
                <w:color w:val="000000"/>
                <w:highlight w:val="black"/>
              </w:rPr>
              <w:t>'''''''''''''''''''''''''</w:t>
            </w:r>
            <w:r w:rsidR="00250B3A">
              <w:rPr>
                <w:sz w:val="19"/>
                <w:szCs w:val="19"/>
                <w:vertAlign w:val="superscript"/>
              </w:rPr>
              <w:t>4</w:t>
            </w:r>
          </w:p>
        </w:tc>
        <w:tc>
          <w:tcPr>
            <w:tcW w:w="650" w:type="pct"/>
          </w:tcPr>
          <w:p w14:paraId="2DB27ABB" w14:textId="77777777" w:rsidR="0066571E" w:rsidRPr="00DF0A4C" w:rsidRDefault="00DF0A4C" w:rsidP="0066571E">
            <w:pPr>
              <w:pStyle w:val="TableText0"/>
              <w:keepLines/>
              <w:jc w:val="center"/>
            </w:pPr>
            <w:r>
              <w:rPr>
                <w:noProof/>
                <w:color w:val="000000"/>
                <w:highlight w:val="black"/>
              </w:rPr>
              <w:t>'''''''''''''''''''''''''''</w:t>
            </w:r>
            <w:r w:rsidR="00250B3A">
              <w:rPr>
                <w:sz w:val="19"/>
                <w:szCs w:val="19"/>
                <w:vertAlign w:val="superscript"/>
              </w:rPr>
              <w:t>4</w:t>
            </w:r>
          </w:p>
        </w:tc>
        <w:tc>
          <w:tcPr>
            <w:tcW w:w="652" w:type="pct"/>
          </w:tcPr>
          <w:p w14:paraId="331B178D" w14:textId="77777777" w:rsidR="0066571E" w:rsidRPr="00DF0A4C" w:rsidRDefault="00DF0A4C" w:rsidP="0066571E">
            <w:pPr>
              <w:pStyle w:val="TableText0"/>
              <w:keepLines/>
              <w:jc w:val="center"/>
            </w:pPr>
            <w:r>
              <w:rPr>
                <w:noProof/>
                <w:color w:val="000000"/>
                <w:highlight w:val="black"/>
              </w:rPr>
              <w:t>'''''''''''''''''''''''</w:t>
            </w:r>
            <w:r w:rsidR="00250B3A">
              <w:rPr>
                <w:sz w:val="19"/>
                <w:szCs w:val="19"/>
                <w:vertAlign w:val="superscript"/>
              </w:rPr>
              <w:t>4</w:t>
            </w:r>
          </w:p>
        </w:tc>
      </w:tr>
      <w:tr w:rsidR="0066571E" w:rsidRPr="003639A6" w14:paraId="4F73A3F6" w14:textId="77777777" w:rsidTr="00DE704C">
        <w:tc>
          <w:tcPr>
            <w:tcW w:w="1098" w:type="pct"/>
          </w:tcPr>
          <w:p w14:paraId="4663099A" w14:textId="77777777" w:rsidR="0066571E" w:rsidRDefault="0066571E" w:rsidP="00896906">
            <w:pPr>
              <w:pStyle w:val="TableText0"/>
              <w:keepLines/>
              <w:rPr>
                <w:sz w:val="19"/>
                <w:szCs w:val="19"/>
              </w:rPr>
            </w:pPr>
            <w:r>
              <w:rPr>
                <w:sz w:val="19"/>
                <w:szCs w:val="19"/>
              </w:rPr>
              <w:t xml:space="preserve">Cost to PBS/RPBS less </w:t>
            </w:r>
            <w:proofErr w:type="spellStart"/>
            <w:r>
              <w:rPr>
                <w:sz w:val="19"/>
                <w:szCs w:val="19"/>
              </w:rPr>
              <w:t>copayments</w:t>
            </w:r>
            <w:proofErr w:type="spellEnd"/>
            <w:r w:rsidR="00896906">
              <w:rPr>
                <w:sz w:val="19"/>
                <w:szCs w:val="19"/>
              </w:rPr>
              <w:t>, nivolumab plus chemotherapy</w:t>
            </w:r>
          </w:p>
        </w:tc>
        <w:tc>
          <w:tcPr>
            <w:tcW w:w="650" w:type="pct"/>
          </w:tcPr>
          <w:p w14:paraId="60743D7F" w14:textId="77777777" w:rsidR="0066571E" w:rsidRPr="00DF0A4C" w:rsidRDefault="00DF0A4C" w:rsidP="0066571E">
            <w:pPr>
              <w:pStyle w:val="TableText0"/>
              <w:keepLines/>
              <w:jc w:val="center"/>
            </w:pPr>
            <w:r>
              <w:rPr>
                <w:noProof/>
                <w:color w:val="000000"/>
                <w:highlight w:val="black"/>
              </w:rPr>
              <w:t>''''''''''''''''''''''''''''</w:t>
            </w:r>
            <w:r w:rsidR="00F27046">
              <w:rPr>
                <w:sz w:val="19"/>
                <w:szCs w:val="19"/>
                <w:vertAlign w:val="superscript"/>
              </w:rPr>
              <w:t>5</w:t>
            </w:r>
          </w:p>
        </w:tc>
        <w:tc>
          <w:tcPr>
            <w:tcW w:w="650" w:type="pct"/>
          </w:tcPr>
          <w:p w14:paraId="66682832" w14:textId="77777777" w:rsidR="0066571E" w:rsidRPr="00DF0A4C" w:rsidRDefault="00DF0A4C" w:rsidP="0066571E">
            <w:pPr>
              <w:pStyle w:val="TableText0"/>
              <w:keepLines/>
              <w:jc w:val="center"/>
            </w:pPr>
            <w:r>
              <w:rPr>
                <w:noProof/>
                <w:color w:val="000000"/>
                <w:highlight w:val="black"/>
              </w:rPr>
              <w:t>''''''''''''''''''''''''''</w:t>
            </w:r>
            <w:r w:rsidR="00F27046">
              <w:rPr>
                <w:sz w:val="19"/>
                <w:szCs w:val="19"/>
                <w:vertAlign w:val="superscript"/>
              </w:rPr>
              <w:t>5</w:t>
            </w:r>
          </w:p>
        </w:tc>
        <w:tc>
          <w:tcPr>
            <w:tcW w:w="650" w:type="pct"/>
          </w:tcPr>
          <w:p w14:paraId="44DAF80E" w14:textId="77777777" w:rsidR="0066571E" w:rsidRPr="00DF0A4C" w:rsidRDefault="00DF0A4C" w:rsidP="0066571E">
            <w:pPr>
              <w:pStyle w:val="TableText0"/>
              <w:keepLines/>
              <w:jc w:val="center"/>
            </w:pPr>
            <w:r>
              <w:rPr>
                <w:noProof/>
                <w:color w:val="000000"/>
                <w:highlight w:val="black"/>
              </w:rPr>
              <w:t>'''''''''''''''''''''''''''</w:t>
            </w:r>
            <w:r w:rsidR="00F27046">
              <w:rPr>
                <w:sz w:val="19"/>
                <w:szCs w:val="19"/>
                <w:vertAlign w:val="superscript"/>
              </w:rPr>
              <w:t>5</w:t>
            </w:r>
          </w:p>
        </w:tc>
        <w:tc>
          <w:tcPr>
            <w:tcW w:w="650" w:type="pct"/>
          </w:tcPr>
          <w:p w14:paraId="1F6B0E86" w14:textId="77777777" w:rsidR="0066571E" w:rsidRPr="00DF0A4C" w:rsidRDefault="00DF0A4C" w:rsidP="0066571E">
            <w:pPr>
              <w:pStyle w:val="TableText0"/>
              <w:keepLines/>
              <w:jc w:val="center"/>
            </w:pPr>
            <w:r>
              <w:rPr>
                <w:noProof/>
                <w:color w:val="000000"/>
                <w:highlight w:val="black"/>
              </w:rPr>
              <w:t>'''''''''''''''''''''''''''</w:t>
            </w:r>
            <w:r w:rsidR="00F27046">
              <w:rPr>
                <w:sz w:val="19"/>
                <w:szCs w:val="19"/>
                <w:vertAlign w:val="superscript"/>
              </w:rPr>
              <w:t>5</w:t>
            </w:r>
          </w:p>
        </w:tc>
        <w:tc>
          <w:tcPr>
            <w:tcW w:w="650" w:type="pct"/>
          </w:tcPr>
          <w:p w14:paraId="6918F18F" w14:textId="77777777" w:rsidR="0066571E" w:rsidRPr="00DF0A4C" w:rsidRDefault="00DF0A4C" w:rsidP="0066571E">
            <w:pPr>
              <w:pStyle w:val="TableText0"/>
              <w:keepLines/>
              <w:jc w:val="center"/>
            </w:pPr>
            <w:r>
              <w:rPr>
                <w:noProof/>
                <w:color w:val="000000"/>
                <w:highlight w:val="black"/>
              </w:rPr>
              <w:t>'''''''''''''''''''''''''''</w:t>
            </w:r>
            <w:r w:rsidR="00F27046">
              <w:rPr>
                <w:sz w:val="19"/>
                <w:szCs w:val="19"/>
                <w:vertAlign w:val="superscript"/>
              </w:rPr>
              <w:t>5</w:t>
            </w:r>
          </w:p>
        </w:tc>
        <w:tc>
          <w:tcPr>
            <w:tcW w:w="652" w:type="pct"/>
          </w:tcPr>
          <w:p w14:paraId="7CF7F4B4" w14:textId="77777777" w:rsidR="0066571E" w:rsidRPr="00DF0A4C" w:rsidRDefault="00DF0A4C" w:rsidP="0066571E">
            <w:pPr>
              <w:pStyle w:val="TableText0"/>
              <w:keepLines/>
              <w:jc w:val="center"/>
            </w:pPr>
            <w:r>
              <w:rPr>
                <w:noProof/>
                <w:color w:val="000000"/>
                <w:highlight w:val="black"/>
              </w:rPr>
              <w:t>'''''''''''''''''''''''''''</w:t>
            </w:r>
            <w:r w:rsidR="00F27046">
              <w:rPr>
                <w:sz w:val="19"/>
                <w:szCs w:val="19"/>
                <w:vertAlign w:val="superscript"/>
              </w:rPr>
              <w:t>5</w:t>
            </w:r>
          </w:p>
        </w:tc>
      </w:tr>
      <w:tr w:rsidR="0066571E" w:rsidRPr="003639A6" w14:paraId="3CBDA9ED" w14:textId="77777777" w:rsidTr="0066571E">
        <w:tc>
          <w:tcPr>
            <w:tcW w:w="5000" w:type="pct"/>
            <w:gridSpan w:val="7"/>
          </w:tcPr>
          <w:p w14:paraId="2265F6E6" w14:textId="77777777" w:rsidR="0066571E" w:rsidRPr="001E5219" w:rsidRDefault="0066571E" w:rsidP="0066571E">
            <w:pPr>
              <w:pStyle w:val="TableText0"/>
              <w:keepLines/>
              <w:rPr>
                <w:b/>
                <w:bCs w:val="0"/>
              </w:rPr>
            </w:pPr>
            <w:r w:rsidRPr="001E5219">
              <w:rPr>
                <w:b/>
                <w:bCs w:val="0"/>
              </w:rPr>
              <w:t>Estimated financial implications for chemotherapy not used</w:t>
            </w:r>
          </w:p>
        </w:tc>
      </w:tr>
      <w:tr w:rsidR="0066571E" w:rsidRPr="003639A6" w14:paraId="76939B11" w14:textId="77777777" w:rsidTr="00DE704C">
        <w:tc>
          <w:tcPr>
            <w:tcW w:w="1098" w:type="pct"/>
          </w:tcPr>
          <w:p w14:paraId="532CB0CE" w14:textId="77777777" w:rsidR="0066571E" w:rsidRDefault="0066571E" w:rsidP="00F27046">
            <w:pPr>
              <w:pStyle w:val="TableText0"/>
              <w:keepLines/>
              <w:rPr>
                <w:sz w:val="19"/>
                <w:szCs w:val="19"/>
              </w:rPr>
            </w:pPr>
            <w:r>
              <w:rPr>
                <w:sz w:val="19"/>
                <w:szCs w:val="19"/>
              </w:rPr>
              <w:t xml:space="preserve">Cost to PBS/RPBS less </w:t>
            </w:r>
            <w:proofErr w:type="spellStart"/>
            <w:r>
              <w:rPr>
                <w:sz w:val="19"/>
                <w:szCs w:val="19"/>
              </w:rPr>
              <w:t>copayments</w:t>
            </w:r>
            <w:proofErr w:type="spellEnd"/>
          </w:p>
        </w:tc>
        <w:tc>
          <w:tcPr>
            <w:tcW w:w="650" w:type="pct"/>
          </w:tcPr>
          <w:p w14:paraId="7487A227" w14:textId="77777777" w:rsidR="0066571E" w:rsidRPr="00DF0A4C" w:rsidRDefault="00F27046" w:rsidP="00F27046">
            <w:pPr>
              <w:pStyle w:val="TableText0"/>
              <w:keepLines/>
              <w:jc w:val="center"/>
            </w:pPr>
            <w:r>
              <w:rPr>
                <w:sz w:val="19"/>
                <w:szCs w:val="19"/>
              </w:rPr>
              <w:t>-</w:t>
            </w:r>
            <w:r w:rsidR="00DF0A4C">
              <w:rPr>
                <w:noProof/>
                <w:color w:val="000000"/>
                <w:highlight w:val="black"/>
              </w:rPr>
              <w:t>''''''''''''''''''''''''</w:t>
            </w:r>
            <w:r w:rsidR="00250B3A">
              <w:rPr>
                <w:sz w:val="19"/>
                <w:szCs w:val="19"/>
                <w:vertAlign w:val="superscript"/>
              </w:rPr>
              <w:t>4</w:t>
            </w:r>
          </w:p>
        </w:tc>
        <w:tc>
          <w:tcPr>
            <w:tcW w:w="650" w:type="pct"/>
          </w:tcPr>
          <w:p w14:paraId="1264B1C6" w14:textId="77777777" w:rsidR="0066571E" w:rsidRPr="00DF0A4C" w:rsidRDefault="00F27046" w:rsidP="00F27046">
            <w:pPr>
              <w:pStyle w:val="TableText0"/>
              <w:keepLines/>
              <w:jc w:val="center"/>
            </w:pPr>
            <w:r>
              <w:rPr>
                <w:sz w:val="19"/>
                <w:szCs w:val="19"/>
              </w:rPr>
              <w:t>-</w:t>
            </w:r>
            <w:r w:rsidR="00DF0A4C">
              <w:rPr>
                <w:noProof/>
                <w:color w:val="000000"/>
                <w:highlight w:val="black"/>
              </w:rPr>
              <w:t>''''''''''''''''''''''''''</w:t>
            </w:r>
            <w:r w:rsidR="00250B3A">
              <w:rPr>
                <w:sz w:val="19"/>
                <w:szCs w:val="19"/>
                <w:vertAlign w:val="superscript"/>
              </w:rPr>
              <w:t>4</w:t>
            </w:r>
          </w:p>
        </w:tc>
        <w:tc>
          <w:tcPr>
            <w:tcW w:w="650" w:type="pct"/>
          </w:tcPr>
          <w:p w14:paraId="3C04B94B" w14:textId="77777777" w:rsidR="0066571E" w:rsidRPr="00DF0A4C" w:rsidRDefault="00F27046" w:rsidP="00F27046">
            <w:pPr>
              <w:pStyle w:val="TableText0"/>
              <w:keepLines/>
              <w:jc w:val="center"/>
            </w:pPr>
            <w:r>
              <w:rPr>
                <w:sz w:val="19"/>
                <w:szCs w:val="19"/>
              </w:rPr>
              <w:t>-</w:t>
            </w:r>
            <w:r w:rsidR="00DF0A4C">
              <w:rPr>
                <w:noProof/>
                <w:color w:val="000000"/>
                <w:highlight w:val="black"/>
              </w:rPr>
              <w:t>'''''''''''''''''''''''''</w:t>
            </w:r>
            <w:r w:rsidR="00250B3A">
              <w:rPr>
                <w:sz w:val="19"/>
                <w:szCs w:val="19"/>
                <w:vertAlign w:val="superscript"/>
              </w:rPr>
              <w:t>4</w:t>
            </w:r>
          </w:p>
        </w:tc>
        <w:tc>
          <w:tcPr>
            <w:tcW w:w="650" w:type="pct"/>
          </w:tcPr>
          <w:p w14:paraId="1C454D36" w14:textId="77777777" w:rsidR="0066571E" w:rsidRPr="00DF0A4C" w:rsidRDefault="00F27046" w:rsidP="00F27046">
            <w:pPr>
              <w:pStyle w:val="TableText0"/>
              <w:keepLines/>
              <w:jc w:val="center"/>
            </w:pPr>
            <w:r>
              <w:rPr>
                <w:sz w:val="19"/>
                <w:szCs w:val="19"/>
              </w:rPr>
              <w:t>-</w:t>
            </w:r>
            <w:r w:rsidR="00DF0A4C">
              <w:rPr>
                <w:noProof/>
                <w:color w:val="000000"/>
                <w:highlight w:val="black"/>
              </w:rPr>
              <w:t>''''''''''''''''''''''''''</w:t>
            </w:r>
            <w:r w:rsidR="00250B3A">
              <w:rPr>
                <w:sz w:val="19"/>
                <w:szCs w:val="19"/>
                <w:vertAlign w:val="superscript"/>
              </w:rPr>
              <w:t>4</w:t>
            </w:r>
          </w:p>
        </w:tc>
        <w:tc>
          <w:tcPr>
            <w:tcW w:w="650" w:type="pct"/>
          </w:tcPr>
          <w:p w14:paraId="29AFD7BA" w14:textId="77777777" w:rsidR="0066571E" w:rsidRPr="00DF0A4C" w:rsidRDefault="00F27046" w:rsidP="00F27046">
            <w:pPr>
              <w:pStyle w:val="TableText0"/>
              <w:keepLines/>
              <w:jc w:val="center"/>
            </w:pPr>
            <w:r>
              <w:rPr>
                <w:sz w:val="19"/>
                <w:szCs w:val="19"/>
              </w:rPr>
              <w:t>-</w:t>
            </w:r>
            <w:r w:rsidR="00DF0A4C">
              <w:rPr>
                <w:noProof/>
                <w:color w:val="000000"/>
                <w:highlight w:val="black"/>
              </w:rPr>
              <w:t>''''''''''''''''''''''''''</w:t>
            </w:r>
            <w:r w:rsidR="00250B3A">
              <w:rPr>
                <w:sz w:val="19"/>
                <w:szCs w:val="19"/>
                <w:vertAlign w:val="superscript"/>
              </w:rPr>
              <w:t>4</w:t>
            </w:r>
          </w:p>
        </w:tc>
        <w:tc>
          <w:tcPr>
            <w:tcW w:w="652" w:type="pct"/>
          </w:tcPr>
          <w:p w14:paraId="59F3BC82" w14:textId="77777777" w:rsidR="0066571E" w:rsidRPr="00DF0A4C" w:rsidRDefault="00F27046" w:rsidP="00F27046">
            <w:pPr>
              <w:pStyle w:val="TableText0"/>
              <w:keepLines/>
              <w:jc w:val="center"/>
            </w:pPr>
            <w:r>
              <w:rPr>
                <w:sz w:val="19"/>
                <w:szCs w:val="19"/>
              </w:rPr>
              <w:t>-</w:t>
            </w:r>
            <w:r w:rsidR="00DF0A4C">
              <w:rPr>
                <w:noProof/>
                <w:color w:val="000000"/>
                <w:highlight w:val="black"/>
              </w:rPr>
              <w:t>''''''''''''''''''''''''''</w:t>
            </w:r>
            <w:r w:rsidR="00250B3A">
              <w:rPr>
                <w:sz w:val="19"/>
                <w:szCs w:val="19"/>
                <w:vertAlign w:val="superscript"/>
              </w:rPr>
              <w:t>4</w:t>
            </w:r>
          </w:p>
        </w:tc>
      </w:tr>
      <w:tr w:rsidR="004054B4" w:rsidRPr="003639A6" w14:paraId="7855791D" w14:textId="77777777" w:rsidTr="004054B4">
        <w:tc>
          <w:tcPr>
            <w:tcW w:w="5000" w:type="pct"/>
            <w:gridSpan w:val="7"/>
          </w:tcPr>
          <w:p w14:paraId="17B0E532" w14:textId="77777777" w:rsidR="004054B4" w:rsidRPr="00C77DE6" w:rsidRDefault="004054B4" w:rsidP="004054B4">
            <w:pPr>
              <w:pStyle w:val="TableText0"/>
              <w:keepLines/>
              <w:rPr>
                <w:bCs w:val="0"/>
              </w:rPr>
            </w:pPr>
            <w:r w:rsidRPr="00FA447A">
              <w:rPr>
                <w:b/>
                <w:bCs w:val="0"/>
              </w:rPr>
              <w:t>Net financial implications</w:t>
            </w:r>
          </w:p>
        </w:tc>
      </w:tr>
      <w:tr w:rsidR="0066571E" w:rsidRPr="003639A6" w14:paraId="43E53F81" w14:textId="77777777" w:rsidTr="00DE704C">
        <w:tc>
          <w:tcPr>
            <w:tcW w:w="1098" w:type="pct"/>
          </w:tcPr>
          <w:p w14:paraId="02145875" w14:textId="77777777" w:rsidR="0066571E" w:rsidRDefault="0066571E" w:rsidP="0066571E">
            <w:pPr>
              <w:pStyle w:val="TableText0"/>
              <w:keepLines/>
              <w:rPr>
                <w:sz w:val="19"/>
                <w:szCs w:val="19"/>
              </w:rPr>
            </w:pPr>
            <w:r>
              <w:rPr>
                <w:sz w:val="19"/>
                <w:szCs w:val="19"/>
              </w:rPr>
              <w:t>Net cost to PBS/RPBS</w:t>
            </w:r>
          </w:p>
        </w:tc>
        <w:tc>
          <w:tcPr>
            <w:tcW w:w="650" w:type="pct"/>
          </w:tcPr>
          <w:p w14:paraId="61922AFD" w14:textId="77777777" w:rsidR="0066571E" w:rsidRPr="00DF0A4C" w:rsidRDefault="00DF0A4C" w:rsidP="0066571E">
            <w:pPr>
              <w:pStyle w:val="TableText0"/>
              <w:keepLines/>
              <w:jc w:val="center"/>
              <w:rPr>
                <w:bCs w:val="0"/>
              </w:rPr>
            </w:pPr>
            <w:r>
              <w:rPr>
                <w:bCs w:val="0"/>
                <w:noProof/>
                <w:color w:val="000000"/>
                <w:highlight w:val="black"/>
              </w:rPr>
              <w:t>''''''''''''''''''''''''''</w:t>
            </w:r>
            <w:r w:rsidR="00F27046">
              <w:rPr>
                <w:sz w:val="19"/>
                <w:szCs w:val="19"/>
                <w:vertAlign w:val="superscript"/>
              </w:rPr>
              <w:t>3</w:t>
            </w:r>
          </w:p>
        </w:tc>
        <w:tc>
          <w:tcPr>
            <w:tcW w:w="650" w:type="pct"/>
          </w:tcPr>
          <w:p w14:paraId="3F880561" w14:textId="77777777" w:rsidR="0066571E" w:rsidRPr="00DF0A4C" w:rsidRDefault="00DF0A4C" w:rsidP="0066571E">
            <w:pPr>
              <w:pStyle w:val="TableText0"/>
              <w:keepLines/>
              <w:jc w:val="center"/>
              <w:rPr>
                <w:bCs w:val="0"/>
              </w:rPr>
            </w:pPr>
            <w:r>
              <w:rPr>
                <w:bCs w:val="0"/>
                <w:noProof/>
                <w:color w:val="000000"/>
                <w:highlight w:val="black"/>
              </w:rPr>
              <w:t>'''''''''''''''''''''''''''</w:t>
            </w:r>
            <w:r w:rsidR="00F27046">
              <w:rPr>
                <w:sz w:val="19"/>
                <w:szCs w:val="19"/>
                <w:vertAlign w:val="superscript"/>
              </w:rPr>
              <w:t>3</w:t>
            </w:r>
          </w:p>
        </w:tc>
        <w:tc>
          <w:tcPr>
            <w:tcW w:w="650" w:type="pct"/>
          </w:tcPr>
          <w:p w14:paraId="60432012" w14:textId="77777777" w:rsidR="0066571E" w:rsidRPr="00DF0A4C" w:rsidRDefault="00DF0A4C" w:rsidP="0066571E">
            <w:pPr>
              <w:pStyle w:val="TableText0"/>
              <w:keepLines/>
              <w:jc w:val="center"/>
              <w:rPr>
                <w:bCs w:val="0"/>
              </w:rPr>
            </w:pPr>
            <w:r>
              <w:rPr>
                <w:bCs w:val="0"/>
                <w:noProof/>
                <w:color w:val="000000"/>
                <w:highlight w:val="black"/>
              </w:rPr>
              <w:t>'''''''''''''''''''''''''''</w:t>
            </w:r>
            <w:r w:rsidR="00F27046">
              <w:rPr>
                <w:sz w:val="19"/>
                <w:szCs w:val="19"/>
                <w:vertAlign w:val="superscript"/>
              </w:rPr>
              <w:t>3</w:t>
            </w:r>
          </w:p>
        </w:tc>
        <w:tc>
          <w:tcPr>
            <w:tcW w:w="650" w:type="pct"/>
          </w:tcPr>
          <w:p w14:paraId="0A323779" w14:textId="77777777" w:rsidR="0066571E" w:rsidRPr="00DF0A4C" w:rsidRDefault="00DF0A4C" w:rsidP="0066571E">
            <w:pPr>
              <w:pStyle w:val="TableText0"/>
              <w:keepLines/>
              <w:jc w:val="center"/>
              <w:rPr>
                <w:bCs w:val="0"/>
              </w:rPr>
            </w:pPr>
            <w:r>
              <w:rPr>
                <w:bCs w:val="0"/>
                <w:noProof/>
                <w:color w:val="000000"/>
                <w:highlight w:val="black"/>
              </w:rPr>
              <w:t>''''''''''''''''''''''''''</w:t>
            </w:r>
            <w:r w:rsidR="00F27046">
              <w:rPr>
                <w:sz w:val="19"/>
                <w:szCs w:val="19"/>
                <w:vertAlign w:val="superscript"/>
              </w:rPr>
              <w:t>3</w:t>
            </w:r>
          </w:p>
        </w:tc>
        <w:tc>
          <w:tcPr>
            <w:tcW w:w="650" w:type="pct"/>
          </w:tcPr>
          <w:p w14:paraId="4386C3C5" w14:textId="77777777" w:rsidR="0066571E" w:rsidRPr="00DF0A4C" w:rsidRDefault="00DF0A4C" w:rsidP="0066571E">
            <w:pPr>
              <w:pStyle w:val="TableText0"/>
              <w:keepLines/>
              <w:jc w:val="center"/>
              <w:rPr>
                <w:bCs w:val="0"/>
              </w:rPr>
            </w:pPr>
            <w:r>
              <w:rPr>
                <w:bCs w:val="0"/>
                <w:noProof/>
                <w:color w:val="000000"/>
                <w:highlight w:val="black"/>
              </w:rPr>
              <w:t>'''''''''''''''''''''''''''</w:t>
            </w:r>
            <w:r w:rsidR="00F27046">
              <w:rPr>
                <w:sz w:val="19"/>
                <w:szCs w:val="19"/>
                <w:vertAlign w:val="superscript"/>
              </w:rPr>
              <w:t>3</w:t>
            </w:r>
          </w:p>
        </w:tc>
        <w:tc>
          <w:tcPr>
            <w:tcW w:w="652" w:type="pct"/>
          </w:tcPr>
          <w:p w14:paraId="241139DB" w14:textId="77777777" w:rsidR="0066571E" w:rsidRPr="00DF0A4C" w:rsidRDefault="00DF0A4C" w:rsidP="0066571E">
            <w:pPr>
              <w:pStyle w:val="TableText0"/>
              <w:keepLines/>
              <w:jc w:val="center"/>
              <w:rPr>
                <w:bCs w:val="0"/>
              </w:rPr>
            </w:pPr>
            <w:r>
              <w:rPr>
                <w:bCs w:val="0"/>
                <w:noProof/>
                <w:color w:val="000000"/>
                <w:highlight w:val="black"/>
              </w:rPr>
              <w:t>'''''''''''''''''''''''''''</w:t>
            </w:r>
            <w:r w:rsidR="00F27046">
              <w:rPr>
                <w:sz w:val="19"/>
                <w:szCs w:val="19"/>
                <w:vertAlign w:val="superscript"/>
              </w:rPr>
              <w:t>3</w:t>
            </w:r>
          </w:p>
        </w:tc>
      </w:tr>
      <w:tr w:rsidR="0066571E" w:rsidRPr="003639A6" w14:paraId="40D02324" w14:textId="77777777" w:rsidTr="00DE704C">
        <w:tc>
          <w:tcPr>
            <w:tcW w:w="1098" w:type="pct"/>
          </w:tcPr>
          <w:p w14:paraId="4CC21380" w14:textId="77777777" w:rsidR="0066571E" w:rsidRPr="00F27046" w:rsidRDefault="0066571E" w:rsidP="00F27046">
            <w:pPr>
              <w:pStyle w:val="TableText0"/>
              <w:keepLines/>
              <w:rPr>
                <w:rFonts w:ascii="Times" w:hAnsi="Times"/>
                <w:vertAlign w:val="superscript"/>
              </w:rPr>
            </w:pPr>
            <w:r>
              <w:rPr>
                <w:sz w:val="19"/>
                <w:szCs w:val="19"/>
              </w:rPr>
              <w:t>Net cost to</w:t>
            </w:r>
            <w:r w:rsidRPr="003639A6">
              <w:rPr>
                <w:sz w:val="19"/>
                <w:szCs w:val="19"/>
              </w:rPr>
              <w:t xml:space="preserve"> MBS</w:t>
            </w:r>
          </w:p>
        </w:tc>
        <w:tc>
          <w:tcPr>
            <w:tcW w:w="650" w:type="pct"/>
          </w:tcPr>
          <w:p w14:paraId="4C72F4F5" w14:textId="77777777" w:rsidR="0066571E" w:rsidRPr="00DF0A4C" w:rsidRDefault="00DF0A4C" w:rsidP="0066571E">
            <w:pPr>
              <w:pStyle w:val="TableText0"/>
              <w:keepLines/>
              <w:jc w:val="center"/>
              <w:rPr>
                <w:bCs w:val="0"/>
              </w:rPr>
            </w:pPr>
            <w:r>
              <w:rPr>
                <w:bCs w:val="0"/>
                <w:noProof/>
                <w:color w:val="000000"/>
                <w:highlight w:val="black"/>
              </w:rPr>
              <w:t>''''''''''''''''''''</w:t>
            </w:r>
            <w:r w:rsidR="00250B3A">
              <w:rPr>
                <w:sz w:val="19"/>
                <w:szCs w:val="19"/>
                <w:vertAlign w:val="superscript"/>
              </w:rPr>
              <w:t>4</w:t>
            </w:r>
          </w:p>
        </w:tc>
        <w:tc>
          <w:tcPr>
            <w:tcW w:w="650" w:type="pct"/>
          </w:tcPr>
          <w:p w14:paraId="712C4493" w14:textId="77777777" w:rsidR="0066571E" w:rsidRPr="00DF0A4C" w:rsidRDefault="00DF0A4C" w:rsidP="0066571E">
            <w:pPr>
              <w:pStyle w:val="TableText0"/>
              <w:keepLines/>
              <w:jc w:val="center"/>
              <w:rPr>
                <w:bCs w:val="0"/>
              </w:rPr>
            </w:pPr>
            <w:r>
              <w:rPr>
                <w:bCs w:val="0"/>
                <w:noProof/>
                <w:color w:val="000000"/>
                <w:highlight w:val="black"/>
              </w:rPr>
              <w:t>''''''''''''''''''''''''</w:t>
            </w:r>
            <w:r w:rsidR="00250B3A">
              <w:rPr>
                <w:sz w:val="19"/>
                <w:szCs w:val="19"/>
                <w:vertAlign w:val="superscript"/>
              </w:rPr>
              <w:t>4</w:t>
            </w:r>
          </w:p>
        </w:tc>
        <w:tc>
          <w:tcPr>
            <w:tcW w:w="650" w:type="pct"/>
          </w:tcPr>
          <w:p w14:paraId="4A4FB8FB" w14:textId="77777777" w:rsidR="0066571E" w:rsidRPr="00DF0A4C" w:rsidRDefault="00DF0A4C" w:rsidP="0066571E">
            <w:pPr>
              <w:pStyle w:val="TableText0"/>
              <w:keepLines/>
              <w:jc w:val="center"/>
              <w:rPr>
                <w:bCs w:val="0"/>
              </w:rPr>
            </w:pPr>
            <w:r>
              <w:rPr>
                <w:bCs w:val="0"/>
                <w:noProof/>
                <w:color w:val="000000"/>
                <w:highlight w:val="black"/>
              </w:rPr>
              <w:t>'''''''''''''''''''''''</w:t>
            </w:r>
            <w:r w:rsidR="00250B3A">
              <w:rPr>
                <w:sz w:val="19"/>
                <w:szCs w:val="19"/>
                <w:vertAlign w:val="superscript"/>
              </w:rPr>
              <w:t>4</w:t>
            </w:r>
          </w:p>
        </w:tc>
        <w:tc>
          <w:tcPr>
            <w:tcW w:w="650" w:type="pct"/>
          </w:tcPr>
          <w:p w14:paraId="6F785F81" w14:textId="77777777" w:rsidR="0066571E" w:rsidRPr="00DF0A4C" w:rsidRDefault="00DF0A4C" w:rsidP="0066571E">
            <w:pPr>
              <w:pStyle w:val="TableText0"/>
              <w:keepLines/>
              <w:jc w:val="center"/>
              <w:rPr>
                <w:bCs w:val="0"/>
              </w:rPr>
            </w:pPr>
            <w:r>
              <w:rPr>
                <w:bCs w:val="0"/>
                <w:noProof/>
                <w:color w:val="000000"/>
                <w:highlight w:val="black"/>
              </w:rPr>
              <w:t>''''''''''''''''''''</w:t>
            </w:r>
            <w:r w:rsidR="00250B3A">
              <w:rPr>
                <w:sz w:val="19"/>
                <w:szCs w:val="19"/>
                <w:vertAlign w:val="superscript"/>
              </w:rPr>
              <w:t>4</w:t>
            </w:r>
          </w:p>
        </w:tc>
        <w:tc>
          <w:tcPr>
            <w:tcW w:w="650" w:type="pct"/>
          </w:tcPr>
          <w:p w14:paraId="77F4CE66" w14:textId="77777777" w:rsidR="0066571E" w:rsidRPr="00DF0A4C" w:rsidRDefault="00DF0A4C" w:rsidP="0066571E">
            <w:pPr>
              <w:pStyle w:val="TableText0"/>
              <w:keepLines/>
              <w:jc w:val="center"/>
              <w:rPr>
                <w:bCs w:val="0"/>
              </w:rPr>
            </w:pPr>
            <w:r>
              <w:rPr>
                <w:bCs w:val="0"/>
                <w:noProof/>
                <w:color w:val="000000"/>
                <w:highlight w:val="black"/>
              </w:rPr>
              <w:t>'''''''''''''''''''''''</w:t>
            </w:r>
            <w:r w:rsidR="00250B3A">
              <w:rPr>
                <w:sz w:val="19"/>
                <w:szCs w:val="19"/>
                <w:vertAlign w:val="superscript"/>
              </w:rPr>
              <w:t>4</w:t>
            </w:r>
          </w:p>
        </w:tc>
        <w:tc>
          <w:tcPr>
            <w:tcW w:w="652" w:type="pct"/>
          </w:tcPr>
          <w:p w14:paraId="059F06AF" w14:textId="77777777" w:rsidR="0066571E" w:rsidRPr="00DF0A4C" w:rsidRDefault="00DF0A4C" w:rsidP="0066571E">
            <w:pPr>
              <w:pStyle w:val="TableText0"/>
              <w:keepLines/>
              <w:jc w:val="center"/>
              <w:rPr>
                <w:bCs w:val="0"/>
              </w:rPr>
            </w:pPr>
            <w:r>
              <w:rPr>
                <w:bCs w:val="0"/>
                <w:noProof/>
                <w:color w:val="000000"/>
                <w:highlight w:val="black"/>
              </w:rPr>
              <w:t>''''''''''''''''''''</w:t>
            </w:r>
            <w:r w:rsidR="00250B3A">
              <w:rPr>
                <w:sz w:val="19"/>
                <w:szCs w:val="19"/>
                <w:vertAlign w:val="superscript"/>
              </w:rPr>
              <w:t>4</w:t>
            </w:r>
          </w:p>
        </w:tc>
      </w:tr>
      <w:tr w:rsidR="0066571E" w:rsidRPr="003639A6" w14:paraId="0CC6C1CA" w14:textId="77777777" w:rsidTr="00DE704C">
        <w:tc>
          <w:tcPr>
            <w:tcW w:w="1098" w:type="pct"/>
          </w:tcPr>
          <w:p w14:paraId="0BE1056E" w14:textId="77777777" w:rsidR="0066571E" w:rsidRPr="003639A6" w:rsidRDefault="0066571E" w:rsidP="0066571E">
            <w:pPr>
              <w:pStyle w:val="TableText0"/>
              <w:keepLines/>
              <w:rPr>
                <w:sz w:val="19"/>
                <w:szCs w:val="19"/>
              </w:rPr>
            </w:pPr>
            <w:r>
              <w:rPr>
                <w:sz w:val="19"/>
                <w:szCs w:val="19"/>
              </w:rPr>
              <w:t>Net cost to PBS/RPBS/</w:t>
            </w:r>
            <w:r w:rsidR="004054B4">
              <w:rPr>
                <w:sz w:val="19"/>
                <w:szCs w:val="19"/>
              </w:rPr>
              <w:t xml:space="preserve"> </w:t>
            </w:r>
            <w:r>
              <w:rPr>
                <w:sz w:val="19"/>
                <w:szCs w:val="19"/>
              </w:rPr>
              <w:t>MBS Australia</w:t>
            </w:r>
          </w:p>
        </w:tc>
        <w:tc>
          <w:tcPr>
            <w:tcW w:w="650" w:type="pct"/>
          </w:tcPr>
          <w:p w14:paraId="529A0F46" w14:textId="77777777" w:rsidR="0066571E" w:rsidRPr="00DF0A4C" w:rsidRDefault="00DF0A4C" w:rsidP="0066571E">
            <w:pPr>
              <w:pStyle w:val="TableText0"/>
              <w:keepLines/>
              <w:jc w:val="center"/>
            </w:pPr>
            <w:r>
              <w:rPr>
                <w:b/>
                <w:noProof/>
                <w:color w:val="000000"/>
                <w:highlight w:val="black"/>
              </w:rPr>
              <w:t>'''''''''''''''''''''</w:t>
            </w:r>
            <w:r w:rsidR="00F27046">
              <w:rPr>
                <w:sz w:val="19"/>
                <w:szCs w:val="19"/>
                <w:vertAlign w:val="superscript"/>
              </w:rPr>
              <w:t>3</w:t>
            </w:r>
          </w:p>
        </w:tc>
        <w:tc>
          <w:tcPr>
            <w:tcW w:w="650" w:type="pct"/>
          </w:tcPr>
          <w:p w14:paraId="7B48C0C0" w14:textId="77777777" w:rsidR="0066571E" w:rsidRPr="00DF0A4C" w:rsidRDefault="00DF0A4C" w:rsidP="0066571E">
            <w:pPr>
              <w:pStyle w:val="TableText0"/>
              <w:keepLines/>
              <w:jc w:val="center"/>
            </w:pPr>
            <w:r>
              <w:rPr>
                <w:b/>
                <w:noProof/>
                <w:color w:val="000000"/>
                <w:highlight w:val="black"/>
              </w:rPr>
              <w:t>'''''''''''''''''''''''</w:t>
            </w:r>
            <w:r w:rsidR="00F27046">
              <w:rPr>
                <w:sz w:val="19"/>
                <w:szCs w:val="19"/>
                <w:vertAlign w:val="superscript"/>
              </w:rPr>
              <w:t>3</w:t>
            </w:r>
          </w:p>
        </w:tc>
        <w:tc>
          <w:tcPr>
            <w:tcW w:w="650" w:type="pct"/>
          </w:tcPr>
          <w:p w14:paraId="31177B2A" w14:textId="77777777" w:rsidR="0066571E" w:rsidRPr="00DF0A4C" w:rsidRDefault="00DF0A4C" w:rsidP="0066571E">
            <w:pPr>
              <w:pStyle w:val="TableText0"/>
              <w:keepLines/>
              <w:jc w:val="center"/>
            </w:pPr>
            <w:r>
              <w:rPr>
                <w:b/>
                <w:noProof/>
                <w:color w:val="000000"/>
                <w:highlight w:val="black"/>
              </w:rPr>
              <w:t>''''''''''''''''''''''</w:t>
            </w:r>
            <w:r w:rsidR="00F27046">
              <w:rPr>
                <w:sz w:val="19"/>
                <w:szCs w:val="19"/>
                <w:vertAlign w:val="superscript"/>
              </w:rPr>
              <w:t>3</w:t>
            </w:r>
          </w:p>
        </w:tc>
        <w:tc>
          <w:tcPr>
            <w:tcW w:w="650" w:type="pct"/>
          </w:tcPr>
          <w:p w14:paraId="6CDCC602" w14:textId="77777777" w:rsidR="0066571E" w:rsidRPr="00DF0A4C" w:rsidRDefault="00DF0A4C" w:rsidP="0066571E">
            <w:pPr>
              <w:pStyle w:val="TableText0"/>
              <w:keepLines/>
              <w:jc w:val="center"/>
            </w:pPr>
            <w:r>
              <w:rPr>
                <w:b/>
                <w:noProof/>
                <w:color w:val="000000"/>
                <w:highlight w:val="black"/>
              </w:rPr>
              <w:t>''''''''''''''''''''''</w:t>
            </w:r>
            <w:r w:rsidR="00F27046">
              <w:rPr>
                <w:sz w:val="19"/>
                <w:szCs w:val="19"/>
                <w:vertAlign w:val="superscript"/>
              </w:rPr>
              <w:t>3</w:t>
            </w:r>
          </w:p>
        </w:tc>
        <w:tc>
          <w:tcPr>
            <w:tcW w:w="650" w:type="pct"/>
          </w:tcPr>
          <w:p w14:paraId="6CA52D11" w14:textId="77777777" w:rsidR="0066571E" w:rsidRPr="00DF0A4C" w:rsidRDefault="00DF0A4C" w:rsidP="0066571E">
            <w:pPr>
              <w:pStyle w:val="TableText0"/>
              <w:keepLines/>
              <w:jc w:val="center"/>
            </w:pPr>
            <w:r>
              <w:rPr>
                <w:b/>
                <w:noProof/>
                <w:color w:val="000000"/>
                <w:highlight w:val="black"/>
              </w:rPr>
              <w:t>''''''''''''''''''''''</w:t>
            </w:r>
            <w:r w:rsidR="00F27046">
              <w:rPr>
                <w:sz w:val="19"/>
                <w:szCs w:val="19"/>
                <w:vertAlign w:val="superscript"/>
              </w:rPr>
              <w:t>5</w:t>
            </w:r>
          </w:p>
        </w:tc>
        <w:tc>
          <w:tcPr>
            <w:tcW w:w="652" w:type="pct"/>
          </w:tcPr>
          <w:p w14:paraId="17BEC636" w14:textId="77777777" w:rsidR="0066571E" w:rsidRPr="00DF0A4C" w:rsidRDefault="00DF0A4C" w:rsidP="0066571E">
            <w:pPr>
              <w:pStyle w:val="TableText0"/>
              <w:keepLines/>
              <w:jc w:val="center"/>
            </w:pPr>
            <w:r>
              <w:rPr>
                <w:b/>
                <w:noProof/>
                <w:color w:val="000000"/>
                <w:highlight w:val="black"/>
              </w:rPr>
              <w:t>''''''''''''''''''''''</w:t>
            </w:r>
            <w:r w:rsidR="00F27046">
              <w:rPr>
                <w:sz w:val="19"/>
                <w:szCs w:val="19"/>
                <w:vertAlign w:val="superscript"/>
              </w:rPr>
              <w:t>5</w:t>
            </w:r>
          </w:p>
        </w:tc>
      </w:tr>
    </w:tbl>
    <w:p w14:paraId="40051064" w14:textId="77777777" w:rsidR="00EF73C8" w:rsidRDefault="00EF73C8" w:rsidP="00FA447A">
      <w:pPr>
        <w:pStyle w:val="TableFigureFooter"/>
        <w:keepNext/>
        <w:keepLines/>
      </w:pPr>
      <w:r>
        <w:t>Source: the submission.</w:t>
      </w:r>
    </w:p>
    <w:p w14:paraId="1D529409" w14:textId="77777777" w:rsidR="00EF73C8" w:rsidRDefault="00EF73C8" w:rsidP="00FA447A">
      <w:pPr>
        <w:pStyle w:val="TableFigureFooter"/>
        <w:keepNext/>
        <w:keepLines/>
      </w:pPr>
      <w:r>
        <w:t>MBS = Medicare Benefits Schedule; PBS = Pharmaceutical Benefits Scheme; Q2W = every two weeks; Q3W every three weeks; RPBS = Repatriation Pharmaceutical Benefits Scheme.</w:t>
      </w:r>
    </w:p>
    <w:p w14:paraId="0405F098" w14:textId="77777777" w:rsidR="00F27046" w:rsidRDefault="00F27046" w:rsidP="00F27046">
      <w:pPr>
        <w:pStyle w:val="TableFigureFooter"/>
        <w:spacing w:after="0"/>
        <w:contextualSpacing w:val="0"/>
        <w:rPr>
          <w:i/>
        </w:rPr>
      </w:pPr>
      <w:r w:rsidRPr="009868C4">
        <w:rPr>
          <w:i/>
        </w:rPr>
        <w:t>The redacted values correspond to the following ranges</w:t>
      </w:r>
      <w:r>
        <w:rPr>
          <w:i/>
        </w:rPr>
        <w:t xml:space="preserve">: </w:t>
      </w:r>
    </w:p>
    <w:p w14:paraId="72EBAA18" w14:textId="77777777" w:rsidR="00F27046" w:rsidRPr="00870C5D" w:rsidRDefault="00F27046" w:rsidP="00F27046">
      <w:pPr>
        <w:pStyle w:val="TableFigureFooter"/>
        <w:spacing w:after="0"/>
        <w:contextualSpacing w:val="0"/>
      </w:pPr>
      <w:r>
        <w:rPr>
          <w:i/>
          <w:vertAlign w:val="superscript"/>
        </w:rPr>
        <w:t>1</w:t>
      </w:r>
      <w:r>
        <w:rPr>
          <w:i/>
        </w:rPr>
        <w:t xml:space="preserve"> </w:t>
      </w:r>
      <w:r w:rsidRPr="00F27046">
        <w:rPr>
          <w:i/>
        </w:rPr>
        <w:t>500 to &lt; 5,000</w:t>
      </w:r>
    </w:p>
    <w:p w14:paraId="55E9415F" w14:textId="77777777" w:rsidR="00F27046" w:rsidRPr="00870C5D" w:rsidRDefault="00F27046" w:rsidP="00F27046">
      <w:pPr>
        <w:pStyle w:val="TableFigureFooter"/>
        <w:spacing w:after="0"/>
        <w:contextualSpacing w:val="0"/>
      </w:pPr>
      <w:r>
        <w:rPr>
          <w:i/>
          <w:vertAlign w:val="superscript"/>
        </w:rPr>
        <w:t>2</w:t>
      </w:r>
      <w:r>
        <w:rPr>
          <w:i/>
        </w:rPr>
        <w:t xml:space="preserve"> </w:t>
      </w:r>
      <w:r w:rsidRPr="00F27046">
        <w:rPr>
          <w:i/>
        </w:rPr>
        <w:t>10,000 to &lt; 20,000</w:t>
      </w:r>
    </w:p>
    <w:p w14:paraId="707DADA7" w14:textId="77777777" w:rsidR="00F27046" w:rsidRPr="00870C5D" w:rsidRDefault="00F27046" w:rsidP="00F27046">
      <w:pPr>
        <w:pStyle w:val="TableFigureFooter"/>
        <w:spacing w:after="0"/>
        <w:contextualSpacing w:val="0"/>
      </w:pPr>
      <w:r>
        <w:rPr>
          <w:i/>
          <w:vertAlign w:val="superscript"/>
        </w:rPr>
        <w:t>3</w:t>
      </w:r>
      <w:r>
        <w:rPr>
          <w:i/>
        </w:rPr>
        <w:t xml:space="preserve"> </w:t>
      </w:r>
      <w:r w:rsidRPr="00F27046">
        <w:rPr>
          <w:i/>
        </w:rPr>
        <w:t>$30 million to &lt; $40 million</w:t>
      </w:r>
    </w:p>
    <w:p w14:paraId="207BDF33" w14:textId="77777777" w:rsidR="00F27046" w:rsidRPr="00870C5D" w:rsidRDefault="00F27046" w:rsidP="00F27046">
      <w:pPr>
        <w:pStyle w:val="TableFigureFooter"/>
        <w:spacing w:after="0"/>
        <w:contextualSpacing w:val="0"/>
      </w:pPr>
      <w:r>
        <w:rPr>
          <w:i/>
          <w:vertAlign w:val="superscript"/>
        </w:rPr>
        <w:t>4</w:t>
      </w:r>
      <w:r>
        <w:rPr>
          <w:i/>
        </w:rPr>
        <w:t xml:space="preserve"> </w:t>
      </w:r>
      <w:r w:rsidRPr="00F27046">
        <w:rPr>
          <w:i/>
        </w:rPr>
        <w:t>$0 to &lt; $10 million</w:t>
      </w:r>
    </w:p>
    <w:p w14:paraId="4B2E60FF" w14:textId="77777777" w:rsidR="00F27046" w:rsidRPr="00F27046" w:rsidRDefault="00F27046" w:rsidP="008632D9">
      <w:pPr>
        <w:pStyle w:val="TableFigureFooter"/>
        <w:contextualSpacing w:val="0"/>
        <w:rPr>
          <w:rStyle w:val="CommentReference"/>
          <w:b w:val="0"/>
          <w:sz w:val="18"/>
          <w:szCs w:val="22"/>
        </w:rPr>
      </w:pPr>
      <w:r>
        <w:rPr>
          <w:i/>
          <w:vertAlign w:val="superscript"/>
        </w:rPr>
        <w:t>5</w:t>
      </w:r>
      <w:r>
        <w:rPr>
          <w:i/>
        </w:rPr>
        <w:t xml:space="preserve"> </w:t>
      </w:r>
      <w:r w:rsidRPr="00F27046">
        <w:rPr>
          <w:i/>
        </w:rPr>
        <w:t>$40 million to &lt; $50 million</w:t>
      </w:r>
    </w:p>
    <w:p w14:paraId="4D4BFCB0" w14:textId="77777777" w:rsidR="00F74376" w:rsidRPr="00311DF9" w:rsidRDefault="000902D9" w:rsidP="00250B3A">
      <w:pPr>
        <w:pStyle w:val="3-BodyText"/>
        <w:ind w:left="709"/>
      </w:pPr>
      <w:r w:rsidRPr="00311DF9">
        <w:t xml:space="preserve">The total </w:t>
      </w:r>
      <w:r w:rsidR="004668FB" w:rsidRPr="00311DF9">
        <w:t xml:space="preserve">net </w:t>
      </w:r>
      <w:r w:rsidRPr="00311DF9">
        <w:t xml:space="preserve">cost to the PBS/RPBS of listing </w:t>
      </w:r>
      <w:r w:rsidR="000E03D6" w:rsidRPr="00311DF9">
        <w:t>nivolumab plus chemotherapy</w:t>
      </w:r>
      <w:r w:rsidRPr="00311DF9">
        <w:t xml:space="preserve"> was estimated </w:t>
      </w:r>
      <w:r w:rsidR="00A05C32" w:rsidRPr="00311DF9">
        <w:t>to be</w:t>
      </w:r>
      <w:r w:rsidRPr="00311DF9">
        <w:t xml:space="preserve"> </w:t>
      </w:r>
      <w:r w:rsidR="00250B3A" w:rsidRPr="00250B3A">
        <w:t>$30 million to &lt; $40 million</w:t>
      </w:r>
      <w:r w:rsidR="00250B3A">
        <w:t xml:space="preserve"> </w:t>
      </w:r>
      <w:r w:rsidR="000E03D6" w:rsidRPr="00311DF9">
        <w:t xml:space="preserve">in Year 1, increasing to </w:t>
      </w:r>
      <w:r w:rsidR="00250B3A" w:rsidRPr="00250B3A">
        <w:t>$30 million to &lt; $40 million</w:t>
      </w:r>
      <w:r w:rsidR="000E03D6" w:rsidRPr="00311DF9">
        <w:t xml:space="preserve"> </w:t>
      </w:r>
      <w:r w:rsidRPr="00311DF9">
        <w:t>in Year 6, and a total of</w:t>
      </w:r>
      <w:r w:rsidR="000E03D6" w:rsidRPr="00311DF9">
        <w:t xml:space="preserve"> </w:t>
      </w:r>
      <w:r w:rsidR="00250B3A" w:rsidRPr="00250B3A">
        <w:t>$200 million to &lt; $300 million</w:t>
      </w:r>
      <w:r w:rsidR="00250B3A">
        <w:t xml:space="preserve"> </w:t>
      </w:r>
      <w:r w:rsidRPr="00311DF9">
        <w:t>in the first 6 years of listing</w:t>
      </w:r>
      <w:r w:rsidRPr="00311DF9">
        <w:rPr>
          <w:color w:val="3366FF"/>
        </w:rPr>
        <w:t>.</w:t>
      </w:r>
    </w:p>
    <w:p w14:paraId="7729D4E9" w14:textId="77777777" w:rsidR="003A555F" w:rsidRDefault="003A555F" w:rsidP="003A555F">
      <w:pPr>
        <w:pStyle w:val="3-BodyText"/>
        <w:ind w:left="709"/>
      </w:pPr>
      <w:r w:rsidRPr="003A555F">
        <w:t>The financial estimates were sensitive to estimates of the proportion of GC, GOJC and OAC patients diagnosed with advanced or metastatic disease. The submission’s assumption of 75% may be underestimated based on the literature (80-90%: Price 2012, Wagner 2017; 84%: Nguyen 2019). Overall,</w:t>
      </w:r>
      <w:r>
        <w:t xml:space="preserve"> the evaluation considered</w:t>
      </w:r>
      <w:r w:rsidRPr="003A555F">
        <w:t xml:space="preserve"> it was difficult to provide an accurate estimate of the proportion of patients who would be diagnosed with advanced or metastatic GC, GOJC or OAC</w:t>
      </w:r>
      <w:r w:rsidRPr="00937ABF">
        <w:rPr>
          <w:i/>
        </w:rPr>
        <w:t xml:space="preserve">. </w:t>
      </w:r>
      <w:r w:rsidRPr="00D9037C">
        <w:t xml:space="preserve">The PSCR stated the base case financial estimates provided a balanced and appropriate approach to estimating the proportion of GC, GOJC and OAC patients diagnosed with advanced or metastatic disease. </w:t>
      </w:r>
      <w:r w:rsidR="00937ABF" w:rsidRPr="00D9037C">
        <w:t xml:space="preserve">The PSCR </w:t>
      </w:r>
      <w:r w:rsidRPr="00D9037C">
        <w:t>noted</w:t>
      </w:r>
      <w:r w:rsidR="00937ABF" w:rsidRPr="00D9037C">
        <w:t xml:space="preserve"> that some </w:t>
      </w:r>
      <w:r w:rsidRPr="00D9037C">
        <w:t xml:space="preserve">literature sources </w:t>
      </w:r>
      <w:r w:rsidR="00937ABF" w:rsidRPr="00D9037C">
        <w:t xml:space="preserve">report a </w:t>
      </w:r>
      <w:r w:rsidRPr="00D9037C">
        <w:t xml:space="preserve">lower proportion based on international data, between 59.3%-71.1% depending on cancer type (SEER, 2021b, 2021a). </w:t>
      </w:r>
    </w:p>
    <w:p w14:paraId="1AD9DAD8" w14:textId="77777777" w:rsidR="00D5799E" w:rsidRDefault="00D5799E" w:rsidP="00250B3A">
      <w:pPr>
        <w:pStyle w:val="3-BodyText"/>
        <w:ind w:left="709"/>
      </w:pPr>
      <w:r>
        <w:t xml:space="preserve">The pre-PBAC </w:t>
      </w:r>
      <w:r w:rsidR="00D329FE">
        <w:t xml:space="preserve">response </w:t>
      </w:r>
      <w:r>
        <w:t xml:space="preserve">included the cost of an additional </w:t>
      </w:r>
      <w:r w:rsidR="00250B3A">
        <w:t xml:space="preserve">&lt; 500 </w:t>
      </w:r>
      <w:r>
        <w:t xml:space="preserve">patients currently receiving nivolumab via compassionate access that will be grandfathered to PBS </w:t>
      </w:r>
      <w:bookmarkStart w:id="55" w:name="_GoBack"/>
      <w:bookmarkEnd w:id="55"/>
      <w:r>
        <w:t xml:space="preserve">subsidised treatment. </w:t>
      </w:r>
      <w:r w:rsidRPr="00D5799E">
        <w:t xml:space="preserve">Incorporating these patients into </w:t>
      </w:r>
      <w:r>
        <w:t>the financial analysis (</w:t>
      </w:r>
      <w:r w:rsidR="004F01EB">
        <w:t>with</w:t>
      </w:r>
      <w:r>
        <w:t xml:space="preserve"> reduced </w:t>
      </w:r>
      <w:r w:rsidR="004F01EB">
        <w:t>utilisation</w:t>
      </w:r>
      <w:r>
        <w:t xml:space="preserve"> to account for treatment already received) increased</w:t>
      </w:r>
      <w:r w:rsidRPr="00D5799E">
        <w:t xml:space="preserve"> the net cost to the PBS/RPBS based on the proposed effective price by </w:t>
      </w:r>
      <w:r w:rsidR="00250B3A" w:rsidRPr="00250B3A">
        <w:t>$0 to &lt; $10 million</w:t>
      </w:r>
      <w:r w:rsidRPr="00D5799E">
        <w:t xml:space="preserve">, to a total cost of </w:t>
      </w:r>
      <w:r w:rsidR="00250B3A" w:rsidRPr="00250B3A">
        <w:t>$40 million to &lt; $50 million</w:t>
      </w:r>
      <w:r w:rsidR="00250B3A">
        <w:t xml:space="preserve"> </w:t>
      </w:r>
      <w:r w:rsidRPr="00D5799E">
        <w:t>in Year 1</w:t>
      </w:r>
      <w:r>
        <w:t>.</w:t>
      </w:r>
    </w:p>
    <w:p w14:paraId="32AD4F09" w14:textId="77777777" w:rsidR="000F1799" w:rsidRDefault="000F1799" w:rsidP="00146AA0">
      <w:pPr>
        <w:pStyle w:val="3-BodyText"/>
        <w:ind w:left="709" w:hanging="709"/>
      </w:pPr>
      <w:r>
        <w:rPr>
          <w:iCs/>
        </w:rPr>
        <w:t>The PBAC noted there would be an impact on utilisation and financial estimates should pembrolizumab be recommended for PBS listing in a similar population.</w:t>
      </w:r>
    </w:p>
    <w:p w14:paraId="3DBDD972" w14:textId="77777777" w:rsidR="00576972" w:rsidRPr="00C9624D" w:rsidRDefault="00576972" w:rsidP="00606FBA">
      <w:pPr>
        <w:pStyle w:val="4-SubsectionHeading"/>
      </w:pPr>
      <w:bookmarkStart w:id="56" w:name="_Toc22897648"/>
      <w:bookmarkStart w:id="57" w:name="_Toc69567429"/>
      <w:bookmarkStart w:id="58" w:name="_Toc72308990"/>
      <w:r w:rsidRPr="00C9624D">
        <w:t>Quality Use of Medicines</w:t>
      </w:r>
      <w:bookmarkEnd w:id="56"/>
      <w:bookmarkEnd w:id="57"/>
      <w:bookmarkEnd w:id="58"/>
    </w:p>
    <w:p w14:paraId="374BC7B3" w14:textId="77777777" w:rsidR="000E03D6" w:rsidRPr="001A558C" w:rsidRDefault="000E03D6" w:rsidP="00F74376">
      <w:pPr>
        <w:pStyle w:val="3-BodyText"/>
        <w:ind w:left="720"/>
      </w:pPr>
      <w:r>
        <w:t xml:space="preserve">The submission stated that </w:t>
      </w:r>
      <w:r w:rsidR="004668FB">
        <w:t xml:space="preserve">the Sponsor </w:t>
      </w:r>
      <w:r>
        <w:t xml:space="preserve">is committed to </w:t>
      </w:r>
      <w:r w:rsidRPr="001A558C">
        <w:t xml:space="preserve">supporting the safe and effective use of nivolumab in Australia. Given the adverse effect profile of immuno-oncology agents, the Sponsor has established an extensive quality use of medicines (QUM) approach to optimise the potential benefits of treatment with nivolumab, while minimising the potential risks of this medicine for Australian patients. </w:t>
      </w:r>
    </w:p>
    <w:p w14:paraId="7138FD55" w14:textId="77777777" w:rsidR="000E03D6" w:rsidRPr="001A558C" w:rsidRDefault="000E03D6" w:rsidP="000E03D6">
      <w:pPr>
        <w:pStyle w:val="3-BodyText"/>
        <w:ind w:left="720"/>
      </w:pPr>
      <w:r>
        <w:t xml:space="preserve">The submission’s approach includes physician </w:t>
      </w:r>
      <w:r w:rsidRPr="001A558C">
        <w:t>education, immune-oncology preceptorship, peer to peer support, nursing and pharmacy in-services, a risk management plan, educational materials and tools, and guidance on monitoring and treating immune related adverse reactions.</w:t>
      </w:r>
    </w:p>
    <w:p w14:paraId="325BA7E1" w14:textId="77777777" w:rsidR="00576972" w:rsidRPr="001A558C" w:rsidRDefault="00576972" w:rsidP="00606FBA">
      <w:pPr>
        <w:pStyle w:val="4-SubsectionHeading"/>
      </w:pPr>
      <w:bookmarkStart w:id="59" w:name="_Toc22897649"/>
      <w:bookmarkStart w:id="60" w:name="_Toc69567430"/>
      <w:bookmarkStart w:id="61" w:name="_Toc72308991"/>
      <w:r w:rsidRPr="001A558C">
        <w:t>Financial Management – Risk Sharing Arrangements</w:t>
      </w:r>
      <w:bookmarkEnd w:id="59"/>
      <w:bookmarkEnd w:id="60"/>
      <w:bookmarkEnd w:id="61"/>
    </w:p>
    <w:p w14:paraId="01444247" w14:textId="77777777" w:rsidR="00576972" w:rsidRPr="001A558C" w:rsidRDefault="000E03D6" w:rsidP="00F74376">
      <w:pPr>
        <w:pStyle w:val="ListParagraph"/>
        <w:numPr>
          <w:ilvl w:val="1"/>
          <w:numId w:val="1"/>
        </w:numPr>
        <w:ind w:left="720"/>
      </w:pPr>
      <w:r w:rsidRPr="001A558C">
        <w:t xml:space="preserve">The submission stated that the Sponsor </w:t>
      </w:r>
      <w:r w:rsidR="00F74376" w:rsidRPr="001A558C">
        <w:t>was</w:t>
      </w:r>
      <w:r w:rsidRPr="001A558C">
        <w:t xml:space="preserve"> willing to enter a risk-sharing arrangement related to expenditure in this disease state, including the potential for subsidisation caps. Such an arrangement may provide additional certainty to government regarding the potential for leakage into other patient groups.</w:t>
      </w:r>
    </w:p>
    <w:p w14:paraId="32AF419C" w14:textId="77777777" w:rsidR="00507BEC" w:rsidRDefault="00D9037C" w:rsidP="00D9037C">
      <w:pPr>
        <w:ind w:left="720"/>
      </w:pPr>
      <w:r w:rsidRPr="00D9037C">
        <w:rPr>
          <w:i/>
        </w:rPr>
        <w:t>For more detail on PBAC’s view, see section 7 PBAC outcome</w:t>
      </w:r>
      <w:r w:rsidRPr="00D9037C">
        <w:t>.</w:t>
      </w:r>
    </w:p>
    <w:p w14:paraId="0874D0C6" w14:textId="77777777" w:rsidR="00D9037C" w:rsidRDefault="00D9037C" w:rsidP="00D9037C">
      <w:pPr>
        <w:pStyle w:val="2-SectionHeading"/>
      </w:pPr>
      <w:r>
        <w:t>PBAC Outcome</w:t>
      </w:r>
    </w:p>
    <w:p w14:paraId="0479E568" w14:textId="77777777" w:rsidR="00D9037C" w:rsidRDefault="000F1799" w:rsidP="00F0294E">
      <w:pPr>
        <w:pStyle w:val="3-BodyText"/>
        <w:ind w:left="709"/>
      </w:pPr>
      <w:r w:rsidRPr="000F1799">
        <w:t>The PBAC did not recommend the listing of</w:t>
      </w:r>
      <w:r w:rsidR="00F0294E">
        <w:t xml:space="preserve"> nivolumab</w:t>
      </w:r>
      <w:r w:rsidRPr="000F1799">
        <w:t xml:space="preserve"> in combination with chemotherapy for the treatment of </w:t>
      </w:r>
      <w:r w:rsidR="00F0294E" w:rsidRPr="00F0294E">
        <w:t xml:space="preserve">treatment of </w:t>
      </w:r>
      <w:r w:rsidR="00F0294E" w:rsidRPr="000F1799">
        <w:t xml:space="preserve">advanced or metastatic </w:t>
      </w:r>
      <w:r w:rsidR="00F0294E" w:rsidRPr="00F0294E">
        <w:t>non- human epidermal growth factor receptor 2 (HER-2) positive advanced or metastatic gastric cancer (GC), gastro-oesophageal junction cancer, (GOJC) or oesophageal adenocarcinoma (OAC).</w:t>
      </w:r>
      <w:r w:rsidR="00F0294E" w:rsidRPr="000F1799">
        <w:t xml:space="preserve"> </w:t>
      </w:r>
      <w:r w:rsidRPr="000F1799">
        <w:t>The PBAC noted that the clinical need for effective treatments in this therapeutic area is high, given the poor prognosis for patients and the poor efficacy and high toxicity of current treatments. The PBAC considered the evidence presented demonstrated treatment with</w:t>
      </w:r>
      <w:r w:rsidR="00F0294E">
        <w:t xml:space="preserve"> nivolum</w:t>
      </w:r>
      <w:r w:rsidR="00DD746C">
        <w:t>a</w:t>
      </w:r>
      <w:r w:rsidR="00F0294E">
        <w:t>b</w:t>
      </w:r>
      <w:r w:rsidRPr="000F1799">
        <w:t xml:space="preserve"> resulted in a clinically meaningful improvement in progression free survival (PFS) and overall survival (OS). However, the PBAC considered the incremental cost-effectiveness ratio (ICER) in this setting at the proposed price was high and moderately uncertain.</w:t>
      </w:r>
    </w:p>
    <w:p w14:paraId="53627BB8" w14:textId="77777777" w:rsidR="00F0294E" w:rsidRDefault="00F0294E" w:rsidP="00F0294E">
      <w:pPr>
        <w:pStyle w:val="3-BodyText"/>
        <w:ind w:left="709"/>
      </w:pPr>
      <w:r>
        <w:t xml:space="preserve">The PBAC noted the consumer input supported the high clinical need for additional effective treatment options for this population.  </w:t>
      </w:r>
    </w:p>
    <w:p w14:paraId="04311521" w14:textId="77777777" w:rsidR="00F0294E" w:rsidRDefault="00F0294E" w:rsidP="00F0294E">
      <w:pPr>
        <w:pStyle w:val="3-BodyText"/>
        <w:ind w:left="709"/>
      </w:pPr>
      <w:r>
        <w:t xml:space="preserve">The submission nominated chemotherapy alone, represented </w:t>
      </w:r>
      <w:r w:rsidR="00615288">
        <w:t xml:space="preserve">by </w:t>
      </w:r>
      <w:r>
        <w:t xml:space="preserve">cisplatin + 5-FU- based regimens, as the comparator. The PBAC noted pembrolizumab plus chemotherapy was considered at the same PBAC meeting and considered it </w:t>
      </w:r>
      <w:r w:rsidR="00146AA0">
        <w:t>was</w:t>
      </w:r>
      <w:r>
        <w:t xml:space="preserve"> a near-market comparator given the overlap in patient populations.</w:t>
      </w:r>
    </w:p>
    <w:p w14:paraId="6A045586" w14:textId="77777777" w:rsidR="00F0294E" w:rsidRDefault="00F0294E" w:rsidP="00F0294E">
      <w:pPr>
        <w:pStyle w:val="3-BodyText"/>
        <w:ind w:left="709"/>
      </w:pPr>
      <w:r w:rsidRPr="00F0294E">
        <w:t>The PBAC was satisfied that</w:t>
      </w:r>
      <w:r>
        <w:t xml:space="preserve"> nivolumab</w:t>
      </w:r>
      <w:r w:rsidRPr="00F0294E">
        <w:t xml:space="preserve"> provided, for some patients, a significant improvement in efficacy over the nominated comparator</w:t>
      </w:r>
      <w:r>
        <w:t>.</w:t>
      </w:r>
      <w:r w:rsidRPr="00F0294E">
        <w:t xml:space="preserve">  </w:t>
      </w:r>
    </w:p>
    <w:p w14:paraId="4351DAE8" w14:textId="77777777" w:rsidR="002A7FD3" w:rsidRPr="002A7FD3" w:rsidRDefault="002A7FD3" w:rsidP="002A7FD3">
      <w:pPr>
        <w:pStyle w:val="3-BodyText"/>
        <w:ind w:left="709"/>
      </w:pPr>
      <w:bookmarkStart w:id="62" w:name="_Ref89965676"/>
      <w:r w:rsidRPr="002A7FD3">
        <w:t>The PBAC noted that the TGA</w:t>
      </w:r>
      <w:r w:rsidR="00C01726">
        <w:t xml:space="preserve"> indication</w:t>
      </w:r>
      <w:r w:rsidRPr="002A7FD3">
        <w:t xml:space="preserve"> and trial population for </w:t>
      </w:r>
      <w:r>
        <w:t xml:space="preserve">nivolumab </w:t>
      </w:r>
      <w:r w:rsidRPr="002A7FD3">
        <w:t>reflected a subset of the full patient population likely to be considered clinically appropriate for checkpoint inhibitor treatment. The PBAC indicated its preference for an aligned, simpler restriction for checkpoint inhibitors that reflected likely clinical practice across gastric</w:t>
      </w:r>
      <w:r w:rsidR="00F74B89">
        <w:t>, GOJ</w:t>
      </w:r>
      <w:r w:rsidRPr="002A7FD3">
        <w:t xml:space="preserve"> and oesophageal cancers, while noting the different TGA indications.</w:t>
      </w:r>
      <w:bookmarkEnd w:id="62"/>
      <w:r w:rsidRPr="002A7FD3">
        <w:t xml:space="preserve">  </w:t>
      </w:r>
    </w:p>
    <w:p w14:paraId="3647DF55" w14:textId="77777777" w:rsidR="004E5652" w:rsidRPr="004E5652" w:rsidRDefault="004E5652" w:rsidP="00EB2C29">
      <w:pPr>
        <w:pStyle w:val="3-BodyText"/>
        <w:ind w:left="709"/>
      </w:pPr>
      <w:r w:rsidRPr="00534D50">
        <w:t>The submission was based on one head-to-head randomised, phase 3, double-blind multi-centre trial (</w:t>
      </w:r>
      <w:proofErr w:type="spellStart"/>
      <w:r w:rsidR="008772B6" w:rsidRPr="00534D50">
        <w:t>CheckMate</w:t>
      </w:r>
      <w:proofErr w:type="spellEnd"/>
      <w:r w:rsidR="008772B6" w:rsidRPr="00534D50">
        <w:t xml:space="preserve"> 649</w:t>
      </w:r>
      <w:r w:rsidRPr="00534D50">
        <w:t>; N=</w:t>
      </w:r>
      <w:r w:rsidR="008772B6" w:rsidRPr="00534D50">
        <w:t>1,581</w:t>
      </w:r>
      <w:r w:rsidR="00534D50">
        <w:t xml:space="preserve"> in relevant treatment arms</w:t>
      </w:r>
      <w:r w:rsidRPr="00534D50">
        <w:t>) comparing</w:t>
      </w:r>
      <w:r w:rsidR="00127E84" w:rsidRPr="00534D50">
        <w:t xml:space="preserve"> nivolumab</w:t>
      </w:r>
      <w:r w:rsidR="00534D50">
        <w:t xml:space="preserve"> plus chemotherapy compared to chemotherapy alone</w:t>
      </w:r>
      <w:r w:rsidRPr="00534D50">
        <w:t>, in patients with advanced or metastatic</w:t>
      </w:r>
      <w:r w:rsidR="00534D50">
        <w:t xml:space="preserve"> GC, GOJC or OAC</w:t>
      </w:r>
      <w:r w:rsidRPr="00534D50">
        <w:t>. The PBAC noted that there was a statistically significant OS benefit associated with</w:t>
      </w:r>
      <w:r w:rsidR="00127E84" w:rsidRPr="00534D50">
        <w:t xml:space="preserve"> nivolumab</w:t>
      </w:r>
      <w:r w:rsidR="00534D50">
        <w:t xml:space="preserve"> (HR=0.80, 95% CI: 0.68, 0.94</w:t>
      </w:r>
      <w:r w:rsidRPr="00534D50">
        <w:t>) with the me</w:t>
      </w:r>
      <w:r w:rsidR="00534D50">
        <w:t>dian survival improving from 11.6 to 13.8</w:t>
      </w:r>
      <w:r w:rsidRPr="00534D50">
        <w:t xml:space="preserve"> months and</w:t>
      </w:r>
      <w:r w:rsidR="00534D50">
        <w:t xml:space="preserve"> an improvement in PFS (6.9 months to 7.7</w:t>
      </w:r>
      <w:r w:rsidRPr="004E5652">
        <w:t xml:space="preserve"> months,</w:t>
      </w:r>
      <w:r w:rsidR="00534D50">
        <w:t xml:space="preserve"> HR=0.77, 95% CI: 0.68, 0.87</w:t>
      </w:r>
      <w:r w:rsidRPr="004E5652">
        <w:t>).</w:t>
      </w:r>
      <w:r w:rsidR="0046248D">
        <w:t xml:space="preserve"> </w:t>
      </w:r>
      <w:r w:rsidRPr="004E5652">
        <w:t>The PBAC considered that the extent of OS benefit was clinically</w:t>
      </w:r>
      <w:r w:rsidR="00534D50">
        <w:t xml:space="preserve"> meaningful</w:t>
      </w:r>
      <w:r w:rsidRPr="004E5652">
        <w:t xml:space="preserve"> in the context of the poor prognosis of this patient population. The PBAC noted the OS benefit in patients treated with</w:t>
      </w:r>
      <w:r w:rsidR="00534D50">
        <w:t xml:space="preserve"> nivolumab plus chemotherapy</w:t>
      </w:r>
      <w:r w:rsidRPr="004E5652">
        <w:t xml:space="preserve"> compared to chemotherapy alone was supported by a </w:t>
      </w:r>
      <w:r w:rsidRPr="00336A5A">
        <w:t xml:space="preserve">higher ORR, longer duration of response and maintenance of </w:t>
      </w:r>
      <w:proofErr w:type="spellStart"/>
      <w:r w:rsidRPr="00336A5A">
        <w:t>QoL</w:t>
      </w:r>
      <w:proofErr w:type="spellEnd"/>
      <w:r w:rsidRPr="00336A5A">
        <w:t>.</w:t>
      </w:r>
      <w:r w:rsidR="00EB2C29" w:rsidRPr="00EB2C29">
        <w:t xml:space="preserve"> The PBAC noted additional data with longer follow up provided in the PSCR provided</w:t>
      </w:r>
      <w:r w:rsidR="00EB2C29">
        <w:t xml:space="preserve"> </w:t>
      </w:r>
      <w:r w:rsidR="00336A5A">
        <w:t>further support for the clinical benefit of nivolumab</w:t>
      </w:r>
      <w:r w:rsidR="00EB2C29" w:rsidRPr="00EB2C29">
        <w:t xml:space="preserve">.  </w:t>
      </w:r>
      <w:r w:rsidR="00EB2C29">
        <w:t xml:space="preserve"> </w:t>
      </w:r>
      <w:r w:rsidRPr="004E5652">
        <w:t xml:space="preserve">  </w:t>
      </w:r>
    </w:p>
    <w:p w14:paraId="7E4F8CAD" w14:textId="77777777" w:rsidR="004E5652" w:rsidRDefault="004E5652" w:rsidP="004E5652">
      <w:pPr>
        <w:pStyle w:val="3-BodyText"/>
        <w:ind w:left="709"/>
      </w:pPr>
      <w:r>
        <w:t xml:space="preserve">While the PBAC acknowledged the clinically </w:t>
      </w:r>
      <w:r w:rsidR="004F01EB">
        <w:t xml:space="preserve">meaningful </w:t>
      </w:r>
      <w:r>
        <w:t>improvement in PFS and OS with</w:t>
      </w:r>
      <w:r w:rsidR="0046248D">
        <w:t xml:space="preserve"> nivolumab</w:t>
      </w:r>
      <w:r>
        <w:t xml:space="preserve"> in the </w:t>
      </w:r>
      <w:proofErr w:type="spellStart"/>
      <w:r w:rsidR="0046248D">
        <w:t>CheckMate</w:t>
      </w:r>
      <w:proofErr w:type="spellEnd"/>
      <w:r w:rsidR="0046248D">
        <w:t xml:space="preserve"> 649 </w:t>
      </w:r>
      <w:r>
        <w:t xml:space="preserve">trial, it considered the magnitude of the benefit in the Australian population to be uncertain. It noted the benefit of </w:t>
      </w:r>
      <w:r w:rsidR="004F01EB">
        <w:t xml:space="preserve">nivolumab </w:t>
      </w:r>
      <w:r>
        <w:t>is les</w:t>
      </w:r>
      <w:r w:rsidR="0046248D">
        <w:t>s in patients with PD-L1 CPS &lt;5</w:t>
      </w:r>
      <w:r>
        <w:t xml:space="preserve"> and the pr</w:t>
      </w:r>
      <w:r w:rsidR="0046248D">
        <w:t>oportion of patients with CPS&lt;5</w:t>
      </w:r>
      <w:r>
        <w:t xml:space="preserve"> in the Australian population was unknown.</w:t>
      </w:r>
      <w:r w:rsidR="00336A5A">
        <w:t xml:space="preserve"> </w:t>
      </w:r>
    </w:p>
    <w:p w14:paraId="4CD4D005" w14:textId="77777777" w:rsidR="004E5652" w:rsidRDefault="004E5652" w:rsidP="004E5652">
      <w:pPr>
        <w:pStyle w:val="3-BodyText"/>
        <w:ind w:left="709"/>
      </w:pPr>
      <w:r>
        <w:t>The PBAC noted that</w:t>
      </w:r>
      <w:r w:rsidR="0046248D">
        <w:t xml:space="preserve"> nivolumab</w:t>
      </w:r>
      <w:r>
        <w:t xml:space="preserve"> in combination with chemotherapy ha</w:t>
      </w:r>
      <w:r w:rsidR="00615288">
        <w:t xml:space="preserve">d a higher incidence of </w:t>
      </w:r>
      <w:r>
        <w:t>AEs than chemotherapy alone, indicating that the safety profile is inferior to that of chemotherapy. The PBAC considered that the claim of inferior safety was reasonable, and that the additional toxicity was manageable</w:t>
      </w:r>
      <w:r w:rsidR="00615288">
        <w:t xml:space="preserve"> which was further supported by the maintenance of </w:t>
      </w:r>
      <w:proofErr w:type="spellStart"/>
      <w:r w:rsidR="00615288">
        <w:t>QoL</w:t>
      </w:r>
      <w:proofErr w:type="spellEnd"/>
      <w:r>
        <w:t>.</w:t>
      </w:r>
    </w:p>
    <w:p w14:paraId="1B3D1D5F" w14:textId="77777777" w:rsidR="004E5652" w:rsidRDefault="004E5652" w:rsidP="00250B3A">
      <w:pPr>
        <w:pStyle w:val="3-BodyText"/>
        <w:ind w:left="709"/>
      </w:pPr>
      <w:r>
        <w:t>The PBAC noted the base case ICER pre</w:t>
      </w:r>
      <w:r w:rsidR="00615288">
        <w:t xml:space="preserve">sented in the submission was </w:t>
      </w:r>
      <w:r w:rsidR="00250B3A" w:rsidRPr="00250B3A">
        <w:t xml:space="preserve">$55,000 to &lt; $75,000 </w:t>
      </w:r>
      <w:r>
        <w:t xml:space="preserve">per QALY gained. The PBAC considered this ICER to be high and moderately uncertain, with the economic model sensitive to time horizon, method of extrapolation and the inclusion of terminal care costs. </w:t>
      </w:r>
    </w:p>
    <w:p w14:paraId="129C78EA" w14:textId="77777777" w:rsidR="004E5652" w:rsidRDefault="004E5652" w:rsidP="004E5652">
      <w:pPr>
        <w:pStyle w:val="3-BodyText"/>
        <w:ind w:left="709"/>
      </w:pPr>
      <w:r>
        <w:t xml:space="preserve">The time horizon in the base case economic model in the submission was 7.5 years. The PBAC considered a 7.5 year time horizon was optimistic and a 5 year time horizon would be preferable given the </w:t>
      </w:r>
      <w:r w:rsidR="004F01EB">
        <w:t xml:space="preserve">available data </w:t>
      </w:r>
      <w:r>
        <w:t xml:space="preserve">and the poor prognosis of the patient population. However, the PBAC noted it had previously recommended a 5 year time horizon in the second-line treatment setting for a similar patient population and considered a 7.5 year time horizon may be reasonable, given the earlier treatment setting, if other model assumptions were conservative. </w:t>
      </w:r>
    </w:p>
    <w:p w14:paraId="17D773B7" w14:textId="09257D1B" w:rsidR="004E5652" w:rsidRDefault="004E5652" w:rsidP="004E5652">
      <w:pPr>
        <w:pStyle w:val="3-BodyText"/>
        <w:ind w:left="709"/>
      </w:pPr>
      <w:r>
        <w:t>The economic model in the submission</w:t>
      </w:r>
      <w:r w:rsidR="00A75984">
        <w:t xml:space="preserve"> extrapolated OS </w:t>
      </w:r>
      <w:r w:rsidR="009E3449">
        <w:t xml:space="preserve">and PFS </w:t>
      </w:r>
      <w:r>
        <w:t xml:space="preserve">using KM data up to </w:t>
      </w:r>
      <w:r w:rsidR="00D807D3">
        <w:t>57 weeks for nivolumab</w:t>
      </w:r>
      <w:r w:rsidR="00A75984">
        <w:t xml:space="preserve"> and 48</w:t>
      </w:r>
      <w:r w:rsidR="00D807D3">
        <w:t xml:space="preserve"> weeks for chemotherapy alone </w:t>
      </w:r>
      <w:r>
        <w:t>and then a log-logistic fun</w:t>
      </w:r>
      <w:r w:rsidR="00A75984">
        <w:t xml:space="preserve">ction for </w:t>
      </w:r>
      <w:r w:rsidR="00613D8E">
        <w:t xml:space="preserve">nivolumab </w:t>
      </w:r>
      <w:r w:rsidR="00A75984">
        <w:t>and Weibull</w:t>
      </w:r>
      <w:r>
        <w:t xml:space="preserve"> </w:t>
      </w:r>
      <w:r w:rsidR="009E3449">
        <w:t xml:space="preserve">function </w:t>
      </w:r>
      <w:r>
        <w:t>for chemotherapy alone</w:t>
      </w:r>
      <w:r w:rsidR="009E3449">
        <w:t xml:space="preserve">. The PBAC considered the use of a Weibull function for the chemotherapy alone arm underestimated the benefit of chemotherapy and overestimated the </w:t>
      </w:r>
      <w:r w:rsidR="00245783">
        <w:t xml:space="preserve">incremental </w:t>
      </w:r>
      <w:r w:rsidR="009E3449">
        <w:t xml:space="preserve">survival gain for nivolumab. The PBAC noted the best fit according to AIC and BIC for OS and PFS for the chemotherapy alone arm was log-logistic function but </w:t>
      </w:r>
      <w:r w:rsidR="00104E45">
        <w:t xml:space="preserve">agreed with the pre-PBAC response that this may not be reasonable and that </w:t>
      </w:r>
      <w:r w:rsidR="009E3449">
        <w:t>a number of alternative extrapolation</w:t>
      </w:r>
      <w:r w:rsidR="00477C05">
        <w:t>s</w:t>
      </w:r>
      <w:r w:rsidR="009E3449">
        <w:t xml:space="preserve"> were also clinically plausible. </w:t>
      </w:r>
    </w:p>
    <w:p w14:paraId="3F7EEAA1" w14:textId="7E3D25CF" w:rsidR="004E5652" w:rsidRDefault="004E5652" w:rsidP="004E5652">
      <w:pPr>
        <w:pStyle w:val="3-BodyText"/>
        <w:ind w:left="709"/>
      </w:pPr>
      <w:r>
        <w:t>The economic model in the submission applied a terminal care cost of $</w:t>
      </w:r>
      <w:r w:rsidR="00104E45">
        <w:t>38,058</w:t>
      </w:r>
      <w:r>
        <w:t xml:space="preserve"> to the death health state. The PBAC noted the ESC consideration of the inclusion of terminal care costs (</w:t>
      </w:r>
      <w:r w:rsidRPr="00C01726">
        <w:t xml:space="preserve">paragraph </w:t>
      </w:r>
      <w:r w:rsidR="00C01726" w:rsidRPr="00C01726">
        <w:t>6.4</w:t>
      </w:r>
      <w:r w:rsidR="004054B4">
        <w:t>6</w:t>
      </w:r>
      <w:r w:rsidRPr="00C01726">
        <w:t>)</w:t>
      </w:r>
      <w:r>
        <w:t xml:space="preserve"> and agreed with the ESC that terminal care costs should be excluded from the economic model.</w:t>
      </w:r>
    </w:p>
    <w:p w14:paraId="02FBF058" w14:textId="77777777" w:rsidR="004E5652" w:rsidRDefault="004E5652" w:rsidP="002A7FD3">
      <w:pPr>
        <w:pStyle w:val="3-BodyText"/>
        <w:ind w:left="709" w:hanging="709"/>
      </w:pPr>
      <w:bookmarkStart w:id="63" w:name="_Ref89965932"/>
      <w:r>
        <w:t xml:space="preserve">The PBAC </w:t>
      </w:r>
      <w:r w:rsidR="00104E45">
        <w:t xml:space="preserve">considered the estimated patient numbers provided with the submission (with the addition of the </w:t>
      </w:r>
      <w:r w:rsidR="00841CB5">
        <w:t xml:space="preserve">&lt; 500 </w:t>
      </w:r>
      <w:r w:rsidR="00104E45">
        <w:t xml:space="preserve">patients on compassionate access in the pre-PBAC response) were reasonable but noted there </w:t>
      </w:r>
      <w:r w:rsidR="00104E45" w:rsidRPr="00104E45">
        <w:t>would be an impact on</w:t>
      </w:r>
      <w:r w:rsidR="00192997">
        <w:t xml:space="preserve"> nivolumab</w:t>
      </w:r>
      <w:r w:rsidR="00104E45" w:rsidRPr="00104E45">
        <w:t xml:space="preserve"> utilisation should pembrolizumab be recommended for PBS </w:t>
      </w:r>
      <w:r w:rsidR="00104E45">
        <w:t>listing in a similar population</w:t>
      </w:r>
      <w:r>
        <w:t xml:space="preserve">. </w:t>
      </w:r>
      <w:r w:rsidR="002A7FD3" w:rsidRPr="002A7FD3">
        <w:t>The PBAC considered this could be further addressed in a resubmission, noting the PBAC preference for an aligned restriction across all gastric</w:t>
      </w:r>
      <w:r w:rsidR="00F74B89">
        <w:t>, GOJ</w:t>
      </w:r>
      <w:r w:rsidR="002A7FD3" w:rsidRPr="002A7FD3">
        <w:t xml:space="preserve"> and oesophageal cancers (see paragraph </w:t>
      </w:r>
      <w:r w:rsidR="00C01726">
        <w:t>7.5</w:t>
      </w:r>
      <w:r w:rsidR="002A7FD3">
        <w:t xml:space="preserve">) </w:t>
      </w:r>
      <w:r w:rsidR="002A7FD3" w:rsidRPr="002A7FD3">
        <w:t xml:space="preserve">and the likely overlap in patient populations for checkpoint inhibitors (see paragraph </w:t>
      </w:r>
      <w:r w:rsidR="00C01726">
        <w:t>5.3</w:t>
      </w:r>
      <w:r w:rsidR="002A7FD3" w:rsidRPr="002A7FD3">
        <w:t>).</w:t>
      </w:r>
      <w:bookmarkEnd w:id="63"/>
      <w:r w:rsidR="002A7FD3" w:rsidRPr="002A7FD3">
        <w:t xml:space="preserve">     </w:t>
      </w:r>
    </w:p>
    <w:p w14:paraId="164008E2" w14:textId="77777777" w:rsidR="004E5652" w:rsidRDefault="004E5652" w:rsidP="004E5652">
      <w:pPr>
        <w:pStyle w:val="3-BodyText"/>
        <w:ind w:left="709"/>
      </w:pPr>
      <w:r>
        <w:t xml:space="preserve">The PBAC noted that the Sponsor is willing to enter into an RSA with the Commonwealth on sharing the costs in order to manage any risk to the overall cost to the PBS. </w:t>
      </w:r>
    </w:p>
    <w:p w14:paraId="31A18053" w14:textId="77777777" w:rsidR="004E5652" w:rsidRDefault="004E5652" w:rsidP="004E5652">
      <w:pPr>
        <w:pStyle w:val="3-BodyText"/>
        <w:ind w:left="709"/>
      </w:pPr>
      <w:r>
        <w:t>The PBAC considered the outstanding issues could be easily resolved in a simple resubmission for</w:t>
      </w:r>
      <w:r w:rsidR="00104E45">
        <w:t xml:space="preserve"> nivolumab</w:t>
      </w:r>
      <w:r>
        <w:t>. The PBAC also considered</w:t>
      </w:r>
      <w:r w:rsidR="00104E45">
        <w:t xml:space="preserve"> nivolumab</w:t>
      </w:r>
      <w:r>
        <w:t xml:space="preserve"> addresses a high and urgent unmet clinical need and was expected to provide a substantial and clinically relevant improvement in efficacy over any alternative therapies. Therefore, the PBAC considered an early resolution pathway would be acceptable. If the </w:t>
      </w:r>
      <w:r w:rsidR="001D7F21">
        <w:t>S</w:t>
      </w:r>
      <w:r>
        <w:t xml:space="preserve">ponsor accepts this pathway, the following changes may address these outstanding issues without requiring further re-evaluation. </w:t>
      </w:r>
    </w:p>
    <w:p w14:paraId="1BC4BFCE" w14:textId="77777777" w:rsidR="004E5652" w:rsidRDefault="004E5652" w:rsidP="00BF6111">
      <w:pPr>
        <w:pStyle w:val="3-BodyText"/>
        <w:numPr>
          <w:ilvl w:val="0"/>
          <w:numId w:val="39"/>
        </w:numPr>
        <w:ind w:left="1054" w:hanging="357"/>
      </w:pPr>
      <w:r>
        <w:t>Provide an economic model based on (</w:t>
      </w:r>
      <w:proofErr w:type="spellStart"/>
      <w:r>
        <w:t>i</w:t>
      </w:r>
      <w:proofErr w:type="spellEnd"/>
      <w:r>
        <w:t xml:space="preserve">) a 7.5 year time horizon (ii) an appropriate </w:t>
      </w:r>
      <w:r w:rsidR="00104E45">
        <w:t xml:space="preserve">extrapolation </w:t>
      </w:r>
      <w:r>
        <w:t xml:space="preserve">function for the chemotherapy alone treatment arm and (iii) exclusion of terminal care costs.   </w:t>
      </w:r>
    </w:p>
    <w:p w14:paraId="65FEF888" w14:textId="77777777" w:rsidR="004E5652" w:rsidRDefault="004E5652" w:rsidP="00BF6111">
      <w:pPr>
        <w:pStyle w:val="3-BodyText"/>
        <w:numPr>
          <w:ilvl w:val="0"/>
          <w:numId w:val="39"/>
        </w:numPr>
        <w:ind w:left="1054" w:hanging="357"/>
      </w:pPr>
      <w:r>
        <w:t xml:space="preserve">Propose a price reduction to achieve an ICER of </w:t>
      </w:r>
      <w:r w:rsidR="008B0624" w:rsidRPr="00912BFD">
        <w:rPr>
          <w:lang w:val="en-GB"/>
        </w:rPr>
        <w:t xml:space="preserve">$55,000 to &lt; $75,000 </w:t>
      </w:r>
      <w:r w:rsidR="008B0624">
        <w:rPr>
          <w:lang w:val="en-GB"/>
        </w:rPr>
        <w:t xml:space="preserve">to </w:t>
      </w:r>
      <w:r w:rsidR="008B0624" w:rsidRPr="00912BFD">
        <w:rPr>
          <w:lang w:val="en-GB"/>
        </w:rPr>
        <w:t>$75,000 to &lt; $95,000</w:t>
      </w:r>
      <w:r w:rsidR="008B0624">
        <w:rPr>
          <w:lang w:val="en-GB"/>
        </w:rPr>
        <w:t>/ QALY</w:t>
      </w:r>
      <w:r>
        <w:t>;</w:t>
      </w:r>
    </w:p>
    <w:p w14:paraId="01916A2D" w14:textId="77777777" w:rsidR="004E5652" w:rsidRDefault="004E5652" w:rsidP="00BF6111">
      <w:pPr>
        <w:pStyle w:val="3-BodyText"/>
        <w:numPr>
          <w:ilvl w:val="0"/>
          <w:numId w:val="39"/>
        </w:numPr>
        <w:ind w:left="1054" w:hanging="357"/>
      </w:pPr>
      <w:r>
        <w:t>Provide revised financial estimates incorporating the revised price</w:t>
      </w:r>
      <w:r w:rsidR="00161A36">
        <w:t xml:space="preserve"> and addressing the issues raised in paragraph 7.13</w:t>
      </w:r>
      <w:r>
        <w:t>;</w:t>
      </w:r>
    </w:p>
    <w:p w14:paraId="42A301FC" w14:textId="77777777" w:rsidR="004E5652" w:rsidRDefault="004E5652" w:rsidP="00BF6111">
      <w:pPr>
        <w:pStyle w:val="3-BodyText"/>
        <w:numPr>
          <w:ilvl w:val="0"/>
          <w:numId w:val="39"/>
        </w:numPr>
        <w:ind w:left="1054" w:hanging="357"/>
      </w:pPr>
      <w:r>
        <w:t>Propose an appropriate RSA to manage the risk of use outside the</w:t>
      </w:r>
      <w:r w:rsidR="00161A36">
        <w:t xml:space="preserve"> proposed</w:t>
      </w:r>
      <w:r>
        <w:t xml:space="preserve"> p</w:t>
      </w:r>
      <w:r w:rsidR="00161A36">
        <w:t>a</w:t>
      </w:r>
      <w:r>
        <w:t>tient population</w:t>
      </w:r>
      <w:r w:rsidR="00161A36">
        <w:t xml:space="preserve"> included in the resubmission</w:t>
      </w:r>
      <w:r>
        <w:t xml:space="preserve">. </w:t>
      </w:r>
    </w:p>
    <w:p w14:paraId="028FFEE3" w14:textId="77777777" w:rsidR="004E5652" w:rsidRDefault="004E5652" w:rsidP="004E5652">
      <w:pPr>
        <w:pStyle w:val="3-BodyText"/>
        <w:numPr>
          <w:ilvl w:val="0"/>
          <w:numId w:val="0"/>
        </w:numPr>
        <w:ind w:left="709" w:hanging="11"/>
      </w:pPr>
      <w:r>
        <w:t xml:space="preserve">The early resolution resubmission must be lodged by week 7 of the current PBAC cycle or the next cycle. If the issues cannot be addressed by the </w:t>
      </w:r>
      <w:r w:rsidR="001D7F21">
        <w:t>S</w:t>
      </w:r>
      <w:r>
        <w:t>ponsor in a simple resubmission and the early resolution timing is not acceptable, a standard re-entry pathway is available</w:t>
      </w:r>
    </w:p>
    <w:p w14:paraId="6931FD57" w14:textId="77777777" w:rsidR="004E5652" w:rsidRDefault="004E5652" w:rsidP="004E5652">
      <w:pPr>
        <w:pStyle w:val="3-BodyText"/>
        <w:ind w:left="709"/>
      </w:pPr>
      <w:r>
        <w:t>The PBAC noted that this submission is eligible for an Independent Review.</w:t>
      </w:r>
    </w:p>
    <w:p w14:paraId="3DD0D943" w14:textId="77777777" w:rsidR="00C01726" w:rsidRDefault="004E5652" w:rsidP="004E5652">
      <w:pPr>
        <w:pStyle w:val="3-BodyText"/>
        <w:numPr>
          <w:ilvl w:val="0"/>
          <w:numId w:val="0"/>
        </w:numPr>
      </w:pPr>
      <w:r w:rsidRPr="00236191">
        <w:rPr>
          <w:b/>
        </w:rPr>
        <w:t>Outcome:</w:t>
      </w:r>
      <w:r>
        <w:t xml:space="preserve"> </w:t>
      </w:r>
    </w:p>
    <w:p w14:paraId="102BA3FA" w14:textId="77777777" w:rsidR="004E5652" w:rsidRDefault="004E5652" w:rsidP="004E5652">
      <w:pPr>
        <w:pStyle w:val="3-BodyText"/>
        <w:numPr>
          <w:ilvl w:val="0"/>
          <w:numId w:val="0"/>
        </w:numPr>
      </w:pPr>
      <w:r>
        <w:t>Not recommended</w:t>
      </w:r>
    </w:p>
    <w:p w14:paraId="753E6FFB" w14:textId="77777777" w:rsidR="004D37AE" w:rsidRPr="004D37AE" w:rsidRDefault="004D37AE" w:rsidP="004D37AE">
      <w:pPr>
        <w:pStyle w:val="2-SectionHeading"/>
      </w:pPr>
      <w:r w:rsidRPr="00C07617">
        <w:t>Context for Decision</w:t>
      </w:r>
    </w:p>
    <w:p w14:paraId="775AD8EE" w14:textId="77777777" w:rsidR="004D37AE" w:rsidRPr="007129F2" w:rsidRDefault="004D37AE" w:rsidP="004D37AE">
      <w:pPr>
        <w:spacing w:after="120"/>
        <w:ind w:left="720"/>
        <w:rPr>
          <w:bCs/>
          <w:lang w:val="en-GB"/>
        </w:rPr>
      </w:pPr>
      <w:r w:rsidRPr="007129F2">
        <w:rPr>
          <w:bCs/>
          <w:lang w:val="en-GB"/>
        </w:rP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14:paraId="73412043" w14:textId="77777777" w:rsidR="004D37AE" w:rsidRPr="004D37AE" w:rsidRDefault="004D37AE" w:rsidP="004D37AE">
      <w:pPr>
        <w:pStyle w:val="2-SectionHeading"/>
      </w:pPr>
      <w:r>
        <w:t>Sponsor’s Comment</w:t>
      </w:r>
    </w:p>
    <w:p w14:paraId="247FA9A5" w14:textId="77777777" w:rsidR="004D37AE" w:rsidRPr="001179AC" w:rsidRDefault="00841CB5" w:rsidP="00841CB5">
      <w:pPr>
        <w:spacing w:after="120"/>
        <w:ind w:left="720"/>
        <w:rPr>
          <w:bCs/>
        </w:rPr>
      </w:pPr>
      <w:r w:rsidRPr="00841CB5">
        <w:rPr>
          <w:bCs/>
        </w:rPr>
        <w:t>Bristol-Myers Squibb Australia looks forward to continuing to work with the PBAC and the Department of Health to provide access to nivolumab plus chemotherapy for the first-line treatment of patients with advanced or metastatic non-HER-2-positive gastric cancer, gastroesophageal junction cancer or oesophageal adenocarcinoma.</w:t>
      </w:r>
    </w:p>
    <w:p w14:paraId="509BE9CB" w14:textId="77777777" w:rsidR="00104E45" w:rsidRDefault="00104E45" w:rsidP="00104E45">
      <w:pPr>
        <w:pStyle w:val="3-BodyText"/>
        <w:numPr>
          <w:ilvl w:val="0"/>
          <w:numId w:val="0"/>
        </w:numPr>
      </w:pPr>
    </w:p>
    <w:p w14:paraId="0864FC32" w14:textId="77777777" w:rsidR="00CD2BFF" w:rsidRDefault="00CD2BFF" w:rsidP="00CD2BFF">
      <w:pPr>
        <w:rPr>
          <w:b/>
          <w:color w:val="3366FF"/>
        </w:rPr>
      </w:pPr>
    </w:p>
    <w:sectPr w:rsidR="00CD2BFF" w:rsidSect="00CB4152">
      <w:headerReference w:type="default" r:id="rId11"/>
      <w:footerReference w:type="default" r:id="rId12"/>
      <w:pgSz w:w="11907" w:h="16840" w:code="9"/>
      <w:pgMar w:top="1440" w:right="1440" w:bottom="1440" w:left="1440" w:header="1440" w:footer="14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6ACA78" w14:textId="77777777" w:rsidR="002D65F4" w:rsidRDefault="002D65F4" w:rsidP="00124A51">
      <w:r>
        <w:separator/>
      </w:r>
    </w:p>
    <w:p w14:paraId="3DE6083A" w14:textId="77777777" w:rsidR="002D65F4" w:rsidRDefault="002D65F4"/>
  </w:endnote>
  <w:endnote w:type="continuationSeparator" w:id="0">
    <w:p w14:paraId="0C0B6EE9" w14:textId="77777777" w:rsidR="002D65F4" w:rsidRDefault="002D65F4" w:rsidP="00124A51">
      <w:r>
        <w:continuationSeparator/>
      </w:r>
    </w:p>
    <w:p w14:paraId="2DAAA907" w14:textId="77777777" w:rsidR="002D65F4" w:rsidRDefault="002D65F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E22B5B" w14:textId="77777777" w:rsidR="002D65F4" w:rsidRDefault="002D65F4">
    <w:pPr>
      <w:pStyle w:val="Footer"/>
      <w:jc w:val="center"/>
    </w:pPr>
  </w:p>
  <w:sdt>
    <w:sdtPr>
      <w:id w:val="1800497508"/>
      <w:docPartObj>
        <w:docPartGallery w:val="Page Numbers (Bottom of Page)"/>
        <w:docPartUnique/>
      </w:docPartObj>
    </w:sdtPr>
    <w:sdtEndPr>
      <w:rPr>
        <w:noProof/>
      </w:rPr>
    </w:sdtEndPr>
    <w:sdtContent>
      <w:p w14:paraId="51A6396B" w14:textId="1B249C26" w:rsidR="002D65F4" w:rsidRDefault="002D65F4">
        <w:pPr>
          <w:pStyle w:val="Footer"/>
          <w:jc w:val="center"/>
        </w:pPr>
        <w:r w:rsidRPr="00E57A84">
          <w:rPr>
            <w:b/>
            <w:bCs/>
          </w:rPr>
          <w:fldChar w:fldCharType="begin"/>
        </w:r>
        <w:r w:rsidRPr="00E57A84">
          <w:rPr>
            <w:b/>
            <w:bCs/>
          </w:rPr>
          <w:instrText xml:space="preserve"> PAGE   \* MERGEFORMAT </w:instrText>
        </w:r>
        <w:r w:rsidRPr="00E57A84">
          <w:rPr>
            <w:b/>
            <w:bCs/>
          </w:rPr>
          <w:fldChar w:fldCharType="separate"/>
        </w:r>
        <w:r w:rsidR="00224556">
          <w:rPr>
            <w:b/>
            <w:bCs/>
            <w:noProof/>
          </w:rPr>
          <w:t>33</w:t>
        </w:r>
        <w:r w:rsidRPr="00E57A84">
          <w:rPr>
            <w:b/>
            <w:bCs/>
            <w:noProof/>
          </w:rPr>
          <w:fldChar w:fldCharType="end"/>
        </w:r>
      </w:p>
    </w:sdtContent>
  </w:sdt>
  <w:p w14:paraId="70F5A558" w14:textId="77777777" w:rsidR="002D65F4" w:rsidRDefault="002D65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FF72A3" w14:textId="77777777" w:rsidR="002D65F4" w:rsidRDefault="002D65F4" w:rsidP="00124A51">
      <w:r>
        <w:separator/>
      </w:r>
    </w:p>
    <w:p w14:paraId="70DDCF3F" w14:textId="77777777" w:rsidR="002D65F4" w:rsidRDefault="002D65F4"/>
  </w:footnote>
  <w:footnote w:type="continuationSeparator" w:id="0">
    <w:p w14:paraId="17E698E2" w14:textId="77777777" w:rsidR="002D65F4" w:rsidRDefault="002D65F4" w:rsidP="00124A51">
      <w:r>
        <w:continuationSeparator/>
      </w:r>
    </w:p>
    <w:p w14:paraId="0483C277" w14:textId="77777777" w:rsidR="002D65F4" w:rsidRDefault="002D65F4"/>
  </w:footnote>
  <w:footnote w:id="1">
    <w:p w14:paraId="4CA459BF" w14:textId="77777777" w:rsidR="002D65F4" w:rsidRPr="00046ECE" w:rsidRDefault="002D65F4" w:rsidP="00046ECE">
      <w:pPr>
        <w:pStyle w:val="CommentText"/>
        <w:rPr>
          <w:rFonts w:asciiTheme="minorHAnsi" w:hAnsiTheme="minorHAnsi" w:cstheme="minorHAnsi"/>
        </w:rPr>
      </w:pPr>
      <w:r w:rsidRPr="00046ECE">
        <w:rPr>
          <w:rStyle w:val="FootnoteReference"/>
          <w:rFonts w:asciiTheme="minorHAnsi" w:hAnsiTheme="minorHAnsi" w:cstheme="minorHAnsi"/>
        </w:rPr>
        <w:footnoteRef/>
      </w:r>
      <w:r w:rsidRPr="00046ECE">
        <w:rPr>
          <w:rFonts w:asciiTheme="minorHAnsi" w:hAnsiTheme="minorHAnsi" w:cstheme="minorHAnsi"/>
        </w:rPr>
        <w:t xml:space="preserve"> A collaborative review project co-ordinated by the United States FDA.1 For this submission, the regulators taking part were FDA (USA), TGA (Australia), Health Canada, and </w:t>
      </w:r>
      <w:proofErr w:type="spellStart"/>
      <w:r w:rsidRPr="00046ECE">
        <w:rPr>
          <w:rFonts w:asciiTheme="minorHAnsi" w:hAnsiTheme="minorHAnsi" w:cstheme="minorHAnsi"/>
        </w:rPr>
        <w:t>Swissmedic</w:t>
      </w:r>
      <w:proofErr w:type="spellEnd"/>
      <w:r w:rsidRPr="00046ECE">
        <w:rPr>
          <w:rFonts w:asciiTheme="minorHAnsi" w:hAnsiTheme="minorHAnsi" w:cstheme="minorHAnsi"/>
        </w:rPr>
        <w:t xml:space="preserve"> (Switzerland).</w:t>
      </w:r>
    </w:p>
  </w:footnote>
  <w:footnote w:id="2">
    <w:p w14:paraId="5813CBD4" w14:textId="77777777" w:rsidR="002D65F4" w:rsidRDefault="002D65F4">
      <w:pPr>
        <w:pStyle w:val="FootnoteText"/>
      </w:pPr>
      <w:r>
        <w:rPr>
          <w:rStyle w:val="FootnoteReference"/>
        </w:rPr>
        <w:footnoteRef/>
      </w:r>
      <w:r>
        <w:t xml:space="preserve"> </w:t>
      </w:r>
      <w:proofErr w:type="spellStart"/>
      <w:r w:rsidRPr="00525B39">
        <w:rPr>
          <w:rFonts w:asciiTheme="minorHAnsi" w:hAnsiTheme="minorHAnsi"/>
          <w:bCs/>
          <w:sz w:val="16"/>
        </w:rPr>
        <w:t>Cherny</w:t>
      </w:r>
      <w:proofErr w:type="spellEnd"/>
      <w:r w:rsidRPr="00525B39">
        <w:rPr>
          <w:rFonts w:asciiTheme="minorHAnsi" w:hAnsiTheme="minorHAnsi"/>
          <w:bCs/>
          <w:sz w:val="16"/>
        </w:rPr>
        <w:t xml:space="preserve"> NI, Dafni U, </w:t>
      </w:r>
      <w:proofErr w:type="spellStart"/>
      <w:r w:rsidRPr="00525B39">
        <w:rPr>
          <w:rFonts w:asciiTheme="minorHAnsi" w:hAnsiTheme="minorHAnsi"/>
          <w:bCs/>
          <w:sz w:val="16"/>
        </w:rPr>
        <w:t>Bogaerts</w:t>
      </w:r>
      <w:proofErr w:type="spellEnd"/>
      <w:r w:rsidRPr="00525B39">
        <w:rPr>
          <w:rFonts w:asciiTheme="minorHAnsi" w:hAnsiTheme="minorHAnsi"/>
          <w:bCs/>
          <w:sz w:val="16"/>
        </w:rPr>
        <w:t xml:space="preserve"> J, et al: ESMO-Magnitude of Clinical Benefit Scale version 1.1. Annals of Oncology 28:2340-2366, 2017</w:t>
      </w:r>
    </w:p>
  </w:footnote>
  <w:footnote w:id="3">
    <w:p w14:paraId="0A7F5CE2" w14:textId="77777777" w:rsidR="002D65F4" w:rsidRPr="004054B4" w:rsidRDefault="002D65F4" w:rsidP="00BF6111">
      <w:pPr>
        <w:pStyle w:val="FootnoteText"/>
        <w:rPr>
          <w:rFonts w:asciiTheme="minorHAnsi" w:hAnsiTheme="minorHAnsi" w:cstheme="minorHAnsi"/>
        </w:rPr>
      </w:pPr>
      <w:r>
        <w:rPr>
          <w:rStyle w:val="FootnoteReference"/>
        </w:rPr>
        <w:footnoteRef/>
      </w:r>
      <w:r>
        <w:t xml:space="preserve"> </w:t>
      </w:r>
      <w:r w:rsidRPr="004054B4">
        <w:rPr>
          <w:rFonts w:asciiTheme="minorHAnsi" w:hAnsiTheme="minorHAnsi" w:cstheme="minorHAnsi"/>
          <w:noProof/>
        </w:rPr>
        <w:t xml:space="preserve">Janjigian, Y., Ajani, J., Moehler, M., Garrido, M., Gallardo, C., Shen, L., &amp; et al. (2021). Nivolumab plus chemotherapy or ipilimumab vs chemotherapy as first-line treatment for advanced gastric cancer/gastroesophageal junction cancer/ esophageal adenocarcinoma: CheckMate 649 study. </w:t>
      </w:r>
      <w:r w:rsidRPr="004054B4">
        <w:rPr>
          <w:rFonts w:asciiTheme="minorHAnsi" w:hAnsiTheme="minorHAnsi" w:cstheme="minorHAnsi"/>
          <w:iCs/>
          <w:noProof/>
        </w:rPr>
        <w:t>ESMO Congress</w:t>
      </w:r>
      <w:r w:rsidRPr="004054B4">
        <w:rPr>
          <w:rFonts w:asciiTheme="minorHAnsi" w:hAnsiTheme="minorHAnsi" w:cstheme="minorHAnsi"/>
          <w:noProof/>
        </w:rPr>
        <w:t>, Presentation Number LBA7</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DA6D08" w14:textId="77777777" w:rsidR="002D65F4" w:rsidRPr="00056684" w:rsidRDefault="002D65F4" w:rsidP="0012006F">
    <w:pPr>
      <w:pStyle w:val="Header"/>
      <w:ind w:left="360"/>
      <w:rPr>
        <w:rFonts w:asciiTheme="minorHAnsi" w:hAnsiTheme="minorHAnsi"/>
        <w:i/>
        <w:color w:val="808080"/>
      </w:rPr>
    </w:pPr>
    <w:r w:rsidRPr="004D37AE">
      <w:rPr>
        <w:rFonts w:asciiTheme="minorHAnsi" w:hAnsiTheme="minorHAnsi"/>
        <w:i/>
        <w:color w:val="808080"/>
      </w:rPr>
      <w:t xml:space="preserve">Public Summary Document </w:t>
    </w:r>
    <w:r w:rsidRPr="00056684">
      <w:rPr>
        <w:rFonts w:asciiTheme="minorHAnsi" w:hAnsiTheme="minorHAnsi"/>
        <w:i/>
        <w:color w:val="808080"/>
      </w:rPr>
      <w:t xml:space="preserve">– </w:t>
    </w:r>
    <w:r>
      <w:rPr>
        <w:rFonts w:asciiTheme="minorHAnsi" w:hAnsiTheme="minorHAnsi"/>
        <w:i/>
        <w:color w:val="808080"/>
      </w:rPr>
      <w:t>November 2021</w:t>
    </w:r>
    <w:r w:rsidRPr="00056684">
      <w:rPr>
        <w:rFonts w:asciiTheme="minorHAnsi" w:hAnsiTheme="minorHAnsi"/>
        <w:i/>
        <w:color w:val="808080"/>
      </w:rPr>
      <w:t xml:space="preserve"> PBAC Meeting</w:t>
    </w:r>
  </w:p>
  <w:p w14:paraId="5C95A478" w14:textId="77777777" w:rsidR="002D65F4" w:rsidRDefault="002D65F4"/>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C9CABF3C"/>
    <w:lvl w:ilvl="0">
      <w:start w:val="1"/>
      <w:numFmt w:val="bullet"/>
      <w:pStyle w:val="ListBullet"/>
      <w:lvlText w:val=""/>
      <w:lvlJc w:val="left"/>
      <w:pPr>
        <w:tabs>
          <w:tab w:val="num" w:pos="360"/>
        </w:tabs>
        <w:ind w:left="360" w:hanging="360"/>
      </w:pPr>
      <w:rPr>
        <w:rFonts w:ascii="Symbol" w:hAnsi="Symbol" w:hint="default"/>
        <w:color w:val="auto"/>
      </w:rPr>
    </w:lvl>
  </w:abstractNum>
  <w:abstractNum w:abstractNumId="1" w15:restartNumberingAfterBreak="0">
    <w:nsid w:val="01833932"/>
    <w:multiLevelType w:val="hybridMultilevel"/>
    <w:tmpl w:val="EF9A7E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2517AEF"/>
    <w:multiLevelType w:val="hybridMultilevel"/>
    <w:tmpl w:val="F8AA59C0"/>
    <w:lvl w:ilvl="0" w:tplc="04090001">
      <w:start w:val="1"/>
      <w:numFmt w:val="bullet"/>
      <w:lvlText w:val=""/>
      <w:lvlJc w:val="left"/>
      <w:pPr>
        <w:ind w:left="720" w:hanging="360"/>
      </w:pPr>
      <w:rPr>
        <w:rFonts w:ascii="Symbol" w:hAnsi="Symbol" w:hint="default"/>
      </w:rPr>
    </w:lvl>
    <w:lvl w:ilvl="1" w:tplc="4B10F95C">
      <w:start w:val="2"/>
      <w:numFmt w:val="bullet"/>
      <w:lvlText w:val="•"/>
      <w:lvlJc w:val="left"/>
      <w:pPr>
        <w:ind w:left="1800" w:hanging="720"/>
      </w:pPr>
      <w:rPr>
        <w:rFonts w:ascii="Calibri" w:eastAsia="Times New Roman" w:hAnsi="Calibri" w:cs="Calibri"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4DB6EC1"/>
    <w:multiLevelType w:val="hybridMultilevel"/>
    <w:tmpl w:val="0B9A73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08530963"/>
    <w:multiLevelType w:val="hybridMultilevel"/>
    <w:tmpl w:val="B19AE3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4B80D8C"/>
    <w:multiLevelType w:val="hybridMultilevel"/>
    <w:tmpl w:val="A7107D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A8728C"/>
    <w:multiLevelType w:val="hybridMultilevel"/>
    <w:tmpl w:val="5B6A6BB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7" w15:restartNumberingAfterBreak="0">
    <w:nsid w:val="192D026D"/>
    <w:multiLevelType w:val="hybridMultilevel"/>
    <w:tmpl w:val="A2F058D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8" w15:restartNumberingAfterBreak="0">
    <w:nsid w:val="1A1B369C"/>
    <w:multiLevelType w:val="hybridMultilevel"/>
    <w:tmpl w:val="DCB80AEA"/>
    <w:lvl w:ilvl="0" w:tplc="0C090001">
      <w:start w:val="1"/>
      <w:numFmt w:val="bullet"/>
      <w:lvlText w:val=""/>
      <w:lvlJc w:val="left"/>
      <w:pPr>
        <w:ind w:left="1488" w:hanging="360"/>
      </w:pPr>
      <w:rPr>
        <w:rFonts w:ascii="Symbol" w:hAnsi="Symbol" w:hint="default"/>
      </w:rPr>
    </w:lvl>
    <w:lvl w:ilvl="1" w:tplc="0C090003" w:tentative="1">
      <w:start w:val="1"/>
      <w:numFmt w:val="bullet"/>
      <w:lvlText w:val="o"/>
      <w:lvlJc w:val="left"/>
      <w:pPr>
        <w:ind w:left="2208" w:hanging="360"/>
      </w:pPr>
      <w:rPr>
        <w:rFonts w:ascii="Courier New" w:hAnsi="Courier New" w:cs="Courier New" w:hint="default"/>
      </w:rPr>
    </w:lvl>
    <w:lvl w:ilvl="2" w:tplc="0C090005" w:tentative="1">
      <w:start w:val="1"/>
      <w:numFmt w:val="bullet"/>
      <w:lvlText w:val=""/>
      <w:lvlJc w:val="left"/>
      <w:pPr>
        <w:ind w:left="2928" w:hanging="360"/>
      </w:pPr>
      <w:rPr>
        <w:rFonts w:ascii="Wingdings" w:hAnsi="Wingdings" w:hint="default"/>
      </w:rPr>
    </w:lvl>
    <w:lvl w:ilvl="3" w:tplc="0C090001" w:tentative="1">
      <w:start w:val="1"/>
      <w:numFmt w:val="bullet"/>
      <w:lvlText w:val=""/>
      <w:lvlJc w:val="left"/>
      <w:pPr>
        <w:ind w:left="3648" w:hanging="360"/>
      </w:pPr>
      <w:rPr>
        <w:rFonts w:ascii="Symbol" w:hAnsi="Symbol" w:hint="default"/>
      </w:rPr>
    </w:lvl>
    <w:lvl w:ilvl="4" w:tplc="0C090003" w:tentative="1">
      <w:start w:val="1"/>
      <w:numFmt w:val="bullet"/>
      <w:lvlText w:val="o"/>
      <w:lvlJc w:val="left"/>
      <w:pPr>
        <w:ind w:left="4368" w:hanging="360"/>
      </w:pPr>
      <w:rPr>
        <w:rFonts w:ascii="Courier New" w:hAnsi="Courier New" w:cs="Courier New" w:hint="default"/>
      </w:rPr>
    </w:lvl>
    <w:lvl w:ilvl="5" w:tplc="0C090005" w:tentative="1">
      <w:start w:val="1"/>
      <w:numFmt w:val="bullet"/>
      <w:lvlText w:val=""/>
      <w:lvlJc w:val="left"/>
      <w:pPr>
        <w:ind w:left="5088" w:hanging="360"/>
      </w:pPr>
      <w:rPr>
        <w:rFonts w:ascii="Wingdings" w:hAnsi="Wingdings" w:hint="default"/>
      </w:rPr>
    </w:lvl>
    <w:lvl w:ilvl="6" w:tplc="0C090001" w:tentative="1">
      <w:start w:val="1"/>
      <w:numFmt w:val="bullet"/>
      <w:lvlText w:val=""/>
      <w:lvlJc w:val="left"/>
      <w:pPr>
        <w:ind w:left="5808" w:hanging="360"/>
      </w:pPr>
      <w:rPr>
        <w:rFonts w:ascii="Symbol" w:hAnsi="Symbol" w:hint="default"/>
      </w:rPr>
    </w:lvl>
    <w:lvl w:ilvl="7" w:tplc="0C090003" w:tentative="1">
      <w:start w:val="1"/>
      <w:numFmt w:val="bullet"/>
      <w:lvlText w:val="o"/>
      <w:lvlJc w:val="left"/>
      <w:pPr>
        <w:ind w:left="6528" w:hanging="360"/>
      </w:pPr>
      <w:rPr>
        <w:rFonts w:ascii="Courier New" w:hAnsi="Courier New" w:cs="Courier New" w:hint="default"/>
      </w:rPr>
    </w:lvl>
    <w:lvl w:ilvl="8" w:tplc="0C090005" w:tentative="1">
      <w:start w:val="1"/>
      <w:numFmt w:val="bullet"/>
      <w:lvlText w:val=""/>
      <w:lvlJc w:val="left"/>
      <w:pPr>
        <w:ind w:left="7248" w:hanging="360"/>
      </w:pPr>
      <w:rPr>
        <w:rFonts w:ascii="Wingdings" w:hAnsi="Wingdings" w:hint="default"/>
      </w:rPr>
    </w:lvl>
  </w:abstractNum>
  <w:abstractNum w:abstractNumId="9" w15:restartNumberingAfterBreak="0">
    <w:nsid w:val="23B6274A"/>
    <w:multiLevelType w:val="hybridMultilevel"/>
    <w:tmpl w:val="E07A47CC"/>
    <w:lvl w:ilvl="0" w:tplc="E1B6BF4A">
      <w:start w:val="1"/>
      <w:numFmt w:val="decimal"/>
      <w:lvlText w:val="%1."/>
      <w:lvlJc w:val="left"/>
      <w:pPr>
        <w:ind w:left="1778" w:hanging="360"/>
      </w:pPr>
      <w:rPr>
        <w:rFonts w:hint="default"/>
        <w:color w:val="auto"/>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26D208F5"/>
    <w:multiLevelType w:val="hybridMultilevel"/>
    <w:tmpl w:val="C15A22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9E240BB"/>
    <w:multiLevelType w:val="hybridMultilevel"/>
    <w:tmpl w:val="0740A2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D2B4FF5"/>
    <w:multiLevelType w:val="hybridMultilevel"/>
    <w:tmpl w:val="40963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DC91048"/>
    <w:multiLevelType w:val="hybridMultilevel"/>
    <w:tmpl w:val="4CE4556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F4E5877"/>
    <w:multiLevelType w:val="hybridMultilevel"/>
    <w:tmpl w:val="58869B58"/>
    <w:lvl w:ilvl="0" w:tplc="04090001">
      <w:start w:val="1"/>
      <w:numFmt w:val="bullet"/>
      <w:lvlText w:val=""/>
      <w:lvlJc w:val="left"/>
      <w:pPr>
        <w:ind w:left="-2235" w:hanging="360"/>
      </w:pPr>
      <w:rPr>
        <w:rFonts w:ascii="Symbol" w:hAnsi="Symbol" w:hint="default"/>
      </w:rPr>
    </w:lvl>
    <w:lvl w:ilvl="1" w:tplc="0C090003">
      <w:start w:val="1"/>
      <w:numFmt w:val="bullet"/>
      <w:lvlText w:val="o"/>
      <w:lvlJc w:val="left"/>
      <w:pPr>
        <w:ind w:left="-1515" w:hanging="360"/>
      </w:pPr>
      <w:rPr>
        <w:rFonts w:ascii="Courier New" w:hAnsi="Courier New" w:cs="Courier New" w:hint="default"/>
      </w:rPr>
    </w:lvl>
    <w:lvl w:ilvl="2" w:tplc="0C090005">
      <w:start w:val="1"/>
      <w:numFmt w:val="bullet"/>
      <w:lvlText w:val=""/>
      <w:lvlJc w:val="left"/>
      <w:pPr>
        <w:ind w:left="-795" w:hanging="360"/>
      </w:pPr>
      <w:rPr>
        <w:rFonts w:ascii="Wingdings" w:hAnsi="Wingdings" w:hint="default"/>
      </w:rPr>
    </w:lvl>
    <w:lvl w:ilvl="3" w:tplc="0C090001">
      <w:start w:val="1"/>
      <w:numFmt w:val="bullet"/>
      <w:lvlText w:val=""/>
      <w:lvlJc w:val="left"/>
      <w:pPr>
        <w:ind w:left="-75" w:hanging="360"/>
      </w:pPr>
      <w:rPr>
        <w:rFonts w:ascii="Symbol" w:hAnsi="Symbol" w:hint="default"/>
      </w:rPr>
    </w:lvl>
    <w:lvl w:ilvl="4" w:tplc="0C090001">
      <w:start w:val="1"/>
      <w:numFmt w:val="bullet"/>
      <w:lvlText w:val=""/>
      <w:lvlJc w:val="left"/>
      <w:pPr>
        <w:ind w:left="645" w:hanging="360"/>
      </w:pPr>
      <w:rPr>
        <w:rFonts w:ascii="Symbol" w:hAnsi="Symbol" w:hint="default"/>
      </w:rPr>
    </w:lvl>
    <w:lvl w:ilvl="5" w:tplc="0C090005" w:tentative="1">
      <w:start w:val="1"/>
      <w:numFmt w:val="bullet"/>
      <w:lvlText w:val=""/>
      <w:lvlJc w:val="left"/>
      <w:pPr>
        <w:ind w:left="1365" w:hanging="360"/>
      </w:pPr>
      <w:rPr>
        <w:rFonts w:ascii="Wingdings" w:hAnsi="Wingdings" w:hint="default"/>
      </w:rPr>
    </w:lvl>
    <w:lvl w:ilvl="6" w:tplc="0C090001" w:tentative="1">
      <w:start w:val="1"/>
      <w:numFmt w:val="bullet"/>
      <w:lvlText w:val=""/>
      <w:lvlJc w:val="left"/>
      <w:pPr>
        <w:ind w:left="2085" w:hanging="360"/>
      </w:pPr>
      <w:rPr>
        <w:rFonts w:ascii="Symbol" w:hAnsi="Symbol" w:hint="default"/>
      </w:rPr>
    </w:lvl>
    <w:lvl w:ilvl="7" w:tplc="0C090003" w:tentative="1">
      <w:start w:val="1"/>
      <w:numFmt w:val="bullet"/>
      <w:lvlText w:val="o"/>
      <w:lvlJc w:val="left"/>
      <w:pPr>
        <w:ind w:left="2805" w:hanging="360"/>
      </w:pPr>
      <w:rPr>
        <w:rFonts w:ascii="Courier New" w:hAnsi="Courier New" w:cs="Courier New" w:hint="default"/>
      </w:rPr>
    </w:lvl>
    <w:lvl w:ilvl="8" w:tplc="0C090005" w:tentative="1">
      <w:start w:val="1"/>
      <w:numFmt w:val="bullet"/>
      <w:lvlText w:val=""/>
      <w:lvlJc w:val="left"/>
      <w:pPr>
        <w:ind w:left="3525" w:hanging="360"/>
      </w:pPr>
      <w:rPr>
        <w:rFonts w:ascii="Wingdings" w:hAnsi="Wingdings" w:hint="default"/>
      </w:rPr>
    </w:lvl>
  </w:abstractNum>
  <w:abstractNum w:abstractNumId="15" w15:restartNumberingAfterBreak="0">
    <w:nsid w:val="3F9E4EDF"/>
    <w:multiLevelType w:val="hybridMultilevel"/>
    <w:tmpl w:val="19CE3A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44442297"/>
    <w:multiLevelType w:val="hybridMultilevel"/>
    <w:tmpl w:val="E6FE4E00"/>
    <w:lvl w:ilvl="0" w:tplc="C324F4FC">
      <w:start w:val="1"/>
      <w:numFmt w:val="bullet"/>
      <w:pStyle w:val="Bulletpoints"/>
      <w:lvlText w:val=""/>
      <w:lvlJc w:val="left"/>
      <w:pPr>
        <w:ind w:left="1995" w:hanging="360"/>
      </w:pPr>
      <w:rPr>
        <w:rFonts w:ascii="Symbol" w:hAnsi="Symbol" w:hint="default"/>
      </w:rPr>
    </w:lvl>
    <w:lvl w:ilvl="1" w:tplc="04090003" w:tentative="1">
      <w:start w:val="1"/>
      <w:numFmt w:val="bullet"/>
      <w:lvlText w:val="o"/>
      <w:lvlJc w:val="left"/>
      <w:pPr>
        <w:ind w:left="2715" w:hanging="360"/>
      </w:pPr>
      <w:rPr>
        <w:rFonts w:ascii="Courier New" w:hAnsi="Courier New" w:hint="default"/>
      </w:rPr>
    </w:lvl>
    <w:lvl w:ilvl="2" w:tplc="04090005" w:tentative="1">
      <w:start w:val="1"/>
      <w:numFmt w:val="bullet"/>
      <w:lvlText w:val=""/>
      <w:lvlJc w:val="left"/>
      <w:pPr>
        <w:ind w:left="3435" w:hanging="360"/>
      </w:pPr>
      <w:rPr>
        <w:rFonts w:ascii="Wingdings" w:hAnsi="Wingdings" w:hint="default"/>
      </w:rPr>
    </w:lvl>
    <w:lvl w:ilvl="3" w:tplc="04090001" w:tentative="1">
      <w:start w:val="1"/>
      <w:numFmt w:val="bullet"/>
      <w:lvlText w:val=""/>
      <w:lvlJc w:val="left"/>
      <w:pPr>
        <w:ind w:left="4155" w:hanging="360"/>
      </w:pPr>
      <w:rPr>
        <w:rFonts w:ascii="Symbol" w:hAnsi="Symbol" w:hint="default"/>
      </w:rPr>
    </w:lvl>
    <w:lvl w:ilvl="4" w:tplc="04090003" w:tentative="1">
      <w:start w:val="1"/>
      <w:numFmt w:val="bullet"/>
      <w:lvlText w:val="o"/>
      <w:lvlJc w:val="left"/>
      <w:pPr>
        <w:ind w:left="4875" w:hanging="360"/>
      </w:pPr>
      <w:rPr>
        <w:rFonts w:ascii="Courier New" w:hAnsi="Courier New" w:hint="default"/>
      </w:rPr>
    </w:lvl>
    <w:lvl w:ilvl="5" w:tplc="04090005" w:tentative="1">
      <w:start w:val="1"/>
      <w:numFmt w:val="bullet"/>
      <w:lvlText w:val=""/>
      <w:lvlJc w:val="left"/>
      <w:pPr>
        <w:ind w:left="5595" w:hanging="360"/>
      </w:pPr>
      <w:rPr>
        <w:rFonts w:ascii="Wingdings" w:hAnsi="Wingdings" w:hint="default"/>
      </w:rPr>
    </w:lvl>
    <w:lvl w:ilvl="6" w:tplc="04090001" w:tentative="1">
      <w:start w:val="1"/>
      <w:numFmt w:val="bullet"/>
      <w:lvlText w:val=""/>
      <w:lvlJc w:val="left"/>
      <w:pPr>
        <w:ind w:left="6315" w:hanging="360"/>
      </w:pPr>
      <w:rPr>
        <w:rFonts w:ascii="Symbol" w:hAnsi="Symbol" w:hint="default"/>
      </w:rPr>
    </w:lvl>
    <w:lvl w:ilvl="7" w:tplc="04090003" w:tentative="1">
      <w:start w:val="1"/>
      <w:numFmt w:val="bullet"/>
      <w:lvlText w:val="o"/>
      <w:lvlJc w:val="left"/>
      <w:pPr>
        <w:ind w:left="7035" w:hanging="360"/>
      </w:pPr>
      <w:rPr>
        <w:rFonts w:ascii="Courier New" w:hAnsi="Courier New" w:hint="default"/>
      </w:rPr>
    </w:lvl>
    <w:lvl w:ilvl="8" w:tplc="04090005" w:tentative="1">
      <w:start w:val="1"/>
      <w:numFmt w:val="bullet"/>
      <w:lvlText w:val=""/>
      <w:lvlJc w:val="left"/>
      <w:pPr>
        <w:ind w:left="7755" w:hanging="360"/>
      </w:pPr>
      <w:rPr>
        <w:rFonts w:ascii="Wingdings" w:hAnsi="Wingdings" w:hint="default"/>
      </w:rPr>
    </w:lvl>
  </w:abstractNum>
  <w:abstractNum w:abstractNumId="17" w15:restartNumberingAfterBreak="0">
    <w:nsid w:val="458D67A6"/>
    <w:multiLevelType w:val="hybridMultilevel"/>
    <w:tmpl w:val="51CA1480"/>
    <w:lvl w:ilvl="0" w:tplc="04090001">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836795F"/>
    <w:multiLevelType w:val="hybridMultilevel"/>
    <w:tmpl w:val="18B8B4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4A0445F4"/>
    <w:multiLevelType w:val="multilevel"/>
    <w:tmpl w:val="BCE06DA2"/>
    <w:lvl w:ilvl="0">
      <w:start w:val="1"/>
      <w:numFmt w:val="none"/>
      <w:suff w:val="nothing"/>
      <w:lvlText w:val="%1"/>
      <w:lvlJc w:val="left"/>
      <w:pPr>
        <w:ind w:left="0" w:firstLine="0"/>
      </w:pPr>
    </w:lvl>
    <w:lvl w:ilvl="1">
      <w:start w:val="1"/>
      <w:numFmt w:val="decimal"/>
      <w:lvlText w:val="%2."/>
      <w:lvlJc w:val="left"/>
      <w:pPr>
        <w:tabs>
          <w:tab w:val="num" w:pos="357"/>
        </w:tabs>
        <w:ind w:left="357" w:hanging="357"/>
      </w:pPr>
    </w:lvl>
    <w:lvl w:ilvl="2">
      <w:start w:val="1"/>
      <w:numFmt w:val="lowerLetter"/>
      <w:lvlText w:val="%3."/>
      <w:lvlJc w:val="left"/>
      <w:pPr>
        <w:tabs>
          <w:tab w:val="num" w:pos="720"/>
        </w:tabs>
        <w:ind w:left="720" w:hanging="363"/>
      </w:pPr>
    </w:lvl>
    <w:lvl w:ilvl="3">
      <w:start w:val="1"/>
      <w:numFmt w:val="lowerRoman"/>
      <w:lvlText w:val="%4."/>
      <w:lvlJc w:val="left"/>
      <w:pPr>
        <w:tabs>
          <w:tab w:val="num" w:pos="1077"/>
        </w:tabs>
        <w:ind w:left="1077" w:hanging="357"/>
      </w:pPr>
    </w:lvl>
    <w:lvl w:ilvl="4">
      <w:start w:val="1"/>
      <w:numFmt w:val="decimal"/>
      <w:lvlText w:val="%5)"/>
      <w:lvlJc w:val="left"/>
      <w:pPr>
        <w:tabs>
          <w:tab w:val="num" w:pos="1435"/>
        </w:tabs>
        <w:ind w:left="1435" w:hanging="358"/>
      </w:pPr>
    </w:lvl>
    <w:lvl w:ilvl="5">
      <w:start w:val="1"/>
      <w:numFmt w:val="none"/>
      <w:suff w:val="nothing"/>
      <w:lvlText w:val="%6"/>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9"/>
      <w:lvlJc w:val="left"/>
      <w:pPr>
        <w:ind w:left="0" w:firstLine="0"/>
      </w:pPr>
    </w:lvl>
  </w:abstractNum>
  <w:abstractNum w:abstractNumId="20" w15:restartNumberingAfterBreak="0">
    <w:nsid w:val="538E3415"/>
    <w:multiLevelType w:val="hybridMultilevel"/>
    <w:tmpl w:val="782A4A54"/>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21" w15:restartNumberingAfterBreak="0">
    <w:nsid w:val="5C7D670F"/>
    <w:multiLevelType w:val="hybridMultilevel"/>
    <w:tmpl w:val="D688E0A2"/>
    <w:lvl w:ilvl="0" w:tplc="04090001">
      <w:start w:val="1"/>
      <w:numFmt w:val="bullet"/>
      <w:lvlText w:val=""/>
      <w:lvlJc w:val="left"/>
      <w:pPr>
        <w:ind w:left="779" w:hanging="360"/>
      </w:pPr>
      <w:rPr>
        <w:rFonts w:ascii="Symbol" w:hAnsi="Symbol" w:hint="default"/>
      </w:rPr>
    </w:lvl>
    <w:lvl w:ilvl="1" w:tplc="04090003">
      <w:start w:val="1"/>
      <w:numFmt w:val="bullet"/>
      <w:lvlText w:val="o"/>
      <w:lvlJc w:val="left"/>
      <w:pPr>
        <w:ind w:left="1499" w:hanging="360"/>
      </w:pPr>
      <w:rPr>
        <w:rFonts w:ascii="Courier New" w:hAnsi="Courier New" w:cs="Courier New" w:hint="default"/>
      </w:rPr>
    </w:lvl>
    <w:lvl w:ilvl="2" w:tplc="04090005">
      <w:start w:val="1"/>
      <w:numFmt w:val="bullet"/>
      <w:lvlText w:val=""/>
      <w:lvlJc w:val="left"/>
      <w:pPr>
        <w:ind w:left="2219" w:hanging="360"/>
      </w:pPr>
      <w:rPr>
        <w:rFonts w:ascii="Wingdings" w:hAnsi="Wingdings" w:hint="default"/>
      </w:rPr>
    </w:lvl>
    <w:lvl w:ilvl="3" w:tplc="04090001">
      <w:start w:val="1"/>
      <w:numFmt w:val="bullet"/>
      <w:lvlText w:val=""/>
      <w:lvlJc w:val="left"/>
      <w:pPr>
        <w:ind w:left="2939" w:hanging="360"/>
      </w:pPr>
      <w:rPr>
        <w:rFonts w:ascii="Symbol" w:hAnsi="Symbol" w:hint="default"/>
      </w:rPr>
    </w:lvl>
    <w:lvl w:ilvl="4" w:tplc="04090003">
      <w:start w:val="1"/>
      <w:numFmt w:val="bullet"/>
      <w:lvlText w:val="o"/>
      <w:lvlJc w:val="left"/>
      <w:pPr>
        <w:ind w:left="3659" w:hanging="360"/>
      </w:pPr>
      <w:rPr>
        <w:rFonts w:ascii="Courier New" w:hAnsi="Courier New" w:cs="Courier New" w:hint="default"/>
      </w:rPr>
    </w:lvl>
    <w:lvl w:ilvl="5" w:tplc="04090005">
      <w:start w:val="1"/>
      <w:numFmt w:val="bullet"/>
      <w:lvlText w:val=""/>
      <w:lvlJc w:val="left"/>
      <w:pPr>
        <w:ind w:left="4379" w:hanging="360"/>
      </w:pPr>
      <w:rPr>
        <w:rFonts w:ascii="Wingdings" w:hAnsi="Wingdings" w:hint="default"/>
      </w:rPr>
    </w:lvl>
    <w:lvl w:ilvl="6" w:tplc="04090001">
      <w:start w:val="1"/>
      <w:numFmt w:val="bullet"/>
      <w:lvlText w:val=""/>
      <w:lvlJc w:val="left"/>
      <w:pPr>
        <w:ind w:left="5099" w:hanging="360"/>
      </w:pPr>
      <w:rPr>
        <w:rFonts w:ascii="Symbol" w:hAnsi="Symbol" w:hint="default"/>
      </w:rPr>
    </w:lvl>
    <w:lvl w:ilvl="7" w:tplc="04090003">
      <w:start w:val="1"/>
      <w:numFmt w:val="bullet"/>
      <w:lvlText w:val="o"/>
      <w:lvlJc w:val="left"/>
      <w:pPr>
        <w:ind w:left="5819" w:hanging="360"/>
      </w:pPr>
      <w:rPr>
        <w:rFonts w:ascii="Courier New" w:hAnsi="Courier New" w:cs="Courier New" w:hint="default"/>
      </w:rPr>
    </w:lvl>
    <w:lvl w:ilvl="8" w:tplc="04090005">
      <w:start w:val="1"/>
      <w:numFmt w:val="bullet"/>
      <w:lvlText w:val=""/>
      <w:lvlJc w:val="left"/>
      <w:pPr>
        <w:ind w:left="6539" w:hanging="360"/>
      </w:pPr>
      <w:rPr>
        <w:rFonts w:ascii="Wingdings" w:hAnsi="Wingdings" w:hint="default"/>
      </w:rPr>
    </w:lvl>
  </w:abstractNum>
  <w:abstractNum w:abstractNumId="22" w15:restartNumberingAfterBreak="0">
    <w:nsid w:val="62A06BF0"/>
    <w:multiLevelType w:val="hybridMultilevel"/>
    <w:tmpl w:val="C5DAB102"/>
    <w:lvl w:ilvl="0" w:tplc="835E51A8">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62B62E9F"/>
    <w:multiLevelType w:val="hybridMultilevel"/>
    <w:tmpl w:val="629EAA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6AD9428A"/>
    <w:multiLevelType w:val="hybridMultilevel"/>
    <w:tmpl w:val="D896AA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6D884174"/>
    <w:multiLevelType w:val="hybridMultilevel"/>
    <w:tmpl w:val="ECC298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E046B93"/>
    <w:multiLevelType w:val="hybridMultilevel"/>
    <w:tmpl w:val="775CA3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76CC3051"/>
    <w:multiLevelType w:val="hybridMultilevel"/>
    <w:tmpl w:val="944243DE"/>
    <w:lvl w:ilvl="0" w:tplc="04090001">
      <w:start w:val="1"/>
      <w:numFmt w:val="bullet"/>
      <w:lvlText w:val=""/>
      <w:lvlJc w:val="left"/>
      <w:pPr>
        <w:ind w:left="772" w:hanging="360"/>
      </w:pPr>
      <w:rPr>
        <w:rFonts w:ascii="Symbol" w:hAnsi="Symbol" w:hint="default"/>
      </w:rPr>
    </w:lvl>
    <w:lvl w:ilvl="1" w:tplc="04090003">
      <w:start w:val="1"/>
      <w:numFmt w:val="bullet"/>
      <w:lvlText w:val="o"/>
      <w:lvlJc w:val="left"/>
      <w:pPr>
        <w:ind w:left="1492" w:hanging="360"/>
      </w:pPr>
      <w:rPr>
        <w:rFonts w:ascii="Courier New" w:hAnsi="Courier New" w:cs="Courier New" w:hint="default"/>
      </w:rPr>
    </w:lvl>
    <w:lvl w:ilvl="2" w:tplc="04090005">
      <w:start w:val="1"/>
      <w:numFmt w:val="bullet"/>
      <w:lvlText w:val=""/>
      <w:lvlJc w:val="left"/>
      <w:pPr>
        <w:ind w:left="2212" w:hanging="360"/>
      </w:pPr>
      <w:rPr>
        <w:rFonts w:ascii="Wingdings" w:hAnsi="Wingdings" w:hint="default"/>
      </w:rPr>
    </w:lvl>
    <w:lvl w:ilvl="3" w:tplc="04090001">
      <w:start w:val="1"/>
      <w:numFmt w:val="bullet"/>
      <w:lvlText w:val=""/>
      <w:lvlJc w:val="left"/>
      <w:pPr>
        <w:ind w:left="2932" w:hanging="360"/>
      </w:pPr>
      <w:rPr>
        <w:rFonts w:ascii="Symbol" w:hAnsi="Symbol" w:hint="default"/>
      </w:rPr>
    </w:lvl>
    <w:lvl w:ilvl="4" w:tplc="04090003">
      <w:start w:val="1"/>
      <w:numFmt w:val="bullet"/>
      <w:lvlText w:val="o"/>
      <w:lvlJc w:val="left"/>
      <w:pPr>
        <w:ind w:left="3652" w:hanging="360"/>
      </w:pPr>
      <w:rPr>
        <w:rFonts w:ascii="Courier New" w:hAnsi="Courier New" w:cs="Courier New" w:hint="default"/>
      </w:rPr>
    </w:lvl>
    <w:lvl w:ilvl="5" w:tplc="04090005">
      <w:start w:val="1"/>
      <w:numFmt w:val="bullet"/>
      <w:lvlText w:val=""/>
      <w:lvlJc w:val="left"/>
      <w:pPr>
        <w:ind w:left="4372" w:hanging="360"/>
      </w:pPr>
      <w:rPr>
        <w:rFonts w:ascii="Wingdings" w:hAnsi="Wingdings" w:hint="default"/>
      </w:rPr>
    </w:lvl>
    <w:lvl w:ilvl="6" w:tplc="04090001">
      <w:start w:val="1"/>
      <w:numFmt w:val="bullet"/>
      <w:lvlText w:val=""/>
      <w:lvlJc w:val="left"/>
      <w:pPr>
        <w:ind w:left="5092" w:hanging="360"/>
      </w:pPr>
      <w:rPr>
        <w:rFonts w:ascii="Symbol" w:hAnsi="Symbol" w:hint="default"/>
      </w:rPr>
    </w:lvl>
    <w:lvl w:ilvl="7" w:tplc="04090003">
      <w:start w:val="1"/>
      <w:numFmt w:val="bullet"/>
      <w:lvlText w:val="o"/>
      <w:lvlJc w:val="left"/>
      <w:pPr>
        <w:ind w:left="5812" w:hanging="360"/>
      </w:pPr>
      <w:rPr>
        <w:rFonts w:ascii="Courier New" w:hAnsi="Courier New" w:cs="Courier New" w:hint="default"/>
      </w:rPr>
    </w:lvl>
    <w:lvl w:ilvl="8" w:tplc="04090005">
      <w:start w:val="1"/>
      <w:numFmt w:val="bullet"/>
      <w:lvlText w:val=""/>
      <w:lvlJc w:val="left"/>
      <w:pPr>
        <w:ind w:left="6532" w:hanging="360"/>
      </w:pPr>
      <w:rPr>
        <w:rFonts w:ascii="Wingdings" w:hAnsi="Wingdings" w:hint="default"/>
      </w:rPr>
    </w:lvl>
  </w:abstractNum>
  <w:abstractNum w:abstractNumId="28" w15:restartNumberingAfterBreak="0">
    <w:nsid w:val="784D033C"/>
    <w:multiLevelType w:val="multilevel"/>
    <w:tmpl w:val="45FC285E"/>
    <w:lvl w:ilvl="0">
      <w:start w:val="1"/>
      <w:numFmt w:val="decimal"/>
      <w:pStyle w:val="2-SectionHeading"/>
      <w:lvlText w:val="%1"/>
      <w:lvlJc w:val="left"/>
      <w:pPr>
        <w:ind w:left="720" w:hanging="720"/>
      </w:pPr>
      <w:rPr>
        <w:rFonts w:hint="default"/>
        <w:b/>
      </w:rPr>
    </w:lvl>
    <w:lvl w:ilvl="1">
      <w:start w:val="1"/>
      <w:numFmt w:val="decimal"/>
      <w:pStyle w:val="3-BodyText"/>
      <w:lvlText w:val="%1.%2"/>
      <w:lvlJc w:val="left"/>
      <w:pPr>
        <w:ind w:left="1287" w:hanging="720"/>
      </w:pPr>
      <w:rPr>
        <w:rFonts w:asciiTheme="minorHAnsi" w:hAnsiTheme="minorHAnsi" w:cstheme="minorHAnsi" w:hint="default"/>
        <w:b w:val="0"/>
        <w:bCs w:val="0"/>
        <w:i w:val="0"/>
        <w:iCs w:val="0"/>
        <w:caps w:val="0"/>
        <w:smallCaps w:val="0"/>
        <w:strike w:val="0"/>
        <w:dstrike w:val="0"/>
        <w:outline w:val="0"/>
        <w:shadow w:val="0"/>
        <w:emboss w:val="0"/>
        <w:imprint w:val="0"/>
        <w:noProof w:val="0"/>
        <w:vanish w:val="0"/>
        <w:color w:val="auto"/>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796E3649"/>
    <w:multiLevelType w:val="hybridMultilevel"/>
    <w:tmpl w:val="7A22F7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79EC272B"/>
    <w:multiLevelType w:val="hybridMultilevel"/>
    <w:tmpl w:val="3B187D3C"/>
    <w:lvl w:ilvl="0" w:tplc="F8EE6CAC">
      <w:start w:val="1"/>
      <w:numFmt w:val="bullet"/>
      <w:lvlText w:val=""/>
      <w:lvlJc w:val="left"/>
      <w:pPr>
        <w:ind w:left="720" w:hanging="360"/>
      </w:pPr>
      <w:rPr>
        <w:rFonts w:ascii="Symbol" w:hAnsi="Symbol" w:hint="default"/>
        <w:color w:val="auto"/>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7F53672A"/>
    <w:multiLevelType w:val="hybridMultilevel"/>
    <w:tmpl w:val="A4B43658"/>
    <w:lvl w:ilvl="0" w:tplc="1788446E">
      <w:start w:val="1"/>
      <w:numFmt w:val="decimal"/>
      <w:lvlText w:val="%1."/>
      <w:lvlJc w:val="left"/>
      <w:pPr>
        <w:ind w:left="829" w:hanging="360"/>
      </w:pPr>
      <w:rPr>
        <w:i/>
        <w:color w:val="auto"/>
      </w:rPr>
    </w:lvl>
    <w:lvl w:ilvl="1" w:tplc="0C090019" w:tentative="1">
      <w:start w:val="1"/>
      <w:numFmt w:val="lowerLetter"/>
      <w:lvlText w:val="%2."/>
      <w:lvlJc w:val="left"/>
      <w:pPr>
        <w:ind w:left="1549" w:hanging="360"/>
      </w:pPr>
    </w:lvl>
    <w:lvl w:ilvl="2" w:tplc="0C09001B" w:tentative="1">
      <w:start w:val="1"/>
      <w:numFmt w:val="lowerRoman"/>
      <w:lvlText w:val="%3."/>
      <w:lvlJc w:val="right"/>
      <w:pPr>
        <w:ind w:left="2269" w:hanging="180"/>
      </w:pPr>
    </w:lvl>
    <w:lvl w:ilvl="3" w:tplc="0C09000F" w:tentative="1">
      <w:start w:val="1"/>
      <w:numFmt w:val="decimal"/>
      <w:lvlText w:val="%4."/>
      <w:lvlJc w:val="left"/>
      <w:pPr>
        <w:ind w:left="2989" w:hanging="360"/>
      </w:pPr>
    </w:lvl>
    <w:lvl w:ilvl="4" w:tplc="0C090019" w:tentative="1">
      <w:start w:val="1"/>
      <w:numFmt w:val="lowerLetter"/>
      <w:lvlText w:val="%5."/>
      <w:lvlJc w:val="left"/>
      <w:pPr>
        <w:ind w:left="3709" w:hanging="360"/>
      </w:pPr>
    </w:lvl>
    <w:lvl w:ilvl="5" w:tplc="0C09001B" w:tentative="1">
      <w:start w:val="1"/>
      <w:numFmt w:val="lowerRoman"/>
      <w:lvlText w:val="%6."/>
      <w:lvlJc w:val="right"/>
      <w:pPr>
        <w:ind w:left="4429" w:hanging="180"/>
      </w:pPr>
    </w:lvl>
    <w:lvl w:ilvl="6" w:tplc="0C09000F" w:tentative="1">
      <w:start w:val="1"/>
      <w:numFmt w:val="decimal"/>
      <w:lvlText w:val="%7."/>
      <w:lvlJc w:val="left"/>
      <w:pPr>
        <w:ind w:left="5149" w:hanging="360"/>
      </w:pPr>
    </w:lvl>
    <w:lvl w:ilvl="7" w:tplc="0C090019" w:tentative="1">
      <w:start w:val="1"/>
      <w:numFmt w:val="lowerLetter"/>
      <w:lvlText w:val="%8."/>
      <w:lvlJc w:val="left"/>
      <w:pPr>
        <w:ind w:left="5869" w:hanging="360"/>
      </w:pPr>
    </w:lvl>
    <w:lvl w:ilvl="8" w:tplc="0C09001B" w:tentative="1">
      <w:start w:val="1"/>
      <w:numFmt w:val="lowerRoman"/>
      <w:lvlText w:val="%9."/>
      <w:lvlJc w:val="right"/>
      <w:pPr>
        <w:ind w:left="6589" w:hanging="180"/>
      </w:pPr>
    </w:lvl>
  </w:abstractNum>
  <w:num w:numId="1">
    <w:abstractNumId w:val="28"/>
  </w:num>
  <w:num w:numId="2">
    <w:abstractNumId w:val="16"/>
  </w:num>
  <w:num w:numId="3">
    <w:abstractNumId w:val="17"/>
  </w:num>
  <w:num w:numId="4">
    <w:abstractNumId w:val="0"/>
  </w:num>
  <w:num w:numId="5">
    <w:abstractNumId w:val="28"/>
  </w:num>
  <w:num w:numId="6">
    <w:abstractNumId w:val="30"/>
  </w:num>
  <w:num w:numId="7">
    <w:abstractNumId w:val="5"/>
  </w:num>
  <w:num w:numId="8">
    <w:abstractNumId w:val="10"/>
  </w:num>
  <w:num w:numId="9">
    <w:abstractNumId w:val="12"/>
  </w:num>
  <w:num w:numId="10">
    <w:abstractNumId w:val="22"/>
  </w:num>
  <w:num w:numId="11">
    <w:abstractNumId w:val="16"/>
  </w:num>
  <w:num w:numId="12">
    <w:abstractNumId w:val="3"/>
  </w:num>
  <w:num w:numId="13">
    <w:abstractNumId w:val="15"/>
  </w:num>
  <w:num w:numId="14">
    <w:abstractNumId w:val="23"/>
  </w:num>
  <w:num w:numId="15">
    <w:abstractNumId w:val="25"/>
  </w:num>
  <w:num w:numId="16">
    <w:abstractNumId w:val="5"/>
  </w:num>
  <w:num w:numId="17">
    <w:abstractNumId w:val="2"/>
  </w:num>
  <w:num w:numId="18">
    <w:abstractNumId w:val="27"/>
  </w:num>
  <w:num w:numId="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num>
  <w:num w:numId="21">
    <w:abstractNumId w:val="4"/>
  </w:num>
  <w:num w:numId="22">
    <w:abstractNumId w:val="21"/>
  </w:num>
  <w:num w:numId="23">
    <w:abstractNumId w:val="7"/>
  </w:num>
  <w:num w:numId="24">
    <w:abstractNumId w:val="12"/>
  </w:num>
  <w:num w:numId="2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9"/>
  </w:num>
  <w:num w:numId="27">
    <w:abstractNumId w:val="1"/>
  </w:num>
  <w:num w:numId="28">
    <w:abstractNumId w:val="26"/>
  </w:num>
  <w:num w:numId="29">
    <w:abstractNumId w:val="24"/>
  </w:num>
  <w:num w:numId="30">
    <w:abstractNumId w:val="18"/>
  </w:num>
  <w:num w:numId="31">
    <w:abstractNumId w:val="14"/>
  </w:num>
  <w:num w:numId="32">
    <w:abstractNumId w:val="11"/>
  </w:num>
  <w:num w:numId="33">
    <w:abstractNumId w:val="9"/>
  </w:num>
  <w:num w:numId="34">
    <w:abstractNumId w:val="31"/>
  </w:num>
  <w:num w:numId="35">
    <w:abstractNumId w:val="28"/>
  </w:num>
  <w:num w:numId="36">
    <w:abstractNumId w:val="17"/>
  </w:num>
  <w:num w:numId="37">
    <w:abstractNumId w:val="17"/>
  </w:num>
  <w:num w:numId="38">
    <w:abstractNumId w:val="8"/>
  </w:num>
  <w:num w:numId="39">
    <w:abstractNumId w:val="20"/>
  </w:num>
  <w:num w:numId="40">
    <w:abstractNumId w:val="28"/>
  </w:num>
  <w:num w:numId="41">
    <w:abstractNumId w:val="6"/>
  </w:num>
  <w:num w:numId="42">
    <w:abstractNumId w:val="28"/>
  </w:num>
  <w:num w:numId="43">
    <w:abstractNumId w:val="28"/>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4"/>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5E79"/>
    <w:rsid w:val="00000790"/>
    <w:rsid w:val="0000110B"/>
    <w:rsid w:val="00003499"/>
    <w:rsid w:val="000039B7"/>
    <w:rsid w:val="0000639A"/>
    <w:rsid w:val="00010F18"/>
    <w:rsid w:val="00012BE5"/>
    <w:rsid w:val="00013247"/>
    <w:rsid w:val="00014281"/>
    <w:rsid w:val="00015523"/>
    <w:rsid w:val="00015886"/>
    <w:rsid w:val="000162EF"/>
    <w:rsid w:val="0001657C"/>
    <w:rsid w:val="0001659F"/>
    <w:rsid w:val="000207C9"/>
    <w:rsid w:val="0002225F"/>
    <w:rsid w:val="00023763"/>
    <w:rsid w:val="00025ACA"/>
    <w:rsid w:val="000274B8"/>
    <w:rsid w:val="00033863"/>
    <w:rsid w:val="00035DC0"/>
    <w:rsid w:val="00036829"/>
    <w:rsid w:val="000377E5"/>
    <w:rsid w:val="00037CD9"/>
    <w:rsid w:val="00040895"/>
    <w:rsid w:val="000435EE"/>
    <w:rsid w:val="00043C37"/>
    <w:rsid w:val="00045017"/>
    <w:rsid w:val="00045840"/>
    <w:rsid w:val="00045A2B"/>
    <w:rsid w:val="0004698F"/>
    <w:rsid w:val="00046ECE"/>
    <w:rsid w:val="000539D0"/>
    <w:rsid w:val="00054621"/>
    <w:rsid w:val="000546D7"/>
    <w:rsid w:val="00055CD4"/>
    <w:rsid w:val="00056ECF"/>
    <w:rsid w:val="00056F2F"/>
    <w:rsid w:val="000604DF"/>
    <w:rsid w:val="00060E5C"/>
    <w:rsid w:val="00063FF7"/>
    <w:rsid w:val="00064813"/>
    <w:rsid w:val="000653B5"/>
    <w:rsid w:val="00066360"/>
    <w:rsid w:val="00066AF8"/>
    <w:rsid w:val="00066BFB"/>
    <w:rsid w:val="00066F92"/>
    <w:rsid w:val="00071248"/>
    <w:rsid w:val="000720B9"/>
    <w:rsid w:val="000737F7"/>
    <w:rsid w:val="00074925"/>
    <w:rsid w:val="0007672F"/>
    <w:rsid w:val="00076B54"/>
    <w:rsid w:val="000774F0"/>
    <w:rsid w:val="00080909"/>
    <w:rsid w:val="000812CA"/>
    <w:rsid w:val="00081E63"/>
    <w:rsid w:val="0008258D"/>
    <w:rsid w:val="00083E99"/>
    <w:rsid w:val="00084FA8"/>
    <w:rsid w:val="000856C5"/>
    <w:rsid w:val="00085C31"/>
    <w:rsid w:val="00086EFF"/>
    <w:rsid w:val="000902D9"/>
    <w:rsid w:val="00090C7E"/>
    <w:rsid w:val="00092600"/>
    <w:rsid w:val="0009262B"/>
    <w:rsid w:val="00092E27"/>
    <w:rsid w:val="00093310"/>
    <w:rsid w:val="00093859"/>
    <w:rsid w:val="0009445C"/>
    <w:rsid w:val="00095200"/>
    <w:rsid w:val="00095FE5"/>
    <w:rsid w:val="00096284"/>
    <w:rsid w:val="000A1BC0"/>
    <w:rsid w:val="000A6039"/>
    <w:rsid w:val="000A7453"/>
    <w:rsid w:val="000A7D08"/>
    <w:rsid w:val="000B0121"/>
    <w:rsid w:val="000B0670"/>
    <w:rsid w:val="000B0E75"/>
    <w:rsid w:val="000B1ADA"/>
    <w:rsid w:val="000B2DCB"/>
    <w:rsid w:val="000B3B27"/>
    <w:rsid w:val="000B55F1"/>
    <w:rsid w:val="000B5CE0"/>
    <w:rsid w:val="000B6CAC"/>
    <w:rsid w:val="000B7376"/>
    <w:rsid w:val="000B7612"/>
    <w:rsid w:val="000B78AE"/>
    <w:rsid w:val="000C2004"/>
    <w:rsid w:val="000C2BC5"/>
    <w:rsid w:val="000C3DF9"/>
    <w:rsid w:val="000C6713"/>
    <w:rsid w:val="000D1BFC"/>
    <w:rsid w:val="000D1D5D"/>
    <w:rsid w:val="000D250C"/>
    <w:rsid w:val="000D281A"/>
    <w:rsid w:val="000D2848"/>
    <w:rsid w:val="000D326A"/>
    <w:rsid w:val="000D51FB"/>
    <w:rsid w:val="000D71CB"/>
    <w:rsid w:val="000E03D6"/>
    <w:rsid w:val="000E0640"/>
    <w:rsid w:val="000E0ACD"/>
    <w:rsid w:val="000E135D"/>
    <w:rsid w:val="000E2B56"/>
    <w:rsid w:val="000F00BA"/>
    <w:rsid w:val="000F1026"/>
    <w:rsid w:val="000F1799"/>
    <w:rsid w:val="000F19B9"/>
    <w:rsid w:val="000F1D6C"/>
    <w:rsid w:val="000F316A"/>
    <w:rsid w:val="000F34ED"/>
    <w:rsid w:val="000F3C74"/>
    <w:rsid w:val="000F3F90"/>
    <w:rsid w:val="000F476C"/>
    <w:rsid w:val="000F4BB8"/>
    <w:rsid w:val="000F4FA9"/>
    <w:rsid w:val="000F53FB"/>
    <w:rsid w:val="000F7127"/>
    <w:rsid w:val="000F7860"/>
    <w:rsid w:val="000F7B54"/>
    <w:rsid w:val="00100F8A"/>
    <w:rsid w:val="00104089"/>
    <w:rsid w:val="0010452E"/>
    <w:rsid w:val="00104E45"/>
    <w:rsid w:val="00105AE2"/>
    <w:rsid w:val="001060C6"/>
    <w:rsid w:val="00106B80"/>
    <w:rsid w:val="0011032E"/>
    <w:rsid w:val="00111218"/>
    <w:rsid w:val="0011348B"/>
    <w:rsid w:val="00115982"/>
    <w:rsid w:val="00116C53"/>
    <w:rsid w:val="0012006F"/>
    <w:rsid w:val="00121799"/>
    <w:rsid w:val="001222FC"/>
    <w:rsid w:val="00123902"/>
    <w:rsid w:val="001242B6"/>
    <w:rsid w:val="00124A51"/>
    <w:rsid w:val="00126621"/>
    <w:rsid w:val="00126B1D"/>
    <w:rsid w:val="00127B83"/>
    <w:rsid w:val="00127E84"/>
    <w:rsid w:val="001301E9"/>
    <w:rsid w:val="00131D82"/>
    <w:rsid w:val="001328F7"/>
    <w:rsid w:val="00132B22"/>
    <w:rsid w:val="00133D36"/>
    <w:rsid w:val="00137645"/>
    <w:rsid w:val="0014015A"/>
    <w:rsid w:val="00140E99"/>
    <w:rsid w:val="00143F67"/>
    <w:rsid w:val="00145540"/>
    <w:rsid w:val="001456B0"/>
    <w:rsid w:val="0014636D"/>
    <w:rsid w:val="00146AA0"/>
    <w:rsid w:val="00151C6B"/>
    <w:rsid w:val="00152A2A"/>
    <w:rsid w:val="00154899"/>
    <w:rsid w:val="00154BA9"/>
    <w:rsid w:val="00156F8F"/>
    <w:rsid w:val="00157130"/>
    <w:rsid w:val="001576B1"/>
    <w:rsid w:val="0016047B"/>
    <w:rsid w:val="00160A4C"/>
    <w:rsid w:val="00161A36"/>
    <w:rsid w:val="00162913"/>
    <w:rsid w:val="001629D8"/>
    <w:rsid w:val="00163EFF"/>
    <w:rsid w:val="00163F66"/>
    <w:rsid w:val="001655B5"/>
    <w:rsid w:val="001661FB"/>
    <w:rsid w:val="001671A0"/>
    <w:rsid w:val="0016767F"/>
    <w:rsid w:val="00173565"/>
    <w:rsid w:val="00173B07"/>
    <w:rsid w:val="001751FA"/>
    <w:rsid w:val="0017529B"/>
    <w:rsid w:val="00181D9C"/>
    <w:rsid w:val="0018395A"/>
    <w:rsid w:val="00184B0E"/>
    <w:rsid w:val="0018562F"/>
    <w:rsid w:val="0018752F"/>
    <w:rsid w:val="00191A05"/>
    <w:rsid w:val="00192997"/>
    <w:rsid w:val="00193838"/>
    <w:rsid w:val="00193E54"/>
    <w:rsid w:val="001941DE"/>
    <w:rsid w:val="00194AD8"/>
    <w:rsid w:val="00195222"/>
    <w:rsid w:val="00196429"/>
    <w:rsid w:val="001975D8"/>
    <w:rsid w:val="001977F7"/>
    <w:rsid w:val="001A0F0F"/>
    <w:rsid w:val="001A178E"/>
    <w:rsid w:val="001A43FA"/>
    <w:rsid w:val="001A47C5"/>
    <w:rsid w:val="001A5317"/>
    <w:rsid w:val="001A558C"/>
    <w:rsid w:val="001A59FB"/>
    <w:rsid w:val="001A5E9E"/>
    <w:rsid w:val="001A6354"/>
    <w:rsid w:val="001A6366"/>
    <w:rsid w:val="001A7AE8"/>
    <w:rsid w:val="001B204E"/>
    <w:rsid w:val="001B2372"/>
    <w:rsid w:val="001B3443"/>
    <w:rsid w:val="001B46A4"/>
    <w:rsid w:val="001B4D20"/>
    <w:rsid w:val="001B7302"/>
    <w:rsid w:val="001C2A9B"/>
    <w:rsid w:val="001C4299"/>
    <w:rsid w:val="001C4874"/>
    <w:rsid w:val="001C5F94"/>
    <w:rsid w:val="001C6E66"/>
    <w:rsid w:val="001D1100"/>
    <w:rsid w:val="001D1391"/>
    <w:rsid w:val="001D16DB"/>
    <w:rsid w:val="001D1987"/>
    <w:rsid w:val="001D25D7"/>
    <w:rsid w:val="001D281D"/>
    <w:rsid w:val="001D4216"/>
    <w:rsid w:val="001D50B2"/>
    <w:rsid w:val="001D7645"/>
    <w:rsid w:val="001D7E02"/>
    <w:rsid w:val="001D7F21"/>
    <w:rsid w:val="001E00B8"/>
    <w:rsid w:val="001E1E86"/>
    <w:rsid w:val="001E238E"/>
    <w:rsid w:val="001E2483"/>
    <w:rsid w:val="001E2B1E"/>
    <w:rsid w:val="001E2CFF"/>
    <w:rsid w:val="001E2F24"/>
    <w:rsid w:val="001E30D4"/>
    <w:rsid w:val="001E34DF"/>
    <w:rsid w:val="001E5219"/>
    <w:rsid w:val="001E52EB"/>
    <w:rsid w:val="001E61D2"/>
    <w:rsid w:val="001E740C"/>
    <w:rsid w:val="001F1235"/>
    <w:rsid w:val="001F1954"/>
    <w:rsid w:val="001F1CB3"/>
    <w:rsid w:val="001F2F9E"/>
    <w:rsid w:val="001F3074"/>
    <w:rsid w:val="001F38B5"/>
    <w:rsid w:val="001F4081"/>
    <w:rsid w:val="001F7361"/>
    <w:rsid w:val="001F7E52"/>
    <w:rsid w:val="002011B0"/>
    <w:rsid w:val="002017E7"/>
    <w:rsid w:val="00203181"/>
    <w:rsid w:val="00203783"/>
    <w:rsid w:val="0020385F"/>
    <w:rsid w:val="002056A2"/>
    <w:rsid w:val="002068A0"/>
    <w:rsid w:val="00207021"/>
    <w:rsid w:val="0020732F"/>
    <w:rsid w:val="00207D00"/>
    <w:rsid w:val="002105C1"/>
    <w:rsid w:val="0021220E"/>
    <w:rsid w:val="00213EF5"/>
    <w:rsid w:val="00214182"/>
    <w:rsid w:val="00216BF5"/>
    <w:rsid w:val="00217705"/>
    <w:rsid w:val="00217B20"/>
    <w:rsid w:val="00220867"/>
    <w:rsid w:val="00220A58"/>
    <w:rsid w:val="00220AA4"/>
    <w:rsid w:val="002216C6"/>
    <w:rsid w:val="0022208E"/>
    <w:rsid w:val="00223B49"/>
    <w:rsid w:val="00223C6E"/>
    <w:rsid w:val="00223D5A"/>
    <w:rsid w:val="00224556"/>
    <w:rsid w:val="00224DD4"/>
    <w:rsid w:val="00225F61"/>
    <w:rsid w:val="002278A0"/>
    <w:rsid w:val="002309CC"/>
    <w:rsid w:val="0023126F"/>
    <w:rsid w:val="0023209F"/>
    <w:rsid w:val="00233C01"/>
    <w:rsid w:val="0023413C"/>
    <w:rsid w:val="002346F0"/>
    <w:rsid w:val="00236191"/>
    <w:rsid w:val="0023629D"/>
    <w:rsid w:val="00237255"/>
    <w:rsid w:val="00240EFA"/>
    <w:rsid w:val="002424AF"/>
    <w:rsid w:val="0024318D"/>
    <w:rsid w:val="002439DC"/>
    <w:rsid w:val="002441D2"/>
    <w:rsid w:val="00244DC8"/>
    <w:rsid w:val="00245783"/>
    <w:rsid w:val="002458BA"/>
    <w:rsid w:val="00245CE9"/>
    <w:rsid w:val="0024636C"/>
    <w:rsid w:val="0024657C"/>
    <w:rsid w:val="00247925"/>
    <w:rsid w:val="00250B3A"/>
    <w:rsid w:val="00251006"/>
    <w:rsid w:val="002524D5"/>
    <w:rsid w:val="00252CEC"/>
    <w:rsid w:val="00253B1D"/>
    <w:rsid w:val="00254811"/>
    <w:rsid w:val="00254DCF"/>
    <w:rsid w:val="00255068"/>
    <w:rsid w:val="0025534B"/>
    <w:rsid w:val="00255BB7"/>
    <w:rsid w:val="00257541"/>
    <w:rsid w:val="00257A39"/>
    <w:rsid w:val="00257AC4"/>
    <w:rsid w:val="00261EEF"/>
    <w:rsid w:val="00262A1A"/>
    <w:rsid w:val="00262A87"/>
    <w:rsid w:val="0026345B"/>
    <w:rsid w:val="00264D26"/>
    <w:rsid w:val="00267642"/>
    <w:rsid w:val="00267AEA"/>
    <w:rsid w:val="002700E6"/>
    <w:rsid w:val="00270277"/>
    <w:rsid w:val="0027294B"/>
    <w:rsid w:val="00273EB4"/>
    <w:rsid w:val="00274682"/>
    <w:rsid w:val="00275C5A"/>
    <w:rsid w:val="002779E3"/>
    <w:rsid w:val="002809D4"/>
    <w:rsid w:val="00280EAB"/>
    <w:rsid w:val="00281014"/>
    <w:rsid w:val="0028665D"/>
    <w:rsid w:val="002942A4"/>
    <w:rsid w:val="0029601E"/>
    <w:rsid w:val="00296BD7"/>
    <w:rsid w:val="002A0BA9"/>
    <w:rsid w:val="002A14AB"/>
    <w:rsid w:val="002A2ADE"/>
    <w:rsid w:val="002A2F50"/>
    <w:rsid w:val="002A7FD3"/>
    <w:rsid w:val="002B05A1"/>
    <w:rsid w:val="002B0980"/>
    <w:rsid w:val="002B09A4"/>
    <w:rsid w:val="002B1C1F"/>
    <w:rsid w:val="002B432F"/>
    <w:rsid w:val="002B5D0D"/>
    <w:rsid w:val="002B62B3"/>
    <w:rsid w:val="002B6754"/>
    <w:rsid w:val="002B69E8"/>
    <w:rsid w:val="002B6CCE"/>
    <w:rsid w:val="002C2510"/>
    <w:rsid w:val="002C2775"/>
    <w:rsid w:val="002C27C1"/>
    <w:rsid w:val="002C33EF"/>
    <w:rsid w:val="002C5099"/>
    <w:rsid w:val="002C5889"/>
    <w:rsid w:val="002C71CE"/>
    <w:rsid w:val="002D08F8"/>
    <w:rsid w:val="002D20D0"/>
    <w:rsid w:val="002D577C"/>
    <w:rsid w:val="002D65F4"/>
    <w:rsid w:val="002E1071"/>
    <w:rsid w:val="002E15B9"/>
    <w:rsid w:val="002E2158"/>
    <w:rsid w:val="002E4F02"/>
    <w:rsid w:val="002E6DAE"/>
    <w:rsid w:val="002E7722"/>
    <w:rsid w:val="002F05EA"/>
    <w:rsid w:val="002F07BA"/>
    <w:rsid w:val="002F0DA9"/>
    <w:rsid w:val="002F1014"/>
    <w:rsid w:val="002F643C"/>
    <w:rsid w:val="002F71C0"/>
    <w:rsid w:val="002F74F1"/>
    <w:rsid w:val="00301017"/>
    <w:rsid w:val="0030155F"/>
    <w:rsid w:val="003054F6"/>
    <w:rsid w:val="0030587B"/>
    <w:rsid w:val="00306D98"/>
    <w:rsid w:val="00306FB2"/>
    <w:rsid w:val="0030786C"/>
    <w:rsid w:val="0031031A"/>
    <w:rsid w:val="00310981"/>
    <w:rsid w:val="00310BFE"/>
    <w:rsid w:val="003111AC"/>
    <w:rsid w:val="00311DF9"/>
    <w:rsid w:val="003124D9"/>
    <w:rsid w:val="00312594"/>
    <w:rsid w:val="00313E4B"/>
    <w:rsid w:val="00315498"/>
    <w:rsid w:val="00316474"/>
    <w:rsid w:val="00317042"/>
    <w:rsid w:val="00322107"/>
    <w:rsid w:val="00322355"/>
    <w:rsid w:val="00322846"/>
    <w:rsid w:val="00324508"/>
    <w:rsid w:val="00326DA7"/>
    <w:rsid w:val="003270E4"/>
    <w:rsid w:val="00330DAA"/>
    <w:rsid w:val="00330F5C"/>
    <w:rsid w:val="003366C9"/>
    <w:rsid w:val="00336A5A"/>
    <w:rsid w:val="003371B0"/>
    <w:rsid w:val="00340DF1"/>
    <w:rsid w:val="0034482F"/>
    <w:rsid w:val="003517F9"/>
    <w:rsid w:val="00351BA9"/>
    <w:rsid w:val="00353057"/>
    <w:rsid w:val="00354F64"/>
    <w:rsid w:val="0035620E"/>
    <w:rsid w:val="00357E48"/>
    <w:rsid w:val="00360345"/>
    <w:rsid w:val="0036176D"/>
    <w:rsid w:val="00361A05"/>
    <w:rsid w:val="00361E18"/>
    <w:rsid w:val="003622AE"/>
    <w:rsid w:val="003624C4"/>
    <w:rsid w:val="00362F79"/>
    <w:rsid w:val="0036322C"/>
    <w:rsid w:val="00363B00"/>
    <w:rsid w:val="003654AC"/>
    <w:rsid w:val="003676BC"/>
    <w:rsid w:val="003710CF"/>
    <w:rsid w:val="0037358A"/>
    <w:rsid w:val="003750F6"/>
    <w:rsid w:val="00375690"/>
    <w:rsid w:val="00375D10"/>
    <w:rsid w:val="003760FC"/>
    <w:rsid w:val="00376E78"/>
    <w:rsid w:val="003771C7"/>
    <w:rsid w:val="0038365C"/>
    <w:rsid w:val="0038369B"/>
    <w:rsid w:val="00383B78"/>
    <w:rsid w:val="00384BCD"/>
    <w:rsid w:val="00385A9D"/>
    <w:rsid w:val="003902B1"/>
    <w:rsid w:val="0039179C"/>
    <w:rsid w:val="0039398D"/>
    <w:rsid w:val="00394453"/>
    <w:rsid w:val="00396896"/>
    <w:rsid w:val="00396FD0"/>
    <w:rsid w:val="003A02C4"/>
    <w:rsid w:val="003A1A7A"/>
    <w:rsid w:val="003A2392"/>
    <w:rsid w:val="003A2831"/>
    <w:rsid w:val="003A3CB6"/>
    <w:rsid w:val="003A3ED1"/>
    <w:rsid w:val="003A44DB"/>
    <w:rsid w:val="003A555F"/>
    <w:rsid w:val="003A6350"/>
    <w:rsid w:val="003B3971"/>
    <w:rsid w:val="003B55D1"/>
    <w:rsid w:val="003B5862"/>
    <w:rsid w:val="003B5B61"/>
    <w:rsid w:val="003C1654"/>
    <w:rsid w:val="003C33B8"/>
    <w:rsid w:val="003C5542"/>
    <w:rsid w:val="003C7D19"/>
    <w:rsid w:val="003C7D2F"/>
    <w:rsid w:val="003D0F64"/>
    <w:rsid w:val="003D1828"/>
    <w:rsid w:val="003D1DE4"/>
    <w:rsid w:val="003D1E9A"/>
    <w:rsid w:val="003D2422"/>
    <w:rsid w:val="003D39A1"/>
    <w:rsid w:val="003D3FBF"/>
    <w:rsid w:val="003D4A30"/>
    <w:rsid w:val="003D556A"/>
    <w:rsid w:val="003D6833"/>
    <w:rsid w:val="003D7452"/>
    <w:rsid w:val="003D79BB"/>
    <w:rsid w:val="003D7C98"/>
    <w:rsid w:val="003D7D9D"/>
    <w:rsid w:val="003E0543"/>
    <w:rsid w:val="003E749E"/>
    <w:rsid w:val="003F06EB"/>
    <w:rsid w:val="003F15F3"/>
    <w:rsid w:val="003F18DC"/>
    <w:rsid w:val="003F4156"/>
    <w:rsid w:val="003F5ADF"/>
    <w:rsid w:val="00400B29"/>
    <w:rsid w:val="00402704"/>
    <w:rsid w:val="0040504B"/>
    <w:rsid w:val="004054B4"/>
    <w:rsid w:val="004059F4"/>
    <w:rsid w:val="00407FE5"/>
    <w:rsid w:val="004101B0"/>
    <w:rsid w:val="00410326"/>
    <w:rsid w:val="00410708"/>
    <w:rsid w:val="00410EC7"/>
    <w:rsid w:val="004116B0"/>
    <w:rsid w:val="00411B39"/>
    <w:rsid w:val="004127A7"/>
    <w:rsid w:val="00413A1E"/>
    <w:rsid w:val="00414476"/>
    <w:rsid w:val="00414C2E"/>
    <w:rsid w:val="004151CF"/>
    <w:rsid w:val="00416364"/>
    <w:rsid w:val="0042047F"/>
    <w:rsid w:val="00420AA6"/>
    <w:rsid w:val="00420B9F"/>
    <w:rsid w:val="0042192C"/>
    <w:rsid w:val="00422260"/>
    <w:rsid w:val="0042413F"/>
    <w:rsid w:val="0042449A"/>
    <w:rsid w:val="00425E6F"/>
    <w:rsid w:val="00427255"/>
    <w:rsid w:val="004319F8"/>
    <w:rsid w:val="00431BFA"/>
    <w:rsid w:val="00431E55"/>
    <w:rsid w:val="004321F6"/>
    <w:rsid w:val="00432F45"/>
    <w:rsid w:val="00433044"/>
    <w:rsid w:val="00434088"/>
    <w:rsid w:val="004375B9"/>
    <w:rsid w:val="004375E9"/>
    <w:rsid w:val="004428D0"/>
    <w:rsid w:val="00444185"/>
    <w:rsid w:val="004443A7"/>
    <w:rsid w:val="0044442C"/>
    <w:rsid w:val="00445941"/>
    <w:rsid w:val="004464EB"/>
    <w:rsid w:val="00447D26"/>
    <w:rsid w:val="00447DFC"/>
    <w:rsid w:val="0045271E"/>
    <w:rsid w:val="00455D45"/>
    <w:rsid w:val="004564C7"/>
    <w:rsid w:val="00457A11"/>
    <w:rsid w:val="004618F5"/>
    <w:rsid w:val="0046248D"/>
    <w:rsid w:val="00464595"/>
    <w:rsid w:val="004658B5"/>
    <w:rsid w:val="00465919"/>
    <w:rsid w:val="004668FB"/>
    <w:rsid w:val="00471EA5"/>
    <w:rsid w:val="004725DF"/>
    <w:rsid w:val="00472A79"/>
    <w:rsid w:val="00473F19"/>
    <w:rsid w:val="00475E22"/>
    <w:rsid w:val="00477C05"/>
    <w:rsid w:val="0048088E"/>
    <w:rsid w:val="00480F2B"/>
    <w:rsid w:val="00482720"/>
    <w:rsid w:val="004830A9"/>
    <w:rsid w:val="004835E7"/>
    <w:rsid w:val="00486199"/>
    <w:rsid w:val="0048637C"/>
    <w:rsid w:val="004867E2"/>
    <w:rsid w:val="00490B17"/>
    <w:rsid w:val="00491A3E"/>
    <w:rsid w:val="00491B3A"/>
    <w:rsid w:val="00492CFD"/>
    <w:rsid w:val="00494207"/>
    <w:rsid w:val="00494DD5"/>
    <w:rsid w:val="004952AD"/>
    <w:rsid w:val="004962D2"/>
    <w:rsid w:val="00497934"/>
    <w:rsid w:val="004A0DA1"/>
    <w:rsid w:val="004A1366"/>
    <w:rsid w:val="004A13D6"/>
    <w:rsid w:val="004A40BD"/>
    <w:rsid w:val="004A41D0"/>
    <w:rsid w:val="004A52E9"/>
    <w:rsid w:val="004A6040"/>
    <w:rsid w:val="004A6597"/>
    <w:rsid w:val="004A7848"/>
    <w:rsid w:val="004B1CB4"/>
    <w:rsid w:val="004B2F18"/>
    <w:rsid w:val="004B3DDB"/>
    <w:rsid w:val="004B4018"/>
    <w:rsid w:val="004B44FD"/>
    <w:rsid w:val="004B5CFC"/>
    <w:rsid w:val="004B6F79"/>
    <w:rsid w:val="004B774D"/>
    <w:rsid w:val="004C0431"/>
    <w:rsid w:val="004C0BAB"/>
    <w:rsid w:val="004C4AED"/>
    <w:rsid w:val="004C7A49"/>
    <w:rsid w:val="004D0F0E"/>
    <w:rsid w:val="004D2AA5"/>
    <w:rsid w:val="004D2C2D"/>
    <w:rsid w:val="004D2DF2"/>
    <w:rsid w:val="004D37AE"/>
    <w:rsid w:val="004D69B5"/>
    <w:rsid w:val="004D7227"/>
    <w:rsid w:val="004E0029"/>
    <w:rsid w:val="004E0099"/>
    <w:rsid w:val="004E0374"/>
    <w:rsid w:val="004E0E7F"/>
    <w:rsid w:val="004E0EB8"/>
    <w:rsid w:val="004E18E9"/>
    <w:rsid w:val="004E2ADC"/>
    <w:rsid w:val="004E2C0B"/>
    <w:rsid w:val="004E43B2"/>
    <w:rsid w:val="004E5652"/>
    <w:rsid w:val="004F01EB"/>
    <w:rsid w:val="004F1D02"/>
    <w:rsid w:val="004F2679"/>
    <w:rsid w:val="004F2F21"/>
    <w:rsid w:val="004F3DE5"/>
    <w:rsid w:val="004F6913"/>
    <w:rsid w:val="004F7865"/>
    <w:rsid w:val="00501350"/>
    <w:rsid w:val="0050174E"/>
    <w:rsid w:val="00501854"/>
    <w:rsid w:val="0050219B"/>
    <w:rsid w:val="00503F17"/>
    <w:rsid w:val="00506928"/>
    <w:rsid w:val="005077EF"/>
    <w:rsid w:val="00507BEC"/>
    <w:rsid w:val="00511AD5"/>
    <w:rsid w:val="00511DC7"/>
    <w:rsid w:val="00512624"/>
    <w:rsid w:val="00513072"/>
    <w:rsid w:val="00513779"/>
    <w:rsid w:val="005142C5"/>
    <w:rsid w:val="0051501B"/>
    <w:rsid w:val="005152B5"/>
    <w:rsid w:val="005155D1"/>
    <w:rsid w:val="005206C5"/>
    <w:rsid w:val="0052123C"/>
    <w:rsid w:val="00521319"/>
    <w:rsid w:val="00522BC8"/>
    <w:rsid w:val="00523C28"/>
    <w:rsid w:val="00526F4D"/>
    <w:rsid w:val="0053176B"/>
    <w:rsid w:val="00534D50"/>
    <w:rsid w:val="00536F42"/>
    <w:rsid w:val="00537182"/>
    <w:rsid w:val="00541EDD"/>
    <w:rsid w:val="00541FAB"/>
    <w:rsid w:val="00542743"/>
    <w:rsid w:val="00542C2D"/>
    <w:rsid w:val="00546286"/>
    <w:rsid w:val="005478BD"/>
    <w:rsid w:val="005479E3"/>
    <w:rsid w:val="00551985"/>
    <w:rsid w:val="00552BD3"/>
    <w:rsid w:val="005532A0"/>
    <w:rsid w:val="00553D83"/>
    <w:rsid w:val="00555109"/>
    <w:rsid w:val="005559D6"/>
    <w:rsid w:val="00556B35"/>
    <w:rsid w:val="0055741A"/>
    <w:rsid w:val="005604B5"/>
    <w:rsid w:val="005611B7"/>
    <w:rsid w:val="005618D4"/>
    <w:rsid w:val="00565DF0"/>
    <w:rsid w:val="0056696F"/>
    <w:rsid w:val="005673BD"/>
    <w:rsid w:val="00572269"/>
    <w:rsid w:val="0057244A"/>
    <w:rsid w:val="00572F26"/>
    <w:rsid w:val="005747A5"/>
    <w:rsid w:val="005750C5"/>
    <w:rsid w:val="005752DE"/>
    <w:rsid w:val="00575D8D"/>
    <w:rsid w:val="0057620D"/>
    <w:rsid w:val="00576972"/>
    <w:rsid w:val="00582874"/>
    <w:rsid w:val="00582881"/>
    <w:rsid w:val="00583699"/>
    <w:rsid w:val="00584F48"/>
    <w:rsid w:val="00585981"/>
    <w:rsid w:val="00585CDD"/>
    <w:rsid w:val="00585D1D"/>
    <w:rsid w:val="00587058"/>
    <w:rsid w:val="00587811"/>
    <w:rsid w:val="00591957"/>
    <w:rsid w:val="00595649"/>
    <w:rsid w:val="00597010"/>
    <w:rsid w:val="00597BF9"/>
    <w:rsid w:val="005A2CF1"/>
    <w:rsid w:val="005A309A"/>
    <w:rsid w:val="005A373D"/>
    <w:rsid w:val="005A3C1D"/>
    <w:rsid w:val="005A7590"/>
    <w:rsid w:val="005A7E27"/>
    <w:rsid w:val="005B0B58"/>
    <w:rsid w:val="005B3772"/>
    <w:rsid w:val="005B4E53"/>
    <w:rsid w:val="005B57F3"/>
    <w:rsid w:val="005B5857"/>
    <w:rsid w:val="005B7DFB"/>
    <w:rsid w:val="005C1B83"/>
    <w:rsid w:val="005C25FF"/>
    <w:rsid w:val="005C2A5E"/>
    <w:rsid w:val="005C2D55"/>
    <w:rsid w:val="005C346B"/>
    <w:rsid w:val="005D044D"/>
    <w:rsid w:val="005D08D7"/>
    <w:rsid w:val="005D0ABD"/>
    <w:rsid w:val="005D18AD"/>
    <w:rsid w:val="005D26B4"/>
    <w:rsid w:val="005D407F"/>
    <w:rsid w:val="005D67E3"/>
    <w:rsid w:val="005E3EE7"/>
    <w:rsid w:val="005E46AB"/>
    <w:rsid w:val="005E6CBC"/>
    <w:rsid w:val="005E72FF"/>
    <w:rsid w:val="005E73C0"/>
    <w:rsid w:val="005F2706"/>
    <w:rsid w:val="005F6A8F"/>
    <w:rsid w:val="005F6BB7"/>
    <w:rsid w:val="005F7588"/>
    <w:rsid w:val="00603DB9"/>
    <w:rsid w:val="00606FBA"/>
    <w:rsid w:val="00607669"/>
    <w:rsid w:val="006076F4"/>
    <w:rsid w:val="00607AFD"/>
    <w:rsid w:val="0061000F"/>
    <w:rsid w:val="006100DE"/>
    <w:rsid w:val="00611CF8"/>
    <w:rsid w:val="00612F97"/>
    <w:rsid w:val="0061345D"/>
    <w:rsid w:val="00613D8E"/>
    <w:rsid w:val="00615288"/>
    <w:rsid w:val="0061549B"/>
    <w:rsid w:val="00616802"/>
    <w:rsid w:val="00617E12"/>
    <w:rsid w:val="00620C25"/>
    <w:rsid w:val="00621477"/>
    <w:rsid w:val="00621ADA"/>
    <w:rsid w:val="00623F7B"/>
    <w:rsid w:val="0062478D"/>
    <w:rsid w:val="0063158F"/>
    <w:rsid w:val="00631D6B"/>
    <w:rsid w:val="00632183"/>
    <w:rsid w:val="006330A1"/>
    <w:rsid w:val="0063394A"/>
    <w:rsid w:val="0063479F"/>
    <w:rsid w:val="006353F0"/>
    <w:rsid w:val="006357B5"/>
    <w:rsid w:val="006364A1"/>
    <w:rsid w:val="0063678E"/>
    <w:rsid w:val="0063713A"/>
    <w:rsid w:val="00637BFD"/>
    <w:rsid w:val="00641C4E"/>
    <w:rsid w:val="00641FB3"/>
    <w:rsid w:val="0064434C"/>
    <w:rsid w:val="006471CC"/>
    <w:rsid w:val="00647A29"/>
    <w:rsid w:val="0065079F"/>
    <w:rsid w:val="00652A28"/>
    <w:rsid w:val="00652CC2"/>
    <w:rsid w:val="0065379F"/>
    <w:rsid w:val="00656188"/>
    <w:rsid w:val="0065715A"/>
    <w:rsid w:val="006610F1"/>
    <w:rsid w:val="00661C6B"/>
    <w:rsid w:val="006628A9"/>
    <w:rsid w:val="00662B55"/>
    <w:rsid w:val="006635C5"/>
    <w:rsid w:val="0066571E"/>
    <w:rsid w:val="00665725"/>
    <w:rsid w:val="0067044A"/>
    <w:rsid w:val="00671004"/>
    <w:rsid w:val="00671E53"/>
    <w:rsid w:val="00672646"/>
    <w:rsid w:val="00674E42"/>
    <w:rsid w:val="006813F8"/>
    <w:rsid w:val="00682112"/>
    <w:rsid w:val="00682BA6"/>
    <w:rsid w:val="00682D58"/>
    <w:rsid w:val="00686957"/>
    <w:rsid w:val="006872BA"/>
    <w:rsid w:val="00690795"/>
    <w:rsid w:val="00690B24"/>
    <w:rsid w:val="00691648"/>
    <w:rsid w:val="006917D7"/>
    <w:rsid w:val="0069434C"/>
    <w:rsid w:val="00694F44"/>
    <w:rsid w:val="0069596D"/>
    <w:rsid w:val="00696F51"/>
    <w:rsid w:val="006979A5"/>
    <w:rsid w:val="006A1537"/>
    <w:rsid w:val="006A4915"/>
    <w:rsid w:val="006A6B99"/>
    <w:rsid w:val="006A74A6"/>
    <w:rsid w:val="006A7E5F"/>
    <w:rsid w:val="006B261B"/>
    <w:rsid w:val="006B2C90"/>
    <w:rsid w:val="006B35E6"/>
    <w:rsid w:val="006B465A"/>
    <w:rsid w:val="006B6DD0"/>
    <w:rsid w:val="006C0399"/>
    <w:rsid w:val="006C2A8E"/>
    <w:rsid w:val="006C3255"/>
    <w:rsid w:val="006C3F26"/>
    <w:rsid w:val="006D0D17"/>
    <w:rsid w:val="006D3C7D"/>
    <w:rsid w:val="006D4659"/>
    <w:rsid w:val="006D543C"/>
    <w:rsid w:val="006D5D5F"/>
    <w:rsid w:val="006D68FB"/>
    <w:rsid w:val="006D6A90"/>
    <w:rsid w:val="006E1FFF"/>
    <w:rsid w:val="006E2868"/>
    <w:rsid w:val="006E4D2C"/>
    <w:rsid w:val="006E58FF"/>
    <w:rsid w:val="006E6E89"/>
    <w:rsid w:val="006E6EC6"/>
    <w:rsid w:val="006F0A45"/>
    <w:rsid w:val="006F1981"/>
    <w:rsid w:val="006F306C"/>
    <w:rsid w:val="006F5D88"/>
    <w:rsid w:val="006F63A5"/>
    <w:rsid w:val="006F6742"/>
    <w:rsid w:val="007009BB"/>
    <w:rsid w:val="0070142B"/>
    <w:rsid w:val="0070276E"/>
    <w:rsid w:val="0070279D"/>
    <w:rsid w:val="00702F8F"/>
    <w:rsid w:val="007079FC"/>
    <w:rsid w:val="00710752"/>
    <w:rsid w:val="007112A4"/>
    <w:rsid w:val="00711A36"/>
    <w:rsid w:val="00714C26"/>
    <w:rsid w:val="007150E6"/>
    <w:rsid w:val="0071529C"/>
    <w:rsid w:val="007168C1"/>
    <w:rsid w:val="007170DA"/>
    <w:rsid w:val="007172AD"/>
    <w:rsid w:val="00720801"/>
    <w:rsid w:val="00722B1B"/>
    <w:rsid w:val="0072416F"/>
    <w:rsid w:val="00724D98"/>
    <w:rsid w:val="00727C94"/>
    <w:rsid w:val="00731B0A"/>
    <w:rsid w:val="00731EAE"/>
    <w:rsid w:val="00733073"/>
    <w:rsid w:val="00735033"/>
    <w:rsid w:val="00735328"/>
    <w:rsid w:val="0073685B"/>
    <w:rsid w:val="007449BF"/>
    <w:rsid w:val="00746AF1"/>
    <w:rsid w:val="00746BC0"/>
    <w:rsid w:val="007510B4"/>
    <w:rsid w:val="00752142"/>
    <w:rsid w:val="007523F9"/>
    <w:rsid w:val="0075273B"/>
    <w:rsid w:val="0075357E"/>
    <w:rsid w:val="00755D9B"/>
    <w:rsid w:val="007573E8"/>
    <w:rsid w:val="00760C4E"/>
    <w:rsid w:val="00760F9E"/>
    <w:rsid w:val="007627BE"/>
    <w:rsid w:val="007632E4"/>
    <w:rsid w:val="00764F03"/>
    <w:rsid w:val="00765B1A"/>
    <w:rsid w:val="0077426F"/>
    <w:rsid w:val="00774D16"/>
    <w:rsid w:val="00777335"/>
    <w:rsid w:val="00781627"/>
    <w:rsid w:val="00782567"/>
    <w:rsid w:val="0078296F"/>
    <w:rsid w:val="007843F2"/>
    <w:rsid w:val="007857B1"/>
    <w:rsid w:val="00785A9F"/>
    <w:rsid w:val="007925DF"/>
    <w:rsid w:val="007936B1"/>
    <w:rsid w:val="007A077B"/>
    <w:rsid w:val="007A08AA"/>
    <w:rsid w:val="007A0A12"/>
    <w:rsid w:val="007A132D"/>
    <w:rsid w:val="007A1345"/>
    <w:rsid w:val="007A2DDB"/>
    <w:rsid w:val="007A6441"/>
    <w:rsid w:val="007A70BA"/>
    <w:rsid w:val="007B0D68"/>
    <w:rsid w:val="007B24D2"/>
    <w:rsid w:val="007B251D"/>
    <w:rsid w:val="007B28DA"/>
    <w:rsid w:val="007B29EA"/>
    <w:rsid w:val="007B3BC9"/>
    <w:rsid w:val="007B4F58"/>
    <w:rsid w:val="007B528D"/>
    <w:rsid w:val="007B63CA"/>
    <w:rsid w:val="007B77D1"/>
    <w:rsid w:val="007B794A"/>
    <w:rsid w:val="007B7D56"/>
    <w:rsid w:val="007C07C7"/>
    <w:rsid w:val="007C1099"/>
    <w:rsid w:val="007C1CD9"/>
    <w:rsid w:val="007C32EF"/>
    <w:rsid w:val="007C361D"/>
    <w:rsid w:val="007C4B84"/>
    <w:rsid w:val="007C70FF"/>
    <w:rsid w:val="007C7C25"/>
    <w:rsid w:val="007D004F"/>
    <w:rsid w:val="007D02E5"/>
    <w:rsid w:val="007D0B38"/>
    <w:rsid w:val="007D51A0"/>
    <w:rsid w:val="007D5440"/>
    <w:rsid w:val="007D626B"/>
    <w:rsid w:val="007D69EB"/>
    <w:rsid w:val="007E0635"/>
    <w:rsid w:val="007E128F"/>
    <w:rsid w:val="007E3B56"/>
    <w:rsid w:val="007E7779"/>
    <w:rsid w:val="007F0E3E"/>
    <w:rsid w:val="007F1017"/>
    <w:rsid w:val="007F475F"/>
    <w:rsid w:val="007F4A3F"/>
    <w:rsid w:val="007F4A61"/>
    <w:rsid w:val="007F5255"/>
    <w:rsid w:val="007F56CC"/>
    <w:rsid w:val="007F61C2"/>
    <w:rsid w:val="0080382E"/>
    <w:rsid w:val="00803DA5"/>
    <w:rsid w:val="00805142"/>
    <w:rsid w:val="00805FCE"/>
    <w:rsid w:val="00806FD5"/>
    <w:rsid w:val="00807A8B"/>
    <w:rsid w:val="00811383"/>
    <w:rsid w:val="00812149"/>
    <w:rsid w:val="00812733"/>
    <w:rsid w:val="00812CAC"/>
    <w:rsid w:val="00814401"/>
    <w:rsid w:val="0081569F"/>
    <w:rsid w:val="00816361"/>
    <w:rsid w:val="008166EF"/>
    <w:rsid w:val="00816FEF"/>
    <w:rsid w:val="00820A8C"/>
    <w:rsid w:val="008215FB"/>
    <w:rsid w:val="00822428"/>
    <w:rsid w:val="00823174"/>
    <w:rsid w:val="00825751"/>
    <w:rsid w:val="008264EB"/>
    <w:rsid w:val="00833B05"/>
    <w:rsid w:val="008362B4"/>
    <w:rsid w:val="00836BCE"/>
    <w:rsid w:val="0084092E"/>
    <w:rsid w:val="00840CA2"/>
    <w:rsid w:val="00841CB5"/>
    <w:rsid w:val="0084374F"/>
    <w:rsid w:val="00844A22"/>
    <w:rsid w:val="00847703"/>
    <w:rsid w:val="00847DF5"/>
    <w:rsid w:val="0085166A"/>
    <w:rsid w:val="0085309D"/>
    <w:rsid w:val="00856897"/>
    <w:rsid w:val="00856E9A"/>
    <w:rsid w:val="008603E1"/>
    <w:rsid w:val="0086075D"/>
    <w:rsid w:val="00862502"/>
    <w:rsid w:val="00862CC1"/>
    <w:rsid w:val="008632D9"/>
    <w:rsid w:val="00864B6F"/>
    <w:rsid w:val="008660D4"/>
    <w:rsid w:val="0086674C"/>
    <w:rsid w:val="00866D37"/>
    <w:rsid w:val="008673EE"/>
    <w:rsid w:val="00871FA9"/>
    <w:rsid w:val="008728E9"/>
    <w:rsid w:val="008743DD"/>
    <w:rsid w:val="008772B6"/>
    <w:rsid w:val="0088104E"/>
    <w:rsid w:val="00882874"/>
    <w:rsid w:val="00882E3C"/>
    <w:rsid w:val="00883787"/>
    <w:rsid w:val="008855E4"/>
    <w:rsid w:val="00886CD2"/>
    <w:rsid w:val="008905FC"/>
    <w:rsid w:val="00891E6F"/>
    <w:rsid w:val="0089275D"/>
    <w:rsid w:val="00892A36"/>
    <w:rsid w:val="00893239"/>
    <w:rsid w:val="00894489"/>
    <w:rsid w:val="008963A5"/>
    <w:rsid w:val="00896906"/>
    <w:rsid w:val="00896D5D"/>
    <w:rsid w:val="008A0818"/>
    <w:rsid w:val="008A3363"/>
    <w:rsid w:val="008A3371"/>
    <w:rsid w:val="008A3C3E"/>
    <w:rsid w:val="008A3F27"/>
    <w:rsid w:val="008A4FB9"/>
    <w:rsid w:val="008A79DE"/>
    <w:rsid w:val="008B0624"/>
    <w:rsid w:val="008B1757"/>
    <w:rsid w:val="008B3561"/>
    <w:rsid w:val="008B6A27"/>
    <w:rsid w:val="008B7992"/>
    <w:rsid w:val="008B7D7E"/>
    <w:rsid w:val="008C5610"/>
    <w:rsid w:val="008C5739"/>
    <w:rsid w:val="008C6864"/>
    <w:rsid w:val="008C7ECB"/>
    <w:rsid w:val="008D3B86"/>
    <w:rsid w:val="008D4755"/>
    <w:rsid w:val="008D4C3D"/>
    <w:rsid w:val="008D743C"/>
    <w:rsid w:val="008E04CA"/>
    <w:rsid w:val="008E0D3C"/>
    <w:rsid w:val="008E1B9E"/>
    <w:rsid w:val="008E55AB"/>
    <w:rsid w:val="008F049A"/>
    <w:rsid w:val="008F120A"/>
    <w:rsid w:val="008F27E0"/>
    <w:rsid w:val="008F48EB"/>
    <w:rsid w:val="008F4F0B"/>
    <w:rsid w:val="009046C4"/>
    <w:rsid w:val="009062A5"/>
    <w:rsid w:val="00910FA7"/>
    <w:rsid w:val="00911272"/>
    <w:rsid w:val="00911274"/>
    <w:rsid w:val="009135D6"/>
    <w:rsid w:val="00914C77"/>
    <w:rsid w:val="00916973"/>
    <w:rsid w:val="00917181"/>
    <w:rsid w:val="00917FA1"/>
    <w:rsid w:val="00921ACB"/>
    <w:rsid w:val="0092369B"/>
    <w:rsid w:val="00925A76"/>
    <w:rsid w:val="00925D0D"/>
    <w:rsid w:val="00927AEE"/>
    <w:rsid w:val="00927C4D"/>
    <w:rsid w:val="00934988"/>
    <w:rsid w:val="00937089"/>
    <w:rsid w:val="0093733D"/>
    <w:rsid w:val="00937ABF"/>
    <w:rsid w:val="00943515"/>
    <w:rsid w:val="00944F8A"/>
    <w:rsid w:val="0094776B"/>
    <w:rsid w:val="009510A2"/>
    <w:rsid w:val="00951144"/>
    <w:rsid w:val="00952BFB"/>
    <w:rsid w:val="00953257"/>
    <w:rsid w:val="0095474C"/>
    <w:rsid w:val="00961FF2"/>
    <w:rsid w:val="00962CB9"/>
    <w:rsid w:val="00964312"/>
    <w:rsid w:val="00965B8A"/>
    <w:rsid w:val="009660D5"/>
    <w:rsid w:val="0097071F"/>
    <w:rsid w:val="009717AC"/>
    <w:rsid w:val="00974476"/>
    <w:rsid w:val="009751C1"/>
    <w:rsid w:val="0097682F"/>
    <w:rsid w:val="009811F1"/>
    <w:rsid w:val="00983E57"/>
    <w:rsid w:val="00985DE2"/>
    <w:rsid w:val="0098675D"/>
    <w:rsid w:val="00986CA0"/>
    <w:rsid w:val="009926E0"/>
    <w:rsid w:val="0099451E"/>
    <w:rsid w:val="00996B1A"/>
    <w:rsid w:val="009A2DCC"/>
    <w:rsid w:val="009A3CE2"/>
    <w:rsid w:val="009A5ABC"/>
    <w:rsid w:val="009A7F10"/>
    <w:rsid w:val="009B19B9"/>
    <w:rsid w:val="009B1C19"/>
    <w:rsid w:val="009B3E26"/>
    <w:rsid w:val="009B5C91"/>
    <w:rsid w:val="009C3706"/>
    <w:rsid w:val="009C3A3A"/>
    <w:rsid w:val="009C6CEA"/>
    <w:rsid w:val="009C6F74"/>
    <w:rsid w:val="009C792E"/>
    <w:rsid w:val="009C7B85"/>
    <w:rsid w:val="009D023B"/>
    <w:rsid w:val="009D0254"/>
    <w:rsid w:val="009D1A64"/>
    <w:rsid w:val="009D3B4D"/>
    <w:rsid w:val="009D5B91"/>
    <w:rsid w:val="009D5CE1"/>
    <w:rsid w:val="009D792E"/>
    <w:rsid w:val="009E0DFE"/>
    <w:rsid w:val="009E0ED6"/>
    <w:rsid w:val="009E31F6"/>
    <w:rsid w:val="009E3449"/>
    <w:rsid w:val="009E407D"/>
    <w:rsid w:val="009E4C07"/>
    <w:rsid w:val="009E750D"/>
    <w:rsid w:val="009F026C"/>
    <w:rsid w:val="009F3DF2"/>
    <w:rsid w:val="009F4A18"/>
    <w:rsid w:val="009F54C7"/>
    <w:rsid w:val="009F6CF1"/>
    <w:rsid w:val="00A01184"/>
    <w:rsid w:val="00A019CA"/>
    <w:rsid w:val="00A037C2"/>
    <w:rsid w:val="00A03D43"/>
    <w:rsid w:val="00A04380"/>
    <w:rsid w:val="00A05472"/>
    <w:rsid w:val="00A05C32"/>
    <w:rsid w:val="00A0653F"/>
    <w:rsid w:val="00A11CD0"/>
    <w:rsid w:val="00A11FDF"/>
    <w:rsid w:val="00A13948"/>
    <w:rsid w:val="00A1555B"/>
    <w:rsid w:val="00A155C5"/>
    <w:rsid w:val="00A16AD8"/>
    <w:rsid w:val="00A21C95"/>
    <w:rsid w:val="00A21CF3"/>
    <w:rsid w:val="00A23405"/>
    <w:rsid w:val="00A24813"/>
    <w:rsid w:val="00A27AEC"/>
    <w:rsid w:val="00A31690"/>
    <w:rsid w:val="00A31E10"/>
    <w:rsid w:val="00A320DB"/>
    <w:rsid w:val="00A34737"/>
    <w:rsid w:val="00A35D16"/>
    <w:rsid w:val="00A37BCD"/>
    <w:rsid w:val="00A40F39"/>
    <w:rsid w:val="00A4122B"/>
    <w:rsid w:val="00A41689"/>
    <w:rsid w:val="00A42113"/>
    <w:rsid w:val="00A4220A"/>
    <w:rsid w:val="00A42592"/>
    <w:rsid w:val="00A4261B"/>
    <w:rsid w:val="00A43C59"/>
    <w:rsid w:val="00A444C2"/>
    <w:rsid w:val="00A45D9B"/>
    <w:rsid w:val="00A50ECD"/>
    <w:rsid w:val="00A51744"/>
    <w:rsid w:val="00A518F3"/>
    <w:rsid w:val="00A52729"/>
    <w:rsid w:val="00A53675"/>
    <w:rsid w:val="00A564D7"/>
    <w:rsid w:val="00A56B6A"/>
    <w:rsid w:val="00A578DC"/>
    <w:rsid w:val="00A61719"/>
    <w:rsid w:val="00A640E2"/>
    <w:rsid w:val="00A64D65"/>
    <w:rsid w:val="00A6725B"/>
    <w:rsid w:val="00A70605"/>
    <w:rsid w:val="00A73134"/>
    <w:rsid w:val="00A742E7"/>
    <w:rsid w:val="00A75984"/>
    <w:rsid w:val="00A76001"/>
    <w:rsid w:val="00A777B2"/>
    <w:rsid w:val="00A77B60"/>
    <w:rsid w:val="00A77BEB"/>
    <w:rsid w:val="00A825D4"/>
    <w:rsid w:val="00A828F6"/>
    <w:rsid w:val="00A82B73"/>
    <w:rsid w:val="00A8694B"/>
    <w:rsid w:val="00A86E8B"/>
    <w:rsid w:val="00A87164"/>
    <w:rsid w:val="00A92D7E"/>
    <w:rsid w:val="00A93072"/>
    <w:rsid w:val="00A938BD"/>
    <w:rsid w:val="00A93953"/>
    <w:rsid w:val="00A959D8"/>
    <w:rsid w:val="00A97B97"/>
    <w:rsid w:val="00AA113D"/>
    <w:rsid w:val="00AA3490"/>
    <w:rsid w:val="00AA6BD5"/>
    <w:rsid w:val="00AA6BD8"/>
    <w:rsid w:val="00AA6C7D"/>
    <w:rsid w:val="00AA7FD6"/>
    <w:rsid w:val="00AB042A"/>
    <w:rsid w:val="00AB0458"/>
    <w:rsid w:val="00AB19EF"/>
    <w:rsid w:val="00AB2D34"/>
    <w:rsid w:val="00AB3430"/>
    <w:rsid w:val="00AB37B9"/>
    <w:rsid w:val="00AB4AD1"/>
    <w:rsid w:val="00AB58A7"/>
    <w:rsid w:val="00AB5E07"/>
    <w:rsid w:val="00AB7CFA"/>
    <w:rsid w:val="00AC5B48"/>
    <w:rsid w:val="00AD1450"/>
    <w:rsid w:val="00AD280C"/>
    <w:rsid w:val="00AD4C4D"/>
    <w:rsid w:val="00AD5675"/>
    <w:rsid w:val="00AD6502"/>
    <w:rsid w:val="00AD6FA8"/>
    <w:rsid w:val="00AE0695"/>
    <w:rsid w:val="00AE133F"/>
    <w:rsid w:val="00AE19F7"/>
    <w:rsid w:val="00AE2C42"/>
    <w:rsid w:val="00AE3473"/>
    <w:rsid w:val="00AE3E7E"/>
    <w:rsid w:val="00AE5E67"/>
    <w:rsid w:val="00AE7875"/>
    <w:rsid w:val="00AF1315"/>
    <w:rsid w:val="00AF19BF"/>
    <w:rsid w:val="00AF2DC3"/>
    <w:rsid w:val="00AF6318"/>
    <w:rsid w:val="00B01011"/>
    <w:rsid w:val="00B033E5"/>
    <w:rsid w:val="00B03A63"/>
    <w:rsid w:val="00B10415"/>
    <w:rsid w:val="00B1225D"/>
    <w:rsid w:val="00B201A4"/>
    <w:rsid w:val="00B201D1"/>
    <w:rsid w:val="00B20E1C"/>
    <w:rsid w:val="00B213A6"/>
    <w:rsid w:val="00B235B0"/>
    <w:rsid w:val="00B24C07"/>
    <w:rsid w:val="00B24DF6"/>
    <w:rsid w:val="00B30985"/>
    <w:rsid w:val="00B33E63"/>
    <w:rsid w:val="00B3442D"/>
    <w:rsid w:val="00B34FE2"/>
    <w:rsid w:val="00B35166"/>
    <w:rsid w:val="00B357D8"/>
    <w:rsid w:val="00B360F4"/>
    <w:rsid w:val="00B36A00"/>
    <w:rsid w:val="00B37BFC"/>
    <w:rsid w:val="00B40358"/>
    <w:rsid w:val="00B41614"/>
    <w:rsid w:val="00B41C68"/>
    <w:rsid w:val="00B42851"/>
    <w:rsid w:val="00B42F80"/>
    <w:rsid w:val="00B435CB"/>
    <w:rsid w:val="00B44612"/>
    <w:rsid w:val="00B47875"/>
    <w:rsid w:val="00B505C8"/>
    <w:rsid w:val="00B50DB8"/>
    <w:rsid w:val="00B519AB"/>
    <w:rsid w:val="00B51A13"/>
    <w:rsid w:val="00B53211"/>
    <w:rsid w:val="00B53654"/>
    <w:rsid w:val="00B53905"/>
    <w:rsid w:val="00B54445"/>
    <w:rsid w:val="00B54B5B"/>
    <w:rsid w:val="00B54F9B"/>
    <w:rsid w:val="00B5562E"/>
    <w:rsid w:val="00B55D65"/>
    <w:rsid w:val="00B564A0"/>
    <w:rsid w:val="00B56D9D"/>
    <w:rsid w:val="00B57000"/>
    <w:rsid w:val="00B57E96"/>
    <w:rsid w:val="00B60939"/>
    <w:rsid w:val="00B60AFD"/>
    <w:rsid w:val="00B62715"/>
    <w:rsid w:val="00B65611"/>
    <w:rsid w:val="00B6701B"/>
    <w:rsid w:val="00B70E8E"/>
    <w:rsid w:val="00B712A8"/>
    <w:rsid w:val="00B763E0"/>
    <w:rsid w:val="00B76C92"/>
    <w:rsid w:val="00B818A4"/>
    <w:rsid w:val="00B82350"/>
    <w:rsid w:val="00B8237F"/>
    <w:rsid w:val="00B84117"/>
    <w:rsid w:val="00B852A7"/>
    <w:rsid w:val="00B854FA"/>
    <w:rsid w:val="00B858F0"/>
    <w:rsid w:val="00B85AA2"/>
    <w:rsid w:val="00B8649C"/>
    <w:rsid w:val="00B8695D"/>
    <w:rsid w:val="00B87F0A"/>
    <w:rsid w:val="00B90AC1"/>
    <w:rsid w:val="00B92D0B"/>
    <w:rsid w:val="00B93EF7"/>
    <w:rsid w:val="00B94945"/>
    <w:rsid w:val="00B94DD6"/>
    <w:rsid w:val="00BA2730"/>
    <w:rsid w:val="00BA2FF2"/>
    <w:rsid w:val="00BA322D"/>
    <w:rsid w:val="00BA63FA"/>
    <w:rsid w:val="00BB00B3"/>
    <w:rsid w:val="00BB0BBC"/>
    <w:rsid w:val="00BB0BDD"/>
    <w:rsid w:val="00BB176C"/>
    <w:rsid w:val="00BB2A73"/>
    <w:rsid w:val="00BB3A45"/>
    <w:rsid w:val="00BB4ACC"/>
    <w:rsid w:val="00BB4F97"/>
    <w:rsid w:val="00BB703E"/>
    <w:rsid w:val="00BB732D"/>
    <w:rsid w:val="00BB7405"/>
    <w:rsid w:val="00BC33C3"/>
    <w:rsid w:val="00BC3631"/>
    <w:rsid w:val="00BC591F"/>
    <w:rsid w:val="00BC7D6D"/>
    <w:rsid w:val="00BD2108"/>
    <w:rsid w:val="00BD68A3"/>
    <w:rsid w:val="00BD6938"/>
    <w:rsid w:val="00BD6CF3"/>
    <w:rsid w:val="00BE0ECA"/>
    <w:rsid w:val="00BE2180"/>
    <w:rsid w:val="00BE21F2"/>
    <w:rsid w:val="00BE4275"/>
    <w:rsid w:val="00BF06AE"/>
    <w:rsid w:val="00BF0F95"/>
    <w:rsid w:val="00BF2433"/>
    <w:rsid w:val="00BF6111"/>
    <w:rsid w:val="00BF61C9"/>
    <w:rsid w:val="00BF6C94"/>
    <w:rsid w:val="00C0013D"/>
    <w:rsid w:val="00C00424"/>
    <w:rsid w:val="00C00E3B"/>
    <w:rsid w:val="00C01726"/>
    <w:rsid w:val="00C04DDD"/>
    <w:rsid w:val="00C1179F"/>
    <w:rsid w:val="00C12C14"/>
    <w:rsid w:val="00C130EF"/>
    <w:rsid w:val="00C15F04"/>
    <w:rsid w:val="00C17761"/>
    <w:rsid w:val="00C179B3"/>
    <w:rsid w:val="00C17CC0"/>
    <w:rsid w:val="00C17E3F"/>
    <w:rsid w:val="00C200AA"/>
    <w:rsid w:val="00C21E0B"/>
    <w:rsid w:val="00C237ED"/>
    <w:rsid w:val="00C24632"/>
    <w:rsid w:val="00C25418"/>
    <w:rsid w:val="00C25D9C"/>
    <w:rsid w:val="00C2778B"/>
    <w:rsid w:val="00C31649"/>
    <w:rsid w:val="00C33B85"/>
    <w:rsid w:val="00C3434C"/>
    <w:rsid w:val="00C34780"/>
    <w:rsid w:val="00C36382"/>
    <w:rsid w:val="00C40385"/>
    <w:rsid w:val="00C41768"/>
    <w:rsid w:val="00C447E1"/>
    <w:rsid w:val="00C45146"/>
    <w:rsid w:val="00C475AA"/>
    <w:rsid w:val="00C523FB"/>
    <w:rsid w:val="00C53BE9"/>
    <w:rsid w:val="00C53C98"/>
    <w:rsid w:val="00C56FCF"/>
    <w:rsid w:val="00C57326"/>
    <w:rsid w:val="00C57B6C"/>
    <w:rsid w:val="00C6136A"/>
    <w:rsid w:val="00C628A6"/>
    <w:rsid w:val="00C64344"/>
    <w:rsid w:val="00C65108"/>
    <w:rsid w:val="00C65576"/>
    <w:rsid w:val="00C66165"/>
    <w:rsid w:val="00C7060A"/>
    <w:rsid w:val="00C7151A"/>
    <w:rsid w:val="00C717E3"/>
    <w:rsid w:val="00C71C69"/>
    <w:rsid w:val="00C71F60"/>
    <w:rsid w:val="00C7203B"/>
    <w:rsid w:val="00C72241"/>
    <w:rsid w:val="00C750C8"/>
    <w:rsid w:val="00C7560F"/>
    <w:rsid w:val="00C77DE6"/>
    <w:rsid w:val="00C80A0E"/>
    <w:rsid w:val="00C8213F"/>
    <w:rsid w:val="00C82607"/>
    <w:rsid w:val="00C82CF0"/>
    <w:rsid w:val="00C85154"/>
    <w:rsid w:val="00C8720D"/>
    <w:rsid w:val="00C8797A"/>
    <w:rsid w:val="00C900B8"/>
    <w:rsid w:val="00C90C71"/>
    <w:rsid w:val="00C91FD1"/>
    <w:rsid w:val="00C931CF"/>
    <w:rsid w:val="00C938CF"/>
    <w:rsid w:val="00C94053"/>
    <w:rsid w:val="00C95DEE"/>
    <w:rsid w:val="00C9624D"/>
    <w:rsid w:val="00C969DA"/>
    <w:rsid w:val="00C97A20"/>
    <w:rsid w:val="00CA2C77"/>
    <w:rsid w:val="00CA3683"/>
    <w:rsid w:val="00CA444F"/>
    <w:rsid w:val="00CA5245"/>
    <w:rsid w:val="00CA71F4"/>
    <w:rsid w:val="00CA7B09"/>
    <w:rsid w:val="00CB0798"/>
    <w:rsid w:val="00CB12A5"/>
    <w:rsid w:val="00CB1A32"/>
    <w:rsid w:val="00CB1CAC"/>
    <w:rsid w:val="00CB25C9"/>
    <w:rsid w:val="00CB2F2A"/>
    <w:rsid w:val="00CB4152"/>
    <w:rsid w:val="00CB5B1A"/>
    <w:rsid w:val="00CB64BC"/>
    <w:rsid w:val="00CB6B22"/>
    <w:rsid w:val="00CB7F5F"/>
    <w:rsid w:val="00CC1B39"/>
    <w:rsid w:val="00CC35EA"/>
    <w:rsid w:val="00CC3848"/>
    <w:rsid w:val="00CC6594"/>
    <w:rsid w:val="00CD2BFF"/>
    <w:rsid w:val="00CD3F77"/>
    <w:rsid w:val="00CD5E12"/>
    <w:rsid w:val="00CD6ADC"/>
    <w:rsid w:val="00CD7193"/>
    <w:rsid w:val="00CE38C8"/>
    <w:rsid w:val="00CE6274"/>
    <w:rsid w:val="00CE77B6"/>
    <w:rsid w:val="00CF13E8"/>
    <w:rsid w:val="00CF1984"/>
    <w:rsid w:val="00CF1CF6"/>
    <w:rsid w:val="00CF2B8D"/>
    <w:rsid w:val="00CF38C8"/>
    <w:rsid w:val="00CF456B"/>
    <w:rsid w:val="00CF5A22"/>
    <w:rsid w:val="00D00258"/>
    <w:rsid w:val="00D017A2"/>
    <w:rsid w:val="00D0262E"/>
    <w:rsid w:val="00D05E3D"/>
    <w:rsid w:val="00D06139"/>
    <w:rsid w:val="00D06BF5"/>
    <w:rsid w:val="00D110BD"/>
    <w:rsid w:val="00D13675"/>
    <w:rsid w:val="00D141E1"/>
    <w:rsid w:val="00D15314"/>
    <w:rsid w:val="00D17D6C"/>
    <w:rsid w:val="00D2155B"/>
    <w:rsid w:val="00D21F78"/>
    <w:rsid w:val="00D23D11"/>
    <w:rsid w:val="00D244B6"/>
    <w:rsid w:val="00D25131"/>
    <w:rsid w:val="00D2754D"/>
    <w:rsid w:val="00D27B27"/>
    <w:rsid w:val="00D329FE"/>
    <w:rsid w:val="00D32F25"/>
    <w:rsid w:val="00D33BE9"/>
    <w:rsid w:val="00D33F93"/>
    <w:rsid w:val="00D341F4"/>
    <w:rsid w:val="00D357FF"/>
    <w:rsid w:val="00D424C7"/>
    <w:rsid w:val="00D42EDC"/>
    <w:rsid w:val="00D43B2A"/>
    <w:rsid w:val="00D43CBF"/>
    <w:rsid w:val="00D43D83"/>
    <w:rsid w:val="00D45CCB"/>
    <w:rsid w:val="00D47575"/>
    <w:rsid w:val="00D50F12"/>
    <w:rsid w:val="00D52104"/>
    <w:rsid w:val="00D5243B"/>
    <w:rsid w:val="00D53328"/>
    <w:rsid w:val="00D533EC"/>
    <w:rsid w:val="00D56A95"/>
    <w:rsid w:val="00D5799E"/>
    <w:rsid w:val="00D6138B"/>
    <w:rsid w:val="00D6539A"/>
    <w:rsid w:val="00D6561C"/>
    <w:rsid w:val="00D70F16"/>
    <w:rsid w:val="00D7203D"/>
    <w:rsid w:val="00D726B4"/>
    <w:rsid w:val="00D72F57"/>
    <w:rsid w:val="00D733EF"/>
    <w:rsid w:val="00D76A44"/>
    <w:rsid w:val="00D807D3"/>
    <w:rsid w:val="00D815EF"/>
    <w:rsid w:val="00D81F26"/>
    <w:rsid w:val="00D822F3"/>
    <w:rsid w:val="00D86231"/>
    <w:rsid w:val="00D8773E"/>
    <w:rsid w:val="00D9037C"/>
    <w:rsid w:val="00D91923"/>
    <w:rsid w:val="00D93753"/>
    <w:rsid w:val="00D939B9"/>
    <w:rsid w:val="00DA0CF0"/>
    <w:rsid w:val="00DA10D7"/>
    <w:rsid w:val="00DA1458"/>
    <w:rsid w:val="00DA3167"/>
    <w:rsid w:val="00DA3512"/>
    <w:rsid w:val="00DA4DC3"/>
    <w:rsid w:val="00DA77A5"/>
    <w:rsid w:val="00DB3DBF"/>
    <w:rsid w:val="00DB484F"/>
    <w:rsid w:val="00DB6A3F"/>
    <w:rsid w:val="00DB7B0E"/>
    <w:rsid w:val="00DC04F6"/>
    <w:rsid w:val="00DC0690"/>
    <w:rsid w:val="00DC1D65"/>
    <w:rsid w:val="00DC3C57"/>
    <w:rsid w:val="00DC4076"/>
    <w:rsid w:val="00DC5501"/>
    <w:rsid w:val="00DC7154"/>
    <w:rsid w:val="00DC7E8A"/>
    <w:rsid w:val="00DD0F78"/>
    <w:rsid w:val="00DD273C"/>
    <w:rsid w:val="00DD2DF3"/>
    <w:rsid w:val="00DD35BB"/>
    <w:rsid w:val="00DD3F28"/>
    <w:rsid w:val="00DD4537"/>
    <w:rsid w:val="00DD4E15"/>
    <w:rsid w:val="00DD6FA4"/>
    <w:rsid w:val="00DD746C"/>
    <w:rsid w:val="00DE0539"/>
    <w:rsid w:val="00DE2304"/>
    <w:rsid w:val="00DE2AE8"/>
    <w:rsid w:val="00DE2F91"/>
    <w:rsid w:val="00DE3138"/>
    <w:rsid w:val="00DE32BD"/>
    <w:rsid w:val="00DE37F8"/>
    <w:rsid w:val="00DE3EFB"/>
    <w:rsid w:val="00DE4FCB"/>
    <w:rsid w:val="00DE5D07"/>
    <w:rsid w:val="00DE704C"/>
    <w:rsid w:val="00DE72A7"/>
    <w:rsid w:val="00DE7832"/>
    <w:rsid w:val="00DF0307"/>
    <w:rsid w:val="00DF0A4C"/>
    <w:rsid w:val="00DF18FC"/>
    <w:rsid w:val="00DF1AD9"/>
    <w:rsid w:val="00DF399B"/>
    <w:rsid w:val="00DF5864"/>
    <w:rsid w:val="00DF5D2B"/>
    <w:rsid w:val="00DF629B"/>
    <w:rsid w:val="00E00E8E"/>
    <w:rsid w:val="00E019AF"/>
    <w:rsid w:val="00E04BD4"/>
    <w:rsid w:val="00E05630"/>
    <w:rsid w:val="00E06DBB"/>
    <w:rsid w:val="00E10149"/>
    <w:rsid w:val="00E11340"/>
    <w:rsid w:val="00E122A1"/>
    <w:rsid w:val="00E16372"/>
    <w:rsid w:val="00E20E4D"/>
    <w:rsid w:val="00E20ED6"/>
    <w:rsid w:val="00E21358"/>
    <w:rsid w:val="00E2249B"/>
    <w:rsid w:val="00E22A0D"/>
    <w:rsid w:val="00E23E4A"/>
    <w:rsid w:val="00E244F6"/>
    <w:rsid w:val="00E2771E"/>
    <w:rsid w:val="00E311EF"/>
    <w:rsid w:val="00E32180"/>
    <w:rsid w:val="00E34948"/>
    <w:rsid w:val="00E3499A"/>
    <w:rsid w:val="00E37569"/>
    <w:rsid w:val="00E37831"/>
    <w:rsid w:val="00E401B2"/>
    <w:rsid w:val="00E41E30"/>
    <w:rsid w:val="00E42F73"/>
    <w:rsid w:val="00E43D70"/>
    <w:rsid w:val="00E466F3"/>
    <w:rsid w:val="00E4708C"/>
    <w:rsid w:val="00E47B2C"/>
    <w:rsid w:val="00E50069"/>
    <w:rsid w:val="00E51560"/>
    <w:rsid w:val="00E53FC8"/>
    <w:rsid w:val="00E54347"/>
    <w:rsid w:val="00E55424"/>
    <w:rsid w:val="00E55915"/>
    <w:rsid w:val="00E55BB5"/>
    <w:rsid w:val="00E56CDA"/>
    <w:rsid w:val="00E57A84"/>
    <w:rsid w:val="00E6001E"/>
    <w:rsid w:val="00E653A8"/>
    <w:rsid w:val="00E65E79"/>
    <w:rsid w:val="00E66BA2"/>
    <w:rsid w:val="00E67416"/>
    <w:rsid w:val="00E67AFE"/>
    <w:rsid w:val="00E67CC7"/>
    <w:rsid w:val="00E7074B"/>
    <w:rsid w:val="00E718B6"/>
    <w:rsid w:val="00E723BA"/>
    <w:rsid w:val="00E72D6C"/>
    <w:rsid w:val="00E73581"/>
    <w:rsid w:val="00E833F7"/>
    <w:rsid w:val="00E83BDF"/>
    <w:rsid w:val="00E84E6C"/>
    <w:rsid w:val="00E855E1"/>
    <w:rsid w:val="00E859C6"/>
    <w:rsid w:val="00E864E8"/>
    <w:rsid w:val="00E87A1D"/>
    <w:rsid w:val="00E9094A"/>
    <w:rsid w:val="00E909A4"/>
    <w:rsid w:val="00E91D35"/>
    <w:rsid w:val="00E926A5"/>
    <w:rsid w:val="00E97674"/>
    <w:rsid w:val="00E97E57"/>
    <w:rsid w:val="00EA17C3"/>
    <w:rsid w:val="00EA21BE"/>
    <w:rsid w:val="00EA2CAA"/>
    <w:rsid w:val="00EA3864"/>
    <w:rsid w:val="00EA7F1C"/>
    <w:rsid w:val="00EB15B6"/>
    <w:rsid w:val="00EB2924"/>
    <w:rsid w:val="00EB2C29"/>
    <w:rsid w:val="00EB3D06"/>
    <w:rsid w:val="00EB4916"/>
    <w:rsid w:val="00EC00C9"/>
    <w:rsid w:val="00EC0A53"/>
    <w:rsid w:val="00EC0DD9"/>
    <w:rsid w:val="00EC2649"/>
    <w:rsid w:val="00EC31ED"/>
    <w:rsid w:val="00EC3528"/>
    <w:rsid w:val="00EC5836"/>
    <w:rsid w:val="00EC5A4C"/>
    <w:rsid w:val="00EC688C"/>
    <w:rsid w:val="00EC6F81"/>
    <w:rsid w:val="00ED07DD"/>
    <w:rsid w:val="00ED3FCE"/>
    <w:rsid w:val="00ED57EA"/>
    <w:rsid w:val="00ED5BD4"/>
    <w:rsid w:val="00EE07D3"/>
    <w:rsid w:val="00EE1996"/>
    <w:rsid w:val="00EE1C01"/>
    <w:rsid w:val="00EE22AF"/>
    <w:rsid w:val="00EE24E6"/>
    <w:rsid w:val="00EE2564"/>
    <w:rsid w:val="00EE6BBE"/>
    <w:rsid w:val="00EF0171"/>
    <w:rsid w:val="00EF1B25"/>
    <w:rsid w:val="00EF1DA0"/>
    <w:rsid w:val="00EF23EA"/>
    <w:rsid w:val="00EF2C57"/>
    <w:rsid w:val="00EF4747"/>
    <w:rsid w:val="00EF4BF8"/>
    <w:rsid w:val="00EF73C8"/>
    <w:rsid w:val="00F02253"/>
    <w:rsid w:val="00F0294E"/>
    <w:rsid w:val="00F03C2E"/>
    <w:rsid w:val="00F04A66"/>
    <w:rsid w:val="00F04B4B"/>
    <w:rsid w:val="00F04E16"/>
    <w:rsid w:val="00F0516C"/>
    <w:rsid w:val="00F067A2"/>
    <w:rsid w:val="00F06935"/>
    <w:rsid w:val="00F072E9"/>
    <w:rsid w:val="00F07B9E"/>
    <w:rsid w:val="00F1116F"/>
    <w:rsid w:val="00F11FEC"/>
    <w:rsid w:val="00F1263A"/>
    <w:rsid w:val="00F14267"/>
    <w:rsid w:val="00F15775"/>
    <w:rsid w:val="00F15B77"/>
    <w:rsid w:val="00F1614A"/>
    <w:rsid w:val="00F229F6"/>
    <w:rsid w:val="00F238A8"/>
    <w:rsid w:val="00F2393B"/>
    <w:rsid w:val="00F24837"/>
    <w:rsid w:val="00F2575F"/>
    <w:rsid w:val="00F26C46"/>
    <w:rsid w:val="00F27046"/>
    <w:rsid w:val="00F27565"/>
    <w:rsid w:val="00F310D4"/>
    <w:rsid w:val="00F31D5A"/>
    <w:rsid w:val="00F33417"/>
    <w:rsid w:val="00F33975"/>
    <w:rsid w:val="00F33DE9"/>
    <w:rsid w:val="00F35E6D"/>
    <w:rsid w:val="00F3619A"/>
    <w:rsid w:val="00F37E3B"/>
    <w:rsid w:val="00F40AAA"/>
    <w:rsid w:val="00F40BA7"/>
    <w:rsid w:val="00F40F9D"/>
    <w:rsid w:val="00F41ACD"/>
    <w:rsid w:val="00F4369D"/>
    <w:rsid w:val="00F44F46"/>
    <w:rsid w:val="00F46CB6"/>
    <w:rsid w:val="00F4756D"/>
    <w:rsid w:val="00F47D8F"/>
    <w:rsid w:val="00F47DE8"/>
    <w:rsid w:val="00F519C6"/>
    <w:rsid w:val="00F532C6"/>
    <w:rsid w:val="00F542C1"/>
    <w:rsid w:val="00F55E73"/>
    <w:rsid w:val="00F55EDA"/>
    <w:rsid w:val="00F56C80"/>
    <w:rsid w:val="00F57435"/>
    <w:rsid w:val="00F5769B"/>
    <w:rsid w:val="00F60092"/>
    <w:rsid w:val="00F60DB0"/>
    <w:rsid w:val="00F6108A"/>
    <w:rsid w:val="00F61C18"/>
    <w:rsid w:val="00F62B33"/>
    <w:rsid w:val="00F630CC"/>
    <w:rsid w:val="00F65F4B"/>
    <w:rsid w:val="00F67A69"/>
    <w:rsid w:val="00F70BFF"/>
    <w:rsid w:val="00F70C9D"/>
    <w:rsid w:val="00F70D58"/>
    <w:rsid w:val="00F74376"/>
    <w:rsid w:val="00F74AFA"/>
    <w:rsid w:val="00F74B89"/>
    <w:rsid w:val="00F74CD9"/>
    <w:rsid w:val="00F80A0C"/>
    <w:rsid w:val="00F80A7B"/>
    <w:rsid w:val="00F80E5D"/>
    <w:rsid w:val="00F81E78"/>
    <w:rsid w:val="00F851CE"/>
    <w:rsid w:val="00F873BB"/>
    <w:rsid w:val="00F87A4F"/>
    <w:rsid w:val="00F91219"/>
    <w:rsid w:val="00F92444"/>
    <w:rsid w:val="00F9393E"/>
    <w:rsid w:val="00F95E6C"/>
    <w:rsid w:val="00F96979"/>
    <w:rsid w:val="00F96FD0"/>
    <w:rsid w:val="00F96FE2"/>
    <w:rsid w:val="00F97A78"/>
    <w:rsid w:val="00FA0B20"/>
    <w:rsid w:val="00FA24E7"/>
    <w:rsid w:val="00FA447A"/>
    <w:rsid w:val="00FA5EE6"/>
    <w:rsid w:val="00FA7956"/>
    <w:rsid w:val="00FB0A0C"/>
    <w:rsid w:val="00FB2004"/>
    <w:rsid w:val="00FB268A"/>
    <w:rsid w:val="00FB2FCB"/>
    <w:rsid w:val="00FB49CB"/>
    <w:rsid w:val="00FB7C55"/>
    <w:rsid w:val="00FB7E56"/>
    <w:rsid w:val="00FC0A46"/>
    <w:rsid w:val="00FC1074"/>
    <w:rsid w:val="00FC1884"/>
    <w:rsid w:val="00FC371D"/>
    <w:rsid w:val="00FC5F0B"/>
    <w:rsid w:val="00FD11EB"/>
    <w:rsid w:val="00FD1818"/>
    <w:rsid w:val="00FD1E4D"/>
    <w:rsid w:val="00FD2100"/>
    <w:rsid w:val="00FD2490"/>
    <w:rsid w:val="00FD436C"/>
    <w:rsid w:val="00FD446D"/>
    <w:rsid w:val="00FD4F2C"/>
    <w:rsid w:val="00FD6394"/>
    <w:rsid w:val="00FD68FF"/>
    <w:rsid w:val="00FD6999"/>
    <w:rsid w:val="00FE0E6C"/>
    <w:rsid w:val="00FE1CDC"/>
    <w:rsid w:val="00FE439D"/>
    <w:rsid w:val="00FE70C3"/>
    <w:rsid w:val="00FF2AD9"/>
    <w:rsid w:val="00FF359F"/>
    <w:rsid w:val="00FF3DCF"/>
    <w:rsid w:val="00FF492C"/>
    <w:rsid w:val="00FF4A21"/>
    <w:rsid w:val="00FF5AA3"/>
    <w:rsid w:val="00FF5AD8"/>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36C579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uiPriority="1" w:qFormat="1"/>
    <w:lsdException w:name="heading 2" w:qFormat="1"/>
    <w:lsdException w:name="heading 3" w:qFormat="1"/>
    <w:lsdException w:name="heading 4" w:qFormat="1"/>
    <w:lsdException w:name="heading 5" w:qFormat="1"/>
    <w:lsdException w:name="heading 6" w:qFormat="1"/>
    <w:lsdException w:name="heading 7" w:semiHidden="1" w:uiPriority="99" w:unhideWhenUsed="1" w:qFormat="1"/>
    <w:lsdException w:name="heading 8" w:semiHidden="1" w:uiPriority="7"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99" w:unhideWhenUsed="1"/>
    <w:lsdException w:name="toc 5" w:semiHidden="1" w:uiPriority="99" w:unhideWhenUsed="1"/>
    <w:lsdException w:name="toc 6" w:semiHidden="1" w:uiPriority="99" w:unhideWhenUsed="1"/>
    <w:lsdException w:name="toc 7" w:semiHidden="1" w:uiPriority="99" w:unhideWhenUsed="1"/>
    <w:lsdException w:name="toc 8" w:semiHidden="1" w:uiPriority="99" w:unhideWhenUsed="1"/>
    <w:lsdException w:name="toc 9" w:semiHidden="1" w:uiPriority="99"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qFormat="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iPriority="99" w:unhideWhenUsed="1" w:qFormat="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00B3"/>
    <w:pPr>
      <w:jc w:val="both"/>
    </w:pPr>
    <w:rPr>
      <w:rFonts w:ascii="Calibri" w:hAnsi="Calibri" w:cs="Arial"/>
      <w:sz w:val="24"/>
      <w:szCs w:val="24"/>
    </w:rPr>
  </w:style>
  <w:style w:type="paragraph" w:styleId="Heading1">
    <w:name w:val="heading 1"/>
    <w:basedOn w:val="Normal"/>
    <w:next w:val="Normal"/>
    <w:link w:val="Heading1Char"/>
    <w:uiPriority w:val="1"/>
    <w:qFormat/>
    <w:rsid w:val="001B204E"/>
    <w:pPr>
      <w:ind w:left="720" w:hanging="720"/>
      <w:outlineLvl w:val="0"/>
    </w:pPr>
    <w:rPr>
      <w:b/>
      <w:caps/>
      <w:sz w:val="32"/>
    </w:rPr>
  </w:style>
  <w:style w:type="paragraph" w:styleId="Heading2">
    <w:name w:val="heading 2"/>
    <w:basedOn w:val="Normal"/>
    <w:next w:val="Normal"/>
    <w:link w:val="Heading2Char"/>
    <w:qFormat/>
    <w:rsid w:val="001B204E"/>
    <w:pPr>
      <w:outlineLvl w:val="1"/>
    </w:pPr>
    <w:rPr>
      <w:b/>
      <w:i/>
      <w:sz w:val="28"/>
    </w:rPr>
  </w:style>
  <w:style w:type="paragraph" w:styleId="Heading3">
    <w:name w:val="heading 3"/>
    <w:basedOn w:val="Normal"/>
    <w:next w:val="Normal"/>
    <w:link w:val="Heading3Char"/>
    <w:qFormat/>
    <w:rsid w:val="001F7361"/>
    <w:pPr>
      <w:outlineLvl w:val="2"/>
    </w:pPr>
    <w:rPr>
      <w:u w:val="single"/>
    </w:rPr>
  </w:style>
  <w:style w:type="paragraph" w:styleId="Heading4">
    <w:name w:val="heading 4"/>
    <w:basedOn w:val="Normal"/>
    <w:next w:val="Normal"/>
    <w:link w:val="Heading4Char"/>
    <w:qFormat/>
    <w:rsid w:val="00124A51"/>
    <w:pPr>
      <w:keepNext/>
      <w:spacing w:before="240" w:after="60"/>
      <w:outlineLvl w:val="3"/>
    </w:pPr>
    <w:rPr>
      <w:b/>
      <w:bCs/>
      <w:i/>
      <w:sz w:val="26"/>
      <w:szCs w:val="28"/>
    </w:rPr>
  </w:style>
  <w:style w:type="paragraph" w:styleId="Heading5">
    <w:name w:val="heading 5"/>
    <w:basedOn w:val="Normal"/>
    <w:next w:val="Normal"/>
    <w:link w:val="Heading5Char"/>
    <w:qFormat/>
    <w:rsid w:val="00124A51"/>
    <w:pPr>
      <w:spacing w:before="240" w:after="60"/>
      <w:outlineLvl w:val="4"/>
    </w:pPr>
    <w:rPr>
      <w:b/>
      <w:bCs/>
      <w:iCs/>
      <w:sz w:val="26"/>
      <w:szCs w:val="26"/>
    </w:rPr>
  </w:style>
  <w:style w:type="paragraph" w:styleId="Heading6">
    <w:name w:val="heading 6"/>
    <w:basedOn w:val="Normal"/>
    <w:next w:val="Normal"/>
    <w:link w:val="Heading6Char"/>
    <w:qFormat/>
    <w:rsid w:val="00124A51"/>
    <w:pPr>
      <w:spacing w:before="240" w:after="60"/>
      <w:outlineLvl w:val="5"/>
    </w:pPr>
    <w:rPr>
      <w:b/>
      <w:bCs/>
      <w:i/>
    </w:rPr>
  </w:style>
  <w:style w:type="paragraph" w:styleId="Heading7">
    <w:name w:val="heading 7"/>
    <w:basedOn w:val="Normal"/>
    <w:next w:val="Normal"/>
    <w:link w:val="Heading7Char"/>
    <w:uiPriority w:val="99"/>
    <w:qFormat/>
    <w:rsid w:val="00124A51"/>
    <w:pPr>
      <w:keepNext/>
      <w:jc w:val="center"/>
      <w:outlineLvl w:val="6"/>
    </w:pPr>
    <w:rPr>
      <w:b/>
      <w:sz w:val="20"/>
    </w:rPr>
  </w:style>
  <w:style w:type="paragraph" w:styleId="Heading8">
    <w:name w:val="heading 8"/>
    <w:basedOn w:val="Normal"/>
    <w:next w:val="Normal"/>
    <w:link w:val="Heading8Char"/>
    <w:uiPriority w:val="7"/>
    <w:qFormat/>
    <w:rsid w:val="00124A51"/>
    <w:pPr>
      <w:keepNext/>
      <w:jc w:val="right"/>
      <w:outlineLvl w:val="7"/>
    </w:pPr>
    <w:rPr>
      <w:b/>
    </w:rPr>
  </w:style>
  <w:style w:type="paragraph" w:styleId="Heading9">
    <w:name w:val="heading 9"/>
    <w:basedOn w:val="Normal"/>
    <w:next w:val="Normal"/>
    <w:link w:val="Heading9Char"/>
    <w:uiPriority w:val="99"/>
    <w:qFormat/>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1B204E"/>
    <w:rPr>
      <w:rFonts w:ascii="Calibri" w:hAnsi="Calibri" w:cs="Arial"/>
      <w:b/>
      <w:i/>
      <w:snapToGrid w:val="0"/>
      <w:sz w:val="28"/>
      <w:szCs w:val="22"/>
      <w:lang w:eastAsia="en-US"/>
    </w:rPr>
  </w:style>
  <w:style w:type="character" w:customStyle="1" w:styleId="Heading7Char">
    <w:name w:val="Heading 7 Char"/>
    <w:basedOn w:val="DefaultParagraphFont"/>
    <w:link w:val="Heading7"/>
    <w:uiPriority w:val="99"/>
    <w:rsid w:val="00124A51"/>
    <w:rPr>
      <w:rFonts w:ascii="Arial" w:hAnsi="Arial"/>
      <w:b/>
      <w:snapToGrid w:val="0"/>
      <w:lang w:eastAsia="en-US"/>
    </w:rPr>
  </w:style>
  <w:style w:type="character" w:customStyle="1" w:styleId="Heading8Char">
    <w:name w:val="Heading 8 Char"/>
    <w:basedOn w:val="DefaultParagraphFont"/>
    <w:link w:val="Heading8"/>
    <w:uiPriority w:val="7"/>
    <w:rsid w:val="00124A51"/>
    <w:rPr>
      <w:b/>
      <w:snapToGrid w:val="0"/>
      <w:sz w:val="24"/>
      <w:lang w:eastAsia="en-US"/>
    </w:rPr>
  </w:style>
  <w:style w:type="character" w:customStyle="1" w:styleId="Heading9Char">
    <w:name w:val="Heading 9 Char"/>
    <w:basedOn w:val="DefaultParagraphFont"/>
    <w:link w:val="Heading9"/>
    <w:uiPriority w:val="99"/>
    <w:rsid w:val="00124A51"/>
    <w:rPr>
      <w:rFonts w:ascii="Arial" w:hAnsi="Arial"/>
      <w:b/>
      <w:snapToGrid w:val="0"/>
      <w:color w:val="000000"/>
      <w:lang w:eastAsia="en-US"/>
    </w:rPr>
  </w:style>
  <w:style w:type="paragraph" w:customStyle="1" w:styleId="TableFooter">
    <w:name w:val="Table Footer"/>
    <w:basedOn w:val="Normal"/>
    <w:link w:val="TableFooterChar"/>
    <w:qFormat/>
    <w:rsid w:val="00E2771E"/>
    <w:rPr>
      <w:rFonts w:ascii="Arial Narrow" w:hAnsi="Arial Narrow"/>
      <w:sz w:val="18"/>
    </w:rPr>
  </w:style>
  <w:style w:type="character" w:customStyle="1" w:styleId="TableFooterChar">
    <w:name w:val="Table Footer Char"/>
    <w:link w:val="TableFooter"/>
    <w:rsid w:val="00322846"/>
    <w:rPr>
      <w:rFonts w:ascii="Arial Narrow" w:hAnsi="Arial Narrow" w:cs="Arial"/>
      <w:snapToGrid w:val="0"/>
      <w:sz w:val="18"/>
      <w:lang w:eastAsia="en-US"/>
    </w:rPr>
  </w:style>
  <w:style w:type="paragraph" w:customStyle="1" w:styleId="TableHeader">
    <w:name w:val="Table Header"/>
    <w:basedOn w:val="Normal"/>
    <w:uiPriority w:val="3"/>
    <w:rsid w:val="000D1BFC"/>
    <w:rPr>
      <w:b/>
      <w:sz w:val="20"/>
    </w:rPr>
  </w:style>
  <w:style w:type="paragraph" w:styleId="Caption">
    <w:name w:val="caption"/>
    <w:aliases w:val="Caption Char Char,Caption2,Caption Char Char Char Char Char,Caption Char Char1 Char,Caption Char1 Char1,Bayer Caption,IB Caption,Medical Caption,Caption Char1 Char,- H17,B Caption,Caption - H17,! Q,Caption Char2 Char,Caption Char Char Char2"/>
    <w:basedOn w:val="Normal"/>
    <w:next w:val="Normal"/>
    <w:link w:val="CaptionChar"/>
    <w:unhideWhenUsed/>
    <w:qFormat/>
    <w:rsid w:val="00124A51"/>
    <w:pPr>
      <w:spacing w:after="200"/>
    </w:pPr>
    <w:rPr>
      <w:b/>
      <w:bCs/>
      <w:color w:val="4F81BD" w:themeColor="accent1"/>
      <w:sz w:val="18"/>
      <w:szCs w:val="18"/>
    </w:rPr>
  </w:style>
  <w:style w:type="character" w:customStyle="1" w:styleId="CaptionChar">
    <w:name w:val="Caption Char"/>
    <w:aliases w:val="Caption Char Char Char,Caption2 Char,Caption Char Char Char Char Char Char,Caption Char Char1 Char Char,Caption Char1 Char1 Char,Bayer Caption Char,IB Caption Char,Medical Caption Char,Caption Char1 Char Char,- H17 Char,B Caption Char"/>
    <w:link w:val="Caption"/>
    <w:rsid w:val="00124A51"/>
    <w:rPr>
      <w:b/>
      <w:bCs/>
      <w:snapToGrid w:val="0"/>
      <w:color w:val="4F81BD" w:themeColor="accent1"/>
      <w:sz w:val="18"/>
      <w:szCs w:val="18"/>
      <w:lang w:eastAsia="en-US"/>
    </w:rPr>
  </w:style>
  <w:style w:type="paragraph" w:styleId="Title">
    <w:name w:val="Title"/>
    <w:basedOn w:val="Normal"/>
    <w:next w:val="Normal"/>
    <w:link w:val="TitleChar"/>
    <w:uiPriority w:val="99"/>
    <w:qFormat/>
    <w:rsid w:val="00124A51"/>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uiPriority w:val="99"/>
    <w:rsid w:val="00124A51"/>
    <w:rPr>
      <w:rFonts w:ascii="Cambria" w:hAnsi="Cambria"/>
      <w:b/>
      <w:bCs/>
      <w:snapToGrid w:val="0"/>
      <w:kern w:val="28"/>
      <w:sz w:val="32"/>
      <w:szCs w:val="32"/>
      <w:lang w:eastAsia="en-US"/>
    </w:rPr>
  </w:style>
  <w:style w:type="paragraph" w:styleId="BodyText">
    <w:name w:val="Body Text"/>
    <w:basedOn w:val="Normal"/>
    <w:link w:val="BodyTextChar"/>
    <w:uiPriority w:val="99"/>
    <w:qFormat/>
    <w:rsid w:val="004B3DDB"/>
    <w:pPr>
      <w:jc w:val="left"/>
    </w:pPr>
  </w:style>
  <w:style w:type="character" w:customStyle="1" w:styleId="BodyTextChar">
    <w:name w:val="Body Text Char"/>
    <w:basedOn w:val="DefaultParagraphFont"/>
    <w:link w:val="BodyText"/>
    <w:uiPriority w:val="99"/>
    <w:rsid w:val="004B3DDB"/>
    <w:rPr>
      <w:rFonts w:ascii="Arial" w:hAnsi="Arial" w:cs="Arial"/>
      <w:snapToGrid w:val="0"/>
      <w:sz w:val="22"/>
      <w:lang w:eastAsia="en-US"/>
    </w:rPr>
  </w:style>
  <w:style w:type="paragraph" w:styleId="ListParagraph">
    <w:name w:val="List Paragraph"/>
    <w:aliases w:val="Body Text Bullet Points,Numbered para,BulletPoints,List Paragraph1,Bullet point,List Paragraph11,Recommendation,Section heading,Footnote,ES Paragraph,PBAC ES Paragraph,PBAC normal points,Bullet List,Bullets Points,Styl moj,Akapit z listą1"/>
    <w:next w:val="ListBullet"/>
    <w:link w:val="ListParagraphChar"/>
    <w:uiPriority w:val="34"/>
    <w:qFormat/>
    <w:rsid w:val="00BB00B3"/>
    <w:pPr>
      <w:numPr>
        <w:numId w:val="3"/>
      </w:numPr>
      <w:spacing w:after="120"/>
      <w:jc w:val="both"/>
    </w:pPr>
    <w:rPr>
      <w:rFonts w:asciiTheme="minorHAnsi" w:hAnsiTheme="minorHAnsi" w:cs="Arial"/>
      <w:snapToGrid w:val="0"/>
      <w:sz w:val="24"/>
      <w:szCs w:val="24"/>
    </w:rPr>
  </w:style>
  <w:style w:type="character" w:customStyle="1" w:styleId="ListParagraphChar">
    <w:name w:val="List Paragraph Char"/>
    <w:aliases w:val="Body Text Bullet Points Char,Numbered para Char,BulletPoints Char,List Paragraph1 Char,Bullet point Char,List Paragraph11 Char,Recommendation Char,Section heading Char,Footnote Char,ES Paragraph Char,PBAC ES Paragraph Char"/>
    <w:basedOn w:val="DefaultParagraphFont"/>
    <w:link w:val="ListParagraph"/>
    <w:uiPriority w:val="72"/>
    <w:qFormat/>
    <w:locked/>
    <w:rsid w:val="00BB00B3"/>
    <w:rPr>
      <w:rFonts w:asciiTheme="minorHAnsi" w:hAnsiTheme="minorHAnsi" w:cs="Arial"/>
      <w:snapToGrid w:val="0"/>
      <w:sz w:val="24"/>
      <w:szCs w:val="24"/>
    </w:rPr>
  </w:style>
  <w:style w:type="paragraph" w:customStyle="1" w:styleId="RegularText">
    <w:name w:val="Regular Text"/>
    <w:basedOn w:val="BodyText"/>
    <w:link w:val="RegularTextChar"/>
    <w:rsid w:val="00124A51"/>
    <w:rPr>
      <w:b/>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NoSpacing">
    <w:name w:val="No Spacing"/>
    <w:uiPriority w:val="1"/>
    <w:qFormat/>
    <w:rsid w:val="00124A51"/>
    <w:pPr>
      <w:widowControl w:val="0"/>
      <w:jc w:val="both"/>
    </w:pPr>
    <w:rPr>
      <w:rFonts w:ascii="Arial" w:hAnsi="Arial" w:cs="Arial"/>
      <w:snapToGrid w:val="0"/>
      <w:sz w:val="22"/>
      <w:lang w:eastAsia="en-US"/>
    </w:rPr>
  </w:style>
  <w:style w:type="paragraph" w:styleId="Header">
    <w:name w:val="header"/>
    <w:aliases w:val="Page Header,Header title,he=header,cntr/bld"/>
    <w:basedOn w:val="Normal"/>
    <w:link w:val="HeaderChar"/>
    <w:uiPriority w:val="99"/>
    <w:qFormat/>
    <w:rsid w:val="00EE1996"/>
    <w:pPr>
      <w:keepNext/>
      <w:tabs>
        <w:tab w:val="center" w:pos="4513"/>
        <w:tab w:val="right" w:pos="9026"/>
      </w:tabs>
      <w:jc w:val="center"/>
    </w:pPr>
  </w:style>
  <w:style w:type="character" w:customStyle="1" w:styleId="HeaderChar">
    <w:name w:val="Header Char"/>
    <w:aliases w:val="Page Header Char,Header title Char,he=header Char,cntr/bld Char"/>
    <w:basedOn w:val="DefaultParagraphFont"/>
    <w:link w:val="Header"/>
    <w:uiPriority w:val="99"/>
    <w:rsid w:val="00EE1996"/>
    <w:rPr>
      <w:rFonts w:ascii="Calibri" w:hAnsi="Calibri" w:cs="Arial"/>
      <w:sz w:val="24"/>
      <w:szCs w:val="24"/>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aliases w:val="Summary box,Table Gridbeth,CMA Table Template,ASD Table,PBAC table,HTAtableplain,MSD Table Grid,new style"/>
    <w:basedOn w:val="TableNormal"/>
    <w:uiPriority w:val="3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H18"/>
    <w:uiPriority w:val="99"/>
    <w:qFormat/>
    <w:rsid w:val="001E30D4"/>
    <w:rPr>
      <w:rFonts w:ascii="Arial Narrow" w:hAnsi="Arial Narrow"/>
      <w:b/>
      <w:sz w:val="20"/>
      <w:szCs w:val="16"/>
    </w:rPr>
  </w:style>
  <w:style w:type="paragraph" w:customStyle="1" w:styleId="Tabletext">
    <w:name w:val="Table text"/>
    <w:basedOn w:val="Normal"/>
    <w:link w:val="TabletextChar"/>
    <w:qFormat/>
    <w:rsid w:val="00A518F3"/>
    <w:pPr>
      <w:jc w:val="left"/>
    </w:pPr>
    <w:rPr>
      <w:rFonts w:ascii="Arial Narrow" w:hAnsi="Arial Narrow" w:cs="Times New Roman"/>
      <w:snapToGrid w:val="0"/>
      <w:sz w:val="20"/>
    </w:rPr>
  </w:style>
  <w:style w:type="character" w:customStyle="1" w:styleId="TabletextChar">
    <w:name w:val="Table text Char"/>
    <w:link w:val="Tabletext"/>
    <w:rsid w:val="00A518F3"/>
    <w:rPr>
      <w:rFonts w:ascii="Arial Narrow" w:hAnsi="Arial Narrow"/>
      <w:lang w:eastAsia="en-US"/>
    </w:rPr>
  </w:style>
  <w:style w:type="paragraph" w:customStyle="1" w:styleId="TableHeading">
    <w:name w:val="TableHeading"/>
    <w:basedOn w:val="Normal"/>
    <w:uiPriority w:val="99"/>
    <w:rsid w:val="00A56B6A"/>
    <w:pPr>
      <w:keepNext/>
      <w:spacing w:before="40" w:after="40"/>
      <w:jc w:val="left"/>
    </w:pPr>
    <w:rPr>
      <w:rFonts w:ascii="Arial Narrow" w:hAnsi="Arial Narrow" w:cs="Arial Narrow"/>
      <w:b/>
      <w:bCs/>
      <w:snapToGrid w:val="0"/>
      <w:sz w:val="20"/>
    </w:rPr>
  </w:style>
  <w:style w:type="paragraph" w:customStyle="1" w:styleId="Corpsdetextemarge">
    <w:name w:val="Corps de texte marge"/>
    <w:basedOn w:val="BodyText"/>
    <w:uiPriority w:val="99"/>
    <w:rsid w:val="008F48EB"/>
    <w:pPr>
      <w:jc w:val="both"/>
    </w:pPr>
    <w:rPr>
      <w:rFonts w:ascii="Times" w:hAnsi="Times" w:cs="Times New Roman"/>
      <w:snapToGrid w:val="0"/>
      <w:lang w:val="en-US"/>
    </w:rPr>
  </w:style>
  <w:style w:type="paragraph" w:styleId="NormalWeb">
    <w:name w:val="Normal (Web)"/>
    <w:basedOn w:val="Normal"/>
    <w:uiPriority w:val="99"/>
    <w:rsid w:val="008F48EB"/>
    <w:pPr>
      <w:spacing w:before="100" w:after="100"/>
      <w:jc w:val="left"/>
    </w:pPr>
    <w:rPr>
      <w:rFonts w:ascii="Times New Roman" w:hAnsi="Times New Roman" w:cs="Times New Roman"/>
      <w:snapToGrid w:val="0"/>
      <w:lang w:val="en-GB"/>
    </w:rPr>
  </w:style>
  <w:style w:type="paragraph" w:styleId="TOC2">
    <w:name w:val="toc 2"/>
    <w:basedOn w:val="Normal"/>
    <w:next w:val="Normal"/>
    <w:autoRedefine/>
    <w:uiPriority w:val="39"/>
    <w:rsid w:val="0009262B"/>
    <w:pPr>
      <w:tabs>
        <w:tab w:val="left" w:pos="713"/>
        <w:tab w:val="left" w:pos="880"/>
        <w:tab w:val="right" w:leader="dot" w:pos="9016"/>
      </w:tabs>
      <w:spacing w:before="40"/>
      <w:ind w:left="221"/>
      <w:jc w:val="left"/>
    </w:pPr>
    <w:rPr>
      <w:iCs/>
      <w:sz w:val="20"/>
    </w:rPr>
  </w:style>
  <w:style w:type="paragraph" w:styleId="TOC1">
    <w:name w:val="toc 1"/>
    <w:basedOn w:val="Normal"/>
    <w:next w:val="Normal"/>
    <w:autoRedefine/>
    <w:uiPriority w:val="39"/>
    <w:rsid w:val="005618D4"/>
    <w:pPr>
      <w:tabs>
        <w:tab w:val="left" w:pos="440"/>
        <w:tab w:val="right" w:leader="dot" w:pos="9016"/>
      </w:tabs>
      <w:spacing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qFormat/>
    <w:rsid w:val="00CE6274"/>
    <w:pPr>
      <w:keepNext/>
      <w:keepLines/>
      <w:spacing w:before="480" w:line="276" w:lineRule="auto"/>
      <w:ind w:left="0" w:firstLine="0"/>
      <w:jc w:val="left"/>
      <w:outlineLvl w:val="9"/>
    </w:pPr>
    <w:rPr>
      <w:rFonts w:asciiTheme="majorHAnsi" w:eastAsiaTheme="majorEastAsia" w:hAnsiTheme="majorHAnsi" w:cstheme="majorBidi"/>
      <w:bCs/>
      <w:snapToGrid w:val="0"/>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TOC4">
    <w:name w:val="toc 4"/>
    <w:basedOn w:val="Normal"/>
    <w:next w:val="Normal"/>
    <w:autoRedefine/>
    <w:uiPriority w:val="99"/>
    <w:rsid w:val="00D0262E"/>
    <w:pPr>
      <w:ind w:left="660"/>
      <w:jc w:val="left"/>
    </w:pPr>
    <w:rPr>
      <w:rFonts w:asciiTheme="minorHAnsi" w:hAnsiTheme="minorHAnsi"/>
      <w:sz w:val="20"/>
    </w:rPr>
  </w:style>
  <w:style w:type="paragraph" w:styleId="TOC5">
    <w:name w:val="toc 5"/>
    <w:basedOn w:val="Normal"/>
    <w:next w:val="Normal"/>
    <w:autoRedefine/>
    <w:uiPriority w:val="99"/>
    <w:rsid w:val="00D0262E"/>
    <w:pPr>
      <w:ind w:left="880"/>
      <w:jc w:val="left"/>
    </w:pPr>
    <w:rPr>
      <w:rFonts w:asciiTheme="minorHAnsi" w:hAnsiTheme="minorHAnsi"/>
      <w:sz w:val="20"/>
    </w:rPr>
  </w:style>
  <w:style w:type="paragraph" w:styleId="TOC6">
    <w:name w:val="toc 6"/>
    <w:basedOn w:val="Normal"/>
    <w:next w:val="Normal"/>
    <w:autoRedefine/>
    <w:uiPriority w:val="99"/>
    <w:rsid w:val="00D0262E"/>
    <w:pPr>
      <w:ind w:left="1100"/>
      <w:jc w:val="left"/>
    </w:pPr>
    <w:rPr>
      <w:rFonts w:asciiTheme="minorHAnsi" w:hAnsiTheme="minorHAnsi"/>
      <w:sz w:val="20"/>
    </w:rPr>
  </w:style>
  <w:style w:type="paragraph" w:styleId="TOC7">
    <w:name w:val="toc 7"/>
    <w:basedOn w:val="Normal"/>
    <w:next w:val="Normal"/>
    <w:autoRedefine/>
    <w:uiPriority w:val="99"/>
    <w:rsid w:val="00D0262E"/>
    <w:pPr>
      <w:ind w:left="1320"/>
      <w:jc w:val="left"/>
    </w:pPr>
    <w:rPr>
      <w:rFonts w:asciiTheme="minorHAnsi" w:hAnsiTheme="minorHAnsi"/>
      <w:sz w:val="20"/>
    </w:rPr>
  </w:style>
  <w:style w:type="paragraph" w:styleId="TOC8">
    <w:name w:val="toc 8"/>
    <w:basedOn w:val="Normal"/>
    <w:next w:val="Normal"/>
    <w:autoRedefine/>
    <w:uiPriority w:val="99"/>
    <w:rsid w:val="00D0262E"/>
    <w:pPr>
      <w:ind w:left="1540"/>
      <w:jc w:val="left"/>
    </w:pPr>
    <w:rPr>
      <w:rFonts w:asciiTheme="minorHAnsi" w:hAnsiTheme="minorHAnsi"/>
      <w:sz w:val="20"/>
    </w:rPr>
  </w:style>
  <w:style w:type="paragraph" w:styleId="TOC9">
    <w:name w:val="toc 9"/>
    <w:basedOn w:val="Normal"/>
    <w:next w:val="Normal"/>
    <w:autoRedefine/>
    <w:uiPriority w:val="99"/>
    <w:rsid w:val="00D0262E"/>
    <w:pPr>
      <w:ind w:left="1760"/>
      <w:jc w:val="left"/>
    </w:pPr>
    <w:rPr>
      <w:rFonts w:asciiTheme="minorHAnsi" w:hAnsiTheme="minorHAnsi"/>
      <w:sz w:val="20"/>
    </w:rPr>
  </w:style>
  <w:style w:type="paragraph" w:styleId="CommentText">
    <w:name w:val="annotation text"/>
    <w:basedOn w:val="Normal"/>
    <w:link w:val="CommentTextChar"/>
    <w:uiPriority w:val="99"/>
    <w:rsid w:val="00FD2100"/>
    <w:rPr>
      <w:rFonts w:ascii="Times New Roman" w:hAnsi="Times New Roman" w:cs="Times New Roman"/>
      <w:sz w:val="20"/>
    </w:rPr>
  </w:style>
  <w:style w:type="character" w:customStyle="1" w:styleId="CommentTextChar">
    <w:name w:val="Comment Text Char"/>
    <w:basedOn w:val="DefaultParagraphFont"/>
    <w:link w:val="CommentText"/>
    <w:uiPriority w:val="99"/>
    <w:rsid w:val="00FD2100"/>
    <w:rPr>
      <w:snapToGrid w:val="0"/>
      <w:lang w:eastAsia="en-US"/>
    </w:rPr>
  </w:style>
  <w:style w:type="paragraph" w:customStyle="1" w:styleId="Bulletpoints">
    <w:name w:val="Bullet points"/>
    <w:basedOn w:val="ListParagraph"/>
    <w:uiPriority w:val="99"/>
    <w:qFormat/>
    <w:rsid w:val="00B70E8E"/>
    <w:pPr>
      <w:numPr>
        <w:numId w:val="2"/>
      </w:numPr>
      <w:contextualSpacing/>
    </w:pPr>
  </w:style>
  <w:style w:type="paragraph" w:customStyle="1" w:styleId="TableName">
    <w:name w:val="TableName"/>
    <w:basedOn w:val="Normal"/>
    <w:uiPriority w:val="99"/>
    <w:rsid w:val="00CA7B09"/>
    <w:pPr>
      <w:keepNext/>
      <w:spacing w:before="120" w:after="120"/>
      <w:ind w:left="1800" w:hanging="1080"/>
      <w:jc w:val="left"/>
    </w:pPr>
    <w:rPr>
      <w:rFonts w:ascii="Arial Narrow" w:hAnsi="Arial Narrow" w:cs="Arial Narrow"/>
      <w:b/>
      <w:bCs/>
      <w:snapToGrid w:val="0"/>
    </w:rPr>
  </w:style>
  <w:style w:type="paragraph" w:customStyle="1" w:styleId="TableNotes18">
    <w:name w:val="TableNotes+18"/>
    <w:basedOn w:val="Normal"/>
    <w:uiPriority w:val="99"/>
    <w:rsid w:val="002C5099"/>
    <w:pPr>
      <w:keepLines/>
      <w:spacing w:after="360"/>
      <w:ind w:left="720"/>
      <w:jc w:val="left"/>
    </w:pPr>
    <w:rPr>
      <w:rFonts w:ascii="Arial Narrow" w:hAnsi="Arial Narrow" w:cs="Arial Narrow"/>
      <w:snapToGrid w:val="0"/>
      <w:sz w:val="18"/>
      <w:szCs w:val="18"/>
    </w:rPr>
  </w:style>
  <w:style w:type="paragraph" w:customStyle="1" w:styleId="TableNotes0">
    <w:name w:val="TableNotes+0"/>
    <w:basedOn w:val="TableNotes18"/>
    <w:uiPriority w:val="99"/>
    <w:rsid w:val="00CA7B09"/>
    <w:pPr>
      <w:keepNext/>
      <w:spacing w:after="0"/>
    </w:pPr>
  </w:style>
  <w:style w:type="paragraph" w:styleId="CommentSubject">
    <w:name w:val="annotation subject"/>
    <w:basedOn w:val="CommentText"/>
    <w:next w:val="CommentText"/>
    <w:link w:val="CommentSubjectChar"/>
    <w:uiPriority w:val="99"/>
    <w:rsid w:val="004319F8"/>
    <w:rPr>
      <w:rFonts w:ascii="Arial" w:hAnsi="Arial" w:cs="Arial"/>
      <w:b/>
      <w:bCs/>
    </w:rPr>
  </w:style>
  <w:style w:type="character" w:customStyle="1" w:styleId="CommentSubjectChar">
    <w:name w:val="Comment Subject Char"/>
    <w:basedOn w:val="CommentTextChar"/>
    <w:link w:val="CommentSubject"/>
    <w:uiPriority w:val="99"/>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uiPriority w:val="99"/>
    <w:rsid w:val="00E41E30"/>
    <w:pPr>
      <w:spacing w:after="120"/>
      <w:ind w:left="283"/>
    </w:pPr>
  </w:style>
  <w:style w:type="character" w:customStyle="1" w:styleId="BodyTextIndentChar">
    <w:name w:val="Body Text Indent Char"/>
    <w:basedOn w:val="DefaultParagraphFont"/>
    <w:link w:val="BodyTextIndent"/>
    <w:uiPriority w:val="99"/>
    <w:rsid w:val="00E41E30"/>
    <w:rPr>
      <w:rFonts w:ascii="Arial" w:hAnsi="Arial" w:cs="Arial"/>
      <w:snapToGrid w:val="0"/>
      <w:sz w:val="22"/>
      <w:lang w:eastAsia="en-US"/>
    </w:rPr>
  </w:style>
  <w:style w:type="paragraph" w:customStyle="1" w:styleId="Char1CharCharChar">
    <w:name w:val="Char1 Char Char Char"/>
    <w:basedOn w:val="Normal"/>
    <w:uiPriority w:val="99"/>
    <w:rsid w:val="00B94945"/>
    <w:pPr>
      <w:spacing w:after="160" w:line="240" w:lineRule="exact"/>
      <w:jc w:val="left"/>
    </w:pPr>
    <w:rPr>
      <w:rFonts w:ascii="Verdana" w:eastAsia="MS Mincho" w:hAnsi="Verdana" w:cs="Verdana"/>
      <w:snapToGrid w:val="0"/>
      <w:sz w:val="20"/>
      <w:lang w:val="en-US"/>
    </w:rPr>
  </w:style>
  <w:style w:type="character" w:customStyle="1" w:styleId="SubtitleChar">
    <w:name w:val="Subtitle Char"/>
    <w:link w:val="Subtitle"/>
    <w:uiPriority w:val="99"/>
    <w:rsid w:val="00B50DB8"/>
    <w:rPr>
      <w:lang w:eastAsia="en-US"/>
    </w:rPr>
  </w:style>
  <w:style w:type="paragraph" w:styleId="Subtitle">
    <w:name w:val="Subtitle"/>
    <w:basedOn w:val="Normal"/>
    <w:link w:val="SubtitleChar"/>
    <w:uiPriority w:val="99"/>
    <w:qFormat/>
    <w:rsid w:val="00B50DB8"/>
    <w:rPr>
      <w:rFonts w:ascii="Times New Roman" w:hAnsi="Times New Roman" w:cs="Times New Roman"/>
      <w:snapToGrid w:val="0"/>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qFormat/>
    <w:rsid w:val="003C5542"/>
    <w:pPr>
      <w:outlineLvl w:val="0"/>
    </w:pPr>
    <w:rPr>
      <w:rFonts w:ascii="Calibri" w:hAnsi="Calibri" w:cs="Arial"/>
      <w:b/>
      <w:snapToGrid w:val="0"/>
      <w:sz w:val="32"/>
      <w:szCs w:val="22"/>
      <w:lang w:eastAsia="en-US"/>
    </w:rPr>
  </w:style>
  <w:style w:type="table" w:customStyle="1" w:styleId="PlainTable21">
    <w:name w:val="Plain Table 21"/>
    <w:basedOn w:val="TableNormal"/>
    <w:uiPriority w:val="42"/>
    <w:rsid w:val="00FF5AD8"/>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semiHidden/>
    <w:unhideWhenUsed/>
    <w:rsid w:val="00536F42"/>
    <w:rPr>
      <w:color w:val="800080" w:themeColor="followedHyperlink"/>
      <w:u w:val="single"/>
    </w:rPr>
  </w:style>
  <w:style w:type="character" w:styleId="PageNumber">
    <w:name w:val="page number"/>
    <w:basedOn w:val="DefaultParagraphFont"/>
    <w:semiHidden/>
    <w:unhideWhenUsed/>
    <w:rsid w:val="00953257"/>
  </w:style>
  <w:style w:type="paragraph" w:customStyle="1" w:styleId="Commentitalics">
    <w:name w:val="Comment (italics)"/>
    <w:basedOn w:val="Normal"/>
    <w:next w:val="Normal"/>
    <w:uiPriority w:val="99"/>
    <w:qFormat/>
    <w:rsid w:val="00B53654"/>
    <w:rPr>
      <w:i/>
    </w:rPr>
  </w:style>
  <w:style w:type="paragraph" w:styleId="BalloonText">
    <w:name w:val="Balloon Text"/>
    <w:basedOn w:val="Normal"/>
    <w:link w:val="BalloonTextChar"/>
    <w:uiPriority w:val="99"/>
    <w:semiHidden/>
    <w:unhideWhenUsed/>
    <w:rsid w:val="00B34FE2"/>
    <w:rPr>
      <w:rFonts w:ascii="Tahoma" w:hAnsi="Tahoma" w:cs="Tahoma"/>
      <w:sz w:val="16"/>
      <w:szCs w:val="16"/>
    </w:rPr>
  </w:style>
  <w:style w:type="character" w:customStyle="1" w:styleId="BalloonTextChar">
    <w:name w:val="Balloon Text Char"/>
    <w:basedOn w:val="DefaultParagraphFont"/>
    <w:link w:val="BalloonText"/>
    <w:uiPriority w:val="99"/>
    <w:semiHidden/>
    <w:rsid w:val="00B34FE2"/>
    <w:rPr>
      <w:rFonts w:ascii="Tahoma" w:hAnsi="Tahoma" w:cs="Tahoma"/>
      <w:snapToGrid w:val="0"/>
      <w:sz w:val="16"/>
      <w:szCs w:val="16"/>
      <w:lang w:eastAsia="en-US"/>
    </w:rPr>
  </w:style>
  <w:style w:type="paragraph" w:customStyle="1" w:styleId="TableText0">
    <w:name w:val="Table Text"/>
    <w:link w:val="TableTextChar0"/>
    <w:qFormat/>
    <w:rsid w:val="00EE1996"/>
    <w:pPr>
      <w:keepNext/>
    </w:pPr>
    <w:rPr>
      <w:rFonts w:ascii="Arial Narrow" w:eastAsiaTheme="majorEastAsia" w:hAnsi="Arial Narrow" w:cstheme="majorBidi"/>
      <w:bCs/>
      <w:szCs w:val="24"/>
    </w:rPr>
  </w:style>
  <w:style w:type="paragraph" w:customStyle="1" w:styleId="V50Tablename">
    <w:name w:val="V5.0 Table name"/>
    <w:basedOn w:val="Normal"/>
    <w:link w:val="V50TablenameChar"/>
    <w:rsid w:val="001A178E"/>
    <w:pPr>
      <w:keepNext/>
      <w:jc w:val="left"/>
    </w:pPr>
    <w:rPr>
      <w:rFonts w:asciiTheme="minorHAnsi" w:eastAsiaTheme="minorHAnsi" w:hAnsiTheme="minorHAnsi" w:cstheme="minorBidi"/>
      <w:b/>
      <w:snapToGrid w:val="0"/>
      <w:sz w:val="20"/>
      <w:lang w:val="en-US"/>
    </w:rPr>
  </w:style>
  <w:style w:type="character" w:customStyle="1" w:styleId="V50TablenameChar">
    <w:name w:val="V5.0 Table name Char"/>
    <w:basedOn w:val="DefaultParagraphFont"/>
    <w:link w:val="V50Tablename"/>
    <w:rsid w:val="001A178E"/>
    <w:rPr>
      <w:rFonts w:asciiTheme="minorHAnsi" w:eastAsiaTheme="minorHAnsi" w:hAnsiTheme="minorHAnsi" w:cstheme="minorBidi"/>
      <w:b/>
      <w:szCs w:val="24"/>
      <w:lang w:val="en-US" w:eastAsia="en-US"/>
    </w:rPr>
  </w:style>
  <w:style w:type="paragraph" w:customStyle="1" w:styleId="GeneralHeading">
    <w:name w:val="General Heading"/>
    <w:uiPriority w:val="99"/>
    <w:qFormat/>
    <w:rsid w:val="00EE1996"/>
    <w:pPr>
      <w:keepNext/>
      <w:spacing w:before="120" w:after="120"/>
      <w:ind w:left="720" w:hanging="720"/>
      <w:outlineLvl w:val="0"/>
    </w:pPr>
    <w:rPr>
      <w:rFonts w:ascii="Calibri" w:hAnsi="Calibri" w:cs="Arial"/>
      <w:b/>
      <w:snapToGrid w:val="0"/>
      <w:sz w:val="28"/>
      <w:szCs w:val="22"/>
    </w:rPr>
  </w:style>
  <w:style w:type="paragraph" w:customStyle="1" w:styleId="In-tableHeading">
    <w:name w:val="In-table Heading"/>
    <w:uiPriority w:val="99"/>
    <w:qFormat/>
    <w:rsid w:val="00EE1996"/>
    <w:pPr>
      <w:keepNext/>
    </w:pPr>
    <w:rPr>
      <w:rFonts w:ascii="Arial Narrow" w:eastAsiaTheme="majorEastAsia" w:hAnsi="Arial Narrow"/>
      <w:b/>
      <w:szCs w:val="24"/>
      <w:lang w:val="en-US"/>
    </w:rPr>
  </w:style>
  <w:style w:type="paragraph" w:customStyle="1" w:styleId="2-SectionHeading">
    <w:name w:val="2-Section Heading"/>
    <w:uiPriority w:val="99"/>
    <w:qFormat/>
    <w:rsid w:val="00EE1996"/>
    <w:pPr>
      <w:keepNext/>
      <w:numPr>
        <w:numId w:val="1"/>
      </w:numPr>
      <w:spacing w:before="240" w:after="120"/>
      <w:outlineLvl w:val="0"/>
    </w:pPr>
    <w:rPr>
      <w:rFonts w:asciiTheme="minorHAnsi" w:hAnsiTheme="minorHAnsi" w:cs="Arial"/>
      <w:b/>
      <w:snapToGrid w:val="0"/>
      <w:sz w:val="32"/>
      <w:szCs w:val="32"/>
    </w:rPr>
  </w:style>
  <w:style w:type="paragraph" w:customStyle="1" w:styleId="1-MainHeading">
    <w:name w:val="1-Main Heading"/>
    <w:link w:val="1-MainHeadingChar"/>
    <w:qFormat/>
    <w:rsid w:val="00EE1996"/>
    <w:pPr>
      <w:keepNext/>
      <w:spacing w:before="120" w:after="160"/>
      <w:ind w:left="720" w:hanging="720"/>
      <w:outlineLvl w:val="0"/>
    </w:pPr>
    <w:rPr>
      <w:rFonts w:asciiTheme="minorHAnsi" w:eastAsiaTheme="majorEastAsia" w:hAnsiTheme="minorHAnsi" w:cstheme="majorBidi"/>
      <w:b/>
      <w:spacing w:val="5"/>
      <w:kern w:val="28"/>
      <w:sz w:val="36"/>
      <w:szCs w:val="36"/>
    </w:rPr>
  </w:style>
  <w:style w:type="character" w:customStyle="1" w:styleId="1-MainHeadingChar">
    <w:name w:val="1-Main Heading Char"/>
    <w:basedOn w:val="DefaultParagraphFont"/>
    <w:link w:val="1-MainHeading"/>
    <w:rsid w:val="00EE1996"/>
    <w:rPr>
      <w:rFonts w:asciiTheme="minorHAnsi" w:eastAsiaTheme="majorEastAsia" w:hAnsiTheme="minorHAnsi" w:cstheme="majorBidi"/>
      <w:b/>
      <w:spacing w:val="5"/>
      <w:kern w:val="28"/>
      <w:sz w:val="36"/>
      <w:szCs w:val="36"/>
    </w:rPr>
  </w:style>
  <w:style w:type="paragraph" w:customStyle="1" w:styleId="TableFigureHeading">
    <w:name w:val="Table/Figure Heading"/>
    <w:next w:val="In-tableHeading"/>
    <w:link w:val="TableFigureHeadingChar"/>
    <w:qFormat/>
    <w:rsid w:val="005478BD"/>
    <w:pPr>
      <w:keepNext/>
    </w:pPr>
    <w:rPr>
      <w:rFonts w:ascii="Arial Narrow" w:eastAsiaTheme="majorEastAsia" w:hAnsi="Arial Narrow" w:cstheme="majorBidi"/>
      <w:b/>
      <w:bCs/>
      <w:szCs w:val="24"/>
    </w:rPr>
  </w:style>
  <w:style w:type="character" w:customStyle="1" w:styleId="TableFigureHeadingChar">
    <w:name w:val="Table/Figure Heading Char"/>
    <w:basedOn w:val="DefaultParagraphFont"/>
    <w:link w:val="TableFigureHeading"/>
    <w:rsid w:val="005478BD"/>
    <w:rPr>
      <w:rFonts w:ascii="Arial Narrow" w:eastAsiaTheme="majorEastAsia" w:hAnsi="Arial Narrow" w:cstheme="majorBidi"/>
      <w:b/>
      <w:bCs/>
      <w:szCs w:val="24"/>
    </w:rPr>
  </w:style>
  <w:style w:type="paragraph" w:customStyle="1" w:styleId="3-BodyText">
    <w:name w:val="3-Body Text"/>
    <w:basedOn w:val="ListParagraph"/>
    <w:link w:val="3-BodyTextChar"/>
    <w:uiPriority w:val="99"/>
    <w:qFormat/>
    <w:rsid w:val="004E18E9"/>
    <w:pPr>
      <w:numPr>
        <w:ilvl w:val="1"/>
        <w:numId w:val="1"/>
      </w:numPr>
      <w:ind w:left="2160"/>
    </w:pPr>
  </w:style>
  <w:style w:type="character" w:customStyle="1" w:styleId="3-BodyTextChar">
    <w:name w:val="3-Body Text Char"/>
    <w:basedOn w:val="ListParagraphChar"/>
    <w:link w:val="3-BodyText"/>
    <w:uiPriority w:val="99"/>
    <w:rsid w:val="004E18E9"/>
    <w:rPr>
      <w:rFonts w:asciiTheme="minorHAnsi" w:hAnsiTheme="minorHAnsi" w:cs="Arial"/>
      <w:snapToGrid w:val="0"/>
      <w:sz w:val="24"/>
      <w:szCs w:val="24"/>
    </w:rPr>
  </w:style>
  <w:style w:type="paragraph" w:customStyle="1" w:styleId="PageFooter">
    <w:name w:val="Page Footer"/>
    <w:basedOn w:val="Normal"/>
    <w:link w:val="PageFooterChar"/>
    <w:qFormat/>
    <w:rsid w:val="00EE1996"/>
    <w:pPr>
      <w:keepNext/>
      <w:tabs>
        <w:tab w:val="center" w:pos="4153"/>
        <w:tab w:val="center" w:pos="4513"/>
        <w:tab w:val="right" w:pos="8306"/>
        <w:tab w:val="right" w:pos="9026"/>
      </w:tabs>
      <w:jc w:val="center"/>
    </w:pPr>
    <w:rPr>
      <w:b/>
    </w:rPr>
  </w:style>
  <w:style w:type="character" w:customStyle="1" w:styleId="PageFooterChar">
    <w:name w:val="Page Footer Char"/>
    <w:basedOn w:val="DefaultParagraphFont"/>
    <w:link w:val="PageFooter"/>
    <w:rsid w:val="00EE1996"/>
    <w:rPr>
      <w:rFonts w:ascii="Calibri" w:hAnsi="Calibri" w:cs="Arial"/>
      <w:b/>
      <w:sz w:val="24"/>
      <w:szCs w:val="24"/>
    </w:rPr>
  </w:style>
  <w:style w:type="paragraph" w:customStyle="1" w:styleId="TableFigureFooter">
    <w:name w:val="Table/Figure Footer"/>
    <w:basedOn w:val="Normal"/>
    <w:link w:val="TableFigureFooterChar"/>
    <w:qFormat/>
    <w:rsid w:val="00EC5836"/>
    <w:pPr>
      <w:spacing w:after="120"/>
      <w:contextualSpacing/>
    </w:pPr>
    <w:rPr>
      <w:rFonts w:ascii="Arial Narrow" w:hAnsi="Arial Narrow"/>
      <w:snapToGrid w:val="0"/>
      <w:sz w:val="18"/>
      <w:szCs w:val="22"/>
    </w:rPr>
  </w:style>
  <w:style w:type="character" w:customStyle="1" w:styleId="TableFigureFooterChar">
    <w:name w:val="Table/Figure Footer Char"/>
    <w:link w:val="TableFigureFooter"/>
    <w:rsid w:val="00EC5836"/>
    <w:rPr>
      <w:rFonts w:ascii="Arial Narrow" w:hAnsi="Arial Narrow" w:cs="Arial"/>
      <w:snapToGrid w:val="0"/>
      <w:sz w:val="18"/>
      <w:szCs w:val="22"/>
    </w:rPr>
  </w:style>
  <w:style w:type="paragraph" w:customStyle="1" w:styleId="4-SubsectionHeading">
    <w:name w:val="4-Subsection Heading"/>
    <w:basedOn w:val="Heading2"/>
    <w:next w:val="3-BodyText"/>
    <w:link w:val="4-SubsectionHeadingChar"/>
    <w:qFormat/>
    <w:rsid w:val="00EE1996"/>
    <w:pPr>
      <w:keepNext/>
      <w:spacing w:before="120" w:after="120"/>
    </w:pPr>
    <w:rPr>
      <w:rFonts w:asciiTheme="minorHAnsi" w:eastAsiaTheme="majorEastAsia" w:hAnsiTheme="minorHAnsi" w:cstheme="majorBidi"/>
      <w:spacing w:val="5"/>
      <w:kern w:val="28"/>
      <w:szCs w:val="36"/>
    </w:rPr>
  </w:style>
  <w:style w:type="character" w:customStyle="1" w:styleId="4-SubsectionHeadingChar">
    <w:name w:val="4-Subsection Heading Char"/>
    <w:basedOn w:val="Heading2Char"/>
    <w:link w:val="4-SubsectionHeading"/>
    <w:rsid w:val="00EE1996"/>
    <w:rPr>
      <w:rFonts w:asciiTheme="minorHAnsi" w:eastAsiaTheme="majorEastAsia" w:hAnsiTheme="minorHAnsi" w:cstheme="majorBidi"/>
      <w:b/>
      <w:i/>
      <w:snapToGrid/>
      <w:spacing w:val="5"/>
      <w:kern w:val="28"/>
      <w:sz w:val="28"/>
      <w:szCs w:val="36"/>
      <w:lang w:eastAsia="en-US"/>
    </w:rPr>
  </w:style>
  <w:style w:type="paragraph" w:customStyle="1" w:styleId="5-SubsectionSubheading">
    <w:name w:val="5-Subsection Subheading"/>
    <w:basedOn w:val="Heading3"/>
    <w:next w:val="3-BodyText"/>
    <w:link w:val="5-SubsectionSubheadingChar"/>
    <w:qFormat/>
    <w:rsid w:val="004A6040"/>
    <w:pPr>
      <w:keepNext/>
      <w:keepLines/>
      <w:spacing w:before="160" w:after="120"/>
    </w:pPr>
    <w:rPr>
      <w:rFonts w:asciiTheme="minorHAnsi" w:eastAsiaTheme="majorEastAsia" w:hAnsiTheme="minorHAnsi" w:cstheme="majorBidi"/>
      <w:b/>
      <w:color w:val="000000" w:themeColor="text1"/>
      <w:u w:val="none"/>
    </w:rPr>
  </w:style>
  <w:style w:type="character" w:customStyle="1" w:styleId="5-SubsectionSubheadingChar">
    <w:name w:val="5-Subsection Subheading Char"/>
    <w:basedOn w:val="DefaultParagraphFont"/>
    <w:link w:val="5-SubsectionSubheading"/>
    <w:rsid w:val="004A6040"/>
    <w:rPr>
      <w:rFonts w:asciiTheme="minorHAnsi" w:eastAsiaTheme="majorEastAsia" w:hAnsiTheme="minorHAnsi" w:cstheme="majorBidi"/>
      <w:b/>
      <w:color w:val="000000" w:themeColor="text1"/>
      <w:sz w:val="24"/>
      <w:szCs w:val="24"/>
    </w:rPr>
  </w:style>
  <w:style w:type="paragraph" w:styleId="ListBullet">
    <w:name w:val="List Bullet"/>
    <w:basedOn w:val="Normal"/>
    <w:uiPriority w:val="99"/>
    <w:unhideWhenUsed/>
    <w:rsid w:val="00EE1996"/>
    <w:pPr>
      <w:numPr>
        <w:numId w:val="4"/>
      </w:numPr>
      <w:contextualSpacing/>
    </w:pPr>
  </w:style>
  <w:style w:type="character" w:customStyle="1" w:styleId="TableTextChar0">
    <w:name w:val="Table Text Char"/>
    <w:basedOn w:val="DefaultParagraphFont"/>
    <w:link w:val="TableText0"/>
    <w:rsid w:val="00EE1996"/>
    <w:rPr>
      <w:rFonts w:ascii="Arial Narrow" w:eastAsiaTheme="majorEastAsia" w:hAnsi="Arial Narrow" w:cstheme="majorBidi"/>
      <w:bCs/>
      <w:szCs w:val="24"/>
    </w:rPr>
  </w:style>
  <w:style w:type="paragraph" w:customStyle="1" w:styleId="Tablenotes">
    <w:name w:val="Table notes"/>
    <w:basedOn w:val="Normal"/>
    <w:link w:val="TablenotesChar"/>
    <w:qFormat/>
    <w:rsid w:val="00497934"/>
    <w:pPr>
      <w:jc w:val="left"/>
    </w:pPr>
    <w:rPr>
      <w:rFonts w:ascii="Trebuchet MS" w:hAnsi="Trebuchet MS" w:cs="Times New Roman"/>
      <w:sz w:val="16"/>
      <w:szCs w:val="20"/>
      <w:lang w:eastAsia="en-US"/>
    </w:rPr>
  </w:style>
  <w:style w:type="character" w:customStyle="1" w:styleId="TablenotesChar">
    <w:name w:val="Table notes Char"/>
    <w:basedOn w:val="DefaultParagraphFont"/>
    <w:link w:val="Tablenotes"/>
    <w:rsid w:val="00497934"/>
    <w:rPr>
      <w:rFonts w:ascii="Trebuchet MS" w:hAnsi="Trebuchet MS"/>
      <w:sz w:val="16"/>
      <w:lang w:eastAsia="en-US"/>
    </w:rPr>
  </w:style>
  <w:style w:type="table" w:styleId="PlainTable2">
    <w:name w:val="Plain Table 2"/>
    <w:basedOn w:val="TableNormal"/>
    <w:uiPriority w:val="42"/>
    <w:rsid w:val="00E37831"/>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FootnoteText">
    <w:name w:val="footnote text"/>
    <w:basedOn w:val="Normal"/>
    <w:link w:val="FootnoteTextChar"/>
    <w:uiPriority w:val="99"/>
    <w:semiHidden/>
    <w:unhideWhenUsed/>
    <w:rsid w:val="003B5862"/>
    <w:pPr>
      <w:widowControl w:val="0"/>
    </w:pPr>
    <w:rPr>
      <w:snapToGrid w:val="0"/>
      <w:sz w:val="20"/>
      <w:szCs w:val="20"/>
      <w:lang w:eastAsia="en-US"/>
    </w:rPr>
  </w:style>
  <w:style w:type="character" w:customStyle="1" w:styleId="FootnoteTextChar">
    <w:name w:val="Footnote Text Char"/>
    <w:basedOn w:val="DefaultParagraphFont"/>
    <w:link w:val="FootnoteText"/>
    <w:uiPriority w:val="99"/>
    <w:semiHidden/>
    <w:rsid w:val="003B5862"/>
    <w:rPr>
      <w:rFonts w:ascii="Calibri" w:hAnsi="Calibri" w:cs="Arial"/>
      <w:snapToGrid w:val="0"/>
      <w:lang w:eastAsia="en-US"/>
    </w:rPr>
  </w:style>
  <w:style w:type="character" w:styleId="FootnoteReference">
    <w:name w:val="footnote reference"/>
    <w:basedOn w:val="DefaultParagraphFont"/>
    <w:uiPriority w:val="99"/>
    <w:unhideWhenUsed/>
    <w:rsid w:val="003B5862"/>
    <w:rPr>
      <w:vertAlign w:val="superscript"/>
    </w:rPr>
  </w:style>
  <w:style w:type="table" w:styleId="TableWeb3">
    <w:name w:val="Table Web 3"/>
    <w:basedOn w:val="TableNormal"/>
    <w:rsid w:val="00F74376"/>
    <w:pPr>
      <w:widowControl w:val="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Heading1Char">
    <w:name w:val="Heading 1 Char"/>
    <w:basedOn w:val="DefaultParagraphFont"/>
    <w:link w:val="Heading1"/>
    <w:uiPriority w:val="1"/>
    <w:rsid w:val="00CD2BFF"/>
    <w:rPr>
      <w:rFonts w:ascii="Calibri" w:hAnsi="Calibri" w:cs="Arial"/>
      <w:b/>
      <w:caps/>
      <w:sz w:val="32"/>
      <w:szCs w:val="24"/>
    </w:rPr>
  </w:style>
  <w:style w:type="character" w:customStyle="1" w:styleId="Heading3Char">
    <w:name w:val="Heading 3 Char"/>
    <w:basedOn w:val="DefaultParagraphFont"/>
    <w:link w:val="Heading3"/>
    <w:rsid w:val="00CD2BFF"/>
    <w:rPr>
      <w:rFonts w:ascii="Calibri" w:hAnsi="Calibri" w:cs="Arial"/>
      <w:sz w:val="24"/>
      <w:szCs w:val="24"/>
      <w:u w:val="single"/>
    </w:rPr>
  </w:style>
  <w:style w:type="character" w:customStyle="1" w:styleId="Heading4Char">
    <w:name w:val="Heading 4 Char"/>
    <w:basedOn w:val="DefaultParagraphFont"/>
    <w:link w:val="Heading4"/>
    <w:rsid w:val="00CD2BFF"/>
    <w:rPr>
      <w:rFonts w:ascii="Calibri" w:hAnsi="Calibri" w:cs="Arial"/>
      <w:b/>
      <w:bCs/>
      <w:i/>
      <w:sz w:val="26"/>
      <w:szCs w:val="28"/>
    </w:rPr>
  </w:style>
  <w:style w:type="character" w:customStyle="1" w:styleId="Heading5Char">
    <w:name w:val="Heading 5 Char"/>
    <w:basedOn w:val="DefaultParagraphFont"/>
    <w:link w:val="Heading5"/>
    <w:rsid w:val="00CD2BFF"/>
    <w:rPr>
      <w:rFonts w:ascii="Calibri" w:hAnsi="Calibri" w:cs="Arial"/>
      <w:b/>
      <w:bCs/>
      <w:iCs/>
      <w:sz w:val="26"/>
      <w:szCs w:val="26"/>
    </w:rPr>
  </w:style>
  <w:style w:type="character" w:customStyle="1" w:styleId="Heading6Char">
    <w:name w:val="Heading 6 Char"/>
    <w:basedOn w:val="DefaultParagraphFont"/>
    <w:link w:val="Heading6"/>
    <w:rsid w:val="00CD2BFF"/>
    <w:rPr>
      <w:rFonts w:ascii="Calibri" w:hAnsi="Calibri" w:cs="Arial"/>
      <w:b/>
      <w:bCs/>
      <w:i/>
      <w:sz w:val="24"/>
      <w:szCs w:val="24"/>
    </w:rPr>
  </w:style>
  <w:style w:type="paragraph" w:customStyle="1" w:styleId="msonormal0">
    <w:name w:val="msonormal"/>
    <w:basedOn w:val="Normal"/>
    <w:uiPriority w:val="99"/>
    <w:rsid w:val="00CD2BFF"/>
    <w:pPr>
      <w:spacing w:before="100" w:after="100"/>
      <w:jc w:val="left"/>
    </w:pPr>
    <w:rPr>
      <w:rFonts w:ascii="Times New Roman" w:hAnsi="Times New Roman" w:cs="Times New Roman"/>
      <w:szCs w:val="22"/>
      <w:lang w:val="en-GB" w:eastAsia="en-US"/>
    </w:rPr>
  </w:style>
  <w:style w:type="character" w:customStyle="1" w:styleId="HeaderChar1">
    <w:name w:val="Header Char1"/>
    <w:aliases w:val="Page Header Char1,Header title Char1,he=header Char1,cntr/bld Char1"/>
    <w:basedOn w:val="DefaultParagraphFont"/>
    <w:semiHidden/>
    <w:rsid w:val="00CD2BFF"/>
    <w:rPr>
      <w:rFonts w:ascii="Calibri" w:hAnsi="Calibri" w:cs="Arial"/>
      <w:sz w:val="24"/>
      <w:szCs w:val="22"/>
      <w:lang w:eastAsia="en-US"/>
    </w:rPr>
  </w:style>
  <w:style w:type="character" w:customStyle="1" w:styleId="TableFigureFootnoteChar">
    <w:name w:val="Table/Figure Footnote Char"/>
    <w:basedOn w:val="DefaultParagraphFont"/>
    <w:link w:val="TableFigureFootnote"/>
    <w:locked/>
    <w:rsid w:val="00CD2BFF"/>
    <w:rPr>
      <w:rFonts w:ascii="Trebuchet MS" w:hAnsi="Trebuchet MS"/>
      <w:sz w:val="16"/>
      <w:lang w:eastAsia="en-US"/>
    </w:rPr>
  </w:style>
  <w:style w:type="paragraph" w:customStyle="1" w:styleId="TableFigureFootnote">
    <w:name w:val="Table/Figure Footnote"/>
    <w:basedOn w:val="Normal"/>
    <w:link w:val="TableFigureFootnoteChar"/>
    <w:qFormat/>
    <w:rsid w:val="00CD2BFF"/>
    <w:rPr>
      <w:rFonts w:ascii="Trebuchet MS" w:hAnsi="Trebuchet MS" w:cs="Times New Roman"/>
      <w:sz w:val="16"/>
      <w:szCs w:val="20"/>
      <w:lang w:eastAsia="en-US"/>
    </w:rPr>
  </w:style>
  <w:style w:type="character" w:customStyle="1" w:styleId="TableTextChar1">
    <w:name w:val="TableText Char"/>
    <w:basedOn w:val="DefaultParagraphFont"/>
    <w:link w:val="TableText1"/>
    <w:uiPriority w:val="3"/>
    <w:locked/>
    <w:rsid w:val="00CD2BFF"/>
    <w:rPr>
      <w:rFonts w:ascii="Calibri" w:hAnsi="Calibri" w:cs="Calibri"/>
      <w:bCs/>
      <w:lang w:eastAsia="zh-CN"/>
    </w:rPr>
  </w:style>
  <w:style w:type="paragraph" w:customStyle="1" w:styleId="TableText1">
    <w:name w:val="TableText"/>
    <w:basedOn w:val="Normal"/>
    <w:link w:val="TableTextChar1"/>
    <w:uiPriority w:val="3"/>
    <w:qFormat/>
    <w:rsid w:val="00CD2BFF"/>
    <w:pPr>
      <w:spacing w:before="20" w:after="20"/>
      <w:jc w:val="left"/>
    </w:pPr>
    <w:rPr>
      <w:rFonts w:cs="Calibri"/>
      <w:bCs/>
      <w:sz w:val="20"/>
      <w:szCs w:val="20"/>
      <w:lang w:eastAsia="zh-CN"/>
    </w:rPr>
  </w:style>
  <w:style w:type="table" w:styleId="TableWeb2">
    <w:name w:val="Table Web 2"/>
    <w:basedOn w:val="TableNormal"/>
    <w:unhideWhenUsed/>
    <w:rsid w:val="00CD2BFF"/>
    <w:pPr>
      <w:widowControl w:val="0"/>
      <w:jc w:val="both"/>
    </w:pPr>
    <w:tblPr>
      <w:tblCellSpacing w:w="20" w:type="dxa"/>
      <w:tblInd w:w="0" w:type="nil"/>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CD2BFF"/>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ASDTable2">
    <w:name w:val="ASD Table2"/>
    <w:basedOn w:val="TableNormal"/>
    <w:uiPriority w:val="39"/>
    <w:rsid w:val="00CD2BFF"/>
    <w:rPr>
      <w:rFonts w:ascii="Calibri" w:eastAsia="Calibri" w:hAnsi="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1F3074"/>
    <w:rPr>
      <w:color w:val="605E5C"/>
      <w:shd w:val="clear" w:color="auto" w:fill="E1DFDD"/>
    </w:rPr>
  </w:style>
  <w:style w:type="paragraph" w:customStyle="1" w:styleId="CIC">
    <w:name w:val="CIC"/>
    <w:basedOn w:val="Heading3"/>
    <w:link w:val="CICChar"/>
    <w:qFormat/>
    <w:rsid w:val="00507BEC"/>
    <w:pPr>
      <w:widowControl w:val="0"/>
      <w:jc w:val="center"/>
    </w:pPr>
    <w:rPr>
      <w:rFonts w:asciiTheme="minorHAnsi" w:hAnsiTheme="minorHAnsi" w:cstheme="minorHAnsi"/>
      <w:b/>
      <w:snapToGrid w:val="0"/>
      <w:szCs w:val="22"/>
      <w:lang w:eastAsia="en-US"/>
    </w:rPr>
  </w:style>
  <w:style w:type="character" w:customStyle="1" w:styleId="CICChar">
    <w:name w:val="CIC Char"/>
    <w:basedOn w:val="Heading3Char"/>
    <w:link w:val="CIC"/>
    <w:rsid w:val="00507BEC"/>
    <w:rPr>
      <w:rFonts w:asciiTheme="minorHAnsi" w:hAnsiTheme="minorHAnsi" w:cstheme="minorHAnsi"/>
      <w:b/>
      <w:snapToGrid w:val="0"/>
      <w:sz w:val="24"/>
      <w:szCs w:val="22"/>
      <w:u w:val="single"/>
      <w:lang w:eastAsia="en-US"/>
    </w:rPr>
  </w:style>
  <w:style w:type="paragraph" w:customStyle="1" w:styleId="3-SubsectionHeading">
    <w:name w:val="3-Subsection Heading"/>
    <w:basedOn w:val="Heading2"/>
    <w:next w:val="Normal"/>
    <w:link w:val="3-SubsectionHeadingChar"/>
    <w:qFormat/>
    <w:rsid w:val="002E6DAE"/>
    <w:pPr>
      <w:keepNext/>
      <w:spacing w:before="120" w:after="120"/>
      <w:outlineLvl w:val="9"/>
    </w:pPr>
    <w:rPr>
      <w:rFonts w:asciiTheme="minorHAnsi" w:eastAsiaTheme="majorEastAsia" w:hAnsiTheme="minorHAnsi" w:cstheme="majorBidi"/>
      <w:spacing w:val="5"/>
      <w:kern w:val="28"/>
      <w:szCs w:val="36"/>
      <w:lang w:eastAsia="en-US"/>
    </w:rPr>
  </w:style>
  <w:style w:type="character" w:customStyle="1" w:styleId="3-SubsectionHeadingChar">
    <w:name w:val="3-Subsection Heading Char"/>
    <w:basedOn w:val="Heading2Char"/>
    <w:link w:val="3-SubsectionHeading"/>
    <w:rsid w:val="002E6DAE"/>
    <w:rPr>
      <w:rFonts w:asciiTheme="minorHAnsi" w:eastAsiaTheme="majorEastAsia" w:hAnsiTheme="minorHAnsi" w:cstheme="majorBidi"/>
      <w:b/>
      <w:i/>
      <w:snapToGrid/>
      <w:spacing w:val="5"/>
      <w:kern w:val="28"/>
      <w:sz w:val="28"/>
      <w:szCs w:val="3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999308">
      <w:bodyDiv w:val="1"/>
      <w:marLeft w:val="0"/>
      <w:marRight w:val="0"/>
      <w:marTop w:val="0"/>
      <w:marBottom w:val="0"/>
      <w:divBdr>
        <w:top w:val="none" w:sz="0" w:space="0" w:color="auto"/>
        <w:left w:val="none" w:sz="0" w:space="0" w:color="auto"/>
        <w:bottom w:val="none" w:sz="0" w:space="0" w:color="auto"/>
        <w:right w:val="none" w:sz="0" w:space="0" w:color="auto"/>
      </w:divBdr>
    </w:div>
    <w:div w:id="121578584">
      <w:bodyDiv w:val="1"/>
      <w:marLeft w:val="0"/>
      <w:marRight w:val="0"/>
      <w:marTop w:val="0"/>
      <w:marBottom w:val="0"/>
      <w:divBdr>
        <w:top w:val="none" w:sz="0" w:space="0" w:color="auto"/>
        <w:left w:val="none" w:sz="0" w:space="0" w:color="auto"/>
        <w:bottom w:val="none" w:sz="0" w:space="0" w:color="auto"/>
        <w:right w:val="none" w:sz="0" w:space="0" w:color="auto"/>
      </w:divBdr>
    </w:div>
    <w:div w:id="316298999">
      <w:bodyDiv w:val="1"/>
      <w:marLeft w:val="0"/>
      <w:marRight w:val="0"/>
      <w:marTop w:val="0"/>
      <w:marBottom w:val="0"/>
      <w:divBdr>
        <w:top w:val="none" w:sz="0" w:space="0" w:color="auto"/>
        <w:left w:val="none" w:sz="0" w:space="0" w:color="auto"/>
        <w:bottom w:val="none" w:sz="0" w:space="0" w:color="auto"/>
        <w:right w:val="none" w:sz="0" w:space="0" w:color="auto"/>
      </w:divBdr>
    </w:div>
    <w:div w:id="436751512">
      <w:bodyDiv w:val="1"/>
      <w:marLeft w:val="0"/>
      <w:marRight w:val="0"/>
      <w:marTop w:val="0"/>
      <w:marBottom w:val="0"/>
      <w:divBdr>
        <w:top w:val="none" w:sz="0" w:space="0" w:color="auto"/>
        <w:left w:val="none" w:sz="0" w:space="0" w:color="auto"/>
        <w:bottom w:val="none" w:sz="0" w:space="0" w:color="auto"/>
        <w:right w:val="none" w:sz="0" w:space="0" w:color="auto"/>
      </w:divBdr>
    </w:div>
    <w:div w:id="879590970">
      <w:bodyDiv w:val="1"/>
      <w:marLeft w:val="0"/>
      <w:marRight w:val="0"/>
      <w:marTop w:val="0"/>
      <w:marBottom w:val="0"/>
      <w:divBdr>
        <w:top w:val="none" w:sz="0" w:space="0" w:color="auto"/>
        <w:left w:val="none" w:sz="0" w:space="0" w:color="auto"/>
        <w:bottom w:val="none" w:sz="0" w:space="0" w:color="auto"/>
        <w:right w:val="none" w:sz="0" w:space="0" w:color="auto"/>
      </w:divBdr>
    </w:div>
    <w:div w:id="1173183840">
      <w:bodyDiv w:val="1"/>
      <w:marLeft w:val="0"/>
      <w:marRight w:val="0"/>
      <w:marTop w:val="0"/>
      <w:marBottom w:val="0"/>
      <w:divBdr>
        <w:top w:val="none" w:sz="0" w:space="0" w:color="auto"/>
        <w:left w:val="none" w:sz="0" w:space="0" w:color="auto"/>
        <w:bottom w:val="none" w:sz="0" w:space="0" w:color="auto"/>
        <w:right w:val="none" w:sz="0" w:space="0" w:color="auto"/>
      </w:divBdr>
      <w:divsChild>
        <w:div w:id="574321363">
          <w:marLeft w:val="0"/>
          <w:marRight w:val="0"/>
          <w:marTop w:val="0"/>
          <w:marBottom w:val="0"/>
          <w:divBdr>
            <w:top w:val="none" w:sz="0" w:space="0" w:color="auto"/>
            <w:left w:val="none" w:sz="0" w:space="0" w:color="auto"/>
            <w:bottom w:val="none" w:sz="0" w:space="0" w:color="auto"/>
            <w:right w:val="none" w:sz="0" w:space="0" w:color="auto"/>
          </w:divBdr>
          <w:divsChild>
            <w:div w:id="1144078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89508">
      <w:bodyDiv w:val="1"/>
      <w:marLeft w:val="0"/>
      <w:marRight w:val="0"/>
      <w:marTop w:val="0"/>
      <w:marBottom w:val="0"/>
      <w:divBdr>
        <w:top w:val="none" w:sz="0" w:space="0" w:color="auto"/>
        <w:left w:val="none" w:sz="0" w:space="0" w:color="auto"/>
        <w:bottom w:val="none" w:sz="0" w:space="0" w:color="auto"/>
        <w:right w:val="none" w:sz="0" w:space="0" w:color="auto"/>
      </w:divBdr>
    </w:div>
    <w:div w:id="1635915358">
      <w:bodyDiv w:val="1"/>
      <w:marLeft w:val="0"/>
      <w:marRight w:val="0"/>
      <w:marTop w:val="0"/>
      <w:marBottom w:val="0"/>
      <w:divBdr>
        <w:top w:val="none" w:sz="0" w:space="0" w:color="auto"/>
        <w:left w:val="none" w:sz="0" w:space="0" w:color="auto"/>
        <w:bottom w:val="none" w:sz="0" w:space="0" w:color="auto"/>
        <w:right w:val="none" w:sz="0" w:space="0" w:color="auto"/>
      </w:divBdr>
    </w:div>
    <w:div w:id="1681354034">
      <w:bodyDiv w:val="1"/>
      <w:marLeft w:val="0"/>
      <w:marRight w:val="0"/>
      <w:marTop w:val="0"/>
      <w:marBottom w:val="0"/>
      <w:divBdr>
        <w:top w:val="none" w:sz="0" w:space="0" w:color="auto"/>
        <w:left w:val="none" w:sz="0" w:space="0" w:color="auto"/>
        <w:bottom w:val="none" w:sz="0" w:space="0" w:color="auto"/>
        <w:right w:val="none" w:sz="0" w:space="0" w:color="auto"/>
      </w:divBdr>
    </w:div>
    <w:div w:id="1801024036">
      <w:bodyDiv w:val="1"/>
      <w:marLeft w:val="0"/>
      <w:marRight w:val="0"/>
      <w:marTop w:val="0"/>
      <w:marBottom w:val="0"/>
      <w:divBdr>
        <w:top w:val="none" w:sz="0" w:space="0" w:color="auto"/>
        <w:left w:val="none" w:sz="0" w:space="0" w:color="auto"/>
        <w:bottom w:val="none" w:sz="0" w:space="0" w:color="auto"/>
        <w:right w:val="none" w:sz="0" w:space="0" w:color="auto"/>
      </w:divBdr>
    </w:div>
    <w:div w:id="1866673635">
      <w:bodyDiv w:val="1"/>
      <w:marLeft w:val="0"/>
      <w:marRight w:val="0"/>
      <w:marTop w:val="0"/>
      <w:marBottom w:val="0"/>
      <w:divBdr>
        <w:top w:val="none" w:sz="0" w:space="0" w:color="auto"/>
        <w:left w:val="none" w:sz="0" w:space="0" w:color="auto"/>
        <w:bottom w:val="none" w:sz="0" w:space="0" w:color="auto"/>
        <w:right w:val="none" w:sz="0" w:space="0" w:color="auto"/>
      </w:divBdr>
    </w:div>
    <w:div w:id="1953391969">
      <w:bodyDiv w:val="1"/>
      <w:marLeft w:val="0"/>
      <w:marRight w:val="0"/>
      <w:marTop w:val="0"/>
      <w:marBottom w:val="0"/>
      <w:divBdr>
        <w:top w:val="none" w:sz="0" w:space="0" w:color="auto"/>
        <w:left w:val="none" w:sz="0" w:space="0" w:color="auto"/>
        <w:bottom w:val="none" w:sz="0" w:space="0" w:color="auto"/>
        <w:right w:val="none" w:sz="0" w:space="0" w:color="auto"/>
      </w:divBdr>
    </w:div>
    <w:div w:id="2076314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oleObject" Target="NULL"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529316821228597"/>
          <c:y val="2.6180860834950193E-2"/>
          <c:w val="0.8456246691572592"/>
          <c:h val="0.65117259425140672"/>
        </c:manualLayout>
      </c:layout>
      <c:scatterChart>
        <c:scatterStyle val="smoothMarker"/>
        <c:varyColors val="0"/>
        <c:ser>
          <c:idx val="0"/>
          <c:order val="0"/>
          <c:tx>
            <c:strRef>
              <c:f>'Model Treatment'!$T$4</c:f>
              <c:strCache>
                <c:ptCount val="1"/>
                <c:pt idx="0">
                  <c:v>Time on treatment </c:v>
                </c:pt>
              </c:strCache>
            </c:strRef>
          </c:tx>
          <c:spPr>
            <a:ln w="19050" cap="rnd">
              <a:solidFill>
                <a:schemeClr val="tx1"/>
              </a:solidFill>
              <a:prstDash val="sysDash"/>
              <a:round/>
            </a:ln>
            <a:effectLst/>
          </c:spPr>
          <c:marker>
            <c:symbol val="none"/>
          </c:marker>
          <c:xVal>
            <c:numRef>
              <c:f>'Model Treatment'!$D$7:$D$1047</c:f>
              <c:numCache>
                <c:formatCode>0.000</c:formatCode>
                <c:ptCount val="1041"/>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pt idx="51">
                  <c:v>51</c:v>
                </c:pt>
                <c:pt idx="52">
                  <c:v>52</c:v>
                </c:pt>
                <c:pt idx="53">
                  <c:v>53</c:v>
                </c:pt>
                <c:pt idx="54">
                  <c:v>54</c:v>
                </c:pt>
                <c:pt idx="55">
                  <c:v>55</c:v>
                </c:pt>
                <c:pt idx="56">
                  <c:v>56</c:v>
                </c:pt>
                <c:pt idx="57">
                  <c:v>57</c:v>
                </c:pt>
                <c:pt idx="58">
                  <c:v>58</c:v>
                </c:pt>
                <c:pt idx="59">
                  <c:v>59</c:v>
                </c:pt>
                <c:pt idx="60">
                  <c:v>60</c:v>
                </c:pt>
                <c:pt idx="61">
                  <c:v>61</c:v>
                </c:pt>
                <c:pt idx="62">
                  <c:v>62</c:v>
                </c:pt>
                <c:pt idx="63">
                  <c:v>63</c:v>
                </c:pt>
                <c:pt idx="64">
                  <c:v>64</c:v>
                </c:pt>
                <c:pt idx="65">
                  <c:v>65</c:v>
                </c:pt>
                <c:pt idx="66">
                  <c:v>66</c:v>
                </c:pt>
                <c:pt idx="67">
                  <c:v>67</c:v>
                </c:pt>
                <c:pt idx="68">
                  <c:v>68</c:v>
                </c:pt>
                <c:pt idx="69">
                  <c:v>69</c:v>
                </c:pt>
                <c:pt idx="70">
                  <c:v>70</c:v>
                </c:pt>
                <c:pt idx="71">
                  <c:v>71</c:v>
                </c:pt>
                <c:pt idx="72">
                  <c:v>72</c:v>
                </c:pt>
                <c:pt idx="73">
                  <c:v>73</c:v>
                </c:pt>
                <c:pt idx="74">
                  <c:v>74</c:v>
                </c:pt>
                <c:pt idx="75">
                  <c:v>75</c:v>
                </c:pt>
                <c:pt idx="76">
                  <c:v>76</c:v>
                </c:pt>
                <c:pt idx="77">
                  <c:v>77</c:v>
                </c:pt>
                <c:pt idx="78">
                  <c:v>78</c:v>
                </c:pt>
                <c:pt idx="79">
                  <c:v>79</c:v>
                </c:pt>
                <c:pt idx="80">
                  <c:v>80</c:v>
                </c:pt>
                <c:pt idx="81">
                  <c:v>81</c:v>
                </c:pt>
                <c:pt idx="82">
                  <c:v>82</c:v>
                </c:pt>
                <c:pt idx="83">
                  <c:v>83</c:v>
                </c:pt>
                <c:pt idx="84">
                  <c:v>84</c:v>
                </c:pt>
                <c:pt idx="85">
                  <c:v>85</c:v>
                </c:pt>
                <c:pt idx="86">
                  <c:v>86</c:v>
                </c:pt>
                <c:pt idx="87">
                  <c:v>87</c:v>
                </c:pt>
                <c:pt idx="88">
                  <c:v>88</c:v>
                </c:pt>
                <c:pt idx="89">
                  <c:v>89</c:v>
                </c:pt>
                <c:pt idx="90">
                  <c:v>90</c:v>
                </c:pt>
                <c:pt idx="91">
                  <c:v>91</c:v>
                </c:pt>
                <c:pt idx="92">
                  <c:v>92</c:v>
                </c:pt>
                <c:pt idx="93">
                  <c:v>93</c:v>
                </c:pt>
                <c:pt idx="94">
                  <c:v>94</c:v>
                </c:pt>
                <c:pt idx="95">
                  <c:v>95</c:v>
                </c:pt>
                <c:pt idx="96">
                  <c:v>96</c:v>
                </c:pt>
                <c:pt idx="97">
                  <c:v>97</c:v>
                </c:pt>
                <c:pt idx="98">
                  <c:v>98</c:v>
                </c:pt>
                <c:pt idx="99">
                  <c:v>99</c:v>
                </c:pt>
                <c:pt idx="100">
                  <c:v>100</c:v>
                </c:pt>
                <c:pt idx="101">
                  <c:v>101</c:v>
                </c:pt>
                <c:pt idx="102">
                  <c:v>102</c:v>
                </c:pt>
                <c:pt idx="103">
                  <c:v>103</c:v>
                </c:pt>
                <c:pt idx="104">
                  <c:v>104</c:v>
                </c:pt>
                <c:pt idx="105">
                  <c:v>105</c:v>
                </c:pt>
                <c:pt idx="106">
                  <c:v>106</c:v>
                </c:pt>
                <c:pt idx="107">
                  <c:v>107</c:v>
                </c:pt>
                <c:pt idx="108">
                  <c:v>108</c:v>
                </c:pt>
                <c:pt idx="109">
                  <c:v>109</c:v>
                </c:pt>
                <c:pt idx="110">
                  <c:v>110</c:v>
                </c:pt>
                <c:pt idx="111">
                  <c:v>111</c:v>
                </c:pt>
                <c:pt idx="112">
                  <c:v>112</c:v>
                </c:pt>
                <c:pt idx="113">
                  <c:v>113</c:v>
                </c:pt>
                <c:pt idx="114">
                  <c:v>114</c:v>
                </c:pt>
                <c:pt idx="115">
                  <c:v>115</c:v>
                </c:pt>
                <c:pt idx="116">
                  <c:v>116</c:v>
                </c:pt>
                <c:pt idx="117">
                  <c:v>117</c:v>
                </c:pt>
                <c:pt idx="118">
                  <c:v>118</c:v>
                </c:pt>
                <c:pt idx="119">
                  <c:v>119</c:v>
                </c:pt>
                <c:pt idx="120">
                  <c:v>120</c:v>
                </c:pt>
                <c:pt idx="121">
                  <c:v>121</c:v>
                </c:pt>
                <c:pt idx="122">
                  <c:v>122</c:v>
                </c:pt>
                <c:pt idx="123">
                  <c:v>123</c:v>
                </c:pt>
                <c:pt idx="124">
                  <c:v>124</c:v>
                </c:pt>
                <c:pt idx="125">
                  <c:v>125</c:v>
                </c:pt>
                <c:pt idx="126">
                  <c:v>126</c:v>
                </c:pt>
                <c:pt idx="127">
                  <c:v>127</c:v>
                </c:pt>
                <c:pt idx="128">
                  <c:v>128</c:v>
                </c:pt>
                <c:pt idx="129">
                  <c:v>129</c:v>
                </c:pt>
                <c:pt idx="130">
                  <c:v>130</c:v>
                </c:pt>
                <c:pt idx="131">
                  <c:v>131</c:v>
                </c:pt>
                <c:pt idx="132">
                  <c:v>132</c:v>
                </c:pt>
                <c:pt idx="133">
                  <c:v>133</c:v>
                </c:pt>
                <c:pt idx="134">
                  <c:v>134</c:v>
                </c:pt>
                <c:pt idx="135">
                  <c:v>135</c:v>
                </c:pt>
                <c:pt idx="136">
                  <c:v>136</c:v>
                </c:pt>
                <c:pt idx="137">
                  <c:v>137</c:v>
                </c:pt>
                <c:pt idx="138">
                  <c:v>138</c:v>
                </c:pt>
                <c:pt idx="139">
                  <c:v>139</c:v>
                </c:pt>
                <c:pt idx="140">
                  <c:v>140</c:v>
                </c:pt>
                <c:pt idx="141">
                  <c:v>141</c:v>
                </c:pt>
                <c:pt idx="142">
                  <c:v>142</c:v>
                </c:pt>
                <c:pt idx="143">
                  <c:v>143</c:v>
                </c:pt>
                <c:pt idx="144">
                  <c:v>144</c:v>
                </c:pt>
                <c:pt idx="145">
                  <c:v>145</c:v>
                </c:pt>
                <c:pt idx="146">
                  <c:v>146</c:v>
                </c:pt>
                <c:pt idx="147">
                  <c:v>147</c:v>
                </c:pt>
                <c:pt idx="148">
                  <c:v>148</c:v>
                </c:pt>
                <c:pt idx="149">
                  <c:v>149</c:v>
                </c:pt>
                <c:pt idx="150">
                  <c:v>150</c:v>
                </c:pt>
                <c:pt idx="151">
                  <c:v>151</c:v>
                </c:pt>
                <c:pt idx="152">
                  <c:v>152</c:v>
                </c:pt>
                <c:pt idx="153">
                  <c:v>153</c:v>
                </c:pt>
                <c:pt idx="154">
                  <c:v>154</c:v>
                </c:pt>
                <c:pt idx="155">
                  <c:v>155</c:v>
                </c:pt>
                <c:pt idx="156">
                  <c:v>156</c:v>
                </c:pt>
                <c:pt idx="157">
                  <c:v>157</c:v>
                </c:pt>
                <c:pt idx="158">
                  <c:v>158</c:v>
                </c:pt>
                <c:pt idx="159">
                  <c:v>159</c:v>
                </c:pt>
                <c:pt idx="160">
                  <c:v>160</c:v>
                </c:pt>
                <c:pt idx="161">
                  <c:v>161</c:v>
                </c:pt>
                <c:pt idx="162">
                  <c:v>162</c:v>
                </c:pt>
                <c:pt idx="163">
                  <c:v>163</c:v>
                </c:pt>
                <c:pt idx="164">
                  <c:v>164</c:v>
                </c:pt>
                <c:pt idx="165">
                  <c:v>165</c:v>
                </c:pt>
                <c:pt idx="166">
                  <c:v>166</c:v>
                </c:pt>
                <c:pt idx="167">
                  <c:v>167</c:v>
                </c:pt>
                <c:pt idx="168">
                  <c:v>168</c:v>
                </c:pt>
                <c:pt idx="169">
                  <c:v>169</c:v>
                </c:pt>
                <c:pt idx="170">
                  <c:v>170</c:v>
                </c:pt>
                <c:pt idx="171">
                  <c:v>171</c:v>
                </c:pt>
                <c:pt idx="172">
                  <c:v>172</c:v>
                </c:pt>
                <c:pt idx="173">
                  <c:v>173</c:v>
                </c:pt>
                <c:pt idx="174">
                  <c:v>174</c:v>
                </c:pt>
                <c:pt idx="175">
                  <c:v>175</c:v>
                </c:pt>
                <c:pt idx="176">
                  <c:v>176</c:v>
                </c:pt>
                <c:pt idx="177">
                  <c:v>177</c:v>
                </c:pt>
                <c:pt idx="178">
                  <c:v>178</c:v>
                </c:pt>
                <c:pt idx="179">
                  <c:v>179</c:v>
                </c:pt>
                <c:pt idx="180">
                  <c:v>180</c:v>
                </c:pt>
                <c:pt idx="181">
                  <c:v>181</c:v>
                </c:pt>
                <c:pt idx="182">
                  <c:v>182</c:v>
                </c:pt>
                <c:pt idx="183">
                  <c:v>183</c:v>
                </c:pt>
                <c:pt idx="184">
                  <c:v>184</c:v>
                </c:pt>
                <c:pt idx="185">
                  <c:v>185</c:v>
                </c:pt>
                <c:pt idx="186">
                  <c:v>186</c:v>
                </c:pt>
                <c:pt idx="187">
                  <c:v>187</c:v>
                </c:pt>
                <c:pt idx="188">
                  <c:v>188</c:v>
                </c:pt>
                <c:pt idx="189">
                  <c:v>189</c:v>
                </c:pt>
                <c:pt idx="190">
                  <c:v>190</c:v>
                </c:pt>
                <c:pt idx="191">
                  <c:v>191</c:v>
                </c:pt>
                <c:pt idx="192">
                  <c:v>192</c:v>
                </c:pt>
                <c:pt idx="193">
                  <c:v>193</c:v>
                </c:pt>
                <c:pt idx="194">
                  <c:v>194</c:v>
                </c:pt>
                <c:pt idx="195">
                  <c:v>195</c:v>
                </c:pt>
                <c:pt idx="196">
                  <c:v>196</c:v>
                </c:pt>
                <c:pt idx="197">
                  <c:v>197</c:v>
                </c:pt>
                <c:pt idx="198">
                  <c:v>198</c:v>
                </c:pt>
                <c:pt idx="199">
                  <c:v>199</c:v>
                </c:pt>
                <c:pt idx="200">
                  <c:v>200</c:v>
                </c:pt>
                <c:pt idx="201">
                  <c:v>201</c:v>
                </c:pt>
                <c:pt idx="202">
                  <c:v>202</c:v>
                </c:pt>
                <c:pt idx="203">
                  <c:v>203</c:v>
                </c:pt>
                <c:pt idx="204">
                  <c:v>204</c:v>
                </c:pt>
                <c:pt idx="205">
                  <c:v>205</c:v>
                </c:pt>
                <c:pt idx="206">
                  <c:v>206</c:v>
                </c:pt>
                <c:pt idx="207">
                  <c:v>207</c:v>
                </c:pt>
                <c:pt idx="208">
                  <c:v>208</c:v>
                </c:pt>
                <c:pt idx="209">
                  <c:v>209</c:v>
                </c:pt>
                <c:pt idx="210">
                  <c:v>210</c:v>
                </c:pt>
                <c:pt idx="211">
                  <c:v>211</c:v>
                </c:pt>
                <c:pt idx="212">
                  <c:v>212</c:v>
                </c:pt>
                <c:pt idx="213">
                  <c:v>213</c:v>
                </c:pt>
                <c:pt idx="214">
                  <c:v>214</c:v>
                </c:pt>
                <c:pt idx="215">
                  <c:v>215</c:v>
                </c:pt>
                <c:pt idx="216">
                  <c:v>216</c:v>
                </c:pt>
                <c:pt idx="217">
                  <c:v>217</c:v>
                </c:pt>
                <c:pt idx="218">
                  <c:v>218</c:v>
                </c:pt>
                <c:pt idx="219">
                  <c:v>219</c:v>
                </c:pt>
                <c:pt idx="220">
                  <c:v>220</c:v>
                </c:pt>
                <c:pt idx="221">
                  <c:v>221</c:v>
                </c:pt>
                <c:pt idx="222">
                  <c:v>222</c:v>
                </c:pt>
                <c:pt idx="223">
                  <c:v>223</c:v>
                </c:pt>
                <c:pt idx="224">
                  <c:v>224</c:v>
                </c:pt>
                <c:pt idx="225">
                  <c:v>225</c:v>
                </c:pt>
                <c:pt idx="226">
                  <c:v>226</c:v>
                </c:pt>
                <c:pt idx="227">
                  <c:v>227</c:v>
                </c:pt>
                <c:pt idx="228">
                  <c:v>228</c:v>
                </c:pt>
                <c:pt idx="229">
                  <c:v>229</c:v>
                </c:pt>
                <c:pt idx="230">
                  <c:v>230</c:v>
                </c:pt>
                <c:pt idx="231">
                  <c:v>231</c:v>
                </c:pt>
                <c:pt idx="232">
                  <c:v>232</c:v>
                </c:pt>
                <c:pt idx="233">
                  <c:v>233</c:v>
                </c:pt>
                <c:pt idx="234">
                  <c:v>234</c:v>
                </c:pt>
                <c:pt idx="235">
                  <c:v>235</c:v>
                </c:pt>
                <c:pt idx="236">
                  <c:v>236</c:v>
                </c:pt>
                <c:pt idx="237">
                  <c:v>237</c:v>
                </c:pt>
                <c:pt idx="238">
                  <c:v>238</c:v>
                </c:pt>
                <c:pt idx="239">
                  <c:v>239</c:v>
                </c:pt>
                <c:pt idx="240">
                  <c:v>240</c:v>
                </c:pt>
                <c:pt idx="241">
                  <c:v>241</c:v>
                </c:pt>
                <c:pt idx="242">
                  <c:v>242</c:v>
                </c:pt>
                <c:pt idx="243">
                  <c:v>243</c:v>
                </c:pt>
                <c:pt idx="244">
                  <c:v>244</c:v>
                </c:pt>
                <c:pt idx="245">
                  <c:v>245</c:v>
                </c:pt>
                <c:pt idx="246">
                  <c:v>246</c:v>
                </c:pt>
                <c:pt idx="247">
                  <c:v>247</c:v>
                </c:pt>
                <c:pt idx="248">
                  <c:v>248</c:v>
                </c:pt>
                <c:pt idx="249">
                  <c:v>249</c:v>
                </c:pt>
                <c:pt idx="250">
                  <c:v>250</c:v>
                </c:pt>
                <c:pt idx="251">
                  <c:v>251</c:v>
                </c:pt>
                <c:pt idx="252">
                  <c:v>252</c:v>
                </c:pt>
                <c:pt idx="253">
                  <c:v>253</c:v>
                </c:pt>
                <c:pt idx="254">
                  <c:v>254</c:v>
                </c:pt>
                <c:pt idx="255">
                  <c:v>255</c:v>
                </c:pt>
                <c:pt idx="256">
                  <c:v>256</c:v>
                </c:pt>
                <c:pt idx="257">
                  <c:v>257</c:v>
                </c:pt>
                <c:pt idx="258">
                  <c:v>258</c:v>
                </c:pt>
                <c:pt idx="259">
                  <c:v>259</c:v>
                </c:pt>
                <c:pt idx="260">
                  <c:v>260</c:v>
                </c:pt>
                <c:pt idx="261">
                  <c:v>261</c:v>
                </c:pt>
                <c:pt idx="262">
                  <c:v>262</c:v>
                </c:pt>
                <c:pt idx="263">
                  <c:v>263</c:v>
                </c:pt>
                <c:pt idx="264">
                  <c:v>264</c:v>
                </c:pt>
                <c:pt idx="265">
                  <c:v>265</c:v>
                </c:pt>
                <c:pt idx="266">
                  <c:v>266</c:v>
                </c:pt>
                <c:pt idx="267">
                  <c:v>267</c:v>
                </c:pt>
                <c:pt idx="268">
                  <c:v>268</c:v>
                </c:pt>
                <c:pt idx="269">
                  <c:v>269</c:v>
                </c:pt>
                <c:pt idx="270">
                  <c:v>270</c:v>
                </c:pt>
                <c:pt idx="271">
                  <c:v>271</c:v>
                </c:pt>
                <c:pt idx="272">
                  <c:v>272</c:v>
                </c:pt>
                <c:pt idx="273">
                  <c:v>273</c:v>
                </c:pt>
                <c:pt idx="274">
                  <c:v>274</c:v>
                </c:pt>
                <c:pt idx="275">
                  <c:v>275</c:v>
                </c:pt>
                <c:pt idx="276">
                  <c:v>276</c:v>
                </c:pt>
                <c:pt idx="277">
                  <c:v>277</c:v>
                </c:pt>
                <c:pt idx="278">
                  <c:v>278</c:v>
                </c:pt>
                <c:pt idx="279">
                  <c:v>279</c:v>
                </c:pt>
                <c:pt idx="280">
                  <c:v>280</c:v>
                </c:pt>
                <c:pt idx="281">
                  <c:v>281</c:v>
                </c:pt>
                <c:pt idx="282">
                  <c:v>282</c:v>
                </c:pt>
                <c:pt idx="283">
                  <c:v>283</c:v>
                </c:pt>
                <c:pt idx="284">
                  <c:v>284</c:v>
                </c:pt>
                <c:pt idx="285">
                  <c:v>285</c:v>
                </c:pt>
                <c:pt idx="286">
                  <c:v>286</c:v>
                </c:pt>
                <c:pt idx="287">
                  <c:v>287</c:v>
                </c:pt>
                <c:pt idx="288">
                  <c:v>288</c:v>
                </c:pt>
                <c:pt idx="289">
                  <c:v>289</c:v>
                </c:pt>
                <c:pt idx="290">
                  <c:v>290</c:v>
                </c:pt>
                <c:pt idx="291">
                  <c:v>291</c:v>
                </c:pt>
                <c:pt idx="292">
                  <c:v>292</c:v>
                </c:pt>
                <c:pt idx="293">
                  <c:v>293</c:v>
                </c:pt>
                <c:pt idx="294">
                  <c:v>294</c:v>
                </c:pt>
                <c:pt idx="295">
                  <c:v>295</c:v>
                </c:pt>
                <c:pt idx="296">
                  <c:v>296</c:v>
                </c:pt>
                <c:pt idx="297">
                  <c:v>297</c:v>
                </c:pt>
                <c:pt idx="298">
                  <c:v>298</c:v>
                </c:pt>
                <c:pt idx="299">
                  <c:v>299</c:v>
                </c:pt>
                <c:pt idx="300">
                  <c:v>300</c:v>
                </c:pt>
                <c:pt idx="301">
                  <c:v>301</c:v>
                </c:pt>
                <c:pt idx="302">
                  <c:v>302</c:v>
                </c:pt>
                <c:pt idx="303">
                  <c:v>303</c:v>
                </c:pt>
                <c:pt idx="304">
                  <c:v>304</c:v>
                </c:pt>
                <c:pt idx="305">
                  <c:v>305</c:v>
                </c:pt>
                <c:pt idx="306">
                  <c:v>306</c:v>
                </c:pt>
                <c:pt idx="307">
                  <c:v>307</c:v>
                </c:pt>
                <c:pt idx="308">
                  <c:v>308</c:v>
                </c:pt>
                <c:pt idx="309">
                  <c:v>309</c:v>
                </c:pt>
                <c:pt idx="310">
                  <c:v>310</c:v>
                </c:pt>
                <c:pt idx="311">
                  <c:v>311</c:v>
                </c:pt>
                <c:pt idx="312">
                  <c:v>312</c:v>
                </c:pt>
                <c:pt idx="313">
                  <c:v>313</c:v>
                </c:pt>
                <c:pt idx="314">
                  <c:v>314</c:v>
                </c:pt>
                <c:pt idx="315">
                  <c:v>315</c:v>
                </c:pt>
                <c:pt idx="316">
                  <c:v>316</c:v>
                </c:pt>
                <c:pt idx="317">
                  <c:v>317</c:v>
                </c:pt>
                <c:pt idx="318">
                  <c:v>318</c:v>
                </c:pt>
                <c:pt idx="319">
                  <c:v>319</c:v>
                </c:pt>
                <c:pt idx="320">
                  <c:v>320</c:v>
                </c:pt>
                <c:pt idx="321">
                  <c:v>321</c:v>
                </c:pt>
                <c:pt idx="322">
                  <c:v>322</c:v>
                </c:pt>
                <c:pt idx="323">
                  <c:v>323</c:v>
                </c:pt>
                <c:pt idx="324">
                  <c:v>324</c:v>
                </c:pt>
                <c:pt idx="325">
                  <c:v>325</c:v>
                </c:pt>
                <c:pt idx="326">
                  <c:v>326</c:v>
                </c:pt>
                <c:pt idx="327">
                  <c:v>327</c:v>
                </c:pt>
                <c:pt idx="328">
                  <c:v>328</c:v>
                </c:pt>
                <c:pt idx="329">
                  <c:v>329</c:v>
                </c:pt>
                <c:pt idx="330">
                  <c:v>330</c:v>
                </c:pt>
                <c:pt idx="331">
                  <c:v>331</c:v>
                </c:pt>
                <c:pt idx="332">
                  <c:v>332</c:v>
                </c:pt>
                <c:pt idx="333">
                  <c:v>333</c:v>
                </c:pt>
                <c:pt idx="334">
                  <c:v>334</c:v>
                </c:pt>
                <c:pt idx="335">
                  <c:v>335</c:v>
                </c:pt>
                <c:pt idx="336">
                  <c:v>336</c:v>
                </c:pt>
                <c:pt idx="337">
                  <c:v>337</c:v>
                </c:pt>
                <c:pt idx="338">
                  <c:v>338</c:v>
                </c:pt>
                <c:pt idx="339">
                  <c:v>339</c:v>
                </c:pt>
                <c:pt idx="340">
                  <c:v>340</c:v>
                </c:pt>
                <c:pt idx="341">
                  <c:v>341</c:v>
                </c:pt>
                <c:pt idx="342">
                  <c:v>342</c:v>
                </c:pt>
                <c:pt idx="343">
                  <c:v>343</c:v>
                </c:pt>
                <c:pt idx="344">
                  <c:v>344</c:v>
                </c:pt>
                <c:pt idx="345">
                  <c:v>345</c:v>
                </c:pt>
                <c:pt idx="346">
                  <c:v>346</c:v>
                </c:pt>
                <c:pt idx="347">
                  <c:v>347</c:v>
                </c:pt>
                <c:pt idx="348">
                  <c:v>348</c:v>
                </c:pt>
                <c:pt idx="349">
                  <c:v>349</c:v>
                </c:pt>
                <c:pt idx="350">
                  <c:v>350</c:v>
                </c:pt>
                <c:pt idx="351">
                  <c:v>351</c:v>
                </c:pt>
                <c:pt idx="352">
                  <c:v>352</c:v>
                </c:pt>
                <c:pt idx="353">
                  <c:v>353</c:v>
                </c:pt>
                <c:pt idx="354">
                  <c:v>354</c:v>
                </c:pt>
                <c:pt idx="355">
                  <c:v>355</c:v>
                </c:pt>
                <c:pt idx="356">
                  <c:v>356</c:v>
                </c:pt>
                <c:pt idx="357">
                  <c:v>357</c:v>
                </c:pt>
                <c:pt idx="358">
                  <c:v>358</c:v>
                </c:pt>
                <c:pt idx="359">
                  <c:v>359</c:v>
                </c:pt>
                <c:pt idx="360">
                  <c:v>360</c:v>
                </c:pt>
                <c:pt idx="361">
                  <c:v>361</c:v>
                </c:pt>
                <c:pt idx="362">
                  <c:v>362</c:v>
                </c:pt>
                <c:pt idx="363">
                  <c:v>363</c:v>
                </c:pt>
                <c:pt idx="364">
                  <c:v>364</c:v>
                </c:pt>
                <c:pt idx="365">
                  <c:v>365</c:v>
                </c:pt>
                <c:pt idx="366">
                  <c:v>366</c:v>
                </c:pt>
                <c:pt idx="367">
                  <c:v>367</c:v>
                </c:pt>
                <c:pt idx="368">
                  <c:v>368</c:v>
                </c:pt>
                <c:pt idx="369">
                  <c:v>369</c:v>
                </c:pt>
                <c:pt idx="370">
                  <c:v>370</c:v>
                </c:pt>
                <c:pt idx="371">
                  <c:v>371</c:v>
                </c:pt>
                <c:pt idx="372">
                  <c:v>372</c:v>
                </c:pt>
                <c:pt idx="373">
                  <c:v>373</c:v>
                </c:pt>
                <c:pt idx="374">
                  <c:v>374</c:v>
                </c:pt>
                <c:pt idx="375">
                  <c:v>375</c:v>
                </c:pt>
                <c:pt idx="376">
                  <c:v>376</c:v>
                </c:pt>
                <c:pt idx="377">
                  <c:v>377</c:v>
                </c:pt>
                <c:pt idx="378">
                  <c:v>378</c:v>
                </c:pt>
                <c:pt idx="379">
                  <c:v>379</c:v>
                </c:pt>
                <c:pt idx="380">
                  <c:v>380</c:v>
                </c:pt>
                <c:pt idx="381">
                  <c:v>381</c:v>
                </c:pt>
                <c:pt idx="382">
                  <c:v>382</c:v>
                </c:pt>
                <c:pt idx="383">
                  <c:v>383</c:v>
                </c:pt>
                <c:pt idx="384">
                  <c:v>384</c:v>
                </c:pt>
                <c:pt idx="385">
                  <c:v>385</c:v>
                </c:pt>
                <c:pt idx="386">
                  <c:v>386</c:v>
                </c:pt>
                <c:pt idx="387">
                  <c:v>387</c:v>
                </c:pt>
                <c:pt idx="388">
                  <c:v>388</c:v>
                </c:pt>
                <c:pt idx="389">
                  <c:v>389</c:v>
                </c:pt>
                <c:pt idx="390">
                  <c:v>390</c:v>
                </c:pt>
                <c:pt idx="391">
                  <c:v>391</c:v>
                </c:pt>
                <c:pt idx="392">
                  <c:v>392</c:v>
                </c:pt>
                <c:pt idx="393">
                  <c:v>393</c:v>
                </c:pt>
                <c:pt idx="394">
                  <c:v>394</c:v>
                </c:pt>
                <c:pt idx="395">
                  <c:v>395</c:v>
                </c:pt>
                <c:pt idx="396">
                  <c:v>396</c:v>
                </c:pt>
                <c:pt idx="397">
                  <c:v>397</c:v>
                </c:pt>
                <c:pt idx="398">
                  <c:v>398</c:v>
                </c:pt>
                <c:pt idx="399">
                  <c:v>399</c:v>
                </c:pt>
                <c:pt idx="400">
                  <c:v>400</c:v>
                </c:pt>
                <c:pt idx="401">
                  <c:v>401</c:v>
                </c:pt>
                <c:pt idx="402">
                  <c:v>402</c:v>
                </c:pt>
                <c:pt idx="403">
                  <c:v>403</c:v>
                </c:pt>
                <c:pt idx="404">
                  <c:v>404</c:v>
                </c:pt>
                <c:pt idx="405">
                  <c:v>405</c:v>
                </c:pt>
                <c:pt idx="406">
                  <c:v>406</c:v>
                </c:pt>
                <c:pt idx="407">
                  <c:v>407</c:v>
                </c:pt>
                <c:pt idx="408">
                  <c:v>408</c:v>
                </c:pt>
                <c:pt idx="409">
                  <c:v>409</c:v>
                </c:pt>
                <c:pt idx="410">
                  <c:v>410</c:v>
                </c:pt>
                <c:pt idx="411">
                  <c:v>411</c:v>
                </c:pt>
                <c:pt idx="412">
                  <c:v>412</c:v>
                </c:pt>
                <c:pt idx="413">
                  <c:v>413</c:v>
                </c:pt>
                <c:pt idx="414">
                  <c:v>414</c:v>
                </c:pt>
                <c:pt idx="415">
                  <c:v>415</c:v>
                </c:pt>
                <c:pt idx="416">
                  <c:v>416</c:v>
                </c:pt>
                <c:pt idx="417">
                  <c:v>417</c:v>
                </c:pt>
                <c:pt idx="418">
                  <c:v>418</c:v>
                </c:pt>
                <c:pt idx="419">
                  <c:v>419</c:v>
                </c:pt>
                <c:pt idx="420">
                  <c:v>420</c:v>
                </c:pt>
                <c:pt idx="421">
                  <c:v>421</c:v>
                </c:pt>
                <c:pt idx="422">
                  <c:v>422</c:v>
                </c:pt>
                <c:pt idx="423">
                  <c:v>423</c:v>
                </c:pt>
                <c:pt idx="424">
                  <c:v>424</c:v>
                </c:pt>
                <c:pt idx="425">
                  <c:v>425</c:v>
                </c:pt>
                <c:pt idx="426">
                  <c:v>426</c:v>
                </c:pt>
                <c:pt idx="427">
                  <c:v>427</c:v>
                </c:pt>
                <c:pt idx="428">
                  <c:v>428</c:v>
                </c:pt>
                <c:pt idx="429">
                  <c:v>429</c:v>
                </c:pt>
                <c:pt idx="430">
                  <c:v>430</c:v>
                </c:pt>
                <c:pt idx="431">
                  <c:v>431</c:v>
                </c:pt>
                <c:pt idx="432">
                  <c:v>432</c:v>
                </c:pt>
                <c:pt idx="433">
                  <c:v>433</c:v>
                </c:pt>
                <c:pt idx="434">
                  <c:v>434</c:v>
                </c:pt>
                <c:pt idx="435">
                  <c:v>435</c:v>
                </c:pt>
                <c:pt idx="436">
                  <c:v>436</c:v>
                </c:pt>
                <c:pt idx="437">
                  <c:v>437</c:v>
                </c:pt>
                <c:pt idx="438">
                  <c:v>438</c:v>
                </c:pt>
                <c:pt idx="439">
                  <c:v>439</c:v>
                </c:pt>
                <c:pt idx="440">
                  <c:v>440</c:v>
                </c:pt>
                <c:pt idx="441">
                  <c:v>441</c:v>
                </c:pt>
                <c:pt idx="442">
                  <c:v>442</c:v>
                </c:pt>
                <c:pt idx="443">
                  <c:v>443</c:v>
                </c:pt>
                <c:pt idx="444">
                  <c:v>444</c:v>
                </c:pt>
                <c:pt idx="445">
                  <c:v>445</c:v>
                </c:pt>
                <c:pt idx="446">
                  <c:v>446</c:v>
                </c:pt>
                <c:pt idx="447">
                  <c:v>447</c:v>
                </c:pt>
                <c:pt idx="448">
                  <c:v>448</c:v>
                </c:pt>
                <c:pt idx="449">
                  <c:v>449</c:v>
                </c:pt>
                <c:pt idx="450">
                  <c:v>450</c:v>
                </c:pt>
                <c:pt idx="451">
                  <c:v>451</c:v>
                </c:pt>
                <c:pt idx="452">
                  <c:v>452</c:v>
                </c:pt>
                <c:pt idx="453">
                  <c:v>453</c:v>
                </c:pt>
                <c:pt idx="454">
                  <c:v>454</c:v>
                </c:pt>
                <c:pt idx="455">
                  <c:v>455</c:v>
                </c:pt>
                <c:pt idx="456">
                  <c:v>456</c:v>
                </c:pt>
                <c:pt idx="457">
                  <c:v>457</c:v>
                </c:pt>
                <c:pt idx="458">
                  <c:v>458</c:v>
                </c:pt>
                <c:pt idx="459">
                  <c:v>459</c:v>
                </c:pt>
                <c:pt idx="460">
                  <c:v>460</c:v>
                </c:pt>
                <c:pt idx="461">
                  <c:v>461</c:v>
                </c:pt>
                <c:pt idx="462">
                  <c:v>462</c:v>
                </c:pt>
                <c:pt idx="463">
                  <c:v>463</c:v>
                </c:pt>
                <c:pt idx="464">
                  <c:v>464</c:v>
                </c:pt>
                <c:pt idx="465">
                  <c:v>465</c:v>
                </c:pt>
                <c:pt idx="466">
                  <c:v>466</c:v>
                </c:pt>
                <c:pt idx="467">
                  <c:v>467</c:v>
                </c:pt>
                <c:pt idx="468">
                  <c:v>468</c:v>
                </c:pt>
                <c:pt idx="469">
                  <c:v>469</c:v>
                </c:pt>
                <c:pt idx="470">
                  <c:v>470</c:v>
                </c:pt>
                <c:pt idx="471">
                  <c:v>471</c:v>
                </c:pt>
                <c:pt idx="472">
                  <c:v>472</c:v>
                </c:pt>
                <c:pt idx="473">
                  <c:v>473</c:v>
                </c:pt>
                <c:pt idx="474">
                  <c:v>474</c:v>
                </c:pt>
                <c:pt idx="475">
                  <c:v>475</c:v>
                </c:pt>
                <c:pt idx="476">
                  <c:v>476</c:v>
                </c:pt>
                <c:pt idx="477">
                  <c:v>477</c:v>
                </c:pt>
                <c:pt idx="478">
                  <c:v>478</c:v>
                </c:pt>
                <c:pt idx="479">
                  <c:v>479</c:v>
                </c:pt>
                <c:pt idx="480">
                  <c:v>480</c:v>
                </c:pt>
                <c:pt idx="481">
                  <c:v>481</c:v>
                </c:pt>
                <c:pt idx="482">
                  <c:v>482</c:v>
                </c:pt>
                <c:pt idx="483">
                  <c:v>483</c:v>
                </c:pt>
                <c:pt idx="484">
                  <c:v>484</c:v>
                </c:pt>
                <c:pt idx="485">
                  <c:v>485</c:v>
                </c:pt>
                <c:pt idx="486">
                  <c:v>486</c:v>
                </c:pt>
                <c:pt idx="487">
                  <c:v>487</c:v>
                </c:pt>
                <c:pt idx="488">
                  <c:v>488</c:v>
                </c:pt>
                <c:pt idx="489">
                  <c:v>489</c:v>
                </c:pt>
                <c:pt idx="490">
                  <c:v>490</c:v>
                </c:pt>
                <c:pt idx="491">
                  <c:v>491</c:v>
                </c:pt>
                <c:pt idx="492">
                  <c:v>492</c:v>
                </c:pt>
                <c:pt idx="493">
                  <c:v>493</c:v>
                </c:pt>
                <c:pt idx="494">
                  <c:v>494</c:v>
                </c:pt>
                <c:pt idx="495">
                  <c:v>495</c:v>
                </c:pt>
                <c:pt idx="496">
                  <c:v>496</c:v>
                </c:pt>
                <c:pt idx="497">
                  <c:v>497</c:v>
                </c:pt>
                <c:pt idx="498">
                  <c:v>498</c:v>
                </c:pt>
                <c:pt idx="499">
                  <c:v>499</c:v>
                </c:pt>
                <c:pt idx="500">
                  <c:v>500</c:v>
                </c:pt>
                <c:pt idx="501">
                  <c:v>501</c:v>
                </c:pt>
                <c:pt idx="502">
                  <c:v>502</c:v>
                </c:pt>
                <c:pt idx="503">
                  <c:v>503</c:v>
                </c:pt>
                <c:pt idx="504">
                  <c:v>504</c:v>
                </c:pt>
                <c:pt idx="505">
                  <c:v>505</c:v>
                </c:pt>
                <c:pt idx="506">
                  <c:v>506</c:v>
                </c:pt>
                <c:pt idx="507">
                  <c:v>507</c:v>
                </c:pt>
                <c:pt idx="508">
                  <c:v>508</c:v>
                </c:pt>
                <c:pt idx="509">
                  <c:v>509</c:v>
                </c:pt>
                <c:pt idx="510">
                  <c:v>510</c:v>
                </c:pt>
                <c:pt idx="511">
                  <c:v>511</c:v>
                </c:pt>
                <c:pt idx="512">
                  <c:v>512</c:v>
                </c:pt>
                <c:pt idx="513">
                  <c:v>513</c:v>
                </c:pt>
                <c:pt idx="514">
                  <c:v>514</c:v>
                </c:pt>
                <c:pt idx="515">
                  <c:v>515</c:v>
                </c:pt>
                <c:pt idx="516">
                  <c:v>516</c:v>
                </c:pt>
                <c:pt idx="517">
                  <c:v>517</c:v>
                </c:pt>
                <c:pt idx="518">
                  <c:v>518</c:v>
                </c:pt>
                <c:pt idx="519">
                  <c:v>519</c:v>
                </c:pt>
                <c:pt idx="520">
                  <c:v>520</c:v>
                </c:pt>
                <c:pt idx="521">
                  <c:v>521</c:v>
                </c:pt>
                <c:pt idx="522">
                  <c:v>522</c:v>
                </c:pt>
                <c:pt idx="523">
                  <c:v>523</c:v>
                </c:pt>
                <c:pt idx="524">
                  <c:v>524</c:v>
                </c:pt>
                <c:pt idx="525">
                  <c:v>525</c:v>
                </c:pt>
                <c:pt idx="526">
                  <c:v>526</c:v>
                </c:pt>
                <c:pt idx="527">
                  <c:v>527</c:v>
                </c:pt>
                <c:pt idx="528">
                  <c:v>528</c:v>
                </c:pt>
                <c:pt idx="529">
                  <c:v>529</c:v>
                </c:pt>
                <c:pt idx="530">
                  <c:v>530</c:v>
                </c:pt>
                <c:pt idx="531">
                  <c:v>531</c:v>
                </c:pt>
                <c:pt idx="532">
                  <c:v>532</c:v>
                </c:pt>
                <c:pt idx="533">
                  <c:v>533</c:v>
                </c:pt>
                <c:pt idx="534">
                  <c:v>534</c:v>
                </c:pt>
                <c:pt idx="535">
                  <c:v>535</c:v>
                </c:pt>
                <c:pt idx="536">
                  <c:v>536</c:v>
                </c:pt>
                <c:pt idx="537">
                  <c:v>537</c:v>
                </c:pt>
                <c:pt idx="538">
                  <c:v>538</c:v>
                </c:pt>
                <c:pt idx="539">
                  <c:v>539</c:v>
                </c:pt>
                <c:pt idx="540">
                  <c:v>540</c:v>
                </c:pt>
                <c:pt idx="541">
                  <c:v>541</c:v>
                </c:pt>
                <c:pt idx="542">
                  <c:v>542</c:v>
                </c:pt>
                <c:pt idx="543">
                  <c:v>543</c:v>
                </c:pt>
                <c:pt idx="544">
                  <c:v>544</c:v>
                </c:pt>
                <c:pt idx="545">
                  <c:v>545</c:v>
                </c:pt>
                <c:pt idx="546">
                  <c:v>546</c:v>
                </c:pt>
                <c:pt idx="547">
                  <c:v>547</c:v>
                </c:pt>
                <c:pt idx="548">
                  <c:v>548</c:v>
                </c:pt>
                <c:pt idx="549">
                  <c:v>549</c:v>
                </c:pt>
                <c:pt idx="550">
                  <c:v>550</c:v>
                </c:pt>
                <c:pt idx="551">
                  <c:v>551</c:v>
                </c:pt>
                <c:pt idx="552">
                  <c:v>552</c:v>
                </c:pt>
                <c:pt idx="553">
                  <c:v>553</c:v>
                </c:pt>
                <c:pt idx="554">
                  <c:v>554</c:v>
                </c:pt>
                <c:pt idx="555">
                  <c:v>555</c:v>
                </c:pt>
                <c:pt idx="556">
                  <c:v>556</c:v>
                </c:pt>
                <c:pt idx="557">
                  <c:v>557</c:v>
                </c:pt>
                <c:pt idx="558">
                  <c:v>558</c:v>
                </c:pt>
                <c:pt idx="559">
                  <c:v>559</c:v>
                </c:pt>
                <c:pt idx="560">
                  <c:v>560</c:v>
                </c:pt>
                <c:pt idx="561">
                  <c:v>561</c:v>
                </c:pt>
                <c:pt idx="562">
                  <c:v>562</c:v>
                </c:pt>
                <c:pt idx="563">
                  <c:v>563</c:v>
                </c:pt>
                <c:pt idx="564">
                  <c:v>564</c:v>
                </c:pt>
                <c:pt idx="565">
                  <c:v>565</c:v>
                </c:pt>
                <c:pt idx="566">
                  <c:v>566</c:v>
                </c:pt>
                <c:pt idx="567">
                  <c:v>567</c:v>
                </c:pt>
                <c:pt idx="568">
                  <c:v>568</c:v>
                </c:pt>
                <c:pt idx="569">
                  <c:v>569</c:v>
                </c:pt>
                <c:pt idx="570">
                  <c:v>570</c:v>
                </c:pt>
                <c:pt idx="571">
                  <c:v>571</c:v>
                </c:pt>
                <c:pt idx="572">
                  <c:v>572</c:v>
                </c:pt>
                <c:pt idx="573">
                  <c:v>573</c:v>
                </c:pt>
                <c:pt idx="574">
                  <c:v>574</c:v>
                </c:pt>
                <c:pt idx="575">
                  <c:v>575</c:v>
                </c:pt>
                <c:pt idx="576">
                  <c:v>576</c:v>
                </c:pt>
                <c:pt idx="577">
                  <c:v>577</c:v>
                </c:pt>
                <c:pt idx="578">
                  <c:v>578</c:v>
                </c:pt>
                <c:pt idx="579">
                  <c:v>579</c:v>
                </c:pt>
                <c:pt idx="580">
                  <c:v>580</c:v>
                </c:pt>
                <c:pt idx="581">
                  <c:v>581</c:v>
                </c:pt>
                <c:pt idx="582">
                  <c:v>582</c:v>
                </c:pt>
                <c:pt idx="583">
                  <c:v>583</c:v>
                </c:pt>
                <c:pt idx="584">
                  <c:v>584</c:v>
                </c:pt>
                <c:pt idx="585">
                  <c:v>585</c:v>
                </c:pt>
                <c:pt idx="586">
                  <c:v>586</c:v>
                </c:pt>
                <c:pt idx="587">
                  <c:v>587</c:v>
                </c:pt>
                <c:pt idx="588">
                  <c:v>588</c:v>
                </c:pt>
                <c:pt idx="589">
                  <c:v>589</c:v>
                </c:pt>
                <c:pt idx="590">
                  <c:v>590</c:v>
                </c:pt>
                <c:pt idx="591">
                  <c:v>591</c:v>
                </c:pt>
                <c:pt idx="592">
                  <c:v>592</c:v>
                </c:pt>
                <c:pt idx="593">
                  <c:v>593</c:v>
                </c:pt>
                <c:pt idx="594">
                  <c:v>594</c:v>
                </c:pt>
                <c:pt idx="595">
                  <c:v>595</c:v>
                </c:pt>
                <c:pt idx="596">
                  <c:v>596</c:v>
                </c:pt>
                <c:pt idx="597">
                  <c:v>597</c:v>
                </c:pt>
                <c:pt idx="598">
                  <c:v>598</c:v>
                </c:pt>
                <c:pt idx="599">
                  <c:v>599</c:v>
                </c:pt>
                <c:pt idx="600">
                  <c:v>600</c:v>
                </c:pt>
                <c:pt idx="601">
                  <c:v>601</c:v>
                </c:pt>
                <c:pt idx="602">
                  <c:v>602</c:v>
                </c:pt>
                <c:pt idx="603">
                  <c:v>603</c:v>
                </c:pt>
                <c:pt idx="604">
                  <c:v>604</c:v>
                </c:pt>
                <c:pt idx="605">
                  <c:v>605</c:v>
                </c:pt>
                <c:pt idx="606">
                  <c:v>606</c:v>
                </c:pt>
                <c:pt idx="607">
                  <c:v>607</c:v>
                </c:pt>
                <c:pt idx="608">
                  <c:v>608</c:v>
                </c:pt>
                <c:pt idx="609">
                  <c:v>609</c:v>
                </c:pt>
                <c:pt idx="610">
                  <c:v>610</c:v>
                </c:pt>
                <c:pt idx="611">
                  <c:v>611</c:v>
                </c:pt>
                <c:pt idx="612">
                  <c:v>612</c:v>
                </c:pt>
                <c:pt idx="613">
                  <c:v>613</c:v>
                </c:pt>
                <c:pt idx="614">
                  <c:v>614</c:v>
                </c:pt>
                <c:pt idx="615">
                  <c:v>615</c:v>
                </c:pt>
                <c:pt idx="616">
                  <c:v>616</c:v>
                </c:pt>
                <c:pt idx="617">
                  <c:v>617</c:v>
                </c:pt>
                <c:pt idx="618">
                  <c:v>618</c:v>
                </c:pt>
                <c:pt idx="619">
                  <c:v>619</c:v>
                </c:pt>
                <c:pt idx="620">
                  <c:v>620</c:v>
                </c:pt>
                <c:pt idx="621">
                  <c:v>621</c:v>
                </c:pt>
                <c:pt idx="622">
                  <c:v>622</c:v>
                </c:pt>
                <c:pt idx="623">
                  <c:v>623</c:v>
                </c:pt>
                <c:pt idx="624">
                  <c:v>624</c:v>
                </c:pt>
                <c:pt idx="625">
                  <c:v>625</c:v>
                </c:pt>
                <c:pt idx="626">
                  <c:v>626</c:v>
                </c:pt>
                <c:pt idx="627">
                  <c:v>627</c:v>
                </c:pt>
                <c:pt idx="628">
                  <c:v>628</c:v>
                </c:pt>
                <c:pt idx="629">
                  <c:v>629</c:v>
                </c:pt>
                <c:pt idx="630">
                  <c:v>630</c:v>
                </c:pt>
                <c:pt idx="631">
                  <c:v>631</c:v>
                </c:pt>
                <c:pt idx="632">
                  <c:v>632</c:v>
                </c:pt>
                <c:pt idx="633">
                  <c:v>633</c:v>
                </c:pt>
                <c:pt idx="634">
                  <c:v>634</c:v>
                </c:pt>
                <c:pt idx="635">
                  <c:v>635</c:v>
                </c:pt>
                <c:pt idx="636">
                  <c:v>636</c:v>
                </c:pt>
                <c:pt idx="637">
                  <c:v>637</c:v>
                </c:pt>
                <c:pt idx="638">
                  <c:v>638</c:v>
                </c:pt>
                <c:pt idx="639">
                  <c:v>639</c:v>
                </c:pt>
                <c:pt idx="640">
                  <c:v>640</c:v>
                </c:pt>
                <c:pt idx="641">
                  <c:v>641</c:v>
                </c:pt>
                <c:pt idx="642">
                  <c:v>642</c:v>
                </c:pt>
                <c:pt idx="643">
                  <c:v>643</c:v>
                </c:pt>
                <c:pt idx="644">
                  <c:v>644</c:v>
                </c:pt>
                <c:pt idx="645">
                  <c:v>645</c:v>
                </c:pt>
                <c:pt idx="646">
                  <c:v>646</c:v>
                </c:pt>
                <c:pt idx="647">
                  <c:v>647</c:v>
                </c:pt>
                <c:pt idx="648">
                  <c:v>648</c:v>
                </c:pt>
                <c:pt idx="649">
                  <c:v>649</c:v>
                </c:pt>
                <c:pt idx="650">
                  <c:v>650</c:v>
                </c:pt>
                <c:pt idx="651">
                  <c:v>651</c:v>
                </c:pt>
                <c:pt idx="652">
                  <c:v>652</c:v>
                </c:pt>
                <c:pt idx="653">
                  <c:v>653</c:v>
                </c:pt>
                <c:pt idx="654">
                  <c:v>654</c:v>
                </c:pt>
                <c:pt idx="655">
                  <c:v>655</c:v>
                </c:pt>
                <c:pt idx="656">
                  <c:v>656</c:v>
                </c:pt>
                <c:pt idx="657">
                  <c:v>657</c:v>
                </c:pt>
                <c:pt idx="658">
                  <c:v>658</c:v>
                </c:pt>
                <c:pt idx="659">
                  <c:v>659</c:v>
                </c:pt>
                <c:pt idx="660">
                  <c:v>660</c:v>
                </c:pt>
                <c:pt idx="661">
                  <c:v>661</c:v>
                </c:pt>
                <c:pt idx="662">
                  <c:v>662</c:v>
                </c:pt>
                <c:pt idx="663">
                  <c:v>663</c:v>
                </c:pt>
                <c:pt idx="664">
                  <c:v>664</c:v>
                </c:pt>
                <c:pt idx="665">
                  <c:v>665</c:v>
                </c:pt>
                <c:pt idx="666">
                  <c:v>666</c:v>
                </c:pt>
                <c:pt idx="667">
                  <c:v>667</c:v>
                </c:pt>
                <c:pt idx="668">
                  <c:v>668</c:v>
                </c:pt>
                <c:pt idx="669">
                  <c:v>669</c:v>
                </c:pt>
                <c:pt idx="670">
                  <c:v>670</c:v>
                </c:pt>
                <c:pt idx="671">
                  <c:v>671</c:v>
                </c:pt>
                <c:pt idx="672">
                  <c:v>672</c:v>
                </c:pt>
                <c:pt idx="673">
                  <c:v>673</c:v>
                </c:pt>
                <c:pt idx="674">
                  <c:v>674</c:v>
                </c:pt>
                <c:pt idx="675">
                  <c:v>675</c:v>
                </c:pt>
                <c:pt idx="676">
                  <c:v>676</c:v>
                </c:pt>
                <c:pt idx="677">
                  <c:v>677</c:v>
                </c:pt>
                <c:pt idx="678">
                  <c:v>678</c:v>
                </c:pt>
                <c:pt idx="679">
                  <c:v>679</c:v>
                </c:pt>
                <c:pt idx="680">
                  <c:v>680</c:v>
                </c:pt>
                <c:pt idx="681">
                  <c:v>681</c:v>
                </c:pt>
                <c:pt idx="682">
                  <c:v>682</c:v>
                </c:pt>
                <c:pt idx="683">
                  <c:v>683</c:v>
                </c:pt>
                <c:pt idx="684">
                  <c:v>684</c:v>
                </c:pt>
                <c:pt idx="685">
                  <c:v>685</c:v>
                </c:pt>
                <c:pt idx="686">
                  <c:v>686</c:v>
                </c:pt>
                <c:pt idx="687">
                  <c:v>687</c:v>
                </c:pt>
                <c:pt idx="688">
                  <c:v>688</c:v>
                </c:pt>
                <c:pt idx="689">
                  <c:v>689</c:v>
                </c:pt>
                <c:pt idx="690">
                  <c:v>690</c:v>
                </c:pt>
                <c:pt idx="691">
                  <c:v>691</c:v>
                </c:pt>
                <c:pt idx="692">
                  <c:v>692</c:v>
                </c:pt>
                <c:pt idx="693">
                  <c:v>693</c:v>
                </c:pt>
                <c:pt idx="694">
                  <c:v>694</c:v>
                </c:pt>
                <c:pt idx="695">
                  <c:v>695</c:v>
                </c:pt>
                <c:pt idx="696">
                  <c:v>696</c:v>
                </c:pt>
                <c:pt idx="697">
                  <c:v>697</c:v>
                </c:pt>
                <c:pt idx="698">
                  <c:v>698</c:v>
                </c:pt>
                <c:pt idx="699">
                  <c:v>699</c:v>
                </c:pt>
                <c:pt idx="700">
                  <c:v>700</c:v>
                </c:pt>
                <c:pt idx="701">
                  <c:v>701</c:v>
                </c:pt>
                <c:pt idx="702">
                  <c:v>702</c:v>
                </c:pt>
                <c:pt idx="703">
                  <c:v>703</c:v>
                </c:pt>
                <c:pt idx="704">
                  <c:v>704</c:v>
                </c:pt>
                <c:pt idx="705">
                  <c:v>705</c:v>
                </c:pt>
                <c:pt idx="706">
                  <c:v>706</c:v>
                </c:pt>
                <c:pt idx="707">
                  <c:v>707</c:v>
                </c:pt>
                <c:pt idx="708">
                  <c:v>708</c:v>
                </c:pt>
                <c:pt idx="709">
                  <c:v>709</c:v>
                </c:pt>
                <c:pt idx="710">
                  <c:v>710</c:v>
                </c:pt>
                <c:pt idx="711">
                  <c:v>711</c:v>
                </c:pt>
                <c:pt idx="712">
                  <c:v>712</c:v>
                </c:pt>
                <c:pt idx="713">
                  <c:v>713</c:v>
                </c:pt>
                <c:pt idx="714">
                  <c:v>714</c:v>
                </c:pt>
                <c:pt idx="715">
                  <c:v>715</c:v>
                </c:pt>
                <c:pt idx="716">
                  <c:v>716</c:v>
                </c:pt>
                <c:pt idx="717">
                  <c:v>717</c:v>
                </c:pt>
                <c:pt idx="718">
                  <c:v>718</c:v>
                </c:pt>
                <c:pt idx="719">
                  <c:v>719</c:v>
                </c:pt>
                <c:pt idx="720">
                  <c:v>720</c:v>
                </c:pt>
                <c:pt idx="721">
                  <c:v>721</c:v>
                </c:pt>
                <c:pt idx="722">
                  <c:v>722</c:v>
                </c:pt>
                <c:pt idx="723">
                  <c:v>723</c:v>
                </c:pt>
                <c:pt idx="724">
                  <c:v>724</c:v>
                </c:pt>
                <c:pt idx="725">
                  <c:v>725</c:v>
                </c:pt>
                <c:pt idx="726">
                  <c:v>726</c:v>
                </c:pt>
                <c:pt idx="727">
                  <c:v>727</c:v>
                </c:pt>
                <c:pt idx="728">
                  <c:v>728</c:v>
                </c:pt>
                <c:pt idx="729">
                  <c:v>729</c:v>
                </c:pt>
                <c:pt idx="730">
                  <c:v>730</c:v>
                </c:pt>
                <c:pt idx="731">
                  <c:v>731</c:v>
                </c:pt>
                <c:pt idx="732">
                  <c:v>732</c:v>
                </c:pt>
                <c:pt idx="733">
                  <c:v>733</c:v>
                </c:pt>
                <c:pt idx="734">
                  <c:v>734</c:v>
                </c:pt>
                <c:pt idx="735">
                  <c:v>735</c:v>
                </c:pt>
                <c:pt idx="736">
                  <c:v>736</c:v>
                </c:pt>
                <c:pt idx="737">
                  <c:v>737</c:v>
                </c:pt>
                <c:pt idx="738">
                  <c:v>738</c:v>
                </c:pt>
                <c:pt idx="739">
                  <c:v>739</c:v>
                </c:pt>
                <c:pt idx="740">
                  <c:v>740</c:v>
                </c:pt>
                <c:pt idx="741">
                  <c:v>741</c:v>
                </c:pt>
                <c:pt idx="742">
                  <c:v>742</c:v>
                </c:pt>
                <c:pt idx="743">
                  <c:v>743</c:v>
                </c:pt>
                <c:pt idx="744">
                  <c:v>744</c:v>
                </c:pt>
                <c:pt idx="745">
                  <c:v>745</c:v>
                </c:pt>
                <c:pt idx="746">
                  <c:v>746</c:v>
                </c:pt>
                <c:pt idx="747">
                  <c:v>747</c:v>
                </c:pt>
                <c:pt idx="748">
                  <c:v>748</c:v>
                </c:pt>
                <c:pt idx="749">
                  <c:v>749</c:v>
                </c:pt>
                <c:pt idx="750">
                  <c:v>750</c:v>
                </c:pt>
                <c:pt idx="751">
                  <c:v>751</c:v>
                </c:pt>
                <c:pt idx="752">
                  <c:v>752</c:v>
                </c:pt>
                <c:pt idx="753">
                  <c:v>753</c:v>
                </c:pt>
                <c:pt idx="754">
                  <c:v>754</c:v>
                </c:pt>
                <c:pt idx="755">
                  <c:v>755</c:v>
                </c:pt>
                <c:pt idx="756">
                  <c:v>756</c:v>
                </c:pt>
                <c:pt idx="757">
                  <c:v>757</c:v>
                </c:pt>
                <c:pt idx="758">
                  <c:v>758</c:v>
                </c:pt>
                <c:pt idx="759">
                  <c:v>759</c:v>
                </c:pt>
                <c:pt idx="760">
                  <c:v>760</c:v>
                </c:pt>
                <c:pt idx="761">
                  <c:v>761</c:v>
                </c:pt>
                <c:pt idx="762">
                  <c:v>762</c:v>
                </c:pt>
                <c:pt idx="763">
                  <c:v>763</c:v>
                </c:pt>
                <c:pt idx="764">
                  <c:v>764</c:v>
                </c:pt>
                <c:pt idx="765">
                  <c:v>765</c:v>
                </c:pt>
                <c:pt idx="766">
                  <c:v>766</c:v>
                </c:pt>
                <c:pt idx="767">
                  <c:v>767</c:v>
                </c:pt>
                <c:pt idx="768">
                  <c:v>768</c:v>
                </c:pt>
                <c:pt idx="769">
                  <c:v>769</c:v>
                </c:pt>
                <c:pt idx="770">
                  <c:v>770</c:v>
                </c:pt>
                <c:pt idx="771">
                  <c:v>771</c:v>
                </c:pt>
                <c:pt idx="772">
                  <c:v>772</c:v>
                </c:pt>
                <c:pt idx="773">
                  <c:v>773</c:v>
                </c:pt>
                <c:pt idx="774">
                  <c:v>774</c:v>
                </c:pt>
                <c:pt idx="775">
                  <c:v>775</c:v>
                </c:pt>
                <c:pt idx="776">
                  <c:v>776</c:v>
                </c:pt>
                <c:pt idx="777">
                  <c:v>777</c:v>
                </c:pt>
                <c:pt idx="778">
                  <c:v>778</c:v>
                </c:pt>
                <c:pt idx="779">
                  <c:v>779</c:v>
                </c:pt>
                <c:pt idx="780">
                  <c:v>780</c:v>
                </c:pt>
                <c:pt idx="781">
                  <c:v>781</c:v>
                </c:pt>
                <c:pt idx="782">
                  <c:v>782</c:v>
                </c:pt>
                <c:pt idx="783">
                  <c:v>783</c:v>
                </c:pt>
                <c:pt idx="784">
                  <c:v>784</c:v>
                </c:pt>
                <c:pt idx="785">
                  <c:v>785</c:v>
                </c:pt>
                <c:pt idx="786">
                  <c:v>786</c:v>
                </c:pt>
                <c:pt idx="787">
                  <c:v>787</c:v>
                </c:pt>
                <c:pt idx="788">
                  <c:v>788</c:v>
                </c:pt>
                <c:pt idx="789">
                  <c:v>789</c:v>
                </c:pt>
                <c:pt idx="790">
                  <c:v>790</c:v>
                </c:pt>
                <c:pt idx="791">
                  <c:v>791</c:v>
                </c:pt>
                <c:pt idx="792">
                  <c:v>792</c:v>
                </c:pt>
                <c:pt idx="793">
                  <c:v>793</c:v>
                </c:pt>
                <c:pt idx="794">
                  <c:v>794</c:v>
                </c:pt>
                <c:pt idx="795">
                  <c:v>795</c:v>
                </c:pt>
                <c:pt idx="796">
                  <c:v>796</c:v>
                </c:pt>
                <c:pt idx="797">
                  <c:v>797</c:v>
                </c:pt>
                <c:pt idx="798">
                  <c:v>798</c:v>
                </c:pt>
                <c:pt idx="799">
                  <c:v>799</c:v>
                </c:pt>
                <c:pt idx="800">
                  <c:v>800</c:v>
                </c:pt>
                <c:pt idx="801">
                  <c:v>801</c:v>
                </c:pt>
                <c:pt idx="802">
                  <c:v>802</c:v>
                </c:pt>
                <c:pt idx="803">
                  <c:v>803</c:v>
                </c:pt>
                <c:pt idx="804">
                  <c:v>804</c:v>
                </c:pt>
                <c:pt idx="805">
                  <c:v>805</c:v>
                </c:pt>
                <c:pt idx="806">
                  <c:v>806</c:v>
                </c:pt>
                <c:pt idx="807">
                  <c:v>807</c:v>
                </c:pt>
                <c:pt idx="808">
                  <c:v>808</c:v>
                </c:pt>
                <c:pt idx="809">
                  <c:v>809</c:v>
                </c:pt>
                <c:pt idx="810">
                  <c:v>810</c:v>
                </c:pt>
                <c:pt idx="811">
                  <c:v>811</c:v>
                </c:pt>
                <c:pt idx="812">
                  <c:v>812</c:v>
                </c:pt>
                <c:pt idx="813">
                  <c:v>813</c:v>
                </c:pt>
                <c:pt idx="814">
                  <c:v>814</c:v>
                </c:pt>
                <c:pt idx="815">
                  <c:v>815</c:v>
                </c:pt>
                <c:pt idx="816">
                  <c:v>816</c:v>
                </c:pt>
                <c:pt idx="817">
                  <c:v>817</c:v>
                </c:pt>
                <c:pt idx="818">
                  <c:v>818</c:v>
                </c:pt>
                <c:pt idx="819">
                  <c:v>819</c:v>
                </c:pt>
                <c:pt idx="820">
                  <c:v>820</c:v>
                </c:pt>
                <c:pt idx="821">
                  <c:v>821</c:v>
                </c:pt>
                <c:pt idx="822">
                  <c:v>822</c:v>
                </c:pt>
                <c:pt idx="823">
                  <c:v>823</c:v>
                </c:pt>
                <c:pt idx="824">
                  <c:v>824</c:v>
                </c:pt>
                <c:pt idx="825">
                  <c:v>825</c:v>
                </c:pt>
                <c:pt idx="826">
                  <c:v>826</c:v>
                </c:pt>
                <c:pt idx="827">
                  <c:v>827</c:v>
                </c:pt>
                <c:pt idx="828">
                  <c:v>828</c:v>
                </c:pt>
                <c:pt idx="829">
                  <c:v>829</c:v>
                </c:pt>
                <c:pt idx="830">
                  <c:v>830</c:v>
                </c:pt>
                <c:pt idx="831">
                  <c:v>831</c:v>
                </c:pt>
                <c:pt idx="832">
                  <c:v>832</c:v>
                </c:pt>
                <c:pt idx="833">
                  <c:v>833</c:v>
                </c:pt>
                <c:pt idx="834">
                  <c:v>834</c:v>
                </c:pt>
                <c:pt idx="835">
                  <c:v>835</c:v>
                </c:pt>
                <c:pt idx="836">
                  <c:v>836</c:v>
                </c:pt>
                <c:pt idx="837">
                  <c:v>837</c:v>
                </c:pt>
                <c:pt idx="838">
                  <c:v>838</c:v>
                </c:pt>
                <c:pt idx="839">
                  <c:v>839</c:v>
                </c:pt>
                <c:pt idx="840">
                  <c:v>840</c:v>
                </c:pt>
                <c:pt idx="841">
                  <c:v>841</c:v>
                </c:pt>
                <c:pt idx="842">
                  <c:v>842</c:v>
                </c:pt>
                <c:pt idx="843">
                  <c:v>843</c:v>
                </c:pt>
                <c:pt idx="844">
                  <c:v>844</c:v>
                </c:pt>
                <c:pt idx="845">
                  <c:v>845</c:v>
                </c:pt>
                <c:pt idx="846">
                  <c:v>846</c:v>
                </c:pt>
                <c:pt idx="847">
                  <c:v>847</c:v>
                </c:pt>
                <c:pt idx="848">
                  <c:v>848</c:v>
                </c:pt>
                <c:pt idx="849">
                  <c:v>849</c:v>
                </c:pt>
                <c:pt idx="850">
                  <c:v>850</c:v>
                </c:pt>
                <c:pt idx="851">
                  <c:v>851</c:v>
                </c:pt>
                <c:pt idx="852">
                  <c:v>852</c:v>
                </c:pt>
                <c:pt idx="853">
                  <c:v>853</c:v>
                </c:pt>
                <c:pt idx="854">
                  <c:v>854</c:v>
                </c:pt>
                <c:pt idx="855">
                  <c:v>855</c:v>
                </c:pt>
                <c:pt idx="856">
                  <c:v>856</c:v>
                </c:pt>
                <c:pt idx="857">
                  <c:v>857</c:v>
                </c:pt>
                <c:pt idx="858">
                  <c:v>858</c:v>
                </c:pt>
                <c:pt idx="859">
                  <c:v>859</c:v>
                </c:pt>
                <c:pt idx="860">
                  <c:v>860</c:v>
                </c:pt>
                <c:pt idx="861">
                  <c:v>861</c:v>
                </c:pt>
                <c:pt idx="862">
                  <c:v>862</c:v>
                </c:pt>
                <c:pt idx="863">
                  <c:v>863</c:v>
                </c:pt>
                <c:pt idx="864">
                  <c:v>864</c:v>
                </c:pt>
                <c:pt idx="865">
                  <c:v>865</c:v>
                </c:pt>
                <c:pt idx="866">
                  <c:v>866</c:v>
                </c:pt>
                <c:pt idx="867">
                  <c:v>867</c:v>
                </c:pt>
                <c:pt idx="868">
                  <c:v>868</c:v>
                </c:pt>
                <c:pt idx="869">
                  <c:v>869</c:v>
                </c:pt>
                <c:pt idx="870">
                  <c:v>870</c:v>
                </c:pt>
                <c:pt idx="871">
                  <c:v>871</c:v>
                </c:pt>
                <c:pt idx="872">
                  <c:v>872</c:v>
                </c:pt>
                <c:pt idx="873">
                  <c:v>873</c:v>
                </c:pt>
                <c:pt idx="874">
                  <c:v>874</c:v>
                </c:pt>
                <c:pt idx="875">
                  <c:v>875</c:v>
                </c:pt>
                <c:pt idx="876">
                  <c:v>876</c:v>
                </c:pt>
                <c:pt idx="877">
                  <c:v>877</c:v>
                </c:pt>
                <c:pt idx="878">
                  <c:v>878</c:v>
                </c:pt>
                <c:pt idx="879">
                  <c:v>879</c:v>
                </c:pt>
                <c:pt idx="880">
                  <c:v>880</c:v>
                </c:pt>
                <c:pt idx="881">
                  <c:v>881</c:v>
                </c:pt>
                <c:pt idx="882">
                  <c:v>882</c:v>
                </c:pt>
                <c:pt idx="883">
                  <c:v>883</c:v>
                </c:pt>
                <c:pt idx="884">
                  <c:v>884</c:v>
                </c:pt>
                <c:pt idx="885">
                  <c:v>885</c:v>
                </c:pt>
                <c:pt idx="886">
                  <c:v>886</c:v>
                </c:pt>
                <c:pt idx="887">
                  <c:v>887</c:v>
                </c:pt>
                <c:pt idx="888">
                  <c:v>888</c:v>
                </c:pt>
                <c:pt idx="889">
                  <c:v>889</c:v>
                </c:pt>
                <c:pt idx="890">
                  <c:v>890</c:v>
                </c:pt>
                <c:pt idx="891">
                  <c:v>891</c:v>
                </c:pt>
                <c:pt idx="892">
                  <c:v>892</c:v>
                </c:pt>
                <c:pt idx="893">
                  <c:v>893</c:v>
                </c:pt>
                <c:pt idx="894">
                  <c:v>894</c:v>
                </c:pt>
                <c:pt idx="895">
                  <c:v>895</c:v>
                </c:pt>
                <c:pt idx="896">
                  <c:v>896</c:v>
                </c:pt>
                <c:pt idx="897">
                  <c:v>897</c:v>
                </c:pt>
                <c:pt idx="898">
                  <c:v>898</c:v>
                </c:pt>
                <c:pt idx="899">
                  <c:v>899</c:v>
                </c:pt>
                <c:pt idx="900">
                  <c:v>900</c:v>
                </c:pt>
                <c:pt idx="901">
                  <c:v>901</c:v>
                </c:pt>
                <c:pt idx="902">
                  <c:v>902</c:v>
                </c:pt>
                <c:pt idx="903">
                  <c:v>903</c:v>
                </c:pt>
                <c:pt idx="904">
                  <c:v>904</c:v>
                </c:pt>
                <c:pt idx="905">
                  <c:v>905</c:v>
                </c:pt>
                <c:pt idx="906">
                  <c:v>906</c:v>
                </c:pt>
                <c:pt idx="907">
                  <c:v>907</c:v>
                </c:pt>
                <c:pt idx="908">
                  <c:v>908</c:v>
                </c:pt>
                <c:pt idx="909">
                  <c:v>909</c:v>
                </c:pt>
                <c:pt idx="910">
                  <c:v>910</c:v>
                </c:pt>
                <c:pt idx="911">
                  <c:v>911</c:v>
                </c:pt>
                <c:pt idx="912">
                  <c:v>912</c:v>
                </c:pt>
                <c:pt idx="913">
                  <c:v>913</c:v>
                </c:pt>
                <c:pt idx="914">
                  <c:v>914</c:v>
                </c:pt>
                <c:pt idx="915">
                  <c:v>915</c:v>
                </c:pt>
                <c:pt idx="916">
                  <c:v>916</c:v>
                </c:pt>
                <c:pt idx="917">
                  <c:v>917</c:v>
                </c:pt>
                <c:pt idx="918">
                  <c:v>918</c:v>
                </c:pt>
                <c:pt idx="919">
                  <c:v>919</c:v>
                </c:pt>
                <c:pt idx="920">
                  <c:v>920</c:v>
                </c:pt>
                <c:pt idx="921">
                  <c:v>921</c:v>
                </c:pt>
                <c:pt idx="922">
                  <c:v>922</c:v>
                </c:pt>
                <c:pt idx="923">
                  <c:v>923</c:v>
                </c:pt>
                <c:pt idx="924">
                  <c:v>924</c:v>
                </c:pt>
                <c:pt idx="925">
                  <c:v>925</c:v>
                </c:pt>
                <c:pt idx="926">
                  <c:v>926</c:v>
                </c:pt>
                <c:pt idx="927">
                  <c:v>927</c:v>
                </c:pt>
                <c:pt idx="928">
                  <c:v>928</c:v>
                </c:pt>
                <c:pt idx="929">
                  <c:v>929</c:v>
                </c:pt>
                <c:pt idx="930">
                  <c:v>930</c:v>
                </c:pt>
                <c:pt idx="931">
                  <c:v>931</c:v>
                </c:pt>
                <c:pt idx="932">
                  <c:v>932</c:v>
                </c:pt>
                <c:pt idx="933">
                  <c:v>933</c:v>
                </c:pt>
                <c:pt idx="934">
                  <c:v>934</c:v>
                </c:pt>
                <c:pt idx="935">
                  <c:v>935</c:v>
                </c:pt>
                <c:pt idx="936">
                  <c:v>936</c:v>
                </c:pt>
                <c:pt idx="937">
                  <c:v>937</c:v>
                </c:pt>
                <c:pt idx="938">
                  <c:v>938</c:v>
                </c:pt>
                <c:pt idx="939">
                  <c:v>939</c:v>
                </c:pt>
                <c:pt idx="940">
                  <c:v>940</c:v>
                </c:pt>
                <c:pt idx="941">
                  <c:v>941</c:v>
                </c:pt>
                <c:pt idx="942">
                  <c:v>942</c:v>
                </c:pt>
                <c:pt idx="943">
                  <c:v>943</c:v>
                </c:pt>
                <c:pt idx="944">
                  <c:v>944</c:v>
                </c:pt>
                <c:pt idx="945">
                  <c:v>945</c:v>
                </c:pt>
                <c:pt idx="946">
                  <c:v>946</c:v>
                </c:pt>
                <c:pt idx="947">
                  <c:v>947</c:v>
                </c:pt>
                <c:pt idx="948">
                  <c:v>948</c:v>
                </c:pt>
                <c:pt idx="949">
                  <c:v>949</c:v>
                </c:pt>
                <c:pt idx="950">
                  <c:v>950</c:v>
                </c:pt>
                <c:pt idx="951">
                  <c:v>951</c:v>
                </c:pt>
                <c:pt idx="952">
                  <c:v>952</c:v>
                </c:pt>
                <c:pt idx="953">
                  <c:v>953</c:v>
                </c:pt>
                <c:pt idx="954">
                  <c:v>954</c:v>
                </c:pt>
                <c:pt idx="955">
                  <c:v>955</c:v>
                </c:pt>
                <c:pt idx="956">
                  <c:v>956</c:v>
                </c:pt>
                <c:pt idx="957">
                  <c:v>957</c:v>
                </c:pt>
                <c:pt idx="958">
                  <c:v>958</c:v>
                </c:pt>
                <c:pt idx="959">
                  <c:v>959</c:v>
                </c:pt>
                <c:pt idx="960">
                  <c:v>960</c:v>
                </c:pt>
                <c:pt idx="961">
                  <c:v>961</c:v>
                </c:pt>
                <c:pt idx="962">
                  <c:v>962</c:v>
                </c:pt>
                <c:pt idx="963">
                  <c:v>963</c:v>
                </c:pt>
                <c:pt idx="964">
                  <c:v>964</c:v>
                </c:pt>
                <c:pt idx="965">
                  <c:v>965</c:v>
                </c:pt>
                <c:pt idx="966">
                  <c:v>966</c:v>
                </c:pt>
                <c:pt idx="967">
                  <c:v>967</c:v>
                </c:pt>
                <c:pt idx="968">
                  <c:v>968</c:v>
                </c:pt>
                <c:pt idx="969">
                  <c:v>969</c:v>
                </c:pt>
                <c:pt idx="970">
                  <c:v>970</c:v>
                </c:pt>
                <c:pt idx="971">
                  <c:v>971</c:v>
                </c:pt>
                <c:pt idx="972">
                  <c:v>972</c:v>
                </c:pt>
                <c:pt idx="973">
                  <c:v>973</c:v>
                </c:pt>
                <c:pt idx="974">
                  <c:v>974</c:v>
                </c:pt>
                <c:pt idx="975">
                  <c:v>975</c:v>
                </c:pt>
                <c:pt idx="976">
                  <c:v>976</c:v>
                </c:pt>
                <c:pt idx="977">
                  <c:v>977</c:v>
                </c:pt>
                <c:pt idx="978">
                  <c:v>978</c:v>
                </c:pt>
                <c:pt idx="979">
                  <c:v>979</c:v>
                </c:pt>
                <c:pt idx="980">
                  <c:v>980</c:v>
                </c:pt>
                <c:pt idx="981">
                  <c:v>981</c:v>
                </c:pt>
                <c:pt idx="982">
                  <c:v>982</c:v>
                </c:pt>
                <c:pt idx="983">
                  <c:v>983</c:v>
                </c:pt>
                <c:pt idx="984">
                  <c:v>984</c:v>
                </c:pt>
                <c:pt idx="985">
                  <c:v>985</c:v>
                </c:pt>
                <c:pt idx="986">
                  <c:v>986</c:v>
                </c:pt>
                <c:pt idx="987">
                  <c:v>987</c:v>
                </c:pt>
                <c:pt idx="988">
                  <c:v>988</c:v>
                </c:pt>
                <c:pt idx="989">
                  <c:v>989</c:v>
                </c:pt>
                <c:pt idx="990">
                  <c:v>990</c:v>
                </c:pt>
                <c:pt idx="991">
                  <c:v>991</c:v>
                </c:pt>
                <c:pt idx="992">
                  <c:v>992</c:v>
                </c:pt>
                <c:pt idx="993">
                  <c:v>993</c:v>
                </c:pt>
                <c:pt idx="994">
                  <c:v>994</c:v>
                </c:pt>
                <c:pt idx="995">
                  <c:v>995</c:v>
                </c:pt>
                <c:pt idx="996">
                  <c:v>996</c:v>
                </c:pt>
                <c:pt idx="997">
                  <c:v>997</c:v>
                </c:pt>
                <c:pt idx="998">
                  <c:v>998</c:v>
                </c:pt>
                <c:pt idx="999">
                  <c:v>999</c:v>
                </c:pt>
                <c:pt idx="1000">
                  <c:v>1000</c:v>
                </c:pt>
                <c:pt idx="1001">
                  <c:v>1001</c:v>
                </c:pt>
                <c:pt idx="1002">
                  <c:v>1002</c:v>
                </c:pt>
                <c:pt idx="1003">
                  <c:v>1003</c:v>
                </c:pt>
                <c:pt idx="1004">
                  <c:v>1004</c:v>
                </c:pt>
                <c:pt idx="1005">
                  <c:v>1005</c:v>
                </c:pt>
                <c:pt idx="1006">
                  <c:v>1006</c:v>
                </c:pt>
                <c:pt idx="1007">
                  <c:v>1007</c:v>
                </c:pt>
                <c:pt idx="1008">
                  <c:v>1008</c:v>
                </c:pt>
                <c:pt idx="1009">
                  <c:v>1009</c:v>
                </c:pt>
                <c:pt idx="1010">
                  <c:v>1010</c:v>
                </c:pt>
                <c:pt idx="1011">
                  <c:v>1011</c:v>
                </c:pt>
                <c:pt idx="1012">
                  <c:v>1012</c:v>
                </c:pt>
                <c:pt idx="1013">
                  <c:v>1013</c:v>
                </c:pt>
                <c:pt idx="1014">
                  <c:v>1014</c:v>
                </c:pt>
                <c:pt idx="1015">
                  <c:v>1015</c:v>
                </c:pt>
                <c:pt idx="1016">
                  <c:v>1016</c:v>
                </c:pt>
                <c:pt idx="1017">
                  <c:v>1017</c:v>
                </c:pt>
                <c:pt idx="1018">
                  <c:v>1018</c:v>
                </c:pt>
                <c:pt idx="1019">
                  <c:v>1019</c:v>
                </c:pt>
                <c:pt idx="1020">
                  <c:v>1020</c:v>
                </c:pt>
                <c:pt idx="1021">
                  <c:v>1021</c:v>
                </c:pt>
                <c:pt idx="1022">
                  <c:v>1022</c:v>
                </c:pt>
                <c:pt idx="1023">
                  <c:v>1023</c:v>
                </c:pt>
                <c:pt idx="1024">
                  <c:v>1024</c:v>
                </c:pt>
                <c:pt idx="1025">
                  <c:v>1025</c:v>
                </c:pt>
                <c:pt idx="1026">
                  <c:v>1026</c:v>
                </c:pt>
                <c:pt idx="1027">
                  <c:v>1027</c:v>
                </c:pt>
                <c:pt idx="1028">
                  <c:v>1028</c:v>
                </c:pt>
                <c:pt idx="1029">
                  <c:v>1029</c:v>
                </c:pt>
                <c:pt idx="1030">
                  <c:v>1030</c:v>
                </c:pt>
                <c:pt idx="1031">
                  <c:v>1031</c:v>
                </c:pt>
                <c:pt idx="1032">
                  <c:v>1032</c:v>
                </c:pt>
                <c:pt idx="1033">
                  <c:v>1033</c:v>
                </c:pt>
                <c:pt idx="1034">
                  <c:v>1034</c:v>
                </c:pt>
                <c:pt idx="1035">
                  <c:v>1035</c:v>
                </c:pt>
                <c:pt idx="1036">
                  <c:v>1036</c:v>
                </c:pt>
                <c:pt idx="1037">
                  <c:v>1037</c:v>
                </c:pt>
                <c:pt idx="1038">
                  <c:v>1038</c:v>
                </c:pt>
                <c:pt idx="1039">
                  <c:v>1039</c:v>
                </c:pt>
                <c:pt idx="1040">
                  <c:v>1040</c:v>
                </c:pt>
              </c:numCache>
            </c:numRef>
          </c:xVal>
          <c:yVal>
            <c:numRef>
              <c:f>'Model Treatment'!$T$7:$T$1047</c:f>
              <c:numCache>
                <c:formatCode>0.000</c:formatCode>
                <c:ptCount val="1041"/>
                <c:pt idx="0">
                  <c:v>1</c:v>
                </c:pt>
                <c:pt idx="1">
                  <c:v>0.97826086956521696</c:v>
                </c:pt>
                <c:pt idx="2">
                  <c:v>0.97058823529411797</c:v>
                </c:pt>
                <c:pt idx="3">
                  <c:v>0.94629156010230198</c:v>
                </c:pt>
                <c:pt idx="4">
                  <c:v>0.93350383631713596</c:v>
                </c:pt>
                <c:pt idx="5">
                  <c:v>0.91176470588235303</c:v>
                </c:pt>
                <c:pt idx="6">
                  <c:v>0.89641943734015295</c:v>
                </c:pt>
                <c:pt idx="7">
                  <c:v>0.88235294117647001</c:v>
                </c:pt>
                <c:pt idx="8">
                  <c:v>0.87851662404092001</c:v>
                </c:pt>
                <c:pt idx="9">
                  <c:v>0.85677749360613797</c:v>
                </c:pt>
                <c:pt idx="10">
                  <c:v>0.85038363171355502</c:v>
                </c:pt>
                <c:pt idx="11">
                  <c:v>0.83503836317135505</c:v>
                </c:pt>
                <c:pt idx="12">
                  <c:v>0.80946291560102301</c:v>
                </c:pt>
                <c:pt idx="13">
                  <c:v>0.78005115089513999</c:v>
                </c:pt>
                <c:pt idx="14">
                  <c:v>0.77237851662404</c:v>
                </c:pt>
                <c:pt idx="15">
                  <c:v>0.76214833759590705</c:v>
                </c:pt>
                <c:pt idx="16">
                  <c:v>0.74296675191815797</c:v>
                </c:pt>
                <c:pt idx="17">
                  <c:v>0.72250639386189197</c:v>
                </c:pt>
                <c:pt idx="18">
                  <c:v>0.70076726342710904</c:v>
                </c:pt>
                <c:pt idx="19">
                  <c:v>0.67007672634270998</c:v>
                </c:pt>
                <c:pt idx="20">
                  <c:v>0.65473145780051001</c:v>
                </c:pt>
                <c:pt idx="21">
                  <c:v>0.63554987212276104</c:v>
                </c:pt>
                <c:pt idx="22">
                  <c:v>0.61508951406649504</c:v>
                </c:pt>
                <c:pt idx="23">
                  <c:v>0.59846547314577903</c:v>
                </c:pt>
                <c:pt idx="24">
                  <c:v>0.57928388746802995</c:v>
                </c:pt>
                <c:pt idx="25">
                  <c:v>0.56138107416879701</c:v>
                </c:pt>
                <c:pt idx="26">
                  <c:v>0.54347826086956397</c:v>
                </c:pt>
                <c:pt idx="27">
                  <c:v>0.53196930946291499</c:v>
                </c:pt>
                <c:pt idx="28">
                  <c:v>0.52301790281329796</c:v>
                </c:pt>
                <c:pt idx="29">
                  <c:v>0.50511508951406603</c:v>
                </c:pt>
                <c:pt idx="30">
                  <c:v>0.485933503836317</c:v>
                </c:pt>
                <c:pt idx="31">
                  <c:v>0.47186700767263401</c:v>
                </c:pt>
                <c:pt idx="32">
                  <c:v>0.46547314578005</c:v>
                </c:pt>
                <c:pt idx="33">
                  <c:v>0.45780051150895101</c:v>
                </c:pt>
                <c:pt idx="34">
                  <c:v>0.45140664961636801</c:v>
                </c:pt>
                <c:pt idx="35">
                  <c:v>0.43222506393861798</c:v>
                </c:pt>
                <c:pt idx="36">
                  <c:v>0.41432225063938599</c:v>
                </c:pt>
                <c:pt idx="37">
                  <c:v>0.400255754475703</c:v>
                </c:pt>
                <c:pt idx="38">
                  <c:v>0.39130434782608697</c:v>
                </c:pt>
                <c:pt idx="39">
                  <c:v>0.38235294117647001</c:v>
                </c:pt>
                <c:pt idx="40">
                  <c:v>0.37340153452685398</c:v>
                </c:pt>
                <c:pt idx="41">
                  <c:v>0.361892583120204</c:v>
                </c:pt>
                <c:pt idx="42">
                  <c:v>0.34398976982097201</c:v>
                </c:pt>
                <c:pt idx="43">
                  <c:v>0.33375959079283901</c:v>
                </c:pt>
                <c:pt idx="44">
                  <c:v>0.32992327365728902</c:v>
                </c:pt>
                <c:pt idx="45">
                  <c:v>0.32225063938618898</c:v>
                </c:pt>
                <c:pt idx="46">
                  <c:v>0.31841432225063898</c:v>
                </c:pt>
                <c:pt idx="47">
                  <c:v>0.31202046035805597</c:v>
                </c:pt>
                <c:pt idx="48">
                  <c:v>0.30434782608695599</c:v>
                </c:pt>
                <c:pt idx="49">
                  <c:v>0.29795396419437298</c:v>
                </c:pt>
                <c:pt idx="50">
                  <c:v>0.29028132992327299</c:v>
                </c:pt>
                <c:pt idx="51">
                  <c:v>0.28516624040920702</c:v>
                </c:pt>
                <c:pt idx="52">
                  <c:v>0.28388746803068998</c:v>
                </c:pt>
                <c:pt idx="53">
                  <c:v>0.27621483375959099</c:v>
                </c:pt>
                <c:pt idx="54">
                  <c:v>0.272378516624041</c:v>
                </c:pt>
                <c:pt idx="55">
                  <c:v>0.26853611009621198</c:v>
                </c:pt>
                <c:pt idx="56">
                  <c:v>0.25951089173533498</c:v>
                </c:pt>
                <c:pt idx="57">
                  <c:v>0.25286736369463092</c:v>
                </c:pt>
                <c:pt idx="58">
                  <c:v>0.24638273532753421</c:v>
                </c:pt>
                <c:pt idx="59">
                  <c:v>0.24005368166172569</c:v>
                </c:pt>
                <c:pt idx="60">
                  <c:v>0.2338769238031119</c:v>
                </c:pt>
                <c:pt idx="61">
                  <c:v>0.22784922976631852</c:v>
                </c:pt>
                <c:pt idx="62">
                  <c:v>0.22196741516999996</c:v>
                </c:pt>
                <c:pt idx="63">
                  <c:v>0.21622834380814826</c:v>
                </c:pt>
                <c:pt idx="64">
                  <c:v>0.21062892810765521</c:v>
                </c:pt>
                <c:pt idx="65">
                  <c:v>0.20516612948153651</c:v>
                </c:pt>
                <c:pt idx="66">
                  <c:v>0.19983695858646405</c:v>
                </c:pt>
                <c:pt idx="67">
                  <c:v>0.1946384754925583</c:v>
                </c:pt>
                <c:pt idx="68">
                  <c:v>0.18956778977276217</c:v>
                </c:pt>
                <c:pt idx="69">
                  <c:v>0.18462206051854402</c:v>
                </c:pt>
                <c:pt idx="70">
                  <c:v>0.17979849628815212</c:v>
                </c:pt>
                <c:pt idx="71">
                  <c:v>0.1750943549931652</c:v>
                </c:pt>
                <c:pt idx="72">
                  <c:v>0.17050694372864617</c:v>
                </c:pt>
                <c:pt idx="73">
                  <c:v>0.16603361855180193</c:v>
                </c:pt>
                <c:pt idx="74">
                  <c:v>0.16167178421368894</c:v>
                </c:pt>
                <c:pt idx="75">
                  <c:v>0.15741889384816043</c:v>
                </c:pt>
                <c:pt idx="76">
                  <c:v>0.15327244862194481</c:v>
                </c:pt>
                <c:pt idx="77">
                  <c:v>0.14922999734945563</c:v>
                </c:pt>
                <c:pt idx="78">
                  <c:v>0.14528913607567079</c:v>
                </c:pt>
                <c:pt idx="79">
                  <c:v>0.14144750763017455</c:v>
                </c:pt>
                <c:pt idx="80">
                  <c:v>0.13770280115523129</c:v>
                </c:pt>
                <c:pt idx="81">
                  <c:v>0.13405275161055255</c:v>
                </c:pt>
                <c:pt idx="82">
                  <c:v>0.13049513925722458</c:v>
                </c:pt>
                <c:pt idx="83">
                  <c:v>0.1270277891230881</c:v>
                </c:pt>
                <c:pt idx="84">
                  <c:v>0.12364857045169424</c:v>
                </c:pt>
                <c:pt idx="85">
                  <c:v>0.12035539613680948</c:v>
                </c:pt>
                <c:pt idx="86">
                  <c:v>0.11714622214429836</c:v>
                </c:pt>
                <c:pt idx="87">
                  <c:v>0.11401904692308223</c:v>
                </c:pt>
                <c:pt idx="88">
                  <c:v>0.11097191080674831</c:v>
                </c:pt>
                <c:pt idx="89">
                  <c:v>0.10800289540726965</c:v>
                </c:pt>
                <c:pt idx="90">
                  <c:v>0.10511012300218991</c:v>
                </c:pt>
                <c:pt idx="91">
                  <c:v>0.10229175591652837</c:v>
                </c:pt>
                <c:pt idx="92">
                  <c:v>9.9545995900568035E-2</c:v>
                </c:pt>
                <c:pt idx="93">
                  <c:v>9.6871083504603189E-2</c:v>
                </c:pt>
                <c:pt idx="94">
                  <c:v>9.4265297451644386E-2</c:v>
                </c:pt>
                <c:pt idx="95">
                  <c:v>9.1726954009000619E-2</c:v>
                </c:pt>
                <c:pt idx="96">
                  <c:v>8.9254406359593919E-2</c:v>
                </c:pt>
                <c:pt idx="97">
                  <c:v>8.6846043973790171E-2</c:v>
                </c:pt>
                <c:pt idx="98">
                  <c:v>8.4500291982474648E-2</c:v>
                </c:pt>
                <c:pt idx="99">
                  <c:v>8.2215610552040033E-2</c:v>
                </c:pt>
                <c:pt idx="100">
                  <c:v>7.9990494261904604E-2</c:v>
                </c:pt>
                <c:pt idx="101">
                  <c:v>7.782347148512532E-2</c:v>
                </c:pt>
                <c:pt idx="102">
                  <c:v>7.5713103772628132E-2</c:v>
                </c:pt>
                <c:pt idx="103">
                  <c:v>7.3657985241530291E-2</c:v>
                </c:pt>
                <c:pt idx="104">
                  <c:v>7.1656741967992585E-2</c:v>
                </c:pt>
                <c:pt idx="105">
                  <c:v>6.9708031384999078E-2</c:v>
                </c:pt>
                <c:pt idx="106">
                  <c:v>6.7810541685427481E-2</c:v>
                </c:pt>
                <c:pt idx="107">
                  <c:v>6.596299123074012E-2</c:v>
                </c:pt>
                <c:pt idx="108">
                  <c:v>6.4164127965594467E-2</c:v>
                </c:pt>
                <c:pt idx="109">
                  <c:v>6.2412728838642587E-2</c:v>
                </c:pt>
                <c:pt idx="110">
                  <c:v>6.0707599229763154E-2</c:v>
                </c:pt>
                <c:pt idx="111">
                  <c:v>5.9047572383942828E-2</c:v>
                </c:pt>
                <c:pt idx="112">
                  <c:v>5.7431508852001364E-2</c:v>
                </c:pt>
                <c:pt idx="113">
                  <c:v>5.5858295938331748E-2</c:v>
                </c:pt>
                <c:pt idx="114">
                  <c:v>5.4326847155807059E-2</c:v>
                </c:pt>
                <c:pt idx="115">
                  <c:v>5.2836101687984943E-2</c:v>
                </c:pt>
                <c:pt idx="116">
                  <c:v>5.1385023858725037E-2</c:v>
                </c:pt>
                <c:pt idx="117">
                  <c:v>4.9972602609314187E-2</c:v>
                </c:pt>
                <c:pt idx="118">
                  <c:v>4.8597850983183359E-2</c:v>
                </c:pt>
                <c:pt idx="119">
                  <c:v>4.7259805618280512E-2</c:v>
                </c:pt>
                <c:pt idx="120">
                  <c:v>4.5957526247154559E-2</c:v>
                </c:pt>
                <c:pt idx="121">
                  <c:v>4.469009520478906E-2</c:v>
                </c:pt>
                <c:pt idx="122">
                  <c:v>4.3456616944216098E-2</c:v>
                </c:pt>
                <c:pt idx="123">
                  <c:v>4.2256217559926056E-2</c:v>
                </c:pt>
                <c:pt idx="124">
                  <c:v>4.1088044319082286E-2</c:v>
                </c:pt>
                <c:pt idx="125">
                  <c:v>3.9951265200537746E-2</c:v>
                </c:pt>
                <c:pt idx="126">
                  <c:v>3.884506844164283E-2</c:v>
                </c:pt>
                <c:pt idx="127">
                  <c:v>3.7768662092825735E-2</c:v>
                </c:pt>
                <c:pt idx="128">
                  <c:v>3.6721273579918265E-2</c:v>
                </c:pt>
                <c:pt idx="129">
                  <c:v>3.5702149274194177E-2</c:v>
                </c:pt>
                <c:pt idx="130">
                  <c:v>3.4710554070079419E-2</c:v>
                </c:pt>
                <c:pt idx="131">
                  <c:v>3.3745770970489065E-2</c:v>
                </c:pt>
                <c:pt idx="132">
                  <c:v>3.2807100679738514E-2</c:v>
                </c:pt>
                <c:pt idx="133">
                  <c:v>3.1893861203974062E-2</c:v>
                </c:pt>
                <c:pt idx="134">
                  <c:v>3.1005387459060174E-2</c:v>
                </c:pt>
                <c:pt idx="135">
                  <c:v>3.0141030885859631E-2</c:v>
                </c:pt>
                <c:pt idx="136">
                  <c:v>2.9300159072836441E-2</c:v>
                </c:pt>
                <c:pt idx="137">
                  <c:v>2.8482155385909834E-2</c:v>
                </c:pt>
                <c:pt idx="138">
                  <c:v>2.7686418605482817E-2</c:v>
                </c:pt>
                <c:pt idx="139">
                  <c:v>2.6912362570567391E-2</c:v>
                </c:pt>
                <c:pt idx="140">
                  <c:v>2.615941582992479E-2</c:v>
                </c:pt>
                <c:pt idx="141">
                  <c:v>2.5427021300137458E-2</c:v>
                </c:pt>
                <c:pt idx="142">
                  <c:v>2.4714635930527223E-2</c:v>
                </c:pt>
                <c:pt idx="143">
                  <c:v>2.4021730374832382E-2</c:v>
                </c:pt>
                <c:pt idx="144">
                  <c:v>2.3347788669554712E-2</c:v>
                </c:pt>
                <c:pt idx="145">
                  <c:v>2.2692307918886007E-2</c:v>
                </c:pt>
                <c:pt idx="146">
                  <c:v>2.2054797986122782E-2</c:v>
                </c:pt>
                <c:pt idx="147">
                  <c:v>2.1434781191476602E-2</c:v>
                </c:pt>
                <c:pt idx="148">
                  <c:v>2.0831792016186599E-2</c:v>
                </c:pt>
                <c:pt idx="149">
                  <c:v>2.024537681284018E-2</c:v>
                </c:pt>
                <c:pt idx="150">
                  <c:v>1.9675093521807636E-2</c:v>
                </c:pt>
                <c:pt idx="151">
                  <c:v>1.9120511393695246E-2</c:v>
                </c:pt>
                <c:pt idx="152">
                  <c:v>1.8581210717722094E-2</c:v>
                </c:pt>
                <c:pt idx="153">
                  <c:v>1.805678255592515E-2</c:v>
                </c:pt>
                <c:pt idx="154">
                  <c:v>1.7546828483097306E-2</c:v>
                </c:pt>
                <c:pt idx="155">
                  <c:v>1.7050960332362981E-2</c:v>
                </c:pt>
                <c:pt idx="156">
                  <c:v>1.656879994629655E-2</c:v>
                </c:pt>
                <c:pt idx="157">
                  <c:v>1.6099978933488579E-2</c:v>
                </c:pt>
                <c:pt idx="158">
                  <c:v>1.5644138430465276E-2</c:v>
                </c:pt>
                <c:pt idx="159">
                  <c:v>1.5200928868867831E-2</c:v>
                </c:pt>
                <c:pt idx="160">
                  <c:v>1.4770009747797462E-2</c:v>
                </c:pt>
                <c:pt idx="161">
                  <c:v>1.4351049411233661E-2</c:v>
                </c:pt>
                <c:pt idx="162">
                  <c:v>1.3943724830433457E-2</c:v>
                </c:pt>
                <c:pt idx="163">
                  <c:v>1.3547721391219921E-2</c:v>
                </c:pt>
                <c:pt idx="164">
                  <c:v>1.3162732686069356E-2</c:v>
                </c:pt>
                <c:pt idx="165">
                  <c:v>1.2788460310906998E-2</c:v>
                </c:pt>
                <c:pt idx="166">
                  <c:v>1.2424613666522366E-2</c:v>
                </c:pt>
                <c:pt idx="167">
                  <c:v>1.2070909764515761E-2</c:v>
                </c:pt>
                <c:pt idx="168">
                  <c:v>1.1727073037688589E-2</c:v>
                </c:pt>
                <c:pt idx="169">
                  <c:v>1.1392835154791442E-2</c:v>
                </c:pt>
                <c:pt idx="170">
                  <c:v>1.1067934839544156E-2</c:v>
                </c:pt>
                <c:pt idx="171">
                  <c:v>1.0752117693843797E-2</c:v>
                </c:pt>
                <c:pt idx="172">
                  <c:v>1.0445136025077033E-2</c:v>
                </c:pt>
                <c:pt idx="173">
                  <c:v>1.0146748677454668E-2</c:v>
                </c:pt>
                <c:pt idx="174">
                  <c:v>9.8567208672872067E-3</c:v>
                </c:pt>
                <c:pt idx="175">
                  <c:v>9.5748240221212762E-3</c:v>
                </c:pt>
                <c:pt idx="176">
                  <c:v>9.3008356236578237E-3</c:v>
                </c:pt>
                <c:pt idx="177">
                  <c:v>9.0345390543743517E-3</c:v>
                </c:pt>
                <c:pt idx="178">
                  <c:v>8.7757234477743445E-3</c:v>
                </c:pt>
                <c:pt idx="179">
                  <c:v>8.5241835421882017E-3</c:v>
                </c:pt>
                <c:pt idx="180">
                  <c:v>8.2797195380512976E-3</c:v>
                </c:pt>
                <c:pt idx="181">
                  <c:v>8.04213695858573E-3</c:v>
                </c:pt>
                <c:pt idx="182">
                  <c:v>7.8112465138137112E-3</c:v>
                </c:pt>
                <c:pt idx="183">
                  <c:v>7.5868639678313447E-3</c:v>
                </c:pt>
                <c:pt idx="184">
                  <c:v>7.3688100092729738E-3</c:v>
                </c:pt>
                <c:pt idx="185">
                  <c:v>7.1569101248975661E-3</c:v>
                </c:pt>
                <c:pt idx="186">
                  <c:v>6.9509944762291571E-3</c:v>
                </c:pt>
                <c:pt idx="187">
                  <c:v>6.7508977791852732E-3</c:v>
                </c:pt>
                <c:pt idx="188">
                  <c:v>6.5564591866276853E-3</c:v>
                </c:pt>
                <c:pt idx="189">
                  <c:v>6.3675221737716295E-3</c:v>
                </c:pt>
                <c:pt idx="190">
                  <c:v>6.183934426390242E-3</c:v>
                </c:pt>
                <c:pt idx="191">
                  <c:v>6.0055477317523306E-3</c:v>
                </c:pt>
                <c:pt idx="192">
                  <c:v>5.8322178722327138E-3</c:v>
                </c:pt>
                <c:pt idx="193">
                  <c:v>5.6638045215354005E-3</c:v>
                </c:pt>
                <c:pt idx="194">
                  <c:v>5.5001711434709433E-3</c:v>
                </c:pt>
                <c:pt idx="195">
                  <c:v>5.3411848932306341E-3</c:v>
                </c:pt>
                <c:pt idx="196">
                  <c:v>5.1867165211008292E-3</c:v>
                </c:pt>
                <c:pt idx="197">
                  <c:v>5.036640278562288E-3</c:v>
                </c:pt>
                <c:pt idx="198">
                  <c:v>4.8908338267200603E-3</c:v>
                </c:pt>
                <c:pt idx="199">
                  <c:v>4.749178147010734E-3</c:v>
                </c:pt>
                <c:pt idx="200">
                  <c:v>4.6115574541347078E-3</c:v>
                </c:pt>
                <c:pt idx="201">
                  <c:v>4.477859111162461E-3</c:v>
                </c:pt>
                <c:pt idx="202">
                  <c:v>4.3479735467644252E-3</c:v>
                </c:pt>
                <c:pt idx="203">
                  <c:v>4.2217941745153285E-3</c:v>
                </c:pt>
                <c:pt idx="204">
                  <c:v>4.0992173142248966E-3</c:v>
                </c:pt>
                <c:pt idx="205">
                  <c:v>3.9801421152474738E-3</c:v>
                </c:pt>
                <c:pt idx="206">
                  <c:v>3.8644704817244239E-3</c:v>
                </c:pt>
                <c:pt idx="207">
                  <c:v>3.7521069997139365E-3</c:v>
                </c:pt>
                <c:pt idx="208">
                  <c:v>3.6429588661637531E-3</c:v>
                </c:pt>
                <c:pt idx="209">
                  <c:v>3.5369358196834441E-3</c:v>
                </c:pt>
                <c:pt idx="210">
                  <c:v>3.4339500730735566E-3</c:v>
                </c:pt>
                <c:pt idx="211">
                  <c:v>3.333916247569985E-3</c:v>
                </c:pt>
                <c:pt idx="212">
                  <c:v>3.2367513087626916E-3</c:v>
                </c:pt>
                <c:pt idx="213">
                  <c:v>3.1423745041488883E-3</c:v>
                </c:pt>
                <c:pt idx="214">
                  <c:v>3.0507073022815962E-3</c:v>
                </c:pt>
                <c:pt idx="215">
                  <c:v>2.9616733334751569E-3</c:v>
                </c:pt>
                <c:pt idx="216">
                  <c:v>2.8751983320304403E-3</c:v>
                </c:pt>
                <c:pt idx="217">
                  <c:v>2.7912100799430202E-3</c:v>
                </c:pt>
                <c:pt idx="218">
                  <c:v>2.7096383520584574E-3</c:v>
                </c:pt>
                <c:pt idx="219">
                  <c:v>2.6304148626396916E-3</c:v>
                </c:pt>
                <c:pt idx="220">
                  <c:v>2.5534732133121671E-3</c:v>
                </c:pt>
                <c:pt idx="221">
                  <c:v>2.4787488423532746E-3</c:v>
                </c:pt>
                <c:pt idx="222">
                  <c:v>2.4061789752931732E-3</c:v>
                </c:pt>
                <c:pt idx="223">
                  <c:v>2.3357025767950326E-3</c:v>
                </c:pt>
                <c:pt idx="224">
                  <c:v>2.2672603037832504E-3</c:v>
                </c:pt>
                <c:pt idx="225">
                  <c:v>2.2007944597891211E-3</c:v>
                </c:pt>
                <c:pt idx="226">
                  <c:v>2.1362489504838022E-3</c:v>
                </c:pt>
                <c:pt idx="227">
                  <c:v>2.0735692403694803E-3</c:v>
                </c:pt>
                <c:pt idx="228">
                  <c:v>2.0127023105999675E-3</c:v>
                </c:pt>
                <c:pt idx="229">
                  <c:v>1.9535966179028454E-3</c:v>
                </c:pt>
                <c:pt idx="230">
                  <c:v>1.8962020545757556E-3</c:v>
                </c:pt>
                <c:pt idx="231">
                  <c:v>1.8404699095301593E-3</c:v>
                </c:pt>
                <c:pt idx="232">
                  <c:v>1.7863528303564294E-3</c:v>
                </c:pt>
                <c:pt idx="233">
                  <c:v>1.733804786384829E-3</c:v>
                </c:pt>
                <c:pt idx="234">
                  <c:v>1.6827810327174305E-3</c:v>
                </c:pt>
                <c:pt idx="235">
                  <c:v>1.6332380752066137E-3</c:v>
                </c:pt>
                <c:pt idx="236">
                  <c:v>1.5851336363564474E-3</c:v>
                </c:pt>
                <c:pt idx="237">
                  <c:v>1.5384266221236981E-3</c:v>
                </c:pt>
                <c:pt idx="238">
                  <c:v>1.4930770895957839E-3</c:v>
                </c:pt>
                <c:pt idx="239">
                  <c:v>1.4490462155235628E-3</c:v>
                </c:pt>
                <c:pt idx="240">
                  <c:v>1.4062962656873443E-3</c:v>
                </c:pt>
                <c:pt idx="241">
                  <c:v>1.3647905650749801E-3</c:v>
                </c:pt>
                <c:pt idx="242">
                  <c:v>1.3244934688514708E-3</c:v>
                </c:pt>
                <c:pt idx="243">
                  <c:v>1.2853703340999412E-3</c:v>
                </c:pt>
                <c:pt idx="244">
                  <c:v>1.2473874923143577E-3</c:v>
                </c:pt>
                <c:pt idx="245">
                  <c:v>1.210512222624823E-3</c:v>
                </c:pt>
                <c:pt idx="246">
                  <c:v>1.1747127257367201E-3</c:v>
                </c:pt>
                <c:pt idx="247">
                  <c:v>1.1399580985654591E-3</c:v>
                </c:pt>
                <c:pt idx="248">
                  <c:v>1.1062183095489951E-3</c:v>
                </c:pt>
                <c:pt idx="249">
                  <c:v>1.073464174620726E-3</c:v>
                </c:pt>
                <c:pt idx="250">
                  <c:v>1.0416673338258027E-3</c:v>
                </c:pt>
                <c:pt idx="251">
                  <c:v>1.0108002285642759E-3</c:v>
                </c:pt>
                <c:pt idx="252">
                  <c:v>9.8083607944492689E-4</c:v>
                </c:pt>
                <c:pt idx="253">
                  <c:v>9.517488647340336E-4</c:v>
                </c:pt>
                <c:pt idx="254">
                  <c:v>9.235132993836503E-4</c:v>
                </c:pt>
                <c:pt idx="255">
                  <c:v>8.9610481462444136E-4</c:v>
                </c:pt>
                <c:pt idx="256">
                  <c:v>8.6949953810838102E-4</c:v>
                </c:pt>
                <c:pt idx="257">
                  <c:v>8.4367427458709892E-4</c:v>
                </c:pt>
                <c:pt idx="258">
                  <c:v>8.1860648711189546E-4</c:v>
                </c:pt>
                <c:pt idx="259">
                  <c:v>7.9427427874185423E-4</c:v>
                </c:pt>
                <c:pt idx="260">
                  <c:v>7.7065637474682926E-4</c:v>
                </c:pt>
                <c:pt idx="261">
                  <c:v>7.47732105292355E-4</c:v>
                </c:pt>
                <c:pt idx="262">
                  <c:v>7.254813885938982E-4</c:v>
                </c:pt>
                <c:pt idx="263">
                  <c:v>7.0388471452816331E-4</c:v>
                </c:pt>
                <c:pt idx="264">
                  <c:v>6.8292312868946045E-4</c:v>
                </c:pt>
                <c:pt idx="265">
                  <c:v>6.6257821687946473E-4</c:v>
                </c:pt>
                <c:pt idx="266">
                  <c:v>6.428320900189956E-4</c:v>
                </c:pt>
                <c:pt idx="267">
                  <c:v>6.2366736947066061E-4</c:v>
                </c:pt>
                <c:pt idx="268">
                  <c:v>6.05067172761604E-4</c:v>
                </c:pt>
                <c:pt idx="269">
                  <c:v>5.8701509969575315E-4</c:v>
                </c:pt>
                <c:pt idx="270">
                  <c:v>5.6949521884532212E-4</c:v>
                </c:pt>
                <c:pt idx="271">
                  <c:v>5.5249205441148402E-4</c:v>
                </c:pt>
                <c:pt idx="272">
                  <c:v>5.3599057344452523E-4</c:v>
                </c:pt>
                <c:pt idx="273">
                  <c:v>5.1997617341386694E-4</c:v>
                </c:pt>
                <c:pt idx="274">
                  <c:v>5.0443467011872961E-4</c:v>
                </c:pt>
                <c:pt idx="275">
                  <c:v>4.8935228593035933E-4</c:v>
                </c:pt>
                <c:pt idx="276">
                  <c:v>4.7471563835702291E-4</c:v>
                </c:pt>
                <c:pt idx="277">
                  <c:v>4.6051172892315608E-4</c:v>
                </c:pt>
                <c:pt idx="278">
                  <c:v>4.4672793235429984E-4</c:v>
                </c:pt>
                <c:pt idx="279">
                  <c:v>4.3335198605966421E-4</c:v>
                </c:pt>
                <c:pt idx="280">
                  <c:v>4.2037197990438144E-4</c:v>
                </c:pt>
                <c:pt idx="281">
                  <c:v>4.0777634626366807E-4</c:v>
                </c:pt>
                <c:pt idx="282">
                  <c:v>3.9555385035139264E-4</c:v>
                </c:pt>
                <c:pt idx="283">
                  <c:v>3.8369358081565203E-4</c:v>
                </c:pt>
                <c:pt idx="284">
                  <c:v>3.721849405942305E-4</c:v>
                </c:pt>
                <c:pt idx="285">
                  <c:v>3.6101763802292804E-4</c:v>
                </c:pt>
                <c:pt idx="286">
                  <c:v>3.5018167818998917E-4</c:v>
                </c:pt>
                <c:pt idx="287">
                  <c:v>3.3966735452998126E-4</c:v>
                </c:pt>
                <c:pt idx="288">
                  <c:v>3.2946524065070572E-4</c:v>
                </c:pt>
                <c:pt idx="289">
                  <c:v>3.1956618238681845E-4</c:v>
                </c:pt>
                <c:pt idx="290">
                  <c:v>3.0996129007406718E-4</c:v>
                </c:pt>
                <c:pt idx="291">
                  <c:v>3.0064193103817807E-4</c:v>
                </c:pt>
                <c:pt idx="292">
                  <c:v>2.9159972229258644E-4</c:v>
                </c:pt>
                <c:pt idx="293">
                  <c:v>2.8282652343934321E-4</c:v>
                </c:pt>
                <c:pt idx="294">
                  <c:v>2.7431442976771746E-4</c:v>
                </c:pt>
                <c:pt idx="295">
                  <c:v>2.6605576554510513E-4</c:v>
                </c:pt>
                <c:pt idx="296">
                  <c:v>2.5804307749505118E-4</c:v>
                </c:pt>
                <c:pt idx="297">
                  <c:v>2.5026912845726274E-4</c:v>
                </c:pt>
                <c:pt idx="298">
                  <c:v>2.4272689122470216E-4</c:v>
                </c:pt>
                <c:pt idx="299">
                  <c:v>2.3540954255291339E-4</c:v>
                </c:pt>
                <c:pt idx="300">
                  <c:v>2.2831045733689162E-4</c:v>
                </c:pt>
                <c:pt idx="301">
                  <c:v>2.2142320295093424E-4</c:v>
                </c:pt>
                <c:pt idx="302">
                  <c:v>2.147415337470157E-4</c:v>
                </c:pt>
                <c:pt idx="303">
                  <c:v>2.0825938570735611E-4</c:v>
                </c:pt>
                <c:pt idx="304">
                  <c:v>2.0197087124697075E-4</c:v>
                </c:pt>
                <c:pt idx="305">
                  <c:v>1.9587027416208657E-4</c:v>
                </c:pt>
                <c:pt idx="306">
                  <c:v>1.8995204472043969E-4</c:v>
                </c:pt>
                <c:pt idx="307">
                  <c:v>1.8421079488954633E-4</c:v>
                </c:pt>
                <c:pt idx="308">
                  <c:v>1.7864129369918685E-4</c:v>
                </c:pt>
                <c:pt idx="309">
                  <c:v>1.7323846273438598E-4</c:v>
                </c:pt>
                <c:pt idx="310">
                  <c:v>1.6799737175532625E-4</c:v>
                </c:pt>
                <c:pt idx="311">
                  <c:v>1.629132344406855E-4</c:v>
                </c:pt>
                <c:pt idx="312">
                  <c:v>1.579814042510121E-4</c:v>
                </c:pt>
                <c:pt idx="313">
                  <c:v>1.5319737040881586E-4</c:v>
                </c:pt>
                <c:pt idx="314">
                  <c:v>1.4855675399217007E-4</c:v>
                </c:pt>
                <c:pt idx="315">
                  <c:v>1.4405530413868096E-4</c:v>
                </c:pt>
                <c:pt idx="316">
                  <c:v>1.3968889435677669E-4</c:v>
                </c:pt>
                <c:pt idx="317">
                  <c:v>1.3545351894135233E-4</c:v>
                </c:pt>
                <c:pt idx="318">
                  <c:v>1.3134528949087902E-4</c:v>
                </c:pt>
                <c:pt idx="319">
                  <c:v>1.2736043152316863E-4</c:v>
                </c:pt>
                <c:pt idx="320">
                  <c:v>1.2349528118706465E-4</c:v>
                </c:pt>
                <c:pt idx="321">
                  <c:v>1.1974628206738676E-4</c:v>
                </c:pt>
                <c:pt idx="322">
                  <c:v>1.1610998208055176E-4</c:v>
                </c:pt>
                <c:pt idx="323">
                  <c:v>1.1258303045834754E-4</c:v>
                </c:pt>
                <c:pt idx="324">
                  <c:v>1.0916217481740983E-4</c:v>
                </c:pt>
                <c:pt idx="325">
                  <c:v>1.0584425831201549E-4</c:v>
                </c:pt>
                <c:pt idx="326">
                  <c:v>1.0262621686787337E-4</c:v>
                </c:pt>
                <c:pt idx="327">
                  <c:v>9.9505076494660666E-5</c:v>
                </c:pt>
                <c:pt idx="328">
                  <c:v>9.647795067510055E-5</c:v>
                </c:pt>
                <c:pt idx="329">
                  <c:v>9.3542037828451885E-5</c:v>
                </c:pt>
                <c:pt idx="330">
                  <c:v>9.0694618846329537E-5</c:v>
                </c:pt>
                <c:pt idx="331">
                  <c:v>8.7933054698836836E-5</c:v>
                </c:pt>
                <c:pt idx="332">
                  <c:v>8.5254784109041118E-5</c:v>
                </c:pt>
                <c:pt idx="333">
                  <c:v>8.2657321293880395E-5</c:v>
                </c:pt>
                <c:pt idx="334">
                  <c:v>8.0138253769643656E-5</c:v>
                </c:pt>
                <c:pt idx="335">
                  <c:v>7.769524022020879E-5</c:v>
                </c:pt>
                <c:pt idx="336">
                  <c:v>7.5326008426286514E-5</c:v>
                </c:pt>
                <c:pt idx="337">
                  <c:v>7.3028353253951989E-5</c:v>
                </c:pt>
                <c:pt idx="338">
                  <c:v>7.0800134700799139E-5</c:v>
                </c:pt>
                <c:pt idx="339">
                  <c:v>6.8639275998103513E-5</c:v>
                </c:pt>
                <c:pt idx="340">
                  <c:v>6.6543761767413637E-5</c:v>
                </c:pt>
                <c:pt idx="341">
                  <c:v>6.4511636230039674E-5</c:v>
                </c:pt>
                <c:pt idx="342">
                  <c:v>6.2541001467954335E-5</c:v>
                </c:pt>
                <c:pt idx="343">
                  <c:v>6.063001573465208E-5</c:v>
                </c:pt>
                <c:pt idx="344">
                  <c:v>5.877689181455939E-5</c:v>
                </c:pt>
                <c:pt idx="345">
                  <c:v>5.6979895429626948E-5</c:v>
                </c:pt>
                <c:pt idx="346">
                  <c:v>5.5237343691774774E-5</c:v>
                </c:pt>
                <c:pt idx="347">
                  <c:v>5.3547603599885576E-5</c:v>
                </c:pt>
                <c:pt idx="348">
                  <c:v>5.1909090580098944E-5</c:v>
                </c:pt>
                <c:pt idx="349">
                  <c:v>5.0320267068170712E-5</c:v>
                </c:pt>
                <c:pt idx="350">
                  <c:v>4.8779641132713619E-5</c:v>
                </c:pt>
                <c:pt idx="351">
                  <c:v>4.7285765138160335E-5</c:v>
                </c:pt>
                <c:pt idx="352">
                  <c:v>4.583723444631785E-5</c:v>
                </c:pt>
                <c:pt idx="353">
                  <c:v>4.4432686155427579E-5</c:v>
                </c:pt>
                <c:pt idx="354">
                  <c:v>4.307079787565894E-5</c:v>
                </c:pt>
                <c:pt idx="355">
                  <c:v>4.1750286540004545E-5</c:v>
                </c:pt>
                <c:pt idx="356">
                  <c:v>4.046990724957433E-5</c:v>
                </c:pt>
                <c:pt idx="357">
                  <c:v>3.9228452152305165E-5</c:v>
                </c:pt>
                <c:pt idx="358">
                  <c:v>3.8024749354139267E-5</c:v>
                </c:pt>
                <c:pt idx="359">
                  <c:v>3.6857661861745264E-5</c:v>
                </c:pt>
                <c:pt idx="360">
                  <c:v>3.5726086555885252E-5</c:v>
                </c:pt>
                <c:pt idx="361">
                  <c:v>3.4628953194552241E-5</c:v>
                </c:pt>
                <c:pt idx="362">
                  <c:v>3.3565223445031827E-5</c:v>
                </c:pt>
                <c:pt idx="363">
                  <c:v>3.2533889944058207E-5</c:v>
                </c:pt>
                <c:pt idx="364">
                  <c:v>3.1533975385269329E-5</c:v>
                </c:pt>
                <c:pt idx="365">
                  <c:v>3.0564531633174292E-5</c:v>
                </c:pt>
                <c:pt idx="366">
                  <c:v>2.9624638862880139E-5</c:v>
                </c:pt>
                <c:pt idx="367">
                  <c:v>2.8713404724839323E-5</c:v>
                </c:pt>
                <c:pt idx="368">
                  <c:v>2.7829963533900931E-5</c:v>
                </c:pt>
                <c:pt idx="369">
                  <c:v>2.6973475481972759E-5</c:v>
                </c:pt>
                <c:pt idx="370">
                  <c:v>2.6143125873615134E-5</c:v>
                </c:pt>
                <c:pt idx="371">
                  <c:v>2.5338124383910188E-5</c:v>
                </c:pt>
                <c:pt idx="372">
                  <c:v>2.4557704337966757E-5</c:v>
                </c:pt>
                <c:pt idx="373">
                  <c:v>2.3801122011443281E-5</c:v>
                </c:pt>
                <c:pt idx="374">
                  <c:v>2.3067655951480183E-5</c:v>
                </c:pt>
                <c:pt idx="375">
                  <c:v>2.235660631745965E-5</c:v>
                </c:pt>
                <c:pt idx="376">
                  <c:v>2.1667294241020652E-5</c:v>
                </c:pt>
                <c:pt idx="377">
                  <c:v>2.099906120477626E-5</c:v>
                </c:pt>
                <c:pt idx="378">
                  <c:v>2.0351268439195147E-5</c:v>
                </c:pt>
                <c:pt idx="379">
                  <c:v>1.9723296337124063E-5</c:v>
                </c:pt>
                <c:pt idx="380">
                  <c:v>1.9114543885442055E-5</c:v>
                </c:pt>
                <c:pt idx="381">
                  <c:v>1.8524428113355619E-5</c:v>
                </c:pt>
                <c:pt idx="382">
                  <c:v>1.795238355685115E-5</c:v>
                </c:pt>
                <c:pt idx="383">
                  <c:v>1.7397861738842125E-5</c:v>
                </c:pt>
                <c:pt idx="384">
                  <c:v>1.6860330664554238E-5</c:v>
                </c:pt>
                <c:pt idx="385">
                  <c:v>1.6339274331712868E-5</c:v>
                </c:pt>
                <c:pt idx="386">
                  <c:v>1.5834192255099764E-5</c:v>
                </c:pt>
                <c:pt idx="387">
                  <c:v>1.534459900506898E-5</c:v>
                </c:pt>
                <c:pt idx="388">
                  <c:v>1.4870023759613585E-5</c:v>
                </c:pt>
                <c:pt idx="389">
                  <c:v>1.4410009869594312E-5</c:v>
                </c:pt>
                <c:pt idx="390">
                  <c:v>1.3964114436747259E-5</c:v>
                </c:pt>
                <c:pt idx="391">
                  <c:v>1.3531907904100314E-5</c:v>
                </c:pt>
                <c:pt idx="392">
                  <c:v>1.3112973658440232E-5</c:v>
                </c:pt>
                <c:pt idx="393">
                  <c:v>1.2706907644478983E-5</c:v>
                </c:pt>
                <c:pt idx="394">
                  <c:v>1.2313317990381172E-5</c:v>
                </c:pt>
                <c:pt idx="395">
                  <c:v>1.193182464432165E-5</c:v>
                </c:pt>
                <c:pt idx="396">
                  <c:v>1.1562059021754481E-5</c:v>
                </c:pt>
                <c:pt idx="397">
                  <c:v>1.1203663663080435E-5</c:v>
                </c:pt>
                <c:pt idx="398">
                  <c:v>1.0856291901411705E-5</c:v>
                </c:pt>
                <c:pt idx="399">
                  <c:v>1.051960754013982E-5</c:v>
                </c:pt>
                <c:pt idx="400">
                  <c:v>1.0193284540020945E-5</c:v>
                </c:pt>
                <c:pt idx="401">
                  <c:v>9.8770067155029169E-6</c:v>
                </c:pt>
                <c:pt idx="402">
                  <c:v>9.5704674400230356E-6</c:v>
                </c:pt>
                <c:pt idx="403">
                  <c:v>9.2733693600167702E-6</c:v>
                </c:pt>
                <c:pt idx="404">
                  <c:v>8.9854241173816202E-6</c:v>
                </c:pt>
                <c:pt idx="405">
                  <c:v>8.7063520801518739E-6</c:v>
                </c:pt>
                <c:pt idx="406">
                  <c:v>8.4358820811420505E-6</c:v>
                </c:pt>
                <c:pt idx="407">
                  <c:v>8.1737511643283056E-6</c:v>
                </c:pt>
                <c:pt idx="408">
                  <c:v>7.9197043387410022E-6</c:v>
                </c:pt>
                <c:pt idx="409">
                  <c:v>7.6734943396484878E-6</c:v>
                </c:pt>
                <c:pt idx="410">
                  <c:v>7.4348813968199885E-6</c:v>
                </c:pt>
                <c:pt idx="411">
                  <c:v>7.2036330096594606E-6</c:v>
                </c:pt>
                <c:pt idx="412">
                  <c:v>6.9795237290101185E-6</c:v>
                </c:pt>
                <c:pt idx="413">
                  <c:v>6.762334945433545E-6</c:v>
                </c:pt>
                <c:pt idx="414">
                  <c:v>6.5518546837748758E-6</c:v>
                </c:pt>
                <c:pt idx="415">
                  <c:v>6.347877403828262E-6</c:v>
                </c:pt>
                <c:pt idx="416">
                  <c:v>6.1502038069254797E-6</c:v>
                </c:pt>
                <c:pt idx="417">
                  <c:v>5.9586406482724338E-6</c:v>
                </c:pt>
                <c:pt idx="418">
                  <c:v>5.7730005548660028E-6</c:v>
                </c:pt>
                <c:pt idx="419">
                  <c:v>5.5931018488265625E-6</c:v>
                </c:pt>
                <c:pt idx="420">
                  <c:v>5.418768375987924E-6</c:v>
                </c:pt>
                <c:pt idx="421">
                  <c:v>5.2498293395894569E-6</c:v>
                </c:pt>
                <c:pt idx="422">
                  <c:v>5.0861191389208545E-6</c:v>
                </c:pt>
                <c:pt idx="423">
                  <c:v>4.9274772127737864E-6</c:v>
                </c:pt>
                <c:pt idx="424">
                  <c:v>4.773747887558926E-6</c:v>
                </c:pt>
                <c:pt idx="425">
                  <c:v>4.6247802299512336E-6</c:v>
                </c:pt>
                <c:pt idx="426">
                  <c:v>4.4804279039296979E-6</c:v>
                </c:pt>
                <c:pt idx="427">
                  <c:v>4.3405490320828104E-6</c:v>
                </c:pt>
                <c:pt idx="428">
                  <c:v>4.2050060610532075E-6</c:v>
                </c:pt>
                <c:pt idx="429">
                  <c:v>4.0736656310001101E-6</c:v>
                </c:pt>
                <c:pt idx="430">
                  <c:v>3.9463984489607119E-6</c:v>
                </c:pt>
                <c:pt idx="431">
                  <c:v>3.8230791659953065E-6</c:v>
                </c:pt>
                <c:pt idx="432">
                  <c:v>3.7035862580051634E-6</c:v>
                </c:pt>
                <c:pt idx="433">
                  <c:v>3.5878019101136063E-6</c:v>
                </c:pt>
                <c:pt idx="434">
                  <c:v>3.4756119045058796E-6</c:v>
                </c:pt>
                <c:pt idx="435">
                  <c:v>3.3669055116253353E-6</c:v>
                </c:pt>
                <c:pt idx="436">
                  <c:v>3.2615753846263909E-6</c:v>
                </c:pt>
                <c:pt idx="437">
                  <c:v>3.1595174569882399E-6</c:v>
                </c:pt>
                <c:pt idx="438">
                  <c:v>3.0606308431956686E-6</c:v>
                </c:pt>
                <c:pt idx="439">
                  <c:v>2.9648177423961897E-6</c:v>
                </c:pt>
                <c:pt idx="440">
                  <c:v>2.8719833449451612E-6</c:v>
                </c:pt>
                <c:pt idx="441">
                  <c:v>2.7820357417537066E-6</c:v>
                </c:pt>
                <c:pt idx="442">
                  <c:v>2.6948858363557688E-6</c:v>
                </c:pt>
                <c:pt idx="443">
                  <c:v>2.6104472596142378E-6</c:v>
                </c:pt>
                <c:pt idx="444">
                  <c:v>2.5286362869876412E-6</c:v>
                </c:pt>
                <c:pt idx="445">
                  <c:v>2.4493717582810308E-6</c:v>
                </c:pt>
                <c:pt idx="446">
                  <c:v>2.3725749998080978E-6</c:v>
                </c:pt>
                <c:pt idx="447">
                  <c:v>2.298169748892025E-6</c:v>
                </c:pt>
                <c:pt idx="448">
                  <c:v>2.2260820806363212E-6</c:v>
                </c:pt>
                <c:pt idx="449">
                  <c:v>2.1562403368975754E-6</c:v>
                </c:pt>
                <c:pt idx="450">
                  <c:v>2.0885750573950988E-6</c:v>
                </c:pt>
                <c:pt idx="451">
                  <c:v>2.0230189128936036E-6</c:v>
                </c:pt>
                <c:pt idx="452">
                  <c:v>1.9595066403972618E-6</c:v>
                </c:pt>
                <c:pt idx="453">
                  <c:v>1.8979749802954569E-6</c:v>
                </c:pt>
                <c:pt idx="454">
                  <c:v>1.8383626154017857E-6</c:v>
                </c:pt>
                <c:pt idx="455">
                  <c:v>1.7806101118302057E-6</c:v>
                </c:pt>
                <c:pt idx="456">
                  <c:v>1.7246598616533076E-6</c:v>
                </c:pt>
                <c:pt idx="457">
                  <c:v>1.6704560272898155E-6</c:v>
                </c:pt>
                <c:pt idx="458">
                  <c:v>1.6179444875694835E-6</c:v>
                </c:pt>
                <c:pt idx="459">
                  <c:v>1.567072785425592E-6</c:v>
                </c:pt>
                <c:pt idx="460">
                  <c:v>1.5177900771662381E-6</c:v>
                </c:pt>
                <c:pt idx="461">
                  <c:v>1.4700470832773619E-6</c:v>
                </c:pt>
                <c:pt idx="462">
                  <c:v>1.4237960407118417E-6</c:v>
                </c:pt>
                <c:pt idx="463">
                  <c:v>1.3789906566200606E-6</c:v>
                </c:pt>
                <c:pt idx="464">
                  <c:v>1.3355860634789793E-6</c:v>
                </c:pt>
                <c:pt idx="465">
                  <c:v>1.2935387755778744E-6</c:v>
                </c:pt>
                <c:pt idx="466">
                  <c:v>1.2528066468200783E-6</c:v>
                </c:pt>
                <c:pt idx="467">
                  <c:v>1.2133488298014997E-6</c:v>
                </c:pt>
                <c:pt idx="468">
                  <c:v>1.1751257361274439E-6</c:v>
                </c:pt>
                <c:pt idx="469">
                  <c:v>1.1380989979309318E-6</c:v>
                </c:pt>
                <c:pt idx="470">
                  <c:v>1.1022314305562642E-6</c:v>
                </c:pt>
                <c:pt idx="471">
                  <c:v>1.0674869963731261E-6</c:v>
                </c:pt>
                <c:pt idx="472">
                  <c:v>1.0338307696871092E-6</c:v>
                </c:pt>
                <c:pt idx="473">
                  <c:v>1.001228902714002E-6</c:v>
                </c:pt>
                <c:pt idx="474">
                  <c:v>9.6964859258573819E-7</c:v>
                </c:pt>
                <c:pt idx="475">
                  <c:v>9.3905804935711577E-7</c:v>
                </c:pt>
                <c:pt idx="476">
                  <c:v>9.0942646498329736E-7</c:v>
                </c:pt>
                <c:pt idx="477">
                  <c:v>8.80723983238794E-7</c:v>
                </c:pt>
                <c:pt idx="478">
                  <c:v>8.5292167054978565E-7</c:v>
                </c:pt>
                <c:pt idx="479">
                  <c:v>8.2599148771221394E-7</c:v>
                </c:pt>
                <c:pt idx="480">
                  <c:v>7.9990626246907786E-7</c:v>
                </c:pt>
                <c:pt idx="481">
                  <c:v>7.7463966292111386E-7</c:v>
                </c:pt>
                <c:pt idx="482">
                  <c:v>7.5016617174566315E-7</c:v>
                </c:pt>
                <c:pt idx="483">
                  <c:v>7.2646106119955285E-7</c:v>
                </c:pt>
                <c:pt idx="484">
                  <c:v>7.0350036888228146E-7</c:v>
                </c:pt>
                <c:pt idx="485">
                  <c:v>6.8126087423665624E-7</c:v>
                </c:pt>
                <c:pt idx="486">
                  <c:v>6.5972007576460911E-7</c:v>
                </c:pt>
                <c:pt idx="487">
                  <c:v>6.3885616893676779E-7</c:v>
                </c:pt>
                <c:pt idx="488">
                  <c:v>6.1864802477465052E-7</c:v>
                </c:pt>
                <c:pt idx="489">
                  <c:v>5.9907516908540267E-7</c:v>
                </c:pt>
                <c:pt idx="490">
                  <c:v>5.8011776232929371E-7</c:v>
                </c:pt>
                <c:pt idx="491">
                  <c:v>5.6175658010085781E-7</c:v>
                </c:pt>
                <c:pt idx="492">
                  <c:v>5.4397299420520196E-7</c:v>
                </c:pt>
                <c:pt idx="493">
                  <c:v>5.2674895431151383E-7</c:v>
                </c:pt>
                <c:pt idx="494">
                  <c:v>5.1006697016622496E-7</c:v>
                </c:pt>
                <c:pt idx="495">
                  <c:v>4.9391009434910159E-7</c:v>
                </c:pt>
                <c:pt idx="496">
                  <c:v>4.7826190555566518E-7</c:v>
                </c:pt>
                <c:pt idx="497">
                  <c:v>4.6310649239013226E-7</c:v>
                </c:pt>
                <c:pt idx="498">
                  <c:v>4.4842843765341254E-7</c:v>
                </c:pt>
                <c:pt idx="499">
                  <c:v>4.3421280311116029E-7</c:v>
                </c:pt>
                <c:pt idx="500">
                  <c:v>4.2044511472737895E-7</c:v>
                </c:pt>
                <c:pt idx="501">
                  <c:v>4.0711134834944002E-7</c:v>
                </c:pt>
                <c:pt idx="502">
                  <c:v>3.9419791583089785E-7</c:v>
                </c:pt>
                <c:pt idx="503">
                  <c:v>3.816916515787912E-7</c:v>
                </c:pt>
                <c:pt idx="504">
                  <c:v>3.6957979951258751E-7</c:v>
                </c:pt>
                <c:pt idx="505">
                  <c:v>3.5785000042225984E-7</c:v>
                </c:pt>
                <c:pt idx="506">
                  <c:v>3.464902797134634E-7</c:v>
                </c:pt>
                <c:pt idx="507">
                  <c:v>3.3548903552795817E-7</c:v>
                </c:pt>
                <c:pt idx="508">
                  <c:v>3.2483502722799417E-7</c:v>
                </c:pt>
                <c:pt idx="509">
                  <c:v>3.1451736423355912E-7</c:v>
                </c:pt>
                <c:pt idx="510">
                  <c:v>3.0452549520174689E-7</c:v>
                </c:pt>
                <c:pt idx="511">
                  <c:v>2.9484919753793826E-7</c:v>
                </c:pt>
                <c:pt idx="512">
                  <c:v>2.8547856722862846E-7</c:v>
                </c:pt>
                <c:pt idx="513">
                  <c:v>2.764040089861535E-7</c:v>
                </c:pt>
                <c:pt idx="514">
                  <c:v>2.6761622669586518E-7</c:v>
                </c:pt>
                <c:pt idx="515">
                  <c:v>2.5910621415649085E-7</c:v>
                </c:pt>
                <c:pt idx="516">
                  <c:v>2.5086524610481915E-7</c:v>
                </c:pt>
                <c:pt idx="517">
                  <c:v>2.4288486951602946E-7</c:v>
                </c:pt>
                <c:pt idx="518">
                  <c:v>2.3515689517126816E-7</c:v>
                </c:pt>
                <c:pt idx="519">
                  <c:v>2.2767338948434536E-7</c:v>
                </c:pt>
                <c:pt idx="520">
                  <c:v>2.2042666657966853E-7</c:v>
                </c:pt>
                <c:pt idx="521">
                  <c:v>2.1340928061373621E-7</c:v>
                </c:pt>
                <c:pt idx="522">
                  <c:v>2.0661401833277784E-7</c:v>
                </c:pt>
                <c:pt idx="523">
                  <c:v>2.0003389185934471E-7</c:v>
                </c:pt>
                <c:pt idx="524">
                  <c:v>1.936621317008623E-7</c:v>
                </c:pt>
                <c:pt idx="525">
                  <c:v>1.8749217997337271E-7</c:v>
                </c:pt>
                <c:pt idx="526">
                  <c:v>1.8151768383391742E-7</c:v>
                </c:pt>
                <c:pt idx="527">
                  <c:v>1.7573248911515117E-7</c:v>
                </c:pt>
                <c:pt idx="528">
                  <c:v>1.701306341560695E-7</c:v>
                </c:pt>
                <c:pt idx="529">
                  <c:v>1.6470634382279771E-7</c:v>
                </c:pt>
                <c:pt idx="530">
                  <c:v>1.5945402371369206E-7</c:v>
                </c:pt>
                <c:pt idx="531">
                  <c:v>1.5436825454307286E-7</c:v>
                </c:pt>
                <c:pt idx="532">
                  <c:v>1.494437866981642E-7</c:v>
                </c:pt>
                <c:pt idx="533">
                  <c:v>1.4467553496391698E-7</c:v>
                </c:pt>
                <c:pt idx="534">
                  <c:v>1.4005857341060535E-7</c:v>
                </c:pt>
                <c:pt idx="535">
                  <c:v>1.3558813043918606E-7</c:v>
                </c:pt>
                <c:pt idx="536">
                  <c:v>1.3125958397962647E-7</c:v>
                </c:pt>
                <c:pt idx="537">
                  <c:v>1.2706845683748871E-7</c:v>
                </c:pt>
                <c:pt idx="538">
                  <c:v>1.2301041218424025E-7</c:v>
                </c:pt>
                <c:pt idx="539">
                  <c:v>1.1908124918690414E-7</c:v>
                </c:pt>
                <c:pt idx="540">
                  <c:v>1.1527689877274566E-7</c:v>
                </c:pt>
                <c:pt idx="541">
                  <c:v>1.115934195248918E-7</c:v>
                </c:pt>
                <c:pt idx="542">
                  <c:v>1.0802699370484475E-7</c:v>
                </c:pt>
                <c:pt idx="543">
                  <c:v>1.0457392339800375E-7</c:v>
                </c:pt>
                <c:pt idx="544">
                  <c:v>1.0123062677843635E-7</c:v>
                </c:pt>
                <c:pt idx="545">
                  <c:v>9.7993634489217543E-8</c:v>
                </c:pt>
                <c:pt idx="546">
                  <c:v>9.4859586134798594E-8</c:v>
                </c:pt>
                <c:pt idx="547">
                  <c:v>9.182522688198141E-8</c:v>
                </c:pt>
                <c:pt idx="548">
                  <c:v>8.888740416613068E-8</c:v>
                </c:pt>
                <c:pt idx="549">
                  <c:v>8.6043064499424329E-8</c:v>
                </c:pt>
                <c:pt idx="550">
                  <c:v>8.3289250377984356E-8</c:v>
                </c:pt>
                <c:pt idx="551">
                  <c:v>8.0623097284862819E-8</c:v>
                </c:pt>
                <c:pt idx="552">
                  <c:v>7.8041830785916433E-8</c:v>
                </c:pt>
                <c:pt idx="553">
                  <c:v>7.5542763715745346E-8</c:v>
                </c:pt>
                <c:pt idx="554">
                  <c:v>7.3123293450889458E-8</c:v>
                </c:pt>
                <c:pt idx="555">
                  <c:v>7.0780899267625613E-8</c:v>
                </c:pt>
                <c:pt idx="556">
                  <c:v>6.8513139781742709E-8</c:v>
                </c:pt>
                <c:pt idx="557">
                  <c:v>6.6317650467786412E-8</c:v>
                </c:pt>
                <c:pt idx="558">
                  <c:v>6.4192141255310731E-8</c:v>
                </c:pt>
                <c:pt idx="559">
                  <c:v>6.2134394199779357E-8</c:v>
                </c:pt>
                <c:pt idx="560">
                  <c:v>6.0142261225802709E-8</c:v>
                </c:pt>
                <c:pt idx="561">
                  <c:v>5.8213661940491812E-8</c:v>
                </c:pt>
                <c:pt idx="562">
                  <c:v>5.6346581514764743E-8</c:v>
                </c:pt>
                <c:pt idx="563">
                  <c:v>5.453906863050459E-8</c:v>
                </c:pt>
                <c:pt idx="564">
                  <c:v>5.2789233491544365E-8</c:v>
                </c:pt>
                <c:pt idx="565">
                  <c:v>5.1095245896509317E-8</c:v>
                </c:pt>
                <c:pt idx="566">
                  <c:v>4.9455333371601135E-8</c:v>
                </c:pt>
                <c:pt idx="567">
                  <c:v>4.7867779361482574E-8</c:v>
                </c:pt>
                <c:pt idx="568">
                  <c:v>4.6330921476460941E-8</c:v>
                </c:pt>
                <c:pt idx="569">
                  <c:v>4.4843149794235244E-8</c:v>
                </c:pt>
                <c:pt idx="570">
                  <c:v>4.3402905214521557E-8</c:v>
                </c:pt>
                <c:pt idx="571">
                  <c:v>4.2008677864921293E-8</c:v>
                </c:pt>
                <c:pt idx="572">
                  <c:v>4.0659005556448056E-8</c:v>
                </c:pt>
                <c:pt idx="573">
                  <c:v>3.9352472287178235E-8</c:v>
                </c:pt>
                <c:pt idx="574">
                  <c:v>3.8087706792540481E-8</c:v>
                </c:pt>
                <c:pt idx="575">
                  <c:v>3.6863381140791887E-8</c:v>
                </c:pt>
                <c:pt idx="576">
                  <c:v>3.5678209372295432E-8</c:v>
                </c:pt>
                <c:pt idx="577">
                  <c:v>3.4530946181230709E-8</c:v>
                </c:pt>
                <c:pt idx="578">
                  <c:v>3.3420385638434439E-8</c:v>
                </c:pt>
                <c:pt idx="579">
                  <c:v>3.234535995408988E-8</c:v>
                </c:pt>
                <c:pt idx="580">
                  <c:v>3.1304738279034137E-8</c:v>
                </c:pt>
                <c:pt idx="581">
                  <c:v>3.029742554348663E-8</c:v>
                </c:pt>
                <c:pt idx="582">
                  <c:v>2.9322361332038224E-8</c:v>
                </c:pt>
                <c:pt idx="583">
                  <c:v>2.8378518793778134E-8</c:v>
                </c:pt>
                <c:pt idx="584">
                  <c:v>2.7464903586467703E-8</c:v>
                </c:pt>
                <c:pt idx="585">
                  <c:v>2.6580552853706496E-8</c:v>
                </c:pt>
                <c:pt idx="586">
                  <c:v>2.5724534234065522E-8</c:v>
                </c:pt>
                <c:pt idx="587">
                  <c:v>2.4895944901198185E-8</c:v>
                </c:pt>
                <c:pt idx="588">
                  <c:v>2.4093910633964941E-8</c:v>
                </c:pt>
                <c:pt idx="589">
                  <c:v>2.3317584915641144E-8</c:v>
                </c:pt>
                <c:pt idx="590">
                  <c:v>2.2566148061304747E-8</c:v>
                </c:pt>
                <c:pt idx="591">
                  <c:v>2.1838806372529185E-8</c:v>
                </c:pt>
                <c:pt idx="592">
                  <c:v>2.1134791318531484E-8</c:v>
                </c:pt>
                <c:pt idx="593">
                  <c:v>2.0453358742955299E-8</c:v>
                </c:pt>
                <c:pt idx="594">
                  <c:v>1.9793788095491067E-8</c:v>
                </c:pt>
                <c:pt idx="595">
                  <c:v>1.9155381687560642E-8</c:v>
                </c:pt>
                <c:pt idx="596">
                  <c:v>1.8537463971319969E-8</c:v>
                </c:pt>
                <c:pt idx="597">
                  <c:v>1.793938084125094E-8</c:v>
                </c:pt>
                <c:pt idx="598">
                  <c:v>1.7360498957643848E-8</c:v>
                </c:pt>
                <c:pt idx="599">
                  <c:v>1.6800205091286369E-8</c:v>
                </c:pt>
                <c:pt idx="600">
                  <c:v>1.6257905488698407E-8</c:v>
                </c:pt>
                <c:pt idx="601">
                  <c:v>1.573302525727614E-8</c:v>
                </c:pt>
                <c:pt idx="602">
                  <c:v>1.5225007769721932E-8</c:v>
                </c:pt>
                <c:pt idx="603">
                  <c:v>1.473331408716074E-8</c:v>
                </c:pt>
                <c:pt idx="604">
                  <c:v>1.4257422400362359E-8</c:v>
                </c:pt>
                <c:pt idx="605">
                  <c:v>1.3796827488500519E-8</c:v>
                </c:pt>
                <c:pt idx="606">
                  <c:v>1.335104019490841E-8</c:v>
                </c:pt>
                <c:pt idx="607">
                  <c:v>1.2919586919294477E-8</c:v>
                </c:pt>
                <c:pt idx="608">
                  <c:v>1.2502009125910752E-8</c:v>
                </c:pt>
                <c:pt idx="609">
                  <c:v>1.2097862867170175E-8</c:v>
                </c:pt>
                <c:pt idx="610">
                  <c:v>1.170671832223744E-8</c:v>
                </c:pt>
                <c:pt idx="611">
                  <c:v>1.1328159350119055E-8</c:v>
                </c:pt>
                <c:pt idx="612">
                  <c:v>1.09617830568063E-8</c:v>
                </c:pt>
                <c:pt idx="613">
                  <c:v>1.0607199376027834E-8</c:v>
                </c:pt>
                <c:pt idx="614">
                  <c:v>1.0264030663187978E-8</c:v>
                </c:pt>
                <c:pt idx="615">
                  <c:v>9.9319113020811193E-9</c:v>
                </c:pt>
                <c:pt idx="616">
                  <c:v>0</c:v>
                </c:pt>
                <c:pt idx="617">
                  <c:v>0</c:v>
                </c:pt>
                <c:pt idx="618">
                  <c:v>0</c:v>
                </c:pt>
                <c:pt idx="619">
                  <c:v>0</c:v>
                </c:pt>
                <c:pt idx="620">
                  <c:v>0</c:v>
                </c:pt>
                <c:pt idx="621">
                  <c:v>0</c:v>
                </c:pt>
                <c:pt idx="622">
                  <c:v>0</c:v>
                </c:pt>
                <c:pt idx="623">
                  <c:v>0</c:v>
                </c:pt>
                <c:pt idx="624">
                  <c:v>0</c:v>
                </c:pt>
                <c:pt idx="625">
                  <c:v>0</c:v>
                </c:pt>
                <c:pt idx="626">
                  <c:v>0</c:v>
                </c:pt>
                <c:pt idx="627">
                  <c:v>0</c:v>
                </c:pt>
                <c:pt idx="628">
                  <c:v>0</c:v>
                </c:pt>
                <c:pt idx="629">
                  <c:v>0</c:v>
                </c:pt>
                <c:pt idx="630">
                  <c:v>0</c:v>
                </c:pt>
                <c:pt idx="631">
                  <c:v>0</c:v>
                </c:pt>
                <c:pt idx="632">
                  <c:v>0</c:v>
                </c:pt>
                <c:pt idx="633">
                  <c:v>0</c:v>
                </c:pt>
                <c:pt idx="634">
                  <c:v>0</c:v>
                </c:pt>
                <c:pt idx="635">
                  <c:v>0</c:v>
                </c:pt>
                <c:pt idx="636">
                  <c:v>0</c:v>
                </c:pt>
                <c:pt idx="637">
                  <c:v>0</c:v>
                </c:pt>
                <c:pt idx="638">
                  <c:v>0</c:v>
                </c:pt>
                <c:pt idx="639">
                  <c:v>0</c:v>
                </c:pt>
                <c:pt idx="640">
                  <c:v>0</c:v>
                </c:pt>
                <c:pt idx="641">
                  <c:v>0</c:v>
                </c:pt>
                <c:pt idx="642">
                  <c:v>0</c:v>
                </c:pt>
                <c:pt idx="643">
                  <c:v>0</c:v>
                </c:pt>
                <c:pt idx="644">
                  <c:v>0</c:v>
                </c:pt>
                <c:pt idx="645">
                  <c:v>0</c:v>
                </c:pt>
                <c:pt idx="646">
                  <c:v>0</c:v>
                </c:pt>
                <c:pt idx="647">
                  <c:v>0</c:v>
                </c:pt>
                <c:pt idx="648">
                  <c:v>0</c:v>
                </c:pt>
                <c:pt idx="649">
                  <c:v>0</c:v>
                </c:pt>
                <c:pt idx="650">
                  <c:v>0</c:v>
                </c:pt>
                <c:pt idx="651">
                  <c:v>0</c:v>
                </c:pt>
                <c:pt idx="652">
                  <c:v>0</c:v>
                </c:pt>
                <c:pt idx="653">
                  <c:v>0</c:v>
                </c:pt>
                <c:pt idx="654">
                  <c:v>0</c:v>
                </c:pt>
                <c:pt idx="655">
                  <c:v>0</c:v>
                </c:pt>
                <c:pt idx="656">
                  <c:v>0</c:v>
                </c:pt>
                <c:pt idx="657">
                  <c:v>0</c:v>
                </c:pt>
                <c:pt idx="658">
                  <c:v>0</c:v>
                </c:pt>
                <c:pt idx="659">
                  <c:v>0</c:v>
                </c:pt>
                <c:pt idx="660">
                  <c:v>0</c:v>
                </c:pt>
                <c:pt idx="661">
                  <c:v>0</c:v>
                </c:pt>
                <c:pt idx="662">
                  <c:v>0</c:v>
                </c:pt>
                <c:pt idx="663">
                  <c:v>0</c:v>
                </c:pt>
                <c:pt idx="664">
                  <c:v>0</c:v>
                </c:pt>
                <c:pt idx="665">
                  <c:v>0</c:v>
                </c:pt>
                <c:pt idx="666">
                  <c:v>0</c:v>
                </c:pt>
                <c:pt idx="667">
                  <c:v>0</c:v>
                </c:pt>
                <c:pt idx="668">
                  <c:v>0</c:v>
                </c:pt>
                <c:pt idx="669">
                  <c:v>0</c:v>
                </c:pt>
                <c:pt idx="670">
                  <c:v>0</c:v>
                </c:pt>
                <c:pt idx="671">
                  <c:v>0</c:v>
                </c:pt>
                <c:pt idx="672">
                  <c:v>0</c:v>
                </c:pt>
                <c:pt idx="673">
                  <c:v>0</c:v>
                </c:pt>
                <c:pt idx="674">
                  <c:v>0</c:v>
                </c:pt>
                <c:pt idx="675">
                  <c:v>0</c:v>
                </c:pt>
                <c:pt idx="676">
                  <c:v>0</c:v>
                </c:pt>
                <c:pt idx="677">
                  <c:v>0</c:v>
                </c:pt>
                <c:pt idx="678">
                  <c:v>0</c:v>
                </c:pt>
                <c:pt idx="679">
                  <c:v>0</c:v>
                </c:pt>
                <c:pt idx="680">
                  <c:v>0</c:v>
                </c:pt>
                <c:pt idx="681">
                  <c:v>0</c:v>
                </c:pt>
                <c:pt idx="682">
                  <c:v>0</c:v>
                </c:pt>
                <c:pt idx="683">
                  <c:v>0</c:v>
                </c:pt>
                <c:pt idx="684">
                  <c:v>0</c:v>
                </c:pt>
                <c:pt idx="685">
                  <c:v>0</c:v>
                </c:pt>
                <c:pt idx="686">
                  <c:v>0</c:v>
                </c:pt>
                <c:pt idx="687">
                  <c:v>0</c:v>
                </c:pt>
                <c:pt idx="688">
                  <c:v>0</c:v>
                </c:pt>
                <c:pt idx="689">
                  <c:v>0</c:v>
                </c:pt>
                <c:pt idx="690">
                  <c:v>0</c:v>
                </c:pt>
                <c:pt idx="691">
                  <c:v>0</c:v>
                </c:pt>
                <c:pt idx="692">
                  <c:v>0</c:v>
                </c:pt>
                <c:pt idx="693">
                  <c:v>0</c:v>
                </c:pt>
                <c:pt idx="694">
                  <c:v>0</c:v>
                </c:pt>
                <c:pt idx="695">
                  <c:v>0</c:v>
                </c:pt>
                <c:pt idx="696">
                  <c:v>0</c:v>
                </c:pt>
                <c:pt idx="697">
                  <c:v>0</c:v>
                </c:pt>
                <c:pt idx="698">
                  <c:v>0</c:v>
                </c:pt>
                <c:pt idx="699">
                  <c:v>0</c:v>
                </c:pt>
                <c:pt idx="700">
                  <c:v>0</c:v>
                </c:pt>
                <c:pt idx="701">
                  <c:v>0</c:v>
                </c:pt>
                <c:pt idx="702">
                  <c:v>0</c:v>
                </c:pt>
                <c:pt idx="703">
                  <c:v>0</c:v>
                </c:pt>
                <c:pt idx="704">
                  <c:v>0</c:v>
                </c:pt>
                <c:pt idx="705">
                  <c:v>0</c:v>
                </c:pt>
                <c:pt idx="706">
                  <c:v>0</c:v>
                </c:pt>
                <c:pt idx="707">
                  <c:v>0</c:v>
                </c:pt>
                <c:pt idx="708">
                  <c:v>0</c:v>
                </c:pt>
                <c:pt idx="709">
                  <c:v>0</c:v>
                </c:pt>
                <c:pt idx="710">
                  <c:v>0</c:v>
                </c:pt>
                <c:pt idx="711">
                  <c:v>0</c:v>
                </c:pt>
                <c:pt idx="712">
                  <c:v>0</c:v>
                </c:pt>
                <c:pt idx="713">
                  <c:v>0</c:v>
                </c:pt>
                <c:pt idx="714">
                  <c:v>0</c:v>
                </c:pt>
                <c:pt idx="715">
                  <c:v>0</c:v>
                </c:pt>
                <c:pt idx="716">
                  <c:v>0</c:v>
                </c:pt>
                <c:pt idx="717">
                  <c:v>0</c:v>
                </c:pt>
                <c:pt idx="718">
                  <c:v>0</c:v>
                </c:pt>
                <c:pt idx="719">
                  <c:v>0</c:v>
                </c:pt>
                <c:pt idx="720">
                  <c:v>0</c:v>
                </c:pt>
                <c:pt idx="721">
                  <c:v>0</c:v>
                </c:pt>
                <c:pt idx="722">
                  <c:v>0</c:v>
                </c:pt>
                <c:pt idx="723">
                  <c:v>0</c:v>
                </c:pt>
                <c:pt idx="724">
                  <c:v>0</c:v>
                </c:pt>
                <c:pt idx="725">
                  <c:v>0</c:v>
                </c:pt>
                <c:pt idx="726">
                  <c:v>0</c:v>
                </c:pt>
                <c:pt idx="727">
                  <c:v>0</c:v>
                </c:pt>
                <c:pt idx="728">
                  <c:v>0</c:v>
                </c:pt>
                <c:pt idx="729">
                  <c:v>0</c:v>
                </c:pt>
                <c:pt idx="730">
                  <c:v>0</c:v>
                </c:pt>
                <c:pt idx="731">
                  <c:v>0</c:v>
                </c:pt>
                <c:pt idx="732">
                  <c:v>0</c:v>
                </c:pt>
                <c:pt idx="733">
                  <c:v>0</c:v>
                </c:pt>
                <c:pt idx="734">
                  <c:v>0</c:v>
                </c:pt>
                <c:pt idx="735">
                  <c:v>0</c:v>
                </c:pt>
                <c:pt idx="736">
                  <c:v>0</c:v>
                </c:pt>
                <c:pt idx="737">
                  <c:v>0</c:v>
                </c:pt>
                <c:pt idx="738">
                  <c:v>0</c:v>
                </c:pt>
                <c:pt idx="739">
                  <c:v>0</c:v>
                </c:pt>
                <c:pt idx="740">
                  <c:v>0</c:v>
                </c:pt>
                <c:pt idx="741">
                  <c:v>0</c:v>
                </c:pt>
                <c:pt idx="742">
                  <c:v>0</c:v>
                </c:pt>
                <c:pt idx="743">
                  <c:v>0</c:v>
                </c:pt>
                <c:pt idx="744">
                  <c:v>0</c:v>
                </c:pt>
                <c:pt idx="745">
                  <c:v>0</c:v>
                </c:pt>
                <c:pt idx="746">
                  <c:v>0</c:v>
                </c:pt>
                <c:pt idx="747">
                  <c:v>0</c:v>
                </c:pt>
                <c:pt idx="748">
                  <c:v>0</c:v>
                </c:pt>
                <c:pt idx="749">
                  <c:v>0</c:v>
                </c:pt>
                <c:pt idx="750">
                  <c:v>0</c:v>
                </c:pt>
                <c:pt idx="751">
                  <c:v>0</c:v>
                </c:pt>
                <c:pt idx="752">
                  <c:v>0</c:v>
                </c:pt>
                <c:pt idx="753">
                  <c:v>0</c:v>
                </c:pt>
                <c:pt idx="754">
                  <c:v>0</c:v>
                </c:pt>
                <c:pt idx="755">
                  <c:v>0</c:v>
                </c:pt>
                <c:pt idx="756">
                  <c:v>0</c:v>
                </c:pt>
                <c:pt idx="757">
                  <c:v>0</c:v>
                </c:pt>
                <c:pt idx="758">
                  <c:v>0</c:v>
                </c:pt>
                <c:pt idx="759">
                  <c:v>0</c:v>
                </c:pt>
                <c:pt idx="760">
                  <c:v>0</c:v>
                </c:pt>
                <c:pt idx="761">
                  <c:v>0</c:v>
                </c:pt>
                <c:pt idx="762">
                  <c:v>0</c:v>
                </c:pt>
                <c:pt idx="763">
                  <c:v>0</c:v>
                </c:pt>
                <c:pt idx="764">
                  <c:v>0</c:v>
                </c:pt>
                <c:pt idx="765">
                  <c:v>0</c:v>
                </c:pt>
                <c:pt idx="766">
                  <c:v>0</c:v>
                </c:pt>
                <c:pt idx="767">
                  <c:v>0</c:v>
                </c:pt>
                <c:pt idx="768">
                  <c:v>0</c:v>
                </c:pt>
                <c:pt idx="769">
                  <c:v>0</c:v>
                </c:pt>
                <c:pt idx="770">
                  <c:v>0</c:v>
                </c:pt>
                <c:pt idx="771">
                  <c:v>0</c:v>
                </c:pt>
                <c:pt idx="772">
                  <c:v>0</c:v>
                </c:pt>
                <c:pt idx="773">
                  <c:v>0</c:v>
                </c:pt>
                <c:pt idx="774">
                  <c:v>0</c:v>
                </c:pt>
                <c:pt idx="775">
                  <c:v>0</c:v>
                </c:pt>
                <c:pt idx="776">
                  <c:v>0</c:v>
                </c:pt>
                <c:pt idx="777">
                  <c:v>0</c:v>
                </c:pt>
                <c:pt idx="778">
                  <c:v>0</c:v>
                </c:pt>
                <c:pt idx="779">
                  <c:v>0</c:v>
                </c:pt>
                <c:pt idx="780">
                  <c:v>0</c:v>
                </c:pt>
                <c:pt idx="781">
                  <c:v>0</c:v>
                </c:pt>
                <c:pt idx="782">
                  <c:v>0</c:v>
                </c:pt>
                <c:pt idx="783">
                  <c:v>0</c:v>
                </c:pt>
                <c:pt idx="784">
                  <c:v>0</c:v>
                </c:pt>
                <c:pt idx="785">
                  <c:v>0</c:v>
                </c:pt>
                <c:pt idx="786">
                  <c:v>0</c:v>
                </c:pt>
                <c:pt idx="787">
                  <c:v>0</c:v>
                </c:pt>
                <c:pt idx="788">
                  <c:v>0</c:v>
                </c:pt>
                <c:pt idx="789">
                  <c:v>0</c:v>
                </c:pt>
                <c:pt idx="790">
                  <c:v>0</c:v>
                </c:pt>
                <c:pt idx="791">
                  <c:v>0</c:v>
                </c:pt>
                <c:pt idx="792">
                  <c:v>0</c:v>
                </c:pt>
                <c:pt idx="793">
                  <c:v>0</c:v>
                </c:pt>
                <c:pt idx="794">
                  <c:v>0</c:v>
                </c:pt>
                <c:pt idx="795">
                  <c:v>0</c:v>
                </c:pt>
                <c:pt idx="796">
                  <c:v>0</c:v>
                </c:pt>
                <c:pt idx="797">
                  <c:v>0</c:v>
                </c:pt>
                <c:pt idx="798">
                  <c:v>0</c:v>
                </c:pt>
                <c:pt idx="799">
                  <c:v>0</c:v>
                </c:pt>
                <c:pt idx="800">
                  <c:v>0</c:v>
                </c:pt>
                <c:pt idx="801">
                  <c:v>0</c:v>
                </c:pt>
                <c:pt idx="802">
                  <c:v>0</c:v>
                </c:pt>
                <c:pt idx="803">
                  <c:v>0</c:v>
                </c:pt>
                <c:pt idx="804">
                  <c:v>0</c:v>
                </c:pt>
                <c:pt idx="805">
                  <c:v>0</c:v>
                </c:pt>
                <c:pt idx="806">
                  <c:v>0</c:v>
                </c:pt>
                <c:pt idx="807">
                  <c:v>0</c:v>
                </c:pt>
                <c:pt idx="808">
                  <c:v>0</c:v>
                </c:pt>
                <c:pt idx="809">
                  <c:v>0</c:v>
                </c:pt>
                <c:pt idx="810">
                  <c:v>0</c:v>
                </c:pt>
                <c:pt idx="811">
                  <c:v>0</c:v>
                </c:pt>
                <c:pt idx="812">
                  <c:v>0</c:v>
                </c:pt>
                <c:pt idx="813">
                  <c:v>0</c:v>
                </c:pt>
                <c:pt idx="814">
                  <c:v>0</c:v>
                </c:pt>
                <c:pt idx="815">
                  <c:v>0</c:v>
                </c:pt>
                <c:pt idx="816">
                  <c:v>0</c:v>
                </c:pt>
                <c:pt idx="817">
                  <c:v>0</c:v>
                </c:pt>
                <c:pt idx="818">
                  <c:v>0</c:v>
                </c:pt>
                <c:pt idx="819">
                  <c:v>0</c:v>
                </c:pt>
                <c:pt idx="820">
                  <c:v>0</c:v>
                </c:pt>
                <c:pt idx="821">
                  <c:v>0</c:v>
                </c:pt>
                <c:pt idx="822">
                  <c:v>0</c:v>
                </c:pt>
                <c:pt idx="823">
                  <c:v>0</c:v>
                </c:pt>
                <c:pt idx="824">
                  <c:v>0</c:v>
                </c:pt>
                <c:pt idx="825">
                  <c:v>0</c:v>
                </c:pt>
                <c:pt idx="826">
                  <c:v>0</c:v>
                </c:pt>
                <c:pt idx="827">
                  <c:v>0</c:v>
                </c:pt>
                <c:pt idx="828">
                  <c:v>0</c:v>
                </c:pt>
                <c:pt idx="829">
                  <c:v>0</c:v>
                </c:pt>
                <c:pt idx="830">
                  <c:v>0</c:v>
                </c:pt>
                <c:pt idx="831">
                  <c:v>0</c:v>
                </c:pt>
                <c:pt idx="832">
                  <c:v>0</c:v>
                </c:pt>
                <c:pt idx="833">
                  <c:v>0</c:v>
                </c:pt>
                <c:pt idx="834">
                  <c:v>0</c:v>
                </c:pt>
                <c:pt idx="835">
                  <c:v>0</c:v>
                </c:pt>
                <c:pt idx="836">
                  <c:v>0</c:v>
                </c:pt>
                <c:pt idx="837">
                  <c:v>0</c:v>
                </c:pt>
                <c:pt idx="838">
                  <c:v>0</c:v>
                </c:pt>
                <c:pt idx="839">
                  <c:v>0</c:v>
                </c:pt>
                <c:pt idx="840">
                  <c:v>0</c:v>
                </c:pt>
                <c:pt idx="841">
                  <c:v>0</c:v>
                </c:pt>
                <c:pt idx="842">
                  <c:v>0</c:v>
                </c:pt>
                <c:pt idx="843">
                  <c:v>0</c:v>
                </c:pt>
                <c:pt idx="844">
                  <c:v>0</c:v>
                </c:pt>
                <c:pt idx="845">
                  <c:v>0</c:v>
                </c:pt>
                <c:pt idx="846">
                  <c:v>0</c:v>
                </c:pt>
                <c:pt idx="847">
                  <c:v>0</c:v>
                </c:pt>
                <c:pt idx="848">
                  <c:v>0</c:v>
                </c:pt>
                <c:pt idx="849">
                  <c:v>0</c:v>
                </c:pt>
                <c:pt idx="850">
                  <c:v>0</c:v>
                </c:pt>
                <c:pt idx="851">
                  <c:v>0</c:v>
                </c:pt>
                <c:pt idx="852">
                  <c:v>0</c:v>
                </c:pt>
                <c:pt idx="853">
                  <c:v>0</c:v>
                </c:pt>
                <c:pt idx="854">
                  <c:v>0</c:v>
                </c:pt>
                <c:pt idx="855">
                  <c:v>0</c:v>
                </c:pt>
                <c:pt idx="856">
                  <c:v>0</c:v>
                </c:pt>
                <c:pt idx="857">
                  <c:v>0</c:v>
                </c:pt>
                <c:pt idx="858">
                  <c:v>0</c:v>
                </c:pt>
                <c:pt idx="859">
                  <c:v>0</c:v>
                </c:pt>
                <c:pt idx="860">
                  <c:v>0</c:v>
                </c:pt>
                <c:pt idx="861">
                  <c:v>0</c:v>
                </c:pt>
                <c:pt idx="862">
                  <c:v>0</c:v>
                </c:pt>
                <c:pt idx="863">
                  <c:v>0</c:v>
                </c:pt>
                <c:pt idx="864">
                  <c:v>0</c:v>
                </c:pt>
                <c:pt idx="865">
                  <c:v>0</c:v>
                </c:pt>
                <c:pt idx="866">
                  <c:v>0</c:v>
                </c:pt>
                <c:pt idx="867">
                  <c:v>0</c:v>
                </c:pt>
                <c:pt idx="868">
                  <c:v>0</c:v>
                </c:pt>
                <c:pt idx="869">
                  <c:v>0</c:v>
                </c:pt>
                <c:pt idx="870">
                  <c:v>0</c:v>
                </c:pt>
                <c:pt idx="871">
                  <c:v>0</c:v>
                </c:pt>
                <c:pt idx="872">
                  <c:v>0</c:v>
                </c:pt>
                <c:pt idx="873">
                  <c:v>0</c:v>
                </c:pt>
                <c:pt idx="874">
                  <c:v>0</c:v>
                </c:pt>
                <c:pt idx="875">
                  <c:v>0</c:v>
                </c:pt>
                <c:pt idx="876">
                  <c:v>0</c:v>
                </c:pt>
                <c:pt idx="877">
                  <c:v>0</c:v>
                </c:pt>
                <c:pt idx="878">
                  <c:v>0</c:v>
                </c:pt>
                <c:pt idx="879">
                  <c:v>0</c:v>
                </c:pt>
                <c:pt idx="880">
                  <c:v>0</c:v>
                </c:pt>
                <c:pt idx="881">
                  <c:v>0</c:v>
                </c:pt>
                <c:pt idx="882">
                  <c:v>0</c:v>
                </c:pt>
                <c:pt idx="883">
                  <c:v>0</c:v>
                </c:pt>
                <c:pt idx="884">
                  <c:v>0</c:v>
                </c:pt>
                <c:pt idx="885">
                  <c:v>0</c:v>
                </c:pt>
                <c:pt idx="886">
                  <c:v>0</c:v>
                </c:pt>
                <c:pt idx="887">
                  <c:v>0</c:v>
                </c:pt>
                <c:pt idx="888">
                  <c:v>0</c:v>
                </c:pt>
                <c:pt idx="889">
                  <c:v>0</c:v>
                </c:pt>
                <c:pt idx="890">
                  <c:v>0</c:v>
                </c:pt>
                <c:pt idx="891">
                  <c:v>0</c:v>
                </c:pt>
                <c:pt idx="892">
                  <c:v>0</c:v>
                </c:pt>
                <c:pt idx="893">
                  <c:v>0</c:v>
                </c:pt>
                <c:pt idx="894">
                  <c:v>0</c:v>
                </c:pt>
                <c:pt idx="895">
                  <c:v>0</c:v>
                </c:pt>
                <c:pt idx="896">
                  <c:v>0</c:v>
                </c:pt>
                <c:pt idx="897">
                  <c:v>0</c:v>
                </c:pt>
                <c:pt idx="898">
                  <c:v>0</c:v>
                </c:pt>
                <c:pt idx="899">
                  <c:v>0</c:v>
                </c:pt>
                <c:pt idx="900">
                  <c:v>0</c:v>
                </c:pt>
                <c:pt idx="901">
                  <c:v>0</c:v>
                </c:pt>
                <c:pt idx="902">
                  <c:v>0</c:v>
                </c:pt>
                <c:pt idx="903">
                  <c:v>0</c:v>
                </c:pt>
                <c:pt idx="904">
                  <c:v>0</c:v>
                </c:pt>
                <c:pt idx="905">
                  <c:v>0</c:v>
                </c:pt>
                <c:pt idx="906">
                  <c:v>0</c:v>
                </c:pt>
                <c:pt idx="907">
                  <c:v>0</c:v>
                </c:pt>
                <c:pt idx="908">
                  <c:v>0</c:v>
                </c:pt>
                <c:pt idx="909">
                  <c:v>0</c:v>
                </c:pt>
                <c:pt idx="910">
                  <c:v>0</c:v>
                </c:pt>
                <c:pt idx="911">
                  <c:v>0</c:v>
                </c:pt>
                <c:pt idx="912">
                  <c:v>0</c:v>
                </c:pt>
                <c:pt idx="913">
                  <c:v>0</c:v>
                </c:pt>
                <c:pt idx="914">
                  <c:v>0</c:v>
                </c:pt>
                <c:pt idx="915">
                  <c:v>0</c:v>
                </c:pt>
                <c:pt idx="916">
                  <c:v>0</c:v>
                </c:pt>
                <c:pt idx="917">
                  <c:v>0</c:v>
                </c:pt>
                <c:pt idx="918">
                  <c:v>0</c:v>
                </c:pt>
                <c:pt idx="919">
                  <c:v>0</c:v>
                </c:pt>
                <c:pt idx="920">
                  <c:v>0</c:v>
                </c:pt>
                <c:pt idx="921">
                  <c:v>0</c:v>
                </c:pt>
                <c:pt idx="922">
                  <c:v>0</c:v>
                </c:pt>
                <c:pt idx="923">
                  <c:v>0</c:v>
                </c:pt>
                <c:pt idx="924">
                  <c:v>0</c:v>
                </c:pt>
                <c:pt idx="925">
                  <c:v>0</c:v>
                </c:pt>
                <c:pt idx="926">
                  <c:v>0</c:v>
                </c:pt>
                <c:pt idx="927">
                  <c:v>0</c:v>
                </c:pt>
                <c:pt idx="928">
                  <c:v>0</c:v>
                </c:pt>
                <c:pt idx="929">
                  <c:v>0</c:v>
                </c:pt>
                <c:pt idx="930">
                  <c:v>0</c:v>
                </c:pt>
                <c:pt idx="931">
                  <c:v>0</c:v>
                </c:pt>
                <c:pt idx="932">
                  <c:v>0</c:v>
                </c:pt>
                <c:pt idx="933">
                  <c:v>0</c:v>
                </c:pt>
                <c:pt idx="934">
                  <c:v>0</c:v>
                </c:pt>
                <c:pt idx="935">
                  <c:v>0</c:v>
                </c:pt>
                <c:pt idx="936">
                  <c:v>0</c:v>
                </c:pt>
                <c:pt idx="937">
                  <c:v>0</c:v>
                </c:pt>
                <c:pt idx="938">
                  <c:v>0</c:v>
                </c:pt>
                <c:pt idx="939">
                  <c:v>0</c:v>
                </c:pt>
                <c:pt idx="940">
                  <c:v>0</c:v>
                </c:pt>
                <c:pt idx="941">
                  <c:v>0</c:v>
                </c:pt>
                <c:pt idx="942">
                  <c:v>0</c:v>
                </c:pt>
                <c:pt idx="943">
                  <c:v>0</c:v>
                </c:pt>
                <c:pt idx="944">
                  <c:v>0</c:v>
                </c:pt>
                <c:pt idx="945">
                  <c:v>0</c:v>
                </c:pt>
                <c:pt idx="946">
                  <c:v>0</c:v>
                </c:pt>
                <c:pt idx="947">
                  <c:v>0</c:v>
                </c:pt>
                <c:pt idx="948">
                  <c:v>0</c:v>
                </c:pt>
                <c:pt idx="949">
                  <c:v>0</c:v>
                </c:pt>
                <c:pt idx="950">
                  <c:v>0</c:v>
                </c:pt>
                <c:pt idx="951">
                  <c:v>0</c:v>
                </c:pt>
                <c:pt idx="952">
                  <c:v>0</c:v>
                </c:pt>
                <c:pt idx="953">
                  <c:v>0</c:v>
                </c:pt>
                <c:pt idx="954">
                  <c:v>0</c:v>
                </c:pt>
                <c:pt idx="955">
                  <c:v>0</c:v>
                </c:pt>
                <c:pt idx="956">
                  <c:v>0</c:v>
                </c:pt>
                <c:pt idx="957">
                  <c:v>0</c:v>
                </c:pt>
                <c:pt idx="958">
                  <c:v>0</c:v>
                </c:pt>
                <c:pt idx="959">
                  <c:v>0</c:v>
                </c:pt>
                <c:pt idx="960">
                  <c:v>0</c:v>
                </c:pt>
                <c:pt idx="961">
                  <c:v>0</c:v>
                </c:pt>
                <c:pt idx="962">
                  <c:v>0</c:v>
                </c:pt>
                <c:pt idx="963">
                  <c:v>0</c:v>
                </c:pt>
                <c:pt idx="964">
                  <c:v>0</c:v>
                </c:pt>
                <c:pt idx="965">
                  <c:v>0</c:v>
                </c:pt>
                <c:pt idx="966">
                  <c:v>0</c:v>
                </c:pt>
                <c:pt idx="967">
                  <c:v>0</c:v>
                </c:pt>
                <c:pt idx="968">
                  <c:v>0</c:v>
                </c:pt>
                <c:pt idx="969">
                  <c:v>0</c:v>
                </c:pt>
                <c:pt idx="970">
                  <c:v>0</c:v>
                </c:pt>
                <c:pt idx="971">
                  <c:v>0</c:v>
                </c:pt>
                <c:pt idx="972">
                  <c:v>0</c:v>
                </c:pt>
                <c:pt idx="973">
                  <c:v>0</c:v>
                </c:pt>
                <c:pt idx="974">
                  <c:v>0</c:v>
                </c:pt>
                <c:pt idx="975">
                  <c:v>0</c:v>
                </c:pt>
                <c:pt idx="976">
                  <c:v>0</c:v>
                </c:pt>
                <c:pt idx="977">
                  <c:v>0</c:v>
                </c:pt>
                <c:pt idx="978">
                  <c:v>0</c:v>
                </c:pt>
                <c:pt idx="979">
                  <c:v>0</c:v>
                </c:pt>
                <c:pt idx="980">
                  <c:v>0</c:v>
                </c:pt>
                <c:pt idx="981">
                  <c:v>0</c:v>
                </c:pt>
                <c:pt idx="982">
                  <c:v>0</c:v>
                </c:pt>
                <c:pt idx="983">
                  <c:v>0</c:v>
                </c:pt>
                <c:pt idx="984">
                  <c:v>0</c:v>
                </c:pt>
                <c:pt idx="985">
                  <c:v>0</c:v>
                </c:pt>
                <c:pt idx="986">
                  <c:v>0</c:v>
                </c:pt>
                <c:pt idx="987">
                  <c:v>0</c:v>
                </c:pt>
                <c:pt idx="988">
                  <c:v>0</c:v>
                </c:pt>
                <c:pt idx="989">
                  <c:v>0</c:v>
                </c:pt>
                <c:pt idx="990">
                  <c:v>0</c:v>
                </c:pt>
                <c:pt idx="991">
                  <c:v>0</c:v>
                </c:pt>
                <c:pt idx="992">
                  <c:v>0</c:v>
                </c:pt>
                <c:pt idx="993">
                  <c:v>0</c:v>
                </c:pt>
                <c:pt idx="994">
                  <c:v>0</c:v>
                </c:pt>
                <c:pt idx="995">
                  <c:v>0</c:v>
                </c:pt>
                <c:pt idx="996">
                  <c:v>0</c:v>
                </c:pt>
                <c:pt idx="997">
                  <c:v>0</c:v>
                </c:pt>
                <c:pt idx="998">
                  <c:v>0</c:v>
                </c:pt>
                <c:pt idx="999">
                  <c:v>0</c:v>
                </c:pt>
                <c:pt idx="1000">
                  <c:v>0</c:v>
                </c:pt>
                <c:pt idx="1001">
                  <c:v>0</c:v>
                </c:pt>
                <c:pt idx="1002">
                  <c:v>0</c:v>
                </c:pt>
                <c:pt idx="1003">
                  <c:v>0</c:v>
                </c:pt>
                <c:pt idx="1004">
                  <c:v>0</c:v>
                </c:pt>
                <c:pt idx="1005">
                  <c:v>0</c:v>
                </c:pt>
                <c:pt idx="1006">
                  <c:v>0</c:v>
                </c:pt>
                <c:pt idx="1007">
                  <c:v>0</c:v>
                </c:pt>
                <c:pt idx="1008">
                  <c:v>0</c:v>
                </c:pt>
                <c:pt idx="1009">
                  <c:v>0</c:v>
                </c:pt>
                <c:pt idx="1010">
                  <c:v>0</c:v>
                </c:pt>
                <c:pt idx="1011">
                  <c:v>0</c:v>
                </c:pt>
                <c:pt idx="1012">
                  <c:v>0</c:v>
                </c:pt>
                <c:pt idx="1013">
                  <c:v>0</c:v>
                </c:pt>
                <c:pt idx="1014">
                  <c:v>0</c:v>
                </c:pt>
                <c:pt idx="1015">
                  <c:v>0</c:v>
                </c:pt>
                <c:pt idx="1016">
                  <c:v>0</c:v>
                </c:pt>
                <c:pt idx="1017">
                  <c:v>0</c:v>
                </c:pt>
                <c:pt idx="1018">
                  <c:v>0</c:v>
                </c:pt>
                <c:pt idx="1019">
                  <c:v>0</c:v>
                </c:pt>
                <c:pt idx="1020">
                  <c:v>0</c:v>
                </c:pt>
                <c:pt idx="1021">
                  <c:v>0</c:v>
                </c:pt>
                <c:pt idx="1022">
                  <c:v>0</c:v>
                </c:pt>
                <c:pt idx="1023">
                  <c:v>0</c:v>
                </c:pt>
                <c:pt idx="1024">
                  <c:v>0</c:v>
                </c:pt>
                <c:pt idx="1025">
                  <c:v>0</c:v>
                </c:pt>
                <c:pt idx="1026">
                  <c:v>0</c:v>
                </c:pt>
                <c:pt idx="1027">
                  <c:v>0</c:v>
                </c:pt>
                <c:pt idx="1028">
                  <c:v>0</c:v>
                </c:pt>
                <c:pt idx="1029">
                  <c:v>0</c:v>
                </c:pt>
                <c:pt idx="1030">
                  <c:v>0</c:v>
                </c:pt>
                <c:pt idx="1031">
                  <c:v>0</c:v>
                </c:pt>
                <c:pt idx="1032">
                  <c:v>0</c:v>
                </c:pt>
                <c:pt idx="1033">
                  <c:v>0</c:v>
                </c:pt>
                <c:pt idx="1034">
                  <c:v>0</c:v>
                </c:pt>
                <c:pt idx="1035">
                  <c:v>0</c:v>
                </c:pt>
                <c:pt idx="1036">
                  <c:v>0</c:v>
                </c:pt>
                <c:pt idx="1037">
                  <c:v>0</c:v>
                </c:pt>
                <c:pt idx="1038">
                  <c:v>0</c:v>
                </c:pt>
                <c:pt idx="1039">
                  <c:v>0</c:v>
                </c:pt>
                <c:pt idx="1040">
                  <c:v>0</c:v>
                </c:pt>
              </c:numCache>
            </c:numRef>
          </c:yVal>
          <c:smooth val="1"/>
          <c:extLst>
            <c:ext xmlns:c16="http://schemas.microsoft.com/office/drawing/2014/chart" uri="{C3380CC4-5D6E-409C-BE32-E72D297353CC}">
              <c16:uniqueId val="{00000000-1A37-094B-9E1D-F9491A91AD2C}"/>
            </c:ext>
          </c:extLst>
        </c:ser>
        <c:ser>
          <c:idx val="1"/>
          <c:order val="1"/>
          <c:tx>
            <c:strRef>
              <c:f>'Model Treatment'!$U$4</c:f>
              <c:strCache>
                <c:ptCount val="1"/>
                <c:pt idx="0">
                  <c:v>Progression free </c:v>
                </c:pt>
              </c:strCache>
            </c:strRef>
          </c:tx>
          <c:spPr>
            <a:ln w="19050" cap="rnd">
              <a:solidFill>
                <a:schemeClr val="tx1"/>
              </a:solidFill>
              <a:prstDash val="lgDash"/>
              <a:round/>
            </a:ln>
            <a:effectLst/>
          </c:spPr>
          <c:marker>
            <c:symbol val="none"/>
          </c:marker>
          <c:xVal>
            <c:numRef>
              <c:f>'Model Treatment'!$D$7:$D$1047</c:f>
              <c:numCache>
                <c:formatCode>0.000</c:formatCode>
                <c:ptCount val="1041"/>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pt idx="51">
                  <c:v>51</c:v>
                </c:pt>
                <c:pt idx="52">
                  <c:v>52</c:v>
                </c:pt>
                <c:pt idx="53">
                  <c:v>53</c:v>
                </c:pt>
                <c:pt idx="54">
                  <c:v>54</c:v>
                </c:pt>
                <c:pt idx="55">
                  <c:v>55</c:v>
                </c:pt>
                <c:pt idx="56">
                  <c:v>56</c:v>
                </c:pt>
                <c:pt idx="57">
                  <c:v>57</c:v>
                </c:pt>
                <c:pt idx="58">
                  <c:v>58</c:v>
                </c:pt>
                <c:pt idx="59">
                  <c:v>59</c:v>
                </c:pt>
                <c:pt idx="60">
                  <c:v>60</c:v>
                </c:pt>
                <c:pt idx="61">
                  <c:v>61</c:v>
                </c:pt>
                <c:pt idx="62">
                  <c:v>62</c:v>
                </c:pt>
                <c:pt idx="63">
                  <c:v>63</c:v>
                </c:pt>
                <c:pt idx="64">
                  <c:v>64</c:v>
                </c:pt>
                <c:pt idx="65">
                  <c:v>65</c:v>
                </c:pt>
                <c:pt idx="66">
                  <c:v>66</c:v>
                </c:pt>
                <c:pt idx="67">
                  <c:v>67</c:v>
                </c:pt>
                <c:pt idx="68">
                  <c:v>68</c:v>
                </c:pt>
                <c:pt idx="69">
                  <c:v>69</c:v>
                </c:pt>
                <c:pt idx="70">
                  <c:v>70</c:v>
                </c:pt>
                <c:pt idx="71">
                  <c:v>71</c:v>
                </c:pt>
                <c:pt idx="72">
                  <c:v>72</c:v>
                </c:pt>
                <c:pt idx="73">
                  <c:v>73</c:v>
                </c:pt>
                <c:pt idx="74">
                  <c:v>74</c:v>
                </c:pt>
                <c:pt idx="75">
                  <c:v>75</c:v>
                </c:pt>
                <c:pt idx="76">
                  <c:v>76</c:v>
                </c:pt>
                <c:pt idx="77">
                  <c:v>77</c:v>
                </c:pt>
                <c:pt idx="78">
                  <c:v>78</c:v>
                </c:pt>
                <c:pt idx="79">
                  <c:v>79</c:v>
                </c:pt>
                <c:pt idx="80">
                  <c:v>80</c:v>
                </c:pt>
                <c:pt idx="81">
                  <c:v>81</c:v>
                </c:pt>
                <c:pt idx="82">
                  <c:v>82</c:v>
                </c:pt>
                <c:pt idx="83">
                  <c:v>83</c:v>
                </c:pt>
                <c:pt idx="84">
                  <c:v>84</c:v>
                </c:pt>
                <c:pt idx="85">
                  <c:v>85</c:v>
                </c:pt>
                <c:pt idx="86">
                  <c:v>86</c:v>
                </c:pt>
                <c:pt idx="87">
                  <c:v>87</c:v>
                </c:pt>
                <c:pt idx="88">
                  <c:v>88</c:v>
                </c:pt>
                <c:pt idx="89">
                  <c:v>89</c:v>
                </c:pt>
                <c:pt idx="90">
                  <c:v>90</c:v>
                </c:pt>
                <c:pt idx="91">
                  <c:v>91</c:v>
                </c:pt>
                <c:pt idx="92">
                  <c:v>92</c:v>
                </c:pt>
                <c:pt idx="93">
                  <c:v>93</c:v>
                </c:pt>
                <c:pt idx="94">
                  <c:v>94</c:v>
                </c:pt>
                <c:pt idx="95">
                  <c:v>95</c:v>
                </c:pt>
                <c:pt idx="96">
                  <c:v>96</c:v>
                </c:pt>
                <c:pt idx="97">
                  <c:v>97</c:v>
                </c:pt>
                <c:pt idx="98">
                  <c:v>98</c:v>
                </c:pt>
                <c:pt idx="99">
                  <c:v>99</c:v>
                </c:pt>
                <c:pt idx="100">
                  <c:v>100</c:v>
                </c:pt>
                <c:pt idx="101">
                  <c:v>101</c:v>
                </c:pt>
                <c:pt idx="102">
                  <c:v>102</c:v>
                </c:pt>
                <c:pt idx="103">
                  <c:v>103</c:v>
                </c:pt>
                <c:pt idx="104">
                  <c:v>104</c:v>
                </c:pt>
                <c:pt idx="105">
                  <c:v>105</c:v>
                </c:pt>
                <c:pt idx="106">
                  <c:v>106</c:v>
                </c:pt>
                <c:pt idx="107">
                  <c:v>107</c:v>
                </c:pt>
                <c:pt idx="108">
                  <c:v>108</c:v>
                </c:pt>
                <c:pt idx="109">
                  <c:v>109</c:v>
                </c:pt>
                <c:pt idx="110">
                  <c:v>110</c:v>
                </c:pt>
                <c:pt idx="111">
                  <c:v>111</c:v>
                </c:pt>
                <c:pt idx="112">
                  <c:v>112</c:v>
                </c:pt>
                <c:pt idx="113">
                  <c:v>113</c:v>
                </c:pt>
                <c:pt idx="114">
                  <c:v>114</c:v>
                </c:pt>
                <c:pt idx="115">
                  <c:v>115</c:v>
                </c:pt>
                <c:pt idx="116">
                  <c:v>116</c:v>
                </c:pt>
                <c:pt idx="117">
                  <c:v>117</c:v>
                </c:pt>
                <c:pt idx="118">
                  <c:v>118</c:v>
                </c:pt>
                <c:pt idx="119">
                  <c:v>119</c:v>
                </c:pt>
                <c:pt idx="120">
                  <c:v>120</c:v>
                </c:pt>
                <c:pt idx="121">
                  <c:v>121</c:v>
                </c:pt>
                <c:pt idx="122">
                  <c:v>122</c:v>
                </c:pt>
                <c:pt idx="123">
                  <c:v>123</c:v>
                </c:pt>
                <c:pt idx="124">
                  <c:v>124</c:v>
                </c:pt>
                <c:pt idx="125">
                  <c:v>125</c:v>
                </c:pt>
                <c:pt idx="126">
                  <c:v>126</c:v>
                </c:pt>
                <c:pt idx="127">
                  <c:v>127</c:v>
                </c:pt>
                <c:pt idx="128">
                  <c:v>128</c:v>
                </c:pt>
                <c:pt idx="129">
                  <c:v>129</c:v>
                </c:pt>
                <c:pt idx="130">
                  <c:v>130</c:v>
                </c:pt>
                <c:pt idx="131">
                  <c:v>131</c:v>
                </c:pt>
                <c:pt idx="132">
                  <c:v>132</c:v>
                </c:pt>
                <c:pt idx="133">
                  <c:v>133</c:v>
                </c:pt>
                <c:pt idx="134">
                  <c:v>134</c:v>
                </c:pt>
                <c:pt idx="135">
                  <c:v>135</c:v>
                </c:pt>
                <c:pt idx="136">
                  <c:v>136</c:v>
                </c:pt>
                <c:pt idx="137">
                  <c:v>137</c:v>
                </c:pt>
                <c:pt idx="138">
                  <c:v>138</c:v>
                </c:pt>
                <c:pt idx="139">
                  <c:v>139</c:v>
                </c:pt>
                <c:pt idx="140">
                  <c:v>140</c:v>
                </c:pt>
                <c:pt idx="141">
                  <c:v>141</c:v>
                </c:pt>
                <c:pt idx="142">
                  <c:v>142</c:v>
                </c:pt>
                <c:pt idx="143">
                  <c:v>143</c:v>
                </c:pt>
                <c:pt idx="144">
                  <c:v>144</c:v>
                </c:pt>
                <c:pt idx="145">
                  <c:v>145</c:v>
                </c:pt>
                <c:pt idx="146">
                  <c:v>146</c:v>
                </c:pt>
                <c:pt idx="147">
                  <c:v>147</c:v>
                </c:pt>
                <c:pt idx="148">
                  <c:v>148</c:v>
                </c:pt>
                <c:pt idx="149">
                  <c:v>149</c:v>
                </c:pt>
                <c:pt idx="150">
                  <c:v>150</c:v>
                </c:pt>
                <c:pt idx="151">
                  <c:v>151</c:v>
                </c:pt>
                <c:pt idx="152">
                  <c:v>152</c:v>
                </c:pt>
                <c:pt idx="153">
                  <c:v>153</c:v>
                </c:pt>
                <c:pt idx="154">
                  <c:v>154</c:v>
                </c:pt>
                <c:pt idx="155">
                  <c:v>155</c:v>
                </c:pt>
                <c:pt idx="156">
                  <c:v>156</c:v>
                </c:pt>
                <c:pt idx="157">
                  <c:v>157</c:v>
                </c:pt>
                <c:pt idx="158">
                  <c:v>158</c:v>
                </c:pt>
                <c:pt idx="159">
                  <c:v>159</c:v>
                </c:pt>
                <c:pt idx="160">
                  <c:v>160</c:v>
                </c:pt>
                <c:pt idx="161">
                  <c:v>161</c:v>
                </c:pt>
                <c:pt idx="162">
                  <c:v>162</c:v>
                </c:pt>
                <c:pt idx="163">
                  <c:v>163</c:v>
                </c:pt>
                <c:pt idx="164">
                  <c:v>164</c:v>
                </c:pt>
                <c:pt idx="165">
                  <c:v>165</c:v>
                </c:pt>
                <c:pt idx="166">
                  <c:v>166</c:v>
                </c:pt>
                <c:pt idx="167">
                  <c:v>167</c:v>
                </c:pt>
                <c:pt idx="168">
                  <c:v>168</c:v>
                </c:pt>
                <c:pt idx="169">
                  <c:v>169</c:v>
                </c:pt>
                <c:pt idx="170">
                  <c:v>170</c:v>
                </c:pt>
                <c:pt idx="171">
                  <c:v>171</c:v>
                </c:pt>
                <c:pt idx="172">
                  <c:v>172</c:v>
                </c:pt>
                <c:pt idx="173">
                  <c:v>173</c:v>
                </c:pt>
                <c:pt idx="174">
                  <c:v>174</c:v>
                </c:pt>
                <c:pt idx="175">
                  <c:v>175</c:v>
                </c:pt>
                <c:pt idx="176">
                  <c:v>176</c:v>
                </c:pt>
                <c:pt idx="177">
                  <c:v>177</c:v>
                </c:pt>
                <c:pt idx="178">
                  <c:v>178</c:v>
                </c:pt>
                <c:pt idx="179">
                  <c:v>179</c:v>
                </c:pt>
                <c:pt idx="180">
                  <c:v>180</c:v>
                </c:pt>
                <c:pt idx="181">
                  <c:v>181</c:v>
                </c:pt>
                <c:pt idx="182">
                  <c:v>182</c:v>
                </c:pt>
                <c:pt idx="183">
                  <c:v>183</c:v>
                </c:pt>
                <c:pt idx="184">
                  <c:v>184</c:v>
                </c:pt>
                <c:pt idx="185">
                  <c:v>185</c:v>
                </c:pt>
                <c:pt idx="186">
                  <c:v>186</c:v>
                </c:pt>
                <c:pt idx="187">
                  <c:v>187</c:v>
                </c:pt>
                <c:pt idx="188">
                  <c:v>188</c:v>
                </c:pt>
                <c:pt idx="189">
                  <c:v>189</c:v>
                </c:pt>
                <c:pt idx="190">
                  <c:v>190</c:v>
                </c:pt>
                <c:pt idx="191">
                  <c:v>191</c:v>
                </c:pt>
                <c:pt idx="192">
                  <c:v>192</c:v>
                </c:pt>
                <c:pt idx="193">
                  <c:v>193</c:v>
                </c:pt>
                <c:pt idx="194">
                  <c:v>194</c:v>
                </c:pt>
                <c:pt idx="195">
                  <c:v>195</c:v>
                </c:pt>
                <c:pt idx="196">
                  <c:v>196</c:v>
                </c:pt>
                <c:pt idx="197">
                  <c:v>197</c:v>
                </c:pt>
                <c:pt idx="198">
                  <c:v>198</c:v>
                </c:pt>
                <c:pt idx="199">
                  <c:v>199</c:v>
                </c:pt>
                <c:pt idx="200">
                  <c:v>200</c:v>
                </c:pt>
                <c:pt idx="201">
                  <c:v>201</c:v>
                </c:pt>
                <c:pt idx="202">
                  <c:v>202</c:v>
                </c:pt>
                <c:pt idx="203">
                  <c:v>203</c:v>
                </c:pt>
                <c:pt idx="204">
                  <c:v>204</c:v>
                </c:pt>
                <c:pt idx="205">
                  <c:v>205</c:v>
                </c:pt>
                <c:pt idx="206">
                  <c:v>206</c:v>
                </c:pt>
                <c:pt idx="207">
                  <c:v>207</c:v>
                </c:pt>
                <c:pt idx="208">
                  <c:v>208</c:v>
                </c:pt>
                <c:pt idx="209">
                  <c:v>209</c:v>
                </c:pt>
                <c:pt idx="210">
                  <c:v>210</c:v>
                </c:pt>
                <c:pt idx="211">
                  <c:v>211</c:v>
                </c:pt>
                <c:pt idx="212">
                  <c:v>212</c:v>
                </c:pt>
                <c:pt idx="213">
                  <c:v>213</c:v>
                </c:pt>
                <c:pt idx="214">
                  <c:v>214</c:v>
                </c:pt>
                <c:pt idx="215">
                  <c:v>215</c:v>
                </c:pt>
                <c:pt idx="216">
                  <c:v>216</c:v>
                </c:pt>
                <c:pt idx="217">
                  <c:v>217</c:v>
                </c:pt>
                <c:pt idx="218">
                  <c:v>218</c:v>
                </c:pt>
                <c:pt idx="219">
                  <c:v>219</c:v>
                </c:pt>
                <c:pt idx="220">
                  <c:v>220</c:v>
                </c:pt>
                <c:pt idx="221">
                  <c:v>221</c:v>
                </c:pt>
                <c:pt idx="222">
                  <c:v>222</c:v>
                </c:pt>
                <c:pt idx="223">
                  <c:v>223</c:v>
                </c:pt>
                <c:pt idx="224">
                  <c:v>224</c:v>
                </c:pt>
                <c:pt idx="225">
                  <c:v>225</c:v>
                </c:pt>
                <c:pt idx="226">
                  <c:v>226</c:v>
                </c:pt>
                <c:pt idx="227">
                  <c:v>227</c:v>
                </c:pt>
                <c:pt idx="228">
                  <c:v>228</c:v>
                </c:pt>
                <c:pt idx="229">
                  <c:v>229</c:v>
                </c:pt>
                <c:pt idx="230">
                  <c:v>230</c:v>
                </c:pt>
                <c:pt idx="231">
                  <c:v>231</c:v>
                </c:pt>
                <c:pt idx="232">
                  <c:v>232</c:v>
                </c:pt>
                <c:pt idx="233">
                  <c:v>233</c:v>
                </c:pt>
                <c:pt idx="234">
                  <c:v>234</c:v>
                </c:pt>
                <c:pt idx="235">
                  <c:v>235</c:v>
                </c:pt>
                <c:pt idx="236">
                  <c:v>236</c:v>
                </c:pt>
                <c:pt idx="237">
                  <c:v>237</c:v>
                </c:pt>
                <c:pt idx="238">
                  <c:v>238</c:v>
                </c:pt>
                <c:pt idx="239">
                  <c:v>239</c:v>
                </c:pt>
                <c:pt idx="240">
                  <c:v>240</c:v>
                </c:pt>
                <c:pt idx="241">
                  <c:v>241</c:v>
                </c:pt>
                <c:pt idx="242">
                  <c:v>242</c:v>
                </c:pt>
                <c:pt idx="243">
                  <c:v>243</c:v>
                </c:pt>
                <c:pt idx="244">
                  <c:v>244</c:v>
                </c:pt>
                <c:pt idx="245">
                  <c:v>245</c:v>
                </c:pt>
                <c:pt idx="246">
                  <c:v>246</c:v>
                </c:pt>
                <c:pt idx="247">
                  <c:v>247</c:v>
                </c:pt>
                <c:pt idx="248">
                  <c:v>248</c:v>
                </c:pt>
                <c:pt idx="249">
                  <c:v>249</c:v>
                </c:pt>
                <c:pt idx="250">
                  <c:v>250</c:v>
                </c:pt>
                <c:pt idx="251">
                  <c:v>251</c:v>
                </c:pt>
                <c:pt idx="252">
                  <c:v>252</c:v>
                </c:pt>
                <c:pt idx="253">
                  <c:v>253</c:v>
                </c:pt>
                <c:pt idx="254">
                  <c:v>254</c:v>
                </c:pt>
                <c:pt idx="255">
                  <c:v>255</c:v>
                </c:pt>
                <c:pt idx="256">
                  <c:v>256</c:v>
                </c:pt>
                <c:pt idx="257">
                  <c:v>257</c:v>
                </c:pt>
                <c:pt idx="258">
                  <c:v>258</c:v>
                </c:pt>
                <c:pt idx="259">
                  <c:v>259</c:v>
                </c:pt>
                <c:pt idx="260">
                  <c:v>260</c:v>
                </c:pt>
                <c:pt idx="261">
                  <c:v>261</c:v>
                </c:pt>
                <c:pt idx="262">
                  <c:v>262</c:v>
                </c:pt>
                <c:pt idx="263">
                  <c:v>263</c:v>
                </c:pt>
                <c:pt idx="264">
                  <c:v>264</c:v>
                </c:pt>
                <c:pt idx="265">
                  <c:v>265</c:v>
                </c:pt>
                <c:pt idx="266">
                  <c:v>266</c:v>
                </c:pt>
                <c:pt idx="267">
                  <c:v>267</c:v>
                </c:pt>
                <c:pt idx="268">
                  <c:v>268</c:v>
                </c:pt>
                <c:pt idx="269">
                  <c:v>269</c:v>
                </c:pt>
                <c:pt idx="270">
                  <c:v>270</c:v>
                </c:pt>
                <c:pt idx="271">
                  <c:v>271</c:v>
                </c:pt>
                <c:pt idx="272">
                  <c:v>272</c:v>
                </c:pt>
                <c:pt idx="273">
                  <c:v>273</c:v>
                </c:pt>
                <c:pt idx="274">
                  <c:v>274</c:v>
                </c:pt>
                <c:pt idx="275">
                  <c:v>275</c:v>
                </c:pt>
                <c:pt idx="276">
                  <c:v>276</c:v>
                </c:pt>
                <c:pt idx="277">
                  <c:v>277</c:v>
                </c:pt>
                <c:pt idx="278">
                  <c:v>278</c:v>
                </c:pt>
                <c:pt idx="279">
                  <c:v>279</c:v>
                </c:pt>
                <c:pt idx="280">
                  <c:v>280</c:v>
                </c:pt>
                <c:pt idx="281">
                  <c:v>281</c:v>
                </c:pt>
                <c:pt idx="282">
                  <c:v>282</c:v>
                </c:pt>
                <c:pt idx="283">
                  <c:v>283</c:v>
                </c:pt>
                <c:pt idx="284">
                  <c:v>284</c:v>
                </c:pt>
                <c:pt idx="285">
                  <c:v>285</c:v>
                </c:pt>
                <c:pt idx="286">
                  <c:v>286</c:v>
                </c:pt>
                <c:pt idx="287">
                  <c:v>287</c:v>
                </c:pt>
                <c:pt idx="288">
                  <c:v>288</c:v>
                </c:pt>
                <c:pt idx="289">
                  <c:v>289</c:v>
                </c:pt>
                <c:pt idx="290">
                  <c:v>290</c:v>
                </c:pt>
                <c:pt idx="291">
                  <c:v>291</c:v>
                </c:pt>
                <c:pt idx="292">
                  <c:v>292</c:v>
                </c:pt>
                <c:pt idx="293">
                  <c:v>293</c:v>
                </c:pt>
                <c:pt idx="294">
                  <c:v>294</c:v>
                </c:pt>
                <c:pt idx="295">
                  <c:v>295</c:v>
                </c:pt>
                <c:pt idx="296">
                  <c:v>296</c:v>
                </c:pt>
                <c:pt idx="297">
                  <c:v>297</c:v>
                </c:pt>
                <c:pt idx="298">
                  <c:v>298</c:v>
                </c:pt>
                <c:pt idx="299">
                  <c:v>299</c:v>
                </c:pt>
                <c:pt idx="300">
                  <c:v>300</c:v>
                </c:pt>
                <c:pt idx="301">
                  <c:v>301</c:v>
                </c:pt>
                <c:pt idx="302">
                  <c:v>302</c:v>
                </c:pt>
                <c:pt idx="303">
                  <c:v>303</c:v>
                </c:pt>
                <c:pt idx="304">
                  <c:v>304</c:v>
                </c:pt>
                <c:pt idx="305">
                  <c:v>305</c:v>
                </c:pt>
                <c:pt idx="306">
                  <c:v>306</c:v>
                </c:pt>
                <c:pt idx="307">
                  <c:v>307</c:v>
                </c:pt>
                <c:pt idx="308">
                  <c:v>308</c:v>
                </c:pt>
                <c:pt idx="309">
                  <c:v>309</c:v>
                </c:pt>
                <c:pt idx="310">
                  <c:v>310</c:v>
                </c:pt>
                <c:pt idx="311">
                  <c:v>311</c:v>
                </c:pt>
                <c:pt idx="312">
                  <c:v>312</c:v>
                </c:pt>
                <c:pt idx="313">
                  <c:v>313</c:v>
                </c:pt>
                <c:pt idx="314">
                  <c:v>314</c:v>
                </c:pt>
                <c:pt idx="315">
                  <c:v>315</c:v>
                </c:pt>
                <c:pt idx="316">
                  <c:v>316</c:v>
                </c:pt>
                <c:pt idx="317">
                  <c:v>317</c:v>
                </c:pt>
                <c:pt idx="318">
                  <c:v>318</c:v>
                </c:pt>
                <c:pt idx="319">
                  <c:v>319</c:v>
                </c:pt>
                <c:pt idx="320">
                  <c:v>320</c:v>
                </c:pt>
                <c:pt idx="321">
                  <c:v>321</c:v>
                </c:pt>
                <c:pt idx="322">
                  <c:v>322</c:v>
                </c:pt>
                <c:pt idx="323">
                  <c:v>323</c:v>
                </c:pt>
                <c:pt idx="324">
                  <c:v>324</c:v>
                </c:pt>
                <c:pt idx="325">
                  <c:v>325</c:v>
                </c:pt>
                <c:pt idx="326">
                  <c:v>326</c:v>
                </c:pt>
                <c:pt idx="327">
                  <c:v>327</c:v>
                </c:pt>
                <c:pt idx="328">
                  <c:v>328</c:v>
                </c:pt>
                <c:pt idx="329">
                  <c:v>329</c:v>
                </c:pt>
                <c:pt idx="330">
                  <c:v>330</c:v>
                </c:pt>
                <c:pt idx="331">
                  <c:v>331</c:v>
                </c:pt>
                <c:pt idx="332">
                  <c:v>332</c:v>
                </c:pt>
                <c:pt idx="333">
                  <c:v>333</c:v>
                </c:pt>
                <c:pt idx="334">
                  <c:v>334</c:v>
                </c:pt>
                <c:pt idx="335">
                  <c:v>335</c:v>
                </c:pt>
                <c:pt idx="336">
                  <c:v>336</c:v>
                </c:pt>
                <c:pt idx="337">
                  <c:v>337</c:v>
                </c:pt>
                <c:pt idx="338">
                  <c:v>338</c:v>
                </c:pt>
                <c:pt idx="339">
                  <c:v>339</c:v>
                </c:pt>
                <c:pt idx="340">
                  <c:v>340</c:v>
                </c:pt>
                <c:pt idx="341">
                  <c:v>341</c:v>
                </c:pt>
                <c:pt idx="342">
                  <c:v>342</c:v>
                </c:pt>
                <c:pt idx="343">
                  <c:v>343</c:v>
                </c:pt>
                <c:pt idx="344">
                  <c:v>344</c:v>
                </c:pt>
                <c:pt idx="345">
                  <c:v>345</c:v>
                </c:pt>
                <c:pt idx="346">
                  <c:v>346</c:v>
                </c:pt>
                <c:pt idx="347">
                  <c:v>347</c:v>
                </c:pt>
                <c:pt idx="348">
                  <c:v>348</c:v>
                </c:pt>
                <c:pt idx="349">
                  <c:v>349</c:v>
                </c:pt>
                <c:pt idx="350">
                  <c:v>350</c:v>
                </c:pt>
                <c:pt idx="351">
                  <c:v>351</c:v>
                </c:pt>
                <c:pt idx="352">
                  <c:v>352</c:v>
                </c:pt>
                <c:pt idx="353">
                  <c:v>353</c:v>
                </c:pt>
                <c:pt idx="354">
                  <c:v>354</c:v>
                </c:pt>
                <c:pt idx="355">
                  <c:v>355</c:v>
                </c:pt>
                <c:pt idx="356">
                  <c:v>356</c:v>
                </c:pt>
                <c:pt idx="357">
                  <c:v>357</c:v>
                </c:pt>
                <c:pt idx="358">
                  <c:v>358</c:v>
                </c:pt>
                <c:pt idx="359">
                  <c:v>359</c:v>
                </c:pt>
                <c:pt idx="360">
                  <c:v>360</c:v>
                </c:pt>
                <c:pt idx="361">
                  <c:v>361</c:v>
                </c:pt>
                <c:pt idx="362">
                  <c:v>362</c:v>
                </c:pt>
                <c:pt idx="363">
                  <c:v>363</c:v>
                </c:pt>
                <c:pt idx="364">
                  <c:v>364</c:v>
                </c:pt>
                <c:pt idx="365">
                  <c:v>365</c:v>
                </c:pt>
                <c:pt idx="366">
                  <c:v>366</c:v>
                </c:pt>
                <c:pt idx="367">
                  <c:v>367</c:v>
                </c:pt>
                <c:pt idx="368">
                  <c:v>368</c:v>
                </c:pt>
                <c:pt idx="369">
                  <c:v>369</c:v>
                </c:pt>
                <c:pt idx="370">
                  <c:v>370</c:v>
                </c:pt>
                <c:pt idx="371">
                  <c:v>371</c:v>
                </c:pt>
                <c:pt idx="372">
                  <c:v>372</c:v>
                </c:pt>
                <c:pt idx="373">
                  <c:v>373</c:v>
                </c:pt>
                <c:pt idx="374">
                  <c:v>374</c:v>
                </c:pt>
                <c:pt idx="375">
                  <c:v>375</c:v>
                </c:pt>
                <c:pt idx="376">
                  <c:v>376</c:v>
                </c:pt>
                <c:pt idx="377">
                  <c:v>377</c:v>
                </c:pt>
                <c:pt idx="378">
                  <c:v>378</c:v>
                </c:pt>
                <c:pt idx="379">
                  <c:v>379</c:v>
                </c:pt>
                <c:pt idx="380">
                  <c:v>380</c:v>
                </c:pt>
                <c:pt idx="381">
                  <c:v>381</c:v>
                </c:pt>
                <c:pt idx="382">
                  <c:v>382</c:v>
                </c:pt>
                <c:pt idx="383">
                  <c:v>383</c:v>
                </c:pt>
                <c:pt idx="384">
                  <c:v>384</c:v>
                </c:pt>
                <c:pt idx="385">
                  <c:v>385</c:v>
                </c:pt>
                <c:pt idx="386">
                  <c:v>386</c:v>
                </c:pt>
                <c:pt idx="387">
                  <c:v>387</c:v>
                </c:pt>
                <c:pt idx="388">
                  <c:v>388</c:v>
                </c:pt>
                <c:pt idx="389">
                  <c:v>389</c:v>
                </c:pt>
                <c:pt idx="390">
                  <c:v>390</c:v>
                </c:pt>
                <c:pt idx="391">
                  <c:v>391</c:v>
                </c:pt>
                <c:pt idx="392">
                  <c:v>392</c:v>
                </c:pt>
                <c:pt idx="393">
                  <c:v>393</c:v>
                </c:pt>
                <c:pt idx="394">
                  <c:v>394</c:v>
                </c:pt>
                <c:pt idx="395">
                  <c:v>395</c:v>
                </c:pt>
                <c:pt idx="396">
                  <c:v>396</c:v>
                </c:pt>
                <c:pt idx="397">
                  <c:v>397</c:v>
                </c:pt>
                <c:pt idx="398">
                  <c:v>398</c:v>
                </c:pt>
                <c:pt idx="399">
                  <c:v>399</c:v>
                </c:pt>
                <c:pt idx="400">
                  <c:v>400</c:v>
                </c:pt>
                <c:pt idx="401">
                  <c:v>401</c:v>
                </c:pt>
                <c:pt idx="402">
                  <c:v>402</c:v>
                </c:pt>
                <c:pt idx="403">
                  <c:v>403</c:v>
                </c:pt>
                <c:pt idx="404">
                  <c:v>404</c:v>
                </c:pt>
                <c:pt idx="405">
                  <c:v>405</c:v>
                </c:pt>
                <c:pt idx="406">
                  <c:v>406</c:v>
                </c:pt>
                <c:pt idx="407">
                  <c:v>407</c:v>
                </c:pt>
                <c:pt idx="408">
                  <c:v>408</c:v>
                </c:pt>
                <c:pt idx="409">
                  <c:v>409</c:v>
                </c:pt>
                <c:pt idx="410">
                  <c:v>410</c:v>
                </c:pt>
                <c:pt idx="411">
                  <c:v>411</c:v>
                </c:pt>
                <c:pt idx="412">
                  <c:v>412</c:v>
                </c:pt>
                <c:pt idx="413">
                  <c:v>413</c:v>
                </c:pt>
                <c:pt idx="414">
                  <c:v>414</c:v>
                </c:pt>
                <c:pt idx="415">
                  <c:v>415</c:v>
                </c:pt>
                <c:pt idx="416">
                  <c:v>416</c:v>
                </c:pt>
                <c:pt idx="417">
                  <c:v>417</c:v>
                </c:pt>
                <c:pt idx="418">
                  <c:v>418</c:v>
                </c:pt>
                <c:pt idx="419">
                  <c:v>419</c:v>
                </c:pt>
                <c:pt idx="420">
                  <c:v>420</c:v>
                </c:pt>
                <c:pt idx="421">
                  <c:v>421</c:v>
                </c:pt>
                <c:pt idx="422">
                  <c:v>422</c:v>
                </c:pt>
                <c:pt idx="423">
                  <c:v>423</c:v>
                </c:pt>
                <c:pt idx="424">
                  <c:v>424</c:v>
                </c:pt>
                <c:pt idx="425">
                  <c:v>425</c:v>
                </c:pt>
                <c:pt idx="426">
                  <c:v>426</c:v>
                </c:pt>
                <c:pt idx="427">
                  <c:v>427</c:v>
                </c:pt>
                <c:pt idx="428">
                  <c:v>428</c:v>
                </c:pt>
                <c:pt idx="429">
                  <c:v>429</c:v>
                </c:pt>
                <c:pt idx="430">
                  <c:v>430</c:v>
                </c:pt>
                <c:pt idx="431">
                  <c:v>431</c:v>
                </c:pt>
                <c:pt idx="432">
                  <c:v>432</c:v>
                </c:pt>
                <c:pt idx="433">
                  <c:v>433</c:v>
                </c:pt>
                <c:pt idx="434">
                  <c:v>434</c:v>
                </c:pt>
                <c:pt idx="435">
                  <c:v>435</c:v>
                </c:pt>
                <c:pt idx="436">
                  <c:v>436</c:v>
                </c:pt>
                <c:pt idx="437">
                  <c:v>437</c:v>
                </c:pt>
                <c:pt idx="438">
                  <c:v>438</c:v>
                </c:pt>
                <c:pt idx="439">
                  <c:v>439</c:v>
                </c:pt>
                <c:pt idx="440">
                  <c:v>440</c:v>
                </c:pt>
                <c:pt idx="441">
                  <c:v>441</c:v>
                </c:pt>
                <c:pt idx="442">
                  <c:v>442</c:v>
                </c:pt>
                <c:pt idx="443">
                  <c:v>443</c:v>
                </c:pt>
                <c:pt idx="444">
                  <c:v>444</c:v>
                </c:pt>
                <c:pt idx="445">
                  <c:v>445</c:v>
                </c:pt>
                <c:pt idx="446">
                  <c:v>446</c:v>
                </c:pt>
                <c:pt idx="447">
                  <c:v>447</c:v>
                </c:pt>
                <c:pt idx="448">
                  <c:v>448</c:v>
                </c:pt>
                <c:pt idx="449">
                  <c:v>449</c:v>
                </c:pt>
                <c:pt idx="450">
                  <c:v>450</c:v>
                </c:pt>
                <c:pt idx="451">
                  <c:v>451</c:v>
                </c:pt>
                <c:pt idx="452">
                  <c:v>452</c:v>
                </c:pt>
                <c:pt idx="453">
                  <c:v>453</c:v>
                </c:pt>
                <c:pt idx="454">
                  <c:v>454</c:v>
                </c:pt>
                <c:pt idx="455">
                  <c:v>455</c:v>
                </c:pt>
                <c:pt idx="456">
                  <c:v>456</c:v>
                </c:pt>
                <c:pt idx="457">
                  <c:v>457</c:v>
                </c:pt>
                <c:pt idx="458">
                  <c:v>458</c:v>
                </c:pt>
                <c:pt idx="459">
                  <c:v>459</c:v>
                </c:pt>
                <c:pt idx="460">
                  <c:v>460</c:v>
                </c:pt>
                <c:pt idx="461">
                  <c:v>461</c:v>
                </c:pt>
                <c:pt idx="462">
                  <c:v>462</c:v>
                </c:pt>
                <c:pt idx="463">
                  <c:v>463</c:v>
                </c:pt>
                <c:pt idx="464">
                  <c:v>464</c:v>
                </c:pt>
                <c:pt idx="465">
                  <c:v>465</c:v>
                </c:pt>
                <c:pt idx="466">
                  <c:v>466</c:v>
                </c:pt>
                <c:pt idx="467">
                  <c:v>467</c:v>
                </c:pt>
                <c:pt idx="468">
                  <c:v>468</c:v>
                </c:pt>
                <c:pt idx="469">
                  <c:v>469</c:v>
                </c:pt>
                <c:pt idx="470">
                  <c:v>470</c:v>
                </c:pt>
                <c:pt idx="471">
                  <c:v>471</c:v>
                </c:pt>
                <c:pt idx="472">
                  <c:v>472</c:v>
                </c:pt>
                <c:pt idx="473">
                  <c:v>473</c:v>
                </c:pt>
                <c:pt idx="474">
                  <c:v>474</c:v>
                </c:pt>
                <c:pt idx="475">
                  <c:v>475</c:v>
                </c:pt>
                <c:pt idx="476">
                  <c:v>476</c:v>
                </c:pt>
                <c:pt idx="477">
                  <c:v>477</c:v>
                </c:pt>
                <c:pt idx="478">
                  <c:v>478</c:v>
                </c:pt>
                <c:pt idx="479">
                  <c:v>479</c:v>
                </c:pt>
                <c:pt idx="480">
                  <c:v>480</c:v>
                </c:pt>
                <c:pt idx="481">
                  <c:v>481</c:v>
                </c:pt>
                <c:pt idx="482">
                  <c:v>482</c:v>
                </c:pt>
                <c:pt idx="483">
                  <c:v>483</c:v>
                </c:pt>
                <c:pt idx="484">
                  <c:v>484</c:v>
                </c:pt>
                <c:pt idx="485">
                  <c:v>485</c:v>
                </c:pt>
                <c:pt idx="486">
                  <c:v>486</c:v>
                </c:pt>
                <c:pt idx="487">
                  <c:v>487</c:v>
                </c:pt>
                <c:pt idx="488">
                  <c:v>488</c:v>
                </c:pt>
                <c:pt idx="489">
                  <c:v>489</c:v>
                </c:pt>
                <c:pt idx="490">
                  <c:v>490</c:v>
                </c:pt>
                <c:pt idx="491">
                  <c:v>491</c:v>
                </c:pt>
                <c:pt idx="492">
                  <c:v>492</c:v>
                </c:pt>
                <c:pt idx="493">
                  <c:v>493</c:v>
                </c:pt>
                <c:pt idx="494">
                  <c:v>494</c:v>
                </c:pt>
                <c:pt idx="495">
                  <c:v>495</c:v>
                </c:pt>
                <c:pt idx="496">
                  <c:v>496</c:v>
                </c:pt>
                <c:pt idx="497">
                  <c:v>497</c:v>
                </c:pt>
                <c:pt idx="498">
                  <c:v>498</c:v>
                </c:pt>
                <c:pt idx="499">
                  <c:v>499</c:v>
                </c:pt>
                <c:pt idx="500">
                  <c:v>500</c:v>
                </c:pt>
                <c:pt idx="501">
                  <c:v>501</c:v>
                </c:pt>
                <c:pt idx="502">
                  <c:v>502</c:v>
                </c:pt>
                <c:pt idx="503">
                  <c:v>503</c:v>
                </c:pt>
                <c:pt idx="504">
                  <c:v>504</c:v>
                </c:pt>
                <c:pt idx="505">
                  <c:v>505</c:v>
                </c:pt>
                <c:pt idx="506">
                  <c:v>506</c:v>
                </c:pt>
                <c:pt idx="507">
                  <c:v>507</c:v>
                </c:pt>
                <c:pt idx="508">
                  <c:v>508</c:v>
                </c:pt>
                <c:pt idx="509">
                  <c:v>509</c:v>
                </c:pt>
                <c:pt idx="510">
                  <c:v>510</c:v>
                </c:pt>
                <c:pt idx="511">
                  <c:v>511</c:v>
                </c:pt>
                <c:pt idx="512">
                  <c:v>512</c:v>
                </c:pt>
                <c:pt idx="513">
                  <c:v>513</c:v>
                </c:pt>
                <c:pt idx="514">
                  <c:v>514</c:v>
                </c:pt>
                <c:pt idx="515">
                  <c:v>515</c:v>
                </c:pt>
                <c:pt idx="516">
                  <c:v>516</c:v>
                </c:pt>
                <c:pt idx="517">
                  <c:v>517</c:v>
                </c:pt>
                <c:pt idx="518">
                  <c:v>518</c:v>
                </c:pt>
                <c:pt idx="519">
                  <c:v>519</c:v>
                </c:pt>
                <c:pt idx="520">
                  <c:v>520</c:v>
                </c:pt>
                <c:pt idx="521">
                  <c:v>521</c:v>
                </c:pt>
                <c:pt idx="522">
                  <c:v>522</c:v>
                </c:pt>
                <c:pt idx="523">
                  <c:v>523</c:v>
                </c:pt>
                <c:pt idx="524">
                  <c:v>524</c:v>
                </c:pt>
                <c:pt idx="525">
                  <c:v>525</c:v>
                </c:pt>
                <c:pt idx="526">
                  <c:v>526</c:v>
                </c:pt>
                <c:pt idx="527">
                  <c:v>527</c:v>
                </c:pt>
                <c:pt idx="528">
                  <c:v>528</c:v>
                </c:pt>
                <c:pt idx="529">
                  <c:v>529</c:v>
                </c:pt>
                <c:pt idx="530">
                  <c:v>530</c:v>
                </c:pt>
                <c:pt idx="531">
                  <c:v>531</c:v>
                </c:pt>
                <c:pt idx="532">
                  <c:v>532</c:v>
                </c:pt>
                <c:pt idx="533">
                  <c:v>533</c:v>
                </c:pt>
                <c:pt idx="534">
                  <c:v>534</c:v>
                </c:pt>
                <c:pt idx="535">
                  <c:v>535</c:v>
                </c:pt>
                <c:pt idx="536">
                  <c:v>536</c:v>
                </c:pt>
                <c:pt idx="537">
                  <c:v>537</c:v>
                </c:pt>
                <c:pt idx="538">
                  <c:v>538</c:v>
                </c:pt>
                <c:pt idx="539">
                  <c:v>539</c:v>
                </c:pt>
                <c:pt idx="540">
                  <c:v>540</c:v>
                </c:pt>
                <c:pt idx="541">
                  <c:v>541</c:v>
                </c:pt>
                <c:pt idx="542">
                  <c:v>542</c:v>
                </c:pt>
                <c:pt idx="543">
                  <c:v>543</c:v>
                </c:pt>
                <c:pt idx="544">
                  <c:v>544</c:v>
                </c:pt>
                <c:pt idx="545">
                  <c:v>545</c:v>
                </c:pt>
                <c:pt idx="546">
                  <c:v>546</c:v>
                </c:pt>
                <c:pt idx="547">
                  <c:v>547</c:v>
                </c:pt>
                <c:pt idx="548">
                  <c:v>548</c:v>
                </c:pt>
                <c:pt idx="549">
                  <c:v>549</c:v>
                </c:pt>
                <c:pt idx="550">
                  <c:v>550</c:v>
                </c:pt>
                <c:pt idx="551">
                  <c:v>551</c:v>
                </c:pt>
                <c:pt idx="552">
                  <c:v>552</c:v>
                </c:pt>
                <c:pt idx="553">
                  <c:v>553</c:v>
                </c:pt>
                <c:pt idx="554">
                  <c:v>554</c:v>
                </c:pt>
                <c:pt idx="555">
                  <c:v>555</c:v>
                </c:pt>
                <c:pt idx="556">
                  <c:v>556</c:v>
                </c:pt>
                <c:pt idx="557">
                  <c:v>557</c:v>
                </c:pt>
                <c:pt idx="558">
                  <c:v>558</c:v>
                </c:pt>
                <c:pt idx="559">
                  <c:v>559</c:v>
                </c:pt>
                <c:pt idx="560">
                  <c:v>560</c:v>
                </c:pt>
                <c:pt idx="561">
                  <c:v>561</c:v>
                </c:pt>
                <c:pt idx="562">
                  <c:v>562</c:v>
                </c:pt>
                <c:pt idx="563">
                  <c:v>563</c:v>
                </c:pt>
                <c:pt idx="564">
                  <c:v>564</c:v>
                </c:pt>
                <c:pt idx="565">
                  <c:v>565</c:v>
                </c:pt>
                <c:pt idx="566">
                  <c:v>566</c:v>
                </c:pt>
                <c:pt idx="567">
                  <c:v>567</c:v>
                </c:pt>
                <c:pt idx="568">
                  <c:v>568</c:v>
                </c:pt>
                <c:pt idx="569">
                  <c:v>569</c:v>
                </c:pt>
                <c:pt idx="570">
                  <c:v>570</c:v>
                </c:pt>
                <c:pt idx="571">
                  <c:v>571</c:v>
                </c:pt>
                <c:pt idx="572">
                  <c:v>572</c:v>
                </c:pt>
                <c:pt idx="573">
                  <c:v>573</c:v>
                </c:pt>
                <c:pt idx="574">
                  <c:v>574</c:v>
                </c:pt>
                <c:pt idx="575">
                  <c:v>575</c:v>
                </c:pt>
                <c:pt idx="576">
                  <c:v>576</c:v>
                </c:pt>
                <c:pt idx="577">
                  <c:v>577</c:v>
                </c:pt>
                <c:pt idx="578">
                  <c:v>578</c:v>
                </c:pt>
                <c:pt idx="579">
                  <c:v>579</c:v>
                </c:pt>
                <c:pt idx="580">
                  <c:v>580</c:v>
                </c:pt>
                <c:pt idx="581">
                  <c:v>581</c:v>
                </c:pt>
                <c:pt idx="582">
                  <c:v>582</c:v>
                </c:pt>
                <c:pt idx="583">
                  <c:v>583</c:v>
                </c:pt>
                <c:pt idx="584">
                  <c:v>584</c:v>
                </c:pt>
                <c:pt idx="585">
                  <c:v>585</c:v>
                </c:pt>
                <c:pt idx="586">
                  <c:v>586</c:v>
                </c:pt>
                <c:pt idx="587">
                  <c:v>587</c:v>
                </c:pt>
                <c:pt idx="588">
                  <c:v>588</c:v>
                </c:pt>
                <c:pt idx="589">
                  <c:v>589</c:v>
                </c:pt>
                <c:pt idx="590">
                  <c:v>590</c:v>
                </c:pt>
                <c:pt idx="591">
                  <c:v>591</c:v>
                </c:pt>
                <c:pt idx="592">
                  <c:v>592</c:v>
                </c:pt>
                <c:pt idx="593">
                  <c:v>593</c:v>
                </c:pt>
                <c:pt idx="594">
                  <c:v>594</c:v>
                </c:pt>
                <c:pt idx="595">
                  <c:v>595</c:v>
                </c:pt>
                <c:pt idx="596">
                  <c:v>596</c:v>
                </c:pt>
                <c:pt idx="597">
                  <c:v>597</c:v>
                </c:pt>
                <c:pt idx="598">
                  <c:v>598</c:v>
                </c:pt>
                <c:pt idx="599">
                  <c:v>599</c:v>
                </c:pt>
                <c:pt idx="600">
                  <c:v>600</c:v>
                </c:pt>
                <c:pt idx="601">
                  <c:v>601</c:v>
                </c:pt>
                <c:pt idx="602">
                  <c:v>602</c:v>
                </c:pt>
                <c:pt idx="603">
                  <c:v>603</c:v>
                </c:pt>
                <c:pt idx="604">
                  <c:v>604</c:v>
                </c:pt>
                <c:pt idx="605">
                  <c:v>605</c:v>
                </c:pt>
                <c:pt idx="606">
                  <c:v>606</c:v>
                </c:pt>
                <c:pt idx="607">
                  <c:v>607</c:v>
                </c:pt>
                <c:pt idx="608">
                  <c:v>608</c:v>
                </c:pt>
                <c:pt idx="609">
                  <c:v>609</c:v>
                </c:pt>
                <c:pt idx="610">
                  <c:v>610</c:v>
                </c:pt>
                <c:pt idx="611">
                  <c:v>611</c:v>
                </c:pt>
                <c:pt idx="612">
                  <c:v>612</c:v>
                </c:pt>
                <c:pt idx="613">
                  <c:v>613</c:v>
                </c:pt>
                <c:pt idx="614">
                  <c:v>614</c:v>
                </c:pt>
                <c:pt idx="615">
                  <c:v>615</c:v>
                </c:pt>
                <c:pt idx="616">
                  <c:v>616</c:v>
                </c:pt>
                <c:pt idx="617">
                  <c:v>617</c:v>
                </c:pt>
                <c:pt idx="618">
                  <c:v>618</c:v>
                </c:pt>
                <c:pt idx="619">
                  <c:v>619</c:v>
                </c:pt>
                <c:pt idx="620">
                  <c:v>620</c:v>
                </c:pt>
                <c:pt idx="621">
                  <c:v>621</c:v>
                </c:pt>
                <c:pt idx="622">
                  <c:v>622</c:v>
                </c:pt>
                <c:pt idx="623">
                  <c:v>623</c:v>
                </c:pt>
                <c:pt idx="624">
                  <c:v>624</c:v>
                </c:pt>
                <c:pt idx="625">
                  <c:v>625</c:v>
                </c:pt>
                <c:pt idx="626">
                  <c:v>626</c:v>
                </c:pt>
                <c:pt idx="627">
                  <c:v>627</c:v>
                </c:pt>
                <c:pt idx="628">
                  <c:v>628</c:v>
                </c:pt>
                <c:pt idx="629">
                  <c:v>629</c:v>
                </c:pt>
                <c:pt idx="630">
                  <c:v>630</c:v>
                </c:pt>
                <c:pt idx="631">
                  <c:v>631</c:v>
                </c:pt>
                <c:pt idx="632">
                  <c:v>632</c:v>
                </c:pt>
                <c:pt idx="633">
                  <c:v>633</c:v>
                </c:pt>
                <c:pt idx="634">
                  <c:v>634</c:v>
                </c:pt>
                <c:pt idx="635">
                  <c:v>635</c:v>
                </c:pt>
                <c:pt idx="636">
                  <c:v>636</c:v>
                </c:pt>
                <c:pt idx="637">
                  <c:v>637</c:v>
                </c:pt>
                <c:pt idx="638">
                  <c:v>638</c:v>
                </c:pt>
                <c:pt idx="639">
                  <c:v>639</c:v>
                </c:pt>
                <c:pt idx="640">
                  <c:v>640</c:v>
                </c:pt>
                <c:pt idx="641">
                  <c:v>641</c:v>
                </c:pt>
                <c:pt idx="642">
                  <c:v>642</c:v>
                </c:pt>
                <c:pt idx="643">
                  <c:v>643</c:v>
                </c:pt>
                <c:pt idx="644">
                  <c:v>644</c:v>
                </c:pt>
                <c:pt idx="645">
                  <c:v>645</c:v>
                </c:pt>
                <c:pt idx="646">
                  <c:v>646</c:v>
                </c:pt>
                <c:pt idx="647">
                  <c:v>647</c:v>
                </c:pt>
                <c:pt idx="648">
                  <c:v>648</c:v>
                </c:pt>
                <c:pt idx="649">
                  <c:v>649</c:v>
                </c:pt>
                <c:pt idx="650">
                  <c:v>650</c:v>
                </c:pt>
                <c:pt idx="651">
                  <c:v>651</c:v>
                </c:pt>
                <c:pt idx="652">
                  <c:v>652</c:v>
                </c:pt>
                <c:pt idx="653">
                  <c:v>653</c:v>
                </c:pt>
                <c:pt idx="654">
                  <c:v>654</c:v>
                </c:pt>
                <c:pt idx="655">
                  <c:v>655</c:v>
                </c:pt>
                <c:pt idx="656">
                  <c:v>656</c:v>
                </c:pt>
                <c:pt idx="657">
                  <c:v>657</c:v>
                </c:pt>
                <c:pt idx="658">
                  <c:v>658</c:v>
                </c:pt>
                <c:pt idx="659">
                  <c:v>659</c:v>
                </c:pt>
                <c:pt idx="660">
                  <c:v>660</c:v>
                </c:pt>
                <c:pt idx="661">
                  <c:v>661</c:v>
                </c:pt>
                <c:pt idx="662">
                  <c:v>662</c:v>
                </c:pt>
                <c:pt idx="663">
                  <c:v>663</c:v>
                </c:pt>
                <c:pt idx="664">
                  <c:v>664</c:v>
                </c:pt>
                <c:pt idx="665">
                  <c:v>665</c:v>
                </c:pt>
                <c:pt idx="666">
                  <c:v>666</c:v>
                </c:pt>
                <c:pt idx="667">
                  <c:v>667</c:v>
                </c:pt>
                <c:pt idx="668">
                  <c:v>668</c:v>
                </c:pt>
                <c:pt idx="669">
                  <c:v>669</c:v>
                </c:pt>
                <c:pt idx="670">
                  <c:v>670</c:v>
                </c:pt>
                <c:pt idx="671">
                  <c:v>671</c:v>
                </c:pt>
                <c:pt idx="672">
                  <c:v>672</c:v>
                </c:pt>
                <c:pt idx="673">
                  <c:v>673</c:v>
                </c:pt>
                <c:pt idx="674">
                  <c:v>674</c:v>
                </c:pt>
                <c:pt idx="675">
                  <c:v>675</c:v>
                </c:pt>
                <c:pt idx="676">
                  <c:v>676</c:v>
                </c:pt>
                <c:pt idx="677">
                  <c:v>677</c:v>
                </c:pt>
                <c:pt idx="678">
                  <c:v>678</c:v>
                </c:pt>
                <c:pt idx="679">
                  <c:v>679</c:v>
                </c:pt>
                <c:pt idx="680">
                  <c:v>680</c:v>
                </c:pt>
                <c:pt idx="681">
                  <c:v>681</c:v>
                </c:pt>
                <c:pt idx="682">
                  <c:v>682</c:v>
                </c:pt>
                <c:pt idx="683">
                  <c:v>683</c:v>
                </c:pt>
                <c:pt idx="684">
                  <c:v>684</c:v>
                </c:pt>
                <c:pt idx="685">
                  <c:v>685</c:v>
                </c:pt>
                <c:pt idx="686">
                  <c:v>686</c:v>
                </c:pt>
                <c:pt idx="687">
                  <c:v>687</c:v>
                </c:pt>
                <c:pt idx="688">
                  <c:v>688</c:v>
                </c:pt>
                <c:pt idx="689">
                  <c:v>689</c:v>
                </c:pt>
                <c:pt idx="690">
                  <c:v>690</c:v>
                </c:pt>
                <c:pt idx="691">
                  <c:v>691</c:v>
                </c:pt>
                <c:pt idx="692">
                  <c:v>692</c:v>
                </c:pt>
                <c:pt idx="693">
                  <c:v>693</c:v>
                </c:pt>
                <c:pt idx="694">
                  <c:v>694</c:v>
                </c:pt>
                <c:pt idx="695">
                  <c:v>695</c:v>
                </c:pt>
                <c:pt idx="696">
                  <c:v>696</c:v>
                </c:pt>
                <c:pt idx="697">
                  <c:v>697</c:v>
                </c:pt>
                <c:pt idx="698">
                  <c:v>698</c:v>
                </c:pt>
                <c:pt idx="699">
                  <c:v>699</c:v>
                </c:pt>
                <c:pt idx="700">
                  <c:v>700</c:v>
                </c:pt>
                <c:pt idx="701">
                  <c:v>701</c:v>
                </c:pt>
                <c:pt idx="702">
                  <c:v>702</c:v>
                </c:pt>
                <c:pt idx="703">
                  <c:v>703</c:v>
                </c:pt>
                <c:pt idx="704">
                  <c:v>704</c:v>
                </c:pt>
                <c:pt idx="705">
                  <c:v>705</c:v>
                </c:pt>
                <c:pt idx="706">
                  <c:v>706</c:v>
                </c:pt>
                <c:pt idx="707">
                  <c:v>707</c:v>
                </c:pt>
                <c:pt idx="708">
                  <c:v>708</c:v>
                </c:pt>
                <c:pt idx="709">
                  <c:v>709</c:v>
                </c:pt>
                <c:pt idx="710">
                  <c:v>710</c:v>
                </c:pt>
                <c:pt idx="711">
                  <c:v>711</c:v>
                </c:pt>
                <c:pt idx="712">
                  <c:v>712</c:v>
                </c:pt>
                <c:pt idx="713">
                  <c:v>713</c:v>
                </c:pt>
                <c:pt idx="714">
                  <c:v>714</c:v>
                </c:pt>
                <c:pt idx="715">
                  <c:v>715</c:v>
                </c:pt>
                <c:pt idx="716">
                  <c:v>716</c:v>
                </c:pt>
                <c:pt idx="717">
                  <c:v>717</c:v>
                </c:pt>
                <c:pt idx="718">
                  <c:v>718</c:v>
                </c:pt>
                <c:pt idx="719">
                  <c:v>719</c:v>
                </c:pt>
                <c:pt idx="720">
                  <c:v>720</c:v>
                </c:pt>
                <c:pt idx="721">
                  <c:v>721</c:v>
                </c:pt>
                <c:pt idx="722">
                  <c:v>722</c:v>
                </c:pt>
                <c:pt idx="723">
                  <c:v>723</c:v>
                </c:pt>
                <c:pt idx="724">
                  <c:v>724</c:v>
                </c:pt>
                <c:pt idx="725">
                  <c:v>725</c:v>
                </c:pt>
                <c:pt idx="726">
                  <c:v>726</c:v>
                </c:pt>
                <c:pt idx="727">
                  <c:v>727</c:v>
                </c:pt>
                <c:pt idx="728">
                  <c:v>728</c:v>
                </c:pt>
                <c:pt idx="729">
                  <c:v>729</c:v>
                </c:pt>
                <c:pt idx="730">
                  <c:v>730</c:v>
                </c:pt>
                <c:pt idx="731">
                  <c:v>731</c:v>
                </c:pt>
                <c:pt idx="732">
                  <c:v>732</c:v>
                </c:pt>
                <c:pt idx="733">
                  <c:v>733</c:v>
                </c:pt>
                <c:pt idx="734">
                  <c:v>734</c:v>
                </c:pt>
                <c:pt idx="735">
                  <c:v>735</c:v>
                </c:pt>
                <c:pt idx="736">
                  <c:v>736</c:v>
                </c:pt>
                <c:pt idx="737">
                  <c:v>737</c:v>
                </c:pt>
                <c:pt idx="738">
                  <c:v>738</c:v>
                </c:pt>
                <c:pt idx="739">
                  <c:v>739</c:v>
                </c:pt>
                <c:pt idx="740">
                  <c:v>740</c:v>
                </c:pt>
                <c:pt idx="741">
                  <c:v>741</c:v>
                </c:pt>
                <c:pt idx="742">
                  <c:v>742</c:v>
                </c:pt>
                <c:pt idx="743">
                  <c:v>743</c:v>
                </c:pt>
                <c:pt idx="744">
                  <c:v>744</c:v>
                </c:pt>
                <c:pt idx="745">
                  <c:v>745</c:v>
                </c:pt>
                <c:pt idx="746">
                  <c:v>746</c:v>
                </c:pt>
                <c:pt idx="747">
                  <c:v>747</c:v>
                </c:pt>
                <c:pt idx="748">
                  <c:v>748</c:v>
                </c:pt>
                <c:pt idx="749">
                  <c:v>749</c:v>
                </c:pt>
                <c:pt idx="750">
                  <c:v>750</c:v>
                </c:pt>
                <c:pt idx="751">
                  <c:v>751</c:v>
                </c:pt>
                <c:pt idx="752">
                  <c:v>752</c:v>
                </c:pt>
                <c:pt idx="753">
                  <c:v>753</c:v>
                </c:pt>
                <c:pt idx="754">
                  <c:v>754</c:v>
                </c:pt>
                <c:pt idx="755">
                  <c:v>755</c:v>
                </c:pt>
                <c:pt idx="756">
                  <c:v>756</c:v>
                </c:pt>
                <c:pt idx="757">
                  <c:v>757</c:v>
                </c:pt>
                <c:pt idx="758">
                  <c:v>758</c:v>
                </c:pt>
                <c:pt idx="759">
                  <c:v>759</c:v>
                </c:pt>
                <c:pt idx="760">
                  <c:v>760</c:v>
                </c:pt>
                <c:pt idx="761">
                  <c:v>761</c:v>
                </c:pt>
                <c:pt idx="762">
                  <c:v>762</c:v>
                </c:pt>
                <c:pt idx="763">
                  <c:v>763</c:v>
                </c:pt>
                <c:pt idx="764">
                  <c:v>764</c:v>
                </c:pt>
                <c:pt idx="765">
                  <c:v>765</c:v>
                </c:pt>
                <c:pt idx="766">
                  <c:v>766</c:v>
                </c:pt>
                <c:pt idx="767">
                  <c:v>767</c:v>
                </c:pt>
                <c:pt idx="768">
                  <c:v>768</c:v>
                </c:pt>
                <c:pt idx="769">
                  <c:v>769</c:v>
                </c:pt>
                <c:pt idx="770">
                  <c:v>770</c:v>
                </c:pt>
                <c:pt idx="771">
                  <c:v>771</c:v>
                </c:pt>
                <c:pt idx="772">
                  <c:v>772</c:v>
                </c:pt>
                <c:pt idx="773">
                  <c:v>773</c:v>
                </c:pt>
                <c:pt idx="774">
                  <c:v>774</c:v>
                </c:pt>
                <c:pt idx="775">
                  <c:v>775</c:v>
                </c:pt>
                <c:pt idx="776">
                  <c:v>776</c:v>
                </c:pt>
                <c:pt idx="777">
                  <c:v>777</c:v>
                </c:pt>
                <c:pt idx="778">
                  <c:v>778</c:v>
                </c:pt>
                <c:pt idx="779">
                  <c:v>779</c:v>
                </c:pt>
                <c:pt idx="780">
                  <c:v>780</c:v>
                </c:pt>
                <c:pt idx="781">
                  <c:v>781</c:v>
                </c:pt>
                <c:pt idx="782">
                  <c:v>782</c:v>
                </c:pt>
                <c:pt idx="783">
                  <c:v>783</c:v>
                </c:pt>
                <c:pt idx="784">
                  <c:v>784</c:v>
                </c:pt>
                <c:pt idx="785">
                  <c:v>785</c:v>
                </c:pt>
                <c:pt idx="786">
                  <c:v>786</c:v>
                </c:pt>
                <c:pt idx="787">
                  <c:v>787</c:v>
                </c:pt>
                <c:pt idx="788">
                  <c:v>788</c:v>
                </c:pt>
                <c:pt idx="789">
                  <c:v>789</c:v>
                </c:pt>
                <c:pt idx="790">
                  <c:v>790</c:v>
                </c:pt>
                <c:pt idx="791">
                  <c:v>791</c:v>
                </c:pt>
                <c:pt idx="792">
                  <c:v>792</c:v>
                </c:pt>
                <c:pt idx="793">
                  <c:v>793</c:v>
                </c:pt>
                <c:pt idx="794">
                  <c:v>794</c:v>
                </c:pt>
                <c:pt idx="795">
                  <c:v>795</c:v>
                </c:pt>
                <c:pt idx="796">
                  <c:v>796</c:v>
                </c:pt>
                <c:pt idx="797">
                  <c:v>797</c:v>
                </c:pt>
                <c:pt idx="798">
                  <c:v>798</c:v>
                </c:pt>
                <c:pt idx="799">
                  <c:v>799</c:v>
                </c:pt>
                <c:pt idx="800">
                  <c:v>800</c:v>
                </c:pt>
                <c:pt idx="801">
                  <c:v>801</c:v>
                </c:pt>
                <c:pt idx="802">
                  <c:v>802</c:v>
                </c:pt>
                <c:pt idx="803">
                  <c:v>803</c:v>
                </c:pt>
                <c:pt idx="804">
                  <c:v>804</c:v>
                </c:pt>
                <c:pt idx="805">
                  <c:v>805</c:v>
                </c:pt>
                <c:pt idx="806">
                  <c:v>806</c:v>
                </c:pt>
                <c:pt idx="807">
                  <c:v>807</c:v>
                </c:pt>
                <c:pt idx="808">
                  <c:v>808</c:v>
                </c:pt>
                <c:pt idx="809">
                  <c:v>809</c:v>
                </c:pt>
                <c:pt idx="810">
                  <c:v>810</c:v>
                </c:pt>
                <c:pt idx="811">
                  <c:v>811</c:v>
                </c:pt>
                <c:pt idx="812">
                  <c:v>812</c:v>
                </c:pt>
                <c:pt idx="813">
                  <c:v>813</c:v>
                </c:pt>
                <c:pt idx="814">
                  <c:v>814</c:v>
                </c:pt>
                <c:pt idx="815">
                  <c:v>815</c:v>
                </c:pt>
                <c:pt idx="816">
                  <c:v>816</c:v>
                </c:pt>
                <c:pt idx="817">
                  <c:v>817</c:v>
                </c:pt>
                <c:pt idx="818">
                  <c:v>818</c:v>
                </c:pt>
                <c:pt idx="819">
                  <c:v>819</c:v>
                </c:pt>
                <c:pt idx="820">
                  <c:v>820</c:v>
                </c:pt>
                <c:pt idx="821">
                  <c:v>821</c:v>
                </c:pt>
                <c:pt idx="822">
                  <c:v>822</c:v>
                </c:pt>
                <c:pt idx="823">
                  <c:v>823</c:v>
                </c:pt>
                <c:pt idx="824">
                  <c:v>824</c:v>
                </c:pt>
                <c:pt idx="825">
                  <c:v>825</c:v>
                </c:pt>
                <c:pt idx="826">
                  <c:v>826</c:v>
                </c:pt>
                <c:pt idx="827">
                  <c:v>827</c:v>
                </c:pt>
                <c:pt idx="828">
                  <c:v>828</c:v>
                </c:pt>
                <c:pt idx="829">
                  <c:v>829</c:v>
                </c:pt>
                <c:pt idx="830">
                  <c:v>830</c:v>
                </c:pt>
                <c:pt idx="831">
                  <c:v>831</c:v>
                </c:pt>
                <c:pt idx="832">
                  <c:v>832</c:v>
                </c:pt>
                <c:pt idx="833">
                  <c:v>833</c:v>
                </c:pt>
                <c:pt idx="834">
                  <c:v>834</c:v>
                </c:pt>
                <c:pt idx="835">
                  <c:v>835</c:v>
                </c:pt>
                <c:pt idx="836">
                  <c:v>836</c:v>
                </c:pt>
                <c:pt idx="837">
                  <c:v>837</c:v>
                </c:pt>
                <c:pt idx="838">
                  <c:v>838</c:v>
                </c:pt>
                <c:pt idx="839">
                  <c:v>839</c:v>
                </c:pt>
                <c:pt idx="840">
                  <c:v>840</c:v>
                </c:pt>
                <c:pt idx="841">
                  <c:v>841</c:v>
                </c:pt>
                <c:pt idx="842">
                  <c:v>842</c:v>
                </c:pt>
                <c:pt idx="843">
                  <c:v>843</c:v>
                </c:pt>
                <c:pt idx="844">
                  <c:v>844</c:v>
                </c:pt>
                <c:pt idx="845">
                  <c:v>845</c:v>
                </c:pt>
                <c:pt idx="846">
                  <c:v>846</c:v>
                </c:pt>
                <c:pt idx="847">
                  <c:v>847</c:v>
                </c:pt>
                <c:pt idx="848">
                  <c:v>848</c:v>
                </c:pt>
                <c:pt idx="849">
                  <c:v>849</c:v>
                </c:pt>
                <c:pt idx="850">
                  <c:v>850</c:v>
                </c:pt>
                <c:pt idx="851">
                  <c:v>851</c:v>
                </c:pt>
                <c:pt idx="852">
                  <c:v>852</c:v>
                </c:pt>
                <c:pt idx="853">
                  <c:v>853</c:v>
                </c:pt>
                <c:pt idx="854">
                  <c:v>854</c:v>
                </c:pt>
                <c:pt idx="855">
                  <c:v>855</c:v>
                </c:pt>
                <c:pt idx="856">
                  <c:v>856</c:v>
                </c:pt>
                <c:pt idx="857">
                  <c:v>857</c:v>
                </c:pt>
                <c:pt idx="858">
                  <c:v>858</c:v>
                </c:pt>
                <c:pt idx="859">
                  <c:v>859</c:v>
                </c:pt>
                <c:pt idx="860">
                  <c:v>860</c:v>
                </c:pt>
                <c:pt idx="861">
                  <c:v>861</c:v>
                </c:pt>
                <c:pt idx="862">
                  <c:v>862</c:v>
                </c:pt>
                <c:pt idx="863">
                  <c:v>863</c:v>
                </c:pt>
                <c:pt idx="864">
                  <c:v>864</c:v>
                </c:pt>
                <c:pt idx="865">
                  <c:v>865</c:v>
                </c:pt>
                <c:pt idx="866">
                  <c:v>866</c:v>
                </c:pt>
                <c:pt idx="867">
                  <c:v>867</c:v>
                </c:pt>
                <c:pt idx="868">
                  <c:v>868</c:v>
                </c:pt>
                <c:pt idx="869">
                  <c:v>869</c:v>
                </c:pt>
                <c:pt idx="870">
                  <c:v>870</c:v>
                </c:pt>
                <c:pt idx="871">
                  <c:v>871</c:v>
                </c:pt>
                <c:pt idx="872">
                  <c:v>872</c:v>
                </c:pt>
                <c:pt idx="873">
                  <c:v>873</c:v>
                </c:pt>
                <c:pt idx="874">
                  <c:v>874</c:v>
                </c:pt>
                <c:pt idx="875">
                  <c:v>875</c:v>
                </c:pt>
                <c:pt idx="876">
                  <c:v>876</c:v>
                </c:pt>
                <c:pt idx="877">
                  <c:v>877</c:v>
                </c:pt>
                <c:pt idx="878">
                  <c:v>878</c:v>
                </c:pt>
                <c:pt idx="879">
                  <c:v>879</c:v>
                </c:pt>
                <c:pt idx="880">
                  <c:v>880</c:v>
                </c:pt>
                <c:pt idx="881">
                  <c:v>881</c:v>
                </c:pt>
                <c:pt idx="882">
                  <c:v>882</c:v>
                </c:pt>
                <c:pt idx="883">
                  <c:v>883</c:v>
                </c:pt>
                <c:pt idx="884">
                  <c:v>884</c:v>
                </c:pt>
                <c:pt idx="885">
                  <c:v>885</c:v>
                </c:pt>
                <c:pt idx="886">
                  <c:v>886</c:v>
                </c:pt>
                <c:pt idx="887">
                  <c:v>887</c:v>
                </c:pt>
                <c:pt idx="888">
                  <c:v>888</c:v>
                </c:pt>
                <c:pt idx="889">
                  <c:v>889</c:v>
                </c:pt>
                <c:pt idx="890">
                  <c:v>890</c:v>
                </c:pt>
                <c:pt idx="891">
                  <c:v>891</c:v>
                </c:pt>
                <c:pt idx="892">
                  <c:v>892</c:v>
                </c:pt>
                <c:pt idx="893">
                  <c:v>893</c:v>
                </c:pt>
                <c:pt idx="894">
                  <c:v>894</c:v>
                </c:pt>
                <c:pt idx="895">
                  <c:v>895</c:v>
                </c:pt>
                <c:pt idx="896">
                  <c:v>896</c:v>
                </c:pt>
                <c:pt idx="897">
                  <c:v>897</c:v>
                </c:pt>
                <c:pt idx="898">
                  <c:v>898</c:v>
                </c:pt>
                <c:pt idx="899">
                  <c:v>899</c:v>
                </c:pt>
                <c:pt idx="900">
                  <c:v>900</c:v>
                </c:pt>
                <c:pt idx="901">
                  <c:v>901</c:v>
                </c:pt>
                <c:pt idx="902">
                  <c:v>902</c:v>
                </c:pt>
                <c:pt idx="903">
                  <c:v>903</c:v>
                </c:pt>
                <c:pt idx="904">
                  <c:v>904</c:v>
                </c:pt>
                <c:pt idx="905">
                  <c:v>905</c:v>
                </c:pt>
                <c:pt idx="906">
                  <c:v>906</c:v>
                </c:pt>
                <c:pt idx="907">
                  <c:v>907</c:v>
                </c:pt>
                <c:pt idx="908">
                  <c:v>908</c:v>
                </c:pt>
                <c:pt idx="909">
                  <c:v>909</c:v>
                </c:pt>
                <c:pt idx="910">
                  <c:v>910</c:v>
                </c:pt>
                <c:pt idx="911">
                  <c:v>911</c:v>
                </c:pt>
                <c:pt idx="912">
                  <c:v>912</c:v>
                </c:pt>
                <c:pt idx="913">
                  <c:v>913</c:v>
                </c:pt>
                <c:pt idx="914">
                  <c:v>914</c:v>
                </c:pt>
                <c:pt idx="915">
                  <c:v>915</c:v>
                </c:pt>
                <c:pt idx="916">
                  <c:v>916</c:v>
                </c:pt>
                <c:pt idx="917">
                  <c:v>917</c:v>
                </c:pt>
                <c:pt idx="918">
                  <c:v>918</c:v>
                </c:pt>
                <c:pt idx="919">
                  <c:v>919</c:v>
                </c:pt>
                <c:pt idx="920">
                  <c:v>920</c:v>
                </c:pt>
                <c:pt idx="921">
                  <c:v>921</c:v>
                </c:pt>
                <c:pt idx="922">
                  <c:v>922</c:v>
                </c:pt>
                <c:pt idx="923">
                  <c:v>923</c:v>
                </c:pt>
                <c:pt idx="924">
                  <c:v>924</c:v>
                </c:pt>
                <c:pt idx="925">
                  <c:v>925</c:v>
                </c:pt>
                <c:pt idx="926">
                  <c:v>926</c:v>
                </c:pt>
                <c:pt idx="927">
                  <c:v>927</c:v>
                </c:pt>
                <c:pt idx="928">
                  <c:v>928</c:v>
                </c:pt>
                <c:pt idx="929">
                  <c:v>929</c:v>
                </c:pt>
                <c:pt idx="930">
                  <c:v>930</c:v>
                </c:pt>
                <c:pt idx="931">
                  <c:v>931</c:v>
                </c:pt>
                <c:pt idx="932">
                  <c:v>932</c:v>
                </c:pt>
                <c:pt idx="933">
                  <c:v>933</c:v>
                </c:pt>
                <c:pt idx="934">
                  <c:v>934</c:v>
                </c:pt>
                <c:pt idx="935">
                  <c:v>935</c:v>
                </c:pt>
                <c:pt idx="936">
                  <c:v>936</c:v>
                </c:pt>
                <c:pt idx="937">
                  <c:v>937</c:v>
                </c:pt>
                <c:pt idx="938">
                  <c:v>938</c:v>
                </c:pt>
                <c:pt idx="939">
                  <c:v>939</c:v>
                </c:pt>
                <c:pt idx="940">
                  <c:v>940</c:v>
                </c:pt>
                <c:pt idx="941">
                  <c:v>941</c:v>
                </c:pt>
                <c:pt idx="942">
                  <c:v>942</c:v>
                </c:pt>
                <c:pt idx="943">
                  <c:v>943</c:v>
                </c:pt>
                <c:pt idx="944">
                  <c:v>944</c:v>
                </c:pt>
                <c:pt idx="945">
                  <c:v>945</c:v>
                </c:pt>
                <c:pt idx="946">
                  <c:v>946</c:v>
                </c:pt>
                <c:pt idx="947">
                  <c:v>947</c:v>
                </c:pt>
                <c:pt idx="948">
                  <c:v>948</c:v>
                </c:pt>
                <c:pt idx="949">
                  <c:v>949</c:v>
                </c:pt>
                <c:pt idx="950">
                  <c:v>950</c:v>
                </c:pt>
                <c:pt idx="951">
                  <c:v>951</c:v>
                </c:pt>
                <c:pt idx="952">
                  <c:v>952</c:v>
                </c:pt>
                <c:pt idx="953">
                  <c:v>953</c:v>
                </c:pt>
                <c:pt idx="954">
                  <c:v>954</c:v>
                </c:pt>
                <c:pt idx="955">
                  <c:v>955</c:v>
                </c:pt>
                <c:pt idx="956">
                  <c:v>956</c:v>
                </c:pt>
                <c:pt idx="957">
                  <c:v>957</c:v>
                </c:pt>
                <c:pt idx="958">
                  <c:v>958</c:v>
                </c:pt>
                <c:pt idx="959">
                  <c:v>959</c:v>
                </c:pt>
                <c:pt idx="960">
                  <c:v>960</c:v>
                </c:pt>
                <c:pt idx="961">
                  <c:v>961</c:v>
                </c:pt>
                <c:pt idx="962">
                  <c:v>962</c:v>
                </c:pt>
                <c:pt idx="963">
                  <c:v>963</c:v>
                </c:pt>
                <c:pt idx="964">
                  <c:v>964</c:v>
                </c:pt>
                <c:pt idx="965">
                  <c:v>965</c:v>
                </c:pt>
                <c:pt idx="966">
                  <c:v>966</c:v>
                </c:pt>
                <c:pt idx="967">
                  <c:v>967</c:v>
                </c:pt>
                <c:pt idx="968">
                  <c:v>968</c:v>
                </c:pt>
                <c:pt idx="969">
                  <c:v>969</c:v>
                </c:pt>
                <c:pt idx="970">
                  <c:v>970</c:v>
                </c:pt>
                <c:pt idx="971">
                  <c:v>971</c:v>
                </c:pt>
                <c:pt idx="972">
                  <c:v>972</c:v>
                </c:pt>
                <c:pt idx="973">
                  <c:v>973</c:v>
                </c:pt>
                <c:pt idx="974">
                  <c:v>974</c:v>
                </c:pt>
                <c:pt idx="975">
                  <c:v>975</c:v>
                </c:pt>
                <c:pt idx="976">
                  <c:v>976</c:v>
                </c:pt>
                <c:pt idx="977">
                  <c:v>977</c:v>
                </c:pt>
                <c:pt idx="978">
                  <c:v>978</c:v>
                </c:pt>
                <c:pt idx="979">
                  <c:v>979</c:v>
                </c:pt>
                <c:pt idx="980">
                  <c:v>980</c:v>
                </c:pt>
                <c:pt idx="981">
                  <c:v>981</c:v>
                </c:pt>
                <c:pt idx="982">
                  <c:v>982</c:v>
                </c:pt>
                <c:pt idx="983">
                  <c:v>983</c:v>
                </c:pt>
                <c:pt idx="984">
                  <c:v>984</c:v>
                </c:pt>
                <c:pt idx="985">
                  <c:v>985</c:v>
                </c:pt>
                <c:pt idx="986">
                  <c:v>986</c:v>
                </c:pt>
                <c:pt idx="987">
                  <c:v>987</c:v>
                </c:pt>
                <c:pt idx="988">
                  <c:v>988</c:v>
                </c:pt>
                <c:pt idx="989">
                  <c:v>989</c:v>
                </c:pt>
                <c:pt idx="990">
                  <c:v>990</c:v>
                </c:pt>
                <c:pt idx="991">
                  <c:v>991</c:v>
                </c:pt>
                <c:pt idx="992">
                  <c:v>992</c:v>
                </c:pt>
                <c:pt idx="993">
                  <c:v>993</c:v>
                </c:pt>
                <c:pt idx="994">
                  <c:v>994</c:v>
                </c:pt>
                <c:pt idx="995">
                  <c:v>995</c:v>
                </c:pt>
                <c:pt idx="996">
                  <c:v>996</c:v>
                </c:pt>
                <c:pt idx="997">
                  <c:v>997</c:v>
                </c:pt>
                <c:pt idx="998">
                  <c:v>998</c:v>
                </c:pt>
                <c:pt idx="999">
                  <c:v>999</c:v>
                </c:pt>
                <c:pt idx="1000">
                  <c:v>1000</c:v>
                </c:pt>
                <c:pt idx="1001">
                  <c:v>1001</c:v>
                </c:pt>
                <c:pt idx="1002">
                  <c:v>1002</c:v>
                </c:pt>
                <c:pt idx="1003">
                  <c:v>1003</c:v>
                </c:pt>
                <c:pt idx="1004">
                  <c:v>1004</c:v>
                </c:pt>
                <c:pt idx="1005">
                  <c:v>1005</c:v>
                </c:pt>
                <c:pt idx="1006">
                  <c:v>1006</c:v>
                </c:pt>
                <c:pt idx="1007">
                  <c:v>1007</c:v>
                </c:pt>
                <c:pt idx="1008">
                  <c:v>1008</c:v>
                </c:pt>
                <c:pt idx="1009">
                  <c:v>1009</c:v>
                </c:pt>
                <c:pt idx="1010">
                  <c:v>1010</c:v>
                </c:pt>
                <c:pt idx="1011">
                  <c:v>1011</c:v>
                </c:pt>
                <c:pt idx="1012">
                  <c:v>1012</c:v>
                </c:pt>
                <c:pt idx="1013">
                  <c:v>1013</c:v>
                </c:pt>
                <c:pt idx="1014">
                  <c:v>1014</c:v>
                </c:pt>
                <c:pt idx="1015">
                  <c:v>1015</c:v>
                </c:pt>
                <c:pt idx="1016">
                  <c:v>1016</c:v>
                </c:pt>
                <c:pt idx="1017">
                  <c:v>1017</c:v>
                </c:pt>
                <c:pt idx="1018">
                  <c:v>1018</c:v>
                </c:pt>
                <c:pt idx="1019">
                  <c:v>1019</c:v>
                </c:pt>
                <c:pt idx="1020">
                  <c:v>1020</c:v>
                </c:pt>
                <c:pt idx="1021">
                  <c:v>1021</c:v>
                </c:pt>
                <c:pt idx="1022">
                  <c:v>1022</c:v>
                </c:pt>
                <c:pt idx="1023">
                  <c:v>1023</c:v>
                </c:pt>
                <c:pt idx="1024">
                  <c:v>1024</c:v>
                </c:pt>
                <c:pt idx="1025">
                  <c:v>1025</c:v>
                </c:pt>
                <c:pt idx="1026">
                  <c:v>1026</c:v>
                </c:pt>
                <c:pt idx="1027">
                  <c:v>1027</c:v>
                </c:pt>
                <c:pt idx="1028">
                  <c:v>1028</c:v>
                </c:pt>
                <c:pt idx="1029">
                  <c:v>1029</c:v>
                </c:pt>
                <c:pt idx="1030">
                  <c:v>1030</c:v>
                </c:pt>
                <c:pt idx="1031">
                  <c:v>1031</c:v>
                </c:pt>
                <c:pt idx="1032">
                  <c:v>1032</c:v>
                </c:pt>
                <c:pt idx="1033">
                  <c:v>1033</c:v>
                </c:pt>
                <c:pt idx="1034">
                  <c:v>1034</c:v>
                </c:pt>
                <c:pt idx="1035">
                  <c:v>1035</c:v>
                </c:pt>
                <c:pt idx="1036">
                  <c:v>1036</c:v>
                </c:pt>
                <c:pt idx="1037">
                  <c:v>1037</c:v>
                </c:pt>
                <c:pt idx="1038">
                  <c:v>1038</c:v>
                </c:pt>
                <c:pt idx="1039">
                  <c:v>1039</c:v>
                </c:pt>
                <c:pt idx="1040">
                  <c:v>1040</c:v>
                </c:pt>
              </c:numCache>
            </c:numRef>
          </c:xVal>
          <c:yVal>
            <c:numRef>
              <c:f>'Model Treatment'!$U$7:$U$1047</c:f>
              <c:numCache>
                <c:formatCode>0.000</c:formatCode>
                <c:ptCount val="1041"/>
                <c:pt idx="0">
                  <c:v>1</c:v>
                </c:pt>
                <c:pt idx="1">
                  <c:v>0.99613402061855705</c:v>
                </c:pt>
                <c:pt idx="2">
                  <c:v>0.99355670103092797</c:v>
                </c:pt>
                <c:pt idx="3">
                  <c:v>0.98582474226804095</c:v>
                </c:pt>
                <c:pt idx="4">
                  <c:v>0.97422680412371099</c:v>
                </c:pt>
                <c:pt idx="5">
                  <c:v>0.97036082474226804</c:v>
                </c:pt>
                <c:pt idx="6">
                  <c:v>0.94458062528014297</c:v>
                </c:pt>
                <c:pt idx="7">
                  <c:v>0.91995195758655801</c:v>
                </c:pt>
                <c:pt idx="8">
                  <c:v>0.91083427049640098</c:v>
                </c:pt>
                <c:pt idx="9">
                  <c:v>0.90301595057797701</c:v>
                </c:pt>
                <c:pt idx="10">
                  <c:v>0.89910490213569305</c:v>
                </c:pt>
                <c:pt idx="11">
                  <c:v>0.89779996033288401</c:v>
                </c:pt>
                <c:pt idx="12">
                  <c:v>0.87943872610459395</c:v>
                </c:pt>
                <c:pt idx="13">
                  <c:v>0.85430235817243405</c:v>
                </c:pt>
                <c:pt idx="14">
                  <c:v>0.840894916892307</c:v>
                </c:pt>
                <c:pt idx="15">
                  <c:v>0.83148760541867395</c:v>
                </c:pt>
                <c:pt idx="16">
                  <c:v>0.82476035942014103</c:v>
                </c:pt>
                <c:pt idx="17">
                  <c:v>0.81668544766638296</c:v>
                </c:pt>
                <c:pt idx="18">
                  <c:v>0.79628964557514004</c:v>
                </c:pt>
                <c:pt idx="19">
                  <c:v>0.75504613159757294</c:v>
                </c:pt>
                <c:pt idx="20">
                  <c:v>0.73426950811006597</c:v>
                </c:pt>
                <c:pt idx="21">
                  <c:v>0.71898784871111099</c:v>
                </c:pt>
                <c:pt idx="22">
                  <c:v>0.71620107410370404</c:v>
                </c:pt>
                <c:pt idx="23">
                  <c:v>0.707797099994662</c:v>
                </c:pt>
                <c:pt idx="24">
                  <c:v>0.68244268837411104</c:v>
                </c:pt>
                <c:pt idx="25">
                  <c:v>0.63810301925880597</c:v>
                </c:pt>
                <c:pt idx="26">
                  <c:v>0.62645093341499802</c:v>
                </c:pt>
                <c:pt idx="27">
                  <c:v>0.616229123312656</c:v>
                </c:pt>
                <c:pt idx="28">
                  <c:v>0.610374214777618</c:v>
                </c:pt>
                <c:pt idx="29">
                  <c:v>0.59864318427082297</c:v>
                </c:pt>
                <c:pt idx="30">
                  <c:v>0.57650655588107602</c:v>
                </c:pt>
                <c:pt idx="31">
                  <c:v>0.53350744765075697</c:v>
                </c:pt>
                <c:pt idx="32">
                  <c:v>0.51707697987119094</c:v>
                </c:pt>
                <c:pt idx="33">
                  <c:v>0.50358801517889895</c:v>
                </c:pt>
                <c:pt idx="34">
                  <c:v>0.49609414590540302</c:v>
                </c:pt>
                <c:pt idx="35">
                  <c:v>0.49458626096344199</c:v>
                </c:pt>
                <c:pt idx="36">
                  <c:v>0.48852211417539598</c:v>
                </c:pt>
                <c:pt idx="37">
                  <c:v>0.46555324477278398</c:v>
                </c:pt>
                <c:pt idx="38">
                  <c:v>0.45163304808522498</c:v>
                </c:pt>
                <c:pt idx="39">
                  <c:v>0.44544092355561299</c:v>
                </c:pt>
                <c:pt idx="40">
                  <c:v>0.43611211683114398</c:v>
                </c:pt>
                <c:pt idx="41">
                  <c:v>0.42832440045915898</c:v>
                </c:pt>
                <c:pt idx="42">
                  <c:v>0.41422061241484298</c:v>
                </c:pt>
                <c:pt idx="43">
                  <c:v>0.392254367817086</c:v>
                </c:pt>
                <c:pt idx="44">
                  <c:v>0.38280245533956597</c:v>
                </c:pt>
                <c:pt idx="45">
                  <c:v>0.38122062701171699</c:v>
                </c:pt>
                <c:pt idx="46">
                  <c:v>0.38122062701171699</c:v>
                </c:pt>
                <c:pt idx="47">
                  <c:v>0.38122062701171699</c:v>
                </c:pt>
                <c:pt idx="48">
                  <c:v>0.36527636794429802</c:v>
                </c:pt>
                <c:pt idx="49">
                  <c:v>0.35402549327890998</c:v>
                </c:pt>
                <c:pt idx="50">
                  <c:v>0.34245878734770702</c:v>
                </c:pt>
                <c:pt idx="51">
                  <c:v>0.33410613399776301</c:v>
                </c:pt>
                <c:pt idx="52">
                  <c:v>0.33410613399776301</c:v>
                </c:pt>
                <c:pt idx="53">
                  <c:v>0.33410613399776301</c:v>
                </c:pt>
                <c:pt idx="54">
                  <c:v>0.32901822332774699</c:v>
                </c:pt>
                <c:pt idx="55">
                  <c:v>0.32049443515863402</c:v>
                </c:pt>
                <c:pt idx="56">
                  <c:v>0.31878967752481102</c:v>
                </c:pt>
                <c:pt idx="57">
                  <c:v>0.31217009687285807</c:v>
                </c:pt>
                <c:pt idx="58">
                  <c:v>0.30574040805187391</c:v>
                </c:pt>
                <c:pt idx="59">
                  <c:v>0.29949439031810343</c:v>
                </c:pt>
                <c:pt idx="60">
                  <c:v>0.29342600652003303</c:v>
                </c:pt>
                <c:pt idx="61">
                  <c:v>0.28752940288620149</c:v>
                </c:pt>
                <c:pt idx="62">
                  <c:v>0.28179890793907014</c:v>
                </c:pt>
                <c:pt idx="63">
                  <c:v>0.27622903067494448</c:v>
                </c:pt>
                <c:pt idx="64">
                  <c:v>0.27081445813242744</c:v>
                </c:pt>
                <c:pt idx="65">
                  <c:v>0.2655500524563425</c:v>
                </c:pt>
                <c:pt idx="66">
                  <c:v>0.26043084755029855</c:v>
                </c:pt>
                <c:pt idx="67">
                  <c:v>0.25545204539888955</c:v>
                </c:pt>
                <c:pt idx="68">
                  <c:v>0.25060901212976372</c:v>
                </c:pt>
                <c:pt idx="69">
                  <c:v>0.24589727387630622</c:v>
                </c:pt>
                <c:pt idx="70">
                  <c:v>0.24131251249332022</c:v>
                </c:pt>
                <c:pt idx="71">
                  <c:v>0.23685056117073128</c:v>
                </c:pt>
                <c:pt idx="72">
                  <c:v>0.23250739998388054</c:v>
                </c:pt>
                <c:pt idx="73">
                  <c:v>0.2282791514132986</c:v>
                </c:pt>
                <c:pt idx="74">
                  <c:v>0.22416207586188294</c:v>
                </c:pt>
                <c:pt idx="75">
                  <c:v>0.22015256719305457</c:v>
                </c:pt>
                <c:pt idx="76">
                  <c:v>0.21624714830967084</c:v>
                </c:pt>
                <c:pt idx="77">
                  <c:v>0.21244246679015788</c:v>
                </c:pt>
                <c:pt idx="78">
                  <c:v>0.20873529059544318</c:v>
                </c:pt>
                <c:pt idx="79">
                  <c:v>0.20512250385775885</c:v>
                </c:pt>
                <c:pt idx="80">
                  <c:v>0.20160110276021603</c:v>
                </c:pt>
                <c:pt idx="81">
                  <c:v>0.19816819151416404</c:v>
                </c:pt>
                <c:pt idx="82">
                  <c:v>0.19482097843972931</c:v>
                </c:pt>
                <c:pt idx="83">
                  <c:v>0.19155677215352429</c:v>
                </c:pt>
                <c:pt idx="84">
                  <c:v>0.18837297786632276</c:v>
                </c:pt>
                <c:pt idx="85">
                  <c:v>0.18526709379246592</c:v>
                </c:pt>
                <c:pt idx="86">
                  <c:v>0.18223670767189284</c:v>
                </c:pt>
                <c:pt idx="87">
                  <c:v>0.17927949340494531</c:v>
                </c:pt>
                <c:pt idx="88">
                  <c:v>0.17639320779947382</c:v>
                </c:pt>
                <c:pt idx="89">
                  <c:v>0.17357568742924412</c:v>
                </c:pt>
                <c:pt idx="90">
                  <c:v>0.17082484560221176</c:v>
                </c:pt>
                <c:pt idx="91">
                  <c:v>0.1681386694368697</c:v>
                </c:pt>
                <c:pt idx="92">
                  <c:v>0.16551521704458313</c:v>
                </c:pt>
                <c:pt idx="93">
                  <c:v>0.16295261481559015</c:v>
                </c:pt>
                <c:pt idx="94">
                  <c:v>0.16044905480616165</c:v>
                </c:pt>
                <c:pt idx="95">
                  <c:v>0.1580027922242718</c:v>
                </c:pt>
                <c:pt idx="96">
                  <c:v>0.15561214301102547</c:v>
                </c:pt>
                <c:pt idx="97">
                  <c:v>0.15327548151501486</c:v>
                </c:pt>
                <c:pt idx="98">
                  <c:v>0.15099123825673172</c:v>
                </c:pt>
                <c:pt idx="99">
                  <c:v>0.14875789778013829</c:v>
                </c:pt>
                <c:pt idx="100">
                  <c:v>0.14657399658849507</c:v>
                </c:pt>
                <c:pt idx="101">
                  <c:v>0.1444381211615583</c:v>
                </c:pt>
                <c:pt idx="102">
                  <c:v>0.14234890605128359</c:v>
                </c:pt>
                <c:pt idx="103">
                  <c:v>0.14030503205321274</c:v>
                </c:pt>
                <c:pt idx="104">
                  <c:v>0.13830522445076632</c:v>
                </c:pt>
                <c:pt idx="105">
                  <c:v>0.13634825132971906</c:v>
                </c:pt>
                <c:pt idx="106">
                  <c:v>0.13443292196019904</c:v>
                </c:pt>
                <c:pt idx="107">
                  <c:v>0.13255808524361296</c:v>
                </c:pt>
                <c:pt idx="108">
                  <c:v>0.13072262822197345</c:v>
                </c:pt>
                <c:pt idx="109">
                  <c:v>0.12892547464717521</c:v>
                </c:pt>
                <c:pt idx="110">
                  <c:v>0.127165583607839</c:v>
                </c:pt>
                <c:pt idx="111">
                  <c:v>0.12544194821142163</c:v>
                </c:pt>
                <c:pt idx="112">
                  <c:v>0.12375359431936284</c:v>
                </c:pt>
                <c:pt idx="113">
                  <c:v>0.12209957933311667</c:v>
                </c:pt>
                <c:pt idx="114">
                  <c:v>0.12047899102899202</c:v>
                </c:pt>
                <c:pt idx="115">
                  <c:v>0.11889094643980003</c:v>
                </c:pt>
                <c:pt idx="116">
                  <c:v>0.11733459078137977</c:v>
                </c:pt>
                <c:pt idx="117">
                  <c:v>0.11580909642214895</c:v>
                </c:pt>
                <c:pt idx="118">
                  <c:v>0.11431366189389329</c:v>
                </c:pt>
                <c:pt idx="119">
                  <c:v>0.1128475109420807</c:v>
                </c:pt>
                <c:pt idx="120">
                  <c:v>0.11140989161405339</c:v>
                </c:pt>
                <c:pt idx="121">
                  <c:v>0.11000007538351583</c:v>
                </c:pt>
                <c:pt idx="122">
                  <c:v>0.10861735630980131</c:v>
                </c:pt>
                <c:pt idx="123">
                  <c:v>0.10726105023046156</c:v>
                </c:pt>
                <c:pt idx="124">
                  <c:v>0.10593049398578326</c:v>
                </c:pt>
                <c:pt idx="125">
                  <c:v>0.1046250446738942</c:v>
                </c:pt>
                <c:pt idx="126">
                  <c:v>0.10334407893517625</c:v>
                </c:pt>
                <c:pt idx="127">
                  <c:v>0.10208699226475733</c:v>
                </c:pt>
                <c:pt idx="128">
                  <c:v>0.10085319835190598</c:v>
                </c:pt>
                <c:pt idx="129">
                  <c:v>9.9642128445202219E-2</c:v>
                </c:pt>
                <c:pt idx="130">
                  <c:v>9.8453230742405182E-2</c:v>
                </c:pt>
                <c:pt idx="131">
                  <c:v>9.7285969803986933E-2</c:v>
                </c:pt>
                <c:pt idx="132">
                  <c:v>9.6139825989342412E-2</c:v>
                </c:pt>
                <c:pt idx="133">
                  <c:v>9.5014294914731304E-2</c:v>
                </c:pt>
                <c:pt idx="134">
                  <c:v>9.3908886932045785E-2</c:v>
                </c:pt>
                <c:pt idx="135">
                  <c:v>9.2823126627539443E-2</c:v>
                </c:pt>
                <c:pt idx="136">
                  <c:v>9.175655233968795E-2</c:v>
                </c:pt>
                <c:pt idx="137">
                  <c:v>9.0708715695389214E-2</c:v>
                </c:pt>
                <c:pt idx="138">
                  <c:v>8.9679181163745292E-2</c:v>
                </c:pt>
                <c:pt idx="139">
                  <c:v>8.8667525626699883E-2</c:v>
                </c:pt>
                <c:pt idx="140">
                  <c:v>8.767333796583808E-2</c:v>
                </c:pt>
                <c:pt idx="141">
                  <c:v>8.669621866468398E-2</c:v>
                </c:pt>
                <c:pt idx="142">
                  <c:v>8.5735779425861997E-2</c:v>
                </c:pt>
                <c:pt idx="143">
                  <c:v>8.4791642802513098E-2</c:v>
                </c:pt>
                <c:pt idx="144">
                  <c:v>8.3863441843386163E-2</c:v>
                </c:pt>
                <c:pt idx="145">
                  <c:v>8.295081975104697E-2</c:v>
                </c:pt>
                <c:pt idx="146">
                  <c:v>8.2053429552674015E-2</c:v>
                </c:pt>
                <c:pt idx="147">
                  <c:v>8.1170933782931373E-2</c:v>
                </c:pt>
                <c:pt idx="148">
                  <c:v>8.0303004178432114E-2</c:v>
                </c:pt>
                <c:pt idx="149">
                  <c:v>7.9449321383325389E-2</c:v>
                </c:pt>
                <c:pt idx="150">
                  <c:v>7.8609574665562135E-2</c:v>
                </c:pt>
                <c:pt idx="151">
                  <c:v>7.7783461643411864E-2</c:v>
                </c:pt>
                <c:pt idx="152">
                  <c:v>7.6970688021822539E-2</c:v>
                </c:pt>
                <c:pt idx="153">
                  <c:v>7.6170967338231588E-2</c:v>
                </c:pt>
                <c:pt idx="154">
                  <c:v>7.5384020717455091E-2</c:v>
                </c:pt>
                <c:pt idx="155">
                  <c:v>7.4609576635295202E-2</c:v>
                </c:pt>
                <c:pt idx="156">
                  <c:v>7.3847370690524342E-2</c:v>
                </c:pt>
                <c:pt idx="157">
                  <c:v>7.3097145384915768E-2</c:v>
                </c:pt>
                <c:pt idx="158">
                  <c:v>7.2358649911007863E-2</c:v>
                </c:pt>
                <c:pt idx="159">
                  <c:v>7.1631639947299125E-2</c:v>
                </c:pt>
                <c:pt idx="160">
                  <c:v>7.0915877460586377E-2</c:v>
                </c:pt>
                <c:pt idx="161">
                  <c:v>7.0211130515169015E-2</c:v>
                </c:pt>
                <c:pt idx="162">
                  <c:v>6.9517173088655154E-2</c:v>
                </c:pt>
                <c:pt idx="163">
                  <c:v>6.8833784894114999E-2</c:v>
                </c:pt>
                <c:pt idx="164">
                  <c:v>6.816075120833881E-2</c:v>
                </c:pt>
                <c:pt idx="165">
                  <c:v>6.7497862705966749E-2</c:v>
                </c:pt>
                <c:pt idx="166">
                  <c:v>6.6844915299266325E-2</c:v>
                </c:pt>
                <c:pt idx="167">
                  <c:v>6.6201709983343848E-2</c:v>
                </c:pt>
                <c:pt idx="168">
                  <c:v>6.556805268658468E-2</c:v>
                </c:pt>
                <c:pt idx="169">
                  <c:v>6.4943754126125311E-2</c:v>
                </c:pt>
                <c:pt idx="170">
                  <c:v>6.4328629668168338E-2</c:v>
                </c:pt>
                <c:pt idx="171">
                  <c:v>6.3722499192959636E-2</c:v>
                </c:pt>
                <c:pt idx="172">
                  <c:v>6.3125186964253857E-2</c:v>
                </c:pt>
                <c:pt idx="173">
                  <c:v>6.2536521503101794E-2</c:v>
                </c:pt>
                <c:pt idx="174">
                  <c:v>6.1956335465799747E-2</c:v>
                </c:pt>
                <c:pt idx="175">
                  <c:v>6.1384465525847635E-2</c:v>
                </c:pt>
                <c:pt idx="176">
                  <c:v>6.08207522597684E-2</c:v>
                </c:pt>
                <c:pt idx="177">
                  <c:v>6.0265040036648163E-2</c:v>
                </c:pt>
                <c:pt idx="178">
                  <c:v>5.9717176911260383E-2</c:v>
                </c:pt>
                <c:pt idx="179">
                  <c:v>5.9177014520645187E-2</c:v>
                </c:pt>
                <c:pt idx="180">
                  <c:v>5.8644407984017696E-2</c:v>
                </c:pt>
                <c:pt idx="181">
                  <c:v>5.8119215805886158E-2</c:v>
                </c:pt>
                <c:pt idx="182">
                  <c:v>5.7601299782264297E-2</c:v>
                </c:pt>
                <c:pt idx="183">
                  <c:v>5.7090524909867039E-2</c:v>
                </c:pt>
                <c:pt idx="184">
                  <c:v>5.6586759298183131E-2</c:v>
                </c:pt>
                <c:pt idx="185">
                  <c:v>5.6089874084323442E-2</c:v>
                </c:pt>
                <c:pt idx="186">
                  <c:v>5.5599743350544899E-2</c:v>
                </c:pt>
                <c:pt idx="187">
                  <c:v>5.5116244044357686E-2</c:v>
                </c:pt>
                <c:pt idx="188">
                  <c:v>5.4639255901123271E-2</c:v>
                </c:pt>
                <c:pt idx="189">
                  <c:v>5.4168661369057403E-2</c:v>
                </c:pt>
                <c:pt idx="190">
                  <c:v>5.3704345536552893E-2</c:v>
                </c:pt>
                <c:pt idx="191">
                  <c:v>5.3246196061743176E-2</c:v>
                </c:pt>
                <c:pt idx="192">
                  <c:v>5.2794103104227157E-2</c:v>
                </c:pt>
                <c:pt idx="193">
                  <c:v>5.2347959258882547E-2</c:v>
                </c:pt>
                <c:pt idx="194">
                  <c:v>5.1907659491694805E-2</c:v>
                </c:pt>
                <c:pt idx="195">
                  <c:v>5.1473101077533077E-2</c:v>
                </c:pt>
                <c:pt idx="196">
                  <c:v>5.1044183539806588E-2</c:v>
                </c:pt>
                <c:pt idx="197">
                  <c:v>5.0620808591937766E-2</c:v>
                </c:pt>
                <c:pt idx="198">
                  <c:v>5.0202880080590186E-2</c:v>
                </c:pt>
                <c:pt idx="199">
                  <c:v>4.9790303930592639E-2</c:v>
                </c:pt>
                <c:pt idx="200">
                  <c:v>4.9382988091501587E-2</c:v>
                </c:pt>
                <c:pt idx="201">
                  <c:v>4.8980842485748084E-2</c:v>
                </c:pt>
                <c:pt idx="202">
                  <c:v>4.858377895831513E-2</c:v>
                </c:pt>
                <c:pt idx="203">
                  <c:v>4.8191711227895763E-2</c:v>
                </c:pt>
                <c:pt idx="204">
                  <c:v>4.7804554839481768E-2</c:v>
                </c:pt>
                <c:pt idx="205">
                  <c:v>4.7422227118336414E-2</c:v>
                </c:pt>
                <c:pt idx="206">
                  <c:v>4.7044647125305587E-2</c:v>
                </c:pt>
                <c:pt idx="207">
                  <c:v>4.6671735613423221E-2</c:v>
                </c:pt>
                <c:pt idx="208">
                  <c:v>4.6303414985768968E-2</c:v>
                </c:pt>
                <c:pt idx="209">
                  <c:v>4.5939609254537432E-2</c:v>
                </c:pt>
                <c:pt idx="210">
                  <c:v>4.5580244001279316E-2</c:v>
                </c:pt>
                <c:pt idx="211">
                  <c:v>4.522524633827716E-2</c:v>
                </c:pt>
                <c:pt idx="212">
                  <c:v>4.4874544871018579E-2</c:v>
                </c:pt>
                <c:pt idx="213">
                  <c:v>4.452806966173229E-2</c:v>
                </c:pt>
                <c:pt idx="214">
                  <c:v>4.4185752193952717E-2</c:v>
                </c:pt>
                <c:pt idx="215">
                  <c:v>4.3847525338080326E-2</c:v>
                </c:pt>
                <c:pt idx="216">
                  <c:v>4.3513323317906465E-2</c:v>
                </c:pt>
                <c:pt idx="217">
                  <c:v>4.3183081678071784E-2</c:v>
                </c:pt>
                <c:pt idx="218">
                  <c:v>4.2856737252429049E-2</c:v>
                </c:pt>
                <c:pt idx="219">
                  <c:v>4.2534228133282094E-2</c:v>
                </c:pt>
                <c:pt idx="220">
                  <c:v>4.2215493641473111E-2</c:v>
                </c:pt>
                <c:pt idx="221">
                  <c:v>4.1900474297292288E-2</c:v>
                </c:pt>
                <c:pt idx="222">
                  <c:v>4.1589111792183858E-2</c:v>
                </c:pt>
                <c:pt idx="223">
                  <c:v>4.1281348961224214E-2</c:v>
                </c:pt>
                <c:pt idx="224">
                  <c:v>4.0977129756348082E-2</c:v>
                </c:pt>
                <c:pt idx="225">
                  <c:v>4.0676399220299878E-2</c:v>
                </c:pt>
                <c:pt idx="226">
                  <c:v>4.0379103461287959E-2</c:v>
                </c:pt>
                <c:pt idx="227">
                  <c:v>4.0085189628320396E-2</c:v>
                </c:pt>
                <c:pt idx="228">
                  <c:v>3.979460588720151E-2</c:v>
                </c:pt>
                <c:pt idx="229">
                  <c:v>3.9507301397169015E-2</c:v>
                </c:pt>
                <c:pt idx="230">
                  <c:v>3.9223226288152842E-2</c:v>
                </c:pt>
                <c:pt idx="231">
                  <c:v>3.8942331638636286E-2</c:v>
                </c:pt>
                <c:pt idx="232">
                  <c:v>3.8664569454101981E-2</c:v>
                </c:pt>
                <c:pt idx="233">
                  <c:v>3.8389892646045046E-2</c:v>
                </c:pt>
                <c:pt idx="234">
                  <c:v>3.8118255011536331E-2</c:v>
                </c:pt>
                <c:pt idx="235">
                  <c:v>3.7849611213319694E-2</c:v>
                </c:pt>
                <c:pt idx="236">
                  <c:v>3.7583916760427327E-2</c:v>
                </c:pt>
                <c:pt idx="237">
                  <c:v>3.7321127989298111E-2</c:v>
                </c:pt>
                <c:pt idx="238">
                  <c:v>3.7061202045383719E-2</c:v>
                </c:pt>
                <c:pt idx="239">
                  <c:v>3.6804096865228862E-2</c:v>
                </c:pt>
                <c:pt idx="240">
                  <c:v>3.6549771159011299E-2</c:v>
                </c:pt>
                <c:pt idx="241">
                  <c:v>3.6298184393528533E-2</c:v>
                </c:pt>
                <c:pt idx="242">
                  <c:v>3.6049296775618064E-2</c:v>
                </c:pt>
                <c:pt idx="243">
                  <c:v>3.5803069235998929E-2</c:v>
                </c:pt>
                <c:pt idx="244">
                  <c:v>3.5559463413522049E-2</c:v>
                </c:pt>
                <c:pt idx="245">
                  <c:v>3.5318441639818079E-2</c:v>
                </c:pt>
                <c:pt idx="246">
                  <c:v>3.5079966924330949E-2</c:v>
                </c:pt>
                <c:pt idx="247">
                  <c:v>3.4844002939726518E-2</c:v>
                </c:pt>
                <c:pt idx="248">
                  <c:v>3.4610514007665363E-2</c:v>
                </c:pt>
                <c:pt idx="249">
                  <c:v>3.4379465084929645E-2</c:v>
                </c:pt>
                <c:pt idx="250">
                  <c:v>3.4150821749893839E-2</c:v>
                </c:pt>
                <c:pt idx="251">
                  <c:v>3.3924550189329876E-2</c:v>
                </c:pt>
                <c:pt idx="252">
                  <c:v>3.3700617185537192E-2</c:v>
                </c:pt>
                <c:pt idx="253">
                  <c:v>3.3478990103788596E-2</c:v>
                </c:pt>
                <c:pt idx="254">
                  <c:v>3.3259636880083258E-2</c:v>
                </c:pt>
                <c:pt idx="255">
                  <c:v>3.3042526009198249E-2</c:v>
                </c:pt>
                <c:pt idx="256">
                  <c:v>3.2827626533030334E-2</c:v>
                </c:pt>
                <c:pt idx="257">
                  <c:v>3.2614908029220131E-2</c:v>
                </c:pt>
                <c:pt idx="258">
                  <c:v>3.2404340600050707E-2</c:v>
                </c:pt>
                <c:pt idx="259">
                  <c:v>3.219589486161329E-2</c:v>
                </c:pt>
                <c:pt idx="260">
                  <c:v>3.1989541933232619E-2</c:v>
                </c:pt>
                <c:pt idx="261">
                  <c:v>3.178525342714509E-2</c:v>
                </c:pt>
                <c:pt idx="262">
                  <c:v>3.1583001438422499E-2</c:v>
                </c:pt>
                <c:pt idx="263">
                  <c:v>3.1382758535135211E-2</c:v>
                </c:pt>
                <c:pt idx="264">
                  <c:v>3.1184497748747778E-2</c:v>
                </c:pt>
                <c:pt idx="265">
                  <c:v>3.0988192564741342E-2</c:v>
                </c:pt>
                <c:pt idx="266">
                  <c:v>3.0793816913456059E-2</c:v>
                </c:pt>
                <c:pt idx="267">
                  <c:v>3.0601345161148482E-2</c:v>
                </c:pt>
                <c:pt idx="268">
                  <c:v>3.0410752101257297E-2</c:v>
                </c:pt>
                <c:pt idx="269">
                  <c:v>3.0222012945872793E-2</c:v>
                </c:pt>
                <c:pt idx="270">
                  <c:v>3.0035103317403892E-2</c:v>
                </c:pt>
                <c:pt idx="271">
                  <c:v>2.9849999240438029E-2</c:v>
                </c:pt>
                <c:pt idx="272">
                  <c:v>2.9666677133788663E-2</c:v>
                </c:pt>
                <c:pt idx="273">
                  <c:v>2.9485113802725477E-2</c:v>
                </c:pt>
                <c:pt idx="274">
                  <c:v>2.9305286431382499E-2</c:v>
                </c:pt>
                <c:pt idx="275">
                  <c:v>2.9127172575339508E-2</c:v>
                </c:pt>
                <c:pt idx="276">
                  <c:v>2.8950750154372477E-2</c:v>
                </c:pt>
                <c:pt idx="277">
                  <c:v>2.8775997445368195E-2</c:v>
                </c:pt>
                <c:pt idx="278">
                  <c:v>2.8602893075399156E-2</c:v>
                </c:pt>
                <c:pt idx="279">
                  <c:v>2.8431416014954823E-2</c:v>
                </c:pt>
                <c:pt idx="280">
                  <c:v>2.8261545571324591E-2</c:v>
                </c:pt>
                <c:pt idx="281">
                  <c:v>2.8093261382129222E-2</c:v>
                </c:pt>
                <c:pt idx="282">
                  <c:v>2.7926543408996678E-2</c:v>
                </c:pt>
                <c:pt idx="283">
                  <c:v>2.7761371931378676E-2</c:v>
                </c:pt>
                <c:pt idx="284">
                  <c:v>2.7597727540504453E-2</c:v>
                </c:pt>
                <c:pt idx="285">
                  <c:v>2.7435591133468391E-2</c:v>
                </c:pt>
                <c:pt idx="286">
                  <c:v>2.727494390744787E-2</c:v>
                </c:pt>
                <c:pt idx="287">
                  <c:v>2.7115767354048317E-2</c:v>
                </c:pt>
                <c:pt idx="288">
                  <c:v>2.6958043253772278E-2</c:v>
                </c:pt>
                <c:pt idx="289">
                  <c:v>2.6801753670609139E-2</c:v>
                </c:pt>
                <c:pt idx="290">
                  <c:v>2.6646880946742869E-2</c:v>
                </c:pt>
                <c:pt idx="291">
                  <c:v>2.6493407697374662E-2</c:v>
                </c:pt>
                <c:pt idx="292">
                  <c:v>2.6341316805657551E-2</c:v>
                </c:pt>
                <c:pt idx="293">
                  <c:v>2.6190591417740432E-2</c:v>
                </c:pt>
                <c:pt idx="294">
                  <c:v>2.6041214937918899E-2</c:v>
                </c:pt>
                <c:pt idx="295">
                  <c:v>2.5893171023889692E-2</c:v>
                </c:pt>
                <c:pt idx="296">
                  <c:v>2.5746443582107103E-2</c:v>
                </c:pt>
                <c:pt idx="297">
                  <c:v>2.560101676323805E-2</c:v>
                </c:pt>
                <c:pt idx="298">
                  <c:v>2.5456874957714034E-2</c:v>
                </c:pt>
                <c:pt idx="299">
                  <c:v>2.5314002791377188E-2</c:v>
                </c:pt>
                <c:pt idx="300">
                  <c:v>2.5172385121218464E-2</c:v>
                </c:pt>
                <c:pt idx="301">
                  <c:v>2.5032007031205505E-2</c:v>
                </c:pt>
                <c:pt idx="302">
                  <c:v>2.4892853828198287E-2</c:v>
                </c:pt>
                <c:pt idx="303">
                  <c:v>2.4754911037950231E-2</c:v>
                </c:pt>
                <c:pt idx="304">
                  <c:v>2.4618164401192771E-2</c:v>
                </c:pt>
                <c:pt idx="305">
                  <c:v>2.4482599869801613E-2</c:v>
                </c:pt>
                <c:pt idx="306">
                  <c:v>2.4348203603042452E-2</c:v>
                </c:pt>
                <c:pt idx="307">
                  <c:v>2.421496196389445E-2</c:v>
                </c:pt>
                <c:pt idx="308">
                  <c:v>2.4082861515449482E-2</c:v>
                </c:pt>
                <c:pt idx="309">
                  <c:v>2.3951889017385708E-2</c:v>
                </c:pt>
                <c:pt idx="310">
                  <c:v>2.3822031422513365E-2</c:v>
                </c:pt>
                <c:pt idx="311">
                  <c:v>2.369327587339114E-2</c:v>
                </c:pt>
                <c:pt idx="312">
                  <c:v>2.3565609699011759E-2</c:v>
                </c:pt>
                <c:pt idx="313">
                  <c:v>2.3439020411554858E-2</c:v>
                </c:pt>
                <c:pt idx="314">
                  <c:v>2.3313495703205789E-2</c:v>
                </c:pt>
                <c:pt idx="315">
                  <c:v>2.3189023443038723E-2</c:v>
                </c:pt>
                <c:pt idx="316">
                  <c:v>2.3065591673962684E-2</c:v>
                </c:pt>
                <c:pt idx="317">
                  <c:v>2.2943188609728778E-2</c:v>
                </c:pt>
                <c:pt idx="318">
                  <c:v>2.2821802631997751E-2</c:v>
                </c:pt>
                <c:pt idx="319">
                  <c:v>2.2701422287465946E-2</c:v>
                </c:pt>
                <c:pt idx="320">
                  <c:v>2.2582036285048644E-2</c:v>
                </c:pt>
                <c:pt idx="321">
                  <c:v>2.2463633493119351E-2</c:v>
                </c:pt>
                <c:pt idx="322">
                  <c:v>2.2346202936803939E-2</c:v>
                </c:pt>
                <c:pt idx="323">
                  <c:v>2.2229733795328117E-2</c:v>
                </c:pt>
                <c:pt idx="324">
                  <c:v>2.2114215399417311E-2</c:v>
                </c:pt>
                <c:pt idx="325">
                  <c:v>2.1999637228747686E-2</c:v>
                </c:pt>
                <c:pt idx="326">
                  <c:v>2.1885988909446912E-2</c:v>
                </c:pt>
                <c:pt idx="327">
                  <c:v>2.1773260211644108E-2</c:v>
                </c:pt>
                <c:pt idx="328">
                  <c:v>2.1661441047067319E-2</c:v>
                </c:pt>
                <c:pt idx="329">
                  <c:v>2.155052146668782E-2</c:v>
                </c:pt>
                <c:pt idx="330">
                  <c:v>2.1440491658409992E-2</c:v>
                </c:pt>
                <c:pt idx="331">
                  <c:v>2.13313419448059E-2</c:v>
                </c:pt>
                <c:pt idx="332">
                  <c:v>2.1223062780893632E-2</c:v>
                </c:pt>
                <c:pt idx="333">
                  <c:v>2.1115644751958242E-2</c:v>
                </c:pt>
                <c:pt idx="334">
                  <c:v>2.1009078571414517E-2</c:v>
                </c:pt>
                <c:pt idx="335">
                  <c:v>2.0903355078710606E-2</c:v>
                </c:pt>
                <c:pt idx="336">
                  <c:v>2.0798465237271649E-2</c:v>
                </c:pt>
                <c:pt idx="337">
                  <c:v>2.0694400132482495E-2</c:v>
                </c:pt>
                <c:pt idx="338">
                  <c:v>2.0591150969708694E-2</c:v>
                </c:pt>
                <c:pt idx="339">
                  <c:v>2.0488709072354911E-2</c:v>
                </c:pt>
                <c:pt idx="340">
                  <c:v>2.0387065879959945E-2</c:v>
                </c:pt>
                <c:pt idx="341">
                  <c:v>2.0286212946327722E-2</c:v>
                </c:pt>
                <c:pt idx="342">
                  <c:v>2.0186141937693077E-2</c:v>
                </c:pt>
                <c:pt idx="343">
                  <c:v>2.0086844630922165E-2</c:v>
                </c:pt>
                <c:pt idx="344">
                  <c:v>1.9988312911746315E-2</c:v>
                </c:pt>
                <c:pt idx="345">
                  <c:v>1.9890538773028685E-2</c:v>
                </c:pt>
                <c:pt idx="346">
                  <c:v>1.9793514313063285E-2</c:v>
                </c:pt>
                <c:pt idx="347">
                  <c:v>1.9697231733905293E-2</c:v>
                </c:pt>
                <c:pt idx="348">
                  <c:v>1.9601683339732338E-2</c:v>
                </c:pt>
                <c:pt idx="349">
                  <c:v>1.9506861535235936E-2</c:v>
                </c:pt>
                <c:pt idx="350">
                  <c:v>1.9412758824042427E-2</c:v>
                </c:pt>
                <c:pt idx="351">
                  <c:v>1.9319367807162913E-2</c:v>
                </c:pt>
                <c:pt idx="352">
                  <c:v>1.9226681181471365E-2</c:v>
                </c:pt>
                <c:pt idx="353">
                  <c:v>1.9134691738210755E-2</c:v>
                </c:pt>
                <c:pt idx="354">
                  <c:v>1.9043392361525985E-2</c:v>
                </c:pt>
                <c:pt idx="355">
                  <c:v>1.8952776027023714E-2</c:v>
                </c:pt>
                <c:pt idx="356">
                  <c:v>1.8862835800358035E-2</c:v>
                </c:pt>
                <c:pt idx="357">
                  <c:v>1.8773564835841784E-2</c:v>
                </c:pt>
                <c:pt idx="358">
                  <c:v>1.8684956375082749E-2</c:v>
                </c:pt>
                <c:pt idx="359">
                  <c:v>1.8597003745644373E-2</c:v>
                </c:pt>
                <c:pt idx="360">
                  <c:v>1.8509700359730374E-2</c:v>
                </c:pt>
                <c:pt idx="361">
                  <c:v>1.8423039712893073E-2</c:v>
                </c:pt>
                <c:pt idx="362">
                  <c:v>1.833701538276435E-2</c:v>
                </c:pt>
                <c:pt idx="363">
                  <c:v>1.8251621027809448E-2</c:v>
                </c:pt>
                <c:pt idx="364">
                  <c:v>1.8166850386102704E-2</c:v>
                </c:pt>
                <c:pt idx="365">
                  <c:v>1.8082697274124974E-2</c:v>
                </c:pt>
                <c:pt idx="366">
                  <c:v>1.7999155585582204E-2</c:v>
                </c:pt>
                <c:pt idx="367">
                  <c:v>1.791621929024477E-2</c:v>
                </c:pt>
                <c:pt idx="368">
                  <c:v>1.7833882432807306E-2</c:v>
                </c:pt>
                <c:pt idx="369">
                  <c:v>1.7752139131768208E-2</c:v>
                </c:pt>
                <c:pt idx="370">
                  <c:v>1.7670983578328945E-2</c:v>
                </c:pt>
                <c:pt idx="371">
                  <c:v>1.7590410035312396E-2</c:v>
                </c:pt>
                <c:pt idx="372">
                  <c:v>1.7510412836100015E-2</c:v>
                </c:pt>
                <c:pt idx="373">
                  <c:v>1.7430986383587359E-2</c:v>
                </c:pt>
                <c:pt idx="374">
                  <c:v>1.7352125149157675E-2</c:v>
                </c:pt>
                <c:pt idx="375">
                  <c:v>1.7273823671673218E-2</c:v>
                </c:pt>
                <c:pt idx="376">
                  <c:v>1.7196076556483815E-2</c:v>
                </c:pt>
                <c:pt idx="377">
                  <c:v>1.7118878474452523E-2</c:v>
                </c:pt>
                <c:pt idx="378">
                  <c:v>1.7042224160997859E-2</c:v>
                </c:pt>
                <c:pt idx="379">
                  <c:v>1.6966108415152507E-2</c:v>
                </c:pt>
                <c:pt idx="380">
                  <c:v>1.6890526098637861E-2</c:v>
                </c:pt>
                <c:pt idx="381">
                  <c:v>1.681547213495448E-2</c:v>
                </c:pt>
                <c:pt idx="382">
                  <c:v>1.6740941508487751E-2</c:v>
                </c:pt>
                <c:pt idx="383">
                  <c:v>1.6666929263628814E-2</c:v>
                </c:pt>
                <c:pt idx="384">
                  <c:v>1.6593430503910239E-2</c:v>
                </c:pt>
                <c:pt idx="385">
                  <c:v>1.6520440391156271E-2</c:v>
                </c:pt>
                <c:pt idx="386">
                  <c:v>1.644795414464725E-2</c:v>
                </c:pt>
                <c:pt idx="387">
                  <c:v>1.6375967040298093E-2</c:v>
                </c:pt>
                <c:pt idx="388">
                  <c:v>1.6304474409850445E-2</c:v>
                </c:pt>
                <c:pt idx="389">
                  <c:v>1.623347164007832E-2</c:v>
                </c:pt>
                <c:pt idx="390">
                  <c:v>1.6162954172006944E-2</c:v>
                </c:pt>
                <c:pt idx="391">
                  <c:v>1.6092917500144382E-2</c:v>
                </c:pt>
                <c:pt idx="392">
                  <c:v>1.602335717172616E-2</c:v>
                </c:pt>
                <c:pt idx="393">
                  <c:v>1.5954268785972118E-2</c:v>
                </c:pt>
                <c:pt idx="394">
                  <c:v>1.5885647993355529E-2</c:v>
                </c:pt>
                <c:pt idx="395">
                  <c:v>1.5817490494884269E-2</c:v>
                </c:pt>
                <c:pt idx="396">
                  <c:v>1.5749792041393772E-2</c:v>
                </c:pt>
                <c:pt idx="397">
                  <c:v>1.5682548432851474E-2</c:v>
                </c:pt>
                <c:pt idx="398">
                  <c:v>1.5615755517672572E-2</c:v>
                </c:pt>
                <c:pt idx="399">
                  <c:v>1.5549409192047038E-2</c:v>
                </c:pt>
                <c:pt idx="400">
                  <c:v>1.5483505399277403E-2</c:v>
                </c:pt>
                <c:pt idx="401">
                  <c:v>1.5418040129127373E-2</c:v>
                </c:pt>
                <c:pt idx="402">
                  <c:v>1.5353009417180869E-2</c:v>
                </c:pt>
                <c:pt idx="403">
                  <c:v>1.5288409344211501E-2</c:v>
                </c:pt>
                <c:pt idx="404">
                  <c:v>1.5224236035562002E-2</c:v>
                </c:pt>
                <c:pt idx="405">
                  <c:v>1.5160485660533893E-2</c:v>
                </c:pt>
                <c:pt idx="406">
                  <c:v>1.5097154431786582E-2</c:v>
                </c:pt>
                <c:pt idx="407">
                  <c:v>1.5034238604746281E-2</c:v>
                </c:pt>
                <c:pt idx="408">
                  <c:v>1.4971734477024243E-2</c:v>
                </c:pt>
                <c:pt idx="409">
                  <c:v>1.4909638387844334E-2</c:v>
                </c:pt>
                <c:pt idx="410">
                  <c:v>1.4847946717479535E-2</c:v>
                </c:pt>
                <c:pt idx="411">
                  <c:v>1.4786655886697453E-2</c:v>
                </c:pt>
                <c:pt idx="412">
                  <c:v>1.4725762356214553E-2</c:v>
                </c:pt>
                <c:pt idx="413">
                  <c:v>1.4665262626158996E-2</c:v>
                </c:pt>
                <c:pt idx="414">
                  <c:v>1.4605153235541948E-2</c:v>
                </c:pt>
                <c:pt idx="415">
                  <c:v>1.454543076173704E-2</c:v>
                </c:pt>
                <c:pt idx="416">
                  <c:v>1.448609181996809E-2</c:v>
                </c:pt>
                <c:pt idx="417">
                  <c:v>1.442713306280485E-2</c:v>
                </c:pt>
                <c:pt idx="418">
                  <c:v>1.4368551179666454E-2</c:v>
                </c:pt>
                <c:pt idx="419">
                  <c:v>1.4310342896332694E-2</c:v>
                </c:pt>
                <c:pt idx="420">
                  <c:v>1.4252504974462784E-2</c:v>
                </c:pt>
                <c:pt idx="421">
                  <c:v>1.4195034211121733E-2</c:v>
                </c:pt>
                <c:pt idx="422">
                  <c:v>1.4137927438313748E-2</c:v>
                </c:pt>
                <c:pt idx="423">
                  <c:v>1.4081181522523118E-2</c:v>
                </c:pt>
                <c:pt idx="424">
                  <c:v>1.4024793364261864E-2</c:v>
                </c:pt>
                <c:pt idx="425">
                  <c:v>1.3968759897624625E-2</c:v>
                </c:pt>
                <c:pt idx="426">
                  <c:v>1.3913078089850015E-2</c:v>
                </c:pt>
                <c:pt idx="427">
                  <c:v>1.3857744940888955E-2</c:v>
                </c:pt>
                <c:pt idx="428">
                  <c:v>1.3802757482979435E-2</c:v>
                </c:pt>
                <c:pt idx="429">
                  <c:v>1.3748112780227731E-2</c:v>
                </c:pt>
                <c:pt idx="430">
                  <c:v>1.3693807928196052E-2</c:v>
                </c:pt>
                <c:pt idx="431">
                  <c:v>1.3639840053496303E-2</c:v>
                </c:pt>
                <c:pt idx="432">
                  <c:v>1.3586206313390066E-2</c:v>
                </c:pt>
                <c:pt idx="433">
                  <c:v>1.3532903895394658E-2</c:v>
                </c:pt>
                <c:pt idx="434">
                  <c:v>1.3479930016894903E-2</c:v>
                </c:pt>
                <c:pt idx="435">
                  <c:v>1.3427281924760906E-2</c:v>
                </c:pt>
                <c:pt idx="436">
                  <c:v>1.3374956894971509E-2</c:v>
                </c:pt>
                <c:pt idx="437">
                  <c:v>1.3322952232243333E-2</c:v>
                </c:pt>
                <c:pt idx="438">
                  <c:v>1.3271265269665289E-2</c:v>
                </c:pt>
                <c:pt idx="439">
                  <c:v>1.3219893368338693E-2</c:v>
                </c:pt>
                <c:pt idx="440">
                  <c:v>1.3168833917022551E-2</c:v>
                </c:pt>
                <c:pt idx="441">
                  <c:v>1.3118084331784139E-2</c:v>
                </c:pt>
                <c:pt idx="442">
                  <c:v>1.3067642055654817E-2</c:v>
                </c:pt>
                <c:pt idx="443">
                  <c:v>1.3017504558290744E-2</c:v>
                </c:pt>
                <c:pt idx="444">
                  <c:v>1.2967669335638801E-2</c:v>
                </c:pt>
                <c:pt idx="445">
                  <c:v>1.2918133909607273E-2</c:v>
                </c:pt>
                <c:pt idx="446">
                  <c:v>1.2868895827741332E-2</c:v>
                </c:pt>
                <c:pt idx="447">
                  <c:v>1.2819952662903339E-2</c:v>
                </c:pt>
                <c:pt idx="448">
                  <c:v>1.2771302012957805E-2</c:v>
                </c:pt>
                <c:pt idx="449">
                  <c:v>1.2722941500460869E-2</c:v>
                </c:pt>
                <c:pt idx="450">
                  <c:v>1.267486877235432E-2</c:v>
                </c:pt>
                <c:pt idx="451">
                  <c:v>1.2627081499664058E-2</c:v>
                </c:pt>
                <c:pt idx="452">
                  <c:v>1.2579577377202949E-2</c:v>
                </c:pt>
                <c:pt idx="453">
                  <c:v>1.2532354123277856E-2</c:v>
                </c:pt>
                <c:pt idx="454">
                  <c:v>1.2485409479400975E-2</c:v>
                </c:pt>
                <c:pt idx="455">
                  <c:v>1.243874121000532E-2</c:v>
                </c:pt>
                <c:pt idx="456">
                  <c:v>1.2392347102164244E-2</c:v>
                </c:pt>
                <c:pt idx="457">
                  <c:v>1.2346224965314992E-2</c:v>
                </c:pt>
                <c:pt idx="458">
                  <c:v>1.2300372630986199E-2</c:v>
                </c:pt>
                <c:pt idx="459">
                  <c:v>1.2254787952529263E-2</c:v>
                </c:pt>
                <c:pt idx="460">
                  <c:v>1.2209468804853536E-2</c:v>
                </c:pt>
                <c:pt idx="461">
                  <c:v>1.2164413084165306E-2</c:v>
                </c:pt>
                <c:pt idx="462">
                  <c:v>1.2119618707710448E-2</c:v>
                </c:pt>
                <c:pt idx="463">
                  <c:v>1.2075083613520629E-2</c:v>
                </c:pt>
                <c:pt idx="464">
                  <c:v>1.2030805760163278E-2</c:v>
                </c:pt>
                <c:pt idx="465">
                  <c:v>1.1986783126494894E-2</c:v>
                </c:pt>
                <c:pt idx="466">
                  <c:v>1.1943013711417939E-2</c:v>
                </c:pt>
                <c:pt idx="467">
                  <c:v>1.1899495533641008E-2</c:v>
                </c:pt>
                <c:pt idx="468">
                  <c:v>1.1856226631442535E-2</c:v>
                </c:pt>
                <c:pt idx="469">
                  <c:v>1.1813205062437613E-2</c:v>
                </c:pt>
                <c:pt idx="470">
                  <c:v>1.1770428903348189E-2</c:v>
                </c:pt>
                <c:pt idx="471">
                  <c:v>1.1727896249776368E-2</c:v>
                </c:pt>
                <c:pt idx="472">
                  <c:v>1.168560521598095E-2</c:v>
                </c:pt>
                <c:pt idx="473">
                  <c:v>1.1643553934656959E-2</c:v>
                </c:pt>
                <c:pt idx="474">
                  <c:v>1.1601740556718282E-2</c:v>
                </c:pt>
                <c:pt idx="475">
                  <c:v>1.1560163251083321E-2</c:v>
                </c:pt>
                <c:pt idx="476">
                  <c:v>1.1518820204463497E-2</c:v>
                </c:pt>
                <c:pt idx="477">
                  <c:v>1.1477709621154825E-2</c:v>
                </c:pt>
                <c:pt idx="478">
                  <c:v>1.143682972283213E-2</c:v>
                </c:pt>
                <c:pt idx="479">
                  <c:v>1.1396178748346307E-2</c:v>
                </c:pt>
                <c:pt idx="480">
                  <c:v>1.1355754953524113E-2</c:v>
                </c:pt>
                <c:pt idx="481">
                  <c:v>1.1315556610970926E-2</c:v>
                </c:pt>
                <c:pt idx="482">
                  <c:v>1.1275582009875995E-2</c:v>
                </c:pt>
                <c:pt idx="483">
                  <c:v>1.1235829455820395E-2</c:v>
                </c:pt>
                <c:pt idx="484">
                  <c:v>1.1196297270587652E-2</c:v>
                </c:pt>
                <c:pt idx="485">
                  <c:v>1.1156983791976821E-2</c:v>
                </c:pt>
                <c:pt idx="486">
                  <c:v>1.1117887373618122E-2</c:v>
                </c:pt>
                <c:pt idx="487">
                  <c:v>1.1079006384791118E-2</c:v>
                </c:pt>
                <c:pt idx="488">
                  <c:v>1.1040339210245231E-2</c:v>
                </c:pt>
                <c:pt idx="489">
                  <c:v>1.1001884250022758E-2</c:v>
                </c:pt>
                <c:pt idx="490">
                  <c:v>1.0963639919284203E-2</c:v>
                </c:pt>
                <c:pt idx="491">
                  <c:v>1.0925604648135915E-2</c:v>
                </c:pt>
                <c:pt idx="492">
                  <c:v>1.0887776881460153E-2</c:v>
                </c:pt>
                <c:pt idx="493">
                  <c:v>1.0850155078747247E-2</c:v>
                </c:pt>
                <c:pt idx="494">
                  <c:v>1.0812737713930072E-2</c:v>
                </c:pt>
                <c:pt idx="495">
                  <c:v>1.0775523275220746E-2</c:v>
                </c:pt>
                <c:pt idx="496">
                  <c:v>1.073851026494942E-2</c:v>
                </c:pt>
                <c:pt idx="497">
                  <c:v>1.070169719940524E-2</c:v>
                </c:pt>
                <c:pt idx="498">
                  <c:v>1.066508260867936E-2</c:v>
                </c:pt>
                <c:pt idx="499">
                  <c:v>1.0628665036510086E-2</c:v>
                </c:pt>
                <c:pt idx="500">
                  <c:v>1.0592443040130028E-2</c:v>
                </c:pt>
                <c:pt idx="501">
                  <c:v>1.055641519011517E-2</c:v>
                </c:pt>
                <c:pt idx="502">
                  <c:v>1.0520580070236081E-2</c:v>
                </c:pt>
                <c:pt idx="503">
                  <c:v>1.0484936277310886E-2</c:v>
                </c:pt>
                <c:pt idx="504">
                  <c:v>1.0449482421060351E-2</c:v>
                </c:pt>
                <c:pt idx="505">
                  <c:v>1.0414217123964583E-2</c:v>
                </c:pt>
                <c:pt idx="506">
                  <c:v>1.0379139021121921E-2</c:v>
                </c:pt>
                <c:pt idx="507">
                  <c:v>1.0344246760109348E-2</c:v>
                </c:pt>
                <c:pt idx="508">
                  <c:v>1.0309539000844902E-2</c:v>
                </c:pt>
                <c:pt idx="509">
                  <c:v>1.0275014415451823E-2</c:v>
                </c:pt>
                <c:pt idx="510">
                  <c:v>1.0240671688124352E-2</c:v>
                </c:pt>
                <c:pt idx="511">
                  <c:v>1.0206509514995394E-2</c:v>
                </c:pt>
                <c:pt idx="512">
                  <c:v>1.0172526604005822E-2</c:v>
                </c:pt>
                <c:pt idx="513">
                  <c:v>1.0138721674775397E-2</c:v>
                </c:pt>
                <c:pt idx="514">
                  <c:v>1.010509345847542E-2</c:v>
                </c:pt>
                <c:pt idx="515">
                  <c:v>1.0071640697703013E-2</c:v>
                </c:pt>
                <c:pt idx="516">
                  <c:v>1.0038362146356896E-2</c:v>
                </c:pt>
                <c:pt idx="517">
                  <c:v>1.0005256569514868E-2</c:v>
                </c:pt>
                <c:pt idx="518">
                  <c:v>9.9723227433127955E-3</c:v>
                </c:pt>
                <c:pt idx="519">
                  <c:v>9.9395594548250567E-3</c:v>
                </c:pt>
                <c:pt idx="520">
                  <c:v>9.9069655019466511E-3</c:v>
                </c:pt>
                <c:pt idx="521">
                  <c:v>9.874539693276679E-3</c:v>
                </c:pt>
                <c:pt idx="522">
                  <c:v>9.8422808480033222E-3</c:v>
                </c:pt>
                <c:pt idx="523">
                  <c:v>9.8101877957902529E-3</c:v>
                </c:pt>
                <c:pt idx="524">
                  <c:v>9.77825937666452E-3</c:v>
                </c:pt>
                <c:pt idx="525">
                  <c:v>9.7464944409057803E-3</c:v>
                </c:pt>
                <c:pt idx="526">
                  <c:v>9.7148918489369674E-3</c:v>
                </c:pt>
                <c:pt idx="527">
                  <c:v>9.6834504712162636E-3</c:v>
                </c:pt>
                <c:pt idx="528">
                  <c:v>9.6521691881304838E-3</c:v>
                </c:pt>
                <c:pt idx="529">
                  <c:v>9.6210468898897273E-3</c:v>
                </c:pt>
                <c:pt idx="530">
                  <c:v>9.5900824764233918E-3</c:v>
                </c:pt>
                <c:pt idx="531">
                  <c:v>9.5592748572774031E-3</c:v>
                </c:pt>
                <c:pt idx="532">
                  <c:v>9.5286229515128204E-3</c:v>
                </c:pt>
                <c:pt idx="533">
                  <c:v>9.4981256876055659E-3</c:v>
                </c:pt>
                <c:pt idx="534">
                  <c:v>9.4677820033475021E-3</c:v>
                </c:pt>
                <c:pt idx="535">
                  <c:v>9.4375908457486873E-3</c:v>
                </c:pt>
                <c:pt idx="536">
                  <c:v>9.4075511709407738E-3</c:v>
                </c:pt>
                <c:pt idx="537">
                  <c:v>9.3776619440817093E-3</c:v>
                </c:pt>
                <c:pt idx="538">
                  <c:v>9.3479221392614477E-3</c:v>
                </c:pt>
                <c:pt idx="539">
                  <c:v>9.3183307394089903E-3</c:v>
                </c:pt>
                <c:pt idx="540">
                  <c:v>9.2888867362004215E-3</c:v>
                </c:pt>
                <c:pt idx="541">
                  <c:v>9.2595891299681043E-3</c:v>
                </c:pt>
                <c:pt idx="542">
                  <c:v>9.230436929611013E-3</c:v>
                </c:pt>
                <c:pt idx="543">
                  <c:v>9.2014291525061073E-3</c:v>
                </c:pt>
                <c:pt idx="544">
                  <c:v>9.1725648244207914E-3</c:v>
                </c:pt>
                <c:pt idx="545">
                  <c:v>9.1438429794264836E-3</c:v>
                </c:pt>
                <c:pt idx="546">
                  <c:v>9.1152626598131111E-3</c:v>
                </c:pt>
                <c:pt idx="547">
                  <c:v>9.0868229160047422E-3</c:v>
                </c:pt>
                <c:pt idx="548">
                  <c:v>9.0585228064762255E-3</c:v>
                </c:pt>
                <c:pt idx="549">
                  <c:v>9.030361397670739E-3</c:v>
                </c:pt>
                <c:pt idx="550">
                  <c:v>9.0023377639184225E-3</c:v>
                </c:pt>
                <c:pt idx="551">
                  <c:v>8.9744509873559558E-3</c:v>
                </c:pt>
                <c:pt idx="552">
                  <c:v>8.9467001578470498E-3</c:v>
                </c:pt>
                <c:pt idx="553">
                  <c:v>8.9190843729039567E-3</c:v>
                </c:pt>
                <c:pt idx="554">
                  <c:v>8.8916027376098709E-3</c:v>
                </c:pt>
                <c:pt idx="555">
                  <c:v>8.864254364542256E-3</c:v>
                </c:pt>
                <c:pt idx="556">
                  <c:v>8.8370383736970943E-3</c:v>
                </c:pt>
                <c:pt idx="557">
                  <c:v>8.8099538924140148E-3</c:v>
                </c:pt>
                <c:pt idx="558">
                  <c:v>8.7830000553023053E-3</c:v>
                </c:pt>
                <c:pt idx="559">
                  <c:v>8.7561760041678267E-3</c:v>
                </c:pt>
                <c:pt idx="560">
                  <c:v>8.7294808879407604E-3</c:v>
                </c:pt>
                <c:pt idx="561">
                  <c:v>8.7029138626041943E-3</c:v>
                </c:pt>
                <c:pt idx="562">
                  <c:v>8.6764740911235844E-3</c:v>
                </c:pt>
                <c:pt idx="563">
                  <c:v>8.6501607433770011E-3</c:v>
                </c:pt>
                <c:pt idx="564">
                  <c:v>8.623972996086221E-3</c:v>
                </c:pt>
                <c:pt idx="565">
                  <c:v>8.5979100327486374E-3</c:v>
                </c:pt>
                <c:pt idx="566">
                  <c:v>8.5719710435698728E-3</c:v>
                </c:pt>
                <c:pt idx="567">
                  <c:v>8.5461552253973047E-3</c:v>
                </c:pt>
                <c:pt idx="568">
                  <c:v>8.5204617816542778E-3</c:v>
                </c:pt>
                <c:pt idx="569">
                  <c:v>8.4948899222750899E-3</c:v>
                </c:pt>
                <c:pt idx="570">
                  <c:v>8.4694388636407606E-3</c:v>
                </c:pt>
                <c:pt idx="571">
                  <c:v>8.444107828515502E-3</c:v>
                </c:pt>
                <c:pt idx="572">
                  <c:v>8.4188960459839479E-3</c:v>
                </c:pt>
                <c:pt idx="573">
                  <c:v>8.3938027513891181E-3</c:v>
                </c:pt>
                <c:pt idx="574">
                  <c:v>8.3688271862710634E-3</c:v>
                </c:pt>
                <c:pt idx="575">
                  <c:v>8.3439685983062069E-3</c:v>
                </c:pt>
                <c:pt idx="576">
                  <c:v>8.3192262412474446E-3</c:v>
                </c:pt>
                <c:pt idx="577">
                  <c:v>8.2945993748648542E-3</c:v>
                </c:pt>
                <c:pt idx="578">
                  <c:v>8.2700872648871319E-3</c:v>
                </c:pt>
                <c:pt idx="579">
                  <c:v>8.2456891829436694E-3</c:v>
                </c:pt>
                <c:pt idx="580">
                  <c:v>8.2214044065073103E-3</c:v>
                </c:pt>
                <c:pt idx="581">
                  <c:v>8.1972322188377331E-3</c:v>
                </c:pt>
                <c:pt idx="582">
                  <c:v>8.1731719089255007E-3</c:v>
                </c:pt>
                <c:pt idx="583">
                  <c:v>8.1492227714367264E-3</c:v>
                </c:pt>
                <c:pt idx="584">
                  <c:v>8.1253841066583742E-3</c:v>
                </c:pt>
                <c:pt idx="585">
                  <c:v>8.1016552204441483E-3</c:v>
                </c:pt>
                <c:pt idx="586">
                  <c:v>8.0780354241610786E-3</c:v>
                </c:pt>
                <c:pt idx="587">
                  <c:v>8.054524034636577E-3</c:v>
                </c:pt>
                <c:pt idx="588">
                  <c:v>8.0311203741061932E-3</c:v>
                </c:pt>
                <c:pt idx="589">
                  <c:v>8.0078237701619124E-3</c:v>
                </c:pt>
                <c:pt idx="590">
                  <c:v>7.9846335557010144E-3</c:v>
                </c:pt>
                <c:pt idx="591">
                  <c:v>7.9615490688755945E-3</c:v>
                </c:pt>
                <c:pt idx="592">
                  <c:v>7.9385696530424911E-3</c:v>
                </c:pt>
                <c:pt idx="593">
                  <c:v>7.9156946567139237E-3</c:v>
                </c:pt>
                <c:pt idx="594">
                  <c:v>7.8929234335086036E-3</c:v>
                </c:pt>
                <c:pt idx="595">
                  <c:v>7.8702553421033852E-3</c:v>
                </c:pt>
                <c:pt idx="596">
                  <c:v>7.8476897461854881E-3</c:v>
                </c:pt>
                <c:pt idx="597">
                  <c:v>7.8252260144052056E-3</c:v>
                </c:pt>
                <c:pt idx="598">
                  <c:v>7.8028635203291766E-3</c:v>
                </c:pt>
                <c:pt idx="599">
                  <c:v>7.7806016423941499E-3</c:v>
                </c:pt>
                <c:pt idx="600">
                  <c:v>7.7584397638612483E-3</c:v>
                </c:pt>
                <c:pt idx="601">
                  <c:v>7.736377272770786E-3</c:v>
                </c:pt>
                <c:pt idx="602">
                  <c:v>7.7144135618974824E-3</c:v>
                </c:pt>
                <c:pt idx="603">
                  <c:v>7.6925480287062843E-3</c:v>
                </c:pt>
                <c:pt idx="604">
                  <c:v>7.6707800753086121E-3</c:v>
                </c:pt>
                <c:pt idx="605">
                  <c:v>7.649109108419024E-3</c:v>
                </c:pt>
                <c:pt idx="606">
                  <c:v>7.6275345393125226E-3</c:v>
                </c:pt>
                <c:pt idx="607">
                  <c:v>7.6060557837821273E-3</c:v>
                </c:pt>
                <c:pt idx="608">
                  <c:v>7.5846722620970305E-3</c:v>
                </c:pt>
                <c:pt idx="609">
                  <c:v>7.5633833989612017E-3</c:v>
                </c:pt>
                <c:pt idx="610">
                  <c:v>7.5421886234723996E-3</c:v>
                </c:pt>
                <c:pt idx="611">
                  <c:v>7.5210873690816282E-3</c:v>
                </c:pt>
                <c:pt idx="612">
                  <c:v>7.5000790735530523E-3</c:v>
                </c:pt>
                <c:pt idx="613">
                  <c:v>7.4791631789243914E-3</c:v>
                </c:pt>
                <c:pt idx="614">
                  <c:v>7.4583391314675942E-3</c:v>
                </c:pt>
                <c:pt idx="615">
                  <c:v>7.4376063816501137E-3</c:v>
                </c:pt>
                <c:pt idx="616">
                  <c:v>7.4169643840964793E-3</c:v>
                </c:pt>
                <c:pt idx="617">
                  <c:v>7.3964125975503128E-3</c:v>
                </c:pt>
                <c:pt idx="618">
                  <c:v>7.3759504848367654E-3</c:v>
                </c:pt>
                <c:pt idx="619">
                  <c:v>7.3555775128253328E-3</c:v>
                </c:pt>
                <c:pt idx="620">
                  <c:v>7.3352931523931013E-3</c:v>
                </c:pt>
                <c:pt idx="621">
                  <c:v>7.3150968783883144E-3</c:v>
                </c:pt>
                <c:pt idx="622">
                  <c:v>7.2949881695944484E-3</c:v>
                </c:pt>
                <c:pt idx="623">
                  <c:v>7.2749665086945178E-3</c:v>
                </c:pt>
                <c:pt idx="624">
                  <c:v>7.2550313822358822E-3</c:v>
                </c:pt>
                <c:pt idx="625">
                  <c:v>7.2351822805953817E-3</c:v>
                </c:pt>
                <c:pt idx="626">
                  <c:v>7.2154186979448177E-3</c:v>
                </c:pt>
                <c:pt idx="627">
                  <c:v>7.1957401322168286E-3</c:v>
                </c:pt>
                <c:pt idx="628">
                  <c:v>7.1761460850711277E-3</c:v>
                </c:pt>
                <c:pt idx="629">
                  <c:v>7.1566360618610502E-3</c:v>
                </c:pt>
                <c:pt idx="630">
                  <c:v>7.1372095716005449E-3</c:v>
                </c:pt>
                <c:pt idx="631">
                  <c:v>7.1178661269313817E-3</c:v>
                </c:pt>
                <c:pt idx="632">
                  <c:v>7.0986052440908136E-3</c:v>
                </c:pt>
                <c:pt idx="633">
                  <c:v>7.0794264428795523E-3</c:v>
                </c:pt>
                <c:pt idx="634">
                  <c:v>7.0603292466300243E-3</c:v>
                </c:pt>
                <c:pt idx="635">
                  <c:v>7.0413131821749943E-3</c:v>
                </c:pt>
                <c:pt idx="636">
                  <c:v>7.0223777798165653E-3</c:v>
                </c:pt>
                <c:pt idx="637">
                  <c:v>7.0035225732953971E-3</c:v>
                </c:pt>
                <c:pt idx="638">
                  <c:v>6.9847470997603271E-3</c:v>
                </c:pt>
                <c:pt idx="639">
                  <c:v>6.9660508997382792E-3</c:v>
                </c:pt>
                <c:pt idx="640">
                  <c:v>6.9474335171044455E-3</c:v>
                </c:pt>
                <c:pt idx="641">
                  <c:v>6.9288944990528777E-3</c:v>
                </c:pt>
                <c:pt idx="642">
                  <c:v>6.9104333960672516E-3</c:v>
                </c:pt>
                <c:pt idx="643">
                  <c:v>6.8920497618920459E-3</c:v>
                </c:pt>
                <c:pt idx="644">
                  <c:v>6.8737431535039091E-3</c:v>
                </c:pt>
                <c:pt idx="645">
                  <c:v>6.8555131310834624E-3</c:v>
                </c:pt>
                <c:pt idx="646">
                  <c:v>6.8373592579872447E-3</c:v>
                </c:pt>
                <c:pt idx="647">
                  <c:v>6.8192811007200121E-3</c:v>
                </c:pt>
                <c:pt idx="648">
                  <c:v>6.8012782289073644E-3</c:v>
                </c:pt>
                <c:pt idx="649">
                  <c:v>6.7833502152685483E-3</c:v>
                </c:pt>
                <c:pt idx="650">
                  <c:v>6.7654966355896245E-3</c:v>
                </c:pt>
                <c:pt idx="651">
                  <c:v>6.7477170686968653E-3</c:v>
                </c:pt>
                <c:pt idx="652">
                  <c:v>6.7300110964304488E-3</c:v>
                </c:pt>
                <c:pt idx="653">
                  <c:v>6.7123783036183611E-3</c:v>
                </c:pt>
                <c:pt idx="654">
                  <c:v>6.6948182780506805E-3</c:v>
                </c:pt>
                <c:pt idx="655">
                  <c:v>6.677330610453963E-3</c:v>
                </c:pt>
                <c:pt idx="656">
                  <c:v>6.6599148944660276E-3</c:v>
                </c:pt>
                <c:pt idx="657">
                  <c:v>6.6425707266109255E-3</c:v>
                </c:pt>
                <c:pt idx="658">
                  <c:v>6.6252977062741534E-3</c:v>
                </c:pt>
                <c:pt idx="659">
                  <c:v>6.6080954356781659E-3</c:v>
                </c:pt>
                <c:pt idx="660">
                  <c:v>6.5909635198580976E-3</c:v>
                </c:pt>
                <c:pt idx="661">
                  <c:v>6.5739015666377012E-3</c:v>
                </c:pt>
                <c:pt idx="662">
                  <c:v>6.5569091866056247E-3</c:v>
                </c:pt>
                <c:pt idx="663">
                  <c:v>6.5399859930918023E-3</c:v>
                </c:pt>
                <c:pt idx="664">
                  <c:v>6.5231316021441693E-3</c:v>
                </c:pt>
                <c:pt idx="665">
                  <c:v>6.5063456325055759E-3</c:v>
                </c:pt>
                <c:pt idx="666">
                  <c:v>6.4896277055909446E-3</c:v>
                </c:pt>
                <c:pt idx="667">
                  <c:v>6.4729774454646092E-3</c:v>
                </c:pt>
                <c:pt idx="668">
                  <c:v>6.4563944788179365E-3</c:v>
                </c:pt>
                <c:pt idx="669">
                  <c:v>6.4398784349471768E-3</c:v>
                </c:pt>
                <c:pt idx="670">
                  <c:v>6.4234289457314516E-3</c:v>
                </c:pt>
                <c:pt idx="671">
                  <c:v>6.4070456456110361E-3</c:v>
                </c:pt>
                <c:pt idx="672">
                  <c:v>6.3907281715658171E-3</c:v>
                </c:pt>
                <c:pt idx="673">
                  <c:v>6.3744761630940188E-3</c:v>
                </c:pt>
                <c:pt idx="674">
                  <c:v>6.3582892621910246E-3</c:v>
                </c:pt>
                <c:pt idx="675">
                  <c:v>6.3421671133285463E-3</c:v>
                </c:pt>
                <c:pt idx="676">
                  <c:v>6.3261093634338697E-3</c:v>
                </c:pt>
                <c:pt idx="677">
                  <c:v>6.3101156618694124E-3</c:v>
                </c:pt>
                <c:pt idx="678">
                  <c:v>6.2941856604124121E-3</c:v>
                </c:pt>
                <c:pt idx="679">
                  <c:v>6.278319013234804E-3</c:v>
                </c:pt>
                <c:pt idx="680">
                  <c:v>6.2625153768833776E-3</c:v>
                </c:pt>
                <c:pt idx="681">
                  <c:v>6.2467744102600265E-3</c:v>
                </c:pt>
                <c:pt idx="682">
                  <c:v>6.2310957746022641E-3</c:v>
                </c:pt>
                <c:pt idx="683">
                  <c:v>6.2154791334638705E-3</c:v>
                </c:pt>
                <c:pt idx="684">
                  <c:v>6.1999241526957951E-3</c:v>
                </c:pt>
                <c:pt idx="685">
                  <c:v>6.1844305004271696E-3</c:v>
                </c:pt>
                <c:pt idx="686">
                  <c:v>6.1689978470465543E-3</c:v>
                </c:pt>
                <c:pt idx="687">
                  <c:v>6.1536258651833601E-3</c:v>
                </c:pt>
                <c:pt idx="688">
                  <c:v>6.1383142296894217E-3</c:v>
                </c:pt>
                <c:pt idx="689">
                  <c:v>6.1230626176207873E-3</c:v>
                </c:pt>
                <c:pt idx="690">
                  <c:v>6.1078707082196579E-3</c:v>
                </c:pt>
                <c:pt idx="691">
                  <c:v>6.0927381828964804E-3</c:v>
                </c:pt>
                <c:pt idx="692">
                  <c:v>6.0776647252122704E-3</c:v>
                </c:pt>
                <c:pt idx="693">
                  <c:v>6.0626500208610561E-3</c:v>
                </c:pt>
                <c:pt idx="694">
                  <c:v>6.0476937576525065E-3</c:v>
                </c:pt>
                <c:pt idx="695">
                  <c:v>6.0327956254947156E-3</c:v>
                </c:pt>
                <c:pt idx="696">
                  <c:v>6.0179553163771746E-3</c:v>
                </c:pt>
                <c:pt idx="697">
                  <c:v>6.0031725243538852E-3</c:v>
                </c:pt>
                <c:pt idx="698">
                  <c:v>5.988446945526622E-3</c:v>
                </c:pt>
                <c:pt idx="699">
                  <c:v>5.9737782780283901E-3</c:v>
                </c:pt>
                <c:pt idx="700">
                  <c:v>5.9591662220070075E-3</c:v>
                </c:pt>
                <c:pt idx="701">
                  <c:v>5.9446104796088521E-3</c:v>
                </c:pt>
                <c:pt idx="702">
                  <c:v>5.9301107549627925E-3</c:v>
                </c:pt>
                <c:pt idx="703">
                  <c:v>5.915666754164205E-3</c:v>
                </c:pt>
                <c:pt idx="704">
                  <c:v>5.9012781852591989E-3</c:v>
                </c:pt>
                <c:pt idx="705">
                  <c:v>5.8869447582289586E-3</c:v>
                </c:pt>
                <c:pt idx="706">
                  <c:v>5.8726661849742732E-3</c:v>
                </c:pt>
                <c:pt idx="707">
                  <c:v>5.8584421793001417E-3</c:v>
                </c:pt>
                <c:pt idx="708">
                  <c:v>5.8442724569005983E-3</c:v>
                </c:pt>
                <c:pt idx="709">
                  <c:v>5.8301567353436197E-3</c:v>
                </c:pt>
                <c:pt idx="710">
                  <c:v>5.8160947340562185E-3</c:v>
                </c:pt>
                <c:pt idx="711">
                  <c:v>5.8020861743096428E-3</c:v>
                </c:pt>
                <c:pt idx="712">
                  <c:v>5.7881307792047188E-3</c:v>
                </c:pt>
                <c:pt idx="713">
                  <c:v>5.7742282736573721E-3</c:v>
                </c:pt>
                <c:pt idx="714">
                  <c:v>5.7603783843842181E-3</c:v>
                </c:pt>
                <c:pt idx="715">
                  <c:v>5.7465808398883067E-3</c:v>
                </c:pt>
                <c:pt idx="716">
                  <c:v>5.7328353704450491E-3</c:v>
                </c:pt>
                <c:pt idx="717">
                  <c:v>5.7191417080882127E-3</c:v>
                </c:pt>
                <c:pt idx="718">
                  <c:v>5.7054995865960601E-3</c:v>
                </c:pt>
                <c:pt idx="719">
                  <c:v>5.6919087414776413E-3</c:v>
                </c:pt>
                <c:pt idx="720">
                  <c:v>5.6783689099591935E-3</c:v>
                </c:pt>
                <c:pt idx="721">
                  <c:v>5.6648798309706424E-3</c:v>
                </c:pt>
                <c:pt idx="722">
                  <c:v>5.6514412451322887E-3</c:v>
                </c:pt>
                <c:pt idx="723">
                  <c:v>5.6380528947415692E-3</c:v>
                </c:pt>
                <c:pt idx="724">
                  <c:v>5.6247145237599229E-3</c:v>
                </c:pt>
                <c:pt idx="725">
                  <c:v>5.6114258777998525E-3</c:v>
                </c:pt>
                <c:pt idx="726">
                  <c:v>5.5981867041120254E-3</c:v>
                </c:pt>
                <c:pt idx="727">
                  <c:v>5.5849967515725265E-3</c:v>
                </c:pt>
                <c:pt idx="728">
                  <c:v>5.5718557706702426E-3</c:v>
                </c:pt>
                <c:pt idx="729">
                  <c:v>5.5587635134943221E-3</c:v>
                </c:pt>
                <c:pt idx="730">
                  <c:v>5.5457197337217875E-3</c:v>
                </c:pt>
                <c:pt idx="731">
                  <c:v>5.5327241866052436E-3</c:v>
                </c:pt>
                <c:pt idx="732">
                  <c:v>5.5197766289606792E-3</c:v>
                </c:pt>
                <c:pt idx="733">
                  <c:v>5.5068768191554067E-3</c:v>
                </c:pt>
                <c:pt idx="734">
                  <c:v>5.4940245170961247E-3</c:v>
                </c:pt>
                <c:pt idx="735">
                  <c:v>5.4812194842170231E-3</c:v>
                </c:pt>
                <c:pt idx="736">
                  <c:v>5.4684614834680702E-3</c:v>
                </c:pt>
                <c:pt idx="737">
                  <c:v>5.4557502793033648E-3</c:v>
                </c:pt>
                <c:pt idx="738">
                  <c:v>5.443085637669585E-3</c:v>
                </c:pt>
                <c:pt idx="739">
                  <c:v>5.4304673259945946E-3</c:v>
                </c:pt>
                <c:pt idx="740">
                  <c:v>5.417895113176056E-3</c:v>
                </c:pt>
                <c:pt idx="741">
                  <c:v>5.4053687695702606E-3</c:v>
                </c:pt>
                <c:pt idx="742">
                  <c:v>5.3928880669809765E-3</c:v>
                </c:pt>
                <c:pt idx="743">
                  <c:v>5.380452778648414E-3</c:v>
                </c:pt>
                <c:pt idx="744">
                  <c:v>5.3680626792383069E-3</c:v>
                </c:pt>
                <c:pt idx="745">
                  <c:v>5.3557175448310842E-3</c:v>
                </c:pt>
                <c:pt idx="746">
                  <c:v>5.3434171529111287E-3</c:v>
                </c:pt>
                <c:pt idx="747">
                  <c:v>5.3311612823561446E-3</c:v>
                </c:pt>
                <c:pt idx="748">
                  <c:v>5.3189497134265911E-3</c:v>
                </c:pt>
                <c:pt idx="749">
                  <c:v>5.3067822277552646E-3</c:v>
                </c:pt>
                <c:pt idx="750">
                  <c:v>5.2946586083369033E-3</c:v>
                </c:pt>
                <c:pt idx="751">
                  <c:v>5.282578639517959E-3</c:v>
                </c:pt>
                <c:pt idx="752">
                  <c:v>5.2705421069863855E-3</c:v>
                </c:pt>
                <c:pt idx="753">
                  <c:v>5.2585487977615704E-3</c:v>
                </c:pt>
                <c:pt idx="754">
                  <c:v>5.2465985001843331E-3</c:v>
                </c:pt>
                <c:pt idx="755">
                  <c:v>5.2346910039070098E-3</c:v>
                </c:pt>
                <c:pt idx="756">
                  <c:v>5.2228260998836455E-3</c:v>
                </c:pt>
                <c:pt idx="757">
                  <c:v>5.2110035803602395E-3</c:v>
                </c:pt>
                <c:pt idx="758">
                  <c:v>5.1992232388650972E-3</c:v>
                </c:pt>
                <c:pt idx="759">
                  <c:v>5.1874848701992764E-3</c:v>
                </c:pt>
                <c:pt idx="760">
                  <c:v>5.175788270427098E-3</c:v>
                </c:pt>
                <c:pt idx="761">
                  <c:v>5.1641332368667272E-3</c:v>
                </c:pt>
                <c:pt idx="762">
                  <c:v>5.1525195680808848E-3</c:v>
                </c:pt>
                <c:pt idx="763">
                  <c:v>5.140947063867596E-3</c:v>
                </c:pt>
                <c:pt idx="764">
                  <c:v>5.1294155252510215E-3</c:v>
                </c:pt>
                <c:pt idx="765">
                  <c:v>5.1179247544724015E-3</c:v>
                </c:pt>
                <c:pt idx="766">
                  <c:v>5.1064745549810496E-3</c:v>
                </c:pt>
                <c:pt idx="767">
                  <c:v>5.0950647314254209E-3</c:v>
                </c:pt>
                <c:pt idx="768">
                  <c:v>5.0836950896442808E-3</c:v>
                </c:pt>
                <c:pt idx="769">
                  <c:v>5.0723654366579447E-3</c:v>
                </c:pt>
                <c:pt idx="770">
                  <c:v>5.0610755806595612E-3</c:v>
                </c:pt>
                <c:pt idx="771">
                  <c:v>5.0498253310065242E-3</c:v>
                </c:pt>
                <c:pt idx="772">
                  <c:v>5.0386144982119095E-3</c:v>
                </c:pt>
                <c:pt idx="773">
                  <c:v>5.0274428939360146E-3</c:v>
                </c:pt>
                <c:pt idx="774">
                  <c:v>5.0163103309779746E-3</c:v>
                </c:pt>
                <c:pt idx="775">
                  <c:v>5.0052166232674045E-3</c:v>
                </c:pt>
                <c:pt idx="776">
                  <c:v>4.9941615858561843E-3</c:v>
                </c:pt>
                <c:pt idx="777">
                  <c:v>4.9831450349102566E-3</c:v>
                </c:pt>
                <c:pt idx="778">
                  <c:v>4.9721667877015152E-3</c:v>
                </c:pt>
                <c:pt idx="779">
                  <c:v>4.9612266625997685E-3</c:v>
                </c:pt>
                <c:pt idx="780">
                  <c:v>4.95032447906476E-3</c:v>
                </c:pt>
                <c:pt idx="781">
                  <c:v>4.939460057638261E-3</c:v>
                </c:pt>
                <c:pt idx="782">
                  <c:v>4.9286332199362402E-3</c:v>
                </c:pt>
                <c:pt idx="783">
                  <c:v>4.9178437886410803E-3</c:v>
                </c:pt>
                <c:pt idx="784">
                  <c:v>4.9070915874938701E-3</c:v>
                </c:pt>
                <c:pt idx="785">
                  <c:v>4.8963764412867745E-3</c:v>
                </c:pt>
                <c:pt idx="786">
                  <c:v>4.8856981758554551E-3</c:v>
                </c:pt>
                <c:pt idx="787">
                  <c:v>4.8750566180715471E-3</c:v>
                </c:pt>
                <c:pt idx="788">
                  <c:v>4.8644515958352116E-3</c:v>
                </c:pt>
                <c:pt idx="789">
                  <c:v>4.8538829380677627E-3</c:v>
                </c:pt>
                <c:pt idx="790">
                  <c:v>4.8433504747043242E-3</c:v>
                </c:pt>
                <c:pt idx="791">
                  <c:v>4.8328540366865853E-3</c:v>
                </c:pt>
                <c:pt idx="792">
                  <c:v>4.8223934559555879E-3</c:v>
                </c:pt>
                <c:pt idx="793">
                  <c:v>4.8119685654445807E-3</c:v>
                </c:pt>
                <c:pt idx="794">
                  <c:v>4.8015791990719467E-3</c:v>
                </c:pt>
                <c:pt idx="795">
                  <c:v>4.7912251917341751E-3</c:v>
                </c:pt>
                <c:pt idx="796">
                  <c:v>4.7809063792988941E-3</c:v>
                </c:pt>
                <c:pt idx="797">
                  <c:v>4.7706225985979867E-3</c:v>
                </c:pt>
                <c:pt idx="798">
                  <c:v>4.7603736874207089E-3</c:v>
                </c:pt>
                <c:pt idx="799">
                  <c:v>4.7501594845069254E-3</c:v>
                </c:pt>
                <c:pt idx="800">
                  <c:v>4.7399798295403601E-3</c:v>
                </c:pt>
                <c:pt idx="801">
                  <c:v>4.7298345631419259E-3</c:v>
                </c:pt>
                <c:pt idx="802">
                  <c:v>4.7197235268631038E-3</c:v>
                </c:pt>
                <c:pt idx="803">
                  <c:v>4.7096465631793448E-3</c:v>
                </c:pt>
                <c:pt idx="804">
                  <c:v>4.6996035154836142E-3</c:v>
                </c:pt>
                <c:pt idx="805">
                  <c:v>4.6895942280798641E-3</c:v>
                </c:pt>
                <c:pt idx="806">
                  <c:v>4.6796185461766785E-3</c:v>
                </c:pt>
                <c:pt idx="807">
                  <c:v>4.6696763158808885E-3</c:v>
                </c:pt>
                <c:pt idx="808">
                  <c:v>4.6597673841912877E-3</c:v>
                </c:pt>
                <c:pt idx="809">
                  <c:v>4.6498915989923719E-3</c:v>
                </c:pt>
                <c:pt idx="810">
                  <c:v>4.6400488090481504E-3</c:v>
                </c:pt>
                <c:pt idx="811">
                  <c:v>4.6302388639959755E-3</c:v>
                </c:pt>
                <c:pt idx="812">
                  <c:v>4.6204616143404684E-3</c:v>
                </c:pt>
                <c:pt idx="813">
                  <c:v>4.6107169114474773E-3</c:v>
                </c:pt>
                <c:pt idx="814">
                  <c:v>4.6010046075380517E-3</c:v>
                </c:pt>
                <c:pt idx="815">
                  <c:v>4.5913245556824999E-3</c:v>
                </c:pt>
                <c:pt idx="816">
                  <c:v>4.5816766097945237E-3</c:v>
                </c:pt>
                <c:pt idx="817">
                  <c:v>4.5720606246253117E-3</c:v>
                </c:pt>
                <c:pt idx="818">
                  <c:v>4.5624764557577625E-3</c:v>
                </c:pt>
                <c:pt idx="819">
                  <c:v>4.552923959600743E-3</c:v>
                </c:pt>
                <c:pt idx="820">
                  <c:v>4.5434029933833367E-3</c:v>
                </c:pt>
                <c:pt idx="821">
                  <c:v>4.5339134151492141E-3</c:v>
                </c:pt>
                <c:pt idx="822">
                  <c:v>4.5244550837510054E-3</c:v>
                </c:pt>
                <c:pt idx="823">
                  <c:v>4.5150278588446989E-3</c:v>
                </c:pt>
                <c:pt idx="824">
                  <c:v>4.5056316008841579E-3</c:v>
                </c:pt>
                <c:pt idx="825">
                  <c:v>4.4962661711156083E-3</c:v>
                </c:pt>
                <c:pt idx="826">
                  <c:v>4.4869314315721959E-3</c:v>
                </c:pt>
                <c:pt idx="827">
                  <c:v>4.477627245068617E-3</c:v>
                </c:pt>
                <c:pt idx="828">
                  <c:v>4.4683534751957243E-3</c:v>
                </c:pt>
                <c:pt idx="829">
                  <c:v>4.4591099863152614E-3</c:v>
                </c:pt>
                <c:pt idx="830">
                  <c:v>4.4498966435545673E-3</c:v>
                </c:pt>
                <c:pt idx="831">
                  <c:v>4.4407133128013523E-3</c:v>
                </c:pt>
                <c:pt idx="832">
                  <c:v>4.4315598606985357E-3</c:v>
                </c:pt>
                <c:pt idx="833">
                  <c:v>4.4224361546390829E-3</c:v>
                </c:pt>
                <c:pt idx="834">
                  <c:v>4.4133420627609134E-3</c:v>
                </c:pt>
                <c:pt idx="835">
                  <c:v>4.4042774539418284E-3</c:v>
                </c:pt>
                <c:pt idx="836">
                  <c:v>4.3952421977945305E-3</c:v>
                </c:pt>
                <c:pt idx="837">
                  <c:v>4.3862361646615795E-3</c:v>
                </c:pt>
                <c:pt idx="838">
                  <c:v>4.3772592256105186E-3</c:v>
                </c:pt>
                <c:pt idx="839">
                  <c:v>4.3683112524289204E-3</c:v>
                </c:pt>
                <c:pt idx="840">
                  <c:v>4.359392117619567E-3</c:v>
                </c:pt>
                <c:pt idx="841">
                  <c:v>4.3505016943955945E-3</c:v>
                </c:pt>
                <c:pt idx="842">
                  <c:v>4.341639856675716E-3</c:v>
                </c:pt>
                <c:pt idx="843">
                  <c:v>4.332806479079492E-3</c:v>
                </c:pt>
                <c:pt idx="844">
                  <c:v>4.3240014369225893E-3</c:v>
                </c:pt>
                <c:pt idx="845">
                  <c:v>4.3152246062121364E-3</c:v>
                </c:pt>
                <c:pt idx="846">
                  <c:v>4.3064758636420621E-3</c:v>
                </c:pt>
                <c:pt idx="847">
                  <c:v>4.2977550865885197E-3</c:v>
                </c:pt>
                <c:pt idx="848">
                  <c:v>4.2890621531053068E-3</c:v>
                </c:pt>
                <c:pt idx="849">
                  <c:v>4.2803969419193391E-3</c:v>
                </c:pt>
                <c:pt idx="850">
                  <c:v>4.271759332426163E-3</c:v>
                </c:pt>
                <c:pt idx="851">
                  <c:v>4.2631492046854976E-3</c:v>
                </c:pt>
                <c:pt idx="852">
                  <c:v>4.2545664394168037E-3</c:v>
                </c:pt>
                <c:pt idx="853">
                  <c:v>4.2460109179949064E-3</c:v>
                </c:pt>
                <c:pt idx="854">
                  <c:v>4.2374825224456335E-3</c:v>
                </c:pt>
                <c:pt idx="855">
                  <c:v>4.2289811354415041E-3</c:v>
                </c:pt>
                <c:pt idx="856">
                  <c:v>4.2205066402974355E-3</c:v>
                </c:pt>
                <c:pt idx="857">
                  <c:v>4.2120589209664874E-3</c:v>
                </c:pt>
                <c:pt idx="858">
                  <c:v>4.2036378620356448E-3</c:v>
                </c:pt>
                <c:pt idx="859">
                  <c:v>4.1952433487216414E-3</c:v>
                </c:pt>
                <c:pt idx="860">
                  <c:v>4.1868752668667844E-3</c:v>
                </c:pt>
                <c:pt idx="861">
                  <c:v>4.178533502934849E-3</c:v>
                </c:pt>
                <c:pt idx="862">
                  <c:v>4.1702179440069737E-3</c:v>
                </c:pt>
                <c:pt idx="863">
                  <c:v>4.1619284777776201E-3</c:v>
                </c:pt>
                <c:pt idx="864">
                  <c:v>4.1536649925505154E-3</c:v>
                </c:pt>
                <c:pt idx="865">
                  <c:v>4.1454273772346924E-3</c:v>
                </c:pt>
                <c:pt idx="866">
                  <c:v>4.1372155213404921E-3</c:v>
                </c:pt>
                <c:pt idx="867">
                  <c:v>4.1290293149756352E-3</c:v>
                </c:pt>
                <c:pt idx="868">
                  <c:v>4.1208686488413372E-3</c:v>
                </c:pt>
                <c:pt idx="869">
                  <c:v>4.1127334142283915E-3</c:v>
                </c:pt>
                <c:pt idx="870">
                  <c:v>4.1046235030133688E-3</c:v>
                </c:pt>
                <c:pt idx="871">
                  <c:v>4.096538807654768E-3</c:v>
                </c:pt>
                <c:pt idx="872">
                  <c:v>4.0884792211892508E-3</c:v>
                </c:pt>
                <c:pt idx="873">
                  <c:v>4.0804446372278624E-3</c:v>
                </c:pt>
                <c:pt idx="874">
                  <c:v>4.072434949952311E-3</c:v>
                </c:pt>
                <c:pt idx="875">
                  <c:v>4.0644500541112787E-3</c:v>
                </c:pt>
                <c:pt idx="876">
                  <c:v>4.0564898450167241E-3</c:v>
                </c:pt>
                <c:pt idx="877">
                  <c:v>4.0485542185402521E-3</c:v>
                </c:pt>
                <c:pt idx="878">
                  <c:v>4.040643071109502E-3</c:v>
                </c:pt>
                <c:pt idx="879">
                  <c:v>4.0327562997045383E-3</c:v>
                </c:pt>
                <c:pt idx="880">
                  <c:v>4.0248938018542946E-3</c:v>
                </c:pt>
                <c:pt idx="881">
                  <c:v>4.0170554756330523E-3</c:v>
                </c:pt>
                <c:pt idx="882">
                  <c:v>4.0092412196569144E-3</c:v>
                </c:pt>
                <c:pt idx="883">
                  <c:v>4.0014509330803189E-3</c:v>
                </c:pt>
                <c:pt idx="884">
                  <c:v>3.9936845155925946E-3</c:v>
                </c:pt>
                <c:pt idx="885">
                  <c:v>3.9859418674145324E-3</c:v>
                </c:pt>
                <c:pt idx="886">
                  <c:v>3.9782228892949719E-3</c:v>
                </c:pt>
                <c:pt idx="887">
                  <c:v>3.9705274825074079E-3</c:v>
                </c:pt>
                <c:pt idx="888">
                  <c:v>3.962855548846669E-3</c:v>
                </c:pt>
                <c:pt idx="889">
                  <c:v>3.9552069906255679E-3</c:v>
                </c:pt>
                <c:pt idx="890">
                  <c:v>3.9475817106716044E-3</c:v>
                </c:pt>
                <c:pt idx="891">
                  <c:v>3.9399796123236689E-3</c:v>
                </c:pt>
                <c:pt idx="892">
                  <c:v>3.9324005994288208E-3</c:v>
                </c:pt>
                <c:pt idx="893">
                  <c:v>3.9248445763390176E-3</c:v>
                </c:pt>
                <c:pt idx="894">
                  <c:v>3.9173114479079526E-3</c:v>
                </c:pt>
                <c:pt idx="895">
                  <c:v>3.9098011194878242E-3</c:v>
                </c:pt>
                <c:pt idx="896">
                  <c:v>3.9023134969262273E-3</c:v>
                </c:pt>
                <c:pt idx="897">
                  <c:v>3.894848486562975E-3</c:v>
                </c:pt>
                <c:pt idx="898">
                  <c:v>3.8874059952270154E-3</c:v>
                </c:pt>
                <c:pt idx="899">
                  <c:v>3.8799859302333204E-3</c:v>
                </c:pt>
                <c:pt idx="900">
                  <c:v>3.8725881993798335E-3</c:v>
                </c:pt>
                <c:pt idx="901">
                  <c:v>3.865212710944432E-3</c:v>
                </c:pt>
                <c:pt idx="902">
                  <c:v>3.8578593736818879E-3</c:v>
                </c:pt>
                <c:pt idx="903">
                  <c:v>3.8505280968208801E-3</c:v>
                </c:pt>
                <c:pt idx="904">
                  <c:v>3.8432187900610186E-3</c:v>
                </c:pt>
                <c:pt idx="905">
                  <c:v>3.8359313635698816E-3</c:v>
                </c:pt>
                <c:pt idx="906">
                  <c:v>3.8286657279800974E-3</c:v>
                </c:pt>
                <c:pt idx="907">
                  <c:v>3.8214217943864093E-3</c:v>
                </c:pt>
                <c:pt idx="908">
                  <c:v>3.8141994743428175E-3</c:v>
                </c:pt>
                <c:pt idx="909">
                  <c:v>3.8069986798596731E-3</c:v>
                </c:pt>
                <c:pt idx="910">
                  <c:v>3.7998193234008702E-3</c:v>
                </c:pt>
                <c:pt idx="911">
                  <c:v>3.7926613178809825E-3</c:v>
                </c:pt>
                <c:pt idx="912">
                  <c:v>3.7855245766624766E-3</c:v>
                </c:pt>
                <c:pt idx="913">
                  <c:v>3.7784090135529278E-3</c:v>
                </c:pt>
                <c:pt idx="914">
                  <c:v>3.7713145428022454E-3</c:v>
                </c:pt>
                <c:pt idx="915">
                  <c:v>3.7642410790999312E-3</c:v>
                </c:pt>
                <c:pt idx="916">
                  <c:v>3.7571885375723493E-3</c:v>
                </c:pt>
                <c:pt idx="917">
                  <c:v>3.750156833780033E-3</c:v>
                </c:pt>
                <c:pt idx="918">
                  <c:v>3.7431458837149842E-3</c:v>
                </c:pt>
                <c:pt idx="919">
                  <c:v>3.7361556037980217E-3</c:v>
                </c:pt>
                <c:pt idx="920">
                  <c:v>3.7291859108761153E-3</c:v>
                </c:pt>
                <c:pt idx="921">
                  <c:v>3.7222367222197765E-3</c:v>
                </c:pt>
                <c:pt idx="922">
                  <c:v>3.7153079555204394E-3</c:v>
                </c:pt>
                <c:pt idx="923">
                  <c:v>3.7083995288878682E-3</c:v>
                </c:pt>
                <c:pt idx="924">
                  <c:v>3.7015113608475964E-3</c:v>
                </c:pt>
                <c:pt idx="925">
                  <c:v>3.6946433703383668E-3</c:v>
                </c:pt>
                <c:pt idx="926">
                  <c:v>3.6877954767095943E-3</c:v>
                </c:pt>
                <c:pt idx="927">
                  <c:v>3.6809675997188525E-3</c:v>
                </c:pt>
                <c:pt idx="928">
                  <c:v>3.6741596595293757E-3</c:v>
                </c:pt>
                <c:pt idx="929">
                  <c:v>3.667371576707594E-3</c:v>
                </c:pt>
                <c:pt idx="930">
                  <c:v>3.6606032722206268E-3</c:v>
                </c:pt>
                <c:pt idx="931">
                  <c:v>3.6538546674338896E-3</c:v>
                </c:pt>
                <c:pt idx="932">
                  <c:v>3.647125684108635E-3</c:v>
                </c:pt>
                <c:pt idx="933">
                  <c:v>3.6404162443995566E-3</c:v>
                </c:pt>
                <c:pt idx="934">
                  <c:v>3.6337262708523851E-3</c:v>
                </c:pt>
                <c:pt idx="935">
                  <c:v>3.6270556864015173E-3</c:v>
                </c:pt>
                <c:pt idx="936">
                  <c:v>3.6204044143676628E-3</c:v>
                </c:pt>
                <c:pt idx="937">
                  <c:v>3.6137723784555021E-3</c:v>
                </c:pt>
                <c:pt idx="938">
                  <c:v>3.6071595027513414E-3</c:v>
                </c:pt>
                <c:pt idx="939">
                  <c:v>3.6005657117208286E-3</c:v>
                </c:pt>
                <c:pt idx="940">
                  <c:v>3.5939909302066591E-3</c:v>
                </c:pt>
                <c:pt idx="941">
                  <c:v>3.5874350834262693E-3</c:v>
                </c:pt>
                <c:pt idx="942">
                  <c:v>3.5808980969696193E-3</c:v>
                </c:pt>
                <c:pt idx="943">
                  <c:v>3.5743798967969131E-3</c:v>
                </c:pt>
                <c:pt idx="944">
                  <c:v>3.5678804092363963E-3</c:v>
                </c:pt>
                <c:pt idx="945">
                  <c:v>3.5613995609821273E-3</c:v>
                </c:pt>
                <c:pt idx="946">
                  <c:v>3.5549372790917859E-3</c:v>
                </c:pt>
                <c:pt idx="947">
                  <c:v>3.5484934909844872E-3</c:v>
                </c:pt>
                <c:pt idx="948">
                  <c:v>3.5420681244386228E-3</c:v>
                </c:pt>
                <c:pt idx="949">
                  <c:v>3.5356611075897082E-3</c:v>
                </c:pt>
                <c:pt idx="950">
                  <c:v>3.5292723689282391E-3</c:v>
                </c:pt>
                <c:pt idx="951">
                  <c:v>3.5229018372975834E-3</c:v>
                </c:pt>
                <c:pt idx="952">
                  <c:v>3.5165494418918607E-3</c:v>
                </c:pt>
                <c:pt idx="953">
                  <c:v>3.5102151122538717E-3</c:v>
                </c:pt>
                <c:pt idx="954">
                  <c:v>3.5038987782729865E-3</c:v>
                </c:pt>
                <c:pt idx="955">
                  <c:v>3.4976003701831294E-3</c:v>
                </c:pt>
                <c:pt idx="956">
                  <c:v>3.491319818560682E-3</c:v>
                </c:pt>
                <c:pt idx="957">
                  <c:v>3.4850570543224937E-3</c:v>
                </c:pt>
                <c:pt idx="958">
                  <c:v>3.4788120087238298E-3</c:v>
                </c:pt>
                <c:pt idx="959">
                  <c:v>3.4725846133563834E-3</c:v>
                </c:pt>
                <c:pt idx="960">
                  <c:v>3.466374800146279E-3</c:v>
                </c:pt>
                <c:pt idx="961">
                  <c:v>3.460182501352097E-3</c:v>
                </c:pt>
                <c:pt idx="962">
                  <c:v>3.4540076495629068E-3</c:v>
                </c:pt>
                <c:pt idx="963">
                  <c:v>3.4478501776963148E-3</c:v>
                </c:pt>
                <c:pt idx="964">
                  <c:v>3.441710018996535E-3</c:v>
                </c:pt>
                <c:pt idx="965">
                  <c:v>3.4355871070324588E-3</c:v>
                </c:pt>
                <c:pt idx="966">
                  <c:v>3.4294813756957469E-3</c:v>
                </c:pt>
                <c:pt idx="967">
                  <c:v>3.4233927591989411E-3</c:v>
                </c:pt>
                <c:pt idx="968">
                  <c:v>3.4173211920735585E-3</c:v>
                </c:pt>
                <c:pt idx="969">
                  <c:v>3.4112666091682532E-3</c:v>
                </c:pt>
                <c:pt idx="970">
                  <c:v>3.4052289456469212E-3</c:v>
                </c:pt>
                <c:pt idx="971">
                  <c:v>3.3992081369868862E-3</c:v>
                </c:pt>
                <c:pt idx="972">
                  <c:v>3.3932041189770452E-3</c:v>
                </c:pt>
                <c:pt idx="973">
                  <c:v>3.3872168277160699E-3</c:v>
                </c:pt>
                <c:pt idx="974">
                  <c:v>3.381246199610576E-3</c:v>
                </c:pt>
                <c:pt idx="975">
                  <c:v>3.3752921713733463E-3</c:v>
                </c:pt>
                <c:pt idx="976">
                  <c:v>3.3693546800215332E-3</c:v>
                </c:pt>
                <c:pt idx="977">
                  <c:v>3.3634336628749102E-3</c:v>
                </c:pt>
                <c:pt idx="978">
                  <c:v>3.3575290575540814E-3</c:v>
                </c:pt>
                <c:pt idx="979">
                  <c:v>3.351640801978762E-3</c:v>
                </c:pt>
                <c:pt idx="980">
                  <c:v>3.3457688343660318E-3</c:v>
                </c:pt>
                <c:pt idx="981">
                  <c:v>3.3399130932286135E-3</c:v>
                </c:pt>
                <c:pt idx="982">
                  <c:v>3.3340735173731663E-3</c:v>
                </c:pt>
                <c:pt idx="983">
                  <c:v>3.3282500458985767E-3</c:v>
                </c:pt>
                <c:pt idx="984">
                  <c:v>3.3224426181942737E-3</c:v>
                </c:pt>
                <c:pt idx="985">
                  <c:v>3.316651173938564E-3</c:v>
                </c:pt>
                <c:pt idx="986">
                  <c:v>3.3108756530969502E-3</c:v>
                </c:pt>
                <c:pt idx="987">
                  <c:v>3.3051159959204823E-3</c:v>
                </c:pt>
                <c:pt idx="988">
                  <c:v>3.2993721429441171E-3</c:v>
                </c:pt>
                <c:pt idx="989">
                  <c:v>3.2936440349850913E-3</c:v>
                </c:pt>
                <c:pt idx="990">
                  <c:v>3.2879316131412895E-3</c:v>
                </c:pt>
                <c:pt idx="991">
                  <c:v>3.2822348187896365E-3</c:v>
                </c:pt>
                <c:pt idx="992">
                  <c:v>3.2765535935845051E-3</c:v>
                </c:pt>
                <c:pt idx="993">
                  <c:v>3.2708878794561261E-3</c:v>
                </c:pt>
                <c:pt idx="994">
                  <c:v>3.2652376186090059E-3</c:v>
                </c:pt>
                <c:pt idx="995">
                  <c:v>3.2596027535203563E-3</c:v>
                </c:pt>
                <c:pt idx="996">
                  <c:v>3.2539832269385576E-3</c:v>
                </c:pt>
                <c:pt idx="997">
                  <c:v>3.2483789818815883E-3</c:v>
                </c:pt>
                <c:pt idx="998">
                  <c:v>3.2427899616354998E-3</c:v>
                </c:pt>
                <c:pt idx="999">
                  <c:v>3.2372161097528884E-3</c:v>
                </c:pt>
                <c:pt idx="1000">
                  <c:v>3.2316573700513964E-3</c:v>
                </c:pt>
                <c:pt idx="1001">
                  <c:v>3.2261136866121717E-3</c:v>
                </c:pt>
                <c:pt idx="1002">
                  <c:v>3.2205850037784127E-3</c:v>
                </c:pt>
                <c:pt idx="1003">
                  <c:v>3.2150712661538489E-3</c:v>
                </c:pt>
                <c:pt idx="1004">
                  <c:v>3.2095724186012877E-3</c:v>
                </c:pt>
                <c:pt idx="1005">
                  <c:v>3.2040884062411457E-3</c:v>
                </c:pt>
                <c:pt idx="1006">
                  <c:v>3.1986191744499725E-3</c:v>
                </c:pt>
                <c:pt idx="1007">
                  <c:v>3.1931646688590394E-3</c:v>
                </c:pt>
                <c:pt idx="1008">
                  <c:v>3.187724835352874E-3</c:v>
                </c:pt>
                <c:pt idx="1009">
                  <c:v>3.1822996200678399E-3</c:v>
                </c:pt>
                <c:pt idx="1010">
                  <c:v>3.1768889693907327E-3</c:v>
                </c:pt>
                <c:pt idx="1011">
                  <c:v>3.1714928299573482E-3</c:v>
                </c:pt>
                <c:pt idx="1012">
                  <c:v>3.1661111486511063E-3</c:v>
                </c:pt>
                <c:pt idx="1013">
                  <c:v>3.1607438726016408E-3</c:v>
                </c:pt>
                <c:pt idx="1014">
                  <c:v>3.1553909491834403E-3</c:v>
                </c:pt>
                <c:pt idx="1015">
                  <c:v>3.1500523260144567E-3</c:v>
                </c:pt>
                <c:pt idx="1016">
                  <c:v>3.1447279509547567E-3</c:v>
                </c:pt>
                <c:pt idx="1017">
                  <c:v>3.1394177721051505E-3</c:v>
                </c:pt>
                <c:pt idx="1018">
                  <c:v>3.1341217378058751E-3</c:v>
                </c:pt>
                <c:pt idx="1019">
                  <c:v>3.1288397966352292E-3</c:v>
                </c:pt>
                <c:pt idx="1020">
                  <c:v>3.1235718974082657E-3</c:v>
                </c:pt>
                <c:pt idx="1021">
                  <c:v>3.1183179891754609E-3</c:v>
                </c:pt>
                <c:pt idx="1022">
                  <c:v>3.1130780212214153E-3</c:v>
                </c:pt>
                <c:pt idx="1023">
                  <c:v>3.1078519430635439E-3</c:v>
                </c:pt>
                <c:pt idx="1024">
                  <c:v>3.1026397044507876E-3</c:v>
                </c:pt>
                <c:pt idx="1025">
                  <c:v>3.0974412553623197E-3</c:v>
                </c:pt>
                <c:pt idx="1026">
                  <c:v>3.0922565460062899E-3</c:v>
                </c:pt>
                <c:pt idx="1027">
                  <c:v>3.0870855268185365E-3</c:v>
                </c:pt>
                <c:pt idx="1028">
                  <c:v>3.0819281484613299E-3</c:v>
                </c:pt>
                <c:pt idx="1029">
                  <c:v>3.0767843618221338E-3</c:v>
                </c:pt>
                <c:pt idx="1030">
                  <c:v>3.0716541180123499E-3</c:v>
                </c:pt>
                <c:pt idx="1031">
                  <c:v>3.066537368366084E-3</c:v>
                </c:pt>
                <c:pt idx="1032">
                  <c:v>3.0614340644389221E-3</c:v>
                </c:pt>
                <c:pt idx="1033">
                  <c:v>3.0563441580067157E-3</c:v>
                </c:pt>
                <c:pt idx="1034">
                  <c:v>3.0512676010643518E-3</c:v>
                </c:pt>
                <c:pt idx="1035">
                  <c:v>3.0462043458245758E-3</c:v>
                </c:pt>
                <c:pt idx="1036">
                  <c:v>3.0411543447167681E-3</c:v>
                </c:pt>
                <c:pt idx="1037">
                  <c:v>3.0361175503857817E-3</c:v>
                </c:pt>
                <c:pt idx="1038">
                  <c:v>3.0310939156907375E-3</c:v>
                </c:pt>
                <c:pt idx="1039">
                  <c:v>3.0260833937038756E-3</c:v>
                </c:pt>
                <c:pt idx="1040">
                  <c:v>3.0210859377093682E-3</c:v>
                </c:pt>
              </c:numCache>
            </c:numRef>
          </c:yVal>
          <c:smooth val="1"/>
          <c:extLst>
            <c:ext xmlns:c16="http://schemas.microsoft.com/office/drawing/2014/chart" uri="{C3380CC4-5D6E-409C-BE32-E72D297353CC}">
              <c16:uniqueId val="{00000001-1A37-094B-9E1D-F9491A91AD2C}"/>
            </c:ext>
          </c:extLst>
        </c:ser>
        <c:ser>
          <c:idx val="2"/>
          <c:order val="2"/>
          <c:tx>
            <c:strRef>
              <c:f>'Model Treatment'!$W$4</c:f>
              <c:strCache>
                <c:ptCount val="1"/>
                <c:pt idx="0">
                  <c:v>Overall survival </c:v>
                </c:pt>
              </c:strCache>
            </c:strRef>
          </c:tx>
          <c:spPr>
            <a:ln w="19050" cap="rnd">
              <a:solidFill>
                <a:schemeClr val="tx1"/>
              </a:solidFill>
              <a:round/>
            </a:ln>
            <a:effectLst/>
          </c:spPr>
          <c:marker>
            <c:symbol val="none"/>
          </c:marker>
          <c:xVal>
            <c:numRef>
              <c:f>'Model Treatment'!$D$7:$D$1047</c:f>
              <c:numCache>
                <c:formatCode>0.000</c:formatCode>
                <c:ptCount val="1041"/>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pt idx="51">
                  <c:v>51</c:v>
                </c:pt>
                <c:pt idx="52">
                  <c:v>52</c:v>
                </c:pt>
                <c:pt idx="53">
                  <c:v>53</c:v>
                </c:pt>
                <c:pt idx="54">
                  <c:v>54</c:v>
                </c:pt>
                <c:pt idx="55">
                  <c:v>55</c:v>
                </c:pt>
                <c:pt idx="56">
                  <c:v>56</c:v>
                </c:pt>
                <c:pt idx="57">
                  <c:v>57</c:v>
                </c:pt>
                <c:pt idx="58">
                  <c:v>58</c:v>
                </c:pt>
                <c:pt idx="59">
                  <c:v>59</c:v>
                </c:pt>
                <c:pt idx="60">
                  <c:v>60</c:v>
                </c:pt>
                <c:pt idx="61">
                  <c:v>61</c:v>
                </c:pt>
                <c:pt idx="62">
                  <c:v>62</c:v>
                </c:pt>
                <c:pt idx="63">
                  <c:v>63</c:v>
                </c:pt>
                <c:pt idx="64">
                  <c:v>64</c:v>
                </c:pt>
                <c:pt idx="65">
                  <c:v>65</c:v>
                </c:pt>
                <c:pt idx="66">
                  <c:v>66</c:v>
                </c:pt>
                <c:pt idx="67">
                  <c:v>67</c:v>
                </c:pt>
                <c:pt idx="68">
                  <c:v>68</c:v>
                </c:pt>
                <c:pt idx="69">
                  <c:v>69</c:v>
                </c:pt>
                <c:pt idx="70">
                  <c:v>70</c:v>
                </c:pt>
                <c:pt idx="71">
                  <c:v>71</c:v>
                </c:pt>
                <c:pt idx="72">
                  <c:v>72</c:v>
                </c:pt>
                <c:pt idx="73">
                  <c:v>73</c:v>
                </c:pt>
                <c:pt idx="74">
                  <c:v>74</c:v>
                </c:pt>
                <c:pt idx="75">
                  <c:v>75</c:v>
                </c:pt>
                <c:pt idx="76">
                  <c:v>76</c:v>
                </c:pt>
                <c:pt idx="77">
                  <c:v>77</c:v>
                </c:pt>
                <c:pt idx="78">
                  <c:v>78</c:v>
                </c:pt>
                <c:pt idx="79">
                  <c:v>79</c:v>
                </c:pt>
                <c:pt idx="80">
                  <c:v>80</c:v>
                </c:pt>
                <c:pt idx="81">
                  <c:v>81</c:v>
                </c:pt>
                <c:pt idx="82">
                  <c:v>82</c:v>
                </c:pt>
                <c:pt idx="83">
                  <c:v>83</c:v>
                </c:pt>
                <c:pt idx="84">
                  <c:v>84</c:v>
                </c:pt>
                <c:pt idx="85">
                  <c:v>85</c:v>
                </c:pt>
                <c:pt idx="86">
                  <c:v>86</c:v>
                </c:pt>
                <c:pt idx="87">
                  <c:v>87</c:v>
                </c:pt>
                <c:pt idx="88">
                  <c:v>88</c:v>
                </c:pt>
                <c:pt idx="89">
                  <c:v>89</c:v>
                </c:pt>
                <c:pt idx="90">
                  <c:v>90</c:v>
                </c:pt>
                <c:pt idx="91">
                  <c:v>91</c:v>
                </c:pt>
                <c:pt idx="92">
                  <c:v>92</c:v>
                </c:pt>
                <c:pt idx="93">
                  <c:v>93</c:v>
                </c:pt>
                <c:pt idx="94">
                  <c:v>94</c:v>
                </c:pt>
                <c:pt idx="95">
                  <c:v>95</c:v>
                </c:pt>
                <c:pt idx="96">
                  <c:v>96</c:v>
                </c:pt>
                <c:pt idx="97">
                  <c:v>97</c:v>
                </c:pt>
                <c:pt idx="98">
                  <c:v>98</c:v>
                </c:pt>
                <c:pt idx="99">
                  <c:v>99</c:v>
                </c:pt>
                <c:pt idx="100">
                  <c:v>100</c:v>
                </c:pt>
                <c:pt idx="101">
                  <c:v>101</c:v>
                </c:pt>
                <c:pt idx="102">
                  <c:v>102</c:v>
                </c:pt>
                <c:pt idx="103">
                  <c:v>103</c:v>
                </c:pt>
                <c:pt idx="104">
                  <c:v>104</c:v>
                </c:pt>
                <c:pt idx="105">
                  <c:v>105</c:v>
                </c:pt>
                <c:pt idx="106">
                  <c:v>106</c:v>
                </c:pt>
                <c:pt idx="107">
                  <c:v>107</c:v>
                </c:pt>
                <c:pt idx="108">
                  <c:v>108</c:v>
                </c:pt>
                <c:pt idx="109">
                  <c:v>109</c:v>
                </c:pt>
                <c:pt idx="110">
                  <c:v>110</c:v>
                </c:pt>
                <c:pt idx="111">
                  <c:v>111</c:v>
                </c:pt>
                <c:pt idx="112">
                  <c:v>112</c:v>
                </c:pt>
                <c:pt idx="113">
                  <c:v>113</c:v>
                </c:pt>
                <c:pt idx="114">
                  <c:v>114</c:v>
                </c:pt>
                <c:pt idx="115">
                  <c:v>115</c:v>
                </c:pt>
                <c:pt idx="116">
                  <c:v>116</c:v>
                </c:pt>
                <c:pt idx="117">
                  <c:v>117</c:v>
                </c:pt>
                <c:pt idx="118">
                  <c:v>118</c:v>
                </c:pt>
                <c:pt idx="119">
                  <c:v>119</c:v>
                </c:pt>
                <c:pt idx="120">
                  <c:v>120</c:v>
                </c:pt>
                <c:pt idx="121">
                  <c:v>121</c:v>
                </c:pt>
                <c:pt idx="122">
                  <c:v>122</c:v>
                </c:pt>
                <c:pt idx="123">
                  <c:v>123</c:v>
                </c:pt>
                <c:pt idx="124">
                  <c:v>124</c:v>
                </c:pt>
                <c:pt idx="125">
                  <c:v>125</c:v>
                </c:pt>
                <c:pt idx="126">
                  <c:v>126</c:v>
                </c:pt>
                <c:pt idx="127">
                  <c:v>127</c:v>
                </c:pt>
                <c:pt idx="128">
                  <c:v>128</c:v>
                </c:pt>
                <c:pt idx="129">
                  <c:v>129</c:v>
                </c:pt>
                <c:pt idx="130">
                  <c:v>130</c:v>
                </c:pt>
                <c:pt idx="131">
                  <c:v>131</c:v>
                </c:pt>
                <c:pt idx="132">
                  <c:v>132</c:v>
                </c:pt>
                <c:pt idx="133">
                  <c:v>133</c:v>
                </c:pt>
                <c:pt idx="134">
                  <c:v>134</c:v>
                </c:pt>
                <c:pt idx="135">
                  <c:v>135</c:v>
                </c:pt>
                <c:pt idx="136">
                  <c:v>136</c:v>
                </c:pt>
                <c:pt idx="137">
                  <c:v>137</c:v>
                </c:pt>
                <c:pt idx="138">
                  <c:v>138</c:v>
                </c:pt>
                <c:pt idx="139">
                  <c:v>139</c:v>
                </c:pt>
                <c:pt idx="140">
                  <c:v>140</c:v>
                </c:pt>
                <c:pt idx="141">
                  <c:v>141</c:v>
                </c:pt>
                <c:pt idx="142">
                  <c:v>142</c:v>
                </c:pt>
                <c:pt idx="143">
                  <c:v>143</c:v>
                </c:pt>
                <c:pt idx="144">
                  <c:v>144</c:v>
                </c:pt>
                <c:pt idx="145">
                  <c:v>145</c:v>
                </c:pt>
                <c:pt idx="146">
                  <c:v>146</c:v>
                </c:pt>
                <c:pt idx="147">
                  <c:v>147</c:v>
                </c:pt>
                <c:pt idx="148">
                  <c:v>148</c:v>
                </c:pt>
                <c:pt idx="149">
                  <c:v>149</c:v>
                </c:pt>
                <c:pt idx="150">
                  <c:v>150</c:v>
                </c:pt>
                <c:pt idx="151">
                  <c:v>151</c:v>
                </c:pt>
                <c:pt idx="152">
                  <c:v>152</c:v>
                </c:pt>
                <c:pt idx="153">
                  <c:v>153</c:v>
                </c:pt>
                <c:pt idx="154">
                  <c:v>154</c:v>
                </c:pt>
                <c:pt idx="155">
                  <c:v>155</c:v>
                </c:pt>
                <c:pt idx="156">
                  <c:v>156</c:v>
                </c:pt>
                <c:pt idx="157">
                  <c:v>157</c:v>
                </c:pt>
                <c:pt idx="158">
                  <c:v>158</c:v>
                </c:pt>
                <c:pt idx="159">
                  <c:v>159</c:v>
                </c:pt>
                <c:pt idx="160">
                  <c:v>160</c:v>
                </c:pt>
                <c:pt idx="161">
                  <c:v>161</c:v>
                </c:pt>
                <c:pt idx="162">
                  <c:v>162</c:v>
                </c:pt>
                <c:pt idx="163">
                  <c:v>163</c:v>
                </c:pt>
                <c:pt idx="164">
                  <c:v>164</c:v>
                </c:pt>
                <c:pt idx="165">
                  <c:v>165</c:v>
                </c:pt>
                <c:pt idx="166">
                  <c:v>166</c:v>
                </c:pt>
                <c:pt idx="167">
                  <c:v>167</c:v>
                </c:pt>
                <c:pt idx="168">
                  <c:v>168</c:v>
                </c:pt>
                <c:pt idx="169">
                  <c:v>169</c:v>
                </c:pt>
                <c:pt idx="170">
                  <c:v>170</c:v>
                </c:pt>
                <c:pt idx="171">
                  <c:v>171</c:v>
                </c:pt>
                <c:pt idx="172">
                  <c:v>172</c:v>
                </c:pt>
                <c:pt idx="173">
                  <c:v>173</c:v>
                </c:pt>
                <c:pt idx="174">
                  <c:v>174</c:v>
                </c:pt>
                <c:pt idx="175">
                  <c:v>175</c:v>
                </c:pt>
                <c:pt idx="176">
                  <c:v>176</c:v>
                </c:pt>
                <c:pt idx="177">
                  <c:v>177</c:v>
                </c:pt>
                <c:pt idx="178">
                  <c:v>178</c:v>
                </c:pt>
                <c:pt idx="179">
                  <c:v>179</c:v>
                </c:pt>
                <c:pt idx="180">
                  <c:v>180</c:v>
                </c:pt>
                <c:pt idx="181">
                  <c:v>181</c:v>
                </c:pt>
                <c:pt idx="182">
                  <c:v>182</c:v>
                </c:pt>
                <c:pt idx="183">
                  <c:v>183</c:v>
                </c:pt>
                <c:pt idx="184">
                  <c:v>184</c:v>
                </c:pt>
                <c:pt idx="185">
                  <c:v>185</c:v>
                </c:pt>
                <c:pt idx="186">
                  <c:v>186</c:v>
                </c:pt>
                <c:pt idx="187">
                  <c:v>187</c:v>
                </c:pt>
                <c:pt idx="188">
                  <c:v>188</c:v>
                </c:pt>
                <c:pt idx="189">
                  <c:v>189</c:v>
                </c:pt>
                <c:pt idx="190">
                  <c:v>190</c:v>
                </c:pt>
                <c:pt idx="191">
                  <c:v>191</c:v>
                </c:pt>
                <c:pt idx="192">
                  <c:v>192</c:v>
                </c:pt>
                <c:pt idx="193">
                  <c:v>193</c:v>
                </c:pt>
                <c:pt idx="194">
                  <c:v>194</c:v>
                </c:pt>
                <c:pt idx="195">
                  <c:v>195</c:v>
                </c:pt>
                <c:pt idx="196">
                  <c:v>196</c:v>
                </c:pt>
                <c:pt idx="197">
                  <c:v>197</c:v>
                </c:pt>
                <c:pt idx="198">
                  <c:v>198</c:v>
                </c:pt>
                <c:pt idx="199">
                  <c:v>199</c:v>
                </c:pt>
                <c:pt idx="200">
                  <c:v>200</c:v>
                </c:pt>
                <c:pt idx="201">
                  <c:v>201</c:v>
                </c:pt>
                <c:pt idx="202">
                  <c:v>202</c:v>
                </c:pt>
                <c:pt idx="203">
                  <c:v>203</c:v>
                </c:pt>
                <c:pt idx="204">
                  <c:v>204</c:v>
                </c:pt>
                <c:pt idx="205">
                  <c:v>205</c:v>
                </c:pt>
                <c:pt idx="206">
                  <c:v>206</c:v>
                </c:pt>
                <c:pt idx="207">
                  <c:v>207</c:v>
                </c:pt>
                <c:pt idx="208">
                  <c:v>208</c:v>
                </c:pt>
                <c:pt idx="209">
                  <c:v>209</c:v>
                </c:pt>
                <c:pt idx="210">
                  <c:v>210</c:v>
                </c:pt>
                <c:pt idx="211">
                  <c:v>211</c:v>
                </c:pt>
                <c:pt idx="212">
                  <c:v>212</c:v>
                </c:pt>
                <c:pt idx="213">
                  <c:v>213</c:v>
                </c:pt>
                <c:pt idx="214">
                  <c:v>214</c:v>
                </c:pt>
                <c:pt idx="215">
                  <c:v>215</c:v>
                </c:pt>
                <c:pt idx="216">
                  <c:v>216</c:v>
                </c:pt>
                <c:pt idx="217">
                  <c:v>217</c:v>
                </c:pt>
                <c:pt idx="218">
                  <c:v>218</c:v>
                </c:pt>
                <c:pt idx="219">
                  <c:v>219</c:v>
                </c:pt>
                <c:pt idx="220">
                  <c:v>220</c:v>
                </c:pt>
                <c:pt idx="221">
                  <c:v>221</c:v>
                </c:pt>
                <c:pt idx="222">
                  <c:v>222</c:v>
                </c:pt>
                <c:pt idx="223">
                  <c:v>223</c:v>
                </c:pt>
                <c:pt idx="224">
                  <c:v>224</c:v>
                </c:pt>
                <c:pt idx="225">
                  <c:v>225</c:v>
                </c:pt>
                <c:pt idx="226">
                  <c:v>226</c:v>
                </c:pt>
                <c:pt idx="227">
                  <c:v>227</c:v>
                </c:pt>
                <c:pt idx="228">
                  <c:v>228</c:v>
                </c:pt>
                <c:pt idx="229">
                  <c:v>229</c:v>
                </c:pt>
                <c:pt idx="230">
                  <c:v>230</c:v>
                </c:pt>
                <c:pt idx="231">
                  <c:v>231</c:v>
                </c:pt>
                <c:pt idx="232">
                  <c:v>232</c:v>
                </c:pt>
                <c:pt idx="233">
                  <c:v>233</c:v>
                </c:pt>
                <c:pt idx="234">
                  <c:v>234</c:v>
                </c:pt>
                <c:pt idx="235">
                  <c:v>235</c:v>
                </c:pt>
                <c:pt idx="236">
                  <c:v>236</c:v>
                </c:pt>
                <c:pt idx="237">
                  <c:v>237</c:v>
                </c:pt>
                <c:pt idx="238">
                  <c:v>238</c:v>
                </c:pt>
                <c:pt idx="239">
                  <c:v>239</c:v>
                </c:pt>
                <c:pt idx="240">
                  <c:v>240</c:v>
                </c:pt>
                <c:pt idx="241">
                  <c:v>241</c:v>
                </c:pt>
                <c:pt idx="242">
                  <c:v>242</c:v>
                </c:pt>
                <c:pt idx="243">
                  <c:v>243</c:v>
                </c:pt>
                <c:pt idx="244">
                  <c:v>244</c:v>
                </c:pt>
                <c:pt idx="245">
                  <c:v>245</c:v>
                </c:pt>
                <c:pt idx="246">
                  <c:v>246</c:v>
                </c:pt>
                <c:pt idx="247">
                  <c:v>247</c:v>
                </c:pt>
                <c:pt idx="248">
                  <c:v>248</c:v>
                </c:pt>
                <c:pt idx="249">
                  <c:v>249</c:v>
                </c:pt>
                <c:pt idx="250">
                  <c:v>250</c:v>
                </c:pt>
                <c:pt idx="251">
                  <c:v>251</c:v>
                </c:pt>
                <c:pt idx="252">
                  <c:v>252</c:v>
                </c:pt>
                <c:pt idx="253">
                  <c:v>253</c:v>
                </c:pt>
                <c:pt idx="254">
                  <c:v>254</c:v>
                </c:pt>
                <c:pt idx="255">
                  <c:v>255</c:v>
                </c:pt>
                <c:pt idx="256">
                  <c:v>256</c:v>
                </c:pt>
                <c:pt idx="257">
                  <c:v>257</c:v>
                </c:pt>
                <c:pt idx="258">
                  <c:v>258</c:v>
                </c:pt>
                <c:pt idx="259">
                  <c:v>259</c:v>
                </c:pt>
                <c:pt idx="260">
                  <c:v>260</c:v>
                </c:pt>
                <c:pt idx="261">
                  <c:v>261</c:v>
                </c:pt>
                <c:pt idx="262">
                  <c:v>262</c:v>
                </c:pt>
                <c:pt idx="263">
                  <c:v>263</c:v>
                </c:pt>
                <c:pt idx="264">
                  <c:v>264</c:v>
                </c:pt>
                <c:pt idx="265">
                  <c:v>265</c:v>
                </c:pt>
                <c:pt idx="266">
                  <c:v>266</c:v>
                </c:pt>
                <c:pt idx="267">
                  <c:v>267</c:v>
                </c:pt>
                <c:pt idx="268">
                  <c:v>268</c:v>
                </c:pt>
                <c:pt idx="269">
                  <c:v>269</c:v>
                </c:pt>
                <c:pt idx="270">
                  <c:v>270</c:v>
                </c:pt>
                <c:pt idx="271">
                  <c:v>271</c:v>
                </c:pt>
                <c:pt idx="272">
                  <c:v>272</c:v>
                </c:pt>
                <c:pt idx="273">
                  <c:v>273</c:v>
                </c:pt>
                <c:pt idx="274">
                  <c:v>274</c:v>
                </c:pt>
                <c:pt idx="275">
                  <c:v>275</c:v>
                </c:pt>
                <c:pt idx="276">
                  <c:v>276</c:v>
                </c:pt>
                <c:pt idx="277">
                  <c:v>277</c:v>
                </c:pt>
                <c:pt idx="278">
                  <c:v>278</c:v>
                </c:pt>
                <c:pt idx="279">
                  <c:v>279</c:v>
                </c:pt>
                <c:pt idx="280">
                  <c:v>280</c:v>
                </c:pt>
                <c:pt idx="281">
                  <c:v>281</c:v>
                </c:pt>
                <c:pt idx="282">
                  <c:v>282</c:v>
                </c:pt>
                <c:pt idx="283">
                  <c:v>283</c:v>
                </c:pt>
                <c:pt idx="284">
                  <c:v>284</c:v>
                </c:pt>
                <c:pt idx="285">
                  <c:v>285</c:v>
                </c:pt>
                <c:pt idx="286">
                  <c:v>286</c:v>
                </c:pt>
                <c:pt idx="287">
                  <c:v>287</c:v>
                </c:pt>
                <c:pt idx="288">
                  <c:v>288</c:v>
                </c:pt>
                <c:pt idx="289">
                  <c:v>289</c:v>
                </c:pt>
                <c:pt idx="290">
                  <c:v>290</c:v>
                </c:pt>
                <c:pt idx="291">
                  <c:v>291</c:v>
                </c:pt>
                <c:pt idx="292">
                  <c:v>292</c:v>
                </c:pt>
                <c:pt idx="293">
                  <c:v>293</c:v>
                </c:pt>
                <c:pt idx="294">
                  <c:v>294</c:v>
                </c:pt>
                <c:pt idx="295">
                  <c:v>295</c:v>
                </c:pt>
                <c:pt idx="296">
                  <c:v>296</c:v>
                </c:pt>
                <c:pt idx="297">
                  <c:v>297</c:v>
                </c:pt>
                <c:pt idx="298">
                  <c:v>298</c:v>
                </c:pt>
                <c:pt idx="299">
                  <c:v>299</c:v>
                </c:pt>
                <c:pt idx="300">
                  <c:v>300</c:v>
                </c:pt>
                <c:pt idx="301">
                  <c:v>301</c:v>
                </c:pt>
                <c:pt idx="302">
                  <c:v>302</c:v>
                </c:pt>
                <c:pt idx="303">
                  <c:v>303</c:v>
                </c:pt>
                <c:pt idx="304">
                  <c:v>304</c:v>
                </c:pt>
                <c:pt idx="305">
                  <c:v>305</c:v>
                </c:pt>
                <c:pt idx="306">
                  <c:v>306</c:v>
                </c:pt>
                <c:pt idx="307">
                  <c:v>307</c:v>
                </c:pt>
                <c:pt idx="308">
                  <c:v>308</c:v>
                </c:pt>
                <c:pt idx="309">
                  <c:v>309</c:v>
                </c:pt>
                <c:pt idx="310">
                  <c:v>310</c:v>
                </c:pt>
                <c:pt idx="311">
                  <c:v>311</c:v>
                </c:pt>
                <c:pt idx="312">
                  <c:v>312</c:v>
                </c:pt>
                <c:pt idx="313">
                  <c:v>313</c:v>
                </c:pt>
                <c:pt idx="314">
                  <c:v>314</c:v>
                </c:pt>
                <c:pt idx="315">
                  <c:v>315</c:v>
                </c:pt>
                <c:pt idx="316">
                  <c:v>316</c:v>
                </c:pt>
                <c:pt idx="317">
                  <c:v>317</c:v>
                </c:pt>
                <c:pt idx="318">
                  <c:v>318</c:v>
                </c:pt>
                <c:pt idx="319">
                  <c:v>319</c:v>
                </c:pt>
                <c:pt idx="320">
                  <c:v>320</c:v>
                </c:pt>
                <c:pt idx="321">
                  <c:v>321</c:v>
                </c:pt>
                <c:pt idx="322">
                  <c:v>322</c:v>
                </c:pt>
                <c:pt idx="323">
                  <c:v>323</c:v>
                </c:pt>
                <c:pt idx="324">
                  <c:v>324</c:v>
                </c:pt>
                <c:pt idx="325">
                  <c:v>325</c:v>
                </c:pt>
                <c:pt idx="326">
                  <c:v>326</c:v>
                </c:pt>
                <c:pt idx="327">
                  <c:v>327</c:v>
                </c:pt>
                <c:pt idx="328">
                  <c:v>328</c:v>
                </c:pt>
                <c:pt idx="329">
                  <c:v>329</c:v>
                </c:pt>
                <c:pt idx="330">
                  <c:v>330</c:v>
                </c:pt>
                <c:pt idx="331">
                  <c:v>331</c:v>
                </c:pt>
                <c:pt idx="332">
                  <c:v>332</c:v>
                </c:pt>
                <c:pt idx="333">
                  <c:v>333</c:v>
                </c:pt>
                <c:pt idx="334">
                  <c:v>334</c:v>
                </c:pt>
                <c:pt idx="335">
                  <c:v>335</c:v>
                </c:pt>
                <c:pt idx="336">
                  <c:v>336</c:v>
                </c:pt>
                <c:pt idx="337">
                  <c:v>337</c:v>
                </c:pt>
                <c:pt idx="338">
                  <c:v>338</c:v>
                </c:pt>
                <c:pt idx="339">
                  <c:v>339</c:v>
                </c:pt>
                <c:pt idx="340">
                  <c:v>340</c:v>
                </c:pt>
                <c:pt idx="341">
                  <c:v>341</c:v>
                </c:pt>
                <c:pt idx="342">
                  <c:v>342</c:v>
                </c:pt>
                <c:pt idx="343">
                  <c:v>343</c:v>
                </c:pt>
                <c:pt idx="344">
                  <c:v>344</c:v>
                </c:pt>
                <c:pt idx="345">
                  <c:v>345</c:v>
                </c:pt>
                <c:pt idx="346">
                  <c:v>346</c:v>
                </c:pt>
                <c:pt idx="347">
                  <c:v>347</c:v>
                </c:pt>
                <c:pt idx="348">
                  <c:v>348</c:v>
                </c:pt>
                <c:pt idx="349">
                  <c:v>349</c:v>
                </c:pt>
                <c:pt idx="350">
                  <c:v>350</c:v>
                </c:pt>
                <c:pt idx="351">
                  <c:v>351</c:v>
                </c:pt>
                <c:pt idx="352">
                  <c:v>352</c:v>
                </c:pt>
                <c:pt idx="353">
                  <c:v>353</c:v>
                </c:pt>
                <c:pt idx="354">
                  <c:v>354</c:v>
                </c:pt>
                <c:pt idx="355">
                  <c:v>355</c:v>
                </c:pt>
                <c:pt idx="356">
                  <c:v>356</c:v>
                </c:pt>
                <c:pt idx="357">
                  <c:v>357</c:v>
                </c:pt>
                <c:pt idx="358">
                  <c:v>358</c:v>
                </c:pt>
                <c:pt idx="359">
                  <c:v>359</c:v>
                </c:pt>
                <c:pt idx="360">
                  <c:v>360</c:v>
                </c:pt>
                <c:pt idx="361">
                  <c:v>361</c:v>
                </c:pt>
                <c:pt idx="362">
                  <c:v>362</c:v>
                </c:pt>
                <c:pt idx="363">
                  <c:v>363</c:v>
                </c:pt>
                <c:pt idx="364">
                  <c:v>364</c:v>
                </c:pt>
                <c:pt idx="365">
                  <c:v>365</c:v>
                </c:pt>
                <c:pt idx="366">
                  <c:v>366</c:v>
                </c:pt>
                <c:pt idx="367">
                  <c:v>367</c:v>
                </c:pt>
                <c:pt idx="368">
                  <c:v>368</c:v>
                </c:pt>
                <c:pt idx="369">
                  <c:v>369</c:v>
                </c:pt>
                <c:pt idx="370">
                  <c:v>370</c:v>
                </c:pt>
                <c:pt idx="371">
                  <c:v>371</c:v>
                </c:pt>
                <c:pt idx="372">
                  <c:v>372</c:v>
                </c:pt>
                <c:pt idx="373">
                  <c:v>373</c:v>
                </c:pt>
                <c:pt idx="374">
                  <c:v>374</c:v>
                </c:pt>
                <c:pt idx="375">
                  <c:v>375</c:v>
                </c:pt>
                <c:pt idx="376">
                  <c:v>376</c:v>
                </c:pt>
                <c:pt idx="377">
                  <c:v>377</c:v>
                </c:pt>
                <c:pt idx="378">
                  <c:v>378</c:v>
                </c:pt>
                <c:pt idx="379">
                  <c:v>379</c:v>
                </c:pt>
                <c:pt idx="380">
                  <c:v>380</c:v>
                </c:pt>
                <c:pt idx="381">
                  <c:v>381</c:v>
                </c:pt>
                <c:pt idx="382">
                  <c:v>382</c:v>
                </c:pt>
                <c:pt idx="383">
                  <c:v>383</c:v>
                </c:pt>
                <c:pt idx="384">
                  <c:v>384</c:v>
                </c:pt>
                <c:pt idx="385">
                  <c:v>385</c:v>
                </c:pt>
                <c:pt idx="386">
                  <c:v>386</c:v>
                </c:pt>
                <c:pt idx="387">
                  <c:v>387</c:v>
                </c:pt>
                <c:pt idx="388">
                  <c:v>388</c:v>
                </c:pt>
                <c:pt idx="389">
                  <c:v>389</c:v>
                </c:pt>
                <c:pt idx="390">
                  <c:v>390</c:v>
                </c:pt>
                <c:pt idx="391">
                  <c:v>391</c:v>
                </c:pt>
                <c:pt idx="392">
                  <c:v>392</c:v>
                </c:pt>
                <c:pt idx="393">
                  <c:v>393</c:v>
                </c:pt>
                <c:pt idx="394">
                  <c:v>394</c:v>
                </c:pt>
                <c:pt idx="395">
                  <c:v>395</c:v>
                </c:pt>
                <c:pt idx="396">
                  <c:v>396</c:v>
                </c:pt>
                <c:pt idx="397">
                  <c:v>397</c:v>
                </c:pt>
                <c:pt idx="398">
                  <c:v>398</c:v>
                </c:pt>
                <c:pt idx="399">
                  <c:v>399</c:v>
                </c:pt>
                <c:pt idx="400">
                  <c:v>400</c:v>
                </c:pt>
                <c:pt idx="401">
                  <c:v>401</c:v>
                </c:pt>
                <c:pt idx="402">
                  <c:v>402</c:v>
                </c:pt>
                <c:pt idx="403">
                  <c:v>403</c:v>
                </c:pt>
                <c:pt idx="404">
                  <c:v>404</c:v>
                </c:pt>
                <c:pt idx="405">
                  <c:v>405</c:v>
                </c:pt>
                <c:pt idx="406">
                  <c:v>406</c:v>
                </c:pt>
                <c:pt idx="407">
                  <c:v>407</c:v>
                </c:pt>
                <c:pt idx="408">
                  <c:v>408</c:v>
                </c:pt>
                <c:pt idx="409">
                  <c:v>409</c:v>
                </c:pt>
                <c:pt idx="410">
                  <c:v>410</c:v>
                </c:pt>
                <c:pt idx="411">
                  <c:v>411</c:v>
                </c:pt>
                <c:pt idx="412">
                  <c:v>412</c:v>
                </c:pt>
                <c:pt idx="413">
                  <c:v>413</c:v>
                </c:pt>
                <c:pt idx="414">
                  <c:v>414</c:v>
                </c:pt>
                <c:pt idx="415">
                  <c:v>415</c:v>
                </c:pt>
                <c:pt idx="416">
                  <c:v>416</c:v>
                </c:pt>
                <c:pt idx="417">
                  <c:v>417</c:v>
                </c:pt>
                <c:pt idx="418">
                  <c:v>418</c:v>
                </c:pt>
                <c:pt idx="419">
                  <c:v>419</c:v>
                </c:pt>
                <c:pt idx="420">
                  <c:v>420</c:v>
                </c:pt>
                <c:pt idx="421">
                  <c:v>421</c:v>
                </c:pt>
                <c:pt idx="422">
                  <c:v>422</c:v>
                </c:pt>
                <c:pt idx="423">
                  <c:v>423</c:v>
                </c:pt>
                <c:pt idx="424">
                  <c:v>424</c:v>
                </c:pt>
                <c:pt idx="425">
                  <c:v>425</c:v>
                </c:pt>
                <c:pt idx="426">
                  <c:v>426</c:v>
                </c:pt>
                <c:pt idx="427">
                  <c:v>427</c:v>
                </c:pt>
                <c:pt idx="428">
                  <c:v>428</c:v>
                </c:pt>
                <c:pt idx="429">
                  <c:v>429</c:v>
                </c:pt>
                <c:pt idx="430">
                  <c:v>430</c:v>
                </c:pt>
                <c:pt idx="431">
                  <c:v>431</c:v>
                </c:pt>
                <c:pt idx="432">
                  <c:v>432</c:v>
                </c:pt>
                <c:pt idx="433">
                  <c:v>433</c:v>
                </c:pt>
                <c:pt idx="434">
                  <c:v>434</c:v>
                </c:pt>
                <c:pt idx="435">
                  <c:v>435</c:v>
                </c:pt>
                <c:pt idx="436">
                  <c:v>436</c:v>
                </c:pt>
                <c:pt idx="437">
                  <c:v>437</c:v>
                </c:pt>
                <c:pt idx="438">
                  <c:v>438</c:v>
                </c:pt>
                <c:pt idx="439">
                  <c:v>439</c:v>
                </c:pt>
                <c:pt idx="440">
                  <c:v>440</c:v>
                </c:pt>
                <c:pt idx="441">
                  <c:v>441</c:v>
                </c:pt>
                <c:pt idx="442">
                  <c:v>442</c:v>
                </c:pt>
                <c:pt idx="443">
                  <c:v>443</c:v>
                </c:pt>
                <c:pt idx="444">
                  <c:v>444</c:v>
                </c:pt>
                <c:pt idx="445">
                  <c:v>445</c:v>
                </c:pt>
                <c:pt idx="446">
                  <c:v>446</c:v>
                </c:pt>
                <c:pt idx="447">
                  <c:v>447</c:v>
                </c:pt>
                <c:pt idx="448">
                  <c:v>448</c:v>
                </c:pt>
                <c:pt idx="449">
                  <c:v>449</c:v>
                </c:pt>
                <c:pt idx="450">
                  <c:v>450</c:v>
                </c:pt>
                <c:pt idx="451">
                  <c:v>451</c:v>
                </c:pt>
                <c:pt idx="452">
                  <c:v>452</c:v>
                </c:pt>
                <c:pt idx="453">
                  <c:v>453</c:v>
                </c:pt>
                <c:pt idx="454">
                  <c:v>454</c:v>
                </c:pt>
                <c:pt idx="455">
                  <c:v>455</c:v>
                </c:pt>
                <c:pt idx="456">
                  <c:v>456</c:v>
                </c:pt>
                <c:pt idx="457">
                  <c:v>457</c:v>
                </c:pt>
                <c:pt idx="458">
                  <c:v>458</c:v>
                </c:pt>
                <c:pt idx="459">
                  <c:v>459</c:v>
                </c:pt>
                <c:pt idx="460">
                  <c:v>460</c:v>
                </c:pt>
                <c:pt idx="461">
                  <c:v>461</c:v>
                </c:pt>
                <c:pt idx="462">
                  <c:v>462</c:v>
                </c:pt>
                <c:pt idx="463">
                  <c:v>463</c:v>
                </c:pt>
                <c:pt idx="464">
                  <c:v>464</c:v>
                </c:pt>
                <c:pt idx="465">
                  <c:v>465</c:v>
                </c:pt>
                <c:pt idx="466">
                  <c:v>466</c:v>
                </c:pt>
                <c:pt idx="467">
                  <c:v>467</c:v>
                </c:pt>
                <c:pt idx="468">
                  <c:v>468</c:v>
                </c:pt>
                <c:pt idx="469">
                  <c:v>469</c:v>
                </c:pt>
                <c:pt idx="470">
                  <c:v>470</c:v>
                </c:pt>
                <c:pt idx="471">
                  <c:v>471</c:v>
                </c:pt>
                <c:pt idx="472">
                  <c:v>472</c:v>
                </c:pt>
                <c:pt idx="473">
                  <c:v>473</c:v>
                </c:pt>
                <c:pt idx="474">
                  <c:v>474</c:v>
                </c:pt>
                <c:pt idx="475">
                  <c:v>475</c:v>
                </c:pt>
                <c:pt idx="476">
                  <c:v>476</c:v>
                </c:pt>
                <c:pt idx="477">
                  <c:v>477</c:v>
                </c:pt>
                <c:pt idx="478">
                  <c:v>478</c:v>
                </c:pt>
                <c:pt idx="479">
                  <c:v>479</c:v>
                </c:pt>
                <c:pt idx="480">
                  <c:v>480</c:v>
                </c:pt>
                <c:pt idx="481">
                  <c:v>481</c:v>
                </c:pt>
                <c:pt idx="482">
                  <c:v>482</c:v>
                </c:pt>
                <c:pt idx="483">
                  <c:v>483</c:v>
                </c:pt>
                <c:pt idx="484">
                  <c:v>484</c:v>
                </c:pt>
                <c:pt idx="485">
                  <c:v>485</c:v>
                </c:pt>
                <c:pt idx="486">
                  <c:v>486</c:v>
                </c:pt>
                <c:pt idx="487">
                  <c:v>487</c:v>
                </c:pt>
                <c:pt idx="488">
                  <c:v>488</c:v>
                </c:pt>
                <c:pt idx="489">
                  <c:v>489</c:v>
                </c:pt>
                <c:pt idx="490">
                  <c:v>490</c:v>
                </c:pt>
                <c:pt idx="491">
                  <c:v>491</c:v>
                </c:pt>
                <c:pt idx="492">
                  <c:v>492</c:v>
                </c:pt>
                <c:pt idx="493">
                  <c:v>493</c:v>
                </c:pt>
                <c:pt idx="494">
                  <c:v>494</c:v>
                </c:pt>
                <c:pt idx="495">
                  <c:v>495</c:v>
                </c:pt>
                <c:pt idx="496">
                  <c:v>496</c:v>
                </c:pt>
                <c:pt idx="497">
                  <c:v>497</c:v>
                </c:pt>
                <c:pt idx="498">
                  <c:v>498</c:v>
                </c:pt>
                <c:pt idx="499">
                  <c:v>499</c:v>
                </c:pt>
                <c:pt idx="500">
                  <c:v>500</c:v>
                </c:pt>
                <c:pt idx="501">
                  <c:v>501</c:v>
                </c:pt>
                <c:pt idx="502">
                  <c:v>502</c:v>
                </c:pt>
                <c:pt idx="503">
                  <c:v>503</c:v>
                </c:pt>
                <c:pt idx="504">
                  <c:v>504</c:v>
                </c:pt>
                <c:pt idx="505">
                  <c:v>505</c:v>
                </c:pt>
                <c:pt idx="506">
                  <c:v>506</c:v>
                </c:pt>
                <c:pt idx="507">
                  <c:v>507</c:v>
                </c:pt>
                <c:pt idx="508">
                  <c:v>508</c:v>
                </c:pt>
                <c:pt idx="509">
                  <c:v>509</c:v>
                </c:pt>
                <c:pt idx="510">
                  <c:v>510</c:v>
                </c:pt>
                <c:pt idx="511">
                  <c:v>511</c:v>
                </c:pt>
                <c:pt idx="512">
                  <c:v>512</c:v>
                </c:pt>
                <c:pt idx="513">
                  <c:v>513</c:v>
                </c:pt>
                <c:pt idx="514">
                  <c:v>514</c:v>
                </c:pt>
                <c:pt idx="515">
                  <c:v>515</c:v>
                </c:pt>
                <c:pt idx="516">
                  <c:v>516</c:v>
                </c:pt>
                <c:pt idx="517">
                  <c:v>517</c:v>
                </c:pt>
                <c:pt idx="518">
                  <c:v>518</c:v>
                </c:pt>
                <c:pt idx="519">
                  <c:v>519</c:v>
                </c:pt>
                <c:pt idx="520">
                  <c:v>520</c:v>
                </c:pt>
                <c:pt idx="521">
                  <c:v>521</c:v>
                </c:pt>
                <c:pt idx="522">
                  <c:v>522</c:v>
                </c:pt>
                <c:pt idx="523">
                  <c:v>523</c:v>
                </c:pt>
                <c:pt idx="524">
                  <c:v>524</c:v>
                </c:pt>
                <c:pt idx="525">
                  <c:v>525</c:v>
                </c:pt>
                <c:pt idx="526">
                  <c:v>526</c:v>
                </c:pt>
                <c:pt idx="527">
                  <c:v>527</c:v>
                </c:pt>
                <c:pt idx="528">
                  <c:v>528</c:v>
                </c:pt>
                <c:pt idx="529">
                  <c:v>529</c:v>
                </c:pt>
                <c:pt idx="530">
                  <c:v>530</c:v>
                </c:pt>
                <c:pt idx="531">
                  <c:v>531</c:v>
                </c:pt>
                <c:pt idx="532">
                  <c:v>532</c:v>
                </c:pt>
                <c:pt idx="533">
                  <c:v>533</c:v>
                </c:pt>
                <c:pt idx="534">
                  <c:v>534</c:v>
                </c:pt>
                <c:pt idx="535">
                  <c:v>535</c:v>
                </c:pt>
                <c:pt idx="536">
                  <c:v>536</c:v>
                </c:pt>
                <c:pt idx="537">
                  <c:v>537</c:v>
                </c:pt>
                <c:pt idx="538">
                  <c:v>538</c:v>
                </c:pt>
                <c:pt idx="539">
                  <c:v>539</c:v>
                </c:pt>
                <c:pt idx="540">
                  <c:v>540</c:v>
                </c:pt>
                <c:pt idx="541">
                  <c:v>541</c:v>
                </c:pt>
                <c:pt idx="542">
                  <c:v>542</c:v>
                </c:pt>
                <c:pt idx="543">
                  <c:v>543</c:v>
                </c:pt>
                <c:pt idx="544">
                  <c:v>544</c:v>
                </c:pt>
                <c:pt idx="545">
                  <c:v>545</c:v>
                </c:pt>
                <c:pt idx="546">
                  <c:v>546</c:v>
                </c:pt>
                <c:pt idx="547">
                  <c:v>547</c:v>
                </c:pt>
                <c:pt idx="548">
                  <c:v>548</c:v>
                </c:pt>
                <c:pt idx="549">
                  <c:v>549</c:v>
                </c:pt>
                <c:pt idx="550">
                  <c:v>550</c:v>
                </c:pt>
                <c:pt idx="551">
                  <c:v>551</c:v>
                </c:pt>
                <c:pt idx="552">
                  <c:v>552</c:v>
                </c:pt>
                <c:pt idx="553">
                  <c:v>553</c:v>
                </c:pt>
                <c:pt idx="554">
                  <c:v>554</c:v>
                </c:pt>
                <c:pt idx="555">
                  <c:v>555</c:v>
                </c:pt>
                <c:pt idx="556">
                  <c:v>556</c:v>
                </c:pt>
                <c:pt idx="557">
                  <c:v>557</c:v>
                </c:pt>
                <c:pt idx="558">
                  <c:v>558</c:v>
                </c:pt>
                <c:pt idx="559">
                  <c:v>559</c:v>
                </c:pt>
                <c:pt idx="560">
                  <c:v>560</c:v>
                </c:pt>
                <c:pt idx="561">
                  <c:v>561</c:v>
                </c:pt>
                <c:pt idx="562">
                  <c:v>562</c:v>
                </c:pt>
                <c:pt idx="563">
                  <c:v>563</c:v>
                </c:pt>
                <c:pt idx="564">
                  <c:v>564</c:v>
                </c:pt>
                <c:pt idx="565">
                  <c:v>565</c:v>
                </c:pt>
                <c:pt idx="566">
                  <c:v>566</c:v>
                </c:pt>
                <c:pt idx="567">
                  <c:v>567</c:v>
                </c:pt>
                <c:pt idx="568">
                  <c:v>568</c:v>
                </c:pt>
                <c:pt idx="569">
                  <c:v>569</c:v>
                </c:pt>
                <c:pt idx="570">
                  <c:v>570</c:v>
                </c:pt>
                <c:pt idx="571">
                  <c:v>571</c:v>
                </c:pt>
                <c:pt idx="572">
                  <c:v>572</c:v>
                </c:pt>
                <c:pt idx="573">
                  <c:v>573</c:v>
                </c:pt>
                <c:pt idx="574">
                  <c:v>574</c:v>
                </c:pt>
                <c:pt idx="575">
                  <c:v>575</c:v>
                </c:pt>
                <c:pt idx="576">
                  <c:v>576</c:v>
                </c:pt>
                <c:pt idx="577">
                  <c:v>577</c:v>
                </c:pt>
                <c:pt idx="578">
                  <c:v>578</c:v>
                </c:pt>
                <c:pt idx="579">
                  <c:v>579</c:v>
                </c:pt>
                <c:pt idx="580">
                  <c:v>580</c:v>
                </c:pt>
                <c:pt idx="581">
                  <c:v>581</c:v>
                </c:pt>
                <c:pt idx="582">
                  <c:v>582</c:v>
                </c:pt>
                <c:pt idx="583">
                  <c:v>583</c:v>
                </c:pt>
                <c:pt idx="584">
                  <c:v>584</c:v>
                </c:pt>
                <c:pt idx="585">
                  <c:v>585</c:v>
                </c:pt>
                <c:pt idx="586">
                  <c:v>586</c:v>
                </c:pt>
                <c:pt idx="587">
                  <c:v>587</c:v>
                </c:pt>
                <c:pt idx="588">
                  <c:v>588</c:v>
                </c:pt>
                <c:pt idx="589">
                  <c:v>589</c:v>
                </c:pt>
                <c:pt idx="590">
                  <c:v>590</c:v>
                </c:pt>
                <c:pt idx="591">
                  <c:v>591</c:v>
                </c:pt>
                <c:pt idx="592">
                  <c:v>592</c:v>
                </c:pt>
                <c:pt idx="593">
                  <c:v>593</c:v>
                </c:pt>
                <c:pt idx="594">
                  <c:v>594</c:v>
                </c:pt>
                <c:pt idx="595">
                  <c:v>595</c:v>
                </c:pt>
                <c:pt idx="596">
                  <c:v>596</c:v>
                </c:pt>
                <c:pt idx="597">
                  <c:v>597</c:v>
                </c:pt>
                <c:pt idx="598">
                  <c:v>598</c:v>
                </c:pt>
                <c:pt idx="599">
                  <c:v>599</c:v>
                </c:pt>
                <c:pt idx="600">
                  <c:v>600</c:v>
                </c:pt>
                <c:pt idx="601">
                  <c:v>601</c:v>
                </c:pt>
                <c:pt idx="602">
                  <c:v>602</c:v>
                </c:pt>
                <c:pt idx="603">
                  <c:v>603</c:v>
                </c:pt>
                <c:pt idx="604">
                  <c:v>604</c:v>
                </c:pt>
                <c:pt idx="605">
                  <c:v>605</c:v>
                </c:pt>
                <c:pt idx="606">
                  <c:v>606</c:v>
                </c:pt>
                <c:pt idx="607">
                  <c:v>607</c:v>
                </c:pt>
                <c:pt idx="608">
                  <c:v>608</c:v>
                </c:pt>
                <c:pt idx="609">
                  <c:v>609</c:v>
                </c:pt>
                <c:pt idx="610">
                  <c:v>610</c:v>
                </c:pt>
                <c:pt idx="611">
                  <c:v>611</c:v>
                </c:pt>
                <c:pt idx="612">
                  <c:v>612</c:v>
                </c:pt>
                <c:pt idx="613">
                  <c:v>613</c:v>
                </c:pt>
                <c:pt idx="614">
                  <c:v>614</c:v>
                </c:pt>
                <c:pt idx="615">
                  <c:v>615</c:v>
                </c:pt>
                <c:pt idx="616">
                  <c:v>616</c:v>
                </c:pt>
                <c:pt idx="617">
                  <c:v>617</c:v>
                </c:pt>
                <c:pt idx="618">
                  <c:v>618</c:v>
                </c:pt>
                <c:pt idx="619">
                  <c:v>619</c:v>
                </c:pt>
                <c:pt idx="620">
                  <c:v>620</c:v>
                </c:pt>
                <c:pt idx="621">
                  <c:v>621</c:v>
                </c:pt>
                <c:pt idx="622">
                  <c:v>622</c:v>
                </c:pt>
                <c:pt idx="623">
                  <c:v>623</c:v>
                </c:pt>
                <c:pt idx="624">
                  <c:v>624</c:v>
                </c:pt>
                <c:pt idx="625">
                  <c:v>625</c:v>
                </c:pt>
                <c:pt idx="626">
                  <c:v>626</c:v>
                </c:pt>
                <c:pt idx="627">
                  <c:v>627</c:v>
                </c:pt>
                <c:pt idx="628">
                  <c:v>628</c:v>
                </c:pt>
                <c:pt idx="629">
                  <c:v>629</c:v>
                </c:pt>
                <c:pt idx="630">
                  <c:v>630</c:v>
                </c:pt>
                <c:pt idx="631">
                  <c:v>631</c:v>
                </c:pt>
                <c:pt idx="632">
                  <c:v>632</c:v>
                </c:pt>
                <c:pt idx="633">
                  <c:v>633</c:v>
                </c:pt>
                <c:pt idx="634">
                  <c:v>634</c:v>
                </c:pt>
                <c:pt idx="635">
                  <c:v>635</c:v>
                </c:pt>
                <c:pt idx="636">
                  <c:v>636</c:v>
                </c:pt>
                <c:pt idx="637">
                  <c:v>637</c:v>
                </c:pt>
                <c:pt idx="638">
                  <c:v>638</c:v>
                </c:pt>
                <c:pt idx="639">
                  <c:v>639</c:v>
                </c:pt>
                <c:pt idx="640">
                  <c:v>640</c:v>
                </c:pt>
                <c:pt idx="641">
                  <c:v>641</c:v>
                </c:pt>
                <c:pt idx="642">
                  <c:v>642</c:v>
                </c:pt>
                <c:pt idx="643">
                  <c:v>643</c:v>
                </c:pt>
                <c:pt idx="644">
                  <c:v>644</c:v>
                </c:pt>
                <c:pt idx="645">
                  <c:v>645</c:v>
                </c:pt>
                <c:pt idx="646">
                  <c:v>646</c:v>
                </c:pt>
                <c:pt idx="647">
                  <c:v>647</c:v>
                </c:pt>
                <c:pt idx="648">
                  <c:v>648</c:v>
                </c:pt>
                <c:pt idx="649">
                  <c:v>649</c:v>
                </c:pt>
                <c:pt idx="650">
                  <c:v>650</c:v>
                </c:pt>
                <c:pt idx="651">
                  <c:v>651</c:v>
                </c:pt>
                <c:pt idx="652">
                  <c:v>652</c:v>
                </c:pt>
                <c:pt idx="653">
                  <c:v>653</c:v>
                </c:pt>
                <c:pt idx="654">
                  <c:v>654</c:v>
                </c:pt>
                <c:pt idx="655">
                  <c:v>655</c:v>
                </c:pt>
                <c:pt idx="656">
                  <c:v>656</c:v>
                </c:pt>
                <c:pt idx="657">
                  <c:v>657</c:v>
                </c:pt>
                <c:pt idx="658">
                  <c:v>658</c:v>
                </c:pt>
                <c:pt idx="659">
                  <c:v>659</c:v>
                </c:pt>
                <c:pt idx="660">
                  <c:v>660</c:v>
                </c:pt>
                <c:pt idx="661">
                  <c:v>661</c:v>
                </c:pt>
                <c:pt idx="662">
                  <c:v>662</c:v>
                </c:pt>
                <c:pt idx="663">
                  <c:v>663</c:v>
                </c:pt>
                <c:pt idx="664">
                  <c:v>664</c:v>
                </c:pt>
                <c:pt idx="665">
                  <c:v>665</c:v>
                </c:pt>
                <c:pt idx="666">
                  <c:v>666</c:v>
                </c:pt>
                <c:pt idx="667">
                  <c:v>667</c:v>
                </c:pt>
                <c:pt idx="668">
                  <c:v>668</c:v>
                </c:pt>
                <c:pt idx="669">
                  <c:v>669</c:v>
                </c:pt>
                <c:pt idx="670">
                  <c:v>670</c:v>
                </c:pt>
                <c:pt idx="671">
                  <c:v>671</c:v>
                </c:pt>
                <c:pt idx="672">
                  <c:v>672</c:v>
                </c:pt>
                <c:pt idx="673">
                  <c:v>673</c:v>
                </c:pt>
                <c:pt idx="674">
                  <c:v>674</c:v>
                </c:pt>
                <c:pt idx="675">
                  <c:v>675</c:v>
                </c:pt>
                <c:pt idx="676">
                  <c:v>676</c:v>
                </c:pt>
                <c:pt idx="677">
                  <c:v>677</c:v>
                </c:pt>
                <c:pt idx="678">
                  <c:v>678</c:v>
                </c:pt>
                <c:pt idx="679">
                  <c:v>679</c:v>
                </c:pt>
                <c:pt idx="680">
                  <c:v>680</c:v>
                </c:pt>
                <c:pt idx="681">
                  <c:v>681</c:v>
                </c:pt>
                <c:pt idx="682">
                  <c:v>682</c:v>
                </c:pt>
                <c:pt idx="683">
                  <c:v>683</c:v>
                </c:pt>
                <c:pt idx="684">
                  <c:v>684</c:v>
                </c:pt>
                <c:pt idx="685">
                  <c:v>685</c:v>
                </c:pt>
                <c:pt idx="686">
                  <c:v>686</c:v>
                </c:pt>
                <c:pt idx="687">
                  <c:v>687</c:v>
                </c:pt>
                <c:pt idx="688">
                  <c:v>688</c:v>
                </c:pt>
                <c:pt idx="689">
                  <c:v>689</c:v>
                </c:pt>
                <c:pt idx="690">
                  <c:v>690</c:v>
                </c:pt>
                <c:pt idx="691">
                  <c:v>691</c:v>
                </c:pt>
                <c:pt idx="692">
                  <c:v>692</c:v>
                </c:pt>
                <c:pt idx="693">
                  <c:v>693</c:v>
                </c:pt>
                <c:pt idx="694">
                  <c:v>694</c:v>
                </c:pt>
                <c:pt idx="695">
                  <c:v>695</c:v>
                </c:pt>
                <c:pt idx="696">
                  <c:v>696</c:v>
                </c:pt>
                <c:pt idx="697">
                  <c:v>697</c:v>
                </c:pt>
                <c:pt idx="698">
                  <c:v>698</c:v>
                </c:pt>
                <c:pt idx="699">
                  <c:v>699</c:v>
                </c:pt>
                <c:pt idx="700">
                  <c:v>700</c:v>
                </c:pt>
                <c:pt idx="701">
                  <c:v>701</c:v>
                </c:pt>
                <c:pt idx="702">
                  <c:v>702</c:v>
                </c:pt>
                <c:pt idx="703">
                  <c:v>703</c:v>
                </c:pt>
                <c:pt idx="704">
                  <c:v>704</c:v>
                </c:pt>
                <c:pt idx="705">
                  <c:v>705</c:v>
                </c:pt>
                <c:pt idx="706">
                  <c:v>706</c:v>
                </c:pt>
                <c:pt idx="707">
                  <c:v>707</c:v>
                </c:pt>
                <c:pt idx="708">
                  <c:v>708</c:v>
                </c:pt>
                <c:pt idx="709">
                  <c:v>709</c:v>
                </c:pt>
                <c:pt idx="710">
                  <c:v>710</c:v>
                </c:pt>
                <c:pt idx="711">
                  <c:v>711</c:v>
                </c:pt>
                <c:pt idx="712">
                  <c:v>712</c:v>
                </c:pt>
                <c:pt idx="713">
                  <c:v>713</c:v>
                </c:pt>
                <c:pt idx="714">
                  <c:v>714</c:v>
                </c:pt>
                <c:pt idx="715">
                  <c:v>715</c:v>
                </c:pt>
                <c:pt idx="716">
                  <c:v>716</c:v>
                </c:pt>
                <c:pt idx="717">
                  <c:v>717</c:v>
                </c:pt>
                <c:pt idx="718">
                  <c:v>718</c:v>
                </c:pt>
                <c:pt idx="719">
                  <c:v>719</c:v>
                </c:pt>
                <c:pt idx="720">
                  <c:v>720</c:v>
                </c:pt>
                <c:pt idx="721">
                  <c:v>721</c:v>
                </c:pt>
                <c:pt idx="722">
                  <c:v>722</c:v>
                </c:pt>
                <c:pt idx="723">
                  <c:v>723</c:v>
                </c:pt>
                <c:pt idx="724">
                  <c:v>724</c:v>
                </c:pt>
                <c:pt idx="725">
                  <c:v>725</c:v>
                </c:pt>
                <c:pt idx="726">
                  <c:v>726</c:v>
                </c:pt>
                <c:pt idx="727">
                  <c:v>727</c:v>
                </c:pt>
                <c:pt idx="728">
                  <c:v>728</c:v>
                </c:pt>
                <c:pt idx="729">
                  <c:v>729</c:v>
                </c:pt>
                <c:pt idx="730">
                  <c:v>730</c:v>
                </c:pt>
                <c:pt idx="731">
                  <c:v>731</c:v>
                </c:pt>
                <c:pt idx="732">
                  <c:v>732</c:v>
                </c:pt>
                <c:pt idx="733">
                  <c:v>733</c:v>
                </c:pt>
                <c:pt idx="734">
                  <c:v>734</c:v>
                </c:pt>
                <c:pt idx="735">
                  <c:v>735</c:v>
                </c:pt>
                <c:pt idx="736">
                  <c:v>736</c:v>
                </c:pt>
                <c:pt idx="737">
                  <c:v>737</c:v>
                </c:pt>
                <c:pt idx="738">
                  <c:v>738</c:v>
                </c:pt>
                <c:pt idx="739">
                  <c:v>739</c:v>
                </c:pt>
                <c:pt idx="740">
                  <c:v>740</c:v>
                </c:pt>
                <c:pt idx="741">
                  <c:v>741</c:v>
                </c:pt>
                <c:pt idx="742">
                  <c:v>742</c:v>
                </c:pt>
                <c:pt idx="743">
                  <c:v>743</c:v>
                </c:pt>
                <c:pt idx="744">
                  <c:v>744</c:v>
                </c:pt>
                <c:pt idx="745">
                  <c:v>745</c:v>
                </c:pt>
                <c:pt idx="746">
                  <c:v>746</c:v>
                </c:pt>
                <c:pt idx="747">
                  <c:v>747</c:v>
                </c:pt>
                <c:pt idx="748">
                  <c:v>748</c:v>
                </c:pt>
                <c:pt idx="749">
                  <c:v>749</c:v>
                </c:pt>
                <c:pt idx="750">
                  <c:v>750</c:v>
                </c:pt>
                <c:pt idx="751">
                  <c:v>751</c:v>
                </c:pt>
                <c:pt idx="752">
                  <c:v>752</c:v>
                </c:pt>
                <c:pt idx="753">
                  <c:v>753</c:v>
                </c:pt>
                <c:pt idx="754">
                  <c:v>754</c:v>
                </c:pt>
                <c:pt idx="755">
                  <c:v>755</c:v>
                </c:pt>
                <c:pt idx="756">
                  <c:v>756</c:v>
                </c:pt>
                <c:pt idx="757">
                  <c:v>757</c:v>
                </c:pt>
                <c:pt idx="758">
                  <c:v>758</c:v>
                </c:pt>
                <c:pt idx="759">
                  <c:v>759</c:v>
                </c:pt>
                <c:pt idx="760">
                  <c:v>760</c:v>
                </c:pt>
                <c:pt idx="761">
                  <c:v>761</c:v>
                </c:pt>
                <c:pt idx="762">
                  <c:v>762</c:v>
                </c:pt>
                <c:pt idx="763">
                  <c:v>763</c:v>
                </c:pt>
                <c:pt idx="764">
                  <c:v>764</c:v>
                </c:pt>
                <c:pt idx="765">
                  <c:v>765</c:v>
                </c:pt>
                <c:pt idx="766">
                  <c:v>766</c:v>
                </c:pt>
                <c:pt idx="767">
                  <c:v>767</c:v>
                </c:pt>
                <c:pt idx="768">
                  <c:v>768</c:v>
                </c:pt>
                <c:pt idx="769">
                  <c:v>769</c:v>
                </c:pt>
                <c:pt idx="770">
                  <c:v>770</c:v>
                </c:pt>
                <c:pt idx="771">
                  <c:v>771</c:v>
                </c:pt>
                <c:pt idx="772">
                  <c:v>772</c:v>
                </c:pt>
                <c:pt idx="773">
                  <c:v>773</c:v>
                </c:pt>
                <c:pt idx="774">
                  <c:v>774</c:v>
                </c:pt>
                <c:pt idx="775">
                  <c:v>775</c:v>
                </c:pt>
                <c:pt idx="776">
                  <c:v>776</c:v>
                </c:pt>
                <c:pt idx="777">
                  <c:v>777</c:v>
                </c:pt>
                <c:pt idx="778">
                  <c:v>778</c:v>
                </c:pt>
                <c:pt idx="779">
                  <c:v>779</c:v>
                </c:pt>
                <c:pt idx="780">
                  <c:v>780</c:v>
                </c:pt>
                <c:pt idx="781">
                  <c:v>781</c:v>
                </c:pt>
                <c:pt idx="782">
                  <c:v>782</c:v>
                </c:pt>
                <c:pt idx="783">
                  <c:v>783</c:v>
                </c:pt>
                <c:pt idx="784">
                  <c:v>784</c:v>
                </c:pt>
                <c:pt idx="785">
                  <c:v>785</c:v>
                </c:pt>
                <c:pt idx="786">
                  <c:v>786</c:v>
                </c:pt>
                <c:pt idx="787">
                  <c:v>787</c:v>
                </c:pt>
                <c:pt idx="788">
                  <c:v>788</c:v>
                </c:pt>
                <c:pt idx="789">
                  <c:v>789</c:v>
                </c:pt>
                <c:pt idx="790">
                  <c:v>790</c:v>
                </c:pt>
                <c:pt idx="791">
                  <c:v>791</c:v>
                </c:pt>
                <c:pt idx="792">
                  <c:v>792</c:v>
                </c:pt>
                <c:pt idx="793">
                  <c:v>793</c:v>
                </c:pt>
                <c:pt idx="794">
                  <c:v>794</c:v>
                </c:pt>
                <c:pt idx="795">
                  <c:v>795</c:v>
                </c:pt>
                <c:pt idx="796">
                  <c:v>796</c:v>
                </c:pt>
                <c:pt idx="797">
                  <c:v>797</c:v>
                </c:pt>
                <c:pt idx="798">
                  <c:v>798</c:v>
                </c:pt>
                <c:pt idx="799">
                  <c:v>799</c:v>
                </c:pt>
                <c:pt idx="800">
                  <c:v>800</c:v>
                </c:pt>
                <c:pt idx="801">
                  <c:v>801</c:v>
                </c:pt>
                <c:pt idx="802">
                  <c:v>802</c:v>
                </c:pt>
                <c:pt idx="803">
                  <c:v>803</c:v>
                </c:pt>
                <c:pt idx="804">
                  <c:v>804</c:v>
                </c:pt>
                <c:pt idx="805">
                  <c:v>805</c:v>
                </c:pt>
                <c:pt idx="806">
                  <c:v>806</c:v>
                </c:pt>
                <c:pt idx="807">
                  <c:v>807</c:v>
                </c:pt>
                <c:pt idx="808">
                  <c:v>808</c:v>
                </c:pt>
                <c:pt idx="809">
                  <c:v>809</c:v>
                </c:pt>
                <c:pt idx="810">
                  <c:v>810</c:v>
                </c:pt>
                <c:pt idx="811">
                  <c:v>811</c:v>
                </c:pt>
                <c:pt idx="812">
                  <c:v>812</c:v>
                </c:pt>
                <c:pt idx="813">
                  <c:v>813</c:v>
                </c:pt>
                <c:pt idx="814">
                  <c:v>814</c:v>
                </c:pt>
                <c:pt idx="815">
                  <c:v>815</c:v>
                </c:pt>
                <c:pt idx="816">
                  <c:v>816</c:v>
                </c:pt>
                <c:pt idx="817">
                  <c:v>817</c:v>
                </c:pt>
                <c:pt idx="818">
                  <c:v>818</c:v>
                </c:pt>
                <c:pt idx="819">
                  <c:v>819</c:v>
                </c:pt>
                <c:pt idx="820">
                  <c:v>820</c:v>
                </c:pt>
                <c:pt idx="821">
                  <c:v>821</c:v>
                </c:pt>
                <c:pt idx="822">
                  <c:v>822</c:v>
                </c:pt>
                <c:pt idx="823">
                  <c:v>823</c:v>
                </c:pt>
                <c:pt idx="824">
                  <c:v>824</c:v>
                </c:pt>
                <c:pt idx="825">
                  <c:v>825</c:v>
                </c:pt>
                <c:pt idx="826">
                  <c:v>826</c:v>
                </c:pt>
                <c:pt idx="827">
                  <c:v>827</c:v>
                </c:pt>
                <c:pt idx="828">
                  <c:v>828</c:v>
                </c:pt>
                <c:pt idx="829">
                  <c:v>829</c:v>
                </c:pt>
                <c:pt idx="830">
                  <c:v>830</c:v>
                </c:pt>
                <c:pt idx="831">
                  <c:v>831</c:v>
                </c:pt>
                <c:pt idx="832">
                  <c:v>832</c:v>
                </c:pt>
                <c:pt idx="833">
                  <c:v>833</c:v>
                </c:pt>
                <c:pt idx="834">
                  <c:v>834</c:v>
                </c:pt>
                <c:pt idx="835">
                  <c:v>835</c:v>
                </c:pt>
                <c:pt idx="836">
                  <c:v>836</c:v>
                </c:pt>
                <c:pt idx="837">
                  <c:v>837</c:v>
                </c:pt>
                <c:pt idx="838">
                  <c:v>838</c:v>
                </c:pt>
                <c:pt idx="839">
                  <c:v>839</c:v>
                </c:pt>
                <c:pt idx="840">
                  <c:v>840</c:v>
                </c:pt>
                <c:pt idx="841">
                  <c:v>841</c:v>
                </c:pt>
                <c:pt idx="842">
                  <c:v>842</c:v>
                </c:pt>
                <c:pt idx="843">
                  <c:v>843</c:v>
                </c:pt>
                <c:pt idx="844">
                  <c:v>844</c:v>
                </c:pt>
                <c:pt idx="845">
                  <c:v>845</c:v>
                </c:pt>
                <c:pt idx="846">
                  <c:v>846</c:v>
                </c:pt>
                <c:pt idx="847">
                  <c:v>847</c:v>
                </c:pt>
                <c:pt idx="848">
                  <c:v>848</c:v>
                </c:pt>
                <c:pt idx="849">
                  <c:v>849</c:v>
                </c:pt>
                <c:pt idx="850">
                  <c:v>850</c:v>
                </c:pt>
                <c:pt idx="851">
                  <c:v>851</c:v>
                </c:pt>
                <c:pt idx="852">
                  <c:v>852</c:v>
                </c:pt>
                <c:pt idx="853">
                  <c:v>853</c:v>
                </c:pt>
                <c:pt idx="854">
                  <c:v>854</c:v>
                </c:pt>
                <c:pt idx="855">
                  <c:v>855</c:v>
                </c:pt>
                <c:pt idx="856">
                  <c:v>856</c:v>
                </c:pt>
                <c:pt idx="857">
                  <c:v>857</c:v>
                </c:pt>
                <c:pt idx="858">
                  <c:v>858</c:v>
                </c:pt>
                <c:pt idx="859">
                  <c:v>859</c:v>
                </c:pt>
                <c:pt idx="860">
                  <c:v>860</c:v>
                </c:pt>
                <c:pt idx="861">
                  <c:v>861</c:v>
                </c:pt>
                <c:pt idx="862">
                  <c:v>862</c:v>
                </c:pt>
                <c:pt idx="863">
                  <c:v>863</c:v>
                </c:pt>
                <c:pt idx="864">
                  <c:v>864</c:v>
                </c:pt>
                <c:pt idx="865">
                  <c:v>865</c:v>
                </c:pt>
                <c:pt idx="866">
                  <c:v>866</c:v>
                </c:pt>
                <c:pt idx="867">
                  <c:v>867</c:v>
                </c:pt>
                <c:pt idx="868">
                  <c:v>868</c:v>
                </c:pt>
                <c:pt idx="869">
                  <c:v>869</c:v>
                </c:pt>
                <c:pt idx="870">
                  <c:v>870</c:v>
                </c:pt>
                <c:pt idx="871">
                  <c:v>871</c:v>
                </c:pt>
                <c:pt idx="872">
                  <c:v>872</c:v>
                </c:pt>
                <c:pt idx="873">
                  <c:v>873</c:v>
                </c:pt>
                <c:pt idx="874">
                  <c:v>874</c:v>
                </c:pt>
                <c:pt idx="875">
                  <c:v>875</c:v>
                </c:pt>
                <c:pt idx="876">
                  <c:v>876</c:v>
                </c:pt>
                <c:pt idx="877">
                  <c:v>877</c:v>
                </c:pt>
                <c:pt idx="878">
                  <c:v>878</c:v>
                </c:pt>
                <c:pt idx="879">
                  <c:v>879</c:v>
                </c:pt>
                <c:pt idx="880">
                  <c:v>880</c:v>
                </c:pt>
                <c:pt idx="881">
                  <c:v>881</c:v>
                </c:pt>
                <c:pt idx="882">
                  <c:v>882</c:v>
                </c:pt>
                <c:pt idx="883">
                  <c:v>883</c:v>
                </c:pt>
                <c:pt idx="884">
                  <c:v>884</c:v>
                </c:pt>
                <c:pt idx="885">
                  <c:v>885</c:v>
                </c:pt>
                <c:pt idx="886">
                  <c:v>886</c:v>
                </c:pt>
                <c:pt idx="887">
                  <c:v>887</c:v>
                </c:pt>
                <c:pt idx="888">
                  <c:v>888</c:v>
                </c:pt>
                <c:pt idx="889">
                  <c:v>889</c:v>
                </c:pt>
                <c:pt idx="890">
                  <c:v>890</c:v>
                </c:pt>
                <c:pt idx="891">
                  <c:v>891</c:v>
                </c:pt>
                <c:pt idx="892">
                  <c:v>892</c:v>
                </c:pt>
                <c:pt idx="893">
                  <c:v>893</c:v>
                </c:pt>
                <c:pt idx="894">
                  <c:v>894</c:v>
                </c:pt>
                <c:pt idx="895">
                  <c:v>895</c:v>
                </c:pt>
                <c:pt idx="896">
                  <c:v>896</c:v>
                </c:pt>
                <c:pt idx="897">
                  <c:v>897</c:v>
                </c:pt>
                <c:pt idx="898">
                  <c:v>898</c:v>
                </c:pt>
                <c:pt idx="899">
                  <c:v>899</c:v>
                </c:pt>
                <c:pt idx="900">
                  <c:v>900</c:v>
                </c:pt>
                <c:pt idx="901">
                  <c:v>901</c:v>
                </c:pt>
                <c:pt idx="902">
                  <c:v>902</c:v>
                </c:pt>
                <c:pt idx="903">
                  <c:v>903</c:v>
                </c:pt>
                <c:pt idx="904">
                  <c:v>904</c:v>
                </c:pt>
                <c:pt idx="905">
                  <c:v>905</c:v>
                </c:pt>
                <c:pt idx="906">
                  <c:v>906</c:v>
                </c:pt>
                <c:pt idx="907">
                  <c:v>907</c:v>
                </c:pt>
                <c:pt idx="908">
                  <c:v>908</c:v>
                </c:pt>
                <c:pt idx="909">
                  <c:v>909</c:v>
                </c:pt>
                <c:pt idx="910">
                  <c:v>910</c:v>
                </c:pt>
                <c:pt idx="911">
                  <c:v>911</c:v>
                </c:pt>
                <c:pt idx="912">
                  <c:v>912</c:v>
                </c:pt>
                <c:pt idx="913">
                  <c:v>913</c:v>
                </c:pt>
                <c:pt idx="914">
                  <c:v>914</c:v>
                </c:pt>
                <c:pt idx="915">
                  <c:v>915</c:v>
                </c:pt>
                <c:pt idx="916">
                  <c:v>916</c:v>
                </c:pt>
                <c:pt idx="917">
                  <c:v>917</c:v>
                </c:pt>
                <c:pt idx="918">
                  <c:v>918</c:v>
                </c:pt>
                <c:pt idx="919">
                  <c:v>919</c:v>
                </c:pt>
                <c:pt idx="920">
                  <c:v>920</c:v>
                </c:pt>
                <c:pt idx="921">
                  <c:v>921</c:v>
                </c:pt>
                <c:pt idx="922">
                  <c:v>922</c:v>
                </c:pt>
                <c:pt idx="923">
                  <c:v>923</c:v>
                </c:pt>
                <c:pt idx="924">
                  <c:v>924</c:v>
                </c:pt>
                <c:pt idx="925">
                  <c:v>925</c:v>
                </c:pt>
                <c:pt idx="926">
                  <c:v>926</c:v>
                </c:pt>
                <c:pt idx="927">
                  <c:v>927</c:v>
                </c:pt>
                <c:pt idx="928">
                  <c:v>928</c:v>
                </c:pt>
                <c:pt idx="929">
                  <c:v>929</c:v>
                </c:pt>
                <c:pt idx="930">
                  <c:v>930</c:v>
                </c:pt>
                <c:pt idx="931">
                  <c:v>931</c:v>
                </c:pt>
                <c:pt idx="932">
                  <c:v>932</c:v>
                </c:pt>
                <c:pt idx="933">
                  <c:v>933</c:v>
                </c:pt>
                <c:pt idx="934">
                  <c:v>934</c:v>
                </c:pt>
                <c:pt idx="935">
                  <c:v>935</c:v>
                </c:pt>
                <c:pt idx="936">
                  <c:v>936</c:v>
                </c:pt>
                <c:pt idx="937">
                  <c:v>937</c:v>
                </c:pt>
                <c:pt idx="938">
                  <c:v>938</c:v>
                </c:pt>
                <c:pt idx="939">
                  <c:v>939</c:v>
                </c:pt>
                <c:pt idx="940">
                  <c:v>940</c:v>
                </c:pt>
                <c:pt idx="941">
                  <c:v>941</c:v>
                </c:pt>
                <c:pt idx="942">
                  <c:v>942</c:v>
                </c:pt>
                <c:pt idx="943">
                  <c:v>943</c:v>
                </c:pt>
                <c:pt idx="944">
                  <c:v>944</c:v>
                </c:pt>
                <c:pt idx="945">
                  <c:v>945</c:v>
                </c:pt>
                <c:pt idx="946">
                  <c:v>946</c:v>
                </c:pt>
                <c:pt idx="947">
                  <c:v>947</c:v>
                </c:pt>
                <c:pt idx="948">
                  <c:v>948</c:v>
                </c:pt>
                <c:pt idx="949">
                  <c:v>949</c:v>
                </c:pt>
                <c:pt idx="950">
                  <c:v>950</c:v>
                </c:pt>
                <c:pt idx="951">
                  <c:v>951</c:v>
                </c:pt>
                <c:pt idx="952">
                  <c:v>952</c:v>
                </c:pt>
                <c:pt idx="953">
                  <c:v>953</c:v>
                </c:pt>
                <c:pt idx="954">
                  <c:v>954</c:v>
                </c:pt>
                <c:pt idx="955">
                  <c:v>955</c:v>
                </c:pt>
                <c:pt idx="956">
                  <c:v>956</c:v>
                </c:pt>
                <c:pt idx="957">
                  <c:v>957</c:v>
                </c:pt>
                <c:pt idx="958">
                  <c:v>958</c:v>
                </c:pt>
                <c:pt idx="959">
                  <c:v>959</c:v>
                </c:pt>
                <c:pt idx="960">
                  <c:v>960</c:v>
                </c:pt>
                <c:pt idx="961">
                  <c:v>961</c:v>
                </c:pt>
                <c:pt idx="962">
                  <c:v>962</c:v>
                </c:pt>
                <c:pt idx="963">
                  <c:v>963</c:v>
                </c:pt>
                <c:pt idx="964">
                  <c:v>964</c:v>
                </c:pt>
                <c:pt idx="965">
                  <c:v>965</c:v>
                </c:pt>
                <c:pt idx="966">
                  <c:v>966</c:v>
                </c:pt>
                <c:pt idx="967">
                  <c:v>967</c:v>
                </c:pt>
                <c:pt idx="968">
                  <c:v>968</c:v>
                </c:pt>
                <c:pt idx="969">
                  <c:v>969</c:v>
                </c:pt>
                <c:pt idx="970">
                  <c:v>970</c:v>
                </c:pt>
                <c:pt idx="971">
                  <c:v>971</c:v>
                </c:pt>
                <c:pt idx="972">
                  <c:v>972</c:v>
                </c:pt>
                <c:pt idx="973">
                  <c:v>973</c:v>
                </c:pt>
                <c:pt idx="974">
                  <c:v>974</c:v>
                </c:pt>
                <c:pt idx="975">
                  <c:v>975</c:v>
                </c:pt>
                <c:pt idx="976">
                  <c:v>976</c:v>
                </c:pt>
                <c:pt idx="977">
                  <c:v>977</c:v>
                </c:pt>
                <c:pt idx="978">
                  <c:v>978</c:v>
                </c:pt>
                <c:pt idx="979">
                  <c:v>979</c:v>
                </c:pt>
                <c:pt idx="980">
                  <c:v>980</c:v>
                </c:pt>
                <c:pt idx="981">
                  <c:v>981</c:v>
                </c:pt>
                <c:pt idx="982">
                  <c:v>982</c:v>
                </c:pt>
                <c:pt idx="983">
                  <c:v>983</c:v>
                </c:pt>
                <c:pt idx="984">
                  <c:v>984</c:v>
                </c:pt>
                <c:pt idx="985">
                  <c:v>985</c:v>
                </c:pt>
                <c:pt idx="986">
                  <c:v>986</c:v>
                </c:pt>
                <c:pt idx="987">
                  <c:v>987</c:v>
                </c:pt>
                <c:pt idx="988">
                  <c:v>988</c:v>
                </c:pt>
                <c:pt idx="989">
                  <c:v>989</c:v>
                </c:pt>
                <c:pt idx="990">
                  <c:v>990</c:v>
                </c:pt>
                <c:pt idx="991">
                  <c:v>991</c:v>
                </c:pt>
                <c:pt idx="992">
                  <c:v>992</c:v>
                </c:pt>
                <c:pt idx="993">
                  <c:v>993</c:v>
                </c:pt>
                <c:pt idx="994">
                  <c:v>994</c:v>
                </c:pt>
                <c:pt idx="995">
                  <c:v>995</c:v>
                </c:pt>
                <c:pt idx="996">
                  <c:v>996</c:v>
                </c:pt>
                <c:pt idx="997">
                  <c:v>997</c:v>
                </c:pt>
                <c:pt idx="998">
                  <c:v>998</c:v>
                </c:pt>
                <c:pt idx="999">
                  <c:v>999</c:v>
                </c:pt>
                <c:pt idx="1000">
                  <c:v>1000</c:v>
                </c:pt>
                <c:pt idx="1001">
                  <c:v>1001</c:v>
                </c:pt>
                <c:pt idx="1002">
                  <c:v>1002</c:v>
                </c:pt>
                <c:pt idx="1003">
                  <c:v>1003</c:v>
                </c:pt>
                <c:pt idx="1004">
                  <c:v>1004</c:v>
                </c:pt>
                <c:pt idx="1005">
                  <c:v>1005</c:v>
                </c:pt>
                <c:pt idx="1006">
                  <c:v>1006</c:v>
                </c:pt>
                <c:pt idx="1007">
                  <c:v>1007</c:v>
                </c:pt>
                <c:pt idx="1008">
                  <c:v>1008</c:v>
                </c:pt>
                <c:pt idx="1009">
                  <c:v>1009</c:v>
                </c:pt>
                <c:pt idx="1010">
                  <c:v>1010</c:v>
                </c:pt>
                <c:pt idx="1011">
                  <c:v>1011</c:v>
                </c:pt>
                <c:pt idx="1012">
                  <c:v>1012</c:v>
                </c:pt>
                <c:pt idx="1013">
                  <c:v>1013</c:v>
                </c:pt>
                <c:pt idx="1014">
                  <c:v>1014</c:v>
                </c:pt>
                <c:pt idx="1015">
                  <c:v>1015</c:v>
                </c:pt>
                <c:pt idx="1016">
                  <c:v>1016</c:v>
                </c:pt>
                <c:pt idx="1017">
                  <c:v>1017</c:v>
                </c:pt>
                <c:pt idx="1018">
                  <c:v>1018</c:v>
                </c:pt>
                <c:pt idx="1019">
                  <c:v>1019</c:v>
                </c:pt>
                <c:pt idx="1020">
                  <c:v>1020</c:v>
                </c:pt>
                <c:pt idx="1021">
                  <c:v>1021</c:v>
                </c:pt>
                <c:pt idx="1022">
                  <c:v>1022</c:v>
                </c:pt>
                <c:pt idx="1023">
                  <c:v>1023</c:v>
                </c:pt>
                <c:pt idx="1024">
                  <c:v>1024</c:v>
                </c:pt>
                <c:pt idx="1025">
                  <c:v>1025</c:v>
                </c:pt>
                <c:pt idx="1026">
                  <c:v>1026</c:v>
                </c:pt>
                <c:pt idx="1027">
                  <c:v>1027</c:v>
                </c:pt>
                <c:pt idx="1028">
                  <c:v>1028</c:v>
                </c:pt>
                <c:pt idx="1029">
                  <c:v>1029</c:v>
                </c:pt>
                <c:pt idx="1030">
                  <c:v>1030</c:v>
                </c:pt>
                <c:pt idx="1031">
                  <c:v>1031</c:v>
                </c:pt>
                <c:pt idx="1032">
                  <c:v>1032</c:v>
                </c:pt>
                <c:pt idx="1033">
                  <c:v>1033</c:v>
                </c:pt>
                <c:pt idx="1034">
                  <c:v>1034</c:v>
                </c:pt>
                <c:pt idx="1035">
                  <c:v>1035</c:v>
                </c:pt>
                <c:pt idx="1036">
                  <c:v>1036</c:v>
                </c:pt>
                <c:pt idx="1037">
                  <c:v>1037</c:v>
                </c:pt>
                <c:pt idx="1038">
                  <c:v>1038</c:v>
                </c:pt>
                <c:pt idx="1039">
                  <c:v>1039</c:v>
                </c:pt>
                <c:pt idx="1040">
                  <c:v>1040</c:v>
                </c:pt>
              </c:numCache>
            </c:numRef>
          </c:xVal>
          <c:yVal>
            <c:numRef>
              <c:f>'Model Treatment'!$W$7:$W$1047</c:f>
              <c:numCache>
                <c:formatCode>0.000</c:formatCode>
                <c:ptCount val="1041"/>
                <c:pt idx="0">
                  <c:v>1</c:v>
                </c:pt>
                <c:pt idx="1">
                  <c:v>0.99619771863117901</c:v>
                </c:pt>
                <c:pt idx="2">
                  <c:v>0.99493029150823797</c:v>
                </c:pt>
                <c:pt idx="3">
                  <c:v>0.99112801013941698</c:v>
                </c:pt>
                <c:pt idx="4">
                  <c:v>0.983523447401774</c:v>
                </c:pt>
                <c:pt idx="5">
                  <c:v>0.97844719735066799</c:v>
                </c:pt>
                <c:pt idx="6">
                  <c:v>0.97208538202329098</c:v>
                </c:pt>
                <c:pt idx="7">
                  <c:v>0.968268292826864</c:v>
                </c:pt>
                <c:pt idx="8">
                  <c:v>0.95936175136853596</c:v>
                </c:pt>
                <c:pt idx="9">
                  <c:v>0.95045520991020704</c:v>
                </c:pt>
                <c:pt idx="10">
                  <c:v>0.94663812071378095</c:v>
                </c:pt>
                <c:pt idx="11">
                  <c:v>0.94536575764830499</c:v>
                </c:pt>
                <c:pt idx="12">
                  <c:v>0.94027115411893103</c:v>
                </c:pt>
                <c:pt idx="13">
                  <c:v>0.93135259303650297</c:v>
                </c:pt>
                <c:pt idx="14">
                  <c:v>0.924961162054459</c:v>
                </c:pt>
                <c:pt idx="15">
                  <c:v>0.91728513581334403</c:v>
                </c:pt>
                <c:pt idx="16">
                  <c:v>0.91087951335654604</c:v>
                </c:pt>
                <c:pt idx="17">
                  <c:v>0.90190436280060204</c:v>
                </c:pt>
                <c:pt idx="18">
                  <c:v>0.88648162441937794</c:v>
                </c:pt>
                <c:pt idx="19">
                  <c:v>0.87359856267687697</c:v>
                </c:pt>
                <c:pt idx="20">
                  <c:v>0.85555965430301795</c:v>
                </c:pt>
                <c:pt idx="21">
                  <c:v>0.84009773283971001</c:v>
                </c:pt>
                <c:pt idx="22">
                  <c:v>0.836232252473883</c:v>
                </c:pt>
                <c:pt idx="23">
                  <c:v>0.82463581137640296</c:v>
                </c:pt>
                <c:pt idx="24">
                  <c:v>0.81690485064474905</c:v>
                </c:pt>
                <c:pt idx="25">
                  <c:v>0.81046238336837095</c:v>
                </c:pt>
                <c:pt idx="26">
                  <c:v>0.80143059910053005</c:v>
                </c:pt>
                <c:pt idx="27">
                  <c:v>0.79110621135044201</c:v>
                </c:pt>
                <c:pt idx="28">
                  <c:v>0.779491275131594</c:v>
                </c:pt>
                <c:pt idx="29">
                  <c:v>0.766585790443985</c:v>
                </c:pt>
                <c:pt idx="30">
                  <c:v>0.75236337469540904</c:v>
                </c:pt>
                <c:pt idx="31">
                  <c:v>0.74459370129063696</c:v>
                </c:pt>
                <c:pt idx="32">
                  <c:v>0.73552908231840297</c:v>
                </c:pt>
                <c:pt idx="33">
                  <c:v>0.72257962664378295</c:v>
                </c:pt>
                <c:pt idx="34">
                  <c:v>0.70445038869931498</c:v>
                </c:pt>
                <c:pt idx="35">
                  <c:v>0.69668071529454301</c:v>
                </c:pt>
                <c:pt idx="36">
                  <c:v>0.69408840821639595</c:v>
                </c:pt>
                <c:pt idx="37">
                  <c:v>0.68241215462023297</c:v>
                </c:pt>
                <c:pt idx="38">
                  <c:v>0.66295173195996004</c:v>
                </c:pt>
                <c:pt idx="39">
                  <c:v>0.65646492440653603</c:v>
                </c:pt>
                <c:pt idx="40">
                  <c:v>0.64608603232105699</c:v>
                </c:pt>
                <c:pt idx="41">
                  <c:v>0.63959136197059796</c:v>
                </c:pt>
                <c:pt idx="42">
                  <c:v>0.62919150242636102</c:v>
                </c:pt>
                <c:pt idx="43">
                  <c:v>0.61489169555303502</c:v>
                </c:pt>
                <c:pt idx="44">
                  <c:v>0.61229173066697495</c:v>
                </c:pt>
                <c:pt idx="45">
                  <c:v>0.60317249212512702</c:v>
                </c:pt>
                <c:pt idx="46">
                  <c:v>0.59665875030951998</c:v>
                </c:pt>
                <c:pt idx="47">
                  <c:v>0.58883080739793103</c:v>
                </c:pt>
                <c:pt idx="48">
                  <c:v>0.58360836121258297</c:v>
                </c:pt>
                <c:pt idx="49">
                  <c:v>0.57446908038822497</c:v>
                </c:pt>
                <c:pt idx="50">
                  <c:v>0.56794102265654001</c:v>
                </c:pt>
                <c:pt idx="51">
                  <c:v>0.55878962478766903</c:v>
                </c:pt>
                <c:pt idx="52">
                  <c:v>0.549629139135412</c:v>
                </c:pt>
                <c:pt idx="53">
                  <c:v>0.54439457590555096</c:v>
                </c:pt>
                <c:pt idx="54">
                  <c:v>0.53652381095269897</c:v>
                </c:pt>
                <c:pt idx="55">
                  <c:v>0.52993260934394404</c:v>
                </c:pt>
                <c:pt idx="56">
                  <c:v>0.52729612870044196</c:v>
                </c:pt>
                <c:pt idx="57">
                  <c:v>0.51970247422454241</c:v>
                </c:pt>
                <c:pt idx="58">
                  <c:v>0.5122367325651439</c:v>
                </c:pt>
                <c:pt idx="59">
                  <c:v>0.5048977170494634</c:v>
                </c:pt>
                <c:pt idx="60">
                  <c:v>0.49768414462102578</c:v>
                </c:pt>
                <c:pt idx="61">
                  <c:v>0.49059464687219978</c:v>
                </c:pt>
                <c:pt idx="62">
                  <c:v>0.48362778025464714</c:v>
                </c:pt>
                <c:pt idx="63">
                  <c:v>0.47678203551665793</c:v>
                </c:pt>
                <c:pt idx="64">
                  <c:v>0.47005584641445797</c:v>
                </c:pt>
                <c:pt idx="65">
                  <c:v>0.46344759774261279</c:v>
                </c:pt>
                <c:pt idx="66">
                  <c:v>0.45695563272665995</c:v>
                </c:pt>
                <c:pt idx="67">
                  <c:v>0.45057825981909577</c:v>
                </c:pt>
                <c:pt idx="68">
                  <c:v>0.44431375893783454</c:v>
                </c:pt>
                <c:pt idx="69">
                  <c:v>0.43816038718427619</c:v>
                </c:pt>
                <c:pt idx="70">
                  <c:v>0.43211638407616504</c:v>
                </c:pt>
                <c:pt idx="71">
                  <c:v>0.42617997632851262</c:v>
                </c:pt>
                <c:pt idx="72">
                  <c:v>0.42034938221399959</c:v>
                </c:pt>
                <c:pt idx="73">
                  <c:v>0.41462281553247166</c:v>
                </c:pt>
                <c:pt idx="74">
                  <c:v>0.40899848921740589</c:v>
                </c:pt>
                <c:pt idx="75">
                  <c:v>0.40347461860555589</c:v>
                </c:pt>
                <c:pt idx="76">
                  <c:v>0.39804942439437813</c:v>
                </c:pt>
                <c:pt idx="77">
                  <c:v>0.39272113531031522</c:v>
                </c:pt>
                <c:pt idx="78">
                  <c:v>0.3874879905095473</c:v>
                </c:pt>
                <c:pt idx="79">
                  <c:v>0.38234824173143744</c:v>
                </c:pt>
                <c:pt idx="80">
                  <c:v>0.37730015522357585</c:v>
                </c:pt>
                <c:pt idx="81">
                  <c:v>0.37234201345607865</c:v>
                </c:pt>
                <c:pt idx="82">
                  <c:v>0.3674721166416155</c:v>
                </c:pt>
                <c:pt idx="83">
                  <c:v>0.36268878407652522</c:v>
                </c:pt>
                <c:pt idx="84">
                  <c:v>0.35799035531732354</c:v>
                </c:pt>
                <c:pt idx="85">
                  <c:v>0.35337519120592131</c:v>
                </c:pt>
                <c:pt idx="86">
                  <c:v>0.34884167475593458</c:v>
                </c:pt>
                <c:pt idx="87">
                  <c:v>0.34438821191159713</c:v>
                </c:pt>
                <c:pt idx="88">
                  <c:v>0.34001323218996371</c:v>
                </c:pt>
                <c:pt idx="89">
                  <c:v>0.33571518921632371</c:v>
                </c:pt>
                <c:pt idx="90">
                  <c:v>0.33149256116202369</c:v>
                </c:pt>
                <c:pt idx="91">
                  <c:v>0.32734385109322572</c:v>
                </c:pt>
                <c:pt idx="92">
                  <c:v>0.32326758723849752</c:v>
                </c:pt>
                <c:pt idx="93">
                  <c:v>0.31926232318254316</c:v>
                </c:pt>
                <c:pt idx="94">
                  <c:v>0.31532663799283439</c:v>
                </c:pt>
                <c:pt idx="95">
                  <c:v>0.31145913628539301</c:v>
                </c:pt>
                <c:pt idx="96">
                  <c:v>0.30765844823549432</c:v>
                </c:pt>
                <c:pt idx="97">
                  <c:v>0.30392322953862427</c:v>
                </c:pt>
                <c:pt idx="98">
                  <c:v>0.30025216132660298</c:v>
                </c:pt>
                <c:pt idx="99">
                  <c:v>0.29664395004340977</c:v>
                </c:pt>
                <c:pt idx="100">
                  <c:v>0.29309732728488425</c:v>
                </c:pt>
                <c:pt idx="101">
                  <c:v>0.28961104960614792</c:v>
                </c:pt>
                <c:pt idx="102">
                  <c:v>0.28618389830028212</c:v>
                </c:pt>
                <c:pt idx="103">
                  <c:v>0.28281467915151537</c:v>
                </c:pt>
                <c:pt idx="104">
                  <c:v>0.2795022221659037</c:v>
                </c:pt>
                <c:pt idx="105">
                  <c:v>0.2762453812822469</c:v>
                </c:pt>
                <c:pt idx="106">
                  <c:v>0.27304303406575248</c:v>
                </c:pt>
                <c:pt idx="107">
                  <c:v>0.26989408138675108</c:v>
                </c:pt>
                <c:pt idx="108">
                  <c:v>0.26679744708657083</c:v>
                </c:pt>
                <c:pt idx="109">
                  <c:v>0.2637520776324962</c:v>
                </c:pt>
                <c:pt idx="110">
                  <c:v>0.26075694176357483</c:v>
                </c:pt>
                <c:pt idx="111">
                  <c:v>0.25781103012887546</c:v>
                </c:pt>
                <c:pt idx="112">
                  <c:v>0.25491335491966255</c:v>
                </c:pt>
                <c:pt idx="113">
                  <c:v>0.25206294949681851</c:v>
                </c:pt>
                <c:pt idx="114">
                  <c:v>0.24925886801472485</c:v>
                </c:pt>
                <c:pt idx="115">
                  <c:v>0.24650018504269963</c:v>
                </c:pt>
                <c:pt idx="116">
                  <c:v>0.24378599518498809</c:v>
                </c:pt>
                <c:pt idx="117">
                  <c:v>0.2411154127002034</c:v>
                </c:pt>
                <c:pt idx="118">
                  <c:v>0.23848757112103272</c:v>
                </c:pt>
                <c:pt idx="119">
                  <c:v>0.23590162287493757</c:v>
                </c:pt>
                <c:pt idx="120">
                  <c:v>0.2333567389065056</c:v>
                </c:pt>
                <c:pt idx="121">
                  <c:v>0.23085210830204334</c:v>
                </c:pt>
                <c:pt idx="122">
                  <c:v>0.22838693791693437</c:v>
                </c:pt>
                <c:pt idx="123">
                  <c:v>0.22596045200623066</c:v>
                </c:pt>
                <c:pt idx="124">
                  <c:v>0.22357189185889234</c:v>
                </c:pt>
                <c:pt idx="125">
                  <c:v>0.22122051543604263</c:v>
                </c:pt>
                <c:pt idx="126">
                  <c:v>0.21890559701355794</c:v>
                </c:pt>
                <c:pt idx="127">
                  <c:v>0.2166264268292746</c:v>
                </c:pt>
                <c:pt idx="128">
                  <c:v>0.21438231073505723</c:v>
                </c:pt>
                <c:pt idx="129">
                  <c:v>0.21217256985393446</c:v>
                </c:pt>
                <c:pt idx="130">
                  <c:v>0.20999654024248382</c:v>
                </c:pt>
                <c:pt idx="131">
                  <c:v>0.20785357255861234</c:v>
                </c:pt>
                <c:pt idx="132">
                  <c:v>0.2057430317348585</c:v>
                </c:pt>
                <c:pt idx="133">
                  <c:v>0.20366429665731406</c:v>
                </c:pt>
                <c:pt idx="134">
                  <c:v>0.20161675985024557</c:v>
                </c:pt>
                <c:pt idx="135">
                  <c:v>0.19959982716647243</c:v>
                </c:pt>
                <c:pt idx="136">
                  <c:v>0.19761291748354562</c:v>
                </c:pt>
                <c:pt idx="137">
                  <c:v>0.19565546240574919</c:v>
                </c:pt>
                <c:pt idx="138">
                  <c:v>0.19372690597193798</c:v>
                </c:pt>
                <c:pt idx="139">
                  <c:v>0.19182670436920718</c:v>
                </c:pt>
                <c:pt idx="140">
                  <c:v>0.18995432565238093</c:v>
                </c:pt>
                <c:pt idx="141">
                  <c:v>0.18810924946929472</c:v>
                </c:pt>
                <c:pt idx="142">
                  <c:v>0.18629096679183763</c:v>
                </c:pt>
                <c:pt idx="143">
                  <c:v>0.18449897965271222</c:v>
                </c:pt>
                <c:pt idx="144">
                  <c:v>0.18273280088786176</c:v>
                </c:pt>
                <c:pt idx="145">
                  <c:v>0.18099195388450781</c:v>
                </c:pt>
                <c:pt idx="146">
                  <c:v>0.17927597233473655</c:v>
                </c:pt>
                <c:pt idx="147">
                  <c:v>0.17758439999456568</c:v>
                </c:pt>
                <c:pt idx="148">
                  <c:v>0.17591679044841937</c:v>
                </c:pt>
                <c:pt idx="149">
                  <c:v>0.17427270687893612</c:v>
                </c:pt>
                <c:pt idx="150">
                  <c:v>0.17265172184202915</c:v>
                </c:pt>
                <c:pt idx="151">
                  <c:v>0.17105341704711827</c:v>
                </c:pt>
                <c:pt idx="152">
                  <c:v>0.16947738314244765</c:v>
                </c:pt>
                <c:pt idx="153">
                  <c:v>0.16792321950540301</c:v>
                </c:pt>
                <c:pt idx="154">
                  <c:v>0.16639053403774084</c:v>
                </c:pt>
                <c:pt idx="155">
                  <c:v>0.16487894296563971</c:v>
                </c:pt>
                <c:pt idx="156">
                  <c:v>0.16338807064448319</c:v>
                </c:pt>
                <c:pt idx="157">
                  <c:v>0.16191754936828362</c:v>
                </c:pt>
                <c:pt idx="158">
                  <c:v>0.16046701918365566</c:v>
                </c:pt>
                <c:pt idx="159">
                  <c:v>0.1590361277082479</c:v>
                </c:pt>
                <c:pt idx="160">
                  <c:v>0.15762452995354018</c:v>
                </c:pt>
                <c:pt idx="161">
                  <c:v>0.15623188815191713</c:v>
                </c:pt>
                <c:pt idx="162">
                  <c:v>0.15485787158792597</c:v>
                </c:pt>
                <c:pt idx="163">
                  <c:v>0.15350215643362761</c:v>
                </c:pt>
                <c:pt idx="164">
                  <c:v>0.15216442558795368</c:v>
                </c:pt>
                <c:pt idx="165">
                  <c:v>0.15084436851997809</c:v>
                </c:pt>
                <c:pt idx="166">
                  <c:v>0.14954168111601734</c:v>
                </c:pt>
                <c:pt idx="167">
                  <c:v>0.14825606553047127</c:v>
                </c:pt>
                <c:pt idx="168">
                  <c:v>0.14698723004031963</c:v>
                </c:pt>
                <c:pt idx="169">
                  <c:v>0.14573488890318881</c:v>
                </c:pt>
                <c:pt idx="170">
                  <c:v>0.14449876221890612</c:v>
                </c:pt>
                <c:pt idx="171">
                  <c:v>0.14327857579445918</c:v>
                </c:pt>
                <c:pt idx="172">
                  <c:v>0.14207406101227926</c:v>
                </c:pt>
                <c:pt idx="173">
                  <c:v>0.14088495470176995</c:v>
                </c:pt>
                <c:pt idx="174">
                  <c:v>0.13971099901400266</c:v>
                </c:pt>
                <c:pt idx="175">
                  <c:v>0.13855194129950169</c:v>
                </c:pt>
                <c:pt idx="176">
                  <c:v>0.13740753398904471</c:v>
                </c:pt>
                <c:pt idx="177">
                  <c:v>0.13627753447740446</c:v>
                </c:pt>
                <c:pt idx="178">
                  <c:v>0.13516170500995894</c:v>
                </c:pt>
                <c:pt idx="179">
                  <c:v>0.13405981257209967</c:v>
                </c:pt>
                <c:pt idx="180">
                  <c:v>0.13297162878136853</c:v>
                </c:pt>
                <c:pt idx="181">
                  <c:v>0.13189692978225545</c:v>
                </c:pt>
                <c:pt idx="182">
                  <c:v>0.13083549614358964</c:v>
                </c:pt>
                <c:pt idx="183">
                  <c:v>0.12978711275846058</c:v>
                </c:pt>
                <c:pt idx="184">
                  <c:v>0.12875156874660387</c:v>
                </c:pt>
                <c:pt idx="185">
                  <c:v>0.12772865735919087</c:v>
                </c:pt>
                <c:pt idx="186">
                  <c:v>0.12671817588596068</c:v>
                </c:pt>
                <c:pt idx="187">
                  <c:v>0.12571992556463527</c:v>
                </c:pt>
                <c:pt idx="188">
                  <c:v>0.12473371149255984</c:v>
                </c:pt>
                <c:pt idx="189">
                  <c:v>0.12375934254051202</c:v>
                </c:pt>
                <c:pt idx="190">
                  <c:v>0.12279663126862399</c:v>
                </c:pt>
                <c:pt idx="191">
                  <c:v>0.12184539384436435</c:v>
                </c:pt>
                <c:pt idx="192">
                  <c:v>0.12090544996252645</c:v>
                </c:pt>
                <c:pt idx="193">
                  <c:v>0.1199766227671725</c:v>
                </c:pt>
                <c:pt idx="194">
                  <c:v>0.11905873877548263</c:v>
                </c:pt>
                <c:pt idx="195">
                  <c:v>0.11815162780346046</c:v>
                </c:pt>
                <c:pt idx="196">
                  <c:v>0.11725512289344769</c:v>
                </c:pt>
                <c:pt idx="197">
                  <c:v>0.11636906024340092</c:v>
                </c:pt>
                <c:pt idx="198">
                  <c:v>0.11549327913788551</c:v>
                </c:pt>
                <c:pt idx="199">
                  <c:v>0.11462762188074238</c:v>
                </c:pt>
                <c:pt idx="200">
                  <c:v>0.11377193372938506</c:v>
                </c:pt>
                <c:pt idx="201">
                  <c:v>0.11292606283068439</c:v>
                </c:pt>
                <c:pt idx="202">
                  <c:v>0.11208986015840046</c:v>
                </c:pt>
                <c:pt idx="203">
                  <c:v>0.11126317945212236</c:v>
                </c:pt>
                <c:pt idx="204">
                  <c:v>0.11044587715767598</c:v>
                </c:pt>
                <c:pt idx="205">
                  <c:v>0.1096378123689631</c:v>
                </c:pt>
                <c:pt idx="206">
                  <c:v>0.10883884677119469</c:v>
                </c:pt>
                <c:pt idx="207">
                  <c:v>0.10804884458548178</c:v>
                </c:pt>
                <c:pt idx="208">
                  <c:v>0.10726767251475096</c:v>
                </c:pt>
                <c:pt idx="209">
                  <c:v>0.10649519969094803</c:v>
                </c:pt>
                <c:pt idx="210">
                  <c:v>0.10573129762349887</c:v>
                </c:pt>
                <c:pt idx="211">
                  <c:v>0.10497584014899418</c:v>
                </c:pt>
                <c:pt idx="212">
                  <c:v>0.10422870338206712</c:v>
                </c:pt>
                <c:pt idx="213">
                  <c:v>0.10348976566743283</c:v>
                </c:pt>
                <c:pt idx="214">
                  <c:v>0.10275890753306124</c:v>
                </c:pt>
                <c:pt idx="215">
                  <c:v>0.10203601164445265</c:v>
                </c:pt>
                <c:pt idx="216">
                  <c:v>0.10132096275998929</c:v>
                </c:pt>
                <c:pt idx="217">
                  <c:v>0.10061364768733476</c:v>
                </c:pt>
                <c:pt idx="218">
                  <c:v>9.9913955240854502E-2</c:v>
                </c:pt>
                <c:pt idx="219">
                  <c:v>9.9221776200031961E-2</c:v>
                </c:pt>
                <c:pt idx="220">
                  <c:v>9.8537003268854673E-2</c:v>
                </c:pt>
                <c:pt idx="221">
                  <c:v>9.7859531036145364E-2</c:v>
                </c:pt>
                <c:pt idx="222">
                  <c:v>9.7189255936815017E-2</c:v>
                </c:pt>
                <c:pt idx="223">
                  <c:v>9.6526076214013656E-2</c:v>
                </c:pt>
                <c:pt idx="224">
                  <c:v>9.5869891882156694E-2</c:v>
                </c:pt>
                <c:pt idx="225">
                  <c:v>9.5220604690804164E-2</c:v>
                </c:pt>
                <c:pt idx="226">
                  <c:v>9.4578118089372359E-2</c:v>
                </c:pt>
                <c:pt idx="227">
                  <c:v>9.3942337192655684E-2</c:v>
                </c:pt>
                <c:pt idx="228">
                  <c:v>9.3313168747139005E-2</c:v>
                </c:pt>
                <c:pt idx="229">
                  <c:v>9.2690521098080972E-2</c:v>
                </c:pt>
                <c:pt idx="230">
                  <c:v>9.207430415734795E-2</c:v>
                </c:pt>
                <c:pt idx="231">
                  <c:v>9.1464429371980946E-2</c:v>
                </c:pt>
                <c:pt idx="232">
                  <c:v>9.0860809693476319E-2</c:v>
                </c:pt>
                <c:pt idx="233">
                  <c:v>9.0263359547762989E-2</c:v>
                </c:pt>
                <c:pt idx="234">
                  <c:v>8.9671994805858538E-2</c:v>
                </c:pt>
                <c:pt idx="235">
                  <c:v>8.9086632755187398E-2</c:v>
                </c:pt>
                <c:pt idx="236">
                  <c:v>8.8507192071544713E-2</c:v>
                </c:pt>
                <c:pt idx="237">
                  <c:v>8.7933592791689913E-2</c:v>
                </c:pt>
                <c:pt idx="238">
                  <c:v>8.7365756286553978E-2</c:v>
                </c:pt>
                <c:pt idx="239">
                  <c:v>8.6803605235046377E-2</c:v>
                </c:pt>
                <c:pt idx="240">
                  <c:v>8.6247063598445348E-2</c:v>
                </c:pt>
                <c:pt idx="241">
                  <c:v>8.5696056595358658E-2</c:v>
                </c:pt>
                <c:pt idx="242">
                  <c:v>8.515051067723918E-2</c:v>
                </c:pt>
                <c:pt idx="243">
                  <c:v>8.4610353504443833E-2</c:v>
                </c:pt>
                <c:pt idx="244">
                  <c:v>8.4075513922820463E-2</c:v>
                </c:pt>
                <c:pt idx="245">
                  <c:v>8.3545921940811035E-2</c:v>
                </c:pt>
                <c:pt idx="246">
                  <c:v>8.3021508707058239E-2</c:v>
                </c:pt>
                <c:pt idx="247">
                  <c:v>8.2502206488503399E-2</c:v>
                </c:pt>
                <c:pt idx="248">
                  <c:v>8.1987948648962972E-2</c:v>
                </c:pt>
                <c:pt idx="249">
                  <c:v>8.1478669628173503E-2</c:v>
                </c:pt>
                <c:pt idx="250">
                  <c:v>8.0974304921292151E-2</c:v>
                </c:pt>
                <c:pt idx="251">
                  <c:v>8.0474791058842976E-2</c:v>
                </c:pt>
                <c:pt idx="252">
                  <c:v>7.9980065587097457E-2</c:v>
                </c:pt>
                <c:pt idx="253">
                  <c:v>7.9490067048879412E-2</c:v>
                </c:pt>
                <c:pt idx="254">
                  <c:v>7.9004734964783441E-2</c:v>
                </c:pt>
                <c:pt idx="255">
                  <c:v>7.8524009814797791E-2</c:v>
                </c:pt>
                <c:pt idx="256">
                  <c:v>7.8047833020321422E-2</c:v>
                </c:pt>
                <c:pt idx="257">
                  <c:v>7.7576146926565878E-2</c:v>
                </c:pt>
                <c:pt idx="258">
                  <c:v>7.710889478533324E-2</c:v>
                </c:pt>
                <c:pt idx="259">
                  <c:v>7.6646020738160736E-2</c:v>
                </c:pt>
                <c:pt idx="260">
                  <c:v>7.6187469799823493E-2</c:v>
                </c:pt>
                <c:pt idx="261">
                  <c:v>7.5733187842187327E-2</c:v>
                </c:pt>
                <c:pt idx="262">
                  <c:v>7.5283121578402584E-2</c:v>
                </c:pt>
                <c:pt idx="263">
                  <c:v>7.4837218547431444E-2</c:v>
                </c:pt>
                <c:pt idx="264">
                  <c:v>7.4395427098901248E-2</c:v>
                </c:pt>
                <c:pt idx="265">
                  <c:v>7.3957696378275151E-2</c:v>
                </c:pt>
                <c:pt idx="266">
                  <c:v>7.3523976312333636E-2</c:v>
                </c:pt>
                <c:pt idx="267">
                  <c:v>7.3094217594959252E-2</c:v>
                </c:pt>
                <c:pt idx="268">
                  <c:v>7.2668371673217394E-2</c:v>
                </c:pt>
                <c:pt idx="269">
                  <c:v>7.2246390733726643E-2</c:v>
                </c:pt>
                <c:pt idx="270">
                  <c:v>7.1828227689311297E-2</c:v>
                </c:pt>
                <c:pt idx="271">
                  <c:v>7.1413836165930347E-2</c:v>
                </c:pt>
                <c:pt idx="272">
                  <c:v>7.1003170489875991E-2</c:v>
                </c:pt>
                <c:pt idx="273">
                  <c:v>7.0596185675235415E-2</c:v>
                </c:pt>
                <c:pt idx="274">
                  <c:v>7.0192837411610226E-2</c:v>
                </c:pt>
                <c:pt idx="275">
                  <c:v>6.9793082052087396E-2</c:v>
                </c:pt>
                <c:pt idx="276">
                  <c:v>6.9396876601455493E-2</c:v>
                </c:pt>
                <c:pt idx="277">
                  <c:v>6.9004178704661759E-2</c:v>
                </c:pt>
                <c:pt idx="278">
                  <c:v>6.8614946635503146E-2</c:v>
                </c:pt>
                <c:pt idx="279">
                  <c:v>6.8229139285547163E-2</c:v>
                </c:pt>
                <c:pt idx="280">
                  <c:v>6.7846716153276435E-2</c:v>
                </c:pt>
                <c:pt idx="281">
                  <c:v>6.7467637333452679E-2</c:v>
                </c:pt>
                <c:pt idx="282">
                  <c:v>6.7091863506694355E-2</c:v>
                </c:pt>
                <c:pt idx="283">
                  <c:v>6.6719355929263952E-2</c:v>
                </c:pt>
                <c:pt idx="284">
                  <c:v>6.6350076423059581E-2</c:v>
                </c:pt>
                <c:pt idx="285">
                  <c:v>6.5983987365806587E-2</c:v>
                </c:pt>
                <c:pt idx="286">
                  <c:v>6.562105168144472E-2</c:v>
                </c:pt>
                <c:pt idx="287">
                  <c:v>6.526123283070627E-2</c:v>
                </c:pt>
                <c:pt idx="288">
                  <c:v>6.4904494801881263E-2</c:v>
                </c:pt>
                <c:pt idx="289">
                  <c:v>6.4550802101765156E-2</c:v>
                </c:pt>
                <c:pt idx="290">
                  <c:v>6.4200119746785231E-2</c:v>
                </c:pt>
                <c:pt idx="291">
                  <c:v>6.3852413254301701E-2</c:v>
                </c:pt>
                <c:pt idx="292">
                  <c:v>6.350764863407983E-2</c:v>
                </c:pt>
                <c:pt idx="293">
                  <c:v>6.3165792379928712E-2</c:v>
                </c:pt>
                <c:pt idx="294">
                  <c:v>6.2826811461503693E-2</c:v>
                </c:pt>
                <c:pt idx="295">
                  <c:v>6.2490673316268723E-2</c:v>
                </c:pt>
                <c:pt idx="296">
                  <c:v>6.2157345841614656E-2</c:v>
                </c:pt>
                <c:pt idx="297">
                  <c:v>6.1826797387130795E-2</c:v>
                </c:pt>
                <c:pt idx="298">
                  <c:v>6.149899674702574E-2</c:v>
                </c:pt>
                <c:pt idx="299">
                  <c:v>6.1173913152694687E-2</c:v>
                </c:pt>
                <c:pt idx="300">
                  <c:v>6.0851516265429811E-2</c:v>
                </c:pt>
                <c:pt idx="301">
                  <c:v>6.0531776169270697E-2</c:v>
                </c:pt>
                <c:pt idx="302">
                  <c:v>6.0214663363991769E-2</c:v>
                </c:pt>
                <c:pt idx="303">
                  <c:v>5.9900148758223748E-2</c:v>
                </c:pt>
                <c:pt idx="304">
                  <c:v>5.9588203662706341E-2</c:v>
                </c:pt>
                <c:pt idx="305">
                  <c:v>5.9278799783669227E-2</c:v>
                </c:pt>
                <c:pt idx="306">
                  <c:v>5.8971909216338735E-2</c:v>
                </c:pt>
                <c:pt idx="307">
                  <c:v>5.8667504438567344E-2</c:v>
                </c:pt>
                <c:pt idx="308">
                  <c:v>5.836555830458369E-2</c:v>
                </c:pt>
                <c:pt idx="309">
                  <c:v>5.8066044038859989E-2</c:v>
                </c:pt>
                <c:pt idx="310">
                  <c:v>5.7768935230095145E-2</c:v>
                </c:pt>
                <c:pt idx="311">
                  <c:v>5.7474205825310216E-2</c:v>
                </c:pt>
                <c:pt idx="312">
                  <c:v>5.7181830124054735E-2</c:v>
                </c:pt>
                <c:pt idx="313">
                  <c:v>5.6891782772720785E-2</c:v>
                </c:pt>
                <c:pt idx="314">
                  <c:v>5.6604038758963277E-2</c:v>
                </c:pt>
                <c:pt idx="315">
                  <c:v>5.631857340622342E-2</c:v>
                </c:pt>
                <c:pt idx="316">
                  <c:v>5.6035362368353998E-2</c:v>
                </c:pt>
                <c:pt idx="317">
                  <c:v>5.5754381624343749E-2</c:v>
                </c:pt>
                <c:pt idx="318">
                  <c:v>5.5475607473139198E-2</c:v>
                </c:pt>
                <c:pt idx="319">
                  <c:v>5.519901652856149E-2</c:v>
                </c:pt>
                <c:pt idx="320">
                  <c:v>5.4924585714316652E-2</c:v>
                </c:pt>
                <c:pt idx="321">
                  <c:v>5.4652292259097235E-2</c:v>
                </c:pt>
                <c:pt idx="322">
                  <c:v>5.4382113691773162E-2</c:v>
                </c:pt>
                <c:pt idx="323">
                  <c:v>5.4114027836670506E-2</c:v>
                </c:pt>
                <c:pt idx="324">
                  <c:v>5.3848012808935829E-2</c:v>
                </c:pt>
                <c:pt idx="325">
                  <c:v>5.3584047009984564E-2</c:v>
                </c:pt>
                <c:pt idx="326">
                  <c:v>5.3322109123031994E-2</c:v>
                </c:pt>
                <c:pt idx="327">
                  <c:v>5.3062178108704429E-2</c:v>
                </c:pt>
                <c:pt idx="328">
                  <c:v>5.2804233200729925E-2</c:v>
                </c:pt>
                <c:pt idx="329">
                  <c:v>5.2548253901705887E-2</c:v>
                </c:pt>
                <c:pt idx="330">
                  <c:v>5.2294219978942867E-2</c:v>
                </c:pt>
                <c:pt idx="331">
                  <c:v>5.2042111460382422E-2</c:v>
                </c:pt>
                <c:pt idx="332">
                  <c:v>5.1791908630587989E-2</c:v>
                </c:pt>
                <c:pt idx="333">
                  <c:v>5.1543592026806799E-2</c:v>
                </c:pt>
                <c:pt idx="334">
                  <c:v>5.1297142435102021E-2</c:v>
                </c:pt>
                <c:pt idx="335">
                  <c:v>5.1052540886553109E-2</c:v>
                </c:pt>
                <c:pt idx="336">
                  <c:v>5.0809768653523421E-2</c:v>
                </c:pt>
                <c:pt idx="337">
                  <c:v>5.0568807245993608E-2</c:v>
                </c:pt>
                <c:pt idx="338">
                  <c:v>5.0329638407959468E-2</c:v>
                </c:pt>
                <c:pt idx="339">
                  <c:v>5.0092244113892931E-2</c:v>
                </c:pt>
                <c:pt idx="340">
                  <c:v>4.9856606565265138E-2</c:v>
                </c:pt>
                <c:pt idx="341">
                  <c:v>4.9622708187129973E-2</c:v>
                </c:pt>
                <c:pt idx="342">
                  <c:v>4.939053162476742E-2</c:v>
                </c:pt>
                <c:pt idx="343">
                  <c:v>4.9160059740385058E-2</c:v>
                </c:pt>
                <c:pt idx="344">
                  <c:v>4.8931275609876694E-2</c:v>
                </c:pt>
                <c:pt idx="345">
                  <c:v>4.8704162519637391E-2</c:v>
                </c:pt>
                <c:pt idx="346">
                  <c:v>4.8478703963433102E-2</c:v>
                </c:pt>
                <c:pt idx="347">
                  <c:v>4.8254883639324384E-2</c:v>
                </c:pt>
                <c:pt idx="348">
                  <c:v>4.8032685446643013E-2</c:v>
                </c:pt>
                <c:pt idx="349">
                  <c:v>4.7812093483020346E-2</c:v>
                </c:pt>
                <c:pt idx="350">
                  <c:v>4.7593092041466438E-2</c:v>
                </c:pt>
                <c:pt idx="351">
                  <c:v>4.7375665607499118E-2</c:v>
                </c:pt>
                <c:pt idx="352">
                  <c:v>4.7159798856322051E-2</c:v>
                </c:pt>
                <c:pt idx="353">
                  <c:v>4.6945476650050284E-2</c:v>
                </c:pt>
                <c:pt idx="354">
                  <c:v>4.6732684034983339E-2</c:v>
                </c:pt>
                <c:pt idx="355">
                  <c:v>4.6521406238924111E-2</c:v>
                </c:pt>
                <c:pt idx="356">
                  <c:v>4.6311628668543055E-2</c:v>
                </c:pt>
                <c:pt idx="357">
                  <c:v>4.6103336906786731E-2</c:v>
                </c:pt>
                <c:pt idx="358">
                  <c:v>4.5896516710329821E-2</c:v>
                </c:pt>
                <c:pt idx="359">
                  <c:v>4.5691154007070078E-2</c:v>
                </c:pt>
                <c:pt idx="360">
                  <c:v>4.5487234893664762E-2</c:v>
                </c:pt>
                <c:pt idx="361">
                  <c:v>4.5284745633108546E-2</c:v>
                </c:pt>
                <c:pt idx="362">
                  <c:v>4.5083672652351373E-2</c:v>
                </c:pt>
                <c:pt idx="363">
                  <c:v>4.4884002539956197E-2</c:v>
                </c:pt>
                <c:pt idx="364">
                  <c:v>4.4685722043795416E-2</c:v>
                </c:pt>
                <c:pt idx="365">
                  <c:v>4.4488818068785199E-2</c:v>
                </c:pt>
                <c:pt idx="366">
                  <c:v>4.4293277674657398E-2</c:v>
                </c:pt>
                <c:pt idx="367">
                  <c:v>4.4099088073768132E-2</c:v>
                </c:pt>
                <c:pt idx="368">
                  <c:v>4.3906236628942205E-2</c:v>
                </c:pt>
                <c:pt idx="369">
                  <c:v>4.3714710851352957E-2</c:v>
                </c:pt>
                <c:pt idx="370">
                  <c:v>4.3524498398436674E-2</c:v>
                </c:pt>
                <c:pt idx="371">
                  <c:v>4.3335587071841167E-2</c:v>
                </c:pt>
                <c:pt idx="372">
                  <c:v>4.3147964815407544E-2</c:v>
                </c:pt>
                <c:pt idx="373">
                  <c:v>4.2961619713184941E-2</c:v>
                </c:pt>
                <c:pt idx="374">
                  <c:v>4.277653998747722E-2</c:v>
                </c:pt>
                <c:pt idx="375">
                  <c:v>4.2592713996921508E-2</c:v>
                </c:pt>
                <c:pt idx="376">
                  <c:v>4.2410130234597422E-2</c:v>
                </c:pt>
                <c:pt idx="377">
                  <c:v>4.2228777326166991E-2</c:v>
                </c:pt>
                <c:pt idx="378">
                  <c:v>4.2048644028044341E-2</c:v>
                </c:pt>
                <c:pt idx="379">
                  <c:v>4.1869719225594591E-2</c:v>
                </c:pt>
                <c:pt idx="380">
                  <c:v>4.169199193136184E-2</c:v>
                </c:pt>
                <c:pt idx="381">
                  <c:v>4.1515451283325178E-2</c:v>
                </c:pt>
                <c:pt idx="382">
                  <c:v>4.1340086543182497E-2</c:v>
                </c:pt>
                <c:pt idx="383">
                  <c:v>4.1165887094661693E-2</c:v>
                </c:pt>
                <c:pt idx="384">
                  <c:v>4.0992842441858537E-2</c:v>
                </c:pt>
                <c:pt idx="385">
                  <c:v>4.0820942207600783E-2</c:v>
                </c:pt>
                <c:pt idx="386">
                  <c:v>4.065017613183828E-2</c:v>
                </c:pt>
                <c:pt idx="387">
                  <c:v>4.0480534070058236E-2</c:v>
                </c:pt>
                <c:pt idx="388">
                  <c:v>4.0312005991725436E-2</c:v>
                </c:pt>
                <c:pt idx="389">
                  <c:v>4.0144581978747061E-2</c:v>
                </c:pt>
                <c:pt idx="390">
                  <c:v>3.997825222396139E-2</c:v>
                </c:pt>
                <c:pt idx="391">
                  <c:v>3.9813007029650065E-2</c:v>
                </c:pt>
                <c:pt idx="392">
                  <c:v>3.9648836806073631E-2</c:v>
                </c:pt>
                <c:pt idx="393">
                  <c:v>3.9485732070029818E-2</c:v>
                </c:pt>
                <c:pt idx="394">
                  <c:v>3.9323683443434197E-2</c:v>
                </c:pt>
                <c:pt idx="395">
                  <c:v>3.9162681651922715E-2</c:v>
                </c:pt>
                <c:pt idx="396">
                  <c:v>3.9002717523475956E-2</c:v>
                </c:pt>
                <c:pt idx="397">
                  <c:v>3.8843781987064542E-2</c:v>
                </c:pt>
                <c:pt idx="398">
                  <c:v>3.8685866071315377E-2</c:v>
                </c:pt>
                <c:pt idx="399">
                  <c:v>3.8528960903198219E-2</c:v>
                </c:pt>
                <c:pt idx="400">
                  <c:v>3.8373057706732716E-2</c:v>
                </c:pt>
                <c:pt idx="401">
                  <c:v>3.8218147801714897E-2</c:v>
                </c:pt>
                <c:pt idx="402">
                  <c:v>3.8064222602463095E-2</c:v>
                </c:pt>
                <c:pt idx="403">
                  <c:v>3.7911273616583176E-2</c:v>
                </c:pt>
                <c:pt idx="404">
                  <c:v>3.7759292443752319E-2</c:v>
                </c:pt>
                <c:pt idx="405">
                  <c:v>3.7608270774521314E-2</c:v>
                </c:pt>
                <c:pt idx="406">
                  <c:v>3.7458200389134937E-2</c:v>
                </c:pt>
                <c:pt idx="407">
                  <c:v>3.7309073156370214E-2</c:v>
                </c:pt>
                <c:pt idx="408">
                  <c:v>3.7160881032392006E-2</c:v>
                </c:pt>
                <c:pt idx="409">
                  <c:v>3.7013616059625991E-2</c:v>
                </c:pt>
                <c:pt idx="410">
                  <c:v>3.6867270365648457E-2</c:v>
                </c:pt>
                <c:pt idx="411">
                  <c:v>3.6721836162092632E-2</c:v>
                </c:pt>
                <c:pt idx="412">
                  <c:v>3.6577305743571542E-2</c:v>
                </c:pt>
                <c:pt idx="413">
                  <c:v>3.6433671486616734E-2</c:v>
                </c:pt>
                <c:pt idx="414">
                  <c:v>3.6290925848632923E-2</c:v>
                </c:pt>
                <c:pt idx="415">
                  <c:v>3.6149061366868039E-2</c:v>
                </c:pt>
                <c:pt idx="416">
                  <c:v>3.6008070657398625E-2</c:v>
                </c:pt>
                <c:pt idx="417">
                  <c:v>3.5867946414130193E-2</c:v>
                </c:pt>
                <c:pt idx="418">
                  <c:v>3.5728681407812324E-2</c:v>
                </c:pt>
                <c:pt idx="419">
                  <c:v>3.5590268485068265E-2</c:v>
                </c:pt>
                <c:pt idx="420">
                  <c:v>3.5452700567438773E-2</c:v>
                </c:pt>
                <c:pt idx="421">
                  <c:v>3.5315970650440079E-2</c:v>
                </c:pt>
                <c:pt idx="422">
                  <c:v>3.5180071802635438E-2</c:v>
                </c:pt>
                <c:pt idx="423">
                  <c:v>3.5044997164720419E-2</c:v>
                </c:pt>
                <c:pt idx="424">
                  <c:v>3.4910739948621435E-2</c:v>
                </c:pt>
                <c:pt idx="425">
                  <c:v>3.4777293436607445E-2</c:v>
                </c:pt>
                <c:pt idx="426">
                  <c:v>3.4644650980414367E-2</c:v>
                </c:pt>
                <c:pt idx="427">
                  <c:v>3.4512806000382507E-2</c:v>
                </c:pt>
                <c:pt idx="428">
                  <c:v>3.4381751984606107E-2</c:v>
                </c:pt>
                <c:pt idx="429">
                  <c:v>3.4251482488095383E-2</c:v>
                </c:pt>
                <c:pt idx="430">
                  <c:v>3.4121991131950517E-2</c:v>
                </c:pt>
                <c:pt idx="431">
                  <c:v>3.3993271602547614E-2</c:v>
                </c:pt>
                <c:pt idx="432">
                  <c:v>3.38653176507362E-2</c:v>
                </c:pt>
                <c:pt idx="433">
                  <c:v>3.3738123091048337E-2</c:v>
                </c:pt>
                <c:pt idx="434">
                  <c:v>3.3611681800918905E-2</c:v>
                </c:pt>
                <c:pt idx="435">
                  <c:v>3.3485987719917155E-2</c:v>
                </c:pt>
                <c:pt idx="436">
                  <c:v>3.3361034848989009E-2</c:v>
                </c:pt>
                <c:pt idx="437">
                  <c:v>3.3236817249710282E-2</c:v>
                </c:pt>
                <c:pt idx="438">
                  <c:v>3.3113329043550334E-2</c:v>
                </c:pt>
                <c:pt idx="439">
                  <c:v>3.2990564411146284E-2</c:v>
                </c:pt>
                <c:pt idx="440">
                  <c:v>3.2868517591587369E-2</c:v>
                </c:pt>
                <c:pt idx="441">
                  <c:v>3.274718288170933E-2</c:v>
                </c:pt>
                <c:pt idx="442">
                  <c:v>3.2626554635398937E-2</c:v>
                </c:pt>
                <c:pt idx="443">
                  <c:v>3.2506627262907963E-2</c:v>
                </c:pt>
                <c:pt idx="444">
                  <c:v>3.2387395230177085E-2</c:v>
                </c:pt>
                <c:pt idx="445">
                  <c:v>3.226885305816888E-2</c:v>
                </c:pt>
                <c:pt idx="446">
                  <c:v>3.2150995322210489E-2</c:v>
                </c:pt>
                <c:pt idx="447">
                  <c:v>3.2033816651345123E-2</c:v>
                </c:pt>
                <c:pt idx="448">
                  <c:v>3.191731172769284E-2</c:v>
                </c:pt>
                <c:pt idx="449">
                  <c:v>3.1801475285819877E-2</c:v>
                </c:pt>
                <c:pt idx="450">
                  <c:v>3.1686302112117058E-2</c:v>
                </c:pt>
                <c:pt idx="451">
                  <c:v>3.1571787044186478E-2</c:v>
                </c:pt>
                <c:pt idx="452">
                  <c:v>3.1457924970236861E-2</c:v>
                </c:pt>
                <c:pt idx="453">
                  <c:v>3.1344710828487117E-2</c:v>
                </c:pt>
                <c:pt idx="454">
                  <c:v>3.1232139606578089E-2</c:v>
                </c:pt>
                <c:pt idx="455">
                  <c:v>3.1120206340992437E-2</c:v>
                </c:pt>
                <c:pt idx="456">
                  <c:v>3.1008906116482386E-2</c:v>
                </c:pt>
                <c:pt idx="457">
                  <c:v>3.089823406550531E-2</c:v>
                </c:pt>
                <c:pt idx="458">
                  <c:v>3.0788185367667042E-2</c:v>
                </c:pt>
                <c:pt idx="459">
                  <c:v>3.0678755249172639E-2</c:v>
                </c:pt>
                <c:pt idx="460">
                  <c:v>3.0569938982284734E-2</c:v>
                </c:pt>
                <c:pt idx="461">
                  <c:v>3.0461731884789196E-2</c:v>
                </c:pt>
                <c:pt idx="462">
                  <c:v>3.0354129319467956E-2</c:v>
                </c:pt>
                <c:pt idx="463">
                  <c:v>3.0247126693578937E-2</c:v>
                </c:pt>
                <c:pt idx="464">
                  <c:v>3.0140719458343072E-2</c:v>
                </c:pt>
                <c:pt idx="465">
                  <c:v>3.0034903108438267E-2</c:v>
                </c:pt>
                <c:pt idx="466">
                  <c:v>2.9929673181499913E-2</c:v>
                </c:pt>
                <c:pt idx="467">
                  <c:v>2.9825025257628281E-2</c:v>
                </c:pt>
                <c:pt idx="468">
                  <c:v>2.9720954958902514E-2</c:v>
                </c:pt>
                <c:pt idx="469">
                  <c:v>2.9617457948901062E-2</c:v>
                </c:pt>
                <c:pt idx="470">
                  <c:v>2.9514529932228351E-2</c:v>
                </c:pt>
                <c:pt idx="471">
                  <c:v>2.9412166654048087E-2</c:v>
                </c:pt>
                <c:pt idx="472">
                  <c:v>2.9310363899622327E-2</c:v>
                </c:pt>
                <c:pt idx="473">
                  <c:v>2.9209117493857073E-2</c:v>
                </c:pt>
                <c:pt idx="474">
                  <c:v>2.9108423300853545E-2</c:v>
                </c:pt>
                <c:pt idx="475">
                  <c:v>2.9008277223465467E-2</c:v>
                </c:pt>
                <c:pt idx="476">
                  <c:v>2.8908675202862402E-2</c:v>
                </c:pt>
                <c:pt idx="477">
                  <c:v>2.8809613218098478E-2</c:v>
                </c:pt>
                <c:pt idx="478">
                  <c:v>2.8711087285686956E-2</c:v>
                </c:pt>
                <c:pt idx="479">
                  <c:v>2.8613093459180415E-2</c:v>
                </c:pt>
                <c:pt idx="480">
                  <c:v>2.8515627828756225E-2</c:v>
                </c:pt>
                <c:pt idx="481">
                  <c:v>2.841868652080776E-2</c:v>
                </c:pt>
                <c:pt idx="482">
                  <c:v>2.83222656975405E-2</c:v>
                </c:pt>
                <c:pt idx="483">
                  <c:v>2.8226361556573785E-2</c:v>
                </c:pt>
                <c:pt idx="484">
                  <c:v>2.8130970330547525E-2</c:v>
                </c:pt>
                <c:pt idx="485">
                  <c:v>2.8036088286733995E-2</c:v>
                </c:pt>
                <c:pt idx="486">
                  <c:v>2.7941711726654699E-2</c:v>
                </c:pt>
                <c:pt idx="487">
                  <c:v>2.784783698570226E-2</c:v>
                </c:pt>
                <c:pt idx="488">
                  <c:v>2.7754460432767015E-2</c:v>
                </c:pt>
                <c:pt idx="489">
                  <c:v>2.7661578469868487E-2</c:v>
                </c:pt>
                <c:pt idx="490">
                  <c:v>2.756918753179164E-2</c:v>
                </c:pt>
                <c:pt idx="491">
                  <c:v>2.7477284085727693E-2</c:v>
                </c:pt>
                <c:pt idx="492">
                  <c:v>2.738586463091959E-2</c:v>
                </c:pt>
                <c:pt idx="493">
                  <c:v>2.7294925698312E-2</c:v>
                </c:pt>
                <c:pt idx="494">
                  <c:v>2.720446385020571E-2</c:v>
                </c:pt>
                <c:pt idx="495">
                  <c:v>2.7114475679916469E-2</c:v>
                </c:pt>
                <c:pt idx="496">
                  <c:v>2.7024957811438221E-2</c:v>
                </c:pt>
                <c:pt idx="497">
                  <c:v>2.6935906899110393E-2</c:v>
                </c:pt>
                <c:pt idx="498">
                  <c:v>2.6847319627289635E-2</c:v>
                </c:pt>
                <c:pt idx="499">
                  <c:v>2.6759192710025598E-2</c:v>
                </c:pt>
                <c:pt idx="500">
                  <c:v>2.6671522890740727E-2</c:v>
                </c:pt>
                <c:pt idx="501">
                  <c:v>2.658430694191426E-2</c:v>
                </c:pt>
                <c:pt idx="502">
                  <c:v>2.6497541664769961E-2</c:v>
                </c:pt>
                <c:pt idx="503">
                  <c:v>2.6411223888968036E-2</c:v>
                </c:pt>
                <c:pt idx="504">
                  <c:v>2.6325350472300637E-2</c:v>
                </c:pt>
                <c:pt idx="505">
                  <c:v>2.6239918300391338E-2</c:v>
                </c:pt>
                <c:pt idx="506">
                  <c:v>2.6154924286398377E-2</c:v>
                </c:pt>
                <c:pt idx="507">
                  <c:v>2.607036537072141E-2</c:v>
                </c:pt>
                <c:pt idx="508">
                  <c:v>2.5986238520712135E-2</c:v>
                </c:pt>
                <c:pt idx="509">
                  <c:v>2.5902540730388314E-2</c:v>
                </c:pt>
                <c:pt idx="510">
                  <c:v>2.5819269020151463E-2</c:v>
                </c:pt>
                <c:pt idx="511">
                  <c:v>2.5736420436507958E-2</c:v>
                </c:pt>
                <c:pt idx="512">
                  <c:v>2.5653992051793653E-2</c:v>
                </c:pt>
                <c:pt idx="513">
                  <c:v>2.5571980963901769E-2</c:v>
                </c:pt>
                <c:pt idx="514">
                  <c:v>2.5490384296014253E-2</c:v>
                </c:pt>
                <c:pt idx="515">
                  <c:v>2.5409199196336388E-2</c:v>
                </c:pt>
                <c:pt idx="516">
                  <c:v>2.5328422837834579E-2</c:v>
                </c:pt>
                <c:pt idx="517">
                  <c:v>2.5248052417977521E-2</c:v>
                </c:pt>
                <c:pt idx="518">
                  <c:v>2.5168085158480308E-2</c:v>
                </c:pt>
                <c:pt idx="519">
                  <c:v>2.508851830505188E-2</c:v>
                </c:pt>
                <c:pt idx="520">
                  <c:v>2.5009349127145298E-2</c:v>
                </c:pt>
                <c:pt idx="521">
                  <c:v>2.4930574917711355E-2</c:v>
                </c:pt>
                <c:pt idx="522">
                  <c:v>2.48521929929548E-2</c:v>
                </c:pt>
                <c:pt idx="523">
                  <c:v>2.4774200692093962E-2</c:v>
                </c:pt>
                <c:pt idx="524">
                  <c:v>2.4696595377122786E-2</c:v>
                </c:pt>
                <c:pt idx="525">
                  <c:v>2.4619374432576144E-2</c:v>
                </c:pt>
                <c:pt idx="526">
                  <c:v>2.4542535265297764E-2</c:v>
                </c:pt>
                <c:pt idx="527">
                  <c:v>2.446607530421099E-2</c:v>
                </c:pt>
                <c:pt idx="528">
                  <c:v>2.4389992000092297E-2</c:v>
                </c:pt>
                <c:pt idx="529">
                  <c:v>2.4314282825347533E-2</c:v>
                </c:pt>
                <c:pt idx="530">
                  <c:v>2.4238945273790804E-2</c:v>
                </c:pt>
                <c:pt idx="531">
                  <c:v>2.4163976860426026E-2</c:v>
                </c:pt>
                <c:pt idx="532">
                  <c:v>2.4089375121231067E-2</c:v>
                </c:pt>
                <c:pt idx="533">
                  <c:v>2.4015137612944486E-2</c:v>
                </c:pt>
                <c:pt idx="534">
                  <c:v>2.3941261912854683E-2</c:v>
                </c:pt>
                <c:pt idx="535">
                  <c:v>2.3867745618591771E-2</c:v>
                </c:pt>
                <c:pt idx="536">
                  <c:v>2.3794586347921688E-2</c:v>
                </c:pt>
                <c:pt idx="537">
                  <c:v>2.3721781738542887E-2</c:v>
                </c:pt>
                <c:pt idx="538">
                  <c:v>2.3649329447885361E-2</c:v>
                </c:pt>
                <c:pt idx="539">
                  <c:v>2.3577227152911957E-2</c:v>
                </c:pt>
                <c:pt idx="540">
                  <c:v>2.3505472549922329E-2</c:v>
                </c:pt>
                <c:pt idx="541">
                  <c:v>2.3434063354358721E-2</c:v>
                </c:pt>
                <c:pt idx="542">
                  <c:v>2.3362997300614478E-2</c:v>
                </c:pt>
                <c:pt idx="543">
                  <c:v>2.3292272141844456E-2</c:v>
                </c:pt>
                <c:pt idx="544">
                  <c:v>2.3221885649777882E-2</c:v>
                </c:pt>
                <c:pt idx="545">
                  <c:v>2.3151835614533323E-2</c:v>
                </c:pt>
                <c:pt idx="546">
                  <c:v>2.3082119844435627E-2</c:v>
                </c:pt>
                <c:pt idx="547">
                  <c:v>2.3012736165835337E-2</c:v>
                </c:pt>
                <c:pt idx="548">
                  <c:v>2.294368242292991E-2</c:v>
                </c:pt>
                <c:pt idx="549">
                  <c:v>2.2874956477587118E-2</c:v>
                </c:pt>
                <c:pt idx="550">
                  <c:v>2.2806556209170513E-2</c:v>
                </c:pt>
                <c:pt idx="551">
                  <c:v>2.2738479514366802E-2</c:v>
                </c:pt>
                <c:pt idx="552">
                  <c:v>2.267072430701542E-2</c:v>
                </c:pt>
                <c:pt idx="553">
                  <c:v>2.2603288517939735E-2</c:v>
                </c:pt>
                <c:pt idx="554">
                  <c:v>2.2536170094780553E-2</c:v>
                </c:pt>
                <c:pt idx="555">
                  <c:v>2.2469367001831234E-2</c:v>
                </c:pt>
                <c:pt idx="556">
                  <c:v>2.2402877219874929E-2</c:v>
                </c:pt>
                <c:pt idx="557">
                  <c:v>2.2336698746023474E-2</c:v>
                </c:pt>
                <c:pt idx="558">
                  <c:v>2.2270829593558267E-2</c:v>
                </c:pt>
                <c:pt idx="559">
                  <c:v>2.2205267791772895E-2</c:v>
                </c:pt>
                <c:pt idx="560">
                  <c:v>2.2140011385817556E-2</c:v>
                </c:pt>
                <c:pt idx="561">
                  <c:v>2.2075058436545236E-2</c:v>
                </c:pt>
                <c:pt idx="562">
                  <c:v>2.2010407020359734E-2</c:v>
                </c:pt>
                <c:pt idx="563">
                  <c:v>2.1946055229065144E-2</c:v>
                </c:pt>
                <c:pt idx="564">
                  <c:v>2.1882001169717405E-2</c:v>
                </c:pt>
                <c:pt idx="565">
                  <c:v>2.1818242964477194E-2</c:v>
                </c:pt>
                <c:pt idx="566">
                  <c:v>2.1754778750464693E-2</c:v>
                </c:pt>
                <c:pt idx="567">
                  <c:v>2.1691606679615831E-2</c:v>
                </c:pt>
                <c:pt idx="568">
                  <c:v>2.1628724918540277E-2</c:v>
                </c:pt>
                <c:pt idx="569">
                  <c:v>2.1566131648380959E-2</c:v>
                </c:pt>
                <c:pt idx="570">
                  <c:v>2.1503825064675151E-2</c:v>
                </c:pt>
                <c:pt idx="571">
                  <c:v>2.1441803377217083E-2</c:v>
                </c:pt>
                <c:pt idx="572">
                  <c:v>2.1380064809922154E-2</c:v>
                </c:pt>
                <c:pt idx="573">
                  <c:v>2.1318607600692624E-2</c:v>
                </c:pt>
                <c:pt idx="574">
                  <c:v>2.1257430001284792E-2</c:v>
                </c:pt>
                <c:pt idx="575">
                  <c:v>2.1196530277177654E-2</c:v>
                </c:pt>
                <c:pt idx="576">
                  <c:v>2.1135906707442982E-2</c:v>
                </c:pt>
                <c:pt idx="577">
                  <c:v>2.1075557584616923E-2</c:v>
                </c:pt>
                <c:pt idx="578">
                  <c:v>2.1015481214572918E-2</c:v>
                </c:pt>
                <c:pt idx="579">
                  <c:v>2.0955675916396112E-2</c:v>
                </c:pt>
                <c:pt idx="580">
                  <c:v>2.0896140022259074E-2</c:v>
                </c:pt>
                <c:pt idx="581">
                  <c:v>2.0836871877298959E-2</c:v>
                </c:pt>
                <c:pt idx="582">
                  <c:v>2.0777869839495842E-2</c:v>
                </c:pt>
                <c:pt idx="583">
                  <c:v>2.0719132279552729E-2</c:v>
                </c:pt>
                <c:pt idx="584">
                  <c:v>2.0660657580776474E-2</c:v>
                </c:pt>
                <c:pt idx="585">
                  <c:v>2.0602444138960268E-2</c:v>
                </c:pt>
                <c:pt idx="586">
                  <c:v>2.0544490362267343E-2</c:v>
                </c:pt>
                <c:pt idx="587">
                  <c:v>2.0486794671115905E-2</c:v>
                </c:pt>
                <c:pt idx="588">
                  <c:v>2.0429355498065349E-2</c:v>
                </c:pt>
                <c:pt idx="589">
                  <c:v>2.0372171287703713E-2</c:v>
                </c:pt>
                <c:pt idx="590">
                  <c:v>2.0315240496536303E-2</c:v>
                </c:pt>
                <c:pt idx="591">
                  <c:v>2.0258561592875621E-2</c:v>
                </c:pt>
                <c:pt idx="592">
                  <c:v>2.0202133056732369E-2</c:v>
                </c:pt>
                <c:pt idx="593">
                  <c:v>2.0145953379707707E-2</c:v>
                </c:pt>
                <c:pt idx="594">
                  <c:v>2.0090021064886665E-2</c:v>
                </c:pt>
                <c:pt idx="595">
                  <c:v>2.0034334626732611E-2</c:v>
                </c:pt>
                <c:pt idx="596">
                  <c:v>1.9978892590983021E-2</c:v>
                </c:pt>
                <c:pt idx="597">
                  <c:v>1.9923693494546191E-2</c:v>
                </c:pt>
                <c:pt idx="598">
                  <c:v>1.9868735885399155E-2</c:v>
                </c:pt>
                <c:pt idx="599">
                  <c:v>1.9814018322486672E-2</c:v>
                </c:pt>
                <c:pt idx="600">
                  <c:v>1.9759539375621332E-2</c:v>
                </c:pt>
                <c:pt idx="601">
                  <c:v>1.9705297625384581E-2</c:v>
                </c:pt>
                <c:pt idx="602">
                  <c:v>1.9651291663029025E-2</c:v>
                </c:pt>
                <c:pt idx="603">
                  <c:v>1.9597520090381512E-2</c:v>
                </c:pt>
                <c:pt idx="604">
                  <c:v>1.9543981519747514E-2</c:v>
                </c:pt>
                <c:pt idx="605">
                  <c:v>1.9490674573816282E-2</c:v>
                </c:pt>
                <c:pt idx="606">
                  <c:v>1.9437597885567162E-2</c:v>
                </c:pt>
                <c:pt idx="607">
                  <c:v>1.9384750098176806E-2</c:v>
                </c:pt>
                <c:pt idx="608">
                  <c:v>1.9332129864927459E-2</c:v>
                </c:pt>
                <c:pt idx="609">
                  <c:v>1.9279735849116058E-2</c:v>
                </c:pt>
                <c:pt idx="610">
                  <c:v>1.9227566723964463E-2</c:v>
                </c:pt>
                <c:pt idx="611">
                  <c:v>1.9175621172530504E-2</c:v>
                </c:pt>
                <c:pt idx="612">
                  <c:v>1.912389788762002E-2</c:v>
                </c:pt>
                <c:pt idx="613">
                  <c:v>1.9072395571699794E-2</c:v>
                </c:pt>
                <c:pt idx="614">
                  <c:v>1.9021112936811361E-2</c:v>
                </c:pt>
                <c:pt idx="615">
                  <c:v>1.8970048704485848E-2</c:v>
                </c:pt>
                <c:pt idx="616">
                  <c:v>1.8919201605659533E-2</c:v>
                </c:pt>
                <c:pt idx="617">
                  <c:v>1.8868570380590352E-2</c:v>
                </c:pt>
                <c:pt idx="618">
                  <c:v>1.8818153778775343E-2</c:v>
                </c:pt>
                <c:pt idx="619">
                  <c:v>1.876795055886887E-2</c:v>
                </c:pt>
                <c:pt idx="620">
                  <c:v>1.8717959488601596E-2</c:v>
                </c:pt>
                <c:pt idx="621">
                  <c:v>1.8668179344700563E-2</c:v>
                </c:pt>
                <c:pt idx="622">
                  <c:v>1.861860891280984E-2</c:v>
                </c:pt>
                <c:pt idx="623">
                  <c:v>1.8569246987412073E-2</c:v>
                </c:pt>
                <c:pt idx="624">
                  <c:v>1.8520092371750924E-2</c:v>
                </c:pt>
                <c:pt idx="625">
                  <c:v>1.847114387775416E-2</c:v>
                </c:pt>
                <c:pt idx="626">
                  <c:v>1.8422400325957641E-2</c:v>
                </c:pt>
                <c:pt idx="627">
                  <c:v>1.8373860545430103E-2</c:v>
                </c:pt>
                <c:pt idx="628">
                  <c:v>1.832552337369853E-2</c:v>
                </c:pt>
                <c:pt idx="629">
                  <c:v>1.8277387656674568E-2</c:v>
                </c:pt>
                <c:pt idx="630">
                  <c:v>1.822945224858144E-2</c:v>
                </c:pt>
                <c:pt idx="631">
                  <c:v>1.8181716011881698E-2</c:v>
                </c:pt>
                <c:pt idx="632">
                  <c:v>1.8134177817205804E-2</c:v>
                </c:pt>
                <c:pt idx="633">
                  <c:v>1.8086836543281252E-2</c:v>
                </c:pt>
                <c:pt idx="634">
                  <c:v>1.8039691076862562E-2</c:v>
                </c:pt>
                <c:pt idx="635">
                  <c:v>1.7992740312661869E-2</c:v>
                </c:pt>
                <c:pt idx="636">
                  <c:v>1.7945983153280377E-2</c:v>
                </c:pt>
                <c:pt idx="637">
                  <c:v>1.7899418509140248E-2</c:v>
                </c:pt>
                <c:pt idx="638">
                  <c:v>1.7853045298417428E-2</c:v>
                </c:pt>
                <c:pt idx="639">
                  <c:v>1.7806862446975064E-2</c:v>
                </c:pt>
                <c:pt idx="640">
                  <c:v>1.7760868888297438E-2</c:v>
                </c:pt>
                <c:pt idx="641">
                  <c:v>1.7715063563424897E-2</c:v>
                </c:pt>
                <c:pt idx="642">
                  <c:v>1.766944542088902E-2</c:v>
                </c:pt>
                <c:pt idx="643">
                  <c:v>1.7624013416648862E-2</c:v>
                </c:pt>
                <c:pt idx="644">
                  <c:v>1.7578766514027431E-2</c:v>
                </c:pt>
                <c:pt idx="645">
                  <c:v>1.7533703683649145E-2</c:v>
                </c:pt>
                <c:pt idx="646">
                  <c:v>1.7488823903377644E-2</c:v>
                </c:pt>
                <c:pt idx="647">
                  <c:v>1.7444126158254414E-2</c:v>
                </c:pt>
                <c:pt idx="648">
                  <c:v>1.7399609440437898E-2</c:v>
                </c:pt>
                <c:pt idx="649">
                  <c:v>1.7355272749143235E-2</c:v>
                </c:pt>
                <c:pt idx="650">
                  <c:v>1.7311115090582689E-2</c:v>
                </c:pt>
                <c:pt idx="651">
                  <c:v>1.7267135477906519E-2</c:v>
                </c:pt>
                <c:pt idx="652">
                  <c:v>1.7223332931144537E-2</c:v>
                </c:pt>
                <c:pt idx="653">
                  <c:v>1.7179706477148185E-2</c:v>
                </c:pt>
                <c:pt idx="654">
                  <c:v>1.7136255149533264E-2</c:v>
                </c:pt>
                <c:pt idx="655">
                  <c:v>1.7092977988623109E-2</c:v>
                </c:pt>
                <c:pt idx="656">
                  <c:v>1.7049874041392431E-2</c:v>
                </c:pt>
                <c:pt idx="657">
                  <c:v>1.7006942361411596E-2</c:v>
                </c:pt>
                <c:pt idx="658">
                  <c:v>1.6964182008791649E-2</c:v>
                </c:pt>
                <c:pt idx="659">
                  <c:v>1.6921592050129566E-2</c:v>
                </c:pt>
                <c:pt idx="660">
                  <c:v>1.6879171558454326E-2</c:v>
                </c:pt>
                <c:pt idx="661">
                  <c:v>1.683691961317341E-2</c:v>
                </c:pt>
                <c:pt idx="662">
                  <c:v>1.6794835300019757E-2</c:v>
                </c:pt>
                <c:pt idx="663">
                  <c:v>1.6752917710999293E-2</c:v>
                </c:pt>
                <c:pt idx="664">
                  <c:v>1.671116594433901E-2</c:v>
                </c:pt>
                <c:pt idx="665">
                  <c:v>1.6669579104435419E-2</c:v>
                </c:pt>
                <c:pt idx="666">
                  <c:v>1.6628156301803747E-2</c:v>
                </c:pt>
                <c:pt idx="667">
                  <c:v>1.6586896653027226E-2</c:v>
                </c:pt>
                <c:pt idx="668">
                  <c:v>1.6545799280707339E-2</c:v>
                </c:pt>
                <c:pt idx="669">
                  <c:v>1.6504863313414185E-2</c:v>
                </c:pt>
                <c:pt idx="670">
                  <c:v>1.6464087885637489E-2</c:v>
                </c:pt>
                <c:pt idx="671">
                  <c:v>1.6423472137738048E-2</c:v>
                </c:pt>
                <c:pt idx="672">
                  <c:v>1.6383015215899615E-2</c:v>
                </c:pt>
                <c:pt idx="673">
                  <c:v>1.6342716272081351E-2</c:v>
                </c:pt>
                <c:pt idx="674">
                  <c:v>1.6302574463970508E-2</c:v>
                </c:pt>
                <c:pt idx="675">
                  <c:v>1.6262588954935899E-2</c:v>
                </c:pt>
                <c:pt idx="676">
                  <c:v>1.6222758913981453E-2</c:v>
                </c:pt>
                <c:pt idx="677">
                  <c:v>1.6183083515700452E-2</c:v>
                </c:pt>
                <c:pt idx="678">
                  <c:v>1.6143561940230165E-2</c:v>
                </c:pt>
                <c:pt idx="679">
                  <c:v>1.6104193373206808E-2</c:v>
                </c:pt>
                <c:pt idx="680">
                  <c:v>1.6064977005721039E-2</c:v>
                </c:pt>
                <c:pt idx="681">
                  <c:v>1.6025912034273906E-2</c:v>
                </c:pt>
                <c:pt idx="682">
                  <c:v>1.5986997660732978E-2</c:v>
                </c:pt>
                <c:pt idx="683">
                  <c:v>1.5948233092289245E-2</c:v>
                </c:pt>
                <c:pt idx="684">
                  <c:v>1.5909617541414157E-2</c:v>
                </c:pt>
                <c:pt idx="685">
                  <c:v>1.5871150225817116E-2</c:v>
                </c:pt>
                <c:pt idx="686">
                  <c:v>1.5832830368403453E-2</c:v>
                </c:pt>
                <c:pt idx="687">
                  <c:v>1.5794657197232734E-2</c:v>
                </c:pt>
                <c:pt idx="688">
                  <c:v>1.5756629945477482E-2</c:v>
                </c:pt>
                <c:pt idx="689">
                  <c:v>1.5718747851382268E-2</c:v>
                </c:pt>
                <c:pt idx="690">
                  <c:v>1.5681010158223169E-2</c:v>
                </c:pt>
                <c:pt idx="691">
                  <c:v>1.56434161142677E-2</c:v>
                </c:pt>
                <c:pt idx="692">
                  <c:v>1.5605964972734967E-2</c:v>
                </c:pt>
                <c:pt idx="693">
                  <c:v>1.5568655991756311E-2</c:v>
                </c:pt>
                <c:pt idx="694">
                  <c:v>1.553148843433632E-2</c:v>
                </c:pt>
                <c:pt idx="695">
                  <c:v>1.5494461568314096E-2</c:v>
                </c:pt>
                <c:pt idx="696">
                  <c:v>1.5457574666325007E-2</c:v>
                </c:pt>
                <c:pt idx="697">
                  <c:v>1.5420827005762692E-2</c:v>
                </c:pt>
                <c:pt idx="698">
                  <c:v>1.5384217868741494E-2</c:v>
                </c:pt>
                <c:pt idx="699">
                  <c:v>1.5347746542059233E-2</c:v>
                </c:pt>
                <c:pt idx="700">
                  <c:v>1.5311412317160239E-2</c:v>
                </c:pt>
                <c:pt idx="701">
                  <c:v>1.5275214490098799E-2</c:v>
                </c:pt>
                <c:pt idx="702">
                  <c:v>1.5239152361503023E-2</c:v>
                </c:pt>
                <c:pt idx="703">
                  <c:v>1.5203225236538791E-2</c:v>
                </c:pt>
                <c:pt idx="704">
                  <c:v>1.5167432424874321E-2</c:v>
                </c:pt>
                <c:pt idx="705">
                  <c:v>1.5131773240644861E-2</c:v>
                </c:pt>
                <c:pt idx="706">
                  <c:v>1.5096247002417818E-2</c:v>
                </c:pt>
                <c:pt idx="707">
                  <c:v>1.50608530331581E-2</c:v>
                </c:pt>
                <c:pt idx="708">
                  <c:v>1.502559066019391E-2</c:v>
                </c:pt>
                <c:pt idx="709">
                  <c:v>1.4990459215182678E-2</c:v>
                </c:pt>
                <c:pt idx="710">
                  <c:v>1.4955458034077555E-2</c:v>
                </c:pt>
                <c:pt idx="711">
                  <c:v>1.4920586457093887E-2</c:v>
                </c:pt>
                <c:pt idx="712">
                  <c:v>1.4885843828676274E-2</c:v>
                </c:pt>
                <c:pt idx="713">
                  <c:v>1.4851229497465845E-2</c:v>
                </c:pt>
                <c:pt idx="714">
                  <c:v>1.4816742816267698E-2</c:v>
                </c:pt>
                <c:pt idx="715">
                  <c:v>1.4782383142018825E-2</c:v>
                </c:pt>
                <c:pt idx="716">
                  <c:v>1.4748149835756244E-2</c:v>
                </c:pt>
                <c:pt idx="717">
                  <c:v>1.4714042262585339E-2</c:v>
                </c:pt>
                <c:pt idx="718">
                  <c:v>1.4680059791648698E-2</c:v>
                </c:pt>
                <c:pt idx="719">
                  <c:v>1.4646201796094983E-2</c:v>
                </c:pt>
                <c:pt idx="720">
                  <c:v>1.4612467653048248E-2</c:v>
                </c:pt>
                <c:pt idx="721">
                  <c:v>1.4578856743577484E-2</c:v>
                </c:pt>
                <c:pt idx="722">
                  <c:v>1.4545368452666406E-2</c:v>
                </c:pt>
                <c:pt idx="723">
                  <c:v>1.4512002169183575E-2</c:v>
                </c:pt>
                <c:pt idx="724">
                  <c:v>1.4478757285852706E-2</c:v>
                </c:pt>
                <c:pt idx="725">
                  <c:v>1.4445633199223352E-2</c:v>
                </c:pt>
                <c:pt idx="726">
                  <c:v>1.4412629309641729E-2</c:v>
                </c:pt>
                <c:pt idx="727">
                  <c:v>1.4379745021221834E-2</c:v>
                </c:pt>
                <c:pt idx="728">
                  <c:v>1.4346979741816953E-2</c:v>
                </c:pt>
                <c:pt idx="729">
                  <c:v>1.4314332882991176E-2</c:v>
                </c:pt>
                <c:pt idx="730">
                  <c:v>1.4281803859991407E-2</c:v>
                </c:pt>
                <c:pt idx="731">
                  <c:v>1.424939209171943E-2</c:v>
                </c:pt>
                <c:pt idx="732">
                  <c:v>1.4217097000704396E-2</c:v>
                </c:pt>
                <c:pt idx="733">
                  <c:v>1.4184918013075391E-2</c:v>
                </c:pt>
                <c:pt idx="734">
                  <c:v>1.4152854558534361E-2</c:v>
                </c:pt>
                <c:pt idx="735">
                  <c:v>1.4120906070329205E-2</c:v>
                </c:pt>
                <c:pt idx="736">
                  <c:v>1.4089071985227169E-2</c:v>
                </c:pt>
                <c:pt idx="737">
                  <c:v>1.4057351743488419E-2</c:v>
                </c:pt>
                <c:pt idx="738">
                  <c:v>1.4025744788839877E-2</c:v>
                </c:pt>
                <c:pt idx="739">
                  <c:v>1.3994250568449268E-2</c:v>
                </c:pt>
                <c:pt idx="740">
                  <c:v>1.3962868532899395E-2</c:v>
                </c:pt>
                <c:pt idx="741">
                  <c:v>1.393159813616269E-2</c:v>
                </c:pt>
                <c:pt idx="742">
                  <c:v>1.3900438835575891E-2</c:v>
                </c:pt>
                <c:pt idx="743">
                  <c:v>1.3869390091815039E-2</c:v>
                </c:pt>
                <c:pt idx="744">
                  <c:v>1.3838451368870609E-2</c:v>
                </c:pt>
                <c:pt idx="745">
                  <c:v>1.3807622134022904E-2</c:v>
                </c:pt>
                <c:pt idx="746">
                  <c:v>1.3776901857817714E-2</c:v>
                </c:pt>
                <c:pt idx="747">
                  <c:v>1.3746290014042028E-2</c:v>
                </c:pt>
                <c:pt idx="748">
                  <c:v>1.3715786079700153E-2</c:v>
                </c:pt>
                <c:pt idx="749">
                  <c:v>1.3685389534989875E-2</c:v>
                </c:pt>
                <c:pt idx="750">
                  <c:v>1.3655099863278907E-2</c:v>
                </c:pt>
                <c:pt idx="751">
                  <c:v>1.3624916551081608E-2</c:v>
                </c:pt>
                <c:pt idx="752">
                  <c:v>1.3594839088035653E-2</c:v>
                </c:pt>
                <c:pt idx="753">
                  <c:v>1.3564866966879276E-2</c:v>
                </c:pt>
                <c:pt idx="754">
                  <c:v>1.3534999683428356E-2</c:v>
                </c:pt>
                <c:pt idx="755">
                  <c:v>1.3505236736553917E-2</c:v>
                </c:pt>
                <c:pt idx="756">
                  <c:v>1.3475577628159737E-2</c:v>
                </c:pt>
                <c:pt idx="757">
                  <c:v>1.3446021863160205E-2</c:v>
                </c:pt>
                <c:pt idx="758">
                  <c:v>1.3416568949458245E-2</c:v>
                </c:pt>
                <c:pt idx="759">
                  <c:v>1.3387218397923624E-2</c:v>
                </c:pt>
                <c:pt idx="760">
                  <c:v>1.3357969722371249E-2</c:v>
                </c:pt>
                <c:pt idx="761">
                  <c:v>1.3328822439539761E-2</c:v>
                </c:pt>
                <c:pt idx="762">
                  <c:v>1.3299776069070323E-2</c:v>
                </c:pt>
                <c:pt idx="763">
                  <c:v>1.3270830133485487E-2</c:v>
                </c:pt>
                <c:pt idx="764">
                  <c:v>1.3241984158168357E-2</c:v>
                </c:pt>
                <c:pt idx="765">
                  <c:v>1.3213237671341844E-2</c:v>
                </c:pt>
                <c:pt idx="766">
                  <c:v>1.3184590204048172E-2</c:v>
                </c:pt>
                <c:pt idx="767">
                  <c:v>1.3156041290128468E-2</c:v>
                </c:pt>
                <c:pt idx="768">
                  <c:v>1.3127590466202583E-2</c:v>
                </c:pt>
                <c:pt idx="769">
                  <c:v>1.3099237271649107E-2</c:v>
                </c:pt>
                <c:pt idx="770">
                  <c:v>1.307098124858549E-2</c:v>
                </c:pt>
                <c:pt idx="771">
                  <c:v>1.3042821941848361E-2</c:v>
                </c:pt>
                <c:pt idx="772">
                  <c:v>1.3014758898973992E-2</c:v>
                </c:pt>
                <c:pt idx="773">
                  <c:v>1.2986791670178983E-2</c:v>
                </c:pt>
                <c:pt idx="774">
                  <c:v>1.2958919808341081E-2</c:v>
                </c:pt>
                <c:pt idx="775">
                  <c:v>1.2931142868980092E-2</c:v>
                </c:pt>
                <c:pt idx="776">
                  <c:v>1.2903460410239032E-2</c:v>
                </c:pt>
                <c:pt idx="777">
                  <c:v>1.2875871992865448E-2</c:v>
                </c:pt>
                <c:pt idx="778">
                  <c:v>1.2848377180192862E-2</c:v>
                </c:pt>
                <c:pt idx="779">
                  <c:v>1.2820975538122274E-2</c:v>
                </c:pt>
                <c:pt idx="780">
                  <c:v>1.2793666635104053E-2</c:v>
                </c:pt>
                <c:pt idx="781">
                  <c:v>1.2766450042119754E-2</c:v>
                </c:pt>
                <c:pt idx="782">
                  <c:v>1.2739325332664192E-2</c:v>
                </c:pt>
                <c:pt idx="783">
                  <c:v>1.2712292082727634E-2</c:v>
                </c:pt>
                <c:pt idx="784">
                  <c:v>1.2685349870778179E-2</c:v>
                </c:pt>
                <c:pt idx="785">
                  <c:v>1.2658498277744243E-2</c:v>
                </c:pt>
                <c:pt idx="786">
                  <c:v>1.263173688699719E-2</c:v>
                </c:pt>
                <c:pt idx="787">
                  <c:v>1.2605065284334123E-2</c:v>
                </c:pt>
                <c:pt idx="788">
                  <c:v>1.2578483057960822E-2</c:v>
                </c:pt>
                <c:pt idx="789">
                  <c:v>1.25519897984748E-2</c:v>
                </c:pt>
                <c:pt idx="790">
                  <c:v>1.2525585098848485E-2</c:v>
                </c:pt>
                <c:pt idx="791">
                  <c:v>1.2499268554412666E-2</c:v>
                </c:pt>
                <c:pt idx="792">
                  <c:v>1.247303976283985E-2</c:v>
                </c:pt>
                <c:pt idx="793">
                  <c:v>1.2446898324127955E-2</c:v>
                </c:pt>
                <c:pt idx="794">
                  <c:v>1.2420843840584039E-2</c:v>
                </c:pt>
                <c:pt idx="795">
                  <c:v>1.2394875916808216E-2</c:v>
                </c:pt>
                <c:pt idx="796">
                  <c:v>1.2368994159677597E-2</c:v>
                </c:pt>
                <c:pt idx="797">
                  <c:v>1.2343198178330551E-2</c:v>
                </c:pt>
                <c:pt idx="798">
                  <c:v>1.2317487584150862E-2</c:v>
                </c:pt>
                <c:pt idx="799">
                  <c:v>1.2291861990752238E-2</c:v>
                </c:pt>
                <c:pt idx="800">
                  <c:v>1.2266321013962791E-2</c:v>
                </c:pt>
                <c:pt idx="801">
                  <c:v>1.224086427180966E-2</c:v>
                </c:pt>
                <c:pt idx="802">
                  <c:v>1.2215491384503901E-2</c:v>
                </c:pt>
                <c:pt idx="803">
                  <c:v>1.2190201974425271E-2</c:v>
                </c:pt>
                <c:pt idx="804">
                  <c:v>1.2164995666107353E-2</c:v>
                </c:pt>
                <c:pt idx="805">
                  <c:v>1.2139872086222626E-2</c:v>
                </c:pt>
                <c:pt idx="806">
                  <c:v>1.2114830863567799E-2</c:v>
                </c:pt>
                <c:pt idx="807">
                  <c:v>1.2089871629049171E-2</c:v>
                </c:pt>
                <c:pt idx="808">
                  <c:v>1.2064994015668127E-2</c:v>
                </c:pt>
                <c:pt idx="809">
                  <c:v>1.2040197658506776E-2</c:v>
                </c:pt>
                <c:pt idx="810">
                  <c:v>1.201548219471367E-2</c:v>
                </c:pt>
                <c:pt idx="811">
                  <c:v>1.1990847263489693E-2</c:v>
                </c:pt>
                <c:pt idx="812">
                  <c:v>1.1966292506074006E-2</c:v>
                </c:pt>
                <c:pt idx="813">
                  <c:v>1.19418175657301E-2</c:v>
                </c:pt>
                <c:pt idx="814">
                  <c:v>1.191742208773203E-2</c:v>
                </c:pt>
                <c:pt idx="815">
                  <c:v>1.1893105719350695E-2</c:v>
                </c:pt>
                <c:pt idx="816">
                  <c:v>1.1868868109840214E-2</c:v>
                </c:pt>
                <c:pt idx="817">
                  <c:v>1.1844708910424528E-2</c:v>
                </c:pt>
                <c:pt idx="818">
                  <c:v>1.1820627774283941E-2</c:v>
                </c:pt>
                <c:pt idx="819">
                  <c:v>1.1796624356541902E-2</c:v>
                </c:pt>
                <c:pt idx="820">
                  <c:v>1.1772698314251824E-2</c:v>
                </c:pt>
                <c:pt idx="821">
                  <c:v>1.1748849306384002E-2</c:v>
                </c:pt>
                <c:pt idx="822">
                  <c:v>1.1725076993812721E-2</c:v>
                </c:pt>
                <c:pt idx="823">
                  <c:v>1.170138103930334E-2</c:v>
                </c:pt>
                <c:pt idx="824">
                  <c:v>1.1677761107499589E-2</c:v>
                </c:pt>
                <c:pt idx="825">
                  <c:v>1.1654216864910888E-2</c:v>
                </c:pt>
                <c:pt idx="826">
                  <c:v>1.163074797989978E-2</c:v>
                </c:pt>
                <c:pt idx="827">
                  <c:v>1.1607354122669576E-2</c:v>
                </c:pt>
                <c:pt idx="828">
                  <c:v>1.1584034965251866E-2</c:v>
                </c:pt>
                <c:pt idx="829">
                  <c:v>1.1560790181494356E-2</c:v>
                </c:pt>
                <c:pt idx="830">
                  <c:v>1.1537619447048677E-2</c:v>
                </c:pt>
                <c:pt idx="831">
                  <c:v>1.1514522439358332E-2</c:v>
                </c:pt>
                <c:pt idx="832">
                  <c:v>1.1491498837646722E-2</c:v>
                </c:pt>
                <c:pt idx="833">
                  <c:v>1.1468548322905281E-2</c:v>
                </c:pt>
                <c:pt idx="834">
                  <c:v>1.1445670577881647E-2</c:v>
                </c:pt>
                <c:pt idx="835">
                  <c:v>1.1422865287068025E-2</c:v>
                </c:pt>
                <c:pt idx="836">
                  <c:v>1.1400132136689556E-2</c:v>
                </c:pt>
                <c:pt idx="837">
                  <c:v>1.137747081469284E-2</c:v>
                </c:pt>
                <c:pt idx="838">
                  <c:v>1.1354881010734468E-2</c:v>
                </c:pt>
                <c:pt idx="839">
                  <c:v>1.1332362416169741E-2</c:v>
                </c:pt>
                <c:pt idx="840">
                  <c:v>1.1309914724041378E-2</c:v>
                </c:pt>
                <c:pt idx="841">
                  <c:v>1.1287537629068405E-2</c:v>
                </c:pt>
                <c:pt idx="842">
                  <c:v>1.1265230827635057E-2</c:v>
                </c:pt>
                <c:pt idx="843">
                  <c:v>1.1242994017779787E-2</c:v>
                </c:pt>
                <c:pt idx="844">
                  <c:v>1.1220826899184416E-2</c:v>
                </c:pt>
                <c:pt idx="845">
                  <c:v>1.1198729173163264E-2</c:v>
                </c:pt>
                <c:pt idx="846">
                  <c:v>1.1176700542652428E-2</c:v>
                </c:pt>
                <c:pt idx="847">
                  <c:v>1.1154740712199157E-2</c:v>
                </c:pt>
                <c:pt idx="848">
                  <c:v>1.1132849387951284E-2</c:v>
                </c:pt>
                <c:pt idx="849">
                  <c:v>1.1111026277646723E-2</c:v>
                </c:pt>
                <c:pt idx="850">
                  <c:v>1.1089271090603033E-2</c:v>
                </c:pt>
                <c:pt idx="851">
                  <c:v>1.1067583537707201E-2</c:v>
                </c:pt>
                <c:pt idx="852">
                  <c:v>1.1045963331405255E-2</c:v>
                </c:pt>
                <c:pt idx="853">
                  <c:v>1.1024410185692196E-2</c:v>
                </c:pt>
                <c:pt idx="854">
                  <c:v>1.1002923816101885E-2</c:v>
                </c:pt>
                <c:pt idx="855">
                  <c:v>1.098150393969702E-2</c:v>
                </c:pt>
                <c:pt idx="856">
                  <c:v>1.0960150275059165E-2</c:v>
                </c:pt>
                <c:pt idx="857">
                  <c:v>1.093886254227899E-2</c:v>
                </c:pt>
                <c:pt idx="858">
                  <c:v>1.0917640462946371E-2</c:v>
                </c:pt>
                <c:pt idx="859">
                  <c:v>1.0896483760140742E-2</c:v>
                </c:pt>
                <c:pt idx="860">
                  <c:v>1.0875392158421454E-2</c:v>
                </c:pt>
                <c:pt idx="861">
                  <c:v>1.0854365383818178E-2</c:v>
                </c:pt>
                <c:pt idx="862">
                  <c:v>1.0833403163821462E-2</c:v>
                </c:pt>
                <c:pt idx="863">
                  <c:v>1.0812505227373245E-2</c:v>
                </c:pt>
                <c:pt idx="864">
                  <c:v>1.0791671304857593E-2</c:v>
                </c:pt>
                <c:pt idx="865">
                  <c:v>1.0770901128091336E-2</c:v>
                </c:pt>
                <c:pt idx="866">
                  <c:v>1.0750194430314889E-2</c:v>
                </c:pt>
                <c:pt idx="867">
                  <c:v>1.0729550946183181E-2</c:v>
                </c:pt>
                <c:pt idx="868">
                  <c:v>1.0708970411756436E-2</c:v>
                </c:pt>
                <c:pt idx="869">
                  <c:v>1.0688452564491342E-2</c:v>
                </c:pt>
                <c:pt idx="870">
                  <c:v>1.0667997143231954E-2</c:v>
                </c:pt>
                <c:pt idx="871">
                  <c:v>1.0647603888200968E-2</c:v>
                </c:pt>
                <c:pt idx="872">
                  <c:v>1.0627272540990806E-2</c:v>
                </c:pt>
                <c:pt idx="873">
                  <c:v>1.0607002844554993E-2</c:v>
                </c:pt>
                <c:pt idx="874">
                  <c:v>1.0586794543199335E-2</c:v>
                </c:pt>
                <c:pt idx="875">
                  <c:v>1.056664738257349E-2</c:v>
                </c:pt>
                <c:pt idx="876">
                  <c:v>1.0546561109662275E-2</c:v>
                </c:pt>
                <c:pt idx="877">
                  <c:v>1.0526535472777286E-2</c:v>
                </c:pt>
                <c:pt idx="878">
                  <c:v>1.0506570221548451E-2</c:v>
                </c:pt>
                <c:pt idx="879">
                  <c:v>1.0486665106915658E-2</c:v>
                </c:pt>
                <c:pt idx="880">
                  <c:v>1.0466819881120491E-2</c:v>
                </c:pt>
                <c:pt idx="881">
                  <c:v>1.0447034297697992E-2</c:v>
                </c:pt>
                <c:pt idx="882">
                  <c:v>1.0427308111468516E-2</c:v>
                </c:pt>
                <c:pt idx="883">
                  <c:v>1.0407641078529574E-2</c:v>
                </c:pt>
                <c:pt idx="884">
                  <c:v>1.0388032956247819E-2</c:v>
                </c:pt>
                <c:pt idx="885">
                  <c:v>1.0368483503251091E-2</c:v>
                </c:pt>
                <c:pt idx="886">
                  <c:v>1.0348992479420409E-2</c:v>
                </c:pt>
                <c:pt idx="887">
                  <c:v>1.0329559645882155E-2</c:v>
                </c:pt>
                <c:pt idx="888">
                  <c:v>1.0310184765000251E-2</c:v>
                </c:pt>
                <c:pt idx="889">
                  <c:v>1.0290867600368426E-2</c:v>
                </c:pt>
                <c:pt idx="890">
                  <c:v>1.0271607916802478E-2</c:v>
                </c:pt>
                <c:pt idx="891">
                  <c:v>1.025240548033262E-2</c:v>
                </c:pt>
                <c:pt idx="892">
                  <c:v>1.0233260058195982E-2</c:v>
                </c:pt>
                <c:pt idx="893">
                  <c:v>1.0214171418828962E-2</c:v>
                </c:pt>
                <c:pt idx="894">
                  <c:v>1.0195139331859877E-2</c:v>
                </c:pt>
                <c:pt idx="895">
                  <c:v>1.0176163568101422E-2</c:v>
                </c:pt>
                <c:pt idx="896">
                  <c:v>1.0157243899543374E-2</c:v>
                </c:pt>
                <c:pt idx="897">
                  <c:v>1.0138380099345302E-2</c:v>
                </c:pt>
                <c:pt idx="898">
                  <c:v>1.0119571941829213E-2</c:v>
                </c:pt>
                <c:pt idx="899">
                  <c:v>1.0100819202472463E-2</c:v>
                </c:pt>
                <c:pt idx="900">
                  <c:v>1.0082121657900482E-2</c:v>
                </c:pt>
                <c:pt idx="901">
                  <c:v>1.006347908587979E-2</c:v>
                </c:pt>
                <c:pt idx="902">
                  <c:v>1.0044891265310855E-2</c:v>
                </c:pt>
                <c:pt idx="903">
                  <c:v>1.0026357976221152E-2</c:v>
                </c:pt>
                <c:pt idx="904">
                  <c:v>1.0007878999758166E-2</c:v>
                </c:pt>
                <c:pt idx="905">
                  <c:v>9.9894541181825385E-3</c:v>
                </c:pt>
                <c:pt idx="906">
                  <c:v>9.9710831148611921E-3</c:v>
                </c:pt>
                <c:pt idx="907">
                  <c:v>9.9527657742605261E-3</c:v>
                </c:pt>
                <c:pt idx="908">
                  <c:v>9.9345018819397002E-3</c:v>
                </c:pt>
                <c:pt idx="909">
                  <c:v>9.9162912245438998E-3</c:v>
                </c:pt>
                <c:pt idx="910">
                  <c:v>9.8981335897976776E-3</c:v>
                </c:pt>
                <c:pt idx="911">
                  <c:v>9.8800287664983742E-3</c:v>
                </c:pt>
                <c:pt idx="912">
                  <c:v>9.861976544509576E-3</c:v>
                </c:pt>
                <c:pt idx="913">
                  <c:v>9.8439767147545047E-3</c:v>
                </c:pt>
                <c:pt idx="914">
                  <c:v>9.8260290692097144E-3</c:v>
                </c:pt>
                <c:pt idx="915">
                  <c:v>9.808133400898502E-3</c:v>
                </c:pt>
                <c:pt idx="916">
                  <c:v>9.7902895038846638E-3</c:v>
                </c:pt>
                <c:pt idx="917">
                  <c:v>9.7724971732661009E-3</c:v>
                </c:pt>
                <c:pt idx="918">
                  <c:v>9.7547562051685643E-3</c:v>
                </c:pt>
                <c:pt idx="919">
                  <c:v>9.737066396739387E-3</c:v>
                </c:pt>
                <c:pt idx="920">
                  <c:v>9.7194275461413432E-3</c:v>
                </c:pt>
                <c:pt idx="921">
                  <c:v>9.7018394525464451E-3</c:v>
                </c:pt>
                <c:pt idx="922">
                  <c:v>9.6843019161298709E-3</c:v>
                </c:pt>
                <c:pt idx="923">
                  <c:v>9.6668147380638888E-3</c:v>
                </c:pt>
                <c:pt idx="924">
                  <c:v>9.6493777205118522E-3</c:v>
                </c:pt>
                <c:pt idx="925">
                  <c:v>9.6319906666221932E-3</c:v>
                </c:pt>
                <c:pt idx="926">
                  <c:v>9.6146533805225292E-3</c:v>
                </c:pt>
                <c:pt idx="927">
                  <c:v>9.5973656673137356E-3</c:v>
                </c:pt>
                <c:pt idx="928">
                  <c:v>9.5801273330641049E-3</c:v>
                </c:pt>
                <c:pt idx="929">
                  <c:v>9.56293818480357E-3</c:v>
                </c:pt>
                <c:pt idx="930">
                  <c:v>9.545798030517862E-3</c:v>
                </c:pt>
                <c:pt idx="931">
                  <c:v>9.5287066791428596E-3</c:v>
                </c:pt>
                <c:pt idx="932">
                  <c:v>9.5116639405588635E-3</c:v>
                </c:pt>
                <c:pt idx="933">
                  <c:v>9.4946696255849596E-3</c:v>
                </c:pt>
                <c:pt idx="934">
                  <c:v>9.4777235459733676E-3</c:v>
                </c:pt>
                <c:pt idx="935">
                  <c:v>9.4608255144039647E-3</c:v>
                </c:pt>
                <c:pt idx="936">
                  <c:v>9.4439753444786473E-3</c:v>
                </c:pt>
                <c:pt idx="937">
                  <c:v>9.427172850715931E-3</c:v>
                </c:pt>
                <c:pt idx="938">
                  <c:v>9.4104178485454517E-3</c:v>
                </c:pt>
                <c:pt idx="939">
                  <c:v>9.3937101543025321E-3</c:v>
                </c:pt>
                <c:pt idx="940">
                  <c:v>9.3770495852228582E-3</c:v>
                </c:pt>
                <c:pt idx="941">
                  <c:v>9.3604359594370978E-3</c:v>
                </c:pt>
                <c:pt idx="942">
                  <c:v>9.3438690959656082E-3</c:v>
                </c:pt>
                <c:pt idx="943">
                  <c:v>9.3273488147131885E-3</c:v>
                </c:pt>
                <c:pt idx="944">
                  <c:v>9.3108749364638338E-3</c:v>
                </c:pt>
                <c:pt idx="945">
                  <c:v>9.294447282875519E-3</c:v>
                </c:pt>
                <c:pt idx="946">
                  <c:v>9.2780656764751054E-3</c:v>
                </c:pt>
                <c:pt idx="947">
                  <c:v>9.2617299406531402E-3</c:v>
                </c:pt>
                <c:pt idx="948">
                  <c:v>9.2454398996588399E-3</c:v>
                </c:pt>
                <c:pt idx="949">
                  <c:v>9.229195378594993E-3</c:v>
                </c:pt>
                <c:pt idx="950">
                  <c:v>9.2129962034129664E-3</c:v>
                </c:pt>
                <c:pt idx="951">
                  <c:v>9.1968422009077178E-3</c:v>
                </c:pt>
                <c:pt idx="952">
                  <c:v>9.1807331987128673E-3</c:v>
                </c:pt>
                <c:pt idx="953">
                  <c:v>9.1646690252957207E-3</c:v>
                </c:pt>
                <c:pt idx="954">
                  <c:v>9.1486495099524796E-3</c:v>
                </c:pt>
                <c:pt idx="955">
                  <c:v>9.1326744828033411E-3</c:v>
                </c:pt>
                <c:pt idx="956">
                  <c:v>9.1167437747876733E-3</c:v>
                </c:pt>
                <c:pt idx="957">
                  <c:v>9.1008572176592747E-3</c:v>
                </c:pt>
                <c:pt idx="958">
                  <c:v>9.0850146439816343E-3</c:v>
                </c:pt>
                <c:pt idx="959">
                  <c:v>9.0692158871231356E-3</c:v>
                </c:pt>
                <c:pt idx="960">
                  <c:v>9.0534607812524735E-3</c:v>
                </c:pt>
                <c:pt idx="961">
                  <c:v>9.0377491613339456E-3</c:v>
                </c:pt>
                <c:pt idx="962">
                  <c:v>9.0220808631228614E-3</c:v>
                </c:pt>
                <c:pt idx="963">
                  <c:v>9.0064557231609357E-3</c:v>
                </c:pt>
                <c:pt idx="964">
                  <c:v>8.9908735787717214E-3</c:v>
                </c:pt>
                <c:pt idx="965">
                  <c:v>8.9753342680561447E-3</c:v>
                </c:pt>
                <c:pt idx="966">
                  <c:v>8.9598376298879196E-3</c:v>
                </c:pt>
                <c:pt idx="967">
                  <c:v>8.9443835039091611E-3</c:v>
                </c:pt>
                <c:pt idx="968">
                  <c:v>8.928971730525927E-3</c:v>
                </c:pt>
                <c:pt idx="969">
                  <c:v>8.913602150903803E-3</c:v>
                </c:pt>
                <c:pt idx="970">
                  <c:v>8.8982746069635119E-3</c:v>
                </c:pt>
                <c:pt idx="971">
                  <c:v>8.8829889413766308E-3</c:v>
                </c:pt>
                <c:pt idx="972">
                  <c:v>8.8677449975612145E-3</c:v>
                </c:pt>
                <c:pt idx="973">
                  <c:v>8.8525426196775486E-3</c:v>
                </c:pt>
                <c:pt idx="974">
                  <c:v>8.8373816526238491E-3</c:v>
                </c:pt>
                <c:pt idx="975">
                  <c:v>8.8222619420321013E-3</c:v>
                </c:pt>
                <c:pt idx="976">
                  <c:v>8.8071833342637813E-3</c:v>
                </c:pt>
                <c:pt idx="977">
                  <c:v>8.7921456764057503E-3</c:v>
                </c:pt>
                <c:pt idx="978">
                  <c:v>8.7771488162660602E-3</c:v>
                </c:pt>
                <c:pt idx="979">
                  <c:v>8.7621926023698764E-3</c:v>
                </c:pt>
                <c:pt idx="980">
                  <c:v>8.7472768839553672E-3</c:v>
                </c:pt>
                <c:pt idx="981">
                  <c:v>8.7324015109696423E-3</c:v>
                </c:pt>
                <c:pt idx="982">
                  <c:v>8.7175663340647355E-3</c:v>
                </c:pt>
                <c:pt idx="983">
                  <c:v>8.702771204593571E-3</c:v>
                </c:pt>
                <c:pt idx="984">
                  <c:v>8.6880159746060125E-3</c:v>
                </c:pt>
                <c:pt idx="985">
                  <c:v>8.6733004968448865E-3</c:v>
                </c:pt>
                <c:pt idx="986">
                  <c:v>8.6586246247420603E-3</c:v>
                </c:pt>
                <c:pt idx="987">
                  <c:v>8.643988212414553E-3</c:v>
                </c:pt>
                <c:pt idx="988">
                  <c:v>8.6293911146606284E-3</c:v>
                </c:pt>
                <c:pt idx="989">
                  <c:v>8.6148331869559894E-3</c:v>
                </c:pt>
                <c:pt idx="990">
                  <c:v>8.6003142854499202E-3</c:v>
                </c:pt>
                <c:pt idx="991">
                  <c:v>8.5858342669614934E-3</c:v>
                </c:pt>
                <c:pt idx="992">
                  <c:v>8.5713929889757942E-3</c:v>
                </c:pt>
                <c:pt idx="993">
                  <c:v>8.5569903096401993E-3</c:v>
                </c:pt>
                <c:pt idx="994">
                  <c:v>8.5426260877605967E-3</c:v>
                </c:pt>
                <c:pt idx="995">
                  <c:v>8.5283001827977586E-3</c:v>
                </c:pt>
                <c:pt idx="996">
                  <c:v>8.514012454863577E-3</c:v>
                </c:pt>
                <c:pt idx="997">
                  <c:v>8.4997627647175091E-3</c:v>
                </c:pt>
                <c:pt idx="998">
                  <c:v>8.4855509737628669E-3</c:v>
                </c:pt>
                <c:pt idx="999">
                  <c:v>8.4713769440432751E-3</c:v>
                </c:pt>
                <c:pt idx="1000">
                  <c:v>8.4572405382390553E-3</c:v>
                </c:pt>
                <c:pt idx="1001">
                  <c:v>8.4431416196636671E-3</c:v>
                </c:pt>
                <c:pt idx="1002">
                  <c:v>8.429080052260212E-3</c:v>
                </c:pt>
                <c:pt idx="1003">
                  <c:v>8.4150557005978829E-3</c:v>
                </c:pt>
                <c:pt idx="1004">
                  <c:v>8.401068429868503E-3</c:v>
                </c:pt>
                <c:pt idx="1005">
                  <c:v>8.3871181058830478E-3</c:v>
                </c:pt>
                <c:pt idx="1006">
                  <c:v>8.3732045950682035E-3</c:v>
                </c:pt>
                <c:pt idx="1007">
                  <c:v>8.3593277644629684E-3</c:v>
                </c:pt>
                <c:pt idx="1008">
                  <c:v>8.3454874817152271E-3</c:v>
                </c:pt>
                <c:pt idx="1009">
                  <c:v>8.3316836150783835E-3</c:v>
                </c:pt>
                <c:pt idx="1010">
                  <c:v>8.3179160334080418E-3</c:v>
                </c:pt>
                <c:pt idx="1011">
                  <c:v>8.3041846061586121E-3</c:v>
                </c:pt>
                <c:pt idx="1012">
                  <c:v>8.290489203380054E-3</c:v>
                </c:pt>
                <c:pt idx="1013">
                  <c:v>8.2768296957145809E-3</c:v>
                </c:pt>
                <c:pt idx="1014">
                  <c:v>8.2632059543933552E-3</c:v>
                </c:pt>
                <c:pt idx="1015">
                  <c:v>8.2496178512333034E-3</c:v>
                </c:pt>
                <c:pt idx="1016">
                  <c:v>8.2360652586338321E-3</c:v>
                </c:pt>
                <c:pt idx="1017">
                  <c:v>8.2225480495736677E-3</c:v>
                </c:pt>
                <c:pt idx="1018">
                  <c:v>8.2090660976076469E-3</c:v>
                </c:pt>
                <c:pt idx="1019">
                  <c:v>8.1956192768635784E-3</c:v>
                </c:pt>
                <c:pt idx="1020">
                  <c:v>8.1822074620390602E-3</c:v>
                </c:pt>
                <c:pt idx="1021">
                  <c:v>8.1688305283984155E-3</c:v>
                </c:pt>
                <c:pt idx="1022">
                  <c:v>8.1554883517695308E-3</c:v>
                </c:pt>
                <c:pt idx="1023">
                  <c:v>8.1421808085408252E-3</c:v>
                </c:pt>
                <c:pt idx="1024">
                  <c:v>8.1289077756581413E-3</c:v>
                </c:pt>
                <c:pt idx="1025">
                  <c:v>8.1156691306217485E-3</c:v>
                </c:pt>
                <c:pt idx="1026">
                  <c:v>8.1024647514833011E-3</c:v>
                </c:pt>
                <c:pt idx="1027">
                  <c:v>8.0892945168427981E-3</c:v>
                </c:pt>
                <c:pt idx="1028">
                  <c:v>8.0761583058456543E-3</c:v>
                </c:pt>
                <c:pt idx="1029">
                  <c:v>8.0630559981797242E-3</c:v>
                </c:pt>
                <c:pt idx="1030">
                  <c:v>8.0499874740723263E-3</c:v>
                </c:pt>
                <c:pt idx="1031">
                  <c:v>8.0369526142873293E-3</c:v>
                </c:pt>
                <c:pt idx="1032">
                  <c:v>8.0239513001222479E-3</c:v>
                </c:pt>
                <c:pt idx="1033">
                  <c:v>8.01098341340537E-3</c:v>
                </c:pt>
                <c:pt idx="1034">
                  <c:v>7.9980488364928288E-3</c:v>
                </c:pt>
                <c:pt idx="1035">
                  <c:v>7.9851474522658217E-3</c:v>
                </c:pt>
                <c:pt idx="1036">
                  <c:v>7.9722791441277051E-3</c:v>
                </c:pt>
                <c:pt idx="1037">
                  <c:v>7.9594437960012303E-3</c:v>
                </c:pt>
                <c:pt idx="1038">
                  <c:v>7.9466412923257009E-3</c:v>
                </c:pt>
                <c:pt idx="1039">
                  <c:v>7.9338715180542335E-3</c:v>
                </c:pt>
                <c:pt idx="1040">
                  <c:v>7.921134358650956E-3</c:v>
                </c:pt>
              </c:numCache>
            </c:numRef>
          </c:yVal>
          <c:smooth val="1"/>
          <c:extLst>
            <c:ext xmlns:c16="http://schemas.microsoft.com/office/drawing/2014/chart" uri="{C3380CC4-5D6E-409C-BE32-E72D297353CC}">
              <c16:uniqueId val="{00000002-1A37-094B-9E1D-F9491A91AD2C}"/>
            </c:ext>
          </c:extLst>
        </c:ser>
        <c:ser>
          <c:idx val="3"/>
          <c:order val="3"/>
          <c:tx>
            <c:strRef>
              <c:f>'Model Comparator'!$T$4</c:f>
              <c:strCache>
                <c:ptCount val="1"/>
                <c:pt idx="0">
                  <c:v>Time on treatment (Cx)</c:v>
                </c:pt>
              </c:strCache>
            </c:strRef>
          </c:tx>
          <c:spPr>
            <a:ln w="19050" cap="rnd">
              <a:solidFill>
                <a:schemeClr val="accent2"/>
              </a:solidFill>
              <a:prstDash val="sysDash"/>
              <a:round/>
            </a:ln>
            <a:effectLst/>
          </c:spPr>
          <c:marker>
            <c:symbol val="none"/>
          </c:marker>
          <c:xVal>
            <c:numRef>
              <c:f>'Model Comparator'!$D$7:$D$1047</c:f>
              <c:numCache>
                <c:formatCode>0.000</c:formatCode>
                <c:ptCount val="1041"/>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pt idx="51">
                  <c:v>51</c:v>
                </c:pt>
                <c:pt idx="52">
                  <c:v>52</c:v>
                </c:pt>
                <c:pt idx="53">
                  <c:v>53</c:v>
                </c:pt>
                <c:pt idx="54">
                  <c:v>54</c:v>
                </c:pt>
                <c:pt idx="55">
                  <c:v>55</c:v>
                </c:pt>
                <c:pt idx="56">
                  <c:v>56</c:v>
                </c:pt>
                <c:pt idx="57">
                  <c:v>57</c:v>
                </c:pt>
                <c:pt idx="58">
                  <c:v>58</c:v>
                </c:pt>
                <c:pt idx="59">
                  <c:v>59</c:v>
                </c:pt>
                <c:pt idx="60">
                  <c:v>60</c:v>
                </c:pt>
                <c:pt idx="61">
                  <c:v>61</c:v>
                </c:pt>
                <c:pt idx="62">
                  <c:v>62</c:v>
                </c:pt>
                <c:pt idx="63">
                  <c:v>63</c:v>
                </c:pt>
                <c:pt idx="64">
                  <c:v>64</c:v>
                </c:pt>
                <c:pt idx="65">
                  <c:v>65</c:v>
                </c:pt>
                <c:pt idx="66">
                  <c:v>66</c:v>
                </c:pt>
                <c:pt idx="67">
                  <c:v>67</c:v>
                </c:pt>
                <c:pt idx="68">
                  <c:v>68</c:v>
                </c:pt>
                <c:pt idx="69">
                  <c:v>69</c:v>
                </c:pt>
                <c:pt idx="70">
                  <c:v>70</c:v>
                </c:pt>
                <c:pt idx="71">
                  <c:v>71</c:v>
                </c:pt>
                <c:pt idx="72">
                  <c:v>72</c:v>
                </c:pt>
                <c:pt idx="73">
                  <c:v>73</c:v>
                </c:pt>
                <c:pt idx="74">
                  <c:v>74</c:v>
                </c:pt>
                <c:pt idx="75">
                  <c:v>75</c:v>
                </c:pt>
                <c:pt idx="76">
                  <c:v>76</c:v>
                </c:pt>
                <c:pt idx="77">
                  <c:v>77</c:v>
                </c:pt>
                <c:pt idx="78">
                  <c:v>78</c:v>
                </c:pt>
                <c:pt idx="79">
                  <c:v>79</c:v>
                </c:pt>
                <c:pt idx="80">
                  <c:v>80</c:v>
                </c:pt>
                <c:pt idx="81">
                  <c:v>81</c:v>
                </c:pt>
                <c:pt idx="82">
                  <c:v>82</c:v>
                </c:pt>
                <c:pt idx="83">
                  <c:v>83</c:v>
                </c:pt>
                <c:pt idx="84">
                  <c:v>84</c:v>
                </c:pt>
                <c:pt idx="85">
                  <c:v>85</c:v>
                </c:pt>
                <c:pt idx="86">
                  <c:v>86</c:v>
                </c:pt>
                <c:pt idx="87">
                  <c:v>87</c:v>
                </c:pt>
                <c:pt idx="88">
                  <c:v>88</c:v>
                </c:pt>
                <c:pt idx="89">
                  <c:v>89</c:v>
                </c:pt>
                <c:pt idx="90">
                  <c:v>90</c:v>
                </c:pt>
                <c:pt idx="91">
                  <c:v>91</c:v>
                </c:pt>
                <c:pt idx="92">
                  <c:v>92</c:v>
                </c:pt>
                <c:pt idx="93">
                  <c:v>93</c:v>
                </c:pt>
                <c:pt idx="94">
                  <c:v>94</c:v>
                </c:pt>
                <c:pt idx="95">
                  <c:v>95</c:v>
                </c:pt>
                <c:pt idx="96">
                  <c:v>96</c:v>
                </c:pt>
                <c:pt idx="97">
                  <c:v>97</c:v>
                </c:pt>
                <c:pt idx="98">
                  <c:v>98</c:v>
                </c:pt>
                <c:pt idx="99">
                  <c:v>99</c:v>
                </c:pt>
                <c:pt idx="100">
                  <c:v>100</c:v>
                </c:pt>
                <c:pt idx="101">
                  <c:v>101</c:v>
                </c:pt>
                <c:pt idx="102">
                  <c:v>102</c:v>
                </c:pt>
                <c:pt idx="103">
                  <c:v>103</c:v>
                </c:pt>
                <c:pt idx="104">
                  <c:v>104</c:v>
                </c:pt>
                <c:pt idx="105">
                  <c:v>105</c:v>
                </c:pt>
                <c:pt idx="106">
                  <c:v>106</c:v>
                </c:pt>
                <c:pt idx="107">
                  <c:v>107</c:v>
                </c:pt>
                <c:pt idx="108">
                  <c:v>108</c:v>
                </c:pt>
                <c:pt idx="109">
                  <c:v>109</c:v>
                </c:pt>
                <c:pt idx="110">
                  <c:v>110</c:v>
                </c:pt>
                <c:pt idx="111">
                  <c:v>111</c:v>
                </c:pt>
                <c:pt idx="112">
                  <c:v>112</c:v>
                </c:pt>
                <c:pt idx="113">
                  <c:v>113</c:v>
                </c:pt>
                <c:pt idx="114">
                  <c:v>114</c:v>
                </c:pt>
                <c:pt idx="115">
                  <c:v>115</c:v>
                </c:pt>
                <c:pt idx="116">
                  <c:v>116</c:v>
                </c:pt>
                <c:pt idx="117">
                  <c:v>117</c:v>
                </c:pt>
                <c:pt idx="118">
                  <c:v>118</c:v>
                </c:pt>
                <c:pt idx="119">
                  <c:v>119</c:v>
                </c:pt>
                <c:pt idx="120">
                  <c:v>120</c:v>
                </c:pt>
                <c:pt idx="121">
                  <c:v>121</c:v>
                </c:pt>
                <c:pt idx="122">
                  <c:v>122</c:v>
                </c:pt>
                <c:pt idx="123">
                  <c:v>123</c:v>
                </c:pt>
                <c:pt idx="124">
                  <c:v>124</c:v>
                </c:pt>
                <c:pt idx="125">
                  <c:v>125</c:v>
                </c:pt>
                <c:pt idx="126">
                  <c:v>126</c:v>
                </c:pt>
                <c:pt idx="127">
                  <c:v>127</c:v>
                </c:pt>
                <c:pt idx="128">
                  <c:v>128</c:v>
                </c:pt>
                <c:pt idx="129">
                  <c:v>129</c:v>
                </c:pt>
                <c:pt idx="130">
                  <c:v>130</c:v>
                </c:pt>
                <c:pt idx="131">
                  <c:v>131</c:v>
                </c:pt>
                <c:pt idx="132">
                  <c:v>132</c:v>
                </c:pt>
                <c:pt idx="133">
                  <c:v>133</c:v>
                </c:pt>
                <c:pt idx="134">
                  <c:v>134</c:v>
                </c:pt>
                <c:pt idx="135">
                  <c:v>135</c:v>
                </c:pt>
                <c:pt idx="136">
                  <c:v>136</c:v>
                </c:pt>
                <c:pt idx="137">
                  <c:v>137</c:v>
                </c:pt>
                <c:pt idx="138">
                  <c:v>138</c:v>
                </c:pt>
                <c:pt idx="139">
                  <c:v>139</c:v>
                </c:pt>
                <c:pt idx="140">
                  <c:v>140</c:v>
                </c:pt>
                <c:pt idx="141">
                  <c:v>141</c:v>
                </c:pt>
                <c:pt idx="142">
                  <c:v>142</c:v>
                </c:pt>
                <c:pt idx="143">
                  <c:v>143</c:v>
                </c:pt>
                <c:pt idx="144">
                  <c:v>144</c:v>
                </c:pt>
                <c:pt idx="145">
                  <c:v>145</c:v>
                </c:pt>
                <c:pt idx="146">
                  <c:v>146</c:v>
                </c:pt>
                <c:pt idx="147">
                  <c:v>147</c:v>
                </c:pt>
                <c:pt idx="148">
                  <c:v>148</c:v>
                </c:pt>
                <c:pt idx="149">
                  <c:v>149</c:v>
                </c:pt>
                <c:pt idx="150">
                  <c:v>150</c:v>
                </c:pt>
                <c:pt idx="151">
                  <c:v>151</c:v>
                </c:pt>
                <c:pt idx="152">
                  <c:v>152</c:v>
                </c:pt>
                <c:pt idx="153">
                  <c:v>153</c:v>
                </c:pt>
                <c:pt idx="154">
                  <c:v>154</c:v>
                </c:pt>
                <c:pt idx="155">
                  <c:v>155</c:v>
                </c:pt>
                <c:pt idx="156">
                  <c:v>156</c:v>
                </c:pt>
                <c:pt idx="157">
                  <c:v>157</c:v>
                </c:pt>
                <c:pt idx="158">
                  <c:v>158</c:v>
                </c:pt>
                <c:pt idx="159">
                  <c:v>159</c:v>
                </c:pt>
                <c:pt idx="160">
                  <c:v>160</c:v>
                </c:pt>
                <c:pt idx="161">
                  <c:v>161</c:v>
                </c:pt>
                <c:pt idx="162">
                  <c:v>162</c:v>
                </c:pt>
                <c:pt idx="163">
                  <c:v>163</c:v>
                </c:pt>
                <c:pt idx="164">
                  <c:v>164</c:v>
                </c:pt>
                <c:pt idx="165">
                  <c:v>165</c:v>
                </c:pt>
                <c:pt idx="166">
                  <c:v>166</c:v>
                </c:pt>
                <c:pt idx="167">
                  <c:v>167</c:v>
                </c:pt>
                <c:pt idx="168">
                  <c:v>168</c:v>
                </c:pt>
                <c:pt idx="169">
                  <c:v>169</c:v>
                </c:pt>
                <c:pt idx="170">
                  <c:v>170</c:v>
                </c:pt>
                <c:pt idx="171">
                  <c:v>171</c:v>
                </c:pt>
                <c:pt idx="172">
                  <c:v>172</c:v>
                </c:pt>
                <c:pt idx="173">
                  <c:v>173</c:v>
                </c:pt>
                <c:pt idx="174">
                  <c:v>174</c:v>
                </c:pt>
                <c:pt idx="175">
                  <c:v>175</c:v>
                </c:pt>
                <c:pt idx="176">
                  <c:v>176</c:v>
                </c:pt>
                <c:pt idx="177">
                  <c:v>177</c:v>
                </c:pt>
                <c:pt idx="178">
                  <c:v>178</c:v>
                </c:pt>
                <c:pt idx="179">
                  <c:v>179</c:v>
                </c:pt>
                <c:pt idx="180">
                  <c:v>180</c:v>
                </c:pt>
                <c:pt idx="181">
                  <c:v>181</c:v>
                </c:pt>
                <c:pt idx="182">
                  <c:v>182</c:v>
                </c:pt>
                <c:pt idx="183">
                  <c:v>183</c:v>
                </c:pt>
                <c:pt idx="184">
                  <c:v>184</c:v>
                </c:pt>
                <c:pt idx="185">
                  <c:v>185</c:v>
                </c:pt>
                <c:pt idx="186">
                  <c:v>186</c:v>
                </c:pt>
                <c:pt idx="187">
                  <c:v>187</c:v>
                </c:pt>
                <c:pt idx="188">
                  <c:v>188</c:v>
                </c:pt>
                <c:pt idx="189">
                  <c:v>189</c:v>
                </c:pt>
                <c:pt idx="190">
                  <c:v>190</c:v>
                </c:pt>
                <c:pt idx="191">
                  <c:v>191</c:v>
                </c:pt>
                <c:pt idx="192">
                  <c:v>192</c:v>
                </c:pt>
                <c:pt idx="193">
                  <c:v>193</c:v>
                </c:pt>
                <c:pt idx="194">
                  <c:v>194</c:v>
                </c:pt>
                <c:pt idx="195">
                  <c:v>195</c:v>
                </c:pt>
                <c:pt idx="196">
                  <c:v>196</c:v>
                </c:pt>
                <c:pt idx="197">
                  <c:v>197</c:v>
                </c:pt>
                <c:pt idx="198">
                  <c:v>198</c:v>
                </c:pt>
                <c:pt idx="199">
                  <c:v>199</c:v>
                </c:pt>
                <c:pt idx="200">
                  <c:v>200</c:v>
                </c:pt>
                <c:pt idx="201">
                  <c:v>201</c:v>
                </c:pt>
                <c:pt idx="202">
                  <c:v>202</c:v>
                </c:pt>
                <c:pt idx="203">
                  <c:v>203</c:v>
                </c:pt>
                <c:pt idx="204">
                  <c:v>204</c:v>
                </c:pt>
                <c:pt idx="205">
                  <c:v>205</c:v>
                </c:pt>
                <c:pt idx="206">
                  <c:v>206</c:v>
                </c:pt>
                <c:pt idx="207">
                  <c:v>207</c:v>
                </c:pt>
                <c:pt idx="208">
                  <c:v>208</c:v>
                </c:pt>
                <c:pt idx="209">
                  <c:v>209</c:v>
                </c:pt>
                <c:pt idx="210">
                  <c:v>210</c:v>
                </c:pt>
                <c:pt idx="211">
                  <c:v>211</c:v>
                </c:pt>
                <c:pt idx="212">
                  <c:v>212</c:v>
                </c:pt>
                <c:pt idx="213">
                  <c:v>213</c:v>
                </c:pt>
                <c:pt idx="214">
                  <c:v>214</c:v>
                </c:pt>
                <c:pt idx="215">
                  <c:v>215</c:v>
                </c:pt>
                <c:pt idx="216">
                  <c:v>216</c:v>
                </c:pt>
                <c:pt idx="217">
                  <c:v>217</c:v>
                </c:pt>
                <c:pt idx="218">
                  <c:v>218</c:v>
                </c:pt>
                <c:pt idx="219">
                  <c:v>219</c:v>
                </c:pt>
                <c:pt idx="220">
                  <c:v>220</c:v>
                </c:pt>
                <c:pt idx="221">
                  <c:v>221</c:v>
                </c:pt>
                <c:pt idx="222">
                  <c:v>222</c:v>
                </c:pt>
                <c:pt idx="223">
                  <c:v>223</c:v>
                </c:pt>
                <c:pt idx="224">
                  <c:v>224</c:v>
                </c:pt>
                <c:pt idx="225">
                  <c:v>225</c:v>
                </c:pt>
                <c:pt idx="226">
                  <c:v>226</c:v>
                </c:pt>
                <c:pt idx="227">
                  <c:v>227</c:v>
                </c:pt>
                <c:pt idx="228">
                  <c:v>228</c:v>
                </c:pt>
                <c:pt idx="229">
                  <c:v>229</c:v>
                </c:pt>
                <c:pt idx="230">
                  <c:v>230</c:v>
                </c:pt>
                <c:pt idx="231">
                  <c:v>231</c:v>
                </c:pt>
                <c:pt idx="232">
                  <c:v>232</c:v>
                </c:pt>
                <c:pt idx="233">
                  <c:v>233</c:v>
                </c:pt>
                <c:pt idx="234">
                  <c:v>234</c:v>
                </c:pt>
                <c:pt idx="235">
                  <c:v>235</c:v>
                </c:pt>
                <c:pt idx="236">
                  <c:v>236</c:v>
                </c:pt>
                <c:pt idx="237">
                  <c:v>237</c:v>
                </c:pt>
                <c:pt idx="238">
                  <c:v>238</c:v>
                </c:pt>
                <c:pt idx="239">
                  <c:v>239</c:v>
                </c:pt>
                <c:pt idx="240">
                  <c:v>240</c:v>
                </c:pt>
                <c:pt idx="241">
                  <c:v>241</c:v>
                </c:pt>
                <c:pt idx="242">
                  <c:v>242</c:v>
                </c:pt>
                <c:pt idx="243">
                  <c:v>243</c:v>
                </c:pt>
                <c:pt idx="244">
                  <c:v>244</c:v>
                </c:pt>
                <c:pt idx="245">
                  <c:v>245</c:v>
                </c:pt>
                <c:pt idx="246">
                  <c:v>246</c:v>
                </c:pt>
                <c:pt idx="247">
                  <c:v>247</c:v>
                </c:pt>
                <c:pt idx="248">
                  <c:v>248</c:v>
                </c:pt>
                <c:pt idx="249">
                  <c:v>249</c:v>
                </c:pt>
                <c:pt idx="250">
                  <c:v>250</c:v>
                </c:pt>
                <c:pt idx="251">
                  <c:v>251</c:v>
                </c:pt>
                <c:pt idx="252">
                  <c:v>252</c:v>
                </c:pt>
                <c:pt idx="253">
                  <c:v>253</c:v>
                </c:pt>
                <c:pt idx="254">
                  <c:v>254</c:v>
                </c:pt>
                <c:pt idx="255">
                  <c:v>255</c:v>
                </c:pt>
                <c:pt idx="256">
                  <c:v>256</c:v>
                </c:pt>
                <c:pt idx="257">
                  <c:v>257</c:v>
                </c:pt>
                <c:pt idx="258">
                  <c:v>258</c:v>
                </c:pt>
                <c:pt idx="259">
                  <c:v>259</c:v>
                </c:pt>
                <c:pt idx="260">
                  <c:v>260</c:v>
                </c:pt>
                <c:pt idx="261">
                  <c:v>261</c:v>
                </c:pt>
                <c:pt idx="262">
                  <c:v>262</c:v>
                </c:pt>
                <c:pt idx="263">
                  <c:v>263</c:v>
                </c:pt>
                <c:pt idx="264">
                  <c:v>264</c:v>
                </c:pt>
                <c:pt idx="265">
                  <c:v>265</c:v>
                </c:pt>
                <c:pt idx="266">
                  <c:v>266</c:v>
                </c:pt>
                <c:pt idx="267">
                  <c:v>267</c:v>
                </c:pt>
                <c:pt idx="268">
                  <c:v>268</c:v>
                </c:pt>
                <c:pt idx="269">
                  <c:v>269</c:v>
                </c:pt>
                <c:pt idx="270">
                  <c:v>270</c:v>
                </c:pt>
                <c:pt idx="271">
                  <c:v>271</c:v>
                </c:pt>
                <c:pt idx="272">
                  <c:v>272</c:v>
                </c:pt>
                <c:pt idx="273">
                  <c:v>273</c:v>
                </c:pt>
                <c:pt idx="274">
                  <c:v>274</c:v>
                </c:pt>
                <c:pt idx="275">
                  <c:v>275</c:v>
                </c:pt>
                <c:pt idx="276">
                  <c:v>276</c:v>
                </c:pt>
                <c:pt idx="277">
                  <c:v>277</c:v>
                </c:pt>
                <c:pt idx="278">
                  <c:v>278</c:v>
                </c:pt>
                <c:pt idx="279">
                  <c:v>279</c:v>
                </c:pt>
                <c:pt idx="280">
                  <c:v>280</c:v>
                </c:pt>
                <c:pt idx="281">
                  <c:v>281</c:v>
                </c:pt>
                <c:pt idx="282">
                  <c:v>282</c:v>
                </c:pt>
                <c:pt idx="283">
                  <c:v>283</c:v>
                </c:pt>
                <c:pt idx="284">
                  <c:v>284</c:v>
                </c:pt>
                <c:pt idx="285">
                  <c:v>285</c:v>
                </c:pt>
                <c:pt idx="286">
                  <c:v>286</c:v>
                </c:pt>
                <c:pt idx="287">
                  <c:v>287</c:v>
                </c:pt>
                <c:pt idx="288">
                  <c:v>288</c:v>
                </c:pt>
                <c:pt idx="289">
                  <c:v>289</c:v>
                </c:pt>
                <c:pt idx="290">
                  <c:v>290</c:v>
                </c:pt>
                <c:pt idx="291">
                  <c:v>291</c:v>
                </c:pt>
                <c:pt idx="292">
                  <c:v>292</c:v>
                </c:pt>
                <c:pt idx="293">
                  <c:v>293</c:v>
                </c:pt>
                <c:pt idx="294">
                  <c:v>294</c:v>
                </c:pt>
                <c:pt idx="295">
                  <c:v>295</c:v>
                </c:pt>
                <c:pt idx="296">
                  <c:v>296</c:v>
                </c:pt>
                <c:pt idx="297">
                  <c:v>297</c:v>
                </c:pt>
                <c:pt idx="298">
                  <c:v>298</c:v>
                </c:pt>
                <c:pt idx="299">
                  <c:v>299</c:v>
                </c:pt>
                <c:pt idx="300">
                  <c:v>300</c:v>
                </c:pt>
                <c:pt idx="301">
                  <c:v>301</c:v>
                </c:pt>
                <c:pt idx="302">
                  <c:v>302</c:v>
                </c:pt>
                <c:pt idx="303">
                  <c:v>303</c:v>
                </c:pt>
                <c:pt idx="304">
                  <c:v>304</c:v>
                </c:pt>
                <c:pt idx="305">
                  <c:v>305</c:v>
                </c:pt>
                <c:pt idx="306">
                  <c:v>306</c:v>
                </c:pt>
                <c:pt idx="307">
                  <c:v>307</c:v>
                </c:pt>
                <c:pt idx="308">
                  <c:v>308</c:v>
                </c:pt>
                <c:pt idx="309">
                  <c:v>309</c:v>
                </c:pt>
                <c:pt idx="310">
                  <c:v>310</c:v>
                </c:pt>
                <c:pt idx="311">
                  <c:v>311</c:v>
                </c:pt>
                <c:pt idx="312">
                  <c:v>312</c:v>
                </c:pt>
                <c:pt idx="313">
                  <c:v>313</c:v>
                </c:pt>
                <c:pt idx="314">
                  <c:v>314</c:v>
                </c:pt>
                <c:pt idx="315">
                  <c:v>315</c:v>
                </c:pt>
                <c:pt idx="316">
                  <c:v>316</c:v>
                </c:pt>
                <c:pt idx="317">
                  <c:v>317</c:v>
                </c:pt>
                <c:pt idx="318">
                  <c:v>318</c:v>
                </c:pt>
                <c:pt idx="319">
                  <c:v>319</c:v>
                </c:pt>
                <c:pt idx="320">
                  <c:v>320</c:v>
                </c:pt>
                <c:pt idx="321">
                  <c:v>321</c:v>
                </c:pt>
                <c:pt idx="322">
                  <c:v>322</c:v>
                </c:pt>
                <c:pt idx="323">
                  <c:v>323</c:v>
                </c:pt>
                <c:pt idx="324">
                  <c:v>324</c:v>
                </c:pt>
                <c:pt idx="325">
                  <c:v>325</c:v>
                </c:pt>
                <c:pt idx="326">
                  <c:v>326</c:v>
                </c:pt>
                <c:pt idx="327">
                  <c:v>327</c:v>
                </c:pt>
                <c:pt idx="328">
                  <c:v>328</c:v>
                </c:pt>
                <c:pt idx="329">
                  <c:v>329</c:v>
                </c:pt>
                <c:pt idx="330">
                  <c:v>330</c:v>
                </c:pt>
                <c:pt idx="331">
                  <c:v>331</c:v>
                </c:pt>
                <c:pt idx="332">
                  <c:v>332</c:v>
                </c:pt>
                <c:pt idx="333">
                  <c:v>333</c:v>
                </c:pt>
                <c:pt idx="334">
                  <c:v>334</c:v>
                </c:pt>
                <c:pt idx="335">
                  <c:v>335</c:v>
                </c:pt>
                <c:pt idx="336">
                  <c:v>336</c:v>
                </c:pt>
                <c:pt idx="337">
                  <c:v>337</c:v>
                </c:pt>
                <c:pt idx="338">
                  <c:v>338</c:v>
                </c:pt>
                <c:pt idx="339">
                  <c:v>339</c:v>
                </c:pt>
                <c:pt idx="340">
                  <c:v>340</c:v>
                </c:pt>
                <c:pt idx="341">
                  <c:v>341</c:v>
                </c:pt>
                <c:pt idx="342">
                  <c:v>342</c:v>
                </c:pt>
                <c:pt idx="343">
                  <c:v>343</c:v>
                </c:pt>
                <c:pt idx="344">
                  <c:v>344</c:v>
                </c:pt>
                <c:pt idx="345">
                  <c:v>345</c:v>
                </c:pt>
                <c:pt idx="346">
                  <c:v>346</c:v>
                </c:pt>
                <c:pt idx="347">
                  <c:v>347</c:v>
                </c:pt>
                <c:pt idx="348">
                  <c:v>348</c:v>
                </c:pt>
                <c:pt idx="349">
                  <c:v>349</c:v>
                </c:pt>
                <c:pt idx="350">
                  <c:v>350</c:v>
                </c:pt>
                <c:pt idx="351">
                  <c:v>351</c:v>
                </c:pt>
                <c:pt idx="352">
                  <c:v>352</c:v>
                </c:pt>
                <c:pt idx="353">
                  <c:v>353</c:v>
                </c:pt>
                <c:pt idx="354">
                  <c:v>354</c:v>
                </c:pt>
                <c:pt idx="355">
                  <c:v>355</c:v>
                </c:pt>
                <c:pt idx="356">
                  <c:v>356</c:v>
                </c:pt>
                <c:pt idx="357">
                  <c:v>357</c:v>
                </c:pt>
                <c:pt idx="358">
                  <c:v>358</c:v>
                </c:pt>
                <c:pt idx="359">
                  <c:v>359</c:v>
                </c:pt>
                <c:pt idx="360">
                  <c:v>360</c:v>
                </c:pt>
                <c:pt idx="361">
                  <c:v>361</c:v>
                </c:pt>
                <c:pt idx="362">
                  <c:v>362</c:v>
                </c:pt>
                <c:pt idx="363">
                  <c:v>363</c:v>
                </c:pt>
                <c:pt idx="364">
                  <c:v>364</c:v>
                </c:pt>
                <c:pt idx="365">
                  <c:v>365</c:v>
                </c:pt>
                <c:pt idx="366">
                  <c:v>366</c:v>
                </c:pt>
                <c:pt idx="367">
                  <c:v>367</c:v>
                </c:pt>
                <c:pt idx="368">
                  <c:v>368</c:v>
                </c:pt>
                <c:pt idx="369">
                  <c:v>369</c:v>
                </c:pt>
                <c:pt idx="370">
                  <c:v>370</c:v>
                </c:pt>
                <c:pt idx="371">
                  <c:v>371</c:v>
                </c:pt>
                <c:pt idx="372">
                  <c:v>372</c:v>
                </c:pt>
                <c:pt idx="373">
                  <c:v>373</c:v>
                </c:pt>
                <c:pt idx="374">
                  <c:v>374</c:v>
                </c:pt>
                <c:pt idx="375">
                  <c:v>375</c:v>
                </c:pt>
                <c:pt idx="376">
                  <c:v>376</c:v>
                </c:pt>
                <c:pt idx="377">
                  <c:v>377</c:v>
                </c:pt>
                <c:pt idx="378">
                  <c:v>378</c:v>
                </c:pt>
                <c:pt idx="379">
                  <c:v>379</c:v>
                </c:pt>
                <c:pt idx="380">
                  <c:v>380</c:v>
                </c:pt>
                <c:pt idx="381">
                  <c:v>381</c:v>
                </c:pt>
                <c:pt idx="382">
                  <c:v>382</c:v>
                </c:pt>
                <c:pt idx="383">
                  <c:v>383</c:v>
                </c:pt>
                <c:pt idx="384">
                  <c:v>384</c:v>
                </c:pt>
                <c:pt idx="385">
                  <c:v>385</c:v>
                </c:pt>
                <c:pt idx="386">
                  <c:v>386</c:v>
                </c:pt>
                <c:pt idx="387">
                  <c:v>387</c:v>
                </c:pt>
                <c:pt idx="388">
                  <c:v>388</c:v>
                </c:pt>
                <c:pt idx="389">
                  <c:v>389</c:v>
                </c:pt>
                <c:pt idx="390">
                  <c:v>390</c:v>
                </c:pt>
                <c:pt idx="391">
                  <c:v>391</c:v>
                </c:pt>
                <c:pt idx="392">
                  <c:v>392</c:v>
                </c:pt>
                <c:pt idx="393">
                  <c:v>393</c:v>
                </c:pt>
                <c:pt idx="394">
                  <c:v>394</c:v>
                </c:pt>
                <c:pt idx="395">
                  <c:v>395</c:v>
                </c:pt>
                <c:pt idx="396">
                  <c:v>396</c:v>
                </c:pt>
                <c:pt idx="397">
                  <c:v>397</c:v>
                </c:pt>
                <c:pt idx="398">
                  <c:v>398</c:v>
                </c:pt>
                <c:pt idx="399">
                  <c:v>399</c:v>
                </c:pt>
                <c:pt idx="400">
                  <c:v>400</c:v>
                </c:pt>
                <c:pt idx="401">
                  <c:v>401</c:v>
                </c:pt>
                <c:pt idx="402">
                  <c:v>402</c:v>
                </c:pt>
                <c:pt idx="403">
                  <c:v>403</c:v>
                </c:pt>
                <c:pt idx="404">
                  <c:v>404</c:v>
                </c:pt>
                <c:pt idx="405">
                  <c:v>405</c:v>
                </c:pt>
                <c:pt idx="406">
                  <c:v>406</c:v>
                </c:pt>
                <c:pt idx="407">
                  <c:v>407</c:v>
                </c:pt>
                <c:pt idx="408">
                  <c:v>408</c:v>
                </c:pt>
                <c:pt idx="409">
                  <c:v>409</c:v>
                </c:pt>
                <c:pt idx="410">
                  <c:v>410</c:v>
                </c:pt>
                <c:pt idx="411">
                  <c:v>411</c:v>
                </c:pt>
                <c:pt idx="412">
                  <c:v>412</c:v>
                </c:pt>
                <c:pt idx="413">
                  <c:v>413</c:v>
                </c:pt>
                <c:pt idx="414">
                  <c:v>414</c:v>
                </c:pt>
                <c:pt idx="415">
                  <c:v>415</c:v>
                </c:pt>
                <c:pt idx="416">
                  <c:v>416</c:v>
                </c:pt>
                <c:pt idx="417">
                  <c:v>417</c:v>
                </c:pt>
                <c:pt idx="418">
                  <c:v>418</c:v>
                </c:pt>
                <c:pt idx="419">
                  <c:v>419</c:v>
                </c:pt>
                <c:pt idx="420">
                  <c:v>420</c:v>
                </c:pt>
                <c:pt idx="421">
                  <c:v>421</c:v>
                </c:pt>
                <c:pt idx="422">
                  <c:v>422</c:v>
                </c:pt>
                <c:pt idx="423">
                  <c:v>423</c:v>
                </c:pt>
                <c:pt idx="424">
                  <c:v>424</c:v>
                </c:pt>
                <c:pt idx="425">
                  <c:v>425</c:v>
                </c:pt>
                <c:pt idx="426">
                  <c:v>426</c:v>
                </c:pt>
                <c:pt idx="427">
                  <c:v>427</c:v>
                </c:pt>
                <c:pt idx="428">
                  <c:v>428</c:v>
                </c:pt>
                <c:pt idx="429">
                  <c:v>429</c:v>
                </c:pt>
                <c:pt idx="430">
                  <c:v>430</c:v>
                </c:pt>
                <c:pt idx="431">
                  <c:v>431</c:v>
                </c:pt>
                <c:pt idx="432">
                  <c:v>432</c:v>
                </c:pt>
                <c:pt idx="433">
                  <c:v>433</c:v>
                </c:pt>
                <c:pt idx="434">
                  <c:v>434</c:v>
                </c:pt>
                <c:pt idx="435">
                  <c:v>435</c:v>
                </c:pt>
                <c:pt idx="436">
                  <c:v>436</c:v>
                </c:pt>
                <c:pt idx="437">
                  <c:v>437</c:v>
                </c:pt>
                <c:pt idx="438">
                  <c:v>438</c:v>
                </c:pt>
                <c:pt idx="439">
                  <c:v>439</c:v>
                </c:pt>
                <c:pt idx="440">
                  <c:v>440</c:v>
                </c:pt>
                <c:pt idx="441">
                  <c:v>441</c:v>
                </c:pt>
                <c:pt idx="442">
                  <c:v>442</c:v>
                </c:pt>
                <c:pt idx="443">
                  <c:v>443</c:v>
                </c:pt>
                <c:pt idx="444">
                  <c:v>444</c:v>
                </c:pt>
                <c:pt idx="445">
                  <c:v>445</c:v>
                </c:pt>
                <c:pt idx="446">
                  <c:v>446</c:v>
                </c:pt>
                <c:pt idx="447">
                  <c:v>447</c:v>
                </c:pt>
                <c:pt idx="448">
                  <c:v>448</c:v>
                </c:pt>
                <c:pt idx="449">
                  <c:v>449</c:v>
                </c:pt>
                <c:pt idx="450">
                  <c:v>450</c:v>
                </c:pt>
                <c:pt idx="451">
                  <c:v>451</c:v>
                </c:pt>
                <c:pt idx="452">
                  <c:v>452</c:v>
                </c:pt>
                <c:pt idx="453">
                  <c:v>453</c:v>
                </c:pt>
                <c:pt idx="454">
                  <c:v>454</c:v>
                </c:pt>
                <c:pt idx="455">
                  <c:v>455</c:v>
                </c:pt>
                <c:pt idx="456">
                  <c:v>456</c:v>
                </c:pt>
                <c:pt idx="457">
                  <c:v>457</c:v>
                </c:pt>
                <c:pt idx="458">
                  <c:v>458</c:v>
                </c:pt>
                <c:pt idx="459">
                  <c:v>459</c:v>
                </c:pt>
                <c:pt idx="460">
                  <c:v>460</c:v>
                </c:pt>
                <c:pt idx="461">
                  <c:v>461</c:v>
                </c:pt>
                <c:pt idx="462">
                  <c:v>462</c:v>
                </c:pt>
                <c:pt idx="463">
                  <c:v>463</c:v>
                </c:pt>
                <c:pt idx="464">
                  <c:v>464</c:v>
                </c:pt>
                <c:pt idx="465">
                  <c:v>465</c:v>
                </c:pt>
                <c:pt idx="466">
                  <c:v>466</c:v>
                </c:pt>
                <c:pt idx="467">
                  <c:v>467</c:v>
                </c:pt>
                <c:pt idx="468">
                  <c:v>468</c:v>
                </c:pt>
                <c:pt idx="469">
                  <c:v>469</c:v>
                </c:pt>
                <c:pt idx="470">
                  <c:v>470</c:v>
                </c:pt>
                <c:pt idx="471">
                  <c:v>471</c:v>
                </c:pt>
                <c:pt idx="472">
                  <c:v>472</c:v>
                </c:pt>
                <c:pt idx="473">
                  <c:v>473</c:v>
                </c:pt>
                <c:pt idx="474">
                  <c:v>474</c:v>
                </c:pt>
                <c:pt idx="475">
                  <c:v>475</c:v>
                </c:pt>
                <c:pt idx="476">
                  <c:v>476</c:v>
                </c:pt>
                <c:pt idx="477">
                  <c:v>477</c:v>
                </c:pt>
                <c:pt idx="478">
                  <c:v>478</c:v>
                </c:pt>
                <c:pt idx="479">
                  <c:v>479</c:v>
                </c:pt>
                <c:pt idx="480">
                  <c:v>480</c:v>
                </c:pt>
                <c:pt idx="481">
                  <c:v>481</c:v>
                </c:pt>
                <c:pt idx="482">
                  <c:v>482</c:v>
                </c:pt>
                <c:pt idx="483">
                  <c:v>483</c:v>
                </c:pt>
                <c:pt idx="484">
                  <c:v>484</c:v>
                </c:pt>
                <c:pt idx="485">
                  <c:v>485</c:v>
                </c:pt>
                <c:pt idx="486">
                  <c:v>486</c:v>
                </c:pt>
                <c:pt idx="487">
                  <c:v>487</c:v>
                </c:pt>
                <c:pt idx="488">
                  <c:v>488</c:v>
                </c:pt>
                <c:pt idx="489">
                  <c:v>489</c:v>
                </c:pt>
                <c:pt idx="490">
                  <c:v>490</c:v>
                </c:pt>
                <c:pt idx="491">
                  <c:v>491</c:v>
                </c:pt>
                <c:pt idx="492">
                  <c:v>492</c:v>
                </c:pt>
                <c:pt idx="493">
                  <c:v>493</c:v>
                </c:pt>
                <c:pt idx="494">
                  <c:v>494</c:v>
                </c:pt>
                <c:pt idx="495">
                  <c:v>495</c:v>
                </c:pt>
                <c:pt idx="496">
                  <c:v>496</c:v>
                </c:pt>
                <c:pt idx="497">
                  <c:v>497</c:v>
                </c:pt>
                <c:pt idx="498">
                  <c:v>498</c:v>
                </c:pt>
                <c:pt idx="499">
                  <c:v>499</c:v>
                </c:pt>
                <c:pt idx="500">
                  <c:v>500</c:v>
                </c:pt>
                <c:pt idx="501">
                  <c:v>501</c:v>
                </c:pt>
                <c:pt idx="502">
                  <c:v>502</c:v>
                </c:pt>
                <c:pt idx="503">
                  <c:v>503</c:v>
                </c:pt>
                <c:pt idx="504">
                  <c:v>504</c:v>
                </c:pt>
                <c:pt idx="505">
                  <c:v>505</c:v>
                </c:pt>
                <c:pt idx="506">
                  <c:v>506</c:v>
                </c:pt>
                <c:pt idx="507">
                  <c:v>507</c:v>
                </c:pt>
                <c:pt idx="508">
                  <c:v>508</c:v>
                </c:pt>
                <c:pt idx="509">
                  <c:v>509</c:v>
                </c:pt>
                <c:pt idx="510">
                  <c:v>510</c:v>
                </c:pt>
                <c:pt idx="511">
                  <c:v>511</c:v>
                </c:pt>
                <c:pt idx="512">
                  <c:v>512</c:v>
                </c:pt>
                <c:pt idx="513">
                  <c:v>513</c:v>
                </c:pt>
                <c:pt idx="514">
                  <c:v>514</c:v>
                </c:pt>
                <c:pt idx="515">
                  <c:v>515</c:v>
                </c:pt>
                <c:pt idx="516">
                  <c:v>516</c:v>
                </c:pt>
                <c:pt idx="517">
                  <c:v>517</c:v>
                </c:pt>
                <c:pt idx="518">
                  <c:v>518</c:v>
                </c:pt>
                <c:pt idx="519">
                  <c:v>519</c:v>
                </c:pt>
                <c:pt idx="520">
                  <c:v>520</c:v>
                </c:pt>
                <c:pt idx="521">
                  <c:v>521</c:v>
                </c:pt>
                <c:pt idx="522">
                  <c:v>522</c:v>
                </c:pt>
                <c:pt idx="523">
                  <c:v>523</c:v>
                </c:pt>
                <c:pt idx="524">
                  <c:v>524</c:v>
                </c:pt>
                <c:pt idx="525">
                  <c:v>525</c:v>
                </c:pt>
                <c:pt idx="526">
                  <c:v>526</c:v>
                </c:pt>
                <c:pt idx="527">
                  <c:v>527</c:v>
                </c:pt>
                <c:pt idx="528">
                  <c:v>528</c:v>
                </c:pt>
                <c:pt idx="529">
                  <c:v>529</c:v>
                </c:pt>
                <c:pt idx="530">
                  <c:v>530</c:v>
                </c:pt>
                <c:pt idx="531">
                  <c:v>531</c:v>
                </c:pt>
                <c:pt idx="532">
                  <c:v>532</c:v>
                </c:pt>
                <c:pt idx="533">
                  <c:v>533</c:v>
                </c:pt>
                <c:pt idx="534">
                  <c:v>534</c:v>
                </c:pt>
                <c:pt idx="535">
                  <c:v>535</c:v>
                </c:pt>
                <c:pt idx="536">
                  <c:v>536</c:v>
                </c:pt>
                <c:pt idx="537">
                  <c:v>537</c:v>
                </c:pt>
                <c:pt idx="538">
                  <c:v>538</c:v>
                </c:pt>
                <c:pt idx="539">
                  <c:v>539</c:v>
                </c:pt>
                <c:pt idx="540">
                  <c:v>540</c:v>
                </c:pt>
                <c:pt idx="541">
                  <c:v>541</c:v>
                </c:pt>
                <c:pt idx="542">
                  <c:v>542</c:v>
                </c:pt>
                <c:pt idx="543">
                  <c:v>543</c:v>
                </c:pt>
                <c:pt idx="544">
                  <c:v>544</c:v>
                </c:pt>
                <c:pt idx="545">
                  <c:v>545</c:v>
                </c:pt>
                <c:pt idx="546">
                  <c:v>546</c:v>
                </c:pt>
                <c:pt idx="547">
                  <c:v>547</c:v>
                </c:pt>
                <c:pt idx="548">
                  <c:v>548</c:v>
                </c:pt>
                <c:pt idx="549">
                  <c:v>549</c:v>
                </c:pt>
                <c:pt idx="550">
                  <c:v>550</c:v>
                </c:pt>
                <c:pt idx="551">
                  <c:v>551</c:v>
                </c:pt>
                <c:pt idx="552">
                  <c:v>552</c:v>
                </c:pt>
                <c:pt idx="553">
                  <c:v>553</c:v>
                </c:pt>
                <c:pt idx="554">
                  <c:v>554</c:v>
                </c:pt>
                <c:pt idx="555">
                  <c:v>555</c:v>
                </c:pt>
                <c:pt idx="556">
                  <c:v>556</c:v>
                </c:pt>
                <c:pt idx="557">
                  <c:v>557</c:v>
                </c:pt>
                <c:pt idx="558">
                  <c:v>558</c:v>
                </c:pt>
                <c:pt idx="559">
                  <c:v>559</c:v>
                </c:pt>
                <c:pt idx="560">
                  <c:v>560</c:v>
                </c:pt>
                <c:pt idx="561">
                  <c:v>561</c:v>
                </c:pt>
                <c:pt idx="562">
                  <c:v>562</c:v>
                </c:pt>
                <c:pt idx="563">
                  <c:v>563</c:v>
                </c:pt>
                <c:pt idx="564">
                  <c:v>564</c:v>
                </c:pt>
                <c:pt idx="565">
                  <c:v>565</c:v>
                </c:pt>
                <c:pt idx="566">
                  <c:v>566</c:v>
                </c:pt>
                <c:pt idx="567">
                  <c:v>567</c:v>
                </c:pt>
                <c:pt idx="568">
                  <c:v>568</c:v>
                </c:pt>
                <c:pt idx="569">
                  <c:v>569</c:v>
                </c:pt>
                <c:pt idx="570">
                  <c:v>570</c:v>
                </c:pt>
                <c:pt idx="571">
                  <c:v>571</c:v>
                </c:pt>
                <c:pt idx="572">
                  <c:v>572</c:v>
                </c:pt>
                <c:pt idx="573">
                  <c:v>573</c:v>
                </c:pt>
                <c:pt idx="574">
                  <c:v>574</c:v>
                </c:pt>
                <c:pt idx="575">
                  <c:v>575</c:v>
                </c:pt>
                <c:pt idx="576">
                  <c:v>576</c:v>
                </c:pt>
                <c:pt idx="577">
                  <c:v>577</c:v>
                </c:pt>
                <c:pt idx="578">
                  <c:v>578</c:v>
                </c:pt>
                <c:pt idx="579">
                  <c:v>579</c:v>
                </c:pt>
                <c:pt idx="580">
                  <c:v>580</c:v>
                </c:pt>
                <c:pt idx="581">
                  <c:v>581</c:v>
                </c:pt>
                <c:pt idx="582">
                  <c:v>582</c:v>
                </c:pt>
                <c:pt idx="583">
                  <c:v>583</c:v>
                </c:pt>
                <c:pt idx="584">
                  <c:v>584</c:v>
                </c:pt>
                <c:pt idx="585">
                  <c:v>585</c:v>
                </c:pt>
                <c:pt idx="586">
                  <c:v>586</c:v>
                </c:pt>
                <c:pt idx="587">
                  <c:v>587</c:v>
                </c:pt>
                <c:pt idx="588">
                  <c:v>588</c:v>
                </c:pt>
                <c:pt idx="589">
                  <c:v>589</c:v>
                </c:pt>
                <c:pt idx="590">
                  <c:v>590</c:v>
                </c:pt>
                <c:pt idx="591">
                  <c:v>591</c:v>
                </c:pt>
                <c:pt idx="592">
                  <c:v>592</c:v>
                </c:pt>
                <c:pt idx="593">
                  <c:v>593</c:v>
                </c:pt>
                <c:pt idx="594">
                  <c:v>594</c:v>
                </c:pt>
                <c:pt idx="595">
                  <c:v>595</c:v>
                </c:pt>
                <c:pt idx="596">
                  <c:v>596</c:v>
                </c:pt>
                <c:pt idx="597">
                  <c:v>597</c:v>
                </c:pt>
                <c:pt idx="598">
                  <c:v>598</c:v>
                </c:pt>
                <c:pt idx="599">
                  <c:v>599</c:v>
                </c:pt>
                <c:pt idx="600">
                  <c:v>600</c:v>
                </c:pt>
                <c:pt idx="601">
                  <c:v>601</c:v>
                </c:pt>
                <c:pt idx="602">
                  <c:v>602</c:v>
                </c:pt>
                <c:pt idx="603">
                  <c:v>603</c:v>
                </c:pt>
                <c:pt idx="604">
                  <c:v>604</c:v>
                </c:pt>
                <c:pt idx="605">
                  <c:v>605</c:v>
                </c:pt>
                <c:pt idx="606">
                  <c:v>606</c:v>
                </c:pt>
                <c:pt idx="607">
                  <c:v>607</c:v>
                </c:pt>
                <c:pt idx="608">
                  <c:v>608</c:v>
                </c:pt>
                <c:pt idx="609">
                  <c:v>609</c:v>
                </c:pt>
                <c:pt idx="610">
                  <c:v>610</c:v>
                </c:pt>
                <c:pt idx="611">
                  <c:v>611</c:v>
                </c:pt>
                <c:pt idx="612">
                  <c:v>612</c:v>
                </c:pt>
                <c:pt idx="613">
                  <c:v>613</c:v>
                </c:pt>
                <c:pt idx="614">
                  <c:v>614</c:v>
                </c:pt>
                <c:pt idx="615">
                  <c:v>615</c:v>
                </c:pt>
                <c:pt idx="616">
                  <c:v>616</c:v>
                </c:pt>
                <c:pt idx="617">
                  <c:v>617</c:v>
                </c:pt>
                <c:pt idx="618">
                  <c:v>618</c:v>
                </c:pt>
                <c:pt idx="619">
                  <c:v>619</c:v>
                </c:pt>
                <c:pt idx="620">
                  <c:v>620</c:v>
                </c:pt>
                <c:pt idx="621">
                  <c:v>621</c:v>
                </c:pt>
                <c:pt idx="622">
                  <c:v>622</c:v>
                </c:pt>
                <c:pt idx="623">
                  <c:v>623</c:v>
                </c:pt>
                <c:pt idx="624">
                  <c:v>624</c:v>
                </c:pt>
                <c:pt idx="625">
                  <c:v>625</c:v>
                </c:pt>
                <c:pt idx="626">
                  <c:v>626</c:v>
                </c:pt>
                <c:pt idx="627">
                  <c:v>627</c:v>
                </c:pt>
                <c:pt idx="628">
                  <c:v>628</c:v>
                </c:pt>
                <c:pt idx="629">
                  <c:v>629</c:v>
                </c:pt>
                <c:pt idx="630">
                  <c:v>630</c:v>
                </c:pt>
                <c:pt idx="631">
                  <c:v>631</c:v>
                </c:pt>
                <c:pt idx="632">
                  <c:v>632</c:v>
                </c:pt>
                <c:pt idx="633">
                  <c:v>633</c:v>
                </c:pt>
                <c:pt idx="634">
                  <c:v>634</c:v>
                </c:pt>
                <c:pt idx="635">
                  <c:v>635</c:v>
                </c:pt>
                <c:pt idx="636">
                  <c:v>636</c:v>
                </c:pt>
                <c:pt idx="637">
                  <c:v>637</c:v>
                </c:pt>
                <c:pt idx="638">
                  <c:v>638</c:v>
                </c:pt>
                <c:pt idx="639">
                  <c:v>639</c:v>
                </c:pt>
                <c:pt idx="640">
                  <c:v>640</c:v>
                </c:pt>
                <c:pt idx="641">
                  <c:v>641</c:v>
                </c:pt>
                <c:pt idx="642">
                  <c:v>642</c:v>
                </c:pt>
                <c:pt idx="643">
                  <c:v>643</c:v>
                </c:pt>
                <c:pt idx="644">
                  <c:v>644</c:v>
                </c:pt>
                <c:pt idx="645">
                  <c:v>645</c:v>
                </c:pt>
                <c:pt idx="646">
                  <c:v>646</c:v>
                </c:pt>
                <c:pt idx="647">
                  <c:v>647</c:v>
                </c:pt>
                <c:pt idx="648">
                  <c:v>648</c:v>
                </c:pt>
                <c:pt idx="649">
                  <c:v>649</c:v>
                </c:pt>
                <c:pt idx="650">
                  <c:v>650</c:v>
                </c:pt>
                <c:pt idx="651">
                  <c:v>651</c:v>
                </c:pt>
                <c:pt idx="652">
                  <c:v>652</c:v>
                </c:pt>
                <c:pt idx="653">
                  <c:v>653</c:v>
                </c:pt>
                <c:pt idx="654">
                  <c:v>654</c:v>
                </c:pt>
                <c:pt idx="655">
                  <c:v>655</c:v>
                </c:pt>
                <c:pt idx="656">
                  <c:v>656</c:v>
                </c:pt>
                <c:pt idx="657">
                  <c:v>657</c:v>
                </c:pt>
                <c:pt idx="658">
                  <c:v>658</c:v>
                </c:pt>
                <c:pt idx="659">
                  <c:v>659</c:v>
                </c:pt>
                <c:pt idx="660">
                  <c:v>660</c:v>
                </c:pt>
                <c:pt idx="661">
                  <c:v>661</c:v>
                </c:pt>
                <c:pt idx="662">
                  <c:v>662</c:v>
                </c:pt>
                <c:pt idx="663">
                  <c:v>663</c:v>
                </c:pt>
                <c:pt idx="664">
                  <c:v>664</c:v>
                </c:pt>
                <c:pt idx="665">
                  <c:v>665</c:v>
                </c:pt>
                <c:pt idx="666">
                  <c:v>666</c:v>
                </c:pt>
                <c:pt idx="667">
                  <c:v>667</c:v>
                </c:pt>
                <c:pt idx="668">
                  <c:v>668</c:v>
                </c:pt>
                <c:pt idx="669">
                  <c:v>669</c:v>
                </c:pt>
                <c:pt idx="670">
                  <c:v>670</c:v>
                </c:pt>
                <c:pt idx="671">
                  <c:v>671</c:v>
                </c:pt>
                <c:pt idx="672">
                  <c:v>672</c:v>
                </c:pt>
                <c:pt idx="673">
                  <c:v>673</c:v>
                </c:pt>
                <c:pt idx="674">
                  <c:v>674</c:v>
                </c:pt>
                <c:pt idx="675">
                  <c:v>675</c:v>
                </c:pt>
                <c:pt idx="676">
                  <c:v>676</c:v>
                </c:pt>
                <c:pt idx="677">
                  <c:v>677</c:v>
                </c:pt>
                <c:pt idx="678">
                  <c:v>678</c:v>
                </c:pt>
                <c:pt idx="679">
                  <c:v>679</c:v>
                </c:pt>
                <c:pt idx="680">
                  <c:v>680</c:v>
                </c:pt>
                <c:pt idx="681">
                  <c:v>681</c:v>
                </c:pt>
                <c:pt idx="682">
                  <c:v>682</c:v>
                </c:pt>
                <c:pt idx="683">
                  <c:v>683</c:v>
                </c:pt>
                <c:pt idx="684">
                  <c:v>684</c:v>
                </c:pt>
                <c:pt idx="685">
                  <c:v>685</c:v>
                </c:pt>
                <c:pt idx="686">
                  <c:v>686</c:v>
                </c:pt>
                <c:pt idx="687">
                  <c:v>687</c:v>
                </c:pt>
                <c:pt idx="688">
                  <c:v>688</c:v>
                </c:pt>
                <c:pt idx="689">
                  <c:v>689</c:v>
                </c:pt>
                <c:pt idx="690">
                  <c:v>690</c:v>
                </c:pt>
                <c:pt idx="691">
                  <c:v>691</c:v>
                </c:pt>
                <c:pt idx="692">
                  <c:v>692</c:v>
                </c:pt>
                <c:pt idx="693">
                  <c:v>693</c:v>
                </c:pt>
                <c:pt idx="694">
                  <c:v>694</c:v>
                </c:pt>
                <c:pt idx="695">
                  <c:v>695</c:v>
                </c:pt>
                <c:pt idx="696">
                  <c:v>696</c:v>
                </c:pt>
                <c:pt idx="697">
                  <c:v>697</c:v>
                </c:pt>
                <c:pt idx="698">
                  <c:v>698</c:v>
                </c:pt>
                <c:pt idx="699">
                  <c:v>699</c:v>
                </c:pt>
                <c:pt idx="700">
                  <c:v>700</c:v>
                </c:pt>
                <c:pt idx="701">
                  <c:v>701</c:v>
                </c:pt>
                <c:pt idx="702">
                  <c:v>702</c:v>
                </c:pt>
                <c:pt idx="703">
                  <c:v>703</c:v>
                </c:pt>
                <c:pt idx="704">
                  <c:v>704</c:v>
                </c:pt>
                <c:pt idx="705">
                  <c:v>705</c:v>
                </c:pt>
                <c:pt idx="706">
                  <c:v>706</c:v>
                </c:pt>
                <c:pt idx="707">
                  <c:v>707</c:v>
                </c:pt>
                <c:pt idx="708">
                  <c:v>708</c:v>
                </c:pt>
                <c:pt idx="709">
                  <c:v>709</c:v>
                </c:pt>
                <c:pt idx="710">
                  <c:v>710</c:v>
                </c:pt>
                <c:pt idx="711">
                  <c:v>711</c:v>
                </c:pt>
                <c:pt idx="712">
                  <c:v>712</c:v>
                </c:pt>
                <c:pt idx="713">
                  <c:v>713</c:v>
                </c:pt>
                <c:pt idx="714">
                  <c:v>714</c:v>
                </c:pt>
                <c:pt idx="715">
                  <c:v>715</c:v>
                </c:pt>
                <c:pt idx="716">
                  <c:v>716</c:v>
                </c:pt>
                <c:pt idx="717">
                  <c:v>717</c:v>
                </c:pt>
                <c:pt idx="718">
                  <c:v>718</c:v>
                </c:pt>
                <c:pt idx="719">
                  <c:v>719</c:v>
                </c:pt>
                <c:pt idx="720">
                  <c:v>720</c:v>
                </c:pt>
                <c:pt idx="721">
                  <c:v>721</c:v>
                </c:pt>
                <c:pt idx="722">
                  <c:v>722</c:v>
                </c:pt>
                <c:pt idx="723">
                  <c:v>723</c:v>
                </c:pt>
                <c:pt idx="724">
                  <c:v>724</c:v>
                </c:pt>
                <c:pt idx="725">
                  <c:v>725</c:v>
                </c:pt>
                <c:pt idx="726">
                  <c:v>726</c:v>
                </c:pt>
                <c:pt idx="727">
                  <c:v>727</c:v>
                </c:pt>
                <c:pt idx="728">
                  <c:v>728</c:v>
                </c:pt>
                <c:pt idx="729">
                  <c:v>729</c:v>
                </c:pt>
                <c:pt idx="730">
                  <c:v>730</c:v>
                </c:pt>
                <c:pt idx="731">
                  <c:v>731</c:v>
                </c:pt>
                <c:pt idx="732">
                  <c:v>732</c:v>
                </c:pt>
                <c:pt idx="733">
                  <c:v>733</c:v>
                </c:pt>
                <c:pt idx="734">
                  <c:v>734</c:v>
                </c:pt>
                <c:pt idx="735">
                  <c:v>735</c:v>
                </c:pt>
                <c:pt idx="736">
                  <c:v>736</c:v>
                </c:pt>
                <c:pt idx="737">
                  <c:v>737</c:v>
                </c:pt>
                <c:pt idx="738">
                  <c:v>738</c:v>
                </c:pt>
                <c:pt idx="739">
                  <c:v>739</c:v>
                </c:pt>
                <c:pt idx="740">
                  <c:v>740</c:v>
                </c:pt>
                <c:pt idx="741">
                  <c:v>741</c:v>
                </c:pt>
                <c:pt idx="742">
                  <c:v>742</c:v>
                </c:pt>
                <c:pt idx="743">
                  <c:v>743</c:v>
                </c:pt>
                <c:pt idx="744">
                  <c:v>744</c:v>
                </c:pt>
                <c:pt idx="745">
                  <c:v>745</c:v>
                </c:pt>
                <c:pt idx="746">
                  <c:v>746</c:v>
                </c:pt>
                <c:pt idx="747">
                  <c:v>747</c:v>
                </c:pt>
                <c:pt idx="748">
                  <c:v>748</c:v>
                </c:pt>
                <c:pt idx="749">
                  <c:v>749</c:v>
                </c:pt>
                <c:pt idx="750">
                  <c:v>750</c:v>
                </c:pt>
                <c:pt idx="751">
                  <c:v>751</c:v>
                </c:pt>
                <c:pt idx="752">
                  <c:v>752</c:v>
                </c:pt>
                <c:pt idx="753">
                  <c:v>753</c:v>
                </c:pt>
                <c:pt idx="754">
                  <c:v>754</c:v>
                </c:pt>
                <c:pt idx="755">
                  <c:v>755</c:v>
                </c:pt>
                <c:pt idx="756">
                  <c:v>756</c:v>
                </c:pt>
                <c:pt idx="757">
                  <c:v>757</c:v>
                </c:pt>
                <c:pt idx="758">
                  <c:v>758</c:v>
                </c:pt>
                <c:pt idx="759">
                  <c:v>759</c:v>
                </c:pt>
                <c:pt idx="760">
                  <c:v>760</c:v>
                </c:pt>
                <c:pt idx="761">
                  <c:v>761</c:v>
                </c:pt>
                <c:pt idx="762">
                  <c:v>762</c:v>
                </c:pt>
                <c:pt idx="763">
                  <c:v>763</c:v>
                </c:pt>
                <c:pt idx="764">
                  <c:v>764</c:v>
                </c:pt>
                <c:pt idx="765">
                  <c:v>765</c:v>
                </c:pt>
                <c:pt idx="766">
                  <c:v>766</c:v>
                </c:pt>
                <c:pt idx="767">
                  <c:v>767</c:v>
                </c:pt>
                <c:pt idx="768">
                  <c:v>768</c:v>
                </c:pt>
                <c:pt idx="769">
                  <c:v>769</c:v>
                </c:pt>
                <c:pt idx="770">
                  <c:v>770</c:v>
                </c:pt>
                <c:pt idx="771">
                  <c:v>771</c:v>
                </c:pt>
                <c:pt idx="772">
                  <c:v>772</c:v>
                </c:pt>
                <c:pt idx="773">
                  <c:v>773</c:v>
                </c:pt>
                <c:pt idx="774">
                  <c:v>774</c:v>
                </c:pt>
                <c:pt idx="775">
                  <c:v>775</c:v>
                </c:pt>
                <c:pt idx="776">
                  <c:v>776</c:v>
                </c:pt>
                <c:pt idx="777">
                  <c:v>777</c:v>
                </c:pt>
                <c:pt idx="778">
                  <c:v>778</c:v>
                </c:pt>
                <c:pt idx="779">
                  <c:v>779</c:v>
                </c:pt>
                <c:pt idx="780">
                  <c:v>780</c:v>
                </c:pt>
                <c:pt idx="781">
                  <c:v>781</c:v>
                </c:pt>
                <c:pt idx="782">
                  <c:v>782</c:v>
                </c:pt>
                <c:pt idx="783">
                  <c:v>783</c:v>
                </c:pt>
                <c:pt idx="784">
                  <c:v>784</c:v>
                </c:pt>
                <c:pt idx="785">
                  <c:v>785</c:v>
                </c:pt>
                <c:pt idx="786">
                  <c:v>786</c:v>
                </c:pt>
                <c:pt idx="787">
                  <c:v>787</c:v>
                </c:pt>
                <c:pt idx="788">
                  <c:v>788</c:v>
                </c:pt>
                <c:pt idx="789">
                  <c:v>789</c:v>
                </c:pt>
                <c:pt idx="790">
                  <c:v>790</c:v>
                </c:pt>
                <c:pt idx="791">
                  <c:v>791</c:v>
                </c:pt>
                <c:pt idx="792">
                  <c:v>792</c:v>
                </c:pt>
                <c:pt idx="793">
                  <c:v>793</c:v>
                </c:pt>
                <c:pt idx="794">
                  <c:v>794</c:v>
                </c:pt>
                <c:pt idx="795">
                  <c:v>795</c:v>
                </c:pt>
                <c:pt idx="796">
                  <c:v>796</c:v>
                </c:pt>
                <c:pt idx="797">
                  <c:v>797</c:v>
                </c:pt>
                <c:pt idx="798">
                  <c:v>798</c:v>
                </c:pt>
                <c:pt idx="799">
                  <c:v>799</c:v>
                </c:pt>
                <c:pt idx="800">
                  <c:v>800</c:v>
                </c:pt>
                <c:pt idx="801">
                  <c:v>801</c:v>
                </c:pt>
                <c:pt idx="802">
                  <c:v>802</c:v>
                </c:pt>
                <c:pt idx="803">
                  <c:v>803</c:v>
                </c:pt>
                <c:pt idx="804">
                  <c:v>804</c:v>
                </c:pt>
                <c:pt idx="805">
                  <c:v>805</c:v>
                </c:pt>
                <c:pt idx="806">
                  <c:v>806</c:v>
                </c:pt>
                <c:pt idx="807">
                  <c:v>807</c:v>
                </c:pt>
                <c:pt idx="808">
                  <c:v>808</c:v>
                </c:pt>
                <c:pt idx="809">
                  <c:v>809</c:v>
                </c:pt>
                <c:pt idx="810">
                  <c:v>810</c:v>
                </c:pt>
                <c:pt idx="811">
                  <c:v>811</c:v>
                </c:pt>
                <c:pt idx="812">
                  <c:v>812</c:v>
                </c:pt>
                <c:pt idx="813">
                  <c:v>813</c:v>
                </c:pt>
                <c:pt idx="814">
                  <c:v>814</c:v>
                </c:pt>
                <c:pt idx="815">
                  <c:v>815</c:v>
                </c:pt>
                <c:pt idx="816">
                  <c:v>816</c:v>
                </c:pt>
                <c:pt idx="817">
                  <c:v>817</c:v>
                </c:pt>
                <c:pt idx="818">
                  <c:v>818</c:v>
                </c:pt>
                <c:pt idx="819">
                  <c:v>819</c:v>
                </c:pt>
                <c:pt idx="820">
                  <c:v>820</c:v>
                </c:pt>
                <c:pt idx="821">
                  <c:v>821</c:v>
                </c:pt>
                <c:pt idx="822">
                  <c:v>822</c:v>
                </c:pt>
                <c:pt idx="823">
                  <c:v>823</c:v>
                </c:pt>
                <c:pt idx="824">
                  <c:v>824</c:v>
                </c:pt>
                <c:pt idx="825">
                  <c:v>825</c:v>
                </c:pt>
                <c:pt idx="826">
                  <c:v>826</c:v>
                </c:pt>
                <c:pt idx="827">
                  <c:v>827</c:v>
                </c:pt>
                <c:pt idx="828">
                  <c:v>828</c:v>
                </c:pt>
                <c:pt idx="829">
                  <c:v>829</c:v>
                </c:pt>
                <c:pt idx="830">
                  <c:v>830</c:v>
                </c:pt>
                <c:pt idx="831">
                  <c:v>831</c:v>
                </c:pt>
                <c:pt idx="832">
                  <c:v>832</c:v>
                </c:pt>
                <c:pt idx="833">
                  <c:v>833</c:v>
                </c:pt>
                <c:pt idx="834">
                  <c:v>834</c:v>
                </c:pt>
                <c:pt idx="835">
                  <c:v>835</c:v>
                </c:pt>
                <c:pt idx="836">
                  <c:v>836</c:v>
                </c:pt>
                <c:pt idx="837">
                  <c:v>837</c:v>
                </c:pt>
                <c:pt idx="838">
                  <c:v>838</c:v>
                </c:pt>
                <c:pt idx="839">
                  <c:v>839</c:v>
                </c:pt>
                <c:pt idx="840">
                  <c:v>840</c:v>
                </c:pt>
                <c:pt idx="841">
                  <c:v>841</c:v>
                </c:pt>
                <c:pt idx="842">
                  <c:v>842</c:v>
                </c:pt>
                <c:pt idx="843">
                  <c:v>843</c:v>
                </c:pt>
                <c:pt idx="844">
                  <c:v>844</c:v>
                </c:pt>
                <c:pt idx="845">
                  <c:v>845</c:v>
                </c:pt>
                <c:pt idx="846">
                  <c:v>846</c:v>
                </c:pt>
                <c:pt idx="847">
                  <c:v>847</c:v>
                </c:pt>
                <c:pt idx="848">
                  <c:v>848</c:v>
                </c:pt>
                <c:pt idx="849">
                  <c:v>849</c:v>
                </c:pt>
                <c:pt idx="850">
                  <c:v>850</c:v>
                </c:pt>
                <c:pt idx="851">
                  <c:v>851</c:v>
                </c:pt>
                <c:pt idx="852">
                  <c:v>852</c:v>
                </c:pt>
                <c:pt idx="853">
                  <c:v>853</c:v>
                </c:pt>
                <c:pt idx="854">
                  <c:v>854</c:v>
                </c:pt>
                <c:pt idx="855">
                  <c:v>855</c:v>
                </c:pt>
                <c:pt idx="856">
                  <c:v>856</c:v>
                </c:pt>
                <c:pt idx="857">
                  <c:v>857</c:v>
                </c:pt>
                <c:pt idx="858">
                  <c:v>858</c:v>
                </c:pt>
                <c:pt idx="859">
                  <c:v>859</c:v>
                </c:pt>
                <c:pt idx="860">
                  <c:v>860</c:v>
                </c:pt>
                <c:pt idx="861">
                  <c:v>861</c:v>
                </c:pt>
                <c:pt idx="862">
                  <c:v>862</c:v>
                </c:pt>
                <c:pt idx="863">
                  <c:v>863</c:v>
                </c:pt>
                <c:pt idx="864">
                  <c:v>864</c:v>
                </c:pt>
                <c:pt idx="865">
                  <c:v>865</c:v>
                </c:pt>
                <c:pt idx="866">
                  <c:v>866</c:v>
                </c:pt>
                <c:pt idx="867">
                  <c:v>867</c:v>
                </c:pt>
                <c:pt idx="868">
                  <c:v>868</c:v>
                </c:pt>
                <c:pt idx="869">
                  <c:v>869</c:v>
                </c:pt>
                <c:pt idx="870">
                  <c:v>870</c:v>
                </c:pt>
                <c:pt idx="871">
                  <c:v>871</c:v>
                </c:pt>
                <c:pt idx="872">
                  <c:v>872</c:v>
                </c:pt>
                <c:pt idx="873">
                  <c:v>873</c:v>
                </c:pt>
                <c:pt idx="874">
                  <c:v>874</c:v>
                </c:pt>
                <c:pt idx="875">
                  <c:v>875</c:v>
                </c:pt>
                <c:pt idx="876">
                  <c:v>876</c:v>
                </c:pt>
                <c:pt idx="877">
                  <c:v>877</c:v>
                </c:pt>
                <c:pt idx="878">
                  <c:v>878</c:v>
                </c:pt>
                <c:pt idx="879">
                  <c:v>879</c:v>
                </c:pt>
                <c:pt idx="880">
                  <c:v>880</c:v>
                </c:pt>
                <c:pt idx="881">
                  <c:v>881</c:v>
                </c:pt>
                <c:pt idx="882">
                  <c:v>882</c:v>
                </c:pt>
                <c:pt idx="883">
                  <c:v>883</c:v>
                </c:pt>
                <c:pt idx="884">
                  <c:v>884</c:v>
                </c:pt>
                <c:pt idx="885">
                  <c:v>885</c:v>
                </c:pt>
                <c:pt idx="886">
                  <c:v>886</c:v>
                </c:pt>
                <c:pt idx="887">
                  <c:v>887</c:v>
                </c:pt>
                <c:pt idx="888">
                  <c:v>888</c:v>
                </c:pt>
                <c:pt idx="889">
                  <c:v>889</c:v>
                </c:pt>
                <c:pt idx="890">
                  <c:v>890</c:v>
                </c:pt>
                <c:pt idx="891">
                  <c:v>891</c:v>
                </c:pt>
                <c:pt idx="892">
                  <c:v>892</c:v>
                </c:pt>
                <c:pt idx="893">
                  <c:v>893</c:v>
                </c:pt>
                <c:pt idx="894">
                  <c:v>894</c:v>
                </c:pt>
                <c:pt idx="895">
                  <c:v>895</c:v>
                </c:pt>
                <c:pt idx="896">
                  <c:v>896</c:v>
                </c:pt>
                <c:pt idx="897">
                  <c:v>897</c:v>
                </c:pt>
                <c:pt idx="898">
                  <c:v>898</c:v>
                </c:pt>
                <c:pt idx="899">
                  <c:v>899</c:v>
                </c:pt>
                <c:pt idx="900">
                  <c:v>900</c:v>
                </c:pt>
                <c:pt idx="901">
                  <c:v>901</c:v>
                </c:pt>
                <c:pt idx="902">
                  <c:v>902</c:v>
                </c:pt>
                <c:pt idx="903">
                  <c:v>903</c:v>
                </c:pt>
                <c:pt idx="904">
                  <c:v>904</c:v>
                </c:pt>
                <c:pt idx="905">
                  <c:v>905</c:v>
                </c:pt>
                <c:pt idx="906">
                  <c:v>906</c:v>
                </c:pt>
                <c:pt idx="907">
                  <c:v>907</c:v>
                </c:pt>
                <c:pt idx="908">
                  <c:v>908</c:v>
                </c:pt>
                <c:pt idx="909">
                  <c:v>909</c:v>
                </c:pt>
                <c:pt idx="910">
                  <c:v>910</c:v>
                </c:pt>
                <c:pt idx="911">
                  <c:v>911</c:v>
                </c:pt>
                <c:pt idx="912">
                  <c:v>912</c:v>
                </c:pt>
                <c:pt idx="913">
                  <c:v>913</c:v>
                </c:pt>
                <c:pt idx="914">
                  <c:v>914</c:v>
                </c:pt>
                <c:pt idx="915">
                  <c:v>915</c:v>
                </c:pt>
                <c:pt idx="916">
                  <c:v>916</c:v>
                </c:pt>
                <c:pt idx="917">
                  <c:v>917</c:v>
                </c:pt>
                <c:pt idx="918">
                  <c:v>918</c:v>
                </c:pt>
                <c:pt idx="919">
                  <c:v>919</c:v>
                </c:pt>
                <c:pt idx="920">
                  <c:v>920</c:v>
                </c:pt>
                <c:pt idx="921">
                  <c:v>921</c:v>
                </c:pt>
                <c:pt idx="922">
                  <c:v>922</c:v>
                </c:pt>
                <c:pt idx="923">
                  <c:v>923</c:v>
                </c:pt>
                <c:pt idx="924">
                  <c:v>924</c:v>
                </c:pt>
                <c:pt idx="925">
                  <c:v>925</c:v>
                </c:pt>
                <c:pt idx="926">
                  <c:v>926</c:v>
                </c:pt>
                <c:pt idx="927">
                  <c:v>927</c:v>
                </c:pt>
                <c:pt idx="928">
                  <c:v>928</c:v>
                </c:pt>
                <c:pt idx="929">
                  <c:v>929</c:v>
                </c:pt>
                <c:pt idx="930">
                  <c:v>930</c:v>
                </c:pt>
                <c:pt idx="931">
                  <c:v>931</c:v>
                </c:pt>
                <c:pt idx="932">
                  <c:v>932</c:v>
                </c:pt>
                <c:pt idx="933">
                  <c:v>933</c:v>
                </c:pt>
                <c:pt idx="934">
                  <c:v>934</c:v>
                </c:pt>
                <c:pt idx="935">
                  <c:v>935</c:v>
                </c:pt>
                <c:pt idx="936">
                  <c:v>936</c:v>
                </c:pt>
                <c:pt idx="937">
                  <c:v>937</c:v>
                </c:pt>
                <c:pt idx="938">
                  <c:v>938</c:v>
                </c:pt>
                <c:pt idx="939">
                  <c:v>939</c:v>
                </c:pt>
                <c:pt idx="940">
                  <c:v>940</c:v>
                </c:pt>
                <c:pt idx="941">
                  <c:v>941</c:v>
                </c:pt>
                <c:pt idx="942">
                  <c:v>942</c:v>
                </c:pt>
                <c:pt idx="943">
                  <c:v>943</c:v>
                </c:pt>
                <c:pt idx="944">
                  <c:v>944</c:v>
                </c:pt>
                <c:pt idx="945">
                  <c:v>945</c:v>
                </c:pt>
                <c:pt idx="946">
                  <c:v>946</c:v>
                </c:pt>
                <c:pt idx="947">
                  <c:v>947</c:v>
                </c:pt>
                <c:pt idx="948">
                  <c:v>948</c:v>
                </c:pt>
                <c:pt idx="949">
                  <c:v>949</c:v>
                </c:pt>
                <c:pt idx="950">
                  <c:v>950</c:v>
                </c:pt>
                <c:pt idx="951">
                  <c:v>951</c:v>
                </c:pt>
                <c:pt idx="952">
                  <c:v>952</c:v>
                </c:pt>
                <c:pt idx="953">
                  <c:v>953</c:v>
                </c:pt>
                <c:pt idx="954">
                  <c:v>954</c:v>
                </c:pt>
                <c:pt idx="955">
                  <c:v>955</c:v>
                </c:pt>
                <c:pt idx="956">
                  <c:v>956</c:v>
                </c:pt>
                <c:pt idx="957">
                  <c:v>957</c:v>
                </c:pt>
                <c:pt idx="958">
                  <c:v>958</c:v>
                </c:pt>
                <c:pt idx="959">
                  <c:v>959</c:v>
                </c:pt>
                <c:pt idx="960">
                  <c:v>960</c:v>
                </c:pt>
                <c:pt idx="961">
                  <c:v>961</c:v>
                </c:pt>
                <c:pt idx="962">
                  <c:v>962</c:v>
                </c:pt>
                <c:pt idx="963">
                  <c:v>963</c:v>
                </c:pt>
                <c:pt idx="964">
                  <c:v>964</c:v>
                </c:pt>
                <c:pt idx="965">
                  <c:v>965</c:v>
                </c:pt>
                <c:pt idx="966">
                  <c:v>966</c:v>
                </c:pt>
                <c:pt idx="967">
                  <c:v>967</c:v>
                </c:pt>
                <c:pt idx="968">
                  <c:v>968</c:v>
                </c:pt>
                <c:pt idx="969">
                  <c:v>969</c:v>
                </c:pt>
                <c:pt idx="970">
                  <c:v>970</c:v>
                </c:pt>
                <c:pt idx="971">
                  <c:v>971</c:v>
                </c:pt>
                <c:pt idx="972">
                  <c:v>972</c:v>
                </c:pt>
                <c:pt idx="973">
                  <c:v>973</c:v>
                </c:pt>
                <c:pt idx="974">
                  <c:v>974</c:v>
                </c:pt>
                <c:pt idx="975">
                  <c:v>975</c:v>
                </c:pt>
                <c:pt idx="976">
                  <c:v>976</c:v>
                </c:pt>
                <c:pt idx="977">
                  <c:v>977</c:v>
                </c:pt>
                <c:pt idx="978">
                  <c:v>978</c:v>
                </c:pt>
                <c:pt idx="979">
                  <c:v>979</c:v>
                </c:pt>
                <c:pt idx="980">
                  <c:v>980</c:v>
                </c:pt>
                <c:pt idx="981">
                  <c:v>981</c:v>
                </c:pt>
                <c:pt idx="982">
                  <c:v>982</c:v>
                </c:pt>
                <c:pt idx="983">
                  <c:v>983</c:v>
                </c:pt>
                <c:pt idx="984">
                  <c:v>984</c:v>
                </c:pt>
                <c:pt idx="985">
                  <c:v>985</c:v>
                </c:pt>
                <c:pt idx="986">
                  <c:v>986</c:v>
                </c:pt>
                <c:pt idx="987">
                  <c:v>987</c:v>
                </c:pt>
                <c:pt idx="988">
                  <c:v>988</c:v>
                </c:pt>
                <c:pt idx="989">
                  <c:v>989</c:v>
                </c:pt>
                <c:pt idx="990">
                  <c:v>990</c:v>
                </c:pt>
                <c:pt idx="991">
                  <c:v>991</c:v>
                </c:pt>
                <c:pt idx="992">
                  <c:v>992</c:v>
                </c:pt>
                <c:pt idx="993">
                  <c:v>993</c:v>
                </c:pt>
                <c:pt idx="994">
                  <c:v>994</c:v>
                </c:pt>
                <c:pt idx="995">
                  <c:v>995</c:v>
                </c:pt>
                <c:pt idx="996">
                  <c:v>996</c:v>
                </c:pt>
                <c:pt idx="997">
                  <c:v>997</c:v>
                </c:pt>
                <c:pt idx="998">
                  <c:v>998</c:v>
                </c:pt>
                <c:pt idx="999">
                  <c:v>999</c:v>
                </c:pt>
                <c:pt idx="1000">
                  <c:v>1000</c:v>
                </c:pt>
                <c:pt idx="1001">
                  <c:v>1001</c:v>
                </c:pt>
                <c:pt idx="1002">
                  <c:v>1002</c:v>
                </c:pt>
                <c:pt idx="1003">
                  <c:v>1003</c:v>
                </c:pt>
                <c:pt idx="1004">
                  <c:v>1004</c:v>
                </c:pt>
                <c:pt idx="1005">
                  <c:v>1005</c:v>
                </c:pt>
                <c:pt idx="1006">
                  <c:v>1006</c:v>
                </c:pt>
                <c:pt idx="1007">
                  <c:v>1007</c:v>
                </c:pt>
                <c:pt idx="1008">
                  <c:v>1008</c:v>
                </c:pt>
                <c:pt idx="1009">
                  <c:v>1009</c:v>
                </c:pt>
                <c:pt idx="1010">
                  <c:v>1010</c:v>
                </c:pt>
                <c:pt idx="1011">
                  <c:v>1011</c:v>
                </c:pt>
                <c:pt idx="1012">
                  <c:v>1012</c:v>
                </c:pt>
                <c:pt idx="1013">
                  <c:v>1013</c:v>
                </c:pt>
                <c:pt idx="1014">
                  <c:v>1014</c:v>
                </c:pt>
                <c:pt idx="1015">
                  <c:v>1015</c:v>
                </c:pt>
                <c:pt idx="1016">
                  <c:v>1016</c:v>
                </c:pt>
                <c:pt idx="1017">
                  <c:v>1017</c:v>
                </c:pt>
                <c:pt idx="1018">
                  <c:v>1018</c:v>
                </c:pt>
                <c:pt idx="1019">
                  <c:v>1019</c:v>
                </c:pt>
                <c:pt idx="1020">
                  <c:v>1020</c:v>
                </c:pt>
                <c:pt idx="1021">
                  <c:v>1021</c:v>
                </c:pt>
                <c:pt idx="1022">
                  <c:v>1022</c:v>
                </c:pt>
                <c:pt idx="1023">
                  <c:v>1023</c:v>
                </c:pt>
                <c:pt idx="1024">
                  <c:v>1024</c:v>
                </c:pt>
                <c:pt idx="1025">
                  <c:v>1025</c:v>
                </c:pt>
                <c:pt idx="1026">
                  <c:v>1026</c:v>
                </c:pt>
                <c:pt idx="1027">
                  <c:v>1027</c:v>
                </c:pt>
                <c:pt idx="1028">
                  <c:v>1028</c:v>
                </c:pt>
                <c:pt idx="1029">
                  <c:v>1029</c:v>
                </c:pt>
                <c:pt idx="1030">
                  <c:v>1030</c:v>
                </c:pt>
                <c:pt idx="1031">
                  <c:v>1031</c:v>
                </c:pt>
                <c:pt idx="1032">
                  <c:v>1032</c:v>
                </c:pt>
                <c:pt idx="1033">
                  <c:v>1033</c:v>
                </c:pt>
                <c:pt idx="1034">
                  <c:v>1034</c:v>
                </c:pt>
                <c:pt idx="1035">
                  <c:v>1035</c:v>
                </c:pt>
                <c:pt idx="1036">
                  <c:v>1036</c:v>
                </c:pt>
                <c:pt idx="1037">
                  <c:v>1037</c:v>
                </c:pt>
                <c:pt idx="1038">
                  <c:v>1038</c:v>
                </c:pt>
                <c:pt idx="1039">
                  <c:v>1039</c:v>
                </c:pt>
                <c:pt idx="1040">
                  <c:v>1040</c:v>
                </c:pt>
              </c:numCache>
            </c:numRef>
          </c:xVal>
          <c:yVal>
            <c:numRef>
              <c:f>'Model Comparator'!$T$7:$T$1047</c:f>
              <c:numCache>
                <c:formatCode>0.000</c:formatCode>
                <c:ptCount val="1041"/>
                <c:pt idx="0">
                  <c:v>1</c:v>
                </c:pt>
                <c:pt idx="1">
                  <c:v>0.96219035202086101</c:v>
                </c:pt>
                <c:pt idx="2">
                  <c:v>0.94524119947848795</c:v>
                </c:pt>
                <c:pt idx="3">
                  <c:v>0.92177314211212502</c:v>
                </c:pt>
                <c:pt idx="4">
                  <c:v>0.91264667535854005</c:v>
                </c:pt>
                <c:pt idx="5">
                  <c:v>0.87222946544980395</c:v>
                </c:pt>
                <c:pt idx="6">
                  <c:v>0.83702737940026095</c:v>
                </c:pt>
                <c:pt idx="7">
                  <c:v>0.81355932203389802</c:v>
                </c:pt>
                <c:pt idx="8">
                  <c:v>0.80312907431551495</c:v>
                </c:pt>
                <c:pt idx="9">
                  <c:v>0.786179921773142</c:v>
                </c:pt>
                <c:pt idx="10">
                  <c:v>0.77444589308996103</c:v>
                </c:pt>
                <c:pt idx="11">
                  <c:v>0.748370273794003</c:v>
                </c:pt>
                <c:pt idx="12">
                  <c:v>0.713168187744459</c:v>
                </c:pt>
                <c:pt idx="13">
                  <c:v>0.68318122555410699</c:v>
                </c:pt>
                <c:pt idx="14">
                  <c:v>0.66232073011734005</c:v>
                </c:pt>
                <c:pt idx="15">
                  <c:v>0.642764015645372</c:v>
                </c:pt>
                <c:pt idx="16">
                  <c:v>0.62842242503259504</c:v>
                </c:pt>
                <c:pt idx="17">
                  <c:v>0.60234680573663602</c:v>
                </c:pt>
                <c:pt idx="18">
                  <c:v>0.56192959582790103</c:v>
                </c:pt>
                <c:pt idx="19">
                  <c:v>0.53976531942633699</c:v>
                </c:pt>
                <c:pt idx="20">
                  <c:v>0.52542372881356003</c:v>
                </c:pt>
                <c:pt idx="21">
                  <c:v>0.500651890482399</c:v>
                </c:pt>
                <c:pt idx="22">
                  <c:v>0.49022164276401597</c:v>
                </c:pt>
                <c:pt idx="23">
                  <c:v>0.464146023468058</c:v>
                </c:pt>
                <c:pt idx="24">
                  <c:v>0.42633637548891801</c:v>
                </c:pt>
                <c:pt idx="25">
                  <c:v>0.40026075619295998</c:v>
                </c:pt>
                <c:pt idx="26">
                  <c:v>0.38722294654498102</c:v>
                </c:pt>
                <c:pt idx="27">
                  <c:v>0.37809647979139499</c:v>
                </c:pt>
                <c:pt idx="28">
                  <c:v>0.36766623207301202</c:v>
                </c:pt>
                <c:pt idx="29">
                  <c:v>0.34941329856584102</c:v>
                </c:pt>
                <c:pt idx="30">
                  <c:v>0.33507170795306401</c:v>
                </c:pt>
                <c:pt idx="31">
                  <c:v>0.32724902216427698</c:v>
                </c:pt>
                <c:pt idx="32">
                  <c:v>0.31681877444589301</c:v>
                </c:pt>
                <c:pt idx="33">
                  <c:v>0.29986962190352001</c:v>
                </c:pt>
                <c:pt idx="34">
                  <c:v>0.29204693611473298</c:v>
                </c:pt>
                <c:pt idx="35">
                  <c:v>0.28031290743155202</c:v>
                </c:pt>
                <c:pt idx="36">
                  <c:v>0.25945241199478503</c:v>
                </c:pt>
                <c:pt idx="37">
                  <c:v>0.24511082138200799</c:v>
                </c:pt>
                <c:pt idx="38">
                  <c:v>0.239895697522816</c:v>
                </c:pt>
                <c:pt idx="39">
                  <c:v>0.233376792698827</c:v>
                </c:pt>
                <c:pt idx="40">
                  <c:v>0.224250325945241</c:v>
                </c:pt>
                <c:pt idx="41">
                  <c:v>0.215123859191656</c:v>
                </c:pt>
                <c:pt idx="42">
                  <c:v>0.196870925684485</c:v>
                </c:pt>
                <c:pt idx="43">
                  <c:v>0.18383311603650601</c:v>
                </c:pt>
                <c:pt idx="44">
                  <c:v>0.177314211212516</c:v>
                </c:pt>
                <c:pt idx="45">
                  <c:v>0.17340286831812299</c:v>
                </c:pt>
                <c:pt idx="46">
                  <c:v>0.168187744458931</c:v>
                </c:pt>
                <c:pt idx="47">
                  <c:v>0.15645371577575001</c:v>
                </c:pt>
                <c:pt idx="48">
                  <c:v>0.15063441594376584</c:v>
                </c:pt>
                <c:pt idx="49">
                  <c:v>0.14502305652768357</c:v>
                </c:pt>
                <c:pt idx="50">
                  <c:v>0.13961269246617497</c:v>
                </c:pt>
                <c:pt idx="51">
                  <c:v>0.13439657979653008</c:v>
                </c:pt>
                <c:pt idx="52">
                  <c:v>0.12936817212956001</c:v>
                </c:pt>
                <c:pt idx="53">
                  <c:v>0.12452111696903552</c:v>
                </c:pt>
                <c:pt idx="54">
                  <c:v>0.11984925190483946</c:v>
                </c:pt>
                <c:pt idx="55">
                  <c:v>0.11534660070567131</c:v>
                </c:pt>
                <c:pt idx="56">
                  <c:v>0.11100736933418855</c:v>
                </c:pt>
                <c:pt idx="57">
                  <c:v>0.10682594190484503</c:v>
                </c:pt>
                <c:pt idx="58">
                  <c:v>0.10279687660235851</c:v>
                </c:pt>
                <c:pt idx="59">
                  <c:v>9.8914901576662273E-2</c:v>
                </c:pt>
                <c:pt idx="60">
                  <c:v>9.5174910828349557E-2</c:v>
                </c:pt>
                <c:pt idx="61">
                  <c:v>9.1571960096966221E-2</c:v>
                </c:pt>
                <c:pt idx="62">
                  <c:v>8.8101262763035496E-2</c:v>
                </c:pt>
                <c:pt idx="63">
                  <c:v>8.4758185773376571E-2</c:v>
                </c:pt>
                <c:pt idx="64">
                  <c:v>8.1538245598100342E-2</c:v>
                </c:pt>
                <c:pt idx="65">
                  <c:v>7.8437104226606838E-2</c:v>
                </c:pt>
                <c:pt idx="66">
                  <c:v>7.5450565208959E-2</c:v>
                </c:pt>
                <c:pt idx="67">
                  <c:v>7.2574569748159665E-2</c:v>
                </c:pt>
                <c:pt idx="68">
                  <c:v>6.9805192848092126E-2</c:v>
                </c:pt>
                <c:pt idx="69">
                  <c:v>6.7138639521201152E-2</c:v>
                </c:pt>
                <c:pt idx="70">
                  <c:v>6.457124105937638E-2</c:v>
                </c:pt>
                <c:pt idx="71">
                  <c:v>6.2099451370946218E-2</c:v>
                </c:pt>
                <c:pt idx="72">
                  <c:v>5.9719843386196944E-2</c:v>
                </c:pt>
                <c:pt idx="73">
                  <c:v>5.7429105533385344E-2</c:v>
                </c:pt>
                <c:pt idx="74">
                  <c:v>5.5224038286815373E-2</c:v>
                </c:pt>
                <c:pt idx="75">
                  <c:v>5.3101550788191239E-2</c:v>
                </c:pt>
                <c:pt idx="76">
                  <c:v>5.1058657542140028E-2</c:v>
                </c:pt>
                <c:pt idx="77">
                  <c:v>4.9092475186509422E-2</c:v>
                </c:pt>
                <c:pt idx="78">
                  <c:v>4.720021933779113E-2</c:v>
                </c:pt>
                <c:pt idx="79">
                  <c:v>4.5379201511791624E-2</c:v>
                </c:pt>
                <c:pt idx="80">
                  <c:v>4.3626826119468561E-2</c:v>
                </c:pt>
                <c:pt idx="81">
                  <c:v>4.1940587537670236E-2</c:v>
                </c:pt>
                <c:pt idx="82">
                  <c:v>4.031806725435489E-2</c:v>
                </c:pt>
                <c:pt idx="83">
                  <c:v>3.8756931087724947E-2</c:v>
                </c:pt>
                <c:pt idx="84">
                  <c:v>3.7254926478585831E-2</c:v>
                </c:pt>
                <c:pt idx="85">
                  <c:v>3.5809879855129283E-2</c:v>
                </c:pt>
                <c:pt idx="86">
                  <c:v>3.4419694069244562E-2</c:v>
                </c:pt>
                <c:pt idx="87">
                  <c:v>3.3082345903377705E-2</c:v>
                </c:pt>
                <c:pt idx="88">
                  <c:v>3.1795883646885993E-2</c:v>
                </c:pt>
                <c:pt idx="89">
                  <c:v>3.0558424740773416E-2</c:v>
                </c:pt>
                <c:pt idx="90">
                  <c:v>2.9368153489639417E-2</c:v>
                </c:pt>
                <c:pt idx="91">
                  <c:v>2.8223318839628961E-2</c:v>
                </c:pt>
                <c:pt idx="92">
                  <c:v>2.7122232221135394E-2</c:v>
                </c:pt>
                <c:pt idx="93">
                  <c:v>2.6063265454977388E-2</c:v>
                </c:pt>
                <c:pt idx="94">
                  <c:v>2.5044848720747328E-2</c:v>
                </c:pt>
                <c:pt idx="95">
                  <c:v>2.4065468586011038E-2</c:v>
                </c:pt>
                <c:pt idx="96">
                  <c:v>2.3123666095024566E-2</c:v>
                </c:pt>
                <c:pt idx="97">
                  <c:v>2.2218034915626655E-2</c:v>
                </c:pt>
                <c:pt idx="98">
                  <c:v>2.1347219542959702E-2</c:v>
                </c:pt>
                <c:pt idx="99">
                  <c:v>2.0509913558672311E-2</c:v>
                </c:pt>
                <c:pt idx="100">
                  <c:v>1.9704857944258577E-2</c:v>
                </c:pt>
                <c:pt idx="101">
                  <c:v>1.8930839447194588E-2</c:v>
                </c:pt>
                <c:pt idx="102">
                  <c:v>1.8186688998541561E-2</c:v>
                </c:pt>
                <c:pt idx="103">
                  <c:v>1.7471280180694333E-2</c:v>
                </c:pt>
                <c:pt idx="104">
                  <c:v>1.6783527743967543E-2</c:v>
                </c:pt>
                <c:pt idx="105">
                  <c:v>1.6122386170725367E-2</c:v>
                </c:pt>
                <c:pt idx="106">
                  <c:v>1.5486848285777278E-2</c:v>
                </c:pt>
                <c:pt idx="107">
                  <c:v>1.4875943911779045E-2</c:v>
                </c:pt>
                <c:pt idx="108">
                  <c:v>1.4288738568397651E-2</c:v>
                </c:pt>
                <c:pt idx="109">
                  <c:v>1.3724332214017297E-2</c:v>
                </c:pt>
                <c:pt idx="110">
                  <c:v>1.3181858028785321E-2</c:v>
                </c:pt>
                <c:pt idx="111">
                  <c:v>1.2660481237817676E-2</c:v>
                </c:pt>
                <c:pt idx="112">
                  <c:v>1.2159397973405218E-2</c:v>
                </c:pt>
                <c:pt idx="113">
                  <c:v>1.1677834175085581E-2</c:v>
                </c:pt>
                <c:pt idx="114">
                  <c:v>1.1215044526467032E-2</c:v>
                </c:pt>
                <c:pt idx="115">
                  <c:v>1.0770311427714929E-2</c:v>
                </c:pt>
                <c:pt idx="116">
                  <c:v>1.0342944002634443E-2</c:v>
                </c:pt>
                <c:pt idx="117">
                  <c:v>9.9322771393068332E-3</c:v>
                </c:pt>
                <c:pt idx="118">
                  <c:v>9.5376705632602022E-3</c:v>
                </c:pt>
                <c:pt idx="119">
                  <c:v>9.1585079421798981E-3</c:v>
                </c:pt>
                <c:pt idx="120">
                  <c:v>8.7941960211865428E-3</c:v>
                </c:pt>
                <c:pt idx="121">
                  <c:v>8.4441637877343857E-3</c:v>
                </c:pt>
                <c:pt idx="122">
                  <c:v>8.1078616652051523E-3</c:v>
                </c:pt>
                <c:pt idx="123">
                  <c:v>7.7847607342966555E-3</c:v>
                </c:pt>
                <c:pt idx="124">
                  <c:v>7.4743519813280359E-3</c:v>
                </c:pt>
                <c:pt idx="125">
                  <c:v>7.176145572606955E-3</c:v>
                </c:pt>
                <c:pt idx="126">
                  <c:v>6.8896701540259557E-3</c:v>
                </c:pt>
                <c:pt idx="127">
                  <c:v>6.6144721750783621E-3</c:v>
                </c:pt>
                <c:pt idx="128">
                  <c:v>6.3501152365052858E-3</c:v>
                </c:pt>
                <c:pt idx="129">
                  <c:v>6.096179460807801E-3</c:v>
                </c:pt>
                <c:pt idx="130">
                  <c:v>5.8522608848789789E-3</c:v>
                </c:pt>
                <c:pt idx="131">
                  <c:v>5.6179708740319413E-3</c:v>
                </c:pt>
                <c:pt idx="132">
                  <c:v>5.3929355567205045E-3</c:v>
                </c:pt>
                <c:pt idx="133">
                  <c:v>5.1767952792690615E-3</c:v>
                </c:pt>
                <c:pt idx="134">
                  <c:v>4.96920407994857E-3</c:v>
                </c:pt>
                <c:pt idx="135">
                  <c:v>4.7698291817544133E-3</c:v>
                </c:pt>
                <c:pt idx="136">
                  <c:v>4.5783505032614032E-3</c:v>
                </c:pt>
                <c:pt idx="137">
                  <c:v>4.394460186949398E-3</c:v>
                </c:pt>
                <c:pt idx="138">
                  <c:v>4.2178621444115359E-3</c:v>
                </c:pt>
                <c:pt idx="139">
                  <c:v>4.0482716178745623E-3</c:v>
                </c:pt>
                <c:pt idx="140">
                  <c:v>3.8854147574783914E-3</c:v>
                </c:pt>
                <c:pt idx="141">
                  <c:v>3.7290282137787002E-3</c:v>
                </c:pt>
                <c:pt idx="142">
                  <c:v>3.5788587449532084E-3</c:v>
                </c:pt>
                <c:pt idx="143">
                  <c:v>3.4346628382080436E-3</c:v>
                </c:pt>
                <c:pt idx="144">
                  <c:v>3.2962063448968423E-3</c:v>
                </c:pt>
                <c:pt idx="145">
                  <c:v>3.1632641288800046E-3</c:v>
                </c:pt>
                <c:pt idx="146">
                  <c:v>3.0356197276668836E-3</c:v>
                </c:pt>
                <c:pt idx="147">
                  <c:v>2.913065025897978E-3</c:v>
                </c:pt>
                <c:pt idx="148">
                  <c:v>2.7953999407385483E-3</c:v>
                </c:pt>
                <c:pt idx="149">
                  <c:v>2.6824321187685581E-3</c:v>
                </c:pt>
                <c:pt idx="150">
                  <c:v>2.5739766439675884E-3</c:v>
                </c:pt>
                <c:pt idx="151">
                  <c:v>2.4698557564060966E-3</c:v>
                </c:pt>
                <c:pt idx="152">
                  <c:v>2.3698985812672323E-3</c:v>
                </c:pt>
                <c:pt idx="153">
                  <c:v>2.2739408678356015E-3</c:v>
                </c:pt>
                <c:pt idx="154">
                  <c:v>2.181824738101417E-3</c:v>
                </c:pt>
                <c:pt idx="155">
                  <c:v>2.0933984446400633E-3</c:v>
                </c:pt>
                <c:pt idx="156">
                  <c:v>2.0085161374381985E-3</c:v>
                </c:pt>
                <c:pt idx="157">
                  <c:v>1.9270376393488227E-3</c:v>
                </c:pt>
                <c:pt idx="158">
                  <c:v>1.8488282298678728E-3</c:v>
                </c:pt>
                <c:pt idx="159">
                  <c:v>1.7737584369357062E-3</c:v>
                </c:pt>
                <c:pt idx="160">
                  <c:v>1.7017038364763087E-3</c:v>
                </c:pt>
                <c:pt idx="161">
                  <c:v>1.6325448593972542E-3</c:v>
                </c:pt>
                <c:pt idx="162">
                  <c:v>1.5661666057824046E-3</c:v>
                </c:pt>
                <c:pt idx="163">
                  <c:v>1.5024586660187164E-3</c:v>
                </c:pt>
                <c:pt idx="164">
                  <c:v>1.4413149486072121E-3</c:v>
                </c:pt>
                <c:pt idx="165">
                  <c:v>1.382633514416763E-3</c:v>
                </c:pt>
                <c:pt idx="166">
                  <c:v>1.3263164171475783E-3</c:v>
                </c:pt>
                <c:pt idx="167">
                  <c:v>1.2722695497793999E-3</c:v>
                </c:pt>
                <c:pt idx="168">
                  <c:v>1.2204024967870097E-3</c:v>
                </c:pt>
                <c:pt idx="169">
                  <c:v>1.1706283919133732E-3</c:v>
                </c:pt>
                <c:pt idx="170">
                  <c:v>1.1228637812978244E-3</c:v>
                </c:pt>
                <c:pt idx="171">
                  <c:v>1.0770284917639074E-3</c:v>
                </c:pt>
                <c:pt idx="172">
                  <c:v>1.0330455040782121E-3</c:v>
                </c:pt>
                <c:pt idx="173">
                  <c:v>9.9084083099815526E-4</c:v>
                </c:pt>
                <c:pt idx="174">
                  <c:v>9.5034339993305388E-4</c:v>
                </c:pt>
                <c:pt idx="175">
                  <c:v>9.1148494004904051E-4</c:v>
                </c:pt>
                <c:pt idx="176">
                  <c:v>8.7419987365423813E-4</c:v>
                </c:pt>
                <c:pt idx="177">
                  <c:v>8.384252117065341E-4</c:v>
                </c:pt>
                <c:pt idx="178">
                  <c:v>8.0410045329174667E-4</c:v>
                </c:pt>
                <c:pt idx="179">
                  <c:v>7.7116748892543129E-4</c:v>
                </c:pt>
                <c:pt idx="180">
                  <c:v>7.3957050753682165E-4</c:v>
                </c:pt>
                <c:pt idx="181">
                  <c:v>7.0925590699836671E-4</c:v>
                </c:pt>
                <c:pt idx="182">
                  <c:v>6.8017220806925957E-4</c:v>
                </c:pt>
                <c:pt idx="183">
                  <c:v>6.5226997162604245E-4</c:v>
                </c:pt>
                <c:pt idx="184">
                  <c:v>6.2550171905793102E-4</c:v>
                </c:pt>
                <c:pt idx="185">
                  <c:v>5.998218557088697E-4</c:v>
                </c:pt>
                <c:pt idx="186">
                  <c:v>5.751865972526153E-4</c:v>
                </c:pt>
                <c:pt idx="187">
                  <c:v>5.5155389889121676E-4</c:v>
                </c:pt>
                <c:pt idx="188">
                  <c:v>5.2888338727123067E-4</c:v>
                </c:pt>
                <c:pt idx="189">
                  <c:v>5.071362950158409E-4</c:v>
                </c:pt>
                <c:pt idx="190">
                  <c:v>4.8627539777472986E-4</c:v>
                </c:pt>
                <c:pt idx="191">
                  <c:v>4.6626495369713519E-4</c:v>
                </c:pt>
                <c:pt idx="192">
                  <c:v>4.4707064523694372E-4</c:v>
                </c:pt>
                <c:pt idx="193">
                  <c:v>4.2865952320199927E-4</c:v>
                </c:pt>
                <c:pt idx="194">
                  <c:v>4.1099995296305005E-4</c:v>
                </c:pt>
                <c:pt idx="195">
                  <c:v>3.9406156274077918E-4</c:v>
                </c:pt>
                <c:pt idx="196">
                  <c:v>3.7781519389241112E-4</c:v>
                </c:pt>
                <c:pt idx="197">
                  <c:v>3.6223285312225306E-4</c:v>
                </c:pt>
                <c:pt idx="198">
                  <c:v>3.4728766654328795E-4</c:v>
                </c:pt>
                <c:pt idx="199">
                  <c:v>3.3295383551963762E-4</c:v>
                </c:pt>
                <c:pt idx="200">
                  <c:v>3.1920659422231176E-4</c:v>
                </c:pt>
                <c:pt idx="201">
                  <c:v>3.0602216883311809E-4</c:v>
                </c:pt>
                <c:pt idx="202">
                  <c:v>2.9337773833405719E-4</c:v>
                </c:pt>
                <c:pt idx="203">
                  <c:v>2.8125139682181032E-4</c:v>
                </c:pt>
                <c:pt idx="204">
                  <c:v>2.6962211728920332E-4</c:v>
                </c:pt>
                <c:pt idx="205">
                  <c:v>2.5846971681764712E-4</c:v>
                </c:pt>
                <c:pt idx="206">
                  <c:v>2.4777482312667709E-4</c:v>
                </c:pt>
                <c:pt idx="207">
                  <c:v>2.3751884242869081E-4</c:v>
                </c:pt>
                <c:pt idx="208">
                  <c:v>2.2768392853893406E-4</c:v>
                </c:pt>
                <c:pt idx="209">
                  <c:v>2.1825295319264322E-4</c:v>
                </c:pt>
                <c:pt idx="210">
                  <c:v>2.0920947752304608E-4</c:v>
                </c:pt>
                <c:pt idx="211">
                  <c:v>2.0053772465567282E-4</c:v>
                </c:pt>
                <c:pt idx="212">
                  <c:v>1.9222255337607367E-4</c:v>
                </c:pt>
                <c:pt idx="213">
                  <c:v>1.8424943282967563E-4</c:v>
                </c:pt>
                <c:pt idx="214">
                  <c:v>1.7660441821402891E-4</c:v>
                </c:pt>
                <c:pt idx="215">
                  <c:v>1.6927412742523293E-4</c:v>
                </c:pt>
                <c:pt idx="216">
                  <c:v>1.6224571862171903E-4</c:v>
                </c:pt>
                <c:pt idx="217">
                  <c:v>1.5550686867000726E-4</c:v>
                </c:pt>
                <c:pt idx="218">
                  <c:v>1.4904575243833922E-4</c:v>
                </c:pt>
                <c:pt idx="219">
                  <c:v>1.4285102290542657E-4</c:v>
                </c:pt>
                <c:pt idx="220">
                  <c:v>1.369117920527507E-4</c:v>
                </c:pt>
                <c:pt idx="221">
                  <c:v>1.3121761251008265E-4</c:v>
                </c:pt>
                <c:pt idx="222">
                  <c:v>1.2575845992500345E-4</c:v>
                </c:pt>
                <c:pt idx="223">
                  <c:v>1.2052471602836114E-4</c:v>
                </c:pt>
                <c:pt idx="224">
                  <c:v>1.1550715236861156E-4</c:v>
                </c:pt>
                <c:pt idx="225">
                  <c:v>1.1069691468907462E-4</c:v>
                </c:pt>
                <c:pt idx="226">
                  <c:v>1.0608550792308557E-4</c:v>
                </c:pt>
                <c:pt idx="227">
                  <c:v>1.0166478178299042E-4</c:v>
                </c:pt>
                <c:pt idx="228">
                  <c:v>9.7426916919858588E-5</c:v>
                </c:pt>
                <c:pt idx="229">
                  <c:v>9.3364411631656748E-5</c:v>
                </c:pt>
                <c:pt idx="230">
                  <c:v>8.9470069098484661E-5</c:v>
                </c:pt>
                <c:pt idx="231">
                  <c:v>8.5736985124293196E-5</c:v>
                </c:pt>
                <c:pt idx="232">
                  <c:v>8.2158536365293416E-5</c:v>
                </c:pt>
                <c:pt idx="233">
                  <c:v>7.8728369026022355E-5</c:v>
                </c:pt>
                <c:pt idx="234">
                  <c:v>7.5440388004759028E-5</c:v>
                </c:pt>
                <c:pt idx="235">
                  <c:v>7.2288746470702413E-5</c:v>
                </c:pt>
                <c:pt idx="236">
                  <c:v>6.9267835855973424E-5</c:v>
                </c:pt>
                <c:pt idx="237">
                  <c:v>6.6372276246184992E-5</c:v>
                </c:pt>
                <c:pt idx="238">
                  <c:v>6.359690715392158E-5</c:v>
                </c:pt>
                <c:pt idx="239">
                  <c:v>6.0936778660100754E-5</c:v>
                </c:pt>
                <c:pt idx="240">
                  <c:v>5.8387142908743828E-5</c:v>
                </c:pt>
                <c:pt idx="241">
                  <c:v>5.5943445941262998E-5</c:v>
                </c:pt>
                <c:pt idx="242">
                  <c:v>5.3601319856896304E-5</c:v>
                </c:pt>
                <c:pt idx="243">
                  <c:v>5.1356575286443402E-5</c:v>
                </c:pt>
                <c:pt idx="244">
                  <c:v>4.9205194166952577E-5</c:v>
                </c:pt>
                <c:pt idx="245">
                  <c:v>4.7143322805489613E-5</c:v>
                </c:pt>
                <c:pt idx="246">
                  <c:v>4.5167265220577003E-5</c:v>
                </c:pt>
                <c:pt idx="247">
                  <c:v>4.3273476750334086E-5</c:v>
                </c:pt>
                <c:pt idx="248">
                  <c:v>4.145855791678247E-5</c:v>
                </c:pt>
                <c:pt idx="249">
                  <c:v>3.9719248536179989E-5</c:v>
                </c:pt>
                <c:pt idx="250">
                  <c:v>3.8052422065648437E-5</c:v>
                </c:pt>
                <c:pt idx="251">
                  <c:v>3.645508017673943E-5</c:v>
                </c:pt>
                <c:pt idx="252">
                  <c:v>3.4924347546942532E-5</c:v>
                </c:pt>
                <c:pt idx="253">
                  <c:v>3.3457466860496309E-5</c:v>
                </c:pt>
                <c:pt idx="254">
                  <c:v>3.2051794010195533E-5</c:v>
                </c:pt>
                <c:pt idx="255">
                  <c:v>3.070479349221739E-5</c:v>
                </c:pt>
                <c:pt idx="256">
                  <c:v>2.9414033986295654E-5</c:v>
                </c:pt>
                <c:pt idx="257">
                  <c:v>2.8177184113879055E-5</c:v>
                </c:pt>
                <c:pt idx="258">
                  <c:v>2.6992008367190104E-5</c:v>
                </c:pt>
                <c:pt idx="259">
                  <c:v>2.5856363202385788E-5</c:v>
                </c:pt>
                <c:pt idx="260">
                  <c:v>2.4768193290283804E-5</c:v>
                </c:pt>
                <c:pt idx="261">
                  <c:v>2.3725527918377129E-5</c:v>
                </c:pt>
                <c:pt idx="262">
                  <c:v>2.272647753810284E-5</c:v>
                </c:pt>
                <c:pt idx="263">
                  <c:v>2.1769230451571835E-5</c:v>
                </c:pt>
                <c:pt idx="264">
                  <c:v>2.085204963219374E-5</c:v>
                </c:pt>
                <c:pt idx="265">
                  <c:v>1.9973269673846229E-5</c:v>
                </c:pt>
                <c:pt idx="266">
                  <c:v>1.9131293863454136E-5</c:v>
                </c:pt>
                <c:pt idx="267">
                  <c:v>1.8324591372043568E-5</c:v>
                </c:pt>
                <c:pt idx="268">
                  <c:v>1.7551694559528762E-5</c:v>
                </c:pt>
                <c:pt idx="269">
                  <c:v>1.6811196388682733E-5</c:v>
                </c:pt>
                <c:pt idx="270">
                  <c:v>1.6101747943914608E-5</c:v>
                </c:pt>
                <c:pt idx="271">
                  <c:v>1.5422056050655452E-5</c:v>
                </c:pt>
                <c:pt idx="272">
                  <c:v>1.4770880991319534E-5</c:v>
                </c:pt>
                <c:pt idx="273">
                  <c:v>1.4147034313963004E-5</c:v>
                </c:pt>
                <c:pt idx="274">
                  <c:v>1.3549376729923777E-5</c:v>
                </c:pt>
                <c:pt idx="275">
                  <c:v>1.2976816096863528E-5</c:v>
                </c:pt>
                <c:pt idx="276">
                  <c:v>1.2428305483785204E-5</c:v>
                </c:pt>
                <c:pt idx="277">
                  <c:v>1.1902841314726099E-5</c:v>
                </c:pt>
                <c:pt idx="278">
                  <c:v>1.1399461587964529E-5</c:v>
                </c:pt>
                <c:pt idx="279">
                  <c:v>1.091724416769904E-5</c:v>
                </c:pt>
                <c:pt idx="280">
                  <c:v>1.0455305145282366E-5</c:v>
                </c:pt>
                <c:pt idx="281">
                  <c:v>1.0012797267208341E-5</c:v>
                </c:pt>
                <c:pt idx="282">
                  <c:v>9.5889084271603679E-6</c:v>
                </c:pt>
                <c:pt idx="283">
                  <c:v>9.1828602195378079E-6</c:v>
                </c:pt>
                <c:pt idx="284">
                  <c:v>8.7939065519800962E-6</c:v>
                </c:pt>
                <c:pt idx="285">
                  <c:v>8.4213323145064243E-6</c:v>
                </c:pt>
                <c:pt idx="286">
                  <c:v>8.0644521029841402E-6</c:v>
                </c:pt>
                <c:pt idx="287">
                  <c:v>7.7226089947306462E-6</c:v>
                </c:pt>
                <c:pt idx="288">
                  <c:v>7.3951733741411599E-6</c:v>
                </c:pt>
                <c:pt idx="289">
                  <c:v>7.0815418063178492E-6</c:v>
                </c:pt>
                <c:pt idx="290">
                  <c:v>6.7811359567592648E-6</c:v>
                </c:pt>
                <c:pt idx="291">
                  <c:v>6.4934015552433214E-6</c:v>
                </c:pt>
                <c:pt idx="292">
                  <c:v>6.2178074021148767E-6</c:v>
                </c:pt>
                <c:pt idx="293">
                  <c:v>5.9538444152589544E-6</c:v>
                </c:pt>
                <c:pt idx="294">
                  <c:v>5.7010247161095294E-6</c:v>
                </c:pt>
                <c:pt idx="295">
                  <c:v>5.4588807531107719E-6</c:v>
                </c:pt>
                <c:pt idx="296">
                  <c:v>5.2269644611107426E-6</c:v>
                </c:pt>
                <c:pt idx="297">
                  <c:v>5.0048464552278929E-6</c:v>
                </c:pt>
                <c:pt idx="298">
                  <c:v>4.7921152577908925E-6</c:v>
                </c:pt>
                <c:pt idx="299">
                  <c:v>4.5883765570067927E-6</c:v>
                </c:pt>
                <c:pt idx="300">
                  <c:v>4.3932524960679282E-6</c:v>
                </c:pt>
                <c:pt idx="301">
                  <c:v>4.2063809914592116E-6</c:v>
                </c:pt>
                <c:pt idx="302">
                  <c:v>4.0274150792772406E-6</c:v>
                </c:pt>
                <c:pt idx="303">
                  <c:v>3.8560222884211071E-6</c:v>
                </c:pt>
                <c:pt idx="304">
                  <c:v>3.6918840395599425E-6</c:v>
                </c:pt>
                <c:pt idx="305">
                  <c:v>3.5346950688270494E-6</c:v>
                </c:pt>
                <c:pt idx="306">
                  <c:v>3.38416287523218E-6</c:v>
                </c:pt>
                <c:pt idx="307">
                  <c:v>3.2400071908249804E-6</c:v>
                </c:pt>
                <c:pt idx="308">
                  <c:v>3.1019594726808422E-6</c:v>
                </c:pt>
                <c:pt idx="309">
                  <c:v>2.9697624158186481E-6</c:v>
                </c:pt>
                <c:pt idx="310">
                  <c:v>2.8431694861953167E-6</c:v>
                </c:pt>
                <c:pt idx="311">
                  <c:v>2.7219444729568043E-6</c:v>
                </c:pt>
                <c:pt idx="312">
                  <c:v>2.605861059158818E-6</c:v>
                </c:pt>
                <c:pt idx="313">
                  <c:v>2.4947024102014487E-6</c:v>
                </c:pt>
                <c:pt idx="314">
                  <c:v>2.3882607792536044E-6</c:v>
                </c:pt>
                <c:pt idx="315">
                  <c:v>2.2863371289713274E-6</c:v>
                </c:pt>
                <c:pt idx="316">
                  <c:v>2.1887407688434758E-6</c:v>
                </c:pt>
                <c:pt idx="317">
                  <c:v>2.0952890075240738E-6</c:v>
                </c:pt>
                <c:pt idx="318">
                  <c:v>2.00580681953767E-6</c:v>
                </c:pt>
                <c:pt idx="319">
                  <c:v>1.9201265257683004E-6</c:v>
                </c:pt>
                <c:pt idx="320">
                  <c:v>1.8380874871667425E-6</c:v>
                </c:pt>
                <c:pt idx="321">
                  <c:v>1.7595358111338459E-6</c:v>
                </c:pt>
                <c:pt idx="322">
                  <c:v>1.6843240700595803E-6</c:v>
                </c:pt>
                <c:pt idx="323">
                  <c:v>1.6123110315188074E-6</c:v>
                </c:pt>
                <c:pt idx="324">
                  <c:v>1.5433613996448034E-6</c:v>
                </c:pt>
                <c:pt idx="325">
                  <c:v>1.4773455672213041E-6</c:v>
                </c:pt>
                <c:pt idx="326">
                  <c:v>1.4141393780524691E-6</c:v>
                </c:pt>
                <c:pt idx="327">
                  <c:v>1.3536238991879469E-6</c:v>
                </c:pt>
                <c:pt idx="328">
                  <c:v>1.2956852025977658E-6</c:v>
                </c:pt>
                <c:pt idx="329">
                  <c:v>1.2402141559080481E-6</c:v>
                </c:pt>
                <c:pt idx="330">
                  <c:v>1.1871062218243986E-6</c:v>
                </c:pt>
                <c:pt idx="331">
                  <c:v>1.1362612658852954E-6</c:v>
                </c:pt>
                <c:pt idx="332">
                  <c:v>1.0875833722021332E-6</c:v>
                </c:pt>
                <c:pt idx="333">
                  <c:v>1.0409806668568281E-6</c:v>
                </c:pt>
                <c:pt idx="334">
                  <c:v>9.963651486410033E-7</c:v>
                </c:pt>
                <c:pt idx="335">
                  <c:v>9.5365252683421101E-7</c:v>
                </c:pt>
                <c:pt idx="336">
                  <c:v>9.1276206573041663E-7</c:v>
                </c:pt>
                <c:pt idx="337">
                  <c:v>8.73616435634412E-7</c:v>
                </c:pt>
                <c:pt idx="338">
                  <c:v>8.3614157006078229E-7</c:v>
                </c:pt>
                <c:pt idx="339">
                  <c:v>8.0026652887931095E-7</c:v>
                </c:pt>
                <c:pt idx="340">
                  <c:v>7.6592336716102298E-7</c:v>
                </c:pt>
                <c:pt idx="341">
                  <c:v>7.3304700948918489E-7</c:v>
                </c:pt>
                <c:pt idx="342">
                  <c:v>7.0157512950923713E-7</c:v>
                </c:pt>
                <c:pt idx="343">
                  <c:v>6.7144803450097373E-7</c:v>
                </c:pt>
                <c:pt idx="344">
                  <c:v>6.4260855476504069E-7</c:v>
                </c:pt>
                <c:pt idx="345">
                  <c:v>6.1500193762447501E-7</c:v>
                </c:pt>
                <c:pt idx="346">
                  <c:v>5.8857574585012786E-7</c:v>
                </c:pt>
                <c:pt idx="347">
                  <c:v>5.6327976032668624E-7</c:v>
                </c:pt>
                <c:pt idx="348">
                  <c:v>5.390658867835478E-7</c:v>
                </c:pt>
                <c:pt idx="349">
                  <c:v>5.158880664220381E-7</c:v>
                </c:pt>
                <c:pt idx="350">
                  <c:v>4.9370219027730645E-7</c:v>
                </c:pt>
                <c:pt idx="351">
                  <c:v>4.7246601716001437E-7</c:v>
                </c:pt>
                <c:pt idx="352">
                  <c:v>4.5213909502923267E-7</c:v>
                </c:pt>
                <c:pt idx="353">
                  <c:v>4.3268268565405955E-7</c:v>
                </c:pt>
                <c:pt idx="354">
                  <c:v>4.140596924274172E-7</c:v>
                </c:pt>
                <c:pt idx="355">
                  <c:v>3.9623459120101984E-7</c:v>
                </c:pt>
                <c:pt idx="356">
                  <c:v>3.7917336401600601E-7</c:v>
                </c:pt>
                <c:pt idx="357">
                  <c:v>3.6284343560879096E-7</c:v>
                </c:pt>
                <c:pt idx="358">
                  <c:v>3.4721361257679341E-7</c:v>
                </c:pt>
                <c:pt idx="359">
                  <c:v>3.3225402509330927E-7</c:v>
                </c:pt>
                <c:pt idx="360">
                  <c:v>3.1793607106548887E-7</c:v>
                </c:pt>
                <c:pt idx="361">
                  <c:v>3.0423236263371846E-7</c:v>
                </c:pt>
                <c:pt idx="362">
                  <c:v>2.9111667491488021E-7</c:v>
                </c:pt>
                <c:pt idx="363">
                  <c:v>2.7856389689601064E-7</c:v>
                </c:pt>
                <c:pt idx="364">
                  <c:v>2.6654998438879528E-7</c:v>
                </c:pt>
                <c:pt idx="365">
                  <c:v>2.5505191495893982E-7</c:v>
                </c:pt>
                <c:pt idx="366">
                  <c:v>2.4404764474810384E-7</c:v>
                </c:pt>
                <c:pt idx="367">
                  <c:v>2.3351606710944914E-7</c:v>
                </c:pt>
                <c:pt idx="368">
                  <c:v>2.2343697298112959E-7</c:v>
                </c:pt>
                <c:pt idx="369">
                  <c:v>2.13791012925181E-7</c:v>
                </c:pt>
                <c:pt idx="370">
                  <c:v>2.0455966076228556E-7</c:v>
                </c:pt>
                <c:pt idx="371">
                  <c:v>1.9572517873574896E-7</c:v>
                </c:pt>
                <c:pt idx="372">
                  <c:v>1.8727058414083591E-7</c:v>
                </c:pt>
                <c:pt idx="373">
                  <c:v>1.7917961735816442E-7</c:v>
                </c:pt>
                <c:pt idx="374">
                  <c:v>1.7143671123253996E-7</c:v>
                </c:pt>
                <c:pt idx="375">
                  <c:v>1.6402696174089973E-7</c:v>
                </c:pt>
                <c:pt idx="376">
                  <c:v>1.5693609989549415E-7</c:v>
                </c:pt>
                <c:pt idx="377">
                  <c:v>1.5015046483058488E-7</c:v>
                </c:pt>
                <c:pt idx="378">
                  <c:v>1.436569780231497E-7</c:v>
                </c:pt>
                <c:pt idx="379">
                  <c:v>1.3744311860009563E-7</c:v>
                </c:pt>
                <c:pt idx="380">
                  <c:v>1.3149689968648974E-7</c:v>
                </c:pt>
                <c:pt idx="381">
                  <c:v>1.2580684575118297E-7</c:v>
                </c:pt>
                <c:pt idx="382">
                  <c:v>1.2036197090804502E-7</c:v>
                </c:pt>
                <c:pt idx="383">
                  <c:v>1.1515175813273911E-7</c:v>
                </c:pt>
                <c:pt idx="384">
                  <c:v>1.1016613935665312E-7</c:v>
                </c:pt>
                <c:pt idx="385">
                  <c:v>1.053954764011925E-7</c:v>
                </c:pt>
                <c:pt idx="386">
                  <c:v>1.0083054271718297E-7</c:v>
                </c:pt>
                <c:pt idx="387">
                  <c:v>9.6462505895578602E-8</c:v>
                </c:pt>
                <c:pt idx="388">
                  <c:v>9.2282910917115948E-8</c:v>
                </c:pt>
                <c:pt idx="389">
                  <c:v>8.828366410986246E-8</c:v>
                </c:pt>
                <c:pt idx="390">
                  <c:v>8.4457017784939644E-8</c:v>
                </c:pt>
                <c:pt idx="391">
                  <c:v>8.0795555521913914E-8</c:v>
                </c:pt>
                <c:pt idx="392">
                  <c:v>7.7292178076555273E-8</c:v>
                </c:pt>
                <c:pt idx="393">
                  <c:v>7.3940089884797068E-8</c:v>
                </c:pt>
                <c:pt idx="394">
                  <c:v>7.0732786137821373E-8</c:v>
                </c:pt>
                <c:pt idx="395">
                  <c:v>6.7664040404249772E-8</c:v>
                </c:pt>
                <c:pt idx="396">
                  <c:v>6.4727892776409697E-8</c:v>
                </c:pt>
                <c:pt idx="397">
                  <c:v>6.1918638518627061E-8</c:v>
                </c:pt>
                <c:pt idx="398">
                  <c:v>5.9230817196404647E-8</c:v>
                </c:pt>
                <c:pt idx="399">
                  <c:v>5.6659202266226488E-8</c:v>
                </c:pt>
                <c:pt idx="400">
                  <c:v>5.419879110659871E-8</c:v>
                </c:pt>
                <c:pt idx="401">
                  <c:v>5.1844795471721532E-8</c:v>
                </c:pt>
                <c:pt idx="402">
                  <c:v>4.9592632349984936E-8</c:v>
                </c:pt>
                <c:pt idx="403">
                  <c:v>4.7437915210213858E-8</c:v>
                </c:pt>
                <c:pt idx="404">
                  <c:v>4.5376445619321561E-8</c:v>
                </c:pt>
                <c:pt idx="405">
                  <c:v>4.340420521568915E-8</c:v>
                </c:pt>
                <c:pt idx="406">
                  <c:v>4.1517348023268517E-8</c:v>
                </c:pt>
                <c:pt idx="407">
                  <c:v>3.9712193092032939E-8</c:v>
                </c:pt>
                <c:pt idx="408">
                  <c:v>3.7985217450982191E-8</c:v>
                </c:pt>
                <c:pt idx="409">
                  <c:v>3.6333049360516E-8</c:v>
                </c:pt>
                <c:pt idx="410">
                  <c:v>3.4752461851524906E-8</c:v>
                </c:pt>
                <c:pt idx="411">
                  <c:v>3.3240366539081E-8</c:v>
                </c:pt>
                <c:pt idx="412">
                  <c:v>3.1793807699127563E-8</c:v>
                </c:pt>
                <c:pt idx="413">
                  <c:v>3.0409956597043963E-8</c:v>
                </c:pt>
                <c:pt idx="414">
                  <c:v>2.908610605744019E-8</c:v>
                </c:pt>
                <c:pt idx="415">
                  <c:v>2.7819665264969908E-8</c:v>
                </c:pt>
                <c:pt idx="416">
                  <c:v>2.660815478639524E-8</c:v>
                </c:pt>
                <c:pt idx="417">
                  <c:v>2.5449201804534085E-8</c:v>
                </c:pt>
                <c:pt idx="418">
                  <c:v>2.4340535555120787E-8</c:v>
                </c:pt>
                <c:pt idx="419">
                  <c:v>2.327998295799359E-8</c:v>
                </c:pt>
                <c:pt idx="420">
                  <c:v>2.2265464434370321E-8</c:v>
                </c:pt>
                <c:pt idx="421">
                  <c:v>2.1294989902333809E-8</c:v>
                </c:pt>
                <c:pt idx="422">
                  <c:v>2.0366654942973625E-8</c:v>
                </c:pt>
                <c:pt idx="423">
                  <c:v>1.9478637129949636E-8</c:v>
                </c:pt>
                <c:pt idx="424">
                  <c:v>1.8629192515549848E-8</c:v>
                </c:pt>
                <c:pt idx="425">
                  <c:v>1.7816652266605799E-8</c:v>
                </c:pt>
                <c:pt idx="426">
                  <c:v>1.7039419443905062E-8</c:v>
                </c:pt>
                <c:pt idx="427">
                  <c:v>1.6295965919017544E-8</c:v>
                </c:pt>
                <c:pt idx="428">
                  <c:v>1.5584829422699969E-8</c:v>
                </c:pt>
                <c:pt idx="429">
                  <c:v>1.4904610719292234E-8</c:v>
                </c:pt>
                <c:pt idx="430">
                  <c:v>1.4253970901758034E-8</c:v>
                </c:pt>
                <c:pt idx="431">
                  <c:v>1.3631628802243899E-8</c:v>
                </c:pt>
                <c:pt idx="432">
                  <c:v>1.3036358513249212E-8</c:v>
                </c:pt>
                <c:pt idx="433">
                  <c:v>1.2466987014706763E-8</c:v>
                </c:pt>
                <c:pt idx="434">
                  <c:v>1.192239190247194E-8</c:v>
                </c:pt>
                <c:pt idx="435">
                  <c:v>1.1401499213909539E-8</c:v>
                </c:pt>
                <c:pt idx="436">
                  <c:v>1.0903281346447578E-8</c:v>
                </c:pt>
                <c:pt idx="437">
                  <c:v>1.0426755065146382E-8</c:v>
                </c:pt>
                <c:pt idx="438">
                  <c:v>9.9709795954911829E-9</c:v>
                </c:pt>
                <c:pt idx="439">
                  <c:v>9.5350547977858691E-9</c:v>
                </c:pt>
                <c:pt idx="440">
                  <c:v>9.1181194196709449E-9</c:v>
                </c:pt>
                <c:pt idx="441">
                  <c:v>8.7193494234405324E-9</c:v>
                </c:pt>
                <c:pt idx="442">
                  <c:v>8.3379563849739491E-9</c:v>
                </c:pt>
                <c:pt idx="443">
                  <c:v>0</c:v>
                </c:pt>
                <c:pt idx="444">
                  <c:v>0</c:v>
                </c:pt>
                <c:pt idx="445">
                  <c:v>0</c:v>
                </c:pt>
                <c:pt idx="446">
                  <c:v>0</c:v>
                </c:pt>
                <c:pt idx="447">
                  <c:v>0</c:v>
                </c:pt>
                <c:pt idx="448">
                  <c:v>0</c:v>
                </c:pt>
                <c:pt idx="449">
                  <c:v>0</c:v>
                </c:pt>
                <c:pt idx="450">
                  <c:v>0</c:v>
                </c:pt>
                <c:pt idx="451">
                  <c:v>0</c:v>
                </c:pt>
                <c:pt idx="452">
                  <c:v>0</c:v>
                </c:pt>
                <c:pt idx="453">
                  <c:v>0</c:v>
                </c:pt>
                <c:pt idx="454">
                  <c:v>0</c:v>
                </c:pt>
                <c:pt idx="455">
                  <c:v>0</c:v>
                </c:pt>
                <c:pt idx="456">
                  <c:v>0</c:v>
                </c:pt>
                <c:pt idx="457">
                  <c:v>0</c:v>
                </c:pt>
                <c:pt idx="458">
                  <c:v>0</c:v>
                </c:pt>
                <c:pt idx="459">
                  <c:v>0</c:v>
                </c:pt>
                <c:pt idx="460">
                  <c:v>0</c:v>
                </c:pt>
                <c:pt idx="461">
                  <c:v>0</c:v>
                </c:pt>
                <c:pt idx="462">
                  <c:v>0</c:v>
                </c:pt>
                <c:pt idx="463">
                  <c:v>0</c:v>
                </c:pt>
                <c:pt idx="464">
                  <c:v>0</c:v>
                </c:pt>
                <c:pt idx="465">
                  <c:v>0</c:v>
                </c:pt>
                <c:pt idx="466">
                  <c:v>0</c:v>
                </c:pt>
                <c:pt idx="467">
                  <c:v>0</c:v>
                </c:pt>
                <c:pt idx="468">
                  <c:v>0</c:v>
                </c:pt>
                <c:pt idx="469">
                  <c:v>0</c:v>
                </c:pt>
                <c:pt idx="470">
                  <c:v>0</c:v>
                </c:pt>
                <c:pt idx="471">
                  <c:v>0</c:v>
                </c:pt>
                <c:pt idx="472">
                  <c:v>0</c:v>
                </c:pt>
                <c:pt idx="473">
                  <c:v>0</c:v>
                </c:pt>
                <c:pt idx="474">
                  <c:v>0</c:v>
                </c:pt>
                <c:pt idx="475">
                  <c:v>0</c:v>
                </c:pt>
                <c:pt idx="476">
                  <c:v>0</c:v>
                </c:pt>
                <c:pt idx="477">
                  <c:v>0</c:v>
                </c:pt>
                <c:pt idx="478">
                  <c:v>0</c:v>
                </c:pt>
                <c:pt idx="479">
                  <c:v>0</c:v>
                </c:pt>
                <c:pt idx="480">
                  <c:v>0</c:v>
                </c:pt>
                <c:pt idx="481">
                  <c:v>0</c:v>
                </c:pt>
                <c:pt idx="482">
                  <c:v>0</c:v>
                </c:pt>
                <c:pt idx="483">
                  <c:v>0</c:v>
                </c:pt>
                <c:pt idx="484">
                  <c:v>0</c:v>
                </c:pt>
                <c:pt idx="485">
                  <c:v>0</c:v>
                </c:pt>
                <c:pt idx="486">
                  <c:v>0</c:v>
                </c:pt>
                <c:pt idx="487">
                  <c:v>0</c:v>
                </c:pt>
                <c:pt idx="488">
                  <c:v>0</c:v>
                </c:pt>
                <c:pt idx="489">
                  <c:v>0</c:v>
                </c:pt>
                <c:pt idx="490">
                  <c:v>0</c:v>
                </c:pt>
                <c:pt idx="491">
                  <c:v>0</c:v>
                </c:pt>
                <c:pt idx="492">
                  <c:v>0</c:v>
                </c:pt>
                <c:pt idx="493">
                  <c:v>0</c:v>
                </c:pt>
                <c:pt idx="494">
                  <c:v>0</c:v>
                </c:pt>
                <c:pt idx="495">
                  <c:v>0</c:v>
                </c:pt>
                <c:pt idx="496">
                  <c:v>0</c:v>
                </c:pt>
                <c:pt idx="497">
                  <c:v>0</c:v>
                </c:pt>
                <c:pt idx="498">
                  <c:v>0</c:v>
                </c:pt>
                <c:pt idx="499">
                  <c:v>0</c:v>
                </c:pt>
                <c:pt idx="500">
                  <c:v>0</c:v>
                </c:pt>
                <c:pt idx="501">
                  <c:v>0</c:v>
                </c:pt>
                <c:pt idx="502">
                  <c:v>0</c:v>
                </c:pt>
                <c:pt idx="503">
                  <c:v>0</c:v>
                </c:pt>
                <c:pt idx="504">
                  <c:v>0</c:v>
                </c:pt>
                <c:pt idx="505">
                  <c:v>0</c:v>
                </c:pt>
                <c:pt idx="506">
                  <c:v>0</c:v>
                </c:pt>
                <c:pt idx="507">
                  <c:v>0</c:v>
                </c:pt>
                <c:pt idx="508">
                  <c:v>0</c:v>
                </c:pt>
                <c:pt idx="509">
                  <c:v>0</c:v>
                </c:pt>
                <c:pt idx="510">
                  <c:v>0</c:v>
                </c:pt>
                <c:pt idx="511">
                  <c:v>0</c:v>
                </c:pt>
                <c:pt idx="512">
                  <c:v>0</c:v>
                </c:pt>
                <c:pt idx="513">
                  <c:v>0</c:v>
                </c:pt>
                <c:pt idx="514">
                  <c:v>0</c:v>
                </c:pt>
                <c:pt idx="515">
                  <c:v>0</c:v>
                </c:pt>
                <c:pt idx="516">
                  <c:v>0</c:v>
                </c:pt>
                <c:pt idx="517">
                  <c:v>0</c:v>
                </c:pt>
                <c:pt idx="518">
                  <c:v>0</c:v>
                </c:pt>
                <c:pt idx="519">
                  <c:v>0</c:v>
                </c:pt>
                <c:pt idx="520">
                  <c:v>0</c:v>
                </c:pt>
                <c:pt idx="521">
                  <c:v>0</c:v>
                </c:pt>
                <c:pt idx="522">
                  <c:v>0</c:v>
                </c:pt>
                <c:pt idx="523">
                  <c:v>0</c:v>
                </c:pt>
                <c:pt idx="524">
                  <c:v>0</c:v>
                </c:pt>
                <c:pt idx="525">
                  <c:v>0</c:v>
                </c:pt>
                <c:pt idx="526">
                  <c:v>0</c:v>
                </c:pt>
                <c:pt idx="527">
                  <c:v>0</c:v>
                </c:pt>
                <c:pt idx="528">
                  <c:v>0</c:v>
                </c:pt>
                <c:pt idx="529">
                  <c:v>0</c:v>
                </c:pt>
                <c:pt idx="530">
                  <c:v>0</c:v>
                </c:pt>
                <c:pt idx="531">
                  <c:v>0</c:v>
                </c:pt>
                <c:pt idx="532">
                  <c:v>0</c:v>
                </c:pt>
                <c:pt idx="533">
                  <c:v>0</c:v>
                </c:pt>
                <c:pt idx="534">
                  <c:v>0</c:v>
                </c:pt>
                <c:pt idx="535">
                  <c:v>0</c:v>
                </c:pt>
                <c:pt idx="536">
                  <c:v>0</c:v>
                </c:pt>
                <c:pt idx="537">
                  <c:v>0</c:v>
                </c:pt>
                <c:pt idx="538">
                  <c:v>0</c:v>
                </c:pt>
                <c:pt idx="539">
                  <c:v>0</c:v>
                </c:pt>
                <c:pt idx="540">
                  <c:v>0</c:v>
                </c:pt>
                <c:pt idx="541">
                  <c:v>0</c:v>
                </c:pt>
                <c:pt idx="542">
                  <c:v>0</c:v>
                </c:pt>
                <c:pt idx="543">
                  <c:v>0</c:v>
                </c:pt>
                <c:pt idx="544">
                  <c:v>0</c:v>
                </c:pt>
                <c:pt idx="545">
                  <c:v>0</c:v>
                </c:pt>
                <c:pt idx="546">
                  <c:v>0</c:v>
                </c:pt>
                <c:pt idx="547">
                  <c:v>0</c:v>
                </c:pt>
                <c:pt idx="548">
                  <c:v>0</c:v>
                </c:pt>
                <c:pt idx="549">
                  <c:v>0</c:v>
                </c:pt>
                <c:pt idx="550">
                  <c:v>0</c:v>
                </c:pt>
                <c:pt idx="551">
                  <c:v>0</c:v>
                </c:pt>
                <c:pt idx="552">
                  <c:v>0</c:v>
                </c:pt>
                <c:pt idx="553">
                  <c:v>0</c:v>
                </c:pt>
                <c:pt idx="554">
                  <c:v>0</c:v>
                </c:pt>
                <c:pt idx="555">
                  <c:v>0</c:v>
                </c:pt>
                <c:pt idx="556">
                  <c:v>0</c:v>
                </c:pt>
                <c:pt idx="557">
                  <c:v>0</c:v>
                </c:pt>
                <c:pt idx="558">
                  <c:v>0</c:v>
                </c:pt>
                <c:pt idx="559">
                  <c:v>0</c:v>
                </c:pt>
                <c:pt idx="560">
                  <c:v>0</c:v>
                </c:pt>
                <c:pt idx="561">
                  <c:v>0</c:v>
                </c:pt>
                <c:pt idx="562">
                  <c:v>0</c:v>
                </c:pt>
                <c:pt idx="563">
                  <c:v>0</c:v>
                </c:pt>
                <c:pt idx="564">
                  <c:v>0</c:v>
                </c:pt>
                <c:pt idx="565">
                  <c:v>0</c:v>
                </c:pt>
                <c:pt idx="566">
                  <c:v>0</c:v>
                </c:pt>
                <c:pt idx="567">
                  <c:v>0</c:v>
                </c:pt>
                <c:pt idx="568">
                  <c:v>0</c:v>
                </c:pt>
                <c:pt idx="569">
                  <c:v>0</c:v>
                </c:pt>
                <c:pt idx="570">
                  <c:v>0</c:v>
                </c:pt>
                <c:pt idx="571">
                  <c:v>0</c:v>
                </c:pt>
                <c:pt idx="572">
                  <c:v>0</c:v>
                </c:pt>
                <c:pt idx="573">
                  <c:v>0</c:v>
                </c:pt>
                <c:pt idx="574">
                  <c:v>0</c:v>
                </c:pt>
                <c:pt idx="575">
                  <c:v>0</c:v>
                </c:pt>
                <c:pt idx="576">
                  <c:v>0</c:v>
                </c:pt>
                <c:pt idx="577">
                  <c:v>0</c:v>
                </c:pt>
                <c:pt idx="578">
                  <c:v>0</c:v>
                </c:pt>
                <c:pt idx="579">
                  <c:v>0</c:v>
                </c:pt>
                <c:pt idx="580">
                  <c:v>0</c:v>
                </c:pt>
                <c:pt idx="581">
                  <c:v>0</c:v>
                </c:pt>
                <c:pt idx="582">
                  <c:v>0</c:v>
                </c:pt>
                <c:pt idx="583">
                  <c:v>0</c:v>
                </c:pt>
                <c:pt idx="584">
                  <c:v>0</c:v>
                </c:pt>
                <c:pt idx="585">
                  <c:v>0</c:v>
                </c:pt>
                <c:pt idx="586">
                  <c:v>0</c:v>
                </c:pt>
                <c:pt idx="587">
                  <c:v>0</c:v>
                </c:pt>
                <c:pt idx="588">
                  <c:v>0</c:v>
                </c:pt>
                <c:pt idx="589">
                  <c:v>0</c:v>
                </c:pt>
                <c:pt idx="590">
                  <c:v>0</c:v>
                </c:pt>
                <c:pt idx="591">
                  <c:v>0</c:v>
                </c:pt>
                <c:pt idx="592">
                  <c:v>0</c:v>
                </c:pt>
                <c:pt idx="593">
                  <c:v>0</c:v>
                </c:pt>
                <c:pt idx="594">
                  <c:v>0</c:v>
                </c:pt>
                <c:pt idx="595">
                  <c:v>0</c:v>
                </c:pt>
                <c:pt idx="596">
                  <c:v>0</c:v>
                </c:pt>
                <c:pt idx="597">
                  <c:v>0</c:v>
                </c:pt>
                <c:pt idx="598">
                  <c:v>0</c:v>
                </c:pt>
                <c:pt idx="599">
                  <c:v>0</c:v>
                </c:pt>
                <c:pt idx="600">
                  <c:v>0</c:v>
                </c:pt>
                <c:pt idx="601">
                  <c:v>0</c:v>
                </c:pt>
                <c:pt idx="602">
                  <c:v>0</c:v>
                </c:pt>
                <c:pt idx="603">
                  <c:v>0</c:v>
                </c:pt>
                <c:pt idx="604">
                  <c:v>0</c:v>
                </c:pt>
                <c:pt idx="605">
                  <c:v>0</c:v>
                </c:pt>
                <c:pt idx="606">
                  <c:v>0</c:v>
                </c:pt>
                <c:pt idx="607">
                  <c:v>0</c:v>
                </c:pt>
                <c:pt idx="608">
                  <c:v>0</c:v>
                </c:pt>
                <c:pt idx="609">
                  <c:v>0</c:v>
                </c:pt>
                <c:pt idx="610">
                  <c:v>0</c:v>
                </c:pt>
                <c:pt idx="611">
                  <c:v>0</c:v>
                </c:pt>
                <c:pt idx="612">
                  <c:v>0</c:v>
                </c:pt>
                <c:pt idx="613">
                  <c:v>0</c:v>
                </c:pt>
                <c:pt idx="614">
                  <c:v>0</c:v>
                </c:pt>
                <c:pt idx="615">
                  <c:v>0</c:v>
                </c:pt>
                <c:pt idx="616">
                  <c:v>0</c:v>
                </c:pt>
                <c:pt idx="617">
                  <c:v>0</c:v>
                </c:pt>
                <c:pt idx="618">
                  <c:v>0</c:v>
                </c:pt>
                <c:pt idx="619">
                  <c:v>0</c:v>
                </c:pt>
                <c:pt idx="620">
                  <c:v>0</c:v>
                </c:pt>
                <c:pt idx="621">
                  <c:v>0</c:v>
                </c:pt>
                <c:pt idx="622">
                  <c:v>0</c:v>
                </c:pt>
                <c:pt idx="623">
                  <c:v>0</c:v>
                </c:pt>
                <c:pt idx="624">
                  <c:v>0</c:v>
                </c:pt>
                <c:pt idx="625">
                  <c:v>0</c:v>
                </c:pt>
                <c:pt idx="626">
                  <c:v>0</c:v>
                </c:pt>
                <c:pt idx="627">
                  <c:v>0</c:v>
                </c:pt>
                <c:pt idx="628">
                  <c:v>0</c:v>
                </c:pt>
                <c:pt idx="629">
                  <c:v>0</c:v>
                </c:pt>
                <c:pt idx="630">
                  <c:v>0</c:v>
                </c:pt>
                <c:pt idx="631">
                  <c:v>0</c:v>
                </c:pt>
                <c:pt idx="632">
                  <c:v>0</c:v>
                </c:pt>
                <c:pt idx="633">
                  <c:v>0</c:v>
                </c:pt>
                <c:pt idx="634">
                  <c:v>0</c:v>
                </c:pt>
                <c:pt idx="635">
                  <c:v>0</c:v>
                </c:pt>
                <c:pt idx="636">
                  <c:v>0</c:v>
                </c:pt>
                <c:pt idx="637">
                  <c:v>0</c:v>
                </c:pt>
                <c:pt idx="638">
                  <c:v>0</c:v>
                </c:pt>
                <c:pt idx="639">
                  <c:v>0</c:v>
                </c:pt>
                <c:pt idx="640">
                  <c:v>0</c:v>
                </c:pt>
                <c:pt idx="641">
                  <c:v>0</c:v>
                </c:pt>
                <c:pt idx="642">
                  <c:v>0</c:v>
                </c:pt>
                <c:pt idx="643">
                  <c:v>0</c:v>
                </c:pt>
                <c:pt idx="644">
                  <c:v>0</c:v>
                </c:pt>
                <c:pt idx="645">
                  <c:v>0</c:v>
                </c:pt>
                <c:pt idx="646">
                  <c:v>0</c:v>
                </c:pt>
                <c:pt idx="647">
                  <c:v>0</c:v>
                </c:pt>
                <c:pt idx="648">
                  <c:v>0</c:v>
                </c:pt>
                <c:pt idx="649">
                  <c:v>0</c:v>
                </c:pt>
                <c:pt idx="650">
                  <c:v>0</c:v>
                </c:pt>
                <c:pt idx="651">
                  <c:v>0</c:v>
                </c:pt>
                <c:pt idx="652">
                  <c:v>0</c:v>
                </c:pt>
                <c:pt idx="653">
                  <c:v>0</c:v>
                </c:pt>
                <c:pt idx="654">
                  <c:v>0</c:v>
                </c:pt>
                <c:pt idx="655">
                  <c:v>0</c:v>
                </c:pt>
                <c:pt idx="656">
                  <c:v>0</c:v>
                </c:pt>
                <c:pt idx="657">
                  <c:v>0</c:v>
                </c:pt>
                <c:pt idx="658">
                  <c:v>0</c:v>
                </c:pt>
                <c:pt idx="659">
                  <c:v>0</c:v>
                </c:pt>
                <c:pt idx="660">
                  <c:v>0</c:v>
                </c:pt>
                <c:pt idx="661">
                  <c:v>0</c:v>
                </c:pt>
                <c:pt idx="662">
                  <c:v>0</c:v>
                </c:pt>
                <c:pt idx="663">
                  <c:v>0</c:v>
                </c:pt>
                <c:pt idx="664">
                  <c:v>0</c:v>
                </c:pt>
                <c:pt idx="665">
                  <c:v>0</c:v>
                </c:pt>
                <c:pt idx="666">
                  <c:v>0</c:v>
                </c:pt>
                <c:pt idx="667">
                  <c:v>0</c:v>
                </c:pt>
                <c:pt idx="668">
                  <c:v>0</c:v>
                </c:pt>
                <c:pt idx="669">
                  <c:v>0</c:v>
                </c:pt>
                <c:pt idx="670">
                  <c:v>0</c:v>
                </c:pt>
                <c:pt idx="671">
                  <c:v>0</c:v>
                </c:pt>
                <c:pt idx="672">
                  <c:v>0</c:v>
                </c:pt>
                <c:pt idx="673">
                  <c:v>0</c:v>
                </c:pt>
                <c:pt idx="674">
                  <c:v>0</c:v>
                </c:pt>
                <c:pt idx="675">
                  <c:v>0</c:v>
                </c:pt>
                <c:pt idx="676">
                  <c:v>0</c:v>
                </c:pt>
                <c:pt idx="677">
                  <c:v>0</c:v>
                </c:pt>
                <c:pt idx="678">
                  <c:v>0</c:v>
                </c:pt>
                <c:pt idx="679">
                  <c:v>0</c:v>
                </c:pt>
                <c:pt idx="680">
                  <c:v>0</c:v>
                </c:pt>
                <c:pt idx="681">
                  <c:v>0</c:v>
                </c:pt>
                <c:pt idx="682">
                  <c:v>0</c:v>
                </c:pt>
                <c:pt idx="683">
                  <c:v>0</c:v>
                </c:pt>
                <c:pt idx="684">
                  <c:v>0</c:v>
                </c:pt>
                <c:pt idx="685">
                  <c:v>0</c:v>
                </c:pt>
                <c:pt idx="686">
                  <c:v>0</c:v>
                </c:pt>
                <c:pt idx="687">
                  <c:v>0</c:v>
                </c:pt>
                <c:pt idx="688">
                  <c:v>0</c:v>
                </c:pt>
                <c:pt idx="689">
                  <c:v>0</c:v>
                </c:pt>
                <c:pt idx="690">
                  <c:v>0</c:v>
                </c:pt>
                <c:pt idx="691">
                  <c:v>0</c:v>
                </c:pt>
                <c:pt idx="692">
                  <c:v>0</c:v>
                </c:pt>
                <c:pt idx="693">
                  <c:v>0</c:v>
                </c:pt>
                <c:pt idx="694">
                  <c:v>0</c:v>
                </c:pt>
                <c:pt idx="695">
                  <c:v>0</c:v>
                </c:pt>
                <c:pt idx="696">
                  <c:v>0</c:v>
                </c:pt>
                <c:pt idx="697">
                  <c:v>0</c:v>
                </c:pt>
                <c:pt idx="698">
                  <c:v>0</c:v>
                </c:pt>
                <c:pt idx="699">
                  <c:v>0</c:v>
                </c:pt>
                <c:pt idx="700">
                  <c:v>0</c:v>
                </c:pt>
                <c:pt idx="701">
                  <c:v>0</c:v>
                </c:pt>
                <c:pt idx="702">
                  <c:v>0</c:v>
                </c:pt>
                <c:pt idx="703">
                  <c:v>0</c:v>
                </c:pt>
                <c:pt idx="704">
                  <c:v>0</c:v>
                </c:pt>
                <c:pt idx="705">
                  <c:v>0</c:v>
                </c:pt>
                <c:pt idx="706">
                  <c:v>0</c:v>
                </c:pt>
                <c:pt idx="707">
                  <c:v>0</c:v>
                </c:pt>
                <c:pt idx="708">
                  <c:v>0</c:v>
                </c:pt>
                <c:pt idx="709">
                  <c:v>0</c:v>
                </c:pt>
                <c:pt idx="710">
                  <c:v>0</c:v>
                </c:pt>
                <c:pt idx="711">
                  <c:v>0</c:v>
                </c:pt>
                <c:pt idx="712">
                  <c:v>0</c:v>
                </c:pt>
                <c:pt idx="713">
                  <c:v>0</c:v>
                </c:pt>
                <c:pt idx="714">
                  <c:v>0</c:v>
                </c:pt>
                <c:pt idx="715">
                  <c:v>0</c:v>
                </c:pt>
                <c:pt idx="716">
                  <c:v>0</c:v>
                </c:pt>
                <c:pt idx="717">
                  <c:v>0</c:v>
                </c:pt>
                <c:pt idx="718">
                  <c:v>0</c:v>
                </c:pt>
                <c:pt idx="719">
                  <c:v>0</c:v>
                </c:pt>
                <c:pt idx="720">
                  <c:v>0</c:v>
                </c:pt>
                <c:pt idx="721">
                  <c:v>0</c:v>
                </c:pt>
                <c:pt idx="722">
                  <c:v>0</c:v>
                </c:pt>
                <c:pt idx="723">
                  <c:v>0</c:v>
                </c:pt>
                <c:pt idx="724">
                  <c:v>0</c:v>
                </c:pt>
                <c:pt idx="725">
                  <c:v>0</c:v>
                </c:pt>
                <c:pt idx="726">
                  <c:v>0</c:v>
                </c:pt>
                <c:pt idx="727">
                  <c:v>0</c:v>
                </c:pt>
                <c:pt idx="728">
                  <c:v>0</c:v>
                </c:pt>
                <c:pt idx="729">
                  <c:v>0</c:v>
                </c:pt>
                <c:pt idx="730">
                  <c:v>0</c:v>
                </c:pt>
                <c:pt idx="731">
                  <c:v>0</c:v>
                </c:pt>
                <c:pt idx="732">
                  <c:v>0</c:v>
                </c:pt>
                <c:pt idx="733">
                  <c:v>0</c:v>
                </c:pt>
                <c:pt idx="734">
                  <c:v>0</c:v>
                </c:pt>
                <c:pt idx="735">
                  <c:v>0</c:v>
                </c:pt>
                <c:pt idx="736">
                  <c:v>0</c:v>
                </c:pt>
                <c:pt idx="737">
                  <c:v>0</c:v>
                </c:pt>
                <c:pt idx="738">
                  <c:v>0</c:v>
                </c:pt>
                <c:pt idx="739">
                  <c:v>0</c:v>
                </c:pt>
                <c:pt idx="740">
                  <c:v>0</c:v>
                </c:pt>
                <c:pt idx="741">
                  <c:v>0</c:v>
                </c:pt>
                <c:pt idx="742">
                  <c:v>0</c:v>
                </c:pt>
                <c:pt idx="743">
                  <c:v>0</c:v>
                </c:pt>
                <c:pt idx="744">
                  <c:v>0</c:v>
                </c:pt>
                <c:pt idx="745">
                  <c:v>0</c:v>
                </c:pt>
                <c:pt idx="746">
                  <c:v>0</c:v>
                </c:pt>
                <c:pt idx="747">
                  <c:v>0</c:v>
                </c:pt>
                <c:pt idx="748">
                  <c:v>0</c:v>
                </c:pt>
                <c:pt idx="749">
                  <c:v>0</c:v>
                </c:pt>
                <c:pt idx="750">
                  <c:v>0</c:v>
                </c:pt>
                <c:pt idx="751">
                  <c:v>0</c:v>
                </c:pt>
                <c:pt idx="752">
                  <c:v>0</c:v>
                </c:pt>
                <c:pt idx="753">
                  <c:v>0</c:v>
                </c:pt>
                <c:pt idx="754">
                  <c:v>0</c:v>
                </c:pt>
                <c:pt idx="755">
                  <c:v>0</c:v>
                </c:pt>
                <c:pt idx="756">
                  <c:v>0</c:v>
                </c:pt>
                <c:pt idx="757">
                  <c:v>0</c:v>
                </c:pt>
                <c:pt idx="758">
                  <c:v>0</c:v>
                </c:pt>
                <c:pt idx="759">
                  <c:v>0</c:v>
                </c:pt>
                <c:pt idx="760">
                  <c:v>0</c:v>
                </c:pt>
                <c:pt idx="761">
                  <c:v>0</c:v>
                </c:pt>
                <c:pt idx="762">
                  <c:v>0</c:v>
                </c:pt>
                <c:pt idx="763">
                  <c:v>0</c:v>
                </c:pt>
                <c:pt idx="764">
                  <c:v>0</c:v>
                </c:pt>
                <c:pt idx="765">
                  <c:v>0</c:v>
                </c:pt>
                <c:pt idx="766">
                  <c:v>0</c:v>
                </c:pt>
                <c:pt idx="767">
                  <c:v>0</c:v>
                </c:pt>
                <c:pt idx="768">
                  <c:v>0</c:v>
                </c:pt>
                <c:pt idx="769">
                  <c:v>0</c:v>
                </c:pt>
                <c:pt idx="770">
                  <c:v>0</c:v>
                </c:pt>
                <c:pt idx="771">
                  <c:v>0</c:v>
                </c:pt>
                <c:pt idx="772">
                  <c:v>0</c:v>
                </c:pt>
                <c:pt idx="773">
                  <c:v>0</c:v>
                </c:pt>
                <c:pt idx="774">
                  <c:v>0</c:v>
                </c:pt>
                <c:pt idx="775">
                  <c:v>0</c:v>
                </c:pt>
                <c:pt idx="776">
                  <c:v>0</c:v>
                </c:pt>
                <c:pt idx="777">
                  <c:v>0</c:v>
                </c:pt>
                <c:pt idx="778">
                  <c:v>0</c:v>
                </c:pt>
                <c:pt idx="779">
                  <c:v>0</c:v>
                </c:pt>
                <c:pt idx="780">
                  <c:v>0</c:v>
                </c:pt>
                <c:pt idx="781">
                  <c:v>0</c:v>
                </c:pt>
                <c:pt idx="782">
                  <c:v>0</c:v>
                </c:pt>
                <c:pt idx="783">
                  <c:v>0</c:v>
                </c:pt>
                <c:pt idx="784">
                  <c:v>0</c:v>
                </c:pt>
                <c:pt idx="785">
                  <c:v>0</c:v>
                </c:pt>
                <c:pt idx="786">
                  <c:v>0</c:v>
                </c:pt>
                <c:pt idx="787">
                  <c:v>0</c:v>
                </c:pt>
                <c:pt idx="788">
                  <c:v>0</c:v>
                </c:pt>
                <c:pt idx="789">
                  <c:v>0</c:v>
                </c:pt>
                <c:pt idx="790">
                  <c:v>0</c:v>
                </c:pt>
                <c:pt idx="791">
                  <c:v>0</c:v>
                </c:pt>
                <c:pt idx="792">
                  <c:v>0</c:v>
                </c:pt>
                <c:pt idx="793">
                  <c:v>0</c:v>
                </c:pt>
                <c:pt idx="794">
                  <c:v>0</c:v>
                </c:pt>
                <c:pt idx="795">
                  <c:v>0</c:v>
                </c:pt>
                <c:pt idx="796">
                  <c:v>0</c:v>
                </c:pt>
                <c:pt idx="797">
                  <c:v>0</c:v>
                </c:pt>
                <c:pt idx="798">
                  <c:v>0</c:v>
                </c:pt>
                <c:pt idx="799">
                  <c:v>0</c:v>
                </c:pt>
                <c:pt idx="800">
                  <c:v>0</c:v>
                </c:pt>
                <c:pt idx="801">
                  <c:v>0</c:v>
                </c:pt>
                <c:pt idx="802">
                  <c:v>0</c:v>
                </c:pt>
                <c:pt idx="803">
                  <c:v>0</c:v>
                </c:pt>
                <c:pt idx="804">
                  <c:v>0</c:v>
                </c:pt>
                <c:pt idx="805">
                  <c:v>0</c:v>
                </c:pt>
                <c:pt idx="806">
                  <c:v>0</c:v>
                </c:pt>
                <c:pt idx="807">
                  <c:v>0</c:v>
                </c:pt>
                <c:pt idx="808">
                  <c:v>0</c:v>
                </c:pt>
                <c:pt idx="809">
                  <c:v>0</c:v>
                </c:pt>
                <c:pt idx="810">
                  <c:v>0</c:v>
                </c:pt>
                <c:pt idx="811">
                  <c:v>0</c:v>
                </c:pt>
                <c:pt idx="812">
                  <c:v>0</c:v>
                </c:pt>
                <c:pt idx="813">
                  <c:v>0</c:v>
                </c:pt>
                <c:pt idx="814">
                  <c:v>0</c:v>
                </c:pt>
                <c:pt idx="815">
                  <c:v>0</c:v>
                </c:pt>
                <c:pt idx="816">
                  <c:v>0</c:v>
                </c:pt>
                <c:pt idx="817">
                  <c:v>0</c:v>
                </c:pt>
                <c:pt idx="818">
                  <c:v>0</c:v>
                </c:pt>
                <c:pt idx="819">
                  <c:v>0</c:v>
                </c:pt>
                <c:pt idx="820">
                  <c:v>0</c:v>
                </c:pt>
                <c:pt idx="821">
                  <c:v>0</c:v>
                </c:pt>
                <c:pt idx="822">
                  <c:v>0</c:v>
                </c:pt>
                <c:pt idx="823">
                  <c:v>0</c:v>
                </c:pt>
                <c:pt idx="824">
                  <c:v>0</c:v>
                </c:pt>
                <c:pt idx="825">
                  <c:v>0</c:v>
                </c:pt>
                <c:pt idx="826">
                  <c:v>0</c:v>
                </c:pt>
                <c:pt idx="827">
                  <c:v>0</c:v>
                </c:pt>
                <c:pt idx="828">
                  <c:v>0</c:v>
                </c:pt>
                <c:pt idx="829">
                  <c:v>0</c:v>
                </c:pt>
                <c:pt idx="830">
                  <c:v>0</c:v>
                </c:pt>
                <c:pt idx="831">
                  <c:v>0</c:v>
                </c:pt>
                <c:pt idx="832">
                  <c:v>0</c:v>
                </c:pt>
                <c:pt idx="833">
                  <c:v>0</c:v>
                </c:pt>
                <c:pt idx="834">
                  <c:v>0</c:v>
                </c:pt>
                <c:pt idx="835">
                  <c:v>0</c:v>
                </c:pt>
                <c:pt idx="836">
                  <c:v>0</c:v>
                </c:pt>
                <c:pt idx="837">
                  <c:v>0</c:v>
                </c:pt>
                <c:pt idx="838">
                  <c:v>0</c:v>
                </c:pt>
                <c:pt idx="839">
                  <c:v>0</c:v>
                </c:pt>
                <c:pt idx="840">
                  <c:v>0</c:v>
                </c:pt>
                <c:pt idx="841">
                  <c:v>0</c:v>
                </c:pt>
                <c:pt idx="842">
                  <c:v>0</c:v>
                </c:pt>
                <c:pt idx="843">
                  <c:v>0</c:v>
                </c:pt>
                <c:pt idx="844">
                  <c:v>0</c:v>
                </c:pt>
                <c:pt idx="845">
                  <c:v>0</c:v>
                </c:pt>
                <c:pt idx="846">
                  <c:v>0</c:v>
                </c:pt>
                <c:pt idx="847">
                  <c:v>0</c:v>
                </c:pt>
                <c:pt idx="848">
                  <c:v>0</c:v>
                </c:pt>
                <c:pt idx="849">
                  <c:v>0</c:v>
                </c:pt>
                <c:pt idx="850">
                  <c:v>0</c:v>
                </c:pt>
                <c:pt idx="851">
                  <c:v>0</c:v>
                </c:pt>
                <c:pt idx="852">
                  <c:v>0</c:v>
                </c:pt>
                <c:pt idx="853">
                  <c:v>0</c:v>
                </c:pt>
                <c:pt idx="854">
                  <c:v>0</c:v>
                </c:pt>
                <c:pt idx="855">
                  <c:v>0</c:v>
                </c:pt>
                <c:pt idx="856">
                  <c:v>0</c:v>
                </c:pt>
                <c:pt idx="857">
                  <c:v>0</c:v>
                </c:pt>
                <c:pt idx="858">
                  <c:v>0</c:v>
                </c:pt>
                <c:pt idx="859">
                  <c:v>0</c:v>
                </c:pt>
                <c:pt idx="860">
                  <c:v>0</c:v>
                </c:pt>
                <c:pt idx="861">
                  <c:v>0</c:v>
                </c:pt>
                <c:pt idx="862">
                  <c:v>0</c:v>
                </c:pt>
                <c:pt idx="863">
                  <c:v>0</c:v>
                </c:pt>
                <c:pt idx="864">
                  <c:v>0</c:v>
                </c:pt>
                <c:pt idx="865">
                  <c:v>0</c:v>
                </c:pt>
                <c:pt idx="866">
                  <c:v>0</c:v>
                </c:pt>
                <c:pt idx="867">
                  <c:v>0</c:v>
                </c:pt>
                <c:pt idx="868">
                  <c:v>0</c:v>
                </c:pt>
                <c:pt idx="869">
                  <c:v>0</c:v>
                </c:pt>
                <c:pt idx="870">
                  <c:v>0</c:v>
                </c:pt>
                <c:pt idx="871">
                  <c:v>0</c:v>
                </c:pt>
                <c:pt idx="872">
                  <c:v>0</c:v>
                </c:pt>
                <c:pt idx="873">
                  <c:v>0</c:v>
                </c:pt>
                <c:pt idx="874">
                  <c:v>0</c:v>
                </c:pt>
                <c:pt idx="875">
                  <c:v>0</c:v>
                </c:pt>
                <c:pt idx="876">
                  <c:v>0</c:v>
                </c:pt>
                <c:pt idx="877">
                  <c:v>0</c:v>
                </c:pt>
                <c:pt idx="878">
                  <c:v>0</c:v>
                </c:pt>
                <c:pt idx="879">
                  <c:v>0</c:v>
                </c:pt>
                <c:pt idx="880">
                  <c:v>0</c:v>
                </c:pt>
                <c:pt idx="881">
                  <c:v>0</c:v>
                </c:pt>
                <c:pt idx="882">
                  <c:v>0</c:v>
                </c:pt>
                <c:pt idx="883">
                  <c:v>0</c:v>
                </c:pt>
                <c:pt idx="884">
                  <c:v>0</c:v>
                </c:pt>
                <c:pt idx="885">
                  <c:v>0</c:v>
                </c:pt>
                <c:pt idx="886">
                  <c:v>0</c:v>
                </c:pt>
                <c:pt idx="887">
                  <c:v>0</c:v>
                </c:pt>
                <c:pt idx="888">
                  <c:v>0</c:v>
                </c:pt>
                <c:pt idx="889">
                  <c:v>0</c:v>
                </c:pt>
                <c:pt idx="890">
                  <c:v>0</c:v>
                </c:pt>
                <c:pt idx="891">
                  <c:v>0</c:v>
                </c:pt>
                <c:pt idx="892">
                  <c:v>0</c:v>
                </c:pt>
                <c:pt idx="893">
                  <c:v>0</c:v>
                </c:pt>
                <c:pt idx="894">
                  <c:v>0</c:v>
                </c:pt>
                <c:pt idx="895">
                  <c:v>0</c:v>
                </c:pt>
                <c:pt idx="896">
                  <c:v>0</c:v>
                </c:pt>
                <c:pt idx="897">
                  <c:v>0</c:v>
                </c:pt>
                <c:pt idx="898">
                  <c:v>0</c:v>
                </c:pt>
                <c:pt idx="899">
                  <c:v>0</c:v>
                </c:pt>
                <c:pt idx="900">
                  <c:v>0</c:v>
                </c:pt>
                <c:pt idx="901">
                  <c:v>0</c:v>
                </c:pt>
                <c:pt idx="902">
                  <c:v>0</c:v>
                </c:pt>
                <c:pt idx="903">
                  <c:v>0</c:v>
                </c:pt>
                <c:pt idx="904">
                  <c:v>0</c:v>
                </c:pt>
                <c:pt idx="905">
                  <c:v>0</c:v>
                </c:pt>
                <c:pt idx="906">
                  <c:v>0</c:v>
                </c:pt>
                <c:pt idx="907">
                  <c:v>0</c:v>
                </c:pt>
                <c:pt idx="908">
                  <c:v>0</c:v>
                </c:pt>
                <c:pt idx="909">
                  <c:v>0</c:v>
                </c:pt>
                <c:pt idx="910">
                  <c:v>0</c:v>
                </c:pt>
                <c:pt idx="911">
                  <c:v>0</c:v>
                </c:pt>
                <c:pt idx="912">
                  <c:v>0</c:v>
                </c:pt>
                <c:pt idx="913">
                  <c:v>0</c:v>
                </c:pt>
                <c:pt idx="914">
                  <c:v>0</c:v>
                </c:pt>
                <c:pt idx="915">
                  <c:v>0</c:v>
                </c:pt>
                <c:pt idx="916">
                  <c:v>0</c:v>
                </c:pt>
                <c:pt idx="917">
                  <c:v>0</c:v>
                </c:pt>
                <c:pt idx="918">
                  <c:v>0</c:v>
                </c:pt>
                <c:pt idx="919">
                  <c:v>0</c:v>
                </c:pt>
                <c:pt idx="920">
                  <c:v>0</c:v>
                </c:pt>
                <c:pt idx="921">
                  <c:v>0</c:v>
                </c:pt>
                <c:pt idx="922">
                  <c:v>0</c:v>
                </c:pt>
                <c:pt idx="923">
                  <c:v>0</c:v>
                </c:pt>
                <c:pt idx="924">
                  <c:v>0</c:v>
                </c:pt>
                <c:pt idx="925">
                  <c:v>0</c:v>
                </c:pt>
                <c:pt idx="926">
                  <c:v>0</c:v>
                </c:pt>
                <c:pt idx="927">
                  <c:v>0</c:v>
                </c:pt>
                <c:pt idx="928">
                  <c:v>0</c:v>
                </c:pt>
                <c:pt idx="929">
                  <c:v>0</c:v>
                </c:pt>
                <c:pt idx="930">
                  <c:v>0</c:v>
                </c:pt>
                <c:pt idx="931">
                  <c:v>0</c:v>
                </c:pt>
                <c:pt idx="932">
                  <c:v>0</c:v>
                </c:pt>
                <c:pt idx="933">
                  <c:v>0</c:v>
                </c:pt>
                <c:pt idx="934">
                  <c:v>0</c:v>
                </c:pt>
                <c:pt idx="935">
                  <c:v>0</c:v>
                </c:pt>
                <c:pt idx="936">
                  <c:v>0</c:v>
                </c:pt>
                <c:pt idx="937">
                  <c:v>0</c:v>
                </c:pt>
                <c:pt idx="938">
                  <c:v>0</c:v>
                </c:pt>
                <c:pt idx="939">
                  <c:v>0</c:v>
                </c:pt>
                <c:pt idx="940">
                  <c:v>0</c:v>
                </c:pt>
                <c:pt idx="941">
                  <c:v>0</c:v>
                </c:pt>
                <c:pt idx="942">
                  <c:v>0</c:v>
                </c:pt>
                <c:pt idx="943">
                  <c:v>0</c:v>
                </c:pt>
                <c:pt idx="944">
                  <c:v>0</c:v>
                </c:pt>
                <c:pt idx="945">
                  <c:v>0</c:v>
                </c:pt>
                <c:pt idx="946">
                  <c:v>0</c:v>
                </c:pt>
                <c:pt idx="947">
                  <c:v>0</c:v>
                </c:pt>
                <c:pt idx="948">
                  <c:v>0</c:v>
                </c:pt>
                <c:pt idx="949">
                  <c:v>0</c:v>
                </c:pt>
                <c:pt idx="950">
                  <c:v>0</c:v>
                </c:pt>
                <c:pt idx="951">
                  <c:v>0</c:v>
                </c:pt>
                <c:pt idx="952">
                  <c:v>0</c:v>
                </c:pt>
                <c:pt idx="953">
                  <c:v>0</c:v>
                </c:pt>
                <c:pt idx="954">
                  <c:v>0</c:v>
                </c:pt>
                <c:pt idx="955">
                  <c:v>0</c:v>
                </c:pt>
                <c:pt idx="956">
                  <c:v>0</c:v>
                </c:pt>
                <c:pt idx="957">
                  <c:v>0</c:v>
                </c:pt>
                <c:pt idx="958">
                  <c:v>0</c:v>
                </c:pt>
                <c:pt idx="959">
                  <c:v>0</c:v>
                </c:pt>
                <c:pt idx="960">
                  <c:v>0</c:v>
                </c:pt>
                <c:pt idx="961">
                  <c:v>0</c:v>
                </c:pt>
                <c:pt idx="962">
                  <c:v>0</c:v>
                </c:pt>
                <c:pt idx="963">
                  <c:v>0</c:v>
                </c:pt>
                <c:pt idx="964">
                  <c:v>0</c:v>
                </c:pt>
                <c:pt idx="965">
                  <c:v>0</c:v>
                </c:pt>
                <c:pt idx="966">
                  <c:v>0</c:v>
                </c:pt>
                <c:pt idx="967">
                  <c:v>0</c:v>
                </c:pt>
                <c:pt idx="968">
                  <c:v>0</c:v>
                </c:pt>
                <c:pt idx="969">
                  <c:v>0</c:v>
                </c:pt>
                <c:pt idx="970">
                  <c:v>0</c:v>
                </c:pt>
                <c:pt idx="971">
                  <c:v>0</c:v>
                </c:pt>
                <c:pt idx="972">
                  <c:v>0</c:v>
                </c:pt>
                <c:pt idx="973">
                  <c:v>0</c:v>
                </c:pt>
                <c:pt idx="974">
                  <c:v>0</c:v>
                </c:pt>
                <c:pt idx="975">
                  <c:v>0</c:v>
                </c:pt>
                <c:pt idx="976">
                  <c:v>0</c:v>
                </c:pt>
                <c:pt idx="977">
                  <c:v>0</c:v>
                </c:pt>
                <c:pt idx="978">
                  <c:v>0</c:v>
                </c:pt>
                <c:pt idx="979">
                  <c:v>0</c:v>
                </c:pt>
                <c:pt idx="980">
                  <c:v>0</c:v>
                </c:pt>
                <c:pt idx="981">
                  <c:v>0</c:v>
                </c:pt>
                <c:pt idx="982">
                  <c:v>0</c:v>
                </c:pt>
                <c:pt idx="983">
                  <c:v>0</c:v>
                </c:pt>
                <c:pt idx="984">
                  <c:v>0</c:v>
                </c:pt>
                <c:pt idx="985">
                  <c:v>0</c:v>
                </c:pt>
                <c:pt idx="986">
                  <c:v>0</c:v>
                </c:pt>
                <c:pt idx="987">
                  <c:v>0</c:v>
                </c:pt>
                <c:pt idx="988">
                  <c:v>0</c:v>
                </c:pt>
                <c:pt idx="989">
                  <c:v>0</c:v>
                </c:pt>
                <c:pt idx="990">
                  <c:v>0</c:v>
                </c:pt>
                <c:pt idx="991">
                  <c:v>0</c:v>
                </c:pt>
                <c:pt idx="992">
                  <c:v>0</c:v>
                </c:pt>
                <c:pt idx="993">
                  <c:v>0</c:v>
                </c:pt>
                <c:pt idx="994">
                  <c:v>0</c:v>
                </c:pt>
                <c:pt idx="995">
                  <c:v>0</c:v>
                </c:pt>
                <c:pt idx="996">
                  <c:v>0</c:v>
                </c:pt>
                <c:pt idx="997">
                  <c:v>0</c:v>
                </c:pt>
                <c:pt idx="998">
                  <c:v>0</c:v>
                </c:pt>
                <c:pt idx="999">
                  <c:v>0</c:v>
                </c:pt>
                <c:pt idx="1000">
                  <c:v>0</c:v>
                </c:pt>
                <c:pt idx="1001">
                  <c:v>0</c:v>
                </c:pt>
                <c:pt idx="1002">
                  <c:v>0</c:v>
                </c:pt>
                <c:pt idx="1003">
                  <c:v>0</c:v>
                </c:pt>
                <c:pt idx="1004">
                  <c:v>0</c:v>
                </c:pt>
                <c:pt idx="1005">
                  <c:v>0</c:v>
                </c:pt>
                <c:pt idx="1006">
                  <c:v>0</c:v>
                </c:pt>
                <c:pt idx="1007">
                  <c:v>0</c:v>
                </c:pt>
                <c:pt idx="1008">
                  <c:v>0</c:v>
                </c:pt>
                <c:pt idx="1009">
                  <c:v>0</c:v>
                </c:pt>
                <c:pt idx="1010">
                  <c:v>0</c:v>
                </c:pt>
                <c:pt idx="1011">
                  <c:v>0</c:v>
                </c:pt>
                <c:pt idx="1012">
                  <c:v>0</c:v>
                </c:pt>
                <c:pt idx="1013">
                  <c:v>0</c:v>
                </c:pt>
                <c:pt idx="1014">
                  <c:v>0</c:v>
                </c:pt>
                <c:pt idx="1015">
                  <c:v>0</c:v>
                </c:pt>
                <c:pt idx="1016">
                  <c:v>0</c:v>
                </c:pt>
                <c:pt idx="1017">
                  <c:v>0</c:v>
                </c:pt>
                <c:pt idx="1018">
                  <c:v>0</c:v>
                </c:pt>
                <c:pt idx="1019">
                  <c:v>0</c:v>
                </c:pt>
                <c:pt idx="1020">
                  <c:v>0</c:v>
                </c:pt>
                <c:pt idx="1021">
                  <c:v>0</c:v>
                </c:pt>
                <c:pt idx="1022">
                  <c:v>0</c:v>
                </c:pt>
                <c:pt idx="1023">
                  <c:v>0</c:v>
                </c:pt>
                <c:pt idx="1024">
                  <c:v>0</c:v>
                </c:pt>
                <c:pt idx="1025">
                  <c:v>0</c:v>
                </c:pt>
                <c:pt idx="1026">
                  <c:v>0</c:v>
                </c:pt>
                <c:pt idx="1027">
                  <c:v>0</c:v>
                </c:pt>
                <c:pt idx="1028">
                  <c:v>0</c:v>
                </c:pt>
                <c:pt idx="1029">
                  <c:v>0</c:v>
                </c:pt>
                <c:pt idx="1030">
                  <c:v>0</c:v>
                </c:pt>
                <c:pt idx="1031">
                  <c:v>0</c:v>
                </c:pt>
                <c:pt idx="1032">
                  <c:v>0</c:v>
                </c:pt>
                <c:pt idx="1033">
                  <c:v>0</c:v>
                </c:pt>
                <c:pt idx="1034">
                  <c:v>0</c:v>
                </c:pt>
                <c:pt idx="1035">
                  <c:v>0</c:v>
                </c:pt>
                <c:pt idx="1036">
                  <c:v>0</c:v>
                </c:pt>
                <c:pt idx="1037">
                  <c:v>0</c:v>
                </c:pt>
                <c:pt idx="1038">
                  <c:v>0</c:v>
                </c:pt>
                <c:pt idx="1039">
                  <c:v>0</c:v>
                </c:pt>
                <c:pt idx="1040">
                  <c:v>0</c:v>
                </c:pt>
              </c:numCache>
            </c:numRef>
          </c:yVal>
          <c:smooth val="1"/>
          <c:extLst>
            <c:ext xmlns:c16="http://schemas.microsoft.com/office/drawing/2014/chart" uri="{C3380CC4-5D6E-409C-BE32-E72D297353CC}">
              <c16:uniqueId val="{00000003-1A37-094B-9E1D-F9491A91AD2C}"/>
            </c:ext>
          </c:extLst>
        </c:ser>
        <c:ser>
          <c:idx val="4"/>
          <c:order val="4"/>
          <c:tx>
            <c:strRef>
              <c:f>'Model Comparator'!$U$4</c:f>
              <c:strCache>
                <c:ptCount val="1"/>
                <c:pt idx="0">
                  <c:v>Progression free (Cx)</c:v>
                </c:pt>
              </c:strCache>
            </c:strRef>
          </c:tx>
          <c:spPr>
            <a:ln w="19050" cap="rnd">
              <a:solidFill>
                <a:schemeClr val="accent2"/>
              </a:solidFill>
              <a:prstDash val="lgDash"/>
              <a:round/>
            </a:ln>
            <a:effectLst/>
          </c:spPr>
          <c:marker>
            <c:symbol val="none"/>
          </c:marker>
          <c:xVal>
            <c:numRef>
              <c:f>'Model Comparator'!$D$7:$D$1047</c:f>
              <c:numCache>
                <c:formatCode>0.000</c:formatCode>
                <c:ptCount val="1041"/>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pt idx="51">
                  <c:v>51</c:v>
                </c:pt>
                <c:pt idx="52">
                  <c:v>52</c:v>
                </c:pt>
                <c:pt idx="53">
                  <c:v>53</c:v>
                </c:pt>
                <c:pt idx="54">
                  <c:v>54</c:v>
                </c:pt>
                <c:pt idx="55">
                  <c:v>55</c:v>
                </c:pt>
                <c:pt idx="56">
                  <c:v>56</c:v>
                </c:pt>
                <c:pt idx="57">
                  <c:v>57</c:v>
                </c:pt>
                <c:pt idx="58">
                  <c:v>58</c:v>
                </c:pt>
                <c:pt idx="59">
                  <c:v>59</c:v>
                </c:pt>
                <c:pt idx="60">
                  <c:v>60</c:v>
                </c:pt>
                <c:pt idx="61">
                  <c:v>61</c:v>
                </c:pt>
                <c:pt idx="62">
                  <c:v>62</c:v>
                </c:pt>
                <c:pt idx="63">
                  <c:v>63</c:v>
                </c:pt>
                <c:pt idx="64">
                  <c:v>64</c:v>
                </c:pt>
                <c:pt idx="65">
                  <c:v>65</c:v>
                </c:pt>
                <c:pt idx="66">
                  <c:v>66</c:v>
                </c:pt>
                <c:pt idx="67">
                  <c:v>67</c:v>
                </c:pt>
                <c:pt idx="68">
                  <c:v>68</c:v>
                </c:pt>
                <c:pt idx="69">
                  <c:v>69</c:v>
                </c:pt>
                <c:pt idx="70">
                  <c:v>70</c:v>
                </c:pt>
                <c:pt idx="71">
                  <c:v>71</c:v>
                </c:pt>
                <c:pt idx="72">
                  <c:v>72</c:v>
                </c:pt>
                <c:pt idx="73">
                  <c:v>73</c:v>
                </c:pt>
                <c:pt idx="74">
                  <c:v>74</c:v>
                </c:pt>
                <c:pt idx="75">
                  <c:v>75</c:v>
                </c:pt>
                <c:pt idx="76">
                  <c:v>76</c:v>
                </c:pt>
                <c:pt idx="77">
                  <c:v>77</c:v>
                </c:pt>
                <c:pt idx="78">
                  <c:v>78</c:v>
                </c:pt>
                <c:pt idx="79">
                  <c:v>79</c:v>
                </c:pt>
                <c:pt idx="80">
                  <c:v>80</c:v>
                </c:pt>
                <c:pt idx="81">
                  <c:v>81</c:v>
                </c:pt>
                <c:pt idx="82">
                  <c:v>82</c:v>
                </c:pt>
                <c:pt idx="83">
                  <c:v>83</c:v>
                </c:pt>
                <c:pt idx="84">
                  <c:v>84</c:v>
                </c:pt>
                <c:pt idx="85">
                  <c:v>85</c:v>
                </c:pt>
                <c:pt idx="86">
                  <c:v>86</c:v>
                </c:pt>
                <c:pt idx="87">
                  <c:v>87</c:v>
                </c:pt>
                <c:pt idx="88">
                  <c:v>88</c:v>
                </c:pt>
                <c:pt idx="89">
                  <c:v>89</c:v>
                </c:pt>
                <c:pt idx="90">
                  <c:v>90</c:v>
                </c:pt>
                <c:pt idx="91">
                  <c:v>91</c:v>
                </c:pt>
                <c:pt idx="92">
                  <c:v>92</c:v>
                </c:pt>
                <c:pt idx="93">
                  <c:v>93</c:v>
                </c:pt>
                <c:pt idx="94">
                  <c:v>94</c:v>
                </c:pt>
                <c:pt idx="95">
                  <c:v>95</c:v>
                </c:pt>
                <c:pt idx="96">
                  <c:v>96</c:v>
                </c:pt>
                <c:pt idx="97">
                  <c:v>97</c:v>
                </c:pt>
                <c:pt idx="98">
                  <c:v>98</c:v>
                </c:pt>
                <c:pt idx="99">
                  <c:v>99</c:v>
                </c:pt>
                <c:pt idx="100">
                  <c:v>100</c:v>
                </c:pt>
                <c:pt idx="101">
                  <c:v>101</c:v>
                </c:pt>
                <c:pt idx="102">
                  <c:v>102</c:v>
                </c:pt>
                <c:pt idx="103">
                  <c:v>103</c:v>
                </c:pt>
                <c:pt idx="104">
                  <c:v>104</c:v>
                </c:pt>
                <c:pt idx="105">
                  <c:v>105</c:v>
                </c:pt>
                <c:pt idx="106">
                  <c:v>106</c:v>
                </c:pt>
                <c:pt idx="107">
                  <c:v>107</c:v>
                </c:pt>
                <c:pt idx="108">
                  <c:v>108</c:v>
                </c:pt>
                <c:pt idx="109">
                  <c:v>109</c:v>
                </c:pt>
                <c:pt idx="110">
                  <c:v>110</c:v>
                </c:pt>
                <c:pt idx="111">
                  <c:v>111</c:v>
                </c:pt>
                <c:pt idx="112">
                  <c:v>112</c:v>
                </c:pt>
                <c:pt idx="113">
                  <c:v>113</c:v>
                </c:pt>
                <c:pt idx="114">
                  <c:v>114</c:v>
                </c:pt>
                <c:pt idx="115">
                  <c:v>115</c:v>
                </c:pt>
                <c:pt idx="116">
                  <c:v>116</c:v>
                </c:pt>
                <c:pt idx="117">
                  <c:v>117</c:v>
                </c:pt>
                <c:pt idx="118">
                  <c:v>118</c:v>
                </c:pt>
                <c:pt idx="119">
                  <c:v>119</c:v>
                </c:pt>
                <c:pt idx="120">
                  <c:v>120</c:v>
                </c:pt>
                <c:pt idx="121">
                  <c:v>121</c:v>
                </c:pt>
                <c:pt idx="122">
                  <c:v>122</c:v>
                </c:pt>
                <c:pt idx="123">
                  <c:v>123</c:v>
                </c:pt>
                <c:pt idx="124">
                  <c:v>124</c:v>
                </c:pt>
                <c:pt idx="125">
                  <c:v>125</c:v>
                </c:pt>
                <c:pt idx="126">
                  <c:v>126</c:v>
                </c:pt>
                <c:pt idx="127">
                  <c:v>127</c:v>
                </c:pt>
                <c:pt idx="128">
                  <c:v>128</c:v>
                </c:pt>
                <c:pt idx="129">
                  <c:v>129</c:v>
                </c:pt>
                <c:pt idx="130">
                  <c:v>130</c:v>
                </c:pt>
                <c:pt idx="131">
                  <c:v>131</c:v>
                </c:pt>
                <c:pt idx="132">
                  <c:v>132</c:v>
                </c:pt>
                <c:pt idx="133">
                  <c:v>133</c:v>
                </c:pt>
                <c:pt idx="134">
                  <c:v>134</c:v>
                </c:pt>
                <c:pt idx="135">
                  <c:v>135</c:v>
                </c:pt>
                <c:pt idx="136">
                  <c:v>136</c:v>
                </c:pt>
                <c:pt idx="137">
                  <c:v>137</c:v>
                </c:pt>
                <c:pt idx="138">
                  <c:v>138</c:v>
                </c:pt>
                <c:pt idx="139">
                  <c:v>139</c:v>
                </c:pt>
                <c:pt idx="140">
                  <c:v>140</c:v>
                </c:pt>
                <c:pt idx="141">
                  <c:v>141</c:v>
                </c:pt>
                <c:pt idx="142">
                  <c:v>142</c:v>
                </c:pt>
                <c:pt idx="143">
                  <c:v>143</c:v>
                </c:pt>
                <c:pt idx="144">
                  <c:v>144</c:v>
                </c:pt>
                <c:pt idx="145">
                  <c:v>145</c:v>
                </c:pt>
                <c:pt idx="146">
                  <c:v>146</c:v>
                </c:pt>
                <c:pt idx="147">
                  <c:v>147</c:v>
                </c:pt>
                <c:pt idx="148">
                  <c:v>148</c:v>
                </c:pt>
                <c:pt idx="149">
                  <c:v>149</c:v>
                </c:pt>
                <c:pt idx="150">
                  <c:v>150</c:v>
                </c:pt>
                <c:pt idx="151">
                  <c:v>151</c:v>
                </c:pt>
                <c:pt idx="152">
                  <c:v>152</c:v>
                </c:pt>
                <c:pt idx="153">
                  <c:v>153</c:v>
                </c:pt>
                <c:pt idx="154">
                  <c:v>154</c:v>
                </c:pt>
                <c:pt idx="155">
                  <c:v>155</c:v>
                </c:pt>
                <c:pt idx="156">
                  <c:v>156</c:v>
                </c:pt>
                <c:pt idx="157">
                  <c:v>157</c:v>
                </c:pt>
                <c:pt idx="158">
                  <c:v>158</c:v>
                </c:pt>
                <c:pt idx="159">
                  <c:v>159</c:v>
                </c:pt>
                <c:pt idx="160">
                  <c:v>160</c:v>
                </c:pt>
                <c:pt idx="161">
                  <c:v>161</c:v>
                </c:pt>
                <c:pt idx="162">
                  <c:v>162</c:v>
                </c:pt>
                <c:pt idx="163">
                  <c:v>163</c:v>
                </c:pt>
                <c:pt idx="164">
                  <c:v>164</c:v>
                </c:pt>
                <c:pt idx="165">
                  <c:v>165</c:v>
                </c:pt>
                <c:pt idx="166">
                  <c:v>166</c:v>
                </c:pt>
                <c:pt idx="167">
                  <c:v>167</c:v>
                </c:pt>
                <c:pt idx="168">
                  <c:v>168</c:v>
                </c:pt>
                <c:pt idx="169">
                  <c:v>169</c:v>
                </c:pt>
                <c:pt idx="170">
                  <c:v>170</c:v>
                </c:pt>
                <c:pt idx="171">
                  <c:v>171</c:v>
                </c:pt>
                <c:pt idx="172">
                  <c:v>172</c:v>
                </c:pt>
                <c:pt idx="173">
                  <c:v>173</c:v>
                </c:pt>
                <c:pt idx="174">
                  <c:v>174</c:v>
                </c:pt>
                <c:pt idx="175">
                  <c:v>175</c:v>
                </c:pt>
                <c:pt idx="176">
                  <c:v>176</c:v>
                </c:pt>
                <c:pt idx="177">
                  <c:v>177</c:v>
                </c:pt>
                <c:pt idx="178">
                  <c:v>178</c:v>
                </c:pt>
                <c:pt idx="179">
                  <c:v>179</c:v>
                </c:pt>
                <c:pt idx="180">
                  <c:v>180</c:v>
                </c:pt>
                <c:pt idx="181">
                  <c:v>181</c:v>
                </c:pt>
                <c:pt idx="182">
                  <c:v>182</c:v>
                </c:pt>
                <c:pt idx="183">
                  <c:v>183</c:v>
                </c:pt>
                <c:pt idx="184">
                  <c:v>184</c:v>
                </c:pt>
                <c:pt idx="185">
                  <c:v>185</c:v>
                </c:pt>
                <c:pt idx="186">
                  <c:v>186</c:v>
                </c:pt>
                <c:pt idx="187">
                  <c:v>187</c:v>
                </c:pt>
                <c:pt idx="188">
                  <c:v>188</c:v>
                </c:pt>
                <c:pt idx="189">
                  <c:v>189</c:v>
                </c:pt>
                <c:pt idx="190">
                  <c:v>190</c:v>
                </c:pt>
                <c:pt idx="191">
                  <c:v>191</c:v>
                </c:pt>
                <c:pt idx="192">
                  <c:v>192</c:v>
                </c:pt>
                <c:pt idx="193">
                  <c:v>193</c:v>
                </c:pt>
                <c:pt idx="194">
                  <c:v>194</c:v>
                </c:pt>
                <c:pt idx="195">
                  <c:v>195</c:v>
                </c:pt>
                <c:pt idx="196">
                  <c:v>196</c:v>
                </c:pt>
                <c:pt idx="197">
                  <c:v>197</c:v>
                </c:pt>
                <c:pt idx="198">
                  <c:v>198</c:v>
                </c:pt>
                <c:pt idx="199">
                  <c:v>199</c:v>
                </c:pt>
                <c:pt idx="200">
                  <c:v>200</c:v>
                </c:pt>
                <c:pt idx="201">
                  <c:v>201</c:v>
                </c:pt>
                <c:pt idx="202">
                  <c:v>202</c:v>
                </c:pt>
                <c:pt idx="203">
                  <c:v>203</c:v>
                </c:pt>
                <c:pt idx="204">
                  <c:v>204</c:v>
                </c:pt>
                <c:pt idx="205">
                  <c:v>205</c:v>
                </c:pt>
                <c:pt idx="206">
                  <c:v>206</c:v>
                </c:pt>
                <c:pt idx="207">
                  <c:v>207</c:v>
                </c:pt>
                <c:pt idx="208">
                  <c:v>208</c:v>
                </c:pt>
                <c:pt idx="209">
                  <c:v>209</c:v>
                </c:pt>
                <c:pt idx="210">
                  <c:v>210</c:v>
                </c:pt>
                <c:pt idx="211">
                  <c:v>211</c:v>
                </c:pt>
                <c:pt idx="212">
                  <c:v>212</c:v>
                </c:pt>
                <c:pt idx="213">
                  <c:v>213</c:v>
                </c:pt>
                <c:pt idx="214">
                  <c:v>214</c:v>
                </c:pt>
                <c:pt idx="215">
                  <c:v>215</c:v>
                </c:pt>
                <c:pt idx="216">
                  <c:v>216</c:v>
                </c:pt>
                <c:pt idx="217">
                  <c:v>217</c:v>
                </c:pt>
                <c:pt idx="218">
                  <c:v>218</c:v>
                </c:pt>
                <c:pt idx="219">
                  <c:v>219</c:v>
                </c:pt>
                <c:pt idx="220">
                  <c:v>220</c:v>
                </c:pt>
                <c:pt idx="221">
                  <c:v>221</c:v>
                </c:pt>
                <c:pt idx="222">
                  <c:v>222</c:v>
                </c:pt>
                <c:pt idx="223">
                  <c:v>223</c:v>
                </c:pt>
                <c:pt idx="224">
                  <c:v>224</c:v>
                </c:pt>
                <c:pt idx="225">
                  <c:v>225</c:v>
                </c:pt>
                <c:pt idx="226">
                  <c:v>226</c:v>
                </c:pt>
                <c:pt idx="227">
                  <c:v>227</c:v>
                </c:pt>
                <c:pt idx="228">
                  <c:v>228</c:v>
                </c:pt>
                <c:pt idx="229">
                  <c:v>229</c:v>
                </c:pt>
                <c:pt idx="230">
                  <c:v>230</c:v>
                </c:pt>
                <c:pt idx="231">
                  <c:v>231</c:v>
                </c:pt>
                <c:pt idx="232">
                  <c:v>232</c:v>
                </c:pt>
                <c:pt idx="233">
                  <c:v>233</c:v>
                </c:pt>
                <c:pt idx="234">
                  <c:v>234</c:v>
                </c:pt>
                <c:pt idx="235">
                  <c:v>235</c:v>
                </c:pt>
                <c:pt idx="236">
                  <c:v>236</c:v>
                </c:pt>
                <c:pt idx="237">
                  <c:v>237</c:v>
                </c:pt>
                <c:pt idx="238">
                  <c:v>238</c:v>
                </c:pt>
                <c:pt idx="239">
                  <c:v>239</c:v>
                </c:pt>
                <c:pt idx="240">
                  <c:v>240</c:v>
                </c:pt>
                <c:pt idx="241">
                  <c:v>241</c:v>
                </c:pt>
                <c:pt idx="242">
                  <c:v>242</c:v>
                </c:pt>
                <c:pt idx="243">
                  <c:v>243</c:v>
                </c:pt>
                <c:pt idx="244">
                  <c:v>244</c:v>
                </c:pt>
                <c:pt idx="245">
                  <c:v>245</c:v>
                </c:pt>
                <c:pt idx="246">
                  <c:v>246</c:v>
                </c:pt>
                <c:pt idx="247">
                  <c:v>247</c:v>
                </c:pt>
                <c:pt idx="248">
                  <c:v>248</c:v>
                </c:pt>
                <c:pt idx="249">
                  <c:v>249</c:v>
                </c:pt>
                <c:pt idx="250">
                  <c:v>250</c:v>
                </c:pt>
                <c:pt idx="251">
                  <c:v>251</c:v>
                </c:pt>
                <c:pt idx="252">
                  <c:v>252</c:v>
                </c:pt>
                <c:pt idx="253">
                  <c:v>253</c:v>
                </c:pt>
                <c:pt idx="254">
                  <c:v>254</c:v>
                </c:pt>
                <c:pt idx="255">
                  <c:v>255</c:v>
                </c:pt>
                <c:pt idx="256">
                  <c:v>256</c:v>
                </c:pt>
                <c:pt idx="257">
                  <c:v>257</c:v>
                </c:pt>
                <c:pt idx="258">
                  <c:v>258</c:v>
                </c:pt>
                <c:pt idx="259">
                  <c:v>259</c:v>
                </c:pt>
                <c:pt idx="260">
                  <c:v>260</c:v>
                </c:pt>
                <c:pt idx="261">
                  <c:v>261</c:v>
                </c:pt>
                <c:pt idx="262">
                  <c:v>262</c:v>
                </c:pt>
                <c:pt idx="263">
                  <c:v>263</c:v>
                </c:pt>
                <c:pt idx="264">
                  <c:v>264</c:v>
                </c:pt>
                <c:pt idx="265">
                  <c:v>265</c:v>
                </c:pt>
                <c:pt idx="266">
                  <c:v>266</c:v>
                </c:pt>
                <c:pt idx="267">
                  <c:v>267</c:v>
                </c:pt>
                <c:pt idx="268">
                  <c:v>268</c:v>
                </c:pt>
                <c:pt idx="269">
                  <c:v>269</c:v>
                </c:pt>
                <c:pt idx="270">
                  <c:v>270</c:v>
                </c:pt>
                <c:pt idx="271">
                  <c:v>271</c:v>
                </c:pt>
                <c:pt idx="272">
                  <c:v>272</c:v>
                </c:pt>
                <c:pt idx="273">
                  <c:v>273</c:v>
                </c:pt>
                <c:pt idx="274">
                  <c:v>274</c:v>
                </c:pt>
                <c:pt idx="275">
                  <c:v>275</c:v>
                </c:pt>
                <c:pt idx="276">
                  <c:v>276</c:v>
                </c:pt>
                <c:pt idx="277">
                  <c:v>277</c:v>
                </c:pt>
                <c:pt idx="278">
                  <c:v>278</c:v>
                </c:pt>
                <c:pt idx="279">
                  <c:v>279</c:v>
                </c:pt>
                <c:pt idx="280">
                  <c:v>280</c:v>
                </c:pt>
                <c:pt idx="281">
                  <c:v>281</c:v>
                </c:pt>
                <c:pt idx="282">
                  <c:v>282</c:v>
                </c:pt>
                <c:pt idx="283">
                  <c:v>283</c:v>
                </c:pt>
                <c:pt idx="284">
                  <c:v>284</c:v>
                </c:pt>
                <c:pt idx="285">
                  <c:v>285</c:v>
                </c:pt>
                <c:pt idx="286">
                  <c:v>286</c:v>
                </c:pt>
                <c:pt idx="287">
                  <c:v>287</c:v>
                </c:pt>
                <c:pt idx="288">
                  <c:v>288</c:v>
                </c:pt>
                <c:pt idx="289">
                  <c:v>289</c:v>
                </c:pt>
                <c:pt idx="290">
                  <c:v>290</c:v>
                </c:pt>
                <c:pt idx="291">
                  <c:v>291</c:v>
                </c:pt>
                <c:pt idx="292">
                  <c:v>292</c:v>
                </c:pt>
                <c:pt idx="293">
                  <c:v>293</c:v>
                </c:pt>
                <c:pt idx="294">
                  <c:v>294</c:v>
                </c:pt>
                <c:pt idx="295">
                  <c:v>295</c:v>
                </c:pt>
                <c:pt idx="296">
                  <c:v>296</c:v>
                </c:pt>
                <c:pt idx="297">
                  <c:v>297</c:v>
                </c:pt>
                <c:pt idx="298">
                  <c:v>298</c:v>
                </c:pt>
                <c:pt idx="299">
                  <c:v>299</c:v>
                </c:pt>
                <c:pt idx="300">
                  <c:v>300</c:v>
                </c:pt>
                <c:pt idx="301">
                  <c:v>301</c:v>
                </c:pt>
                <c:pt idx="302">
                  <c:v>302</c:v>
                </c:pt>
                <c:pt idx="303">
                  <c:v>303</c:v>
                </c:pt>
                <c:pt idx="304">
                  <c:v>304</c:v>
                </c:pt>
                <c:pt idx="305">
                  <c:v>305</c:v>
                </c:pt>
                <c:pt idx="306">
                  <c:v>306</c:v>
                </c:pt>
                <c:pt idx="307">
                  <c:v>307</c:v>
                </c:pt>
                <c:pt idx="308">
                  <c:v>308</c:v>
                </c:pt>
                <c:pt idx="309">
                  <c:v>309</c:v>
                </c:pt>
                <c:pt idx="310">
                  <c:v>310</c:v>
                </c:pt>
                <c:pt idx="311">
                  <c:v>311</c:v>
                </c:pt>
                <c:pt idx="312">
                  <c:v>312</c:v>
                </c:pt>
                <c:pt idx="313">
                  <c:v>313</c:v>
                </c:pt>
                <c:pt idx="314">
                  <c:v>314</c:v>
                </c:pt>
                <c:pt idx="315">
                  <c:v>315</c:v>
                </c:pt>
                <c:pt idx="316">
                  <c:v>316</c:v>
                </c:pt>
                <c:pt idx="317">
                  <c:v>317</c:v>
                </c:pt>
                <c:pt idx="318">
                  <c:v>318</c:v>
                </c:pt>
                <c:pt idx="319">
                  <c:v>319</c:v>
                </c:pt>
                <c:pt idx="320">
                  <c:v>320</c:v>
                </c:pt>
                <c:pt idx="321">
                  <c:v>321</c:v>
                </c:pt>
                <c:pt idx="322">
                  <c:v>322</c:v>
                </c:pt>
                <c:pt idx="323">
                  <c:v>323</c:v>
                </c:pt>
                <c:pt idx="324">
                  <c:v>324</c:v>
                </c:pt>
                <c:pt idx="325">
                  <c:v>325</c:v>
                </c:pt>
                <c:pt idx="326">
                  <c:v>326</c:v>
                </c:pt>
                <c:pt idx="327">
                  <c:v>327</c:v>
                </c:pt>
                <c:pt idx="328">
                  <c:v>328</c:v>
                </c:pt>
                <c:pt idx="329">
                  <c:v>329</c:v>
                </c:pt>
                <c:pt idx="330">
                  <c:v>330</c:v>
                </c:pt>
                <c:pt idx="331">
                  <c:v>331</c:v>
                </c:pt>
                <c:pt idx="332">
                  <c:v>332</c:v>
                </c:pt>
                <c:pt idx="333">
                  <c:v>333</c:v>
                </c:pt>
                <c:pt idx="334">
                  <c:v>334</c:v>
                </c:pt>
                <c:pt idx="335">
                  <c:v>335</c:v>
                </c:pt>
                <c:pt idx="336">
                  <c:v>336</c:v>
                </c:pt>
                <c:pt idx="337">
                  <c:v>337</c:v>
                </c:pt>
                <c:pt idx="338">
                  <c:v>338</c:v>
                </c:pt>
                <c:pt idx="339">
                  <c:v>339</c:v>
                </c:pt>
                <c:pt idx="340">
                  <c:v>340</c:v>
                </c:pt>
                <c:pt idx="341">
                  <c:v>341</c:v>
                </c:pt>
                <c:pt idx="342">
                  <c:v>342</c:v>
                </c:pt>
                <c:pt idx="343">
                  <c:v>343</c:v>
                </c:pt>
                <c:pt idx="344">
                  <c:v>344</c:v>
                </c:pt>
                <c:pt idx="345">
                  <c:v>345</c:v>
                </c:pt>
                <c:pt idx="346">
                  <c:v>346</c:v>
                </c:pt>
                <c:pt idx="347">
                  <c:v>347</c:v>
                </c:pt>
                <c:pt idx="348">
                  <c:v>348</c:v>
                </c:pt>
                <c:pt idx="349">
                  <c:v>349</c:v>
                </c:pt>
                <c:pt idx="350">
                  <c:v>350</c:v>
                </c:pt>
                <c:pt idx="351">
                  <c:v>351</c:v>
                </c:pt>
                <c:pt idx="352">
                  <c:v>352</c:v>
                </c:pt>
                <c:pt idx="353">
                  <c:v>353</c:v>
                </c:pt>
                <c:pt idx="354">
                  <c:v>354</c:v>
                </c:pt>
                <c:pt idx="355">
                  <c:v>355</c:v>
                </c:pt>
                <c:pt idx="356">
                  <c:v>356</c:v>
                </c:pt>
                <c:pt idx="357">
                  <c:v>357</c:v>
                </c:pt>
                <c:pt idx="358">
                  <c:v>358</c:v>
                </c:pt>
                <c:pt idx="359">
                  <c:v>359</c:v>
                </c:pt>
                <c:pt idx="360">
                  <c:v>360</c:v>
                </c:pt>
                <c:pt idx="361">
                  <c:v>361</c:v>
                </c:pt>
                <c:pt idx="362">
                  <c:v>362</c:v>
                </c:pt>
                <c:pt idx="363">
                  <c:v>363</c:v>
                </c:pt>
                <c:pt idx="364">
                  <c:v>364</c:v>
                </c:pt>
                <c:pt idx="365">
                  <c:v>365</c:v>
                </c:pt>
                <c:pt idx="366">
                  <c:v>366</c:v>
                </c:pt>
                <c:pt idx="367">
                  <c:v>367</c:v>
                </c:pt>
                <c:pt idx="368">
                  <c:v>368</c:v>
                </c:pt>
                <c:pt idx="369">
                  <c:v>369</c:v>
                </c:pt>
                <c:pt idx="370">
                  <c:v>370</c:v>
                </c:pt>
                <c:pt idx="371">
                  <c:v>371</c:v>
                </c:pt>
                <c:pt idx="372">
                  <c:v>372</c:v>
                </c:pt>
                <c:pt idx="373">
                  <c:v>373</c:v>
                </c:pt>
                <c:pt idx="374">
                  <c:v>374</c:v>
                </c:pt>
                <c:pt idx="375">
                  <c:v>375</c:v>
                </c:pt>
                <c:pt idx="376">
                  <c:v>376</c:v>
                </c:pt>
                <c:pt idx="377">
                  <c:v>377</c:v>
                </c:pt>
                <c:pt idx="378">
                  <c:v>378</c:v>
                </c:pt>
                <c:pt idx="379">
                  <c:v>379</c:v>
                </c:pt>
                <c:pt idx="380">
                  <c:v>380</c:v>
                </c:pt>
                <c:pt idx="381">
                  <c:v>381</c:v>
                </c:pt>
                <c:pt idx="382">
                  <c:v>382</c:v>
                </c:pt>
                <c:pt idx="383">
                  <c:v>383</c:v>
                </c:pt>
                <c:pt idx="384">
                  <c:v>384</c:v>
                </c:pt>
                <c:pt idx="385">
                  <c:v>385</c:v>
                </c:pt>
                <c:pt idx="386">
                  <c:v>386</c:v>
                </c:pt>
                <c:pt idx="387">
                  <c:v>387</c:v>
                </c:pt>
                <c:pt idx="388">
                  <c:v>388</c:v>
                </c:pt>
                <c:pt idx="389">
                  <c:v>389</c:v>
                </c:pt>
                <c:pt idx="390">
                  <c:v>390</c:v>
                </c:pt>
                <c:pt idx="391">
                  <c:v>391</c:v>
                </c:pt>
                <c:pt idx="392">
                  <c:v>392</c:v>
                </c:pt>
                <c:pt idx="393">
                  <c:v>393</c:v>
                </c:pt>
                <c:pt idx="394">
                  <c:v>394</c:v>
                </c:pt>
                <c:pt idx="395">
                  <c:v>395</c:v>
                </c:pt>
                <c:pt idx="396">
                  <c:v>396</c:v>
                </c:pt>
                <c:pt idx="397">
                  <c:v>397</c:v>
                </c:pt>
                <c:pt idx="398">
                  <c:v>398</c:v>
                </c:pt>
                <c:pt idx="399">
                  <c:v>399</c:v>
                </c:pt>
                <c:pt idx="400">
                  <c:v>400</c:v>
                </c:pt>
                <c:pt idx="401">
                  <c:v>401</c:v>
                </c:pt>
                <c:pt idx="402">
                  <c:v>402</c:v>
                </c:pt>
                <c:pt idx="403">
                  <c:v>403</c:v>
                </c:pt>
                <c:pt idx="404">
                  <c:v>404</c:v>
                </c:pt>
                <c:pt idx="405">
                  <c:v>405</c:v>
                </c:pt>
                <c:pt idx="406">
                  <c:v>406</c:v>
                </c:pt>
                <c:pt idx="407">
                  <c:v>407</c:v>
                </c:pt>
                <c:pt idx="408">
                  <c:v>408</c:v>
                </c:pt>
                <c:pt idx="409">
                  <c:v>409</c:v>
                </c:pt>
                <c:pt idx="410">
                  <c:v>410</c:v>
                </c:pt>
                <c:pt idx="411">
                  <c:v>411</c:v>
                </c:pt>
                <c:pt idx="412">
                  <c:v>412</c:v>
                </c:pt>
                <c:pt idx="413">
                  <c:v>413</c:v>
                </c:pt>
                <c:pt idx="414">
                  <c:v>414</c:v>
                </c:pt>
                <c:pt idx="415">
                  <c:v>415</c:v>
                </c:pt>
                <c:pt idx="416">
                  <c:v>416</c:v>
                </c:pt>
                <c:pt idx="417">
                  <c:v>417</c:v>
                </c:pt>
                <c:pt idx="418">
                  <c:v>418</c:v>
                </c:pt>
                <c:pt idx="419">
                  <c:v>419</c:v>
                </c:pt>
                <c:pt idx="420">
                  <c:v>420</c:v>
                </c:pt>
                <c:pt idx="421">
                  <c:v>421</c:v>
                </c:pt>
                <c:pt idx="422">
                  <c:v>422</c:v>
                </c:pt>
                <c:pt idx="423">
                  <c:v>423</c:v>
                </c:pt>
                <c:pt idx="424">
                  <c:v>424</c:v>
                </c:pt>
                <c:pt idx="425">
                  <c:v>425</c:v>
                </c:pt>
                <c:pt idx="426">
                  <c:v>426</c:v>
                </c:pt>
                <c:pt idx="427">
                  <c:v>427</c:v>
                </c:pt>
                <c:pt idx="428">
                  <c:v>428</c:v>
                </c:pt>
                <c:pt idx="429">
                  <c:v>429</c:v>
                </c:pt>
                <c:pt idx="430">
                  <c:v>430</c:v>
                </c:pt>
                <c:pt idx="431">
                  <c:v>431</c:v>
                </c:pt>
                <c:pt idx="432">
                  <c:v>432</c:v>
                </c:pt>
                <c:pt idx="433">
                  <c:v>433</c:v>
                </c:pt>
                <c:pt idx="434">
                  <c:v>434</c:v>
                </c:pt>
                <c:pt idx="435">
                  <c:v>435</c:v>
                </c:pt>
                <c:pt idx="436">
                  <c:v>436</c:v>
                </c:pt>
                <c:pt idx="437">
                  <c:v>437</c:v>
                </c:pt>
                <c:pt idx="438">
                  <c:v>438</c:v>
                </c:pt>
                <c:pt idx="439">
                  <c:v>439</c:v>
                </c:pt>
                <c:pt idx="440">
                  <c:v>440</c:v>
                </c:pt>
                <c:pt idx="441">
                  <c:v>441</c:v>
                </c:pt>
                <c:pt idx="442">
                  <c:v>442</c:v>
                </c:pt>
                <c:pt idx="443">
                  <c:v>443</c:v>
                </c:pt>
                <c:pt idx="444">
                  <c:v>444</c:v>
                </c:pt>
                <c:pt idx="445">
                  <c:v>445</c:v>
                </c:pt>
                <c:pt idx="446">
                  <c:v>446</c:v>
                </c:pt>
                <c:pt idx="447">
                  <c:v>447</c:v>
                </c:pt>
                <c:pt idx="448">
                  <c:v>448</c:v>
                </c:pt>
                <c:pt idx="449">
                  <c:v>449</c:v>
                </c:pt>
                <c:pt idx="450">
                  <c:v>450</c:v>
                </c:pt>
                <c:pt idx="451">
                  <c:v>451</c:v>
                </c:pt>
                <c:pt idx="452">
                  <c:v>452</c:v>
                </c:pt>
                <c:pt idx="453">
                  <c:v>453</c:v>
                </c:pt>
                <c:pt idx="454">
                  <c:v>454</c:v>
                </c:pt>
                <c:pt idx="455">
                  <c:v>455</c:v>
                </c:pt>
                <c:pt idx="456">
                  <c:v>456</c:v>
                </c:pt>
                <c:pt idx="457">
                  <c:v>457</c:v>
                </c:pt>
                <c:pt idx="458">
                  <c:v>458</c:v>
                </c:pt>
                <c:pt idx="459">
                  <c:v>459</c:v>
                </c:pt>
                <c:pt idx="460">
                  <c:v>460</c:v>
                </c:pt>
                <c:pt idx="461">
                  <c:v>461</c:v>
                </c:pt>
                <c:pt idx="462">
                  <c:v>462</c:v>
                </c:pt>
                <c:pt idx="463">
                  <c:v>463</c:v>
                </c:pt>
                <c:pt idx="464">
                  <c:v>464</c:v>
                </c:pt>
                <c:pt idx="465">
                  <c:v>465</c:v>
                </c:pt>
                <c:pt idx="466">
                  <c:v>466</c:v>
                </c:pt>
                <c:pt idx="467">
                  <c:v>467</c:v>
                </c:pt>
                <c:pt idx="468">
                  <c:v>468</c:v>
                </c:pt>
                <c:pt idx="469">
                  <c:v>469</c:v>
                </c:pt>
                <c:pt idx="470">
                  <c:v>470</c:v>
                </c:pt>
                <c:pt idx="471">
                  <c:v>471</c:v>
                </c:pt>
                <c:pt idx="472">
                  <c:v>472</c:v>
                </c:pt>
                <c:pt idx="473">
                  <c:v>473</c:v>
                </c:pt>
                <c:pt idx="474">
                  <c:v>474</c:v>
                </c:pt>
                <c:pt idx="475">
                  <c:v>475</c:v>
                </c:pt>
                <c:pt idx="476">
                  <c:v>476</c:v>
                </c:pt>
                <c:pt idx="477">
                  <c:v>477</c:v>
                </c:pt>
                <c:pt idx="478">
                  <c:v>478</c:v>
                </c:pt>
                <c:pt idx="479">
                  <c:v>479</c:v>
                </c:pt>
                <c:pt idx="480">
                  <c:v>480</c:v>
                </c:pt>
                <c:pt idx="481">
                  <c:v>481</c:v>
                </c:pt>
                <c:pt idx="482">
                  <c:v>482</c:v>
                </c:pt>
                <c:pt idx="483">
                  <c:v>483</c:v>
                </c:pt>
                <c:pt idx="484">
                  <c:v>484</c:v>
                </c:pt>
                <c:pt idx="485">
                  <c:v>485</c:v>
                </c:pt>
                <c:pt idx="486">
                  <c:v>486</c:v>
                </c:pt>
                <c:pt idx="487">
                  <c:v>487</c:v>
                </c:pt>
                <c:pt idx="488">
                  <c:v>488</c:v>
                </c:pt>
                <c:pt idx="489">
                  <c:v>489</c:v>
                </c:pt>
                <c:pt idx="490">
                  <c:v>490</c:v>
                </c:pt>
                <c:pt idx="491">
                  <c:v>491</c:v>
                </c:pt>
                <c:pt idx="492">
                  <c:v>492</c:v>
                </c:pt>
                <c:pt idx="493">
                  <c:v>493</c:v>
                </c:pt>
                <c:pt idx="494">
                  <c:v>494</c:v>
                </c:pt>
                <c:pt idx="495">
                  <c:v>495</c:v>
                </c:pt>
                <c:pt idx="496">
                  <c:v>496</c:v>
                </c:pt>
                <c:pt idx="497">
                  <c:v>497</c:v>
                </c:pt>
                <c:pt idx="498">
                  <c:v>498</c:v>
                </c:pt>
                <c:pt idx="499">
                  <c:v>499</c:v>
                </c:pt>
                <c:pt idx="500">
                  <c:v>500</c:v>
                </c:pt>
                <c:pt idx="501">
                  <c:v>501</c:v>
                </c:pt>
                <c:pt idx="502">
                  <c:v>502</c:v>
                </c:pt>
                <c:pt idx="503">
                  <c:v>503</c:v>
                </c:pt>
                <c:pt idx="504">
                  <c:v>504</c:v>
                </c:pt>
                <c:pt idx="505">
                  <c:v>505</c:v>
                </c:pt>
                <c:pt idx="506">
                  <c:v>506</c:v>
                </c:pt>
                <c:pt idx="507">
                  <c:v>507</c:v>
                </c:pt>
                <c:pt idx="508">
                  <c:v>508</c:v>
                </c:pt>
                <c:pt idx="509">
                  <c:v>509</c:v>
                </c:pt>
                <c:pt idx="510">
                  <c:v>510</c:v>
                </c:pt>
                <c:pt idx="511">
                  <c:v>511</c:v>
                </c:pt>
                <c:pt idx="512">
                  <c:v>512</c:v>
                </c:pt>
                <c:pt idx="513">
                  <c:v>513</c:v>
                </c:pt>
                <c:pt idx="514">
                  <c:v>514</c:v>
                </c:pt>
                <c:pt idx="515">
                  <c:v>515</c:v>
                </c:pt>
                <c:pt idx="516">
                  <c:v>516</c:v>
                </c:pt>
                <c:pt idx="517">
                  <c:v>517</c:v>
                </c:pt>
                <c:pt idx="518">
                  <c:v>518</c:v>
                </c:pt>
                <c:pt idx="519">
                  <c:v>519</c:v>
                </c:pt>
                <c:pt idx="520">
                  <c:v>520</c:v>
                </c:pt>
                <c:pt idx="521">
                  <c:v>521</c:v>
                </c:pt>
                <c:pt idx="522">
                  <c:v>522</c:v>
                </c:pt>
                <c:pt idx="523">
                  <c:v>523</c:v>
                </c:pt>
                <c:pt idx="524">
                  <c:v>524</c:v>
                </c:pt>
                <c:pt idx="525">
                  <c:v>525</c:v>
                </c:pt>
                <c:pt idx="526">
                  <c:v>526</c:v>
                </c:pt>
                <c:pt idx="527">
                  <c:v>527</c:v>
                </c:pt>
                <c:pt idx="528">
                  <c:v>528</c:v>
                </c:pt>
                <c:pt idx="529">
                  <c:v>529</c:v>
                </c:pt>
                <c:pt idx="530">
                  <c:v>530</c:v>
                </c:pt>
                <c:pt idx="531">
                  <c:v>531</c:v>
                </c:pt>
                <c:pt idx="532">
                  <c:v>532</c:v>
                </c:pt>
                <c:pt idx="533">
                  <c:v>533</c:v>
                </c:pt>
                <c:pt idx="534">
                  <c:v>534</c:v>
                </c:pt>
                <c:pt idx="535">
                  <c:v>535</c:v>
                </c:pt>
                <c:pt idx="536">
                  <c:v>536</c:v>
                </c:pt>
                <c:pt idx="537">
                  <c:v>537</c:v>
                </c:pt>
                <c:pt idx="538">
                  <c:v>538</c:v>
                </c:pt>
                <c:pt idx="539">
                  <c:v>539</c:v>
                </c:pt>
                <c:pt idx="540">
                  <c:v>540</c:v>
                </c:pt>
                <c:pt idx="541">
                  <c:v>541</c:v>
                </c:pt>
                <c:pt idx="542">
                  <c:v>542</c:v>
                </c:pt>
                <c:pt idx="543">
                  <c:v>543</c:v>
                </c:pt>
                <c:pt idx="544">
                  <c:v>544</c:v>
                </c:pt>
                <c:pt idx="545">
                  <c:v>545</c:v>
                </c:pt>
                <c:pt idx="546">
                  <c:v>546</c:v>
                </c:pt>
                <c:pt idx="547">
                  <c:v>547</c:v>
                </c:pt>
                <c:pt idx="548">
                  <c:v>548</c:v>
                </c:pt>
                <c:pt idx="549">
                  <c:v>549</c:v>
                </c:pt>
                <c:pt idx="550">
                  <c:v>550</c:v>
                </c:pt>
                <c:pt idx="551">
                  <c:v>551</c:v>
                </c:pt>
                <c:pt idx="552">
                  <c:v>552</c:v>
                </c:pt>
                <c:pt idx="553">
                  <c:v>553</c:v>
                </c:pt>
                <c:pt idx="554">
                  <c:v>554</c:v>
                </c:pt>
                <c:pt idx="555">
                  <c:v>555</c:v>
                </c:pt>
                <c:pt idx="556">
                  <c:v>556</c:v>
                </c:pt>
                <c:pt idx="557">
                  <c:v>557</c:v>
                </c:pt>
                <c:pt idx="558">
                  <c:v>558</c:v>
                </c:pt>
                <c:pt idx="559">
                  <c:v>559</c:v>
                </c:pt>
                <c:pt idx="560">
                  <c:v>560</c:v>
                </c:pt>
                <c:pt idx="561">
                  <c:v>561</c:v>
                </c:pt>
                <c:pt idx="562">
                  <c:v>562</c:v>
                </c:pt>
                <c:pt idx="563">
                  <c:v>563</c:v>
                </c:pt>
                <c:pt idx="564">
                  <c:v>564</c:v>
                </c:pt>
                <c:pt idx="565">
                  <c:v>565</c:v>
                </c:pt>
                <c:pt idx="566">
                  <c:v>566</c:v>
                </c:pt>
                <c:pt idx="567">
                  <c:v>567</c:v>
                </c:pt>
                <c:pt idx="568">
                  <c:v>568</c:v>
                </c:pt>
                <c:pt idx="569">
                  <c:v>569</c:v>
                </c:pt>
                <c:pt idx="570">
                  <c:v>570</c:v>
                </c:pt>
                <c:pt idx="571">
                  <c:v>571</c:v>
                </c:pt>
                <c:pt idx="572">
                  <c:v>572</c:v>
                </c:pt>
                <c:pt idx="573">
                  <c:v>573</c:v>
                </c:pt>
                <c:pt idx="574">
                  <c:v>574</c:v>
                </c:pt>
                <c:pt idx="575">
                  <c:v>575</c:v>
                </c:pt>
                <c:pt idx="576">
                  <c:v>576</c:v>
                </c:pt>
                <c:pt idx="577">
                  <c:v>577</c:v>
                </c:pt>
                <c:pt idx="578">
                  <c:v>578</c:v>
                </c:pt>
                <c:pt idx="579">
                  <c:v>579</c:v>
                </c:pt>
                <c:pt idx="580">
                  <c:v>580</c:v>
                </c:pt>
                <c:pt idx="581">
                  <c:v>581</c:v>
                </c:pt>
                <c:pt idx="582">
                  <c:v>582</c:v>
                </c:pt>
                <c:pt idx="583">
                  <c:v>583</c:v>
                </c:pt>
                <c:pt idx="584">
                  <c:v>584</c:v>
                </c:pt>
                <c:pt idx="585">
                  <c:v>585</c:v>
                </c:pt>
                <c:pt idx="586">
                  <c:v>586</c:v>
                </c:pt>
                <c:pt idx="587">
                  <c:v>587</c:v>
                </c:pt>
                <c:pt idx="588">
                  <c:v>588</c:v>
                </c:pt>
                <c:pt idx="589">
                  <c:v>589</c:v>
                </c:pt>
                <c:pt idx="590">
                  <c:v>590</c:v>
                </c:pt>
                <c:pt idx="591">
                  <c:v>591</c:v>
                </c:pt>
                <c:pt idx="592">
                  <c:v>592</c:v>
                </c:pt>
                <c:pt idx="593">
                  <c:v>593</c:v>
                </c:pt>
                <c:pt idx="594">
                  <c:v>594</c:v>
                </c:pt>
                <c:pt idx="595">
                  <c:v>595</c:v>
                </c:pt>
                <c:pt idx="596">
                  <c:v>596</c:v>
                </c:pt>
                <c:pt idx="597">
                  <c:v>597</c:v>
                </c:pt>
                <c:pt idx="598">
                  <c:v>598</c:v>
                </c:pt>
                <c:pt idx="599">
                  <c:v>599</c:v>
                </c:pt>
                <c:pt idx="600">
                  <c:v>600</c:v>
                </c:pt>
                <c:pt idx="601">
                  <c:v>601</c:v>
                </c:pt>
                <c:pt idx="602">
                  <c:v>602</c:v>
                </c:pt>
                <c:pt idx="603">
                  <c:v>603</c:v>
                </c:pt>
                <c:pt idx="604">
                  <c:v>604</c:v>
                </c:pt>
                <c:pt idx="605">
                  <c:v>605</c:v>
                </c:pt>
                <c:pt idx="606">
                  <c:v>606</c:v>
                </c:pt>
                <c:pt idx="607">
                  <c:v>607</c:v>
                </c:pt>
                <c:pt idx="608">
                  <c:v>608</c:v>
                </c:pt>
                <c:pt idx="609">
                  <c:v>609</c:v>
                </c:pt>
                <c:pt idx="610">
                  <c:v>610</c:v>
                </c:pt>
                <c:pt idx="611">
                  <c:v>611</c:v>
                </c:pt>
                <c:pt idx="612">
                  <c:v>612</c:v>
                </c:pt>
                <c:pt idx="613">
                  <c:v>613</c:v>
                </c:pt>
                <c:pt idx="614">
                  <c:v>614</c:v>
                </c:pt>
                <c:pt idx="615">
                  <c:v>615</c:v>
                </c:pt>
                <c:pt idx="616">
                  <c:v>616</c:v>
                </c:pt>
                <c:pt idx="617">
                  <c:v>617</c:v>
                </c:pt>
                <c:pt idx="618">
                  <c:v>618</c:v>
                </c:pt>
                <c:pt idx="619">
                  <c:v>619</c:v>
                </c:pt>
                <c:pt idx="620">
                  <c:v>620</c:v>
                </c:pt>
                <c:pt idx="621">
                  <c:v>621</c:v>
                </c:pt>
                <c:pt idx="622">
                  <c:v>622</c:v>
                </c:pt>
                <c:pt idx="623">
                  <c:v>623</c:v>
                </c:pt>
                <c:pt idx="624">
                  <c:v>624</c:v>
                </c:pt>
                <c:pt idx="625">
                  <c:v>625</c:v>
                </c:pt>
                <c:pt idx="626">
                  <c:v>626</c:v>
                </c:pt>
                <c:pt idx="627">
                  <c:v>627</c:v>
                </c:pt>
                <c:pt idx="628">
                  <c:v>628</c:v>
                </c:pt>
                <c:pt idx="629">
                  <c:v>629</c:v>
                </c:pt>
                <c:pt idx="630">
                  <c:v>630</c:v>
                </c:pt>
                <c:pt idx="631">
                  <c:v>631</c:v>
                </c:pt>
                <c:pt idx="632">
                  <c:v>632</c:v>
                </c:pt>
                <c:pt idx="633">
                  <c:v>633</c:v>
                </c:pt>
                <c:pt idx="634">
                  <c:v>634</c:v>
                </c:pt>
                <c:pt idx="635">
                  <c:v>635</c:v>
                </c:pt>
                <c:pt idx="636">
                  <c:v>636</c:v>
                </c:pt>
                <c:pt idx="637">
                  <c:v>637</c:v>
                </c:pt>
                <c:pt idx="638">
                  <c:v>638</c:v>
                </c:pt>
                <c:pt idx="639">
                  <c:v>639</c:v>
                </c:pt>
                <c:pt idx="640">
                  <c:v>640</c:v>
                </c:pt>
                <c:pt idx="641">
                  <c:v>641</c:v>
                </c:pt>
                <c:pt idx="642">
                  <c:v>642</c:v>
                </c:pt>
                <c:pt idx="643">
                  <c:v>643</c:v>
                </c:pt>
                <c:pt idx="644">
                  <c:v>644</c:v>
                </c:pt>
                <c:pt idx="645">
                  <c:v>645</c:v>
                </c:pt>
                <c:pt idx="646">
                  <c:v>646</c:v>
                </c:pt>
                <c:pt idx="647">
                  <c:v>647</c:v>
                </c:pt>
                <c:pt idx="648">
                  <c:v>648</c:v>
                </c:pt>
                <c:pt idx="649">
                  <c:v>649</c:v>
                </c:pt>
                <c:pt idx="650">
                  <c:v>650</c:v>
                </c:pt>
                <c:pt idx="651">
                  <c:v>651</c:v>
                </c:pt>
                <c:pt idx="652">
                  <c:v>652</c:v>
                </c:pt>
                <c:pt idx="653">
                  <c:v>653</c:v>
                </c:pt>
                <c:pt idx="654">
                  <c:v>654</c:v>
                </c:pt>
                <c:pt idx="655">
                  <c:v>655</c:v>
                </c:pt>
                <c:pt idx="656">
                  <c:v>656</c:v>
                </c:pt>
                <c:pt idx="657">
                  <c:v>657</c:v>
                </c:pt>
                <c:pt idx="658">
                  <c:v>658</c:v>
                </c:pt>
                <c:pt idx="659">
                  <c:v>659</c:v>
                </c:pt>
                <c:pt idx="660">
                  <c:v>660</c:v>
                </c:pt>
                <c:pt idx="661">
                  <c:v>661</c:v>
                </c:pt>
                <c:pt idx="662">
                  <c:v>662</c:v>
                </c:pt>
                <c:pt idx="663">
                  <c:v>663</c:v>
                </c:pt>
                <c:pt idx="664">
                  <c:v>664</c:v>
                </c:pt>
                <c:pt idx="665">
                  <c:v>665</c:v>
                </c:pt>
                <c:pt idx="666">
                  <c:v>666</c:v>
                </c:pt>
                <c:pt idx="667">
                  <c:v>667</c:v>
                </c:pt>
                <c:pt idx="668">
                  <c:v>668</c:v>
                </c:pt>
                <c:pt idx="669">
                  <c:v>669</c:v>
                </c:pt>
                <c:pt idx="670">
                  <c:v>670</c:v>
                </c:pt>
                <c:pt idx="671">
                  <c:v>671</c:v>
                </c:pt>
                <c:pt idx="672">
                  <c:v>672</c:v>
                </c:pt>
                <c:pt idx="673">
                  <c:v>673</c:v>
                </c:pt>
                <c:pt idx="674">
                  <c:v>674</c:v>
                </c:pt>
                <c:pt idx="675">
                  <c:v>675</c:v>
                </c:pt>
                <c:pt idx="676">
                  <c:v>676</c:v>
                </c:pt>
                <c:pt idx="677">
                  <c:v>677</c:v>
                </c:pt>
                <c:pt idx="678">
                  <c:v>678</c:v>
                </c:pt>
                <c:pt idx="679">
                  <c:v>679</c:v>
                </c:pt>
                <c:pt idx="680">
                  <c:v>680</c:v>
                </c:pt>
                <c:pt idx="681">
                  <c:v>681</c:v>
                </c:pt>
                <c:pt idx="682">
                  <c:v>682</c:v>
                </c:pt>
                <c:pt idx="683">
                  <c:v>683</c:v>
                </c:pt>
                <c:pt idx="684">
                  <c:v>684</c:v>
                </c:pt>
                <c:pt idx="685">
                  <c:v>685</c:v>
                </c:pt>
                <c:pt idx="686">
                  <c:v>686</c:v>
                </c:pt>
                <c:pt idx="687">
                  <c:v>687</c:v>
                </c:pt>
                <c:pt idx="688">
                  <c:v>688</c:v>
                </c:pt>
                <c:pt idx="689">
                  <c:v>689</c:v>
                </c:pt>
                <c:pt idx="690">
                  <c:v>690</c:v>
                </c:pt>
                <c:pt idx="691">
                  <c:v>691</c:v>
                </c:pt>
                <c:pt idx="692">
                  <c:v>692</c:v>
                </c:pt>
                <c:pt idx="693">
                  <c:v>693</c:v>
                </c:pt>
                <c:pt idx="694">
                  <c:v>694</c:v>
                </c:pt>
                <c:pt idx="695">
                  <c:v>695</c:v>
                </c:pt>
                <c:pt idx="696">
                  <c:v>696</c:v>
                </c:pt>
                <c:pt idx="697">
                  <c:v>697</c:v>
                </c:pt>
                <c:pt idx="698">
                  <c:v>698</c:v>
                </c:pt>
                <c:pt idx="699">
                  <c:v>699</c:v>
                </c:pt>
                <c:pt idx="700">
                  <c:v>700</c:v>
                </c:pt>
                <c:pt idx="701">
                  <c:v>701</c:v>
                </c:pt>
                <c:pt idx="702">
                  <c:v>702</c:v>
                </c:pt>
                <c:pt idx="703">
                  <c:v>703</c:v>
                </c:pt>
                <c:pt idx="704">
                  <c:v>704</c:v>
                </c:pt>
                <c:pt idx="705">
                  <c:v>705</c:v>
                </c:pt>
                <c:pt idx="706">
                  <c:v>706</c:v>
                </c:pt>
                <c:pt idx="707">
                  <c:v>707</c:v>
                </c:pt>
                <c:pt idx="708">
                  <c:v>708</c:v>
                </c:pt>
                <c:pt idx="709">
                  <c:v>709</c:v>
                </c:pt>
                <c:pt idx="710">
                  <c:v>710</c:v>
                </c:pt>
                <c:pt idx="711">
                  <c:v>711</c:v>
                </c:pt>
                <c:pt idx="712">
                  <c:v>712</c:v>
                </c:pt>
                <c:pt idx="713">
                  <c:v>713</c:v>
                </c:pt>
                <c:pt idx="714">
                  <c:v>714</c:v>
                </c:pt>
                <c:pt idx="715">
                  <c:v>715</c:v>
                </c:pt>
                <c:pt idx="716">
                  <c:v>716</c:v>
                </c:pt>
                <c:pt idx="717">
                  <c:v>717</c:v>
                </c:pt>
                <c:pt idx="718">
                  <c:v>718</c:v>
                </c:pt>
                <c:pt idx="719">
                  <c:v>719</c:v>
                </c:pt>
                <c:pt idx="720">
                  <c:v>720</c:v>
                </c:pt>
                <c:pt idx="721">
                  <c:v>721</c:v>
                </c:pt>
                <c:pt idx="722">
                  <c:v>722</c:v>
                </c:pt>
                <c:pt idx="723">
                  <c:v>723</c:v>
                </c:pt>
                <c:pt idx="724">
                  <c:v>724</c:v>
                </c:pt>
                <c:pt idx="725">
                  <c:v>725</c:v>
                </c:pt>
                <c:pt idx="726">
                  <c:v>726</c:v>
                </c:pt>
                <c:pt idx="727">
                  <c:v>727</c:v>
                </c:pt>
                <c:pt idx="728">
                  <c:v>728</c:v>
                </c:pt>
                <c:pt idx="729">
                  <c:v>729</c:v>
                </c:pt>
                <c:pt idx="730">
                  <c:v>730</c:v>
                </c:pt>
                <c:pt idx="731">
                  <c:v>731</c:v>
                </c:pt>
                <c:pt idx="732">
                  <c:v>732</c:v>
                </c:pt>
                <c:pt idx="733">
                  <c:v>733</c:v>
                </c:pt>
                <c:pt idx="734">
                  <c:v>734</c:v>
                </c:pt>
                <c:pt idx="735">
                  <c:v>735</c:v>
                </c:pt>
                <c:pt idx="736">
                  <c:v>736</c:v>
                </c:pt>
                <c:pt idx="737">
                  <c:v>737</c:v>
                </c:pt>
                <c:pt idx="738">
                  <c:v>738</c:v>
                </c:pt>
                <c:pt idx="739">
                  <c:v>739</c:v>
                </c:pt>
                <c:pt idx="740">
                  <c:v>740</c:v>
                </c:pt>
                <c:pt idx="741">
                  <c:v>741</c:v>
                </c:pt>
                <c:pt idx="742">
                  <c:v>742</c:v>
                </c:pt>
                <c:pt idx="743">
                  <c:v>743</c:v>
                </c:pt>
                <c:pt idx="744">
                  <c:v>744</c:v>
                </c:pt>
                <c:pt idx="745">
                  <c:v>745</c:v>
                </c:pt>
                <c:pt idx="746">
                  <c:v>746</c:v>
                </c:pt>
                <c:pt idx="747">
                  <c:v>747</c:v>
                </c:pt>
                <c:pt idx="748">
                  <c:v>748</c:v>
                </c:pt>
                <c:pt idx="749">
                  <c:v>749</c:v>
                </c:pt>
                <c:pt idx="750">
                  <c:v>750</c:v>
                </c:pt>
                <c:pt idx="751">
                  <c:v>751</c:v>
                </c:pt>
                <c:pt idx="752">
                  <c:v>752</c:v>
                </c:pt>
                <c:pt idx="753">
                  <c:v>753</c:v>
                </c:pt>
                <c:pt idx="754">
                  <c:v>754</c:v>
                </c:pt>
                <c:pt idx="755">
                  <c:v>755</c:v>
                </c:pt>
                <c:pt idx="756">
                  <c:v>756</c:v>
                </c:pt>
                <c:pt idx="757">
                  <c:v>757</c:v>
                </c:pt>
                <c:pt idx="758">
                  <c:v>758</c:v>
                </c:pt>
                <c:pt idx="759">
                  <c:v>759</c:v>
                </c:pt>
                <c:pt idx="760">
                  <c:v>760</c:v>
                </c:pt>
                <c:pt idx="761">
                  <c:v>761</c:v>
                </c:pt>
                <c:pt idx="762">
                  <c:v>762</c:v>
                </c:pt>
                <c:pt idx="763">
                  <c:v>763</c:v>
                </c:pt>
                <c:pt idx="764">
                  <c:v>764</c:v>
                </c:pt>
                <c:pt idx="765">
                  <c:v>765</c:v>
                </c:pt>
                <c:pt idx="766">
                  <c:v>766</c:v>
                </c:pt>
                <c:pt idx="767">
                  <c:v>767</c:v>
                </c:pt>
                <c:pt idx="768">
                  <c:v>768</c:v>
                </c:pt>
                <c:pt idx="769">
                  <c:v>769</c:v>
                </c:pt>
                <c:pt idx="770">
                  <c:v>770</c:v>
                </c:pt>
                <c:pt idx="771">
                  <c:v>771</c:v>
                </c:pt>
                <c:pt idx="772">
                  <c:v>772</c:v>
                </c:pt>
                <c:pt idx="773">
                  <c:v>773</c:v>
                </c:pt>
                <c:pt idx="774">
                  <c:v>774</c:v>
                </c:pt>
                <c:pt idx="775">
                  <c:v>775</c:v>
                </c:pt>
                <c:pt idx="776">
                  <c:v>776</c:v>
                </c:pt>
                <c:pt idx="777">
                  <c:v>777</c:v>
                </c:pt>
                <c:pt idx="778">
                  <c:v>778</c:v>
                </c:pt>
                <c:pt idx="779">
                  <c:v>779</c:v>
                </c:pt>
                <c:pt idx="780">
                  <c:v>780</c:v>
                </c:pt>
                <c:pt idx="781">
                  <c:v>781</c:v>
                </c:pt>
                <c:pt idx="782">
                  <c:v>782</c:v>
                </c:pt>
                <c:pt idx="783">
                  <c:v>783</c:v>
                </c:pt>
                <c:pt idx="784">
                  <c:v>784</c:v>
                </c:pt>
                <c:pt idx="785">
                  <c:v>785</c:v>
                </c:pt>
                <c:pt idx="786">
                  <c:v>786</c:v>
                </c:pt>
                <c:pt idx="787">
                  <c:v>787</c:v>
                </c:pt>
                <c:pt idx="788">
                  <c:v>788</c:v>
                </c:pt>
                <c:pt idx="789">
                  <c:v>789</c:v>
                </c:pt>
                <c:pt idx="790">
                  <c:v>790</c:v>
                </c:pt>
                <c:pt idx="791">
                  <c:v>791</c:v>
                </c:pt>
                <c:pt idx="792">
                  <c:v>792</c:v>
                </c:pt>
                <c:pt idx="793">
                  <c:v>793</c:v>
                </c:pt>
                <c:pt idx="794">
                  <c:v>794</c:v>
                </c:pt>
                <c:pt idx="795">
                  <c:v>795</c:v>
                </c:pt>
                <c:pt idx="796">
                  <c:v>796</c:v>
                </c:pt>
                <c:pt idx="797">
                  <c:v>797</c:v>
                </c:pt>
                <c:pt idx="798">
                  <c:v>798</c:v>
                </c:pt>
                <c:pt idx="799">
                  <c:v>799</c:v>
                </c:pt>
                <c:pt idx="800">
                  <c:v>800</c:v>
                </c:pt>
                <c:pt idx="801">
                  <c:v>801</c:v>
                </c:pt>
                <c:pt idx="802">
                  <c:v>802</c:v>
                </c:pt>
                <c:pt idx="803">
                  <c:v>803</c:v>
                </c:pt>
                <c:pt idx="804">
                  <c:v>804</c:v>
                </c:pt>
                <c:pt idx="805">
                  <c:v>805</c:v>
                </c:pt>
                <c:pt idx="806">
                  <c:v>806</c:v>
                </c:pt>
                <c:pt idx="807">
                  <c:v>807</c:v>
                </c:pt>
                <c:pt idx="808">
                  <c:v>808</c:v>
                </c:pt>
                <c:pt idx="809">
                  <c:v>809</c:v>
                </c:pt>
                <c:pt idx="810">
                  <c:v>810</c:v>
                </c:pt>
                <c:pt idx="811">
                  <c:v>811</c:v>
                </c:pt>
                <c:pt idx="812">
                  <c:v>812</c:v>
                </c:pt>
                <c:pt idx="813">
                  <c:v>813</c:v>
                </c:pt>
                <c:pt idx="814">
                  <c:v>814</c:v>
                </c:pt>
                <c:pt idx="815">
                  <c:v>815</c:v>
                </c:pt>
                <c:pt idx="816">
                  <c:v>816</c:v>
                </c:pt>
                <c:pt idx="817">
                  <c:v>817</c:v>
                </c:pt>
                <c:pt idx="818">
                  <c:v>818</c:v>
                </c:pt>
                <c:pt idx="819">
                  <c:v>819</c:v>
                </c:pt>
                <c:pt idx="820">
                  <c:v>820</c:v>
                </c:pt>
                <c:pt idx="821">
                  <c:v>821</c:v>
                </c:pt>
                <c:pt idx="822">
                  <c:v>822</c:v>
                </c:pt>
                <c:pt idx="823">
                  <c:v>823</c:v>
                </c:pt>
                <c:pt idx="824">
                  <c:v>824</c:v>
                </c:pt>
                <c:pt idx="825">
                  <c:v>825</c:v>
                </c:pt>
                <c:pt idx="826">
                  <c:v>826</c:v>
                </c:pt>
                <c:pt idx="827">
                  <c:v>827</c:v>
                </c:pt>
                <c:pt idx="828">
                  <c:v>828</c:v>
                </c:pt>
                <c:pt idx="829">
                  <c:v>829</c:v>
                </c:pt>
                <c:pt idx="830">
                  <c:v>830</c:v>
                </c:pt>
                <c:pt idx="831">
                  <c:v>831</c:v>
                </c:pt>
                <c:pt idx="832">
                  <c:v>832</c:v>
                </c:pt>
                <c:pt idx="833">
                  <c:v>833</c:v>
                </c:pt>
                <c:pt idx="834">
                  <c:v>834</c:v>
                </c:pt>
                <c:pt idx="835">
                  <c:v>835</c:v>
                </c:pt>
                <c:pt idx="836">
                  <c:v>836</c:v>
                </c:pt>
                <c:pt idx="837">
                  <c:v>837</c:v>
                </c:pt>
                <c:pt idx="838">
                  <c:v>838</c:v>
                </c:pt>
                <c:pt idx="839">
                  <c:v>839</c:v>
                </c:pt>
                <c:pt idx="840">
                  <c:v>840</c:v>
                </c:pt>
                <c:pt idx="841">
                  <c:v>841</c:v>
                </c:pt>
                <c:pt idx="842">
                  <c:v>842</c:v>
                </c:pt>
                <c:pt idx="843">
                  <c:v>843</c:v>
                </c:pt>
                <c:pt idx="844">
                  <c:v>844</c:v>
                </c:pt>
                <c:pt idx="845">
                  <c:v>845</c:v>
                </c:pt>
                <c:pt idx="846">
                  <c:v>846</c:v>
                </c:pt>
                <c:pt idx="847">
                  <c:v>847</c:v>
                </c:pt>
                <c:pt idx="848">
                  <c:v>848</c:v>
                </c:pt>
                <c:pt idx="849">
                  <c:v>849</c:v>
                </c:pt>
                <c:pt idx="850">
                  <c:v>850</c:v>
                </c:pt>
                <c:pt idx="851">
                  <c:v>851</c:v>
                </c:pt>
                <c:pt idx="852">
                  <c:v>852</c:v>
                </c:pt>
                <c:pt idx="853">
                  <c:v>853</c:v>
                </c:pt>
                <c:pt idx="854">
                  <c:v>854</c:v>
                </c:pt>
                <c:pt idx="855">
                  <c:v>855</c:v>
                </c:pt>
                <c:pt idx="856">
                  <c:v>856</c:v>
                </c:pt>
                <c:pt idx="857">
                  <c:v>857</c:v>
                </c:pt>
                <c:pt idx="858">
                  <c:v>858</c:v>
                </c:pt>
                <c:pt idx="859">
                  <c:v>859</c:v>
                </c:pt>
                <c:pt idx="860">
                  <c:v>860</c:v>
                </c:pt>
                <c:pt idx="861">
                  <c:v>861</c:v>
                </c:pt>
                <c:pt idx="862">
                  <c:v>862</c:v>
                </c:pt>
                <c:pt idx="863">
                  <c:v>863</c:v>
                </c:pt>
                <c:pt idx="864">
                  <c:v>864</c:v>
                </c:pt>
                <c:pt idx="865">
                  <c:v>865</c:v>
                </c:pt>
                <c:pt idx="866">
                  <c:v>866</c:v>
                </c:pt>
                <c:pt idx="867">
                  <c:v>867</c:v>
                </c:pt>
                <c:pt idx="868">
                  <c:v>868</c:v>
                </c:pt>
                <c:pt idx="869">
                  <c:v>869</c:v>
                </c:pt>
                <c:pt idx="870">
                  <c:v>870</c:v>
                </c:pt>
                <c:pt idx="871">
                  <c:v>871</c:v>
                </c:pt>
                <c:pt idx="872">
                  <c:v>872</c:v>
                </c:pt>
                <c:pt idx="873">
                  <c:v>873</c:v>
                </c:pt>
                <c:pt idx="874">
                  <c:v>874</c:v>
                </c:pt>
                <c:pt idx="875">
                  <c:v>875</c:v>
                </c:pt>
                <c:pt idx="876">
                  <c:v>876</c:v>
                </c:pt>
                <c:pt idx="877">
                  <c:v>877</c:v>
                </c:pt>
                <c:pt idx="878">
                  <c:v>878</c:v>
                </c:pt>
                <c:pt idx="879">
                  <c:v>879</c:v>
                </c:pt>
                <c:pt idx="880">
                  <c:v>880</c:v>
                </c:pt>
                <c:pt idx="881">
                  <c:v>881</c:v>
                </c:pt>
                <c:pt idx="882">
                  <c:v>882</c:v>
                </c:pt>
                <c:pt idx="883">
                  <c:v>883</c:v>
                </c:pt>
                <c:pt idx="884">
                  <c:v>884</c:v>
                </c:pt>
                <c:pt idx="885">
                  <c:v>885</c:v>
                </c:pt>
                <c:pt idx="886">
                  <c:v>886</c:v>
                </c:pt>
                <c:pt idx="887">
                  <c:v>887</c:v>
                </c:pt>
                <c:pt idx="888">
                  <c:v>888</c:v>
                </c:pt>
                <c:pt idx="889">
                  <c:v>889</c:v>
                </c:pt>
                <c:pt idx="890">
                  <c:v>890</c:v>
                </c:pt>
                <c:pt idx="891">
                  <c:v>891</c:v>
                </c:pt>
                <c:pt idx="892">
                  <c:v>892</c:v>
                </c:pt>
                <c:pt idx="893">
                  <c:v>893</c:v>
                </c:pt>
                <c:pt idx="894">
                  <c:v>894</c:v>
                </c:pt>
                <c:pt idx="895">
                  <c:v>895</c:v>
                </c:pt>
                <c:pt idx="896">
                  <c:v>896</c:v>
                </c:pt>
                <c:pt idx="897">
                  <c:v>897</c:v>
                </c:pt>
                <c:pt idx="898">
                  <c:v>898</c:v>
                </c:pt>
                <c:pt idx="899">
                  <c:v>899</c:v>
                </c:pt>
                <c:pt idx="900">
                  <c:v>900</c:v>
                </c:pt>
                <c:pt idx="901">
                  <c:v>901</c:v>
                </c:pt>
                <c:pt idx="902">
                  <c:v>902</c:v>
                </c:pt>
                <c:pt idx="903">
                  <c:v>903</c:v>
                </c:pt>
                <c:pt idx="904">
                  <c:v>904</c:v>
                </c:pt>
                <c:pt idx="905">
                  <c:v>905</c:v>
                </c:pt>
                <c:pt idx="906">
                  <c:v>906</c:v>
                </c:pt>
                <c:pt idx="907">
                  <c:v>907</c:v>
                </c:pt>
                <c:pt idx="908">
                  <c:v>908</c:v>
                </c:pt>
                <c:pt idx="909">
                  <c:v>909</c:v>
                </c:pt>
                <c:pt idx="910">
                  <c:v>910</c:v>
                </c:pt>
                <c:pt idx="911">
                  <c:v>911</c:v>
                </c:pt>
                <c:pt idx="912">
                  <c:v>912</c:v>
                </c:pt>
                <c:pt idx="913">
                  <c:v>913</c:v>
                </c:pt>
                <c:pt idx="914">
                  <c:v>914</c:v>
                </c:pt>
                <c:pt idx="915">
                  <c:v>915</c:v>
                </c:pt>
                <c:pt idx="916">
                  <c:v>916</c:v>
                </c:pt>
                <c:pt idx="917">
                  <c:v>917</c:v>
                </c:pt>
                <c:pt idx="918">
                  <c:v>918</c:v>
                </c:pt>
                <c:pt idx="919">
                  <c:v>919</c:v>
                </c:pt>
                <c:pt idx="920">
                  <c:v>920</c:v>
                </c:pt>
                <c:pt idx="921">
                  <c:v>921</c:v>
                </c:pt>
                <c:pt idx="922">
                  <c:v>922</c:v>
                </c:pt>
                <c:pt idx="923">
                  <c:v>923</c:v>
                </c:pt>
                <c:pt idx="924">
                  <c:v>924</c:v>
                </c:pt>
                <c:pt idx="925">
                  <c:v>925</c:v>
                </c:pt>
                <c:pt idx="926">
                  <c:v>926</c:v>
                </c:pt>
                <c:pt idx="927">
                  <c:v>927</c:v>
                </c:pt>
                <c:pt idx="928">
                  <c:v>928</c:v>
                </c:pt>
                <c:pt idx="929">
                  <c:v>929</c:v>
                </c:pt>
                <c:pt idx="930">
                  <c:v>930</c:v>
                </c:pt>
                <c:pt idx="931">
                  <c:v>931</c:v>
                </c:pt>
                <c:pt idx="932">
                  <c:v>932</c:v>
                </c:pt>
                <c:pt idx="933">
                  <c:v>933</c:v>
                </c:pt>
                <c:pt idx="934">
                  <c:v>934</c:v>
                </c:pt>
                <c:pt idx="935">
                  <c:v>935</c:v>
                </c:pt>
                <c:pt idx="936">
                  <c:v>936</c:v>
                </c:pt>
                <c:pt idx="937">
                  <c:v>937</c:v>
                </c:pt>
                <c:pt idx="938">
                  <c:v>938</c:v>
                </c:pt>
                <c:pt idx="939">
                  <c:v>939</c:v>
                </c:pt>
                <c:pt idx="940">
                  <c:v>940</c:v>
                </c:pt>
                <c:pt idx="941">
                  <c:v>941</c:v>
                </c:pt>
                <c:pt idx="942">
                  <c:v>942</c:v>
                </c:pt>
                <c:pt idx="943">
                  <c:v>943</c:v>
                </c:pt>
                <c:pt idx="944">
                  <c:v>944</c:v>
                </c:pt>
                <c:pt idx="945">
                  <c:v>945</c:v>
                </c:pt>
                <c:pt idx="946">
                  <c:v>946</c:v>
                </c:pt>
                <c:pt idx="947">
                  <c:v>947</c:v>
                </c:pt>
                <c:pt idx="948">
                  <c:v>948</c:v>
                </c:pt>
                <c:pt idx="949">
                  <c:v>949</c:v>
                </c:pt>
                <c:pt idx="950">
                  <c:v>950</c:v>
                </c:pt>
                <c:pt idx="951">
                  <c:v>951</c:v>
                </c:pt>
                <c:pt idx="952">
                  <c:v>952</c:v>
                </c:pt>
                <c:pt idx="953">
                  <c:v>953</c:v>
                </c:pt>
                <c:pt idx="954">
                  <c:v>954</c:v>
                </c:pt>
                <c:pt idx="955">
                  <c:v>955</c:v>
                </c:pt>
                <c:pt idx="956">
                  <c:v>956</c:v>
                </c:pt>
                <c:pt idx="957">
                  <c:v>957</c:v>
                </c:pt>
                <c:pt idx="958">
                  <c:v>958</c:v>
                </c:pt>
                <c:pt idx="959">
                  <c:v>959</c:v>
                </c:pt>
                <c:pt idx="960">
                  <c:v>960</c:v>
                </c:pt>
                <c:pt idx="961">
                  <c:v>961</c:v>
                </c:pt>
                <c:pt idx="962">
                  <c:v>962</c:v>
                </c:pt>
                <c:pt idx="963">
                  <c:v>963</c:v>
                </c:pt>
                <c:pt idx="964">
                  <c:v>964</c:v>
                </c:pt>
                <c:pt idx="965">
                  <c:v>965</c:v>
                </c:pt>
                <c:pt idx="966">
                  <c:v>966</c:v>
                </c:pt>
                <c:pt idx="967">
                  <c:v>967</c:v>
                </c:pt>
                <c:pt idx="968">
                  <c:v>968</c:v>
                </c:pt>
                <c:pt idx="969">
                  <c:v>969</c:v>
                </c:pt>
                <c:pt idx="970">
                  <c:v>970</c:v>
                </c:pt>
                <c:pt idx="971">
                  <c:v>971</c:v>
                </c:pt>
                <c:pt idx="972">
                  <c:v>972</c:v>
                </c:pt>
                <c:pt idx="973">
                  <c:v>973</c:v>
                </c:pt>
                <c:pt idx="974">
                  <c:v>974</c:v>
                </c:pt>
                <c:pt idx="975">
                  <c:v>975</c:v>
                </c:pt>
                <c:pt idx="976">
                  <c:v>976</c:v>
                </c:pt>
                <c:pt idx="977">
                  <c:v>977</c:v>
                </c:pt>
                <c:pt idx="978">
                  <c:v>978</c:v>
                </c:pt>
                <c:pt idx="979">
                  <c:v>979</c:v>
                </c:pt>
                <c:pt idx="980">
                  <c:v>980</c:v>
                </c:pt>
                <c:pt idx="981">
                  <c:v>981</c:v>
                </c:pt>
                <c:pt idx="982">
                  <c:v>982</c:v>
                </c:pt>
                <c:pt idx="983">
                  <c:v>983</c:v>
                </c:pt>
                <c:pt idx="984">
                  <c:v>984</c:v>
                </c:pt>
                <c:pt idx="985">
                  <c:v>985</c:v>
                </c:pt>
                <c:pt idx="986">
                  <c:v>986</c:v>
                </c:pt>
                <c:pt idx="987">
                  <c:v>987</c:v>
                </c:pt>
                <c:pt idx="988">
                  <c:v>988</c:v>
                </c:pt>
                <c:pt idx="989">
                  <c:v>989</c:v>
                </c:pt>
                <c:pt idx="990">
                  <c:v>990</c:v>
                </c:pt>
                <c:pt idx="991">
                  <c:v>991</c:v>
                </c:pt>
                <c:pt idx="992">
                  <c:v>992</c:v>
                </c:pt>
                <c:pt idx="993">
                  <c:v>993</c:v>
                </c:pt>
                <c:pt idx="994">
                  <c:v>994</c:v>
                </c:pt>
                <c:pt idx="995">
                  <c:v>995</c:v>
                </c:pt>
                <c:pt idx="996">
                  <c:v>996</c:v>
                </c:pt>
                <c:pt idx="997">
                  <c:v>997</c:v>
                </c:pt>
                <c:pt idx="998">
                  <c:v>998</c:v>
                </c:pt>
                <c:pt idx="999">
                  <c:v>999</c:v>
                </c:pt>
                <c:pt idx="1000">
                  <c:v>1000</c:v>
                </c:pt>
                <c:pt idx="1001">
                  <c:v>1001</c:v>
                </c:pt>
                <c:pt idx="1002">
                  <c:v>1002</c:v>
                </c:pt>
                <c:pt idx="1003">
                  <c:v>1003</c:v>
                </c:pt>
                <c:pt idx="1004">
                  <c:v>1004</c:v>
                </c:pt>
                <c:pt idx="1005">
                  <c:v>1005</c:v>
                </c:pt>
                <c:pt idx="1006">
                  <c:v>1006</c:v>
                </c:pt>
                <c:pt idx="1007">
                  <c:v>1007</c:v>
                </c:pt>
                <c:pt idx="1008">
                  <c:v>1008</c:v>
                </c:pt>
                <c:pt idx="1009">
                  <c:v>1009</c:v>
                </c:pt>
                <c:pt idx="1010">
                  <c:v>1010</c:v>
                </c:pt>
                <c:pt idx="1011">
                  <c:v>1011</c:v>
                </c:pt>
                <c:pt idx="1012">
                  <c:v>1012</c:v>
                </c:pt>
                <c:pt idx="1013">
                  <c:v>1013</c:v>
                </c:pt>
                <c:pt idx="1014">
                  <c:v>1014</c:v>
                </c:pt>
                <c:pt idx="1015">
                  <c:v>1015</c:v>
                </c:pt>
                <c:pt idx="1016">
                  <c:v>1016</c:v>
                </c:pt>
                <c:pt idx="1017">
                  <c:v>1017</c:v>
                </c:pt>
                <c:pt idx="1018">
                  <c:v>1018</c:v>
                </c:pt>
                <c:pt idx="1019">
                  <c:v>1019</c:v>
                </c:pt>
                <c:pt idx="1020">
                  <c:v>1020</c:v>
                </c:pt>
                <c:pt idx="1021">
                  <c:v>1021</c:v>
                </c:pt>
                <c:pt idx="1022">
                  <c:v>1022</c:v>
                </c:pt>
                <c:pt idx="1023">
                  <c:v>1023</c:v>
                </c:pt>
                <c:pt idx="1024">
                  <c:v>1024</c:v>
                </c:pt>
                <c:pt idx="1025">
                  <c:v>1025</c:v>
                </c:pt>
                <c:pt idx="1026">
                  <c:v>1026</c:v>
                </c:pt>
                <c:pt idx="1027">
                  <c:v>1027</c:v>
                </c:pt>
                <c:pt idx="1028">
                  <c:v>1028</c:v>
                </c:pt>
                <c:pt idx="1029">
                  <c:v>1029</c:v>
                </c:pt>
                <c:pt idx="1030">
                  <c:v>1030</c:v>
                </c:pt>
                <c:pt idx="1031">
                  <c:v>1031</c:v>
                </c:pt>
                <c:pt idx="1032">
                  <c:v>1032</c:v>
                </c:pt>
                <c:pt idx="1033">
                  <c:v>1033</c:v>
                </c:pt>
                <c:pt idx="1034">
                  <c:v>1034</c:v>
                </c:pt>
                <c:pt idx="1035">
                  <c:v>1035</c:v>
                </c:pt>
                <c:pt idx="1036">
                  <c:v>1036</c:v>
                </c:pt>
                <c:pt idx="1037">
                  <c:v>1037</c:v>
                </c:pt>
                <c:pt idx="1038">
                  <c:v>1038</c:v>
                </c:pt>
                <c:pt idx="1039">
                  <c:v>1039</c:v>
                </c:pt>
                <c:pt idx="1040">
                  <c:v>1040</c:v>
                </c:pt>
              </c:numCache>
            </c:numRef>
          </c:xVal>
          <c:yVal>
            <c:numRef>
              <c:f>'Model Comparator'!$U$7:$U$1047</c:f>
              <c:numCache>
                <c:formatCode>0.000</c:formatCode>
                <c:ptCount val="1041"/>
                <c:pt idx="0">
                  <c:v>1</c:v>
                </c:pt>
                <c:pt idx="1">
                  <c:v>0.997364953886693</c:v>
                </c:pt>
                <c:pt idx="2">
                  <c:v>0.99341238471673299</c:v>
                </c:pt>
                <c:pt idx="3">
                  <c:v>0.98550724637681197</c:v>
                </c:pt>
                <c:pt idx="4">
                  <c:v>0.97363366509516303</c:v>
                </c:pt>
                <c:pt idx="5">
                  <c:v>0.96306505000593501</c:v>
                </c:pt>
                <c:pt idx="6">
                  <c:v>0.92597187043061802</c:v>
                </c:pt>
                <c:pt idx="7">
                  <c:v>0.88811739907201404</c:v>
                </c:pt>
                <c:pt idx="8">
                  <c:v>0.87011606729945801</c:v>
                </c:pt>
                <c:pt idx="9">
                  <c:v>0.86456508760376805</c:v>
                </c:pt>
                <c:pt idx="10">
                  <c:v>0.85762636298415496</c:v>
                </c:pt>
                <c:pt idx="11">
                  <c:v>0.85068086887710803</c:v>
                </c:pt>
                <c:pt idx="12">
                  <c:v>0.82143470747348102</c:v>
                </c:pt>
                <c:pt idx="13">
                  <c:v>0.78730150501074603</c:v>
                </c:pt>
                <c:pt idx="14">
                  <c:v>0.77711688523497102</c:v>
                </c:pt>
                <c:pt idx="15">
                  <c:v>0.76979940043991502</c:v>
                </c:pt>
                <c:pt idx="16">
                  <c:v>0.76539493951633797</c:v>
                </c:pt>
                <c:pt idx="17">
                  <c:v>0.75511132228675204</c:v>
                </c:pt>
                <c:pt idx="18">
                  <c:v>0.72415757245594503</c:v>
                </c:pt>
                <c:pt idx="19">
                  <c:v>0.67943705139447097</c:v>
                </c:pt>
                <c:pt idx="20">
                  <c:v>0.67184044678997401</c:v>
                </c:pt>
                <c:pt idx="21">
                  <c:v>0.65660596953850003</c:v>
                </c:pt>
                <c:pt idx="22">
                  <c:v>0.64742266926523495</c:v>
                </c:pt>
                <c:pt idx="23">
                  <c:v>0.63668700588164295</c:v>
                </c:pt>
                <c:pt idx="24">
                  <c:v>0.61506432333497796</c:v>
                </c:pt>
                <c:pt idx="25">
                  <c:v>0.57597055002308595</c:v>
                </c:pt>
                <c:pt idx="26">
                  <c:v>0.55698250991243503</c:v>
                </c:pt>
                <c:pt idx="27">
                  <c:v>0.55062149038274499</c:v>
                </c:pt>
                <c:pt idx="28">
                  <c:v>0.54424204560490297</c:v>
                </c:pt>
                <c:pt idx="29">
                  <c:v>0.53306992150157695</c:v>
                </c:pt>
                <c:pt idx="30">
                  <c:v>0.51226865115986298</c:v>
                </c:pt>
                <c:pt idx="31">
                  <c:v>0.45907944081340801</c:v>
                </c:pt>
                <c:pt idx="32">
                  <c:v>0.442914671770682</c:v>
                </c:pt>
                <c:pt idx="33">
                  <c:v>0.43638312779563299</c:v>
                </c:pt>
                <c:pt idx="34">
                  <c:v>0.42983933842252797</c:v>
                </c:pt>
                <c:pt idx="35">
                  <c:v>0.42163629761293703</c:v>
                </c:pt>
                <c:pt idx="36">
                  <c:v>0.40019829861400702</c:v>
                </c:pt>
                <c:pt idx="37">
                  <c:v>0.36349446642407401</c:v>
                </c:pt>
                <c:pt idx="38">
                  <c:v>0.35668407712091599</c:v>
                </c:pt>
                <c:pt idx="39">
                  <c:v>0.34979114388092902</c:v>
                </c:pt>
                <c:pt idx="40">
                  <c:v>0.34632786522864201</c:v>
                </c:pt>
                <c:pt idx="41">
                  <c:v>0.339348742521491</c:v>
                </c:pt>
                <c:pt idx="42">
                  <c:v>0.32518022642883099</c:v>
                </c:pt>
                <c:pt idx="43">
                  <c:v>0.29978569446981901</c:v>
                </c:pt>
                <c:pt idx="44">
                  <c:v>0.29047557973473198</c:v>
                </c:pt>
                <c:pt idx="45">
                  <c:v>0.288613556787714</c:v>
                </c:pt>
                <c:pt idx="46">
                  <c:v>0.28302748794666199</c:v>
                </c:pt>
                <c:pt idx="47">
                  <c:v>0.27930344205262703</c:v>
                </c:pt>
                <c:pt idx="48">
                  <c:v>0.27095467969190534</c:v>
                </c:pt>
                <c:pt idx="49">
                  <c:v>0.2628146423838974</c:v>
                </c:pt>
                <c:pt idx="50">
                  <c:v>0.25488016213530401</c:v>
                </c:pt>
                <c:pt idx="51">
                  <c:v>0.24714799562084719</c:v>
                </c:pt>
                <c:pt idx="52">
                  <c:v>0.23961483492165384</c:v>
                </c:pt>
                <c:pt idx="53">
                  <c:v>0.23227731750079403</c:v>
                </c:pt>
                <c:pt idx="54">
                  <c:v>0.2251320354677972</c:v>
                </c:pt>
                <c:pt idx="55">
                  <c:v>0.21817554417973511</c:v>
                </c:pt>
                <c:pt idx="56">
                  <c:v>0.21140437022266695</c:v>
                </c:pt>
                <c:pt idx="57">
                  <c:v>0.20481501881385028</c:v>
                </c:pt>
                <c:pt idx="58">
                  <c:v>0.19840398066206666</c:v>
                </c:pt>
                <c:pt idx="59">
                  <c:v>0.19216773832065645</c:v>
                </c:pt>
                <c:pt idx="60">
                  <c:v>0.18610277206536657</c:v>
                </c:pt>
                <c:pt idx="61">
                  <c:v>0.18020556532685361</c:v>
                </c:pt>
                <c:pt idx="62">
                  <c:v>0.17447260970562975</c:v>
                </c:pt>
                <c:pt idx="63">
                  <c:v>0.16890040959536265</c:v>
                </c:pt>
                <c:pt idx="64">
                  <c:v>0.16348548643872446</c:v>
                </c:pt>
                <c:pt idx="65">
                  <c:v>0.15822438263841496</c:v>
                </c:pt>
                <c:pt idx="66">
                  <c:v>0.1531136651445372</c:v>
                </c:pt>
                <c:pt idx="67">
                  <c:v>0.14814992873817448</c:v>
                </c:pt>
                <c:pt idx="68">
                  <c:v>0.14332979902978898</c:v>
                </c:pt>
                <c:pt idx="69">
                  <c:v>0.13864993518992796</c:v>
                </c:pt>
                <c:pt idx="70">
                  <c:v>0.13410703242866975</c:v>
                </c:pt>
                <c:pt idx="71">
                  <c:v>0.1296978242392654</c:v>
                </c:pt>
                <c:pt idx="72">
                  <c:v>0.12541908442052419</c:v>
                </c:pt>
                <c:pt idx="73">
                  <c:v>0.12126762889164244</c:v>
                </c:pt>
                <c:pt idx="74">
                  <c:v>0.11724031731238903</c:v>
                </c:pt>
                <c:pt idx="75">
                  <c:v>0.11333405452081947</c:v>
                </c:pt>
                <c:pt idx="76">
                  <c:v>0.10954579180000221</c:v>
                </c:pt>
                <c:pt idx="77">
                  <c:v>0.10587252798459258</c:v>
                </c:pt>
                <c:pt idx="78">
                  <c:v>0.10231131041748355</c:v>
                </c:pt>
                <c:pt idx="79">
                  <c:v>9.8859235766191877E-2</c:v>
                </c:pt>
                <c:pt idx="80">
                  <c:v>9.5513450708101882E-2</c:v>
                </c:pt>
                <c:pt idx="81">
                  <c:v>9.2271152493184905E-2</c:v>
                </c:pt>
                <c:pt idx="82">
                  <c:v>8.9129589392336936E-2</c:v>
                </c:pt>
                <c:pt idx="83">
                  <c:v>8.6086061039027592E-2</c:v>
                </c:pt>
                <c:pt idx="84">
                  <c:v>8.3137918671532765E-2</c:v>
                </c:pt>
                <c:pt idx="85">
                  <c:v>8.028256528262058E-2</c:v>
                </c:pt>
                <c:pt idx="86">
                  <c:v>7.7517455683184924E-2</c:v>
                </c:pt>
                <c:pt idx="87">
                  <c:v>7.4840096485963056E-2</c:v>
                </c:pt>
                <c:pt idx="88">
                  <c:v>7.2248046015134848E-2</c:v>
                </c:pt>
                <c:pt idx="89">
                  <c:v>6.9738914147282019E-2</c:v>
                </c:pt>
                <c:pt idx="90">
                  <c:v>6.7310362088883177E-2</c:v>
                </c:pt>
                <c:pt idx="91">
                  <c:v>6.496010209523112E-2</c:v>
                </c:pt>
                <c:pt idx="92">
                  <c:v>6.2685897135389065E-2</c:v>
                </c:pt>
                <c:pt idx="93">
                  <c:v>6.0485560507542585E-2</c:v>
                </c:pt>
                <c:pt idx="94">
                  <c:v>5.8356955408858754E-2</c:v>
                </c:pt>
                <c:pt idx="95">
                  <c:v>5.6297994463733875E-2</c:v>
                </c:pt>
                <c:pt idx="96">
                  <c:v>5.430663921408703E-2</c:v>
                </c:pt>
                <c:pt idx="97">
                  <c:v>5.2380899575150686E-2</c:v>
                </c:pt>
                <c:pt idx="98">
                  <c:v>5.0518833260008569E-2</c:v>
                </c:pt>
                <c:pt idx="99">
                  <c:v>4.8718545175942977E-2</c:v>
                </c:pt>
                <c:pt idx="100">
                  <c:v>4.6978186795474275E-2</c:v>
                </c:pt>
                <c:pt idx="101">
                  <c:v>4.5295955504805772E-2</c:v>
                </c:pt>
                <c:pt idx="102">
                  <c:v>4.3670093932224166E-2</c:v>
                </c:pt>
                <c:pt idx="103">
                  <c:v>4.2098889258853626E-2</c:v>
                </c:pt>
                <c:pt idx="104">
                  <c:v>4.0580672514014489E-2</c:v>
                </c:pt>
                <c:pt idx="105">
                  <c:v>3.9113817857300358E-2</c:v>
                </c:pt>
                <c:pt idx="106">
                  <c:v>3.7696741849355148E-2</c:v>
                </c:pt>
                <c:pt idx="107">
                  <c:v>3.6327902713206267E-2</c:v>
                </c:pt>
                <c:pt idx="108">
                  <c:v>3.5005799587893766E-2</c:v>
                </c:pt>
                <c:pt idx="109">
                  <c:v>3.3728971776019891E-2</c:v>
                </c:pt>
                <c:pt idx="110">
                  <c:v>3.2495997986739127E-2</c:v>
                </c:pt>
                <c:pt idx="111">
                  <c:v>3.1305495575606801E-2</c:v>
                </c:pt>
                <c:pt idx="112">
                  <c:v>3.0156119782607356E-2</c:v>
                </c:pt>
                <c:pt idx="113">
                  <c:v>2.9046562969594035E-2</c:v>
                </c:pt>
                <c:pt idx="114">
                  <c:v>2.7975553858283854E-2</c:v>
                </c:pt>
                <c:pt idx="115">
                  <c:v>2.6941856769870643E-2</c:v>
                </c:pt>
                <c:pt idx="116">
                  <c:v>2.5944270867241083E-2</c:v>
                </c:pt>
                <c:pt idx="117">
                  <c:v>2.49816294007058E-2</c:v>
                </c:pt>
                <c:pt idx="118">
                  <c:v>2.4052798958086485E-2</c:v>
                </c:pt>
                <c:pt idx="119">
                  <c:v>2.3156678719936492E-2</c:v>
                </c:pt>
                <c:pt idx="120">
                  <c:v>2.2292199720607704E-2</c:v>
                </c:pt>
                <c:pt idx="121">
                  <c:v>2.1458324115819306E-2</c:v>
                </c:pt>
                <c:pt idx="122">
                  <c:v>2.0654044457327336E-2</c:v>
                </c:pt>
                <c:pt idx="123">
                  <c:v>1.9878382975241936E-2</c:v>
                </c:pt>
                <c:pt idx="124">
                  <c:v>1.9130390868489156E-2</c:v>
                </c:pt>
                <c:pt idx="125">
                  <c:v>1.8409147603867332E-2</c:v>
                </c:pt>
                <c:pt idx="126">
                  <c:v>1.7713760224104085E-2</c:v>
                </c:pt>
                <c:pt idx="127">
                  <c:v>1.704336266527778E-2</c:v>
                </c:pt>
                <c:pt idx="128">
                  <c:v>1.6397115083928777E-2</c:v>
                </c:pt>
                <c:pt idx="129">
                  <c:v>1.5774203194147789E-2</c:v>
                </c:pt>
                <c:pt idx="130">
                  <c:v>1.5173837614895082E-2</c:v>
                </c:pt>
                <c:pt idx="131">
                  <c:v>1.4595253227770302E-2</c:v>
                </c:pt>
                <c:pt idx="132">
                  <c:v>1.4037708545423086E-2</c:v>
                </c:pt>
                <c:pt idx="133">
                  <c:v>1.3500485090765039E-2</c:v>
                </c:pt>
                <c:pt idx="134">
                  <c:v>1.2982886787116994E-2</c:v>
                </c:pt>
                <c:pt idx="135">
                  <c:v>1.2484239359400047E-2</c:v>
                </c:pt>
                <c:pt idx="136">
                  <c:v>1.2003889746455144E-2</c:v>
                </c:pt>
                <c:pt idx="137">
                  <c:v>1.1541205524553825E-2</c:v>
                </c:pt>
                <c:pt idx="138">
                  <c:v>1.1095574342142329E-2</c:v>
                </c:pt>
                <c:pt idx="139">
                  <c:v>1.0666403365841312E-2</c:v>
                </c:pt>
                <c:pt idx="140">
                  <c:v>1.0253118737706429E-2</c:v>
                </c:pt>
                <c:pt idx="141">
                  <c:v>9.8551650437373253E-3</c:v>
                </c:pt>
                <c:pt idx="142">
                  <c:v>9.4720047936078574E-3</c:v>
                </c:pt>
                <c:pt idx="143">
                  <c:v>9.1031179115756838E-3</c:v>
                </c:pt>
                <c:pt idx="144">
                  <c:v>8.7480012385156708E-3</c:v>
                </c:pt>
                <c:pt idx="145">
                  <c:v>8.4061680450103742E-3</c:v>
                </c:pt>
                <c:pt idx="146">
                  <c:v>8.0771475554179753E-3</c:v>
                </c:pt>
                <c:pt idx="147">
                  <c:v>7.760484482829298E-3</c:v>
                </c:pt>
                <c:pt idx="148">
                  <c:v>7.4557385748146247E-3</c:v>
                </c:pt>
                <c:pt idx="149">
                  <c:v>7.1624841698530147E-3</c:v>
                </c:pt>
                <c:pt idx="150">
                  <c:v>6.8803097643289563E-3</c:v>
                </c:pt>
                <c:pt idx="151">
                  <c:v>6.6088175899732676E-3</c:v>
                </c:pt>
                <c:pt idx="152">
                  <c:v>6.3476232016195008E-3</c:v>
                </c:pt>
                <c:pt idx="153">
                  <c:v>6.0963550751405478E-3</c:v>
                </c:pt>
                <c:pt idx="154">
                  <c:v>5.8546542154251672E-3</c:v>
                </c:pt>
                <c:pt idx="155">
                  <c:v>5.62217377424944E-3</c:v>
                </c:pt>
                <c:pt idx="156">
                  <c:v>5.3985786778939339E-3</c:v>
                </c:pt>
                <c:pt idx="157">
                  <c:v>5.183545264353725E-3</c:v>
                </c:pt>
                <c:pt idx="158">
                  <c:v>4.9767609299853736E-3</c:v>
                </c:pt>
                <c:pt idx="159">
                  <c:v>4.7779237854320492E-3</c:v>
                </c:pt>
                <c:pt idx="160">
                  <c:v>4.5867423206659014E-3</c:v>
                </c:pt>
                <c:pt idx="161">
                  <c:v>4.4029350789847911E-3</c:v>
                </c:pt>
                <c:pt idx="162">
                  <c:v>4.2262303397989321E-3</c:v>
                </c:pt>
                <c:pt idx="163">
                  <c:v>4.0563658100420215E-3</c:v>
                </c:pt>
                <c:pt idx="164">
                  <c:v>3.8930883240402758E-3</c:v>
                </c:pt>
                <c:pt idx="165">
                  <c:v>3.7361535516726267E-3</c:v>
                </c:pt>
                <c:pt idx="166">
                  <c:v>3.5853257146547923E-3</c:v>
                </c:pt>
                <c:pt idx="167">
                  <c:v>3.4403773107799878E-3</c:v>
                </c:pt>
                <c:pt idx="168">
                  <c:v>3.3010888459494812E-3</c:v>
                </c:pt>
                <c:pt idx="169">
                  <c:v>3.1672485738264704E-3</c:v>
                </c:pt>
                <c:pt idx="170">
                  <c:v>3.0386522429474805E-3</c:v>
                </c:pt>
                <c:pt idx="171">
                  <c:v>2.9151028511265244E-3</c:v>
                </c:pt>
                <c:pt idx="172">
                  <c:v>2.7964104069881394E-3</c:v>
                </c:pt>
                <c:pt idx="173">
                  <c:v>2.6823916984667264E-3</c:v>
                </c:pt>
                <c:pt idx="174">
                  <c:v>2.5728700681110672E-3</c:v>
                </c:pt>
                <c:pt idx="175">
                  <c:v>2.4676751950342712E-3</c:v>
                </c:pt>
                <c:pt idx="176">
                  <c:v>2.3666428833511843E-3</c:v>
                </c:pt>
                <c:pt idx="177">
                  <c:v>2.2696148569469835E-3</c:v>
                </c:pt>
                <c:pt idx="178">
                  <c:v>2.1764385604225913E-3</c:v>
                </c:pt>
                <c:pt idx="179">
                  <c:v>2.0869669660644541E-3</c:v>
                </c:pt>
                <c:pt idx="180">
                  <c:v>2.0010583866883367E-3</c:v>
                </c:pt>
                <c:pt idx="181">
                  <c:v>1.9185762942089124E-3</c:v>
                </c:pt>
                <c:pt idx="182">
                  <c:v>1.8393891437890166E-3</c:v>
                </c:pt>
                <c:pt idx="183">
                  <c:v>1.7633702034248362E-3</c:v>
                </c:pt>
                <c:pt idx="184">
                  <c:v>1.6903973888255086E-3</c:v>
                </c:pt>
                <c:pt idx="185">
                  <c:v>1.620353103447957E-3</c:v>
                </c:pt>
                <c:pt idx="186">
                  <c:v>1.553124083550245E-3</c:v>
                </c:pt>
                <c:pt idx="187">
                  <c:v>1.488601248129072E-3</c:v>
                </c:pt>
                <c:pt idx="188">
                  <c:v>1.4266795536094939E-3</c:v>
                </c:pt>
                <c:pt idx="189">
                  <c:v>1.3672578531575008E-3</c:v>
                </c:pt>
                <c:pt idx="190">
                  <c:v>1.3102387604884019E-3</c:v>
                </c:pt>
                <c:pt idx="191">
                  <c:v>1.2555285180466376E-3</c:v>
                </c:pt>
                <c:pt idx="192">
                  <c:v>1.2030368694350073E-3</c:v>
                </c:pt>
                <c:pt idx="193">
                  <c:v>1.1526769359738427E-3</c:v>
                </c:pt>
                <c:pt idx="194">
                  <c:v>1.1043650972731918E-3</c:v>
                </c:pt>
                <c:pt idx="195">
                  <c:v>1.0580208757034856E-3</c:v>
                </c:pt>
                <c:pt idx="196">
                  <c:v>1.0135668246527409E-3</c:v>
                </c:pt>
                <c:pt idx="197">
                  <c:v>9.709284204607396E-4</c:v>
                </c:pt>
                <c:pt idx="198">
                  <c:v>9.3003395792313863E-4</c:v>
                </c:pt>
                <c:pt idx="199">
                  <c:v>8.9081444926087229E-4</c:v>
                </c:pt>
                <c:pt idx="200">
                  <c:v>8.532035264526359E-4</c:v>
                </c:pt>
                <c:pt idx="201">
                  <c:v>8.1713734683067248E-4</c:v>
                </c:pt>
                <c:pt idx="202">
                  <c:v>7.825545018423643E-4</c:v>
                </c:pt>
                <c:pt idx="203">
                  <c:v>7.4939592888260704E-4</c:v>
                </c:pt>
                <c:pt idx="204">
                  <c:v>7.1760482610417318E-4</c:v>
                </c:pt>
                <c:pt idx="205">
                  <c:v>6.8712657011555831E-4</c:v>
                </c:pt>
                <c:pt idx="206">
                  <c:v>6.5790863647816511E-4</c:v>
                </c:pt>
                <c:pt idx="207">
                  <c:v>6.2990052291678059E-4</c:v>
                </c:pt>
                <c:pt idx="208">
                  <c:v>6.0305367515958177E-4</c:v>
                </c:pt>
                <c:pt idx="209">
                  <c:v>5.7732141532606911E-4</c:v>
                </c:pt>
                <c:pt idx="210">
                  <c:v>5.5265887278340819E-4</c:v>
                </c:pt>
                <c:pt idx="211">
                  <c:v>5.2902291739378147E-4</c:v>
                </c:pt>
                <c:pt idx="212">
                  <c:v>5.0637209507744196E-4</c:v>
                </c:pt>
                <c:pt idx="213">
                  <c:v>4.8466656561812024E-4</c:v>
                </c:pt>
                <c:pt idx="214">
                  <c:v>4.6386804263948812E-4</c:v>
                </c:pt>
                <c:pt idx="215">
                  <c:v>4.4393973568324812E-4</c:v>
                </c:pt>
                <c:pt idx="216">
                  <c:v>4.2484629432145224E-4</c:v>
                </c:pt>
                <c:pt idx="217">
                  <c:v>4.0655375423739149E-4</c:v>
                </c:pt>
                <c:pt idx="218">
                  <c:v>3.8902948521133405E-4</c:v>
                </c:pt>
                <c:pt idx="219">
                  <c:v>3.7224214094914429E-4</c:v>
                </c:pt>
                <c:pt idx="220">
                  <c:v>3.5616161069359934E-4</c:v>
                </c:pt>
                <c:pt idx="221">
                  <c:v>3.4075897255989956E-4</c:v>
                </c:pt>
                <c:pt idx="222">
                  <c:v>3.2600644853862551E-4</c:v>
                </c:pt>
                <c:pt idx="223">
                  <c:v>3.1187736111099523E-4</c:v>
                </c:pt>
                <c:pt idx="224">
                  <c:v>2.9834609142286999E-4</c:v>
                </c:pt>
                <c:pt idx="225">
                  <c:v>2.8538803896560497E-4</c:v>
                </c:pt>
                <c:pt idx="226">
                  <c:v>2.7297958271331132E-4</c:v>
                </c:pt>
                <c:pt idx="227">
                  <c:v>2.6109804366762049E-4</c:v>
                </c:pt>
                <c:pt idx="228">
                  <c:v>2.4972164876252786E-4</c:v>
                </c:pt>
                <c:pt idx="229">
                  <c:v>2.3882949608329583E-4</c:v>
                </c:pt>
                <c:pt idx="230">
                  <c:v>2.284015213548183E-4</c:v>
                </c:pt>
                <c:pt idx="231">
                  <c:v>2.1841846565618018E-4</c:v>
                </c:pt>
                <c:pt idx="232">
                  <c:v>2.0886184431950994E-4</c:v>
                </c:pt>
                <c:pt idx="233">
                  <c:v>1.9971391697248537E-4</c:v>
                </c:pt>
                <c:pt idx="234">
                  <c:v>1.9095765868513048E-4</c:v>
                </c:pt>
                <c:pt idx="235">
                  <c:v>1.8257673218277285E-4</c:v>
                </c:pt>
                <c:pt idx="236">
                  <c:v>1.7455546108820002E-4</c:v>
                </c:pt>
                <c:pt idx="237">
                  <c:v>1.6687880415726532E-4</c:v>
                </c:pt>
                <c:pt idx="238">
                  <c:v>1.5953233047327116E-4</c:v>
                </c:pt>
                <c:pt idx="239">
                  <c:v>1.5250219556660645E-4</c:v>
                </c:pt>
                <c:pt idx="240">
                  <c:v>1.4577511842716156E-4</c:v>
                </c:pt>
                <c:pt idx="241">
                  <c:v>1.3933835937809383E-4</c:v>
                </c:pt>
                <c:pt idx="242">
                  <c:v>1.3317969878053599E-4</c:v>
                </c:pt>
                <c:pt idx="243">
                  <c:v>1.2728741653982001E-4</c:v>
                </c:pt>
                <c:pt idx="244">
                  <c:v>1.216502723847452E-4</c:v>
                </c:pt>
                <c:pt idx="245">
                  <c:v>1.162574868923582E-4</c:v>
                </c:pt>
                <c:pt idx="246">
                  <c:v>1.1109872323161263E-4</c:v>
                </c:pt>
                <c:pt idx="247">
                  <c:v>1.0616406960015062E-4</c:v>
                </c:pt>
                <c:pt idx="248">
                  <c:v>1.0144402232930841E-4</c:v>
                </c:pt>
                <c:pt idx="249">
                  <c:v>9.6929469633271867E-5</c:v>
                </c:pt>
                <c:pt idx="250">
                  <c:v>9.2611675979112758E-5</c:v>
                </c:pt>
                <c:pt idx="251">
                  <c:v>8.8482267055215436E-5</c:v>
                </c:pt>
                <c:pt idx="252">
                  <c:v>8.4533215316361649E-5</c:v>
                </c:pt>
                <c:pt idx="253">
                  <c:v>8.0756826084473271E-5</c:v>
                </c:pt>
                <c:pt idx="254">
                  <c:v>7.7145724184726517E-5</c:v>
                </c:pt>
                <c:pt idx="255">
                  <c:v>7.3692841097441124E-5</c:v>
                </c:pt>
                <c:pt idx="256">
                  <c:v>7.0391402606813391E-5</c:v>
                </c:pt>
                <c:pt idx="257">
                  <c:v>6.7234916928217057E-5</c:v>
                </c:pt>
                <c:pt idx="258">
                  <c:v>6.4217163296417687E-5</c:v>
                </c:pt>
                <c:pt idx="259">
                  <c:v>6.1332180997662525E-5</c:v>
                </c:pt>
                <c:pt idx="260">
                  <c:v>5.857425882918716E-5</c:v>
                </c:pt>
                <c:pt idx="261">
                  <c:v>5.5937924970265681E-5</c:v>
                </c:pt>
                <c:pt idx="262">
                  <c:v>5.3417937249474971E-5</c:v>
                </c:pt>
                <c:pt idx="263">
                  <c:v>5.1009273793374792E-5</c:v>
                </c:pt>
                <c:pt idx="264">
                  <c:v>4.8707124042343278E-5</c:v>
                </c:pt>
                <c:pt idx="265">
                  <c:v>4.6506880119787886E-5</c:v>
                </c:pt>
                <c:pt idx="266">
                  <c:v>4.44041285414523E-5</c:v>
                </c:pt>
                <c:pt idx="267">
                  <c:v>4.2394642252002179E-5</c:v>
                </c:pt>
                <c:pt idx="268">
                  <c:v>4.0474372976535066E-5</c:v>
                </c:pt>
                <c:pt idx="269">
                  <c:v>3.8639443875092098E-5</c:v>
                </c:pt>
                <c:pt idx="270">
                  <c:v>3.6886142488679268E-5</c:v>
                </c:pt>
                <c:pt idx="271">
                  <c:v>3.5210913965719239E-5</c:v>
                </c:pt>
                <c:pt idx="272">
                  <c:v>3.3610354558249248E-5</c:v>
                </c:pt>
                <c:pt idx="273">
                  <c:v>3.2081205377565411E-5</c:v>
                </c:pt>
                <c:pt idx="274">
                  <c:v>3.0620346399391899E-5</c:v>
                </c:pt>
                <c:pt idx="275">
                  <c:v>2.9224790709005199E-5</c:v>
                </c:pt>
                <c:pt idx="276">
                  <c:v>2.7891678977096007E-5</c:v>
                </c:pt>
                <c:pt idx="277">
                  <c:v>2.6618274157486401E-5</c:v>
                </c:pt>
                <c:pt idx="278">
                  <c:v>2.5401956398143976E-5</c:v>
                </c:pt>
                <c:pt idx="279">
                  <c:v>2.424021815724787E-5</c:v>
                </c:pt>
                <c:pt idx="280">
                  <c:v>2.3130659516365298E-5</c:v>
                </c:pt>
                <c:pt idx="281">
                  <c:v>2.2070983683088568E-5</c:v>
                </c:pt>
                <c:pt idx="282">
                  <c:v>2.1058992675766183E-5</c:v>
                </c:pt>
                <c:pt idx="283">
                  <c:v>2.0092583183232601E-5</c:v>
                </c:pt>
                <c:pt idx="284">
                  <c:v>1.9169742592705757E-5</c:v>
                </c:pt>
                <c:pt idx="285">
                  <c:v>1.8288545179276281E-5</c:v>
                </c:pt>
                <c:pt idx="286">
                  <c:v>1.7447148450653741E-5</c:v>
                </c:pt>
                <c:pt idx="287">
                  <c:v>1.6643789641077704E-5</c:v>
                </c:pt>
                <c:pt idx="288">
                  <c:v>1.5876782348524199E-5</c:v>
                </c:pt>
                <c:pt idx="289">
                  <c:v>1.5144513309561426E-5</c:v>
                </c:pt>
                <c:pt idx="290">
                  <c:v>1.4445439306422423E-5</c:v>
                </c:pt>
                <c:pt idx="291">
                  <c:v>1.3778084201062141E-5</c:v>
                </c:pt>
                <c:pt idx="292">
                  <c:v>1.3141036091170446E-5</c:v>
                </c:pt>
                <c:pt idx="293">
                  <c:v>1.2532944583298673E-5</c:v>
                </c:pt>
                <c:pt idx="294">
                  <c:v>1.195251817844382E-5</c:v>
                </c:pt>
                <c:pt idx="295">
                  <c:v>1.139852176560964E-5</c:v>
                </c:pt>
                <c:pt idx="296">
                  <c:v>1.0869774219037307E-5</c:v>
                </c:pt>
                <c:pt idx="297">
                  <c:v>1.0365146094960394E-5</c:v>
                </c:pt>
                <c:pt idx="298">
                  <c:v>9.883557423899853E-6</c:v>
                </c:pt>
                <c:pt idx="299">
                  <c:v>9.4239755946664329E-6</c:v>
                </c:pt>
                <c:pt idx="300">
                  <c:v>8.9854133263861664E-6</c:v>
                </c:pt>
                <c:pt idx="301">
                  <c:v>8.5669267250059287E-6</c:v>
                </c:pt>
                <c:pt idx="302">
                  <c:v>8.1676134208737072E-6</c:v>
                </c:pt>
                <c:pt idx="303">
                  <c:v>7.786610784119426E-6</c:v>
                </c:pt>
                <c:pt idx="304">
                  <c:v>7.4230942146899216E-6</c:v>
                </c:pt>
                <c:pt idx="305">
                  <c:v>7.0762755040132319E-6</c:v>
                </c:pt>
                <c:pt idx="306">
                  <c:v>6.7454012653856521E-6</c:v>
                </c:pt>
                <c:pt idx="307">
                  <c:v>6.4297514302884283E-6</c:v>
                </c:pt>
                <c:pt idx="308">
                  <c:v>6.1286378079502656E-6</c:v>
                </c:pt>
                <c:pt idx="309">
                  <c:v>5.84140270557632E-6</c:v>
                </c:pt>
                <c:pt idx="310">
                  <c:v>5.5674176067668909E-6</c:v>
                </c:pt>
                <c:pt idx="311">
                  <c:v>5.3060819057452592E-6</c:v>
                </c:pt>
                <c:pt idx="312">
                  <c:v>5.0568216951084042E-6</c:v>
                </c:pt>
                <c:pt idx="313">
                  <c:v>4.8190886049049123E-6</c:v>
                </c:pt>
                <c:pt idx="314">
                  <c:v>4.5923586909305768E-6</c:v>
                </c:pt>
                <c:pt idx="315">
                  <c:v>4.3761313702164842E-6</c:v>
                </c:pt>
                <c:pt idx="316">
                  <c:v>4.1699284017641293E-6</c:v>
                </c:pt>
                <c:pt idx="317">
                  <c:v>3.9732929106603685E-6</c:v>
                </c:pt>
                <c:pt idx="318">
                  <c:v>3.7857884537780546E-6</c:v>
                </c:pt>
                <c:pt idx="319">
                  <c:v>3.6069981253415658E-6</c:v>
                </c:pt>
                <c:pt idx="320">
                  <c:v>3.4365237007038078E-6</c:v>
                </c:pt>
                <c:pt idx="321">
                  <c:v>3.2739848167478622E-6</c:v>
                </c:pt>
                <c:pt idx="322">
                  <c:v>3.1190181873910693E-6</c:v>
                </c:pt>
                <c:pt idx="323">
                  <c:v>2.9712768527289025E-6</c:v>
                </c:pt>
                <c:pt idx="324">
                  <c:v>2.8304294604164194E-6</c:v>
                </c:pt>
                <c:pt idx="325">
                  <c:v>2.6961595779405881E-6</c:v>
                </c:pt>
                <c:pt idx="326">
                  <c:v>2.568165034491896E-6</c:v>
                </c:pt>
                <c:pt idx="327">
                  <c:v>2.4461572911952158E-6</c:v>
                </c:pt>
                <c:pt idx="328">
                  <c:v>2.3298608385111598E-6</c:v>
                </c:pt>
                <c:pt idx="329">
                  <c:v>2.219012619666318E-6</c:v>
                </c:pt>
                <c:pt idx="330">
                  <c:v>2.1133614790180114E-6</c:v>
                </c:pt>
                <c:pt idx="331">
                  <c:v>2.012667634303516E-6</c:v>
                </c:pt>
                <c:pt idx="332">
                  <c:v>1.9167021717666027E-6</c:v>
                </c:pt>
                <c:pt idx="333">
                  <c:v>1.8252465631950475E-6</c:v>
                </c:pt>
                <c:pt idx="334">
                  <c:v>1.7380922039431751E-6</c:v>
                </c:pt>
                <c:pt idx="335">
                  <c:v>1.6550399710504934E-6</c:v>
                </c:pt>
                <c:pt idx="336">
                  <c:v>1.5758998006044911E-6</c:v>
                </c:pt>
                <c:pt idx="337">
                  <c:v>1.500490283530976E-6</c:v>
                </c:pt>
                <c:pt idx="338">
                  <c:v>1.428638279028137E-6</c:v>
                </c:pt>
                <c:pt idx="339">
                  <c:v>1.3601785448938087E-6</c:v>
                </c:pt>
                <c:pt idx="340">
                  <c:v>1.294953384025674E-6</c:v>
                </c:pt>
                <c:pt idx="341">
                  <c:v>1.2328123064043969E-6</c:v>
                </c:pt>
                <c:pt idx="342">
                  <c:v>1.1736117058981045E-6</c:v>
                </c:pt>
                <c:pt idx="343">
                  <c:v>1.1172145512540441E-6</c:v>
                </c:pt>
                <c:pt idx="344">
                  <c:v>1.0634900906698842E-6</c:v>
                </c:pt>
                <c:pt idx="345">
                  <c:v>1.0123135693619078E-6</c:v>
                </c:pt>
                <c:pt idx="346">
                  <c:v>9.6356595957226123E-7</c:v>
                </c:pt>
                <c:pt idx="347">
                  <c:v>9.1713370248024528E-7</c:v>
                </c:pt>
                <c:pt idx="348">
                  <c:v>8.7290846150514231E-7</c:v>
                </c:pt>
                <c:pt idx="349">
                  <c:v>8.3078688650966832E-7</c:v>
                </c:pt>
                <c:pt idx="350">
                  <c:v>7.9067038843349331E-7</c:v>
                </c:pt>
                <c:pt idx="351">
                  <c:v>7.5246492390622045E-7</c:v>
                </c:pt>
                <c:pt idx="352">
                  <c:v>7.1608078940811053E-7</c:v>
                </c:pt>
                <c:pt idx="353">
                  <c:v>6.8143242456493819E-7</c:v>
                </c:pt>
                <c:pt idx="354">
                  <c:v>6.4843822418085992E-7</c:v>
                </c:pt>
                <c:pt idx="355">
                  <c:v>6.1702035863003754E-7</c:v>
                </c:pt>
                <c:pt idx="356">
                  <c:v>5.8710460224348028E-7</c:v>
                </c:pt>
                <c:pt idx="357">
                  <c:v>5.5862016934334019E-7</c:v>
                </c:pt>
                <c:pt idx="358">
                  <c:v>5.3149955759126743E-7</c:v>
                </c:pt>
                <c:pt idx="359">
                  <c:v>5.0567839833195367E-7</c:v>
                </c:pt>
                <c:pt idx="360">
                  <c:v>4.810953136262036E-7</c:v>
                </c:pt>
                <c:pt idx="361">
                  <c:v>4.576917796811469E-7</c:v>
                </c:pt>
                <c:pt idx="362">
                  <c:v>4.354119963975457E-7</c:v>
                </c:pt>
                <c:pt idx="363">
                  <c:v>4.1420276276607481E-7</c:v>
                </c:pt>
                <c:pt idx="364">
                  <c:v>3.9401335785603343E-7</c:v>
                </c:pt>
                <c:pt idx="365">
                  <c:v>3.7479542715083103E-7</c:v>
                </c:pt>
                <c:pt idx="366">
                  <c:v>3.5650287399507767E-7</c:v>
                </c:pt>
                <c:pt idx="367">
                  <c:v>3.3909175592838698E-7</c:v>
                </c:pt>
                <c:pt idx="368">
                  <c:v>3.2252018569037308E-7</c:v>
                </c:pt>
                <c:pt idx="369">
                  <c:v>3.0674823669089145E-7</c:v>
                </c:pt>
                <c:pt idx="370">
                  <c:v>2.9173785274822251E-7</c:v>
                </c:pt>
                <c:pt idx="371">
                  <c:v>2.7745276190651774E-7</c:v>
                </c:pt>
                <c:pt idx="372">
                  <c:v>2.6385839415193429E-7</c:v>
                </c:pt>
                <c:pt idx="373">
                  <c:v>2.5092180285468022E-7</c:v>
                </c:pt>
                <c:pt idx="374">
                  <c:v>2.3861158977173763E-7</c:v>
                </c:pt>
                <c:pt idx="375">
                  <c:v>2.268978334520707E-7</c:v>
                </c:pt>
                <c:pt idx="376">
                  <c:v>2.1575202089311784E-7</c:v>
                </c:pt>
                <c:pt idx="377">
                  <c:v>2.0514698230385048E-7</c:v>
                </c:pt>
                <c:pt idx="378">
                  <c:v>1.9505682883600093E-7</c:v>
                </c:pt>
                <c:pt idx="379">
                  <c:v>1.8545689315109331E-7</c:v>
                </c:pt>
                <c:pt idx="380">
                  <c:v>1.7632367269667161E-7</c:v>
                </c:pt>
                <c:pt idx="381">
                  <c:v>1.6763477557065603E-7</c:v>
                </c:pt>
                <c:pt idx="382">
                  <c:v>1.5936886885803691E-7</c:v>
                </c:pt>
                <c:pt idx="383">
                  <c:v>1.5150562932918703E-7</c:v>
                </c:pt>
                <c:pt idx="384">
                  <c:v>1.4402569639393068E-7</c:v>
                </c:pt>
                <c:pt idx="385">
                  <c:v>1.3691062721012828E-7</c:v>
                </c:pt>
                <c:pt idx="386">
                  <c:v>1.3014285385000108E-7</c:v>
                </c:pt>
                <c:pt idx="387">
                  <c:v>1.2370564243167672E-7</c:v>
                </c:pt>
                <c:pt idx="388">
                  <c:v>1.1758305412746759E-7</c:v>
                </c:pt>
                <c:pt idx="389">
                  <c:v>1.1175990796435806E-7</c:v>
                </c:pt>
                <c:pt idx="390">
                  <c:v>1.06221745335835E-7</c:v>
                </c:pt>
                <c:pt idx="391">
                  <c:v>1.0095479614782057E-7</c:v>
                </c:pt>
                <c:pt idx="392">
                  <c:v>9.5945946524847363E-8</c:v>
                </c:pt>
                <c:pt idx="393">
                  <c:v>9.1182708005898423E-8</c:v>
                </c:pt>
                <c:pt idx="394">
                  <c:v>8.6653188162461828E-8</c:v>
                </c:pt>
                <c:pt idx="395">
                  <c:v>8.2346062574319455E-8</c:v>
                </c:pt>
                <c:pt idx="396">
                  <c:v>7.8250548101504873E-8</c:v>
                </c:pt>
                <c:pt idx="397">
                  <c:v>7.435637739351974E-8</c:v>
                </c:pt>
                <c:pt idx="398">
                  <c:v>7.0653774579609868E-8</c:v>
                </c:pt>
                <c:pt idx="399">
                  <c:v>6.7133432086323419E-8</c:v>
                </c:pt>
                <c:pt idx="400">
                  <c:v>6.3786488531040606E-8</c:v>
                </c:pt>
                <c:pt idx="401">
                  <c:v>6.0604507642396157E-8</c:v>
                </c:pt>
                <c:pt idx="402">
                  <c:v>5.7579458160753926E-8</c:v>
                </c:pt>
                <c:pt idx="403">
                  <c:v>5.4703694673960922E-8</c:v>
                </c:pt>
                <c:pt idx="404">
                  <c:v>5.196993934562092E-8</c:v>
                </c:pt>
                <c:pt idx="405">
                  <c:v>4.9371264495050408E-8</c:v>
                </c:pt>
                <c:pt idx="406">
                  <c:v>4.6901075989903349E-8</c:v>
                </c:pt>
                <c:pt idx="407">
                  <c:v>4.4553097414201609E-8</c:v>
                </c:pt>
                <c:pt idx="408">
                  <c:v>4.2321354976202037E-8</c:v>
                </c:pt>
                <c:pt idx="409">
                  <c:v>4.0200163122102054E-8</c:v>
                </c:pt>
                <c:pt idx="410">
                  <c:v>3.8184110823149227E-8</c:v>
                </c:pt>
                <c:pt idx="411">
                  <c:v>3.626804850515732E-8</c:v>
                </c:pt>
                <c:pt idx="412">
                  <c:v>3.4447075590843556E-8</c:v>
                </c:pt>
                <c:pt idx="413">
                  <c:v>3.2716528626743384E-8</c:v>
                </c:pt>
                <c:pt idx="414">
                  <c:v>3.1071969967719388E-8</c:v>
                </c:pt>
                <c:pt idx="415">
                  <c:v>2.9509176993319911E-8</c:v>
                </c:pt>
                <c:pt idx="416">
                  <c:v>2.8024131831404136E-8</c:v>
                </c:pt>
                <c:pt idx="417">
                  <c:v>2.6613011565561088E-8</c:v>
                </c:pt>
                <c:pt idx="418">
                  <c:v>2.527217890392194E-8</c:v>
                </c:pt>
                <c:pt idx="419">
                  <c:v>2.3998173287983469E-8</c:v>
                </c:pt>
                <c:pt idx="420">
                  <c:v>2.2787702421025372E-8</c:v>
                </c:pt>
                <c:pt idx="421">
                  <c:v>2.1637634196650134E-8</c:v>
                </c:pt>
                <c:pt idx="422">
                  <c:v>2.0544989008841078E-8</c:v>
                </c:pt>
                <c:pt idx="423">
                  <c:v>1.9506932425804021E-8</c:v>
                </c:pt>
                <c:pt idx="424">
                  <c:v>1.852076821065127E-8</c:v>
                </c:pt>
                <c:pt idx="425">
                  <c:v>1.7583931672772907E-8</c:v>
                </c:pt>
                <c:pt idx="426">
                  <c:v>1.669398333447349E-8</c:v>
                </c:pt>
                <c:pt idx="427">
                  <c:v>1.5848602898161018E-8</c:v>
                </c:pt>
                <c:pt idx="428">
                  <c:v>1.5045583500048502E-8</c:v>
                </c:pt>
                <c:pt idx="429">
                  <c:v>1.4282826236976454E-8</c:v>
                </c:pt>
                <c:pt idx="430">
                  <c:v>1.3558334953572676E-8</c:v>
                </c:pt>
                <c:pt idx="431">
                  <c:v>1.2870211277562967E-8</c:v>
                </c:pt>
                <c:pt idx="432">
                  <c:v>1.2216649891597946E-8</c:v>
                </c:pt>
                <c:pt idx="433">
                  <c:v>1.1595934030503923E-8</c:v>
                </c:pt>
                <c:pt idx="434">
                  <c:v>1.1006431193375353E-8</c:v>
                </c:pt>
                <c:pt idx="435">
                  <c:v>1.0446589060411878E-8</c:v>
                </c:pt>
                <c:pt idx="436">
                  <c:v>9.9149316048747353E-9</c:v>
                </c:pt>
                <c:pt idx="437">
                  <c:v>9.4100553909771973E-9</c:v>
                </c:pt>
                <c:pt idx="438">
                  <c:v>8.9306260489525509E-9</c:v>
                </c:pt>
                <c:pt idx="439">
                  <c:v>0</c:v>
                </c:pt>
                <c:pt idx="440">
                  <c:v>0</c:v>
                </c:pt>
                <c:pt idx="441">
                  <c:v>0</c:v>
                </c:pt>
                <c:pt idx="442">
                  <c:v>0</c:v>
                </c:pt>
                <c:pt idx="443">
                  <c:v>0</c:v>
                </c:pt>
                <c:pt idx="444">
                  <c:v>0</c:v>
                </c:pt>
                <c:pt idx="445">
                  <c:v>0</c:v>
                </c:pt>
                <c:pt idx="446">
                  <c:v>0</c:v>
                </c:pt>
                <c:pt idx="447">
                  <c:v>0</c:v>
                </c:pt>
                <c:pt idx="448">
                  <c:v>0</c:v>
                </c:pt>
                <c:pt idx="449">
                  <c:v>0</c:v>
                </c:pt>
                <c:pt idx="450">
                  <c:v>0</c:v>
                </c:pt>
                <c:pt idx="451">
                  <c:v>0</c:v>
                </c:pt>
                <c:pt idx="452">
                  <c:v>0</c:v>
                </c:pt>
                <c:pt idx="453">
                  <c:v>0</c:v>
                </c:pt>
                <c:pt idx="454">
                  <c:v>0</c:v>
                </c:pt>
                <c:pt idx="455">
                  <c:v>0</c:v>
                </c:pt>
                <c:pt idx="456">
                  <c:v>0</c:v>
                </c:pt>
                <c:pt idx="457">
                  <c:v>0</c:v>
                </c:pt>
                <c:pt idx="458">
                  <c:v>0</c:v>
                </c:pt>
                <c:pt idx="459">
                  <c:v>0</c:v>
                </c:pt>
                <c:pt idx="460">
                  <c:v>0</c:v>
                </c:pt>
                <c:pt idx="461">
                  <c:v>0</c:v>
                </c:pt>
                <c:pt idx="462">
                  <c:v>0</c:v>
                </c:pt>
                <c:pt idx="463">
                  <c:v>0</c:v>
                </c:pt>
                <c:pt idx="464">
                  <c:v>0</c:v>
                </c:pt>
                <c:pt idx="465">
                  <c:v>0</c:v>
                </c:pt>
                <c:pt idx="466">
                  <c:v>0</c:v>
                </c:pt>
                <c:pt idx="467">
                  <c:v>0</c:v>
                </c:pt>
                <c:pt idx="468">
                  <c:v>0</c:v>
                </c:pt>
                <c:pt idx="469">
                  <c:v>0</c:v>
                </c:pt>
                <c:pt idx="470">
                  <c:v>0</c:v>
                </c:pt>
                <c:pt idx="471">
                  <c:v>0</c:v>
                </c:pt>
                <c:pt idx="472">
                  <c:v>0</c:v>
                </c:pt>
                <c:pt idx="473">
                  <c:v>0</c:v>
                </c:pt>
                <c:pt idx="474">
                  <c:v>0</c:v>
                </c:pt>
                <c:pt idx="475">
                  <c:v>0</c:v>
                </c:pt>
                <c:pt idx="476">
                  <c:v>0</c:v>
                </c:pt>
                <c:pt idx="477">
                  <c:v>0</c:v>
                </c:pt>
                <c:pt idx="478">
                  <c:v>0</c:v>
                </c:pt>
                <c:pt idx="479">
                  <c:v>0</c:v>
                </c:pt>
                <c:pt idx="480">
                  <c:v>0</c:v>
                </c:pt>
                <c:pt idx="481">
                  <c:v>0</c:v>
                </c:pt>
                <c:pt idx="482">
                  <c:v>0</c:v>
                </c:pt>
                <c:pt idx="483">
                  <c:v>0</c:v>
                </c:pt>
                <c:pt idx="484">
                  <c:v>0</c:v>
                </c:pt>
                <c:pt idx="485">
                  <c:v>0</c:v>
                </c:pt>
                <c:pt idx="486">
                  <c:v>0</c:v>
                </c:pt>
                <c:pt idx="487">
                  <c:v>0</c:v>
                </c:pt>
                <c:pt idx="488">
                  <c:v>0</c:v>
                </c:pt>
                <c:pt idx="489">
                  <c:v>0</c:v>
                </c:pt>
                <c:pt idx="490">
                  <c:v>0</c:v>
                </c:pt>
                <c:pt idx="491">
                  <c:v>0</c:v>
                </c:pt>
                <c:pt idx="492">
                  <c:v>0</c:v>
                </c:pt>
                <c:pt idx="493">
                  <c:v>0</c:v>
                </c:pt>
                <c:pt idx="494">
                  <c:v>0</c:v>
                </c:pt>
                <c:pt idx="495">
                  <c:v>0</c:v>
                </c:pt>
                <c:pt idx="496">
                  <c:v>0</c:v>
                </c:pt>
                <c:pt idx="497">
                  <c:v>0</c:v>
                </c:pt>
                <c:pt idx="498">
                  <c:v>0</c:v>
                </c:pt>
                <c:pt idx="499">
                  <c:v>0</c:v>
                </c:pt>
                <c:pt idx="500">
                  <c:v>0</c:v>
                </c:pt>
                <c:pt idx="501">
                  <c:v>0</c:v>
                </c:pt>
                <c:pt idx="502">
                  <c:v>0</c:v>
                </c:pt>
                <c:pt idx="503">
                  <c:v>0</c:v>
                </c:pt>
                <c:pt idx="504">
                  <c:v>0</c:v>
                </c:pt>
                <c:pt idx="505">
                  <c:v>0</c:v>
                </c:pt>
                <c:pt idx="506">
                  <c:v>0</c:v>
                </c:pt>
                <c:pt idx="507">
                  <c:v>0</c:v>
                </c:pt>
                <c:pt idx="508">
                  <c:v>0</c:v>
                </c:pt>
                <c:pt idx="509">
                  <c:v>0</c:v>
                </c:pt>
                <c:pt idx="510">
                  <c:v>0</c:v>
                </c:pt>
                <c:pt idx="511">
                  <c:v>0</c:v>
                </c:pt>
                <c:pt idx="512">
                  <c:v>0</c:v>
                </c:pt>
                <c:pt idx="513">
                  <c:v>0</c:v>
                </c:pt>
                <c:pt idx="514">
                  <c:v>0</c:v>
                </c:pt>
                <c:pt idx="515">
                  <c:v>0</c:v>
                </c:pt>
                <c:pt idx="516">
                  <c:v>0</c:v>
                </c:pt>
                <c:pt idx="517">
                  <c:v>0</c:v>
                </c:pt>
                <c:pt idx="518">
                  <c:v>0</c:v>
                </c:pt>
                <c:pt idx="519">
                  <c:v>0</c:v>
                </c:pt>
                <c:pt idx="520">
                  <c:v>0</c:v>
                </c:pt>
                <c:pt idx="521">
                  <c:v>0</c:v>
                </c:pt>
                <c:pt idx="522">
                  <c:v>0</c:v>
                </c:pt>
                <c:pt idx="523">
                  <c:v>0</c:v>
                </c:pt>
                <c:pt idx="524">
                  <c:v>0</c:v>
                </c:pt>
                <c:pt idx="525">
                  <c:v>0</c:v>
                </c:pt>
                <c:pt idx="526">
                  <c:v>0</c:v>
                </c:pt>
                <c:pt idx="527">
                  <c:v>0</c:v>
                </c:pt>
                <c:pt idx="528">
                  <c:v>0</c:v>
                </c:pt>
                <c:pt idx="529">
                  <c:v>0</c:v>
                </c:pt>
                <c:pt idx="530">
                  <c:v>0</c:v>
                </c:pt>
                <c:pt idx="531">
                  <c:v>0</c:v>
                </c:pt>
                <c:pt idx="532">
                  <c:v>0</c:v>
                </c:pt>
                <c:pt idx="533">
                  <c:v>0</c:v>
                </c:pt>
                <c:pt idx="534">
                  <c:v>0</c:v>
                </c:pt>
                <c:pt idx="535">
                  <c:v>0</c:v>
                </c:pt>
                <c:pt idx="536">
                  <c:v>0</c:v>
                </c:pt>
                <c:pt idx="537">
                  <c:v>0</c:v>
                </c:pt>
                <c:pt idx="538">
                  <c:v>0</c:v>
                </c:pt>
                <c:pt idx="539">
                  <c:v>0</c:v>
                </c:pt>
                <c:pt idx="540">
                  <c:v>0</c:v>
                </c:pt>
                <c:pt idx="541">
                  <c:v>0</c:v>
                </c:pt>
                <c:pt idx="542">
                  <c:v>0</c:v>
                </c:pt>
                <c:pt idx="543">
                  <c:v>0</c:v>
                </c:pt>
                <c:pt idx="544">
                  <c:v>0</c:v>
                </c:pt>
                <c:pt idx="545">
                  <c:v>0</c:v>
                </c:pt>
                <c:pt idx="546">
                  <c:v>0</c:v>
                </c:pt>
                <c:pt idx="547">
                  <c:v>0</c:v>
                </c:pt>
                <c:pt idx="548">
                  <c:v>0</c:v>
                </c:pt>
                <c:pt idx="549">
                  <c:v>0</c:v>
                </c:pt>
                <c:pt idx="550">
                  <c:v>0</c:v>
                </c:pt>
                <c:pt idx="551">
                  <c:v>0</c:v>
                </c:pt>
                <c:pt idx="552">
                  <c:v>0</c:v>
                </c:pt>
                <c:pt idx="553">
                  <c:v>0</c:v>
                </c:pt>
                <c:pt idx="554">
                  <c:v>0</c:v>
                </c:pt>
                <c:pt idx="555">
                  <c:v>0</c:v>
                </c:pt>
                <c:pt idx="556">
                  <c:v>0</c:v>
                </c:pt>
                <c:pt idx="557">
                  <c:v>0</c:v>
                </c:pt>
                <c:pt idx="558">
                  <c:v>0</c:v>
                </c:pt>
                <c:pt idx="559">
                  <c:v>0</c:v>
                </c:pt>
                <c:pt idx="560">
                  <c:v>0</c:v>
                </c:pt>
                <c:pt idx="561">
                  <c:v>0</c:v>
                </c:pt>
                <c:pt idx="562">
                  <c:v>0</c:v>
                </c:pt>
                <c:pt idx="563">
                  <c:v>0</c:v>
                </c:pt>
                <c:pt idx="564">
                  <c:v>0</c:v>
                </c:pt>
                <c:pt idx="565">
                  <c:v>0</c:v>
                </c:pt>
                <c:pt idx="566">
                  <c:v>0</c:v>
                </c:pt>
                <c:pt idx="567">
                  <c:v>0</c:v>
                </c:pt>
                <c:pt idx="568">
                  <c:v>0</c:v>
                </c:pt>
                <c:pt idx="569">
                  <c:v>0</c:v>
                </c:pt>
                <c:pt idx="570">
                  <c:v>0</c:v>
                </c:pt>
                <c:pt idx="571">
                  <c:v>0</c:v>
                </c:pt>
                <c:pt idx="572">
                  <c:v>0</c:v>
                </c:pt>
                <c:pt idx="573">
                  <c:v>0</c:v>
                </c:pt>
                <c:pt idx="574">
                  <c:v>0</c:v>
                </c:pt>
                <c:pt idx="575">
                  <c:v>0</c:v>
                </c:pt>
                <c:pt idx="576">
                  <c:v>0</c:v>
                </c:pt>
                <c:pt idx="577">
                  <c:v>0</c:v>
                </c:pt>
                <c:pt idx="578">
                  <c:v>0</c:v>
                </c:pt>
                <c:pt idx="579">
                  <c:v>0</c:v>
                </c:pt>
                <c:pt idx="580">
                  <c:v>0</c:v>
                </c:pt>
                <c:pt idx="581">
                  <c:v>0</c:v>
                </c:pt>
                <c:pt idx="582">
                  <c:v>0</c:v>
                </c:pt>
                <c:pt idx="583">
                  <c:v>0</c:v>
                </c:pt>
                <c:pt idx="584">
                  <c:v>0</c:v>
                </c:pt>
                <c:pt idx="585">
                  <c:v>0</c:v>
                </c:pt>
                <c:pt idx="586">
                  <c:v>0</c:v>
                </c:pt>
                <c:pt idx="587">
                  <c:v>0</c:v>
                </c:pt>
                <c:pt idx="588">
                  <c:v>0</c:v>
                </c:pt>
                <c:pt idx="589">
                  <c:v>0</c:v>
                </c:pt>
                <c:pt idx="590">
                  <c:v>0</c:v>
                </c:pt>
                <c:pt idx="591">
                  <c:v>0</c:v>
                </c:pt>
                <c:pt idx="592">
                  <c:v>0</c:v>
                </c:pt>
                <c:pt idx="593">
                  <c:v>0</c:v>
                </c:pt>
                <c:pt idx="594">
                  <c:v>0</c:v>
                </c:pt>
                <c:pt idx="595">
                  <c:v>0</c:v>
                </c:pt>
                <c:pt idx="596">
                  <c:v>0</c:v>
                </c:pt>
                <c:pt idx="597">
                  <c:v>0</c:v>
                </c:pt>
                <c:pt idx="598">
                  <c:v>0</c:v>
                </c:pt>
                <c:pt idx="599">
                  <c:v>0</c:v>
                </c:pt>
                <c:pt idx="600">
                  <c:v>0</c:v>
                </c:pt>
                <c:pt idx="601">
                  <c:v>0</c:v>
                </c:pt>
                <c:pt idx="602">
                  <c:v>0</c:v>
                </c:pt>
                <c:pt idx="603">
                  <c:v>0</c:v>
                </c:pt>
                <c:pt idx="604">
                  <c:v>0</c:v>
                </c:pt>
                <c:pt idx="605">
                  <c:v>0</c:v>
                </c:pt>
                <c:pt idx="606">
                  <c:v>0</c:v>
                </c:pt>
                <c:pt idx="607">
                  <c:v>0</c:v>
                </c:pt>
                <c:pt idx="608">
                  <c:v>0</c:v>
                </c:pt>
                <c:pt idx="609">
                  <c:v>0</c:v>
                </c:pt>
                <c:pt idx="610">
                  <c:v>0</c:v>
                </c:pt>
                <c:pt idx="611">
                  <c:v>0</c:v>
                </c:pt>
                <c:pt idx="612">
                  <c:v>0</c:v>
                </c:pt>
                <c:pt idx="613">
                  <c:v>0</c:v>
                </c:pt>
                <c:pt idx="614">
                  <c:v>0</c:v>
                </c:pt>
                <c:pt idx="615">
                  <c:v>0</c:v>
                </c:pt>
                <c:pt idx="616">
                  <c:v>0</c:v>
                </c:pt>
                <c:pt idx="617">
                  <c:v>0</c:v>
                </c:pt>
                <c:pt idx="618">
                  <c:v>0</c:v>
                </c:pt>
                <c:pt idx="619">
                  <c:v>0</c:v>
                </c:pt>
                <c:pt idx="620">
                  <c:v>0</c:v>
                </c:pt>
                <c:pt idx="621">
                  <c:v>0</c:v>
                </c:pt>
                <c:pt idx="622">
                  <c:v>0</c:v>
                </c:pt>
                <c:pt idx="623">
                  <c:v>0</c:v>
                </c:pt>
                <c:pt idx="624">
                  <c:v>0</c:v>
                </c:pt>
                <c:pt idx="625">
                  <c:v>0</c:v>
                </c:pt>
                <c:pt idx="626">
                  <c:v>0</c:v>
                </c:pt>
                <c:pt idx="627">
                  <c:v>0</c:v>
                </c:pt>
                <c:pt idx="628">
                  <c:v>0</c:v>
                </c:pt>
                <c:pt idx="629">
                  <c:v>0</c:v>
                </c:pt>
                <c:pt idx="630">
                  <c:v>0</c:v>
                </c:pt>
                <c:pt idx="631">
                  <c:v>0</c:v>
                </c:pt>
                <c:pt idx="632">
                  <c:v>0</c:v>
                </c:pt>
                <c:pt idx="633">
                  <c:v>0</c:v>
                </c:pt>
                <c:pt idx="634">
                  <c:v>0</c:v>
                </c:pt>
                <c:pt idx="635">
                  <c:v>0</c:v>
                </c:pt>
                <c:pt idx="636">
                  <c:v>0</c:v>
                </c:pt>
                <c:pt idx="637">
                  <c:v>0</c:v>
                </c:pt>
                <c:pt idx="638">
                  <c:v>0</c:v>
                </c:pt>
                <c:pt idx="639">
                  <c:v>0</c:v>
                </c:pt>
                <c:pt idx="640">
                  <c:v>0</c:v>
                </c:pt>
                <c:pt idx="641">
                  <c:v>0</c:v>
                </c:pt>
                <c:pt idx="642">
                  <c:v>0</c:v>
                </c:pt>
                <c:pt idx="643">
                  <c:v>0</c:v>
                </c:pt>
                <c:pt idx="644">
                  <c:v>0</c:v>
                </c:pt>
                <c:pt idx="645">
                  <c:v>0</c:v>
                </c:pt>
                <c:pt idx="646">
                  <c:v>0</c:v>
                </c:pt>
                <c:pt idx="647">
                  <c:v>0</c:v>
                </c:pt>
                <c:pt idx="648">
                  <c:v>0</c:v>
                </c:pt>
                <c:pt idx="649">
                  <c:v>0</c:v>
                </c:pt>
                <c:pt idx="650">
                  <c:v>0</c:v>
                </c:pt>
                <c:pt idx="651">
                  <c:v>0</c:v>
                </c:pt>
                <c:pt idx="652">
                  <c:v>0</c:v>
                </c:pt>
                <c:pt idx="653">
                  <c:v>0</c:v>
                </c:pt>
                <c:pt idx="654">
                  <c:v>0</c:v>
                </c:pt>
                <c:pt idx="655">
                  <c:v>0</c:v>
                </c:pt>
                <c:pt idx="656">
                  <c:v>0</c:v>
                </c:pt>
                <c:pt idx="657">
                  <c:v>0</c:v>
                </c:pt>
                <c:pt idx="658">
                  <c:v>0</c:v>
                </c:pt>
                <c:pt idx="659">
                  <c:v>0</c:v>
                </c:pt>
                <c:pt idx="660">
                  <c:v>0</c:v>
                </c:pt>
                <c:pt idx="661">
                  <c:v>0</c:v>
                </c:pt>
                <c:pt idx="662">
                  <c:v>0</c:v>
                </c:pt>
                <c:pt idx="663">
                  <c:v>0</c:v>
                </c:pt>
                <c:pt idx="664">
                  <c:v>0</c:v>
                </c:pt>
                <c:pt idx="665">
                  <c:v>0</c:v>
                </c:pt>
                <c:pt idx="666">
                  <c:v>0</c:v>
                </c:pt>
                <c:pt idx="667">
                  <c:v>0</c:v>
                </c:pt>
                <c:pt idx="668">
                  <c:v>0</c:v>
                </c:pt>
                <c:pt idx="669">
                  <c:v>0</c:v>
                </c:pt>
                <c:pt idx="670">
                  <c:v>0</c:v>
                </c:pt>
                <c:pt idx="671">
                  <c:v>0</c:v>
                </c:pt>
                <c:pt idx="672">
                  <c:v>0</c:v>
                </c:pt>
                <c:pt idx="673">
                  <c:v>0</c:v>
                </c:pt>
                <c:pt idx="674">
                  <c:v>0</c:v>
                </c:pt>
                <c:pt idx="675">
                  <c:v>0</c:v>
                </c:pt>
                <c:pt idx="676">
                  <c:v>0</c:v>
                </c:pt>
                <c:pt idx="677">
                  <c:v>0</c:v>
                </c:pt>
                <c:pt idx="678">
                  <c:v>0</c:v>
                </c:pt>
                <c:pt idx="679">
                  <c:v>0</c:v>
                </c:pt>
                <c:pt idx="680">
                  <c:v>0</c:v>
                </c:pt>
                <c:pt idx="681">
                  <c:v>0</c:v>
                </c:pt>
                <c:pt idx="682">
                  <c:v>0</c:v>
                </c:pt>
                <c:pt idx="683">
                  <c:v>0</c:v>
                </c:pt>
                <c:pt idx="684">
                  <c:v>0</c:v>
                </c:pt>
                <c:pt idx="685">
                  <c:v>0</c:v>
                </c:pt>
                <c:pt idx="686">
                  <c:v>0</c:v>
                </c:pt>
                <c:pt idx="687">
                  <c:v>0</c:v>
                </c:pt>
                <c:pt idx="688">
                  <c:v>0</c:v>
                </c:pt>
                <c:pt idx="689">
                  <c:v>0</c:v>
                </c:pt>
                <c:pt idx="690">
                  <c:v>0</c:v>
                </c:pt>
                <c:pt idx="691">
                  <c:v>0</c:v>
                </c:pt>
                <c:pt idx="692">
                  <c:v>0</c:v>
                </c:pt>
                <c:pt idx="693">
                  <c:v>0</c:v>
                </c:pt>
                <c:pt idx="694">
                  <c:v>0</c:v>
                </c:pt>
                <c:pt idx="695">
                  <c:v>0</c:v>
                </c:pt>
                <c:pt idx="696">
                  <c:v>0</c:v>
                </c:pt>
                <c:pt idx="697">
                  <c:v>0</c:v>
                </c:pt>
                <c:pt idx="698">
                  <c:v>0</c:v>
                </c:pt>
                <c:pt idx="699">
                  <c:v>0</c:v>
                </c:pt>
                <c:pt idx="700">
                  <c:v>0</c:v>
                </c:pt>
                <c:pt idx="701">
                  <c:v>0</c:v>
                </c:pt>
                <c:pt idx="702">
                  <c:v>0</c:v>
                </c:pt>
                <c:pt idx="703">
                  <c:v>0</c:v>
                </c:pt>
                <c:pt idx="704">
                  <c:v>0</c:v>
                </c:pt>
                <c:pt idx="705">
                  <c:v>0</c:v>
                </c:pt>
                <c:pt idx="706">
                  <c:v>0</c:v>
                </c:pt>
                <c:pt idx="707">
                  <c:v>0</c:v>
                </c:pt>
                <c:pt idx="708">
                  <c:v>0</c:v>
                </c:pt>
                <c:pt idx="709">
                  <c:v>0</c:v>
                </c:pt>
                <c:pt idx="710">
                  <c:v>0</c:v>
                </c:pt>
                <c:pt idx="711">
                  <c:v>0</c:v>
                </c:pt>
                <c:pt idx="712">
                  <c:v>0</c:v>
                </c:pt>
                <c:pt idx="713">
                  <c:v>0</c:v>
                </c:pt>
                <c:pt idx="714">
                  <c:v>0</c:v>
                </c:pt>
                <c:pt idx="715">
                  <c:v>0</c:v>
                </c:pt>
                <c:pt idx="716">
                  <c:v>0</c:v>
                </c:pt>
                <c:pt idx="717">
                  <c:v>0</c:v>
                </c:pt>
                <c:pt idx="718">
                  <c:v>0</c:v>
                </c:pt>
                <c:pt idx="719">
                  <c:v>0</c:v>
                </c:pt>
                <c:pt idx="720">
                  <c:v>0</c:v>
                </c:pt>
                <c:pt idx="721">
                  <c:v>0</c:v>
                </c:pt>
                <c:pt idx="722">
                  <c:v>0</c:v>
                </c:pt>
                <c:pt idx="723">
                  <c:v>0</c:v>
                </c:pt>
                <c:pt idx="724">
                  <c:v>0</c:v>
                </c:pt>
                <c:pt idx="725">
                  <c:v>0</c:v>
                </c:pt>
                <c:pt idx="726">
                  <c:v>0</c:v>
                </c:pt>
                <c:pt idx="727">
                  <c:v>0</c:v>
                </c:pt>
                <c:pt idx="728">
                  <c:v>0</c:v>
                </c:pt>
                <c:pt idx="729">
                  <c:v>0</c:v>
                </c:pt>
                <c:pt idx="730">
                  <c:v>0</c:v>
                </c:pt>
                <c:pt idx="731">
                  <c:v>0</c:v>
                </c:pt>
                <c:pt idx="732">
                  <c:v>0</c:v>
                </c:pt>
                <c:pt idx="733">
                  <c:v>0</c:v>
                </c:pt>
                <c:pt idx="734">
                  <c:v>0</c:v>
                </c:pt>
                <c:pt idx="735">
                  <c:v>0</c:v>
                </c:pt>
                <c:pt idx="736">
                  <c:v>0</c:v>
                </c:pt>
                <c:pt idx="737">
                  <c:v>0</c:v>
                </c:pt>
                <c:pt idx="738">
                  <c:v>0</c:v>
                </c:pt>
                <c:pt idx="739">
                  <c:v>0</c:v>
                </c:pt>
                <c:pt idx="740">
                  <c:v>0</c:v>
                </c:pt>
                <c:pt idx="741">
                  <c:v>0</c:v>
                </c:pt>
                <c:pt idx="742">
                  <c:v>0</c:v>
                </c:pt>
                <c:pt idx="743">
                  <c:v>0</c:v>
                </c:pt>
                <c:pt idx="744">
                  <c:v>0</c:v>
                </c:pt>
                <c:pt idx="745">
                  <c:v>0</c:v>
                </c:pt>
                <c:pt idx="746">
                  <c:v>0</c:v>
                </c:pt>
                <c:pt idx="747">
                  <c:v>0</c:v>
                </c:pt>
                <c:pt idx="748">
                  <c:v>0</c:v>
                </c:pt>
                <c:pt idx="749">
                  <c:v>0</c:v>
                </c:pt>
                <c:pt idx="750">
                  <c:v>0</c:v>
                </c:pt>
                <c:pt idx="751">
                  <c:v>0</c:v>
                </c:pt>
                <c:pt idx="752">
                  <c:v>0</c:v>
                </c:pt>
                <c:pt idx="753">
                  <c:v>0</c:v>
                </c:pt>
                <c:pt idx="754">
                  <c:v>0</c:v>
                </c:pt>
                <c:pt idx="755">
                  <c:v>0</c:v>
                </c:pt>
                <c:pt idx="756">
                  <c:v>0</c:v>
                </c:pt>
                <c:pt idx="757">
                  <c:v>0</c:v>
                </c:pt>
                <c:pt idx="758">
                  <c:v>0</c:v>
                </c:pt>
                <c:pt idx="759">
                  <c:v>0</c:v>
                </c:pt>
                <c:pt idx="760">
                  <c:v>0</c:v>
                </c:pt>
                <c:pt idx="761">
                  <c:v>0</c:v>
                </c:pt>
                <c:pt idx="762">
                  <c:v>0</c:v>
                </c:pt>
                <c:pt idx="763">
                  <c:v>0</c:v>
                </c:pt>
                <c:pt idx="764">
                  <c:v>0</c:v>
                </c:pt>
                <c:pt idx="765">
                  <c:v>0</c:v>
                </c:pt>
                <c:pt idx="766">
                  <c:v>0</c:v>
                </c:pt>
                <c:pt idx="767">
                  <c:v>0</c:v>
                </c:pt>
                <c:pt idx="768">
                  <c:v>0</c:v>
                </c:pt>
                <c:pt idx="769">
                  <c:v>0</c:v>
                </c:pt>
                <c:pt idx="770">
                  <c:v>0</c:v>
                </c:pt>
                <c:pt idx="771">
                  <c:v>0</c:v>
                </c:pt>
                <c:pt idx="772">
                  <c:v>0</c:v>
                </c:pt>
                <c:pt idx="773">
                  <c:v>0</c:v>
                </c:pt>
                <c:pt idx="774">
                  <c:v>0</c:v>
                </c:pt>
                <c:pt idx="775">
                  <c:v>0</c:v>
                </c:pt>
                <c:pt idx="776">
                  <c:v>0</c:v>
                </c:pt>
                <c:pt idx="777">
                  <c:v>0</c:v>
                </c:pt>
                <c:pt idx="778">
                  <c:v>0</c:v>
                </c:pt>
                <c:pt idx="779">
                  <c:v>0</c:v>
                </c:pt>
                <c:pt idx="780">
                  <c:v>0</c:v>
                </c:pt>
                <c:pt idx="781">
                  <c:v>0</c:v>
                </c:pt>
                <c:pt idx="782">
                  <c:v>0</c:v>
                </c:pt>
                <c:pt idx="783">
                  <c:v>0</c:v>
                </c:pt>
                <c:pt idx="784">
                  <c:v>0</c:v>
                </c:pt>
                <c:pt idx="785">
                  <c:v>0</c:v>
                </c:pt>
                <c:pt idx="786">
                  <c:v>0</c:v>
                </c:pt>
                <c:pt idx="787">
                  <c:v>0</c:v>
                </c:pt>
                <c:pt idx="788">
                  <c:v>0</c:v>
                </c:pt>
                <c:pt idx="789">
                  <c:v>0</c:v>
                </c:pt>
                <c:pt idx="790">
                  <c:v>0</c:v>
                </c:pt>
                <c:pt idx="791">
                  <c:v>0</c:v>
                </c:pt>
                <c:pt idx="792">
                  <c:v>0</c:v>
                </c:pt>
                <c:pt idx="793">
                  <c:v>0</c:v>
                </c:pt>
                <c:pt idx="794">
                  <c:v>0</c:v>
                </c:pt>
                <c:pt idx="795">
                  <c:v>0</c:v>
                </c:pt>
                <c:pt idx="796">
                  <c:v>0</c:v>
                </c:pt>
                <c:pt idx="797">
                  <c:v>0</c:v>
                </c:pt>
                <c:pt idx="798">
                  <c:v>0</c:v>
                </c:pt>
                <c:pt idx="799">
                  <c:v>0</c:v>
                </c:pt>
                <c:pt idx="800">
                  <c:v>0</c:v>
                </c:pt>
                <c:pt idx="801">
                  <c:v>0</c:v>
                </c:pt>
                <c:pt idx="802">
                  <c:v>0</c:v>
                </c:pt>
                <c:pt idx="803">
                  <c:v>0</c:v>
                </c:pt>
                <c:pt idx="804">
                  <c:v>0</c:v>
                </c:pt>
                <c:pt idx="805">
                  <c:v>0</c:v>
                </c:pt>
                <c:pt idx="806">
                  <c:v>0</c:v>
                </c:pt>
                <c:pt idx="807">
                  <c:v>0</c:v>
                </c:pt>
                <c:pt idx="808">
                  <c:v>0</c:v>
                </c:pt>
                <c:pt idx="809">
                  <c:v>0</c:v>
                </c:pt>
                <c:pt idx="810">
                  <c:v>0</c:v>
                </c:pt>
                <c:pt idx="811">
                  <c:v>0</c:v>
                </c:pt>
                <c:pt idx="812">
                  <c:v>0</c:v>
                </c:pt>
                <c:pt idx="813">
                  <c:v>0</c:v>
                </c:pt>
                <c:pt idx="814">
                  <c:v>0</c:v>
                </c:pt>
                <c:pt idx="815">
                  <c:v>0</c:v>
                </c:pt>
                <c:pt idx="816">
                  <c:v>0</c:v>
                </c:pt>
                <c:pt idx="817">
                  <c:v>0</c:v>
                </c:pt>
                <c:pt idx="818">
                  <c:v>0</c:v>
                </c:pt>
                <c:pt idx="819">
                  <c:v>0</c:v>
                </c:pt>
                <c:pt idx="820">
                  <c:v>0</c:v>
                </c:pt>
                <c:pt idx="821">
                  <c:v>0</c:v>
                </c:pt>
                <c:pt idx="822">
                  <c:v>0</c:v>
                </c:pt>
                <c:pt idx="823">
                  <c:v>0</c:v>
                </c:pt>
                <c:pt idx="824">
                  <c:v>0</c:v>
                </c:pt>
                <c:pt idx="825">
                  <c:v>0</c:v>
                </c:pt>
                <c:pt idx="826">
                  <c:v>0</c:v>
                </c:pt>
                <c:pt idx="827">
                  <c:v>0</c:v>
                </c:pt>
                <c:pt idx="828">
                  <c:v>0</c:v>
                </c:pt>
                <c:pt idx="829">
                  <c:v>0</c:v>
                </c:pt>
                <c:pt idx="830">
                  <c:v>0</c:v>
                </c:pt>
                <c:pt idx="831">
                  <c:v>0</c:v>
                </c:pt>
                <c:pt idx="832">
                  <c:v>0</c:v>
                </c:pt>
                <c:pt idx="833">
                  <c:v>0</c:v>
                </c:pt>
                <c:pt idx="834">
                  <c:v>0</c:v>
                </c:pt>
                <c:pt idx="835">
                  <c:v>0</c:v>
                </c:pt>
                <c:pt idx="836">
                  <c:v>0</c:v>
                </c:pt>
                <c:pt idx="837">
                  <c:v>0</c:v>
                </c:pt>
                <c:pt idx="838">
                  <c:v>0</c:v>
                </c:pt>
                <c:pt idx="839">
                  <c:v>0</c:v>
                </c:pt>
                <c:pt idx="840">
                  <c:v>0</c:v>
                </c:pt>
                <c:pt idx="841">
                  <c:v>0</c:v>
                </c:pt>
                <c:pt idx="842">
                  <c:v>0</c:v>
                </c:pt>
                <c:pt idx="843">
                  <c:v>0</c:v>
                </c:pt>
                <c:pt idx="844">
                  <c:v>0</c:v>
                </c:pt>
                <c:pt idx="845">
                  <c:v>0</c:v>
                </c:pt>
                <c:pt idx="846">
                  <c:v>0</c:v>
                </c:pt>
                <c:pt idx="847">
                  <c:v>0</c:v>
                </c:pt>
                <c:pt idx="848">
                  <c:v>0</c:v>
                </c:pt>
                <c:pt idx="849">
                  <c:v>0</c:v>
                </c:pt>
                <c:pt idx="850">
                  <c:v>0</c:v>
                </c:pt>
                <c:pt idx="851">
                  <c:v>0</c:v>
                </c:pt>
                <c:pt idx="852">
                  <c:v>0</c:v>
                </c:pt>
                <c:pt idx="853">
                  <c:v>0</c:v>
                </c:pt>
                <c:pt idx="854">
                  <c:v>0</c:v>
                </c:pt>
                <c:pt idx="855">
                  <c:v>0</c:v>
                </c:pt>
                <c:pt idx="856">
                  <c:v>0</c:v>
                </c:pt>
                <c:pt idx="857">
                  <c:v>0</c:v>
                </c:pt>
                <c:pt idx="858">
                  <c:v>0</c:v>
                </c:pt>
                <c:pt idx="859">
                  <c:v>0</c:v>
                </c:pt>
                <c:pt idx="860">
                  <c:v>0</c:v>
                </c:pt>
                <c:pt idx="861">
                  <c:v>0</c:v>
                </c:pt>
                <c:pt idx="862">
                  <c:v>0</c:v>
                </c:pt>
                <c:pt idx="863">
                  <c:v>0</c:v>
                </c:pt>
                <c:pt idx="864">
                  <c:v>0</c:v>
                </c:pt>
                <c:pt idx="865">
                  <c:v>0</c:v>
                </c:pt>
                <c:pt idx="866">
                  <c:v>0</c:v>
                </c:pt>
                <c:pt idx="867">
                  <c:v>0</c:v>
                </c:pt>
                <c:pt idx="868">
                  <c:v>0</c:v>
                </c:pt>
                <c:pt idx="869">
                  <c:v>0</c:v>
                </c:pt>
                <c:pt idx="870">
                  <c:v>0</c:v>
                </c:pt>
                <c:pt idx="871">
                  <c:v>0</c:v>
                </c:pt>
                <c:pt idx="872">
                  <c:v>0</c:v>
                </c:pt>
                <c:pt idx="873">
                  <c:v>0</c:v>
                </c:pt>
                <c:pt idx="874">
                  <c:v>0</c:v>
                </c:pt>
                <c:pt idx="875">
                  <c:v>0</c:v>
                </c:pt>
                <c:pt idx="876">
                  <c:v>0</c:v>
                </c:pt>
                <c:pt idx="877">
                  <c:v>0</c:v>
                </c:pt>
                <c:pt idx="878">
                  <c:v>0</c:v>
                </c:pt>
                <c:pt idx="879">
                  <c:v>0</c:v>
                </c:pt>
                <c:pt idx="880">
                  <c:v>0</c:v>
                </c:pt>
                <c:pt idx="881">
                  <c:v>0</c:v>
                </c:pt>
                <c:pt idx="882">
                  <c:v>0</c:v>
                </c:pt>
                <c:pt idx="883">
                  <c:v>0</c:v>
                </c:pt>
                <c:pt idx="884">
                  <c:v>0</c:v>
                </c:pt>
                <c:pt idx="885">
                  <c:v>0</c:v>
                </c:pt>
                <c:pt idx="886">
                  <c:v>0</c:v>
                </c:pt>
                <c:pt idx="887">
                  <c:v>0</c:v>
                </c:pt>
                <c:pt idx="888">
                  <c:v>0</c:v>
                </c:pt>
                <c:pt idx="889">
                  <c:v>0</c:v>
                </c:pt>
                <c:pt idx="890">
                  <c:v>0</c:v>
                </c:pt>
                <c:pt idx="891">
                  <c:v>0</c:v>
                </c:pt>
                <c:pt idx="892">
                  <c:v>0</c:v>
                </c:pt>
                <c:pt idx="893">
                  <c:v>0</c:v>
                </c:pt>
                <c:pt idx="894">
                  <c:v>0</c:v>
                </c:pt>
                <c:pt idx="895">
                  <c:v>0</c:v>
                </c:pt>
                <c:pt idx="896">
                  <c:v>0</c:v>
                </c:pt>
                <c:pt idx="897">
                  <c:v>0</c:v>
                </c:pt>
                <c:pt idx="898">
                  <c:v>0</c:v>
                </c:pt>
                <c:pt idx="899">
                  <c:v>0</c:v>
                </c:pt>
                <c:pt idx="900">
                  <c:v>0</c:v>
                </c:pt>
                <c:pt idx="901">
                  <c:v>0</c:v>
                </c:pt>
                <c:pt idx="902">
                  <c:v>0</c:v>
                </c:pt>
                <c:pt idx="903">
                  <c:v>0</c:v>
                </c:pt>
                <c:pt idx="904">
                  <c:v>0</c:v>
                </c:pt>
                <c:pt idx="905">
                  <c:v>0</c:v>
                </c:pt>
                <c:pt idx="906">
                  <c:v>0</c:v>
                </c:pt>
                <c:pt idx="907">
                  <c:v>0</c:v>
                </c:pt>
                <c:pt idx="908">
                  <c:v>0</c:v>
                </c:pt>
                <c:pt idx="909">
                  <c:v>0</c:v>
                </c:pt>
                <c:pt idx="910">
                  <c:v>0</c:v>
                </c:pt>
                <c:pt idx="911">
                  <c:v>0</c:v>
                </c:pt>
                <c:pt idx="912">
                  <c:v>0</c:v>
                </c:pt>
                <c:pt idx="913">
                  <c:v>0</c:v>
                </c:pt>
                <c:pt idx="914">
                  <c:v>0</c:v>
                </c:pt>
                <c:pt idx="915">
                  <c:v>0</c:v>
                </c:pt>
                <c:pt idx="916">
                  <c:v>0</c:v>
                </c:pt>
                <c:pt idx="917">
                  <c:v>0</c:v>
                </c:pt>
                <c:pt idx="918">
                  <c:v>0</c:v>
                </c:pt>
                <c:pt idx="919">
                  <c:v>0</c:v>
                </c:pt>
                <c:pt idx="920">
                  <c:v>0</c:v>
                </c:pt>
                <c:pt idx="921">
                  <c:v>0</c:v>
                </c:pt>
                <c:pt idx="922">
                  <c:v>0</c:v>
                </c:pt>
                <c:pt idx="923">
                  <c:v>0</c:v>
                </c:pt>
                <c:pt idx="924">
                  <c:v>0</c:v>
                </c:pt>
                <c:pt idx="925">
                  <c:v>0</c:v>
                </c:pt>
                <c:pt idx="926">
                  <c:v>0</c:v>
                </c:pt>
                <c:pt idx="927">
                  <c:v>0</c:v>
                </c:pt>
                <c:pt idx="928">
                  <c:v>0</c:v>
                </c:pt>
                <c:pt idx="929">
                  <c:v>0</c:v>
                </c:pt>
                <c:pt idx="930">
                  <c:v>0</c:v>
                </c:pt>
                <c:pt idx="931">
                  <c:v>0</c:v>
                </c:pt>
                <c:pt idx="932">
                  <c:v>0</c:v>
                </c:pt>
                <c:pt idx="933">
                  <c:v>0</c:v>
                </c:pt>
                <c:pt idx="934">
                  <c:v>0</c:v>
                </c:pt>
                <c:pt idx="935">
                  <c:v>0</c:v>
                </c:pt>
                <c:pt idx="936">
                  <c:v>0</c:v>
                </c:pt>
                <c:pt idx="937">
                  <c:v>0</c:v>
                </c:pt>
                <c:pt idx="938">
                  <c:v>0</c:v>
                </c:pt>
                <c:pt idx="939">
                  <c:v>0</c:v>
                </c:pt>
                <c:pt idx="940">
                  <c:v>0</c:v>
                </c:pt>
                <c:pt idx="941">
                  <c:v>0</c:v>
                </c:pt>
                <c:pt idx="942">
                  <c:v>0</c:v>
                </c:pt>
                <c:pt idx="943">
                  <c:v>0</c:v>
                </c:pt>
                <c:pt idx="944">
                  <c:v>0</c:v>
                </c:pt>
                <c:pt idx="945">
                  <c:v>0</c:v>
                </c:pt>
                <c:pt idx="946">
                  <c:v>0</c:v>
                </c:pt>
                <c:pt idx="947">
                  <c:v>0</c:v>
                </c:pt>
                <c:pt idx="948">
                  <c:v>0</c:v>
                </c:pt>
                <c:pt idx="949">
                  <c:v>0</c:v>
                </c:pt>
                <c:pt idx="950">
                  <c:v>0</c:v>
                </c:pt>
                <c:pt idx="951">
                  <c:v>0</c:v>
                </c:pt>
                <c:pt idx="952">
                  <c:v>0</c:v>
                </c:pt>
                <c:pt idx="953">
                  <c:v>0</c:v>
                </c:pt>
                <c:pt idx="954">
                  <c:v>0</c:v>
                </c:pt>
                <c:pt idx="955">
                  <c:v>0</c:v>
                </c:pt>
                <c:pt idx="956">
                  <c:v>0</c:v>
                </c:pt>
                <c:pt idx="957">
                  <c:v>0</c:v>
                </c:pt>
                <c:pt idx="958">
                  <c:v>0</c:v>
                </c:pt>
                <c:pt idx="959">
                  <c:v>0</c:v>
                </c:pt>
                <c:pt idx="960">
                  <c:v>0</c:v>
                </c:pt>
                <c:pt idx="961">
                  <c:v>0</c:v>
                </c:pt>
                <c:pt idx="962">
                  <c:v>0</c:v>
                </c:pt>
                <c:pt idx="963">
                  <c:v>0</c:v>
                </c:pt>
                <c:pt idx="964">
                  <c:v>0</c:v>
                </c:pt>
                <c:pt idx="965">
                  <c:v>0</c:v>
                </c:pt>
                <c:pt idx="966">
                  <c:v>0</c:v>
                </c:pt>
                <c:pt idx="967">
                  <c:v>0</c:v>
                </c:pt>
                <c:pt idx="968">
                  <c:v>0</c:v>
                </c:pt>
                <c:pt idx="969">
                  <c:v>0</c:v>
                </c:pt>
                <c:pt idx="970">
                  <c:v>0</c:v>
                </c:pt>
                <c:pt idx="971">
                  <c:v>0</c:v>
                </c:pt>
                <c:pt idx="972">
                  <c:v>0</c:v>
                </c:pt>
                <c:pt idx="973">
                  <c:v>0</c:v>
                </c:pt>
                <c:pt idx="974">
                  <c:v>0</c:v>
                </c:pt>
                <c:pt idx="975">
                  <c:v>0</c:v>
                </c:pt>
                <c:pt idx="976">
                  <c:v>0</c:v>
                </c:pt>
                <c:pt idx="977">
                  <c:v>0</c:v>
                </c:pt>
                <c:pt idx="978">
                  <c:v>0</c:v>
                </c:pt>
                <c:pt idx="979">
                  <c:v>0</c:v>
                </c:pt>
                <c:pt idx="980">
                  <c:v>0</c:v>
                </c:pt>
                <c:pt idx="981">
                  <c:v>0</c:v>
                </c:pt>
                <c:pt idx="982">
                  <c:v>0</c:v>
                </c:pt>
                <c:pt idx="983">
                  <c:v>0</c:v>
                </c:pt>
                <c:pt idx="984">
                  <c:v>0</c:v>
                </c:pt>
                <c:pt idx="985">
                  <c:v>0</c:v>
                </c:pt>
                <c:pt idx="986">
                  <c:v>0</c:v>
                </c:pt>
                <c:pt idx="987">
                  <c:v>0</c:v>
                </c:pt>
                <c:pt idx="988">
                  <c:v>0</c:v>
                </c:pt>
                <c:pt idx="989">
                  <c:v>0</c:v>
                </c:pt>
                <c:pt idx="990">
                  <c:v>0</c:v>
                </c:pt>
                <c:pt idx="991">
                  <c:v>0</c:v>
                </c:pt>
                <c:pt idx="992">
                  <c:v>0</c:v>
                </c:pt>
                <c:pt idx="993">
                  <c:v>0</c:v>
                </c:pt>
                <c:pt idx="994">
                  <c:v>0</c:v>
                </c:pt>
                <c:pt idx="995">
                  <c:v>0</c:v>
                </c:pt>
                <c:pt idx="996">
                  <c:v>0</c:v>
                </c:pt>
                <c:pt idx="997">
                  <c:v>0</c:v>
                </c:pt>
                <c:pt idx="998">
                  <c:v>0</c:v>
                </c:pt>
                <c:pt idx="999">
                  <c:v>0</c:v>
                </c:pt>
                <c:pt idx="1000">
                  <c:v>0</c:v>
                </c:pt>
                <c:pt idx="1001">
                  <c:v>0</c:v>
                </c:pt>
                <c:pt idx="1002">
                  <c:v>0</c:v>
                </c:pt>
                <c:pt idx="1003">
                  <c:v>0</c:v>
                </c:pt>
                <c:pt idx="1004">
                  <c:v>0</c:v>
                </c:pt>
                <c:pt idx="1005">
                  <c:v>0</c:v>
                </c:pt>
                <c:pt idx="1006">
                  <c:v>0</c:v>
                </c:pt>
                <c:pt idx="1007">
                  <c:v>0</c:v>
                </c:pt>
                <c:pt idx="1008">
                  <c:v>0</c:v>
                </c:pt>
                <c:pt idx="1009">
                  <c:v>0</c:v>
                </c:pt>
                <c:pt idx="1010">
                  <c:v>0</c:v>
                </c:pt>
                <c:pt idx="1011">
                  <c:v>0</c:v>
                </c:pt>
                <c:pt idx="1012">
                  <c:v>0</c:v>
                </c:pt>
                <c:pt idx="1013">
                  <c:v>0</c:v>
                </c:pt>
                <c:pt idx="1014">
                  <c:v>0</c:v>
                </c:pt>
                <c:pt idx="1015">
                  <c:v>0</c:v>
                </c:pt>
                <c:pt idx="1016">
                  <c:v>0</c:v>
                </c:pt>
                <c:pt idx="1017">
                  <c:v>0</c:v>
                </c:pt>
                <c:pt idx="1018">
                  <c:v>0</c:v>
                </c:pt>
                <c:pt idx="1019">
                  <c:v>0</c:v>
                </c:pt>
                <c:pt idx="1020">
                  <c:v>0</c:v>
                </c:pt>
                <c:pt idx="1021">
                  <c:v>0</c:v>
                </c:pt>
                <c:pt idx="1022">
                  <c:v>0</c:v>
                </c:pt>
                <c:pt idx="1023">
                  <c:v>0</c:v>
                </c:pt>
                <c:pt idx="1024">
                  <c:v>0</c:v>
                </c:pt>
                <c:pt idx="1025">
                  <c:v>0</c:v>
                </c:pt>
                <c:pt idx="1026">
                  <c:v>0</c:v>
                </c:pt>
                <c:pt idx="1027">
                  <c:v>0</c:v>
                </c:pt>
                <c:pt idx="1028">
                  <c:v>0</c:v>
                </c:pt>
                <c:pt idx="1029">
                  <c:v>0</c:v>
                </c:pt>
                <c:pt idx="1030">
                  <c:v>0</c:v>
                </c:pt>
                <c:pt idx="1031">
                  <c:v>0</c:v>
                </c:pt>
                <c:pt idx="1032">
                  <c:v>0</c:v>
                </c:pt>
                <c:pt idx="1033">
                  <c:v>0</c:v>
                </c:pt>
                <c:pt idx="1034">
                  <c:v>0</c:v>
                </c:pt>
                <c:pt idx="1035">
                  <c:v>0</c:v>
                </c:pt>
                <c:pt idx="1036">
                  <c:v>0</c:v>
                </c:pt>
                <c:pt idx="1037">
                  <c:v>0</c:v>
                </c:pt>
                <c:pt idx="1038">
                  <c:v>0</c:v>
                </c:pt>
                <c:pt idx="1039">
                  <c:v>0</c:v>
                </c:pt>
                <c:pt idx="1040">
                  <c:v>0</c:v>
                </c:pt>
              </c:numCache>
            </c:numRef>
          </c:yVal>
          <c:smooth val="1"/>
          <c:extLst>
            <c:ext xmlns:c16="http://schemas.microsoft.com/office/drawing/2014/chart" uri="{C3380CC4-5D6E-409C-BE32-E72D297353CC}">
              <c16:uniqueId val="{00000004-1A37-094B-9E1D-F9491A91AD2C}"/>
            </c:ext>
          </c:extLst>
        </c:ser>
        <c:ser>
          <c:idx val="5"/>
          <c:order val="5"/>
          <c:tx>
            <c:strRef>
              <c:f>'Model Comparator'!$W$4</c:f>
              <c:strCache>
                <c:ptCount val="1"/>
                <c:pt idx="0">
                  <c:v>Overall survival (Cx)</c:v>
                </c:pt>
              </c:strCache>
            </c:strRef>
          </c:tx>
          <c:spPr>
            <a:ln w="19050" cap="rnd">
              <a:solidFill>
                <a:schemeClr val="accent2"/>
              </a:solidFill>
              <a:round/>
            </a:ln>
            <a:effectLst/>
          </c:spPr>
          <c:marker>
            <c:symbol val="none"/>
          </c:marker>
          <c:yVal>
            <c:numRef>
              <c:f>'Model Comparator'!$W$7:$W$1047</c:f>
              <c:numCache>
                <c:formatCode>0.000</c:formatCode>
                <c:ptCount val="1041"/>
                <c:pt idx="0">
                  <c:v>1</c:v>
                </c:pt>
                <c:pt idx="1">
                  <c:v>0.99872611464968197</c:v>
                </c:pt>
                <c:pt idx="2">
                  <c:v>0.994904458598726</c:v>
                </c:pt>
                <c:pt idx="3">
                  <c:v>0.98725950277378305</c:v>
                </c:pt>
                <c:pt idx="4">
                  <c:v>0.98087360689555603</c:v>
                </c:pt>
                <c:pt idx="5">
                  <c:v>0.97193335266603897</c:v>
                </c:pt>
                <c:pt idx="6">
                  <c:v>0.96810181513910398</c:v>
                </c:pt>
                <c:pt idx="7">
                  <c:v>0.95784713893516604</c:v>
                </c:pt>
                <c:pt idx="8">
                  <c:v>0.94501934802747101</c:v>
                </c:pt>
                <c:pt idx="9">
                  <c:v>0.93859937963054596</c:v>
                </c:pt>
                <c:pt idx="10">
                  <c:v>0.92960611811584404</c:v>
                </c:pt>
                <c:pt idx="11">
                  <c:v>0.91674310065193099</c:v>
                </c:pt>
                <c:pt idx="12">
                  <c:v>0.90771384271351896</c:v>
                </c:pt>
                <c:pt idx="13">
                  <c:v>0.89996664064199505</c:v>
                </c:pt>
                <c:pt idx="14">
                  <c:v>0.89092823822521805</c:v>
                </c:pt>
                <c:pt idx="15">
                  <c:v>0.88317165243025497</c:v>
                </c:pt>
                <c:pt idx="16">
                  <c:v>0.87153395862077798</c:v>
                </c:pt>
                <c:pt idx="17">
                  <c:v>0.86247278354342205</c:v>
                </c:pt>
                <c:pt idx="18">
                  <c:v>0.85081774592796999</c:v>
                </c:pt>
                <c:pt idx="19">
                  <c:v>0.83916270831251805</c:v>
                </c:pt>
                <c:pt idx="20">
                  <c:v>0.83657069530309602</c:v>
                </c:pt>
                <c:pt idx="21">
                  <c:v>0.82489761583375099</c:v>
                </c:pt>
                <c:pt idx="22">
                  <c:v>0.80673949221476904</c:v>
                </c:pt>
                <c:pt idx="23">
                  <c:v>0.79247239508556899</c:v>
                </c:pt>
                <c:pt idx="24">
                  <c:v>0.78339333327607796</c:v>
                </c:pt>
                <c:pt idx="25">
                  <c:v>0.77429694914498504</c:v>
                </c:pt>
                <c:pt idx="26">
                  <c:v>0.76258489445203603</c:v>
                </c:pt>
                <c:pt idx="27">
                  <c:v>0.75477015005496495</c:v>
                </c:pt>
                <c:pt idx="28">
                  <c:v>0.74303797155670104</c:v>
                </c:pt>
                <c:pt idx="29">
                  <c:v>0.73129425699305095</c:v>
                </c:pt>
                <c:pt idx="30">
                  <c:v>0.719524902126082</c:v>
                </c:pt>
                <c:pt idx="31">
                  <c:v>0.70774603086685595</c:v>
                </c:pt>
                <c:pt idx="32">
                  <c:v>0.69726090448364297</c:v>
                </c:pt>
                <c:pt idx="33">
                  <c:v>0.685465137302528</c:v>
                </c:pt>
                <c:pt idx="34">
                  <c:v>0.67365671914846104</c:v>
                </c:pt>
                <c:pt idx="35">
                  <c:v>0.66315135120852398</c:v>
                </c:pt>
                <c:pt idx="36">
                  <c:v>0.65264334107343103</c:v>
                </c:pt>
                <c:pt idx="37">
                  <c:v>0.63422195644635904</c:v>
                </c:pt>
                <c:pt idx="38">
                  <c:v>0.62500025314380403</c:v>
                </c:pt>
                <c:pt idx="39">
                  <c:v>0.61840742346929201</c:v>
                </c:pt>
                <c:pt idx="40">
                  <c:v>0.61181459379477898</c:v>
                </c:pt>
                <c:pt idx="41">
                  <c:v>0.59862893444575405</c:v>
                </c:pt>
                <c:pt idx="42">
                  <c:v>0.59071753883633804</c:v>
                </c:pt>
                <c:pt idx="43">
                  <c:v>0.57621331355241001</c:v>
                </c:pt>
                <c:pt idx="44">
                  <c:v>0.55771105119063602</c:v>
                </c:pt>
                <c:pt idx="45">
                  <c:v>0.55506787085323905</c:v>
                </c:pt>
                <c:pt idx="46">
                  <c:v>0.54713832984105004</c:v>
                </c:pt>
                <c:pt idx="47">
                  <c:v>0.53920878882886103</c:v>
                </c:pt>
                <c:pt idx="48">
                  <c:v>0.52994076927734191</c:v>
                </c:pt>
                <c:pt idx="49">
                  <c:v>0.52077045618640083</c:v>
                </c:pt>
                <c:pt idx="50">
                  <c:v>0.51169914396114158</c:v>
                </c:pt>
                <c:pt idx="51">
                  <c:v>0.50272799838936133</c:v>
                </c:pt>
                <c:pt idx="52">
                  <c:v>0.49385806267501015</c:v>
                </c:pt>
                <c:pt idx="53">
                  <c:v>0.48509026317355208</c:v>
                </c:pt>
                <c:pt idx="54">
                  <c:v>0.47642541485031675</c:v>
                </c:pt>
                <c:pt idx="55">
                  <c:v>0.46786422648083897</c:v>
                </c:pt>
                <c:pt idx="56">
                  <c:v>0.45940730561034337</c:v>
                </c:pt>
                <c:pt idx="57">
                  <c:v>0.45105516328790635</c:v>
                </c:pt>
                <c:pt idx="58">
                  <c:v>0.44280821858939412</c:v>
                </c:pt>
                <c:pt idx="59">
                  <c:v>0.43466680294200255</c:v>
                </c:pt>
                <c:pt idx="60">
                  <c:v>0.42663116426209607</c:v>
                </c:pt>
                <c:pt idx="61">
                  <c:v>0.41870147091703697</c:v>
                </c:pt>
                <c:pt idx="62">
                  <c:v>0.41087781552080049</c:v>
                </c:pt>
                <c:pt idx="63">
                  <c:v>0.40316021857236961</c:v>
                </c:pt>
                <c:pt idx="64">
                  <c:v>0.39554863194518575</c:v>
                </c:pt>
                <c:pt idx="65">
                  <c:v>0.38804294223528735</c:v>
                </c:pt>
                <c:pt idx="66">
                  <c:v>0.38064297397518981</c:v>
                </c:pt>
                <c:pt idx="67">
                  <c:v>0.37334849272003834</c:v>
                </c:pt>
                <c:pt idx="68">
                  <c:v>0.36615920801209445</c:v>
                </c:pt>
                <c:pt idx="69">
                  <c:v>0.35907477622919198</c:v>
                </c:pt>
                <c:pt idx="70">
                  <c:v>0.3520948033224115</c:v>
                </c:pt>
                <c:pt idx="71">
                  <c:v>0.3452188474478749</c:v>
                </c:pt>
                <c:pt idx="72">
                  <c:v>0.33844642149723975</c:v>
                </c:pt>
                <c:pt idx="73">
                  <c:v>0.33177699553118878</c:v>
                </c:pt>
                <c:pt idx="74">
                  <c:v>0.3252099991199412</c:v>
                </c:pt>
                <c:pt idx="75">
                  <c:v>0.31874482359457446</c:v>
                </c:pt>
                <c:pt idx="76">
                  <c:v>0.31238082421272123</c:v>
                </c:pt>
                <c:pt idx="77">
                  <c:v>0.30611732224200916</c:v>
                </c:pt>
                <c:pt idx="78">
                  <c:v>0.29995360696441681</c:v>
                </c:pt>
                <c:pt idx="79">
                  <c:v>0.29388893760455781</c:v>
                </c:pt>
                <c:pt idx="80">
                  <c:v>0.28792254518473986</c:v>
                </c:pt>
                <c:pt idx="81">
                  <c:v>0.2820536343095042</c:v>
                </c:pt>
                <c:pt idx="82">
                  <c:v>0.27628138488221493</c:v>
                </c:pt>
                <c:pt idx="83">
                  <c:v>0.27060495375614507</c:v>
                </c:pt>
                <c:pt idx="84">
                  <c:v>0.26502347632238776</c:v>
                </c:pt>
                <c:pt idx="85">
                  <c:v>0.25953606803681634</c:v>
                </c:pt>
                <c:pt idx="86">
                  <c:v>0.2541418258882166</c:v>
                </c:pt>
                <c:pt idx="87">
                  <c:v>0.2488398298096221</c:v>
                </c:pt>
                <c:pt idx="88">
                  <c:v>0.24362914403479366</c:v>
                </c:pt>
                <c:pt idx="89">
                  <c:v>0.23850881840170854</c:v>
                </c:pt>
                <c:pt idx="90">
                  <c:v>0.23347788960484342</c:v>
                </c:pt>
                <c:pt idx="91">
                  <c:v>0.22853538239796706</c:v>
                </c:pt>
                <c:pt idx="92">
                  <c:v>0.22368031074909056</c:v>
                </c:pt>
                <c:pt idx="93">
                  <c:v>0.21891167894916114</c:v>
                </c:pt>
                <c:pt idx="94">
                  <c:v>0.21422848267602432</c:v>
                </c:pt>
                <c:pt idx="95">
                  <c:v>0.20962971001512459</c:v>
                </c:pt>
                <c:pt idx="96">
                  <c:v>0.20511434243836282</c:v>
                </c:pt>
                <c:pt idx="97">
                  <c:v>0.20068135574247503</c:v>
                </c:pt>
                <c:pt idx="98">
                  <c:v>0.19632972094825366</c:v>
                </c:pt>
                <c:pt idx="99">
                  <c:v>0.19205840516188485</c:v>
                </c:pt>
                <c:pt idx="100">
                  <c:v>0.18786637239963372</c:v>
                </c:pt>
                <c:pt idx="101">
                  <c:v>0.18375258437706773</c:v>
                </c:pt>
                <c:pt idx="102">
                  <c:v>0.17971600126397036</c:v>
                </c:pt>
                <c:pt idx="103">
                  <c:v>0.17575558240606035</c:v>
                </c:pt>
                <c:pt idx="104">
                  <c:v>0.17187028701459475</c:v>
                </c:pt>
                <c:pt idx="105">
                  <c:v>0.16805907482490248</c:v>
                </c:pt>
                <c:pt idx="106">
                  <c:v>0.16432090672486044</c:v>
                </c:pt>
                <c:pt idx="107">
                  <c:v>0.16065474535429511</c:v>
                </c:pt>
                <c:pt idx="108">
                  <c:v>0.15705955567626065</c:v>
                </c:pt>
                <c:pt idx="109">
                  <c:v>0.15353430552111799</c:v>
                </c:pt>
                <c:pt idx="110">
                  <c:v>0.1500779661043099</c:v>
                </c:pt>
                <c:pt idx="111">
                  <c:v>0.14668951251870141</c:v>
                </c:pt>
                <c:pt idx="112">
                  <c:v>0.14336792420232986</c:v>
                </c:pt>
                <c:pt idx="113">
                  <c:v>0.14011218538238271</c:v>
                </c:pt>
                <c:pt idx="114">
                  <c:v>0.13692128549619878</c:v>
                </c:pt>
                <c:pt idx="115">
                  <c:v>0.13379421959006502</c:v>
                </c:pt>
                <c:pt idx="116">
                  <c:v>0.13072998869655836</c:v>
                </c:pt>
                <c:pt idx="117">
                  <c:v>0.12772760019116125</c:v>
                </c:pt>
                <c:pt idx="118">
                  <c:v>0.12478606812885897</c:v>
                </c:pt>
                <c:pt idx="119">
                  <c:v>0.12190441356140443</c:v>
                </c:pt>
                <c:pt idx="120">
                  <c:v>0.11908166483592005</c:v>
                </c:pt>
                <c:pt idx="121">
                  <c:v>0.11631685787548443</c:v>
                </c:pt>
                <c:pt idx="122">
                  <c:v>0.11360903644233455</c:v>
                </c:pt>
                <c:pt idx="123">
                  <c:v>0.11095725238429584</c:v>
                </c:pt>
                <c:pt idx="124">
                  <c:v>0.10836056586503531</c:v>
                </c:pt>
                <c:pt idx="125">
                  <c:v>0.10581804557871619</c:v>
                </c:pt>
                <c:pt idx="126">
                  <c:v>0.10332876894961568</c:v>
                </c:pt>
                <c:pt idx="127">
                  <c:v>0.1008918223172514</c:v>
                </c:pt>
                <c:pt idx="128">
                  <c:v>9.8506301107548086E-2</c:v>
                </c:pt>
                <c:pt idx="129">
                  <c:v>9.6171309990558701E-2</c:v>
                </c:pt>
                <c:pt idx="130">
                  <c:v>9.3885963025240424E-2</c:v>
                </c:pt>
                <c:pt idx="131">
                  <c:v>9.1649383791773176E-2</c:v>
                </c:pt>
                <c:pt idx="132">
                  <c:v>8.94607055118911E-2</c:v>
                </c:pt>
                <c:pt idx="133">
                  <c:v>8.7319071157687903E-2</c:v>
                </c:pt>
                <c:pt idx="134">
                  <c:v>8.5223633549339109E-2</c:v>
                </c:pt>
                <c:pt idx="135">
                  <c:v>8.3173555442176403E-2</c:v>
                </c:pt>
                <c:pt idx="136">
                  <c:v>8.1168009603531932E-2</c:v>
                </c:pt>
                <c:pt idx="137">
                  <c:v>7.9206178879762196E-2</c:v>
                </c:pt>
                <c:pt idx="138">
                  <c:v>7.7287256253845527E-2</c:v>
                </c:pt>
                <c:pt idx="139">
                  <c:v>7.5410444893939596E-2</c:v>
                </c:pt>
                <c:pt idx="140">
                  <c:v>7.3574958193269618E-2</c:v>
                </c:pt>
                <c:pt idx="141">
                  <c:v>7.1780019801710657E-2</c:v>
                </c:pt>
                <c:pt idx="142">
                  <c:v>7.0024863649414362E-2</c:v>
                </c:pt>
                <c:pt idx="143">
                  <c:v>6.8308733962820459E-2</c:v>
                </c:pt>
                <c:pt idx="144">
                  <c:v>6.6630885273383969E-2</c:v>
                </c:pt>
                <c:pt idx="145">
                  <c:v>6.4990582419337292E-2</c:v>
                </c:pt>
                <c:pt idx="146">
                  <c:v>6.3387100540798463E-2</c:v>
                </c:pt>
                <c:pt idx="147">
                  <c:v>6.1819725068526128E-2</c:v>
                </c:pt>
                <c:pt idx="148">
                  <c:v>6.0287751706612908E-2</c:v>
                </c:pt>
                <c:pt idx="149">
                  <c:v>5.8790486409399392E-2</c:v>
                </c:pt>
                <c:pt idx="150">
                  <c:v>5.7327245352882986E-2</c:v>
                </c:pt>
                <c:pt idx="151">
                  <c:v>5.5897354900886508E-2</c:v>
                </c:pt>
                <c:pt idx="152">
                  <c:v>5.4500151566243153E-2</c:v>
                </c:pt>
                <c:pt idx="153">
                  <c:v>5.3134981967246017E-2</c:v>
                </c:pt>
                <c:pt idx="154">
                  <c:v>5.1801202779603456E-2</c:v>
                </c:pt>
                <c:pt idx="155">
                  <c:v>5.0498180684132254E-2</c:v>
                </c:pt>
                <c:pt idx="156">
                  <c:v>4.9225292310414254E-2</c:v>
                </c:pt>
                <c:pt idx="157">
                  <c:v>4.7981924176633627E-2</c:v>
                </c:pt>
                <c:pt idx="158">
                  <c:v>4.6767472625805953E-2</c:v>
                </c:pt>
                <c:pt idx="159">
                  <c:v>4.558134375860206E-2</c:v>
                </c:pt>
                <c:pt idx="160">
                  <c:v>4.442295336296339E-2</c:v>
                </c:pt>
                <c:pt idx="161">
                  <c:v>4.3291726840699152E-2</c:v>
                </c:pt>
                <c:pt idx="162">
                  <c:v>4.2187099131248115E-2</c:v>
                </c:pt>
                <c:pt idx="163">
                  <c:v>4.1108514632782894E-2</c:v>
                </c:pt>
                <c:pt idx="164">
                  <c:v>4.0055427120826999E-2</c:v>
                </c:pt>
                <c:pt idx="165">
                  <c:v>3.9027299664550229E-2</c:v>
                </c:pt>
                <c:pt idx="166">
                  <c:v>3.8023604540900882E-2</c:v>
                </c:pt>
                <c:pt idx="167">
                  <c:v>3.704382314672882E-2</c:v>
                </c:pt>
                <c:pt idx="168">
                  <c:v>3.6087445909046764E-2</c:v>
                </c:pt>
                <c:pt idx="169">
                  <c:v>3.5153972193572483E-2</c:v>
                </c:pt>
                <c:pt idx="170">
                  <c:v>3.4242910211689376E-2</c:v>
                </c:pt>
                <c:pt idx="171">
                  <c:v>3.3353776925957014E-2</c:v>
                </c:pt>
                <c:pt idx="172">
                  <c:v>3.2486097954299346E-2</c:v>
                </c:pt>
                <c:pt idx="173">
                  <c:v>3.1639407472992584E-2</c:v>
                </c:pt>
                <c:pt idx="174">
                  <c:v>3.0813248118570506E-2</c:v>
                </c:pt>
                <c:pt idx="175">
                  <c:v>3.0007170888760402E-2</c:v>
                </c:pt>
                <c:pt idx="176">
                  <c:v>2.9220735042557788E-2</c:v>
                </c:pt>
                <c:pt idx="177">
                  <c:v>2.8453507999545252E-2</c:v>
                </c:pt>
                <c:pt idx="178">
                  <c:v>2.7705065238554202E-2</c:v>
                </c:pt>
                <c:pt idx="179">
                  <c:v>2.697499019576681E-2</c:v>
                </c:pt>
                <c:pt idx="180">
                  <c:v>2.6262874162349494E-2</c:v>
                </c:pt>
                <c:pt idx="181">
                  <c:v>2.5568316181706772E-2</c:v>
                </c:pt>
                <c:pt idx="182">
                  <c:v>2.4890922946439475E-2</c:v>
                </c:pt>
                <c:pt idx="183">
                  <c:v>2.4230308695088937E-2</c:v>
                </c:pt>
                <c:pt idx="184">
                  <c:v>2.3586095108743842E-2</c:v>
                </c:pt>
                <c:pt idx="185">
                  <c:v>2.295791120758451E-2</c:v>
                </c:pt>
                <c:pt idx="186">
                  <c:v>2.2345393247434869E-2</c:v>
                </c:pt>
                <c:pt idx="187">
                  <c:v>2.1748184616389846E-2</c:v>
                </c:pt>
                <c:pt idx="188">
                  <c:v>2.1165935731582392E-2</c:v>
                </c:pt>
                <c:pt idx="189">
                  <c:v>2.0598303936151984E-2</c:v>
                </c:pt>
                <c:pt idx="190">
                  <c:v>2.0044953396472796E-2</c:v>
                </c:pt>
                <c:pt idx="191">
                  <c:v>1.9505554999697181E-2</c:v>
                </c:pt>
                <c:pt idx="192">
                  <c:v>1.8979786251667668E-2</c:v>
                </c:pt>
                <c:pt idx="193">
                  <c:v>1.8467331175247671E-2</c:v>
                </c:pt>
                <c:pt idx="194">
                  <c:v>1.7967880209118488E-2</c:v>
                </c:pt>
                <c:pt idx="195">
                  <c:v>1.7481130107088207E-2</c:v>
                </c:pt>
                <c:pt idx="196">
                  <c:v>1.7006783837955269E-2</c:v>
                </c:pt>
                <c:pt idx="197">
                  <c:v>1.6544550485966671E-2</c:v>
                </c:pt>
                <c:pt idx="198">
                  <c:v>1.609414515191045E-2</c:v>
                </c:pt>
                <c:pt idx="199">
                  <c:v>1.5655288854877002E-2</c:v>
                </c:pt>
                <c:pt idx="200">
                  <c:v>1.5227708434724449E-2</c:v>
                </c:pt>
                <c:pt idx="201">
                  <c:v>1.4811136455279648E-2</c:v>
                </c:pt>
                <c:pt idx="202">
                  <c:v>1.4405311108304869E-2</c:v>
                </c:pt>
                <c:pt idx="203">
                  <c:v>1.4009976118258492E-2</c:v>
                </c:pt>
                <c:pt idx="204">
                  <c:v>1.3624880647875913E-2</c:v>
                </c:pt>
                <c:pt idx="205">
                  <c:v>1.324977920459551E-2</c:v>
                </c:pt>
                <c:pt idx="206">
                  <c:v>1.2884431547852336E-2</c:v>
                </c:pt>
                <c:pt idx="207">
                  <c:v>1.252860259726106E-2</c:v>
                </c:pt>
                <c:pt idx="208">
                  <c:v>1.2182062341707722E-2</c:v>
                </c:pt>
                <c:pt idx="209">
                  <c:v>1.1844585749368496E-2</c:v>
                </c:pt>
                <c:pt idx="210">
                  <c:v>1.1515952678672364E-2</c:v>
                </c:pt>
                <c:pt idx="211">
                  <c:v>1.119594779022298E-2</c:v>
                </c:pt>
                <c:pt idx="212">
                  <c:v>1.0884360459693493E-2</c:v>
                </c:pt>
                <c:pt idx="213">
                  <c:v>1.0580984691707474E-2</c:v>
                </c:pt>
                <c:pt idx="214">
                  <c:v>1.0285619034716951E-2</c:v>
                </c:pt>
                <c:pt idx="215">
                  <c:v>9.9980664968881625E-3</c:v>
                </c:pt>
                <c:pt idx="216">
                  <c:v>9.7181344630038018E-3</c:v>
                </c:pt>
                <c:pt idx="217">
                  <c:v>9.4456346123900463E-3</c:v>
                </c:pt>
                <c:pt idx="218">
                  <c:v>9.1803828378751659E-3</c:v>
                </c:pt>
                <c:pt idx="219">
                  <c:v>8.9221991657855142E-3</c:v>
                </c:pt>
                <c:pt idx="220">
                  <c:v>8.6709076769841322E-3</c:v>
                </c:pt>
                <c:pt idx="221">
                  <c:v>8.4263364289557767E-3</c:v>
                </c:pt>
                <c:pt idx="222">
                  <c:v>8.1883173789414655E-3</c:v>
                </c:pt>
                <c:pt idx="223">
                  <c:v>7.9566863081249467E-3</c:v>
                </c:pt>
                <c:pt idx="224">
                  <c:v>7.7312827468725082E-3</c:v>
                </c:pt>
                <c:pt idx="225">
                  <c:v>7.5119499010267059E-3</c:v>
                </c:pt>
                <c:pt idx="226">
                  <c:v>7.2985345792540221E-3</c:v>
                </c:pt>
                <c:pt idx="227">
                  <c:v>7.0908871214456015E-3</c:v>
                </c:pt>
                <c:pt idx="228">
                  <c:v>6.8888613281697375E-3</c:v>
                </c:pt>
                <c:pt idx="229">
                  <c:v>6.692314391173842E-3</c:v>
                </c:pt>
                <c:pt idx="230">
                  <c:v>6.501106824933287E-3</c:v>
                </c:pt>
                <c:pt idx="231">
                  <c:v>6.3151023992436767E-3</c:v>
                </c:pt>
                <c:pt idx="232">
                  <c:v>6.1341680728529717E-3</c:v>
                </c:pt>
                <c:pt idx="233">
                  <c:v>5.9581739281287143E-3</c:v>
                </c:pt>
                <c:pt idx="234">
                  <c:v>5.7869931067557221E-3</c:v>
                </c:pt>
                <c:pt idx="235">
                  <c:v>5.6205017464588409E-3</c:v>
                </c:pt>
                <c:pt idx="236">
                  <c:v>5.4585789187449217E-3</c:v>
                </c:pt>
                <c:pt idx="237">
                  <c:v>5.3011065676577844E-3</c:v>
                </c:pt>
                <c:pt idx="238">
                  <c:v>5.1479694495395727E-3</c:v>
                </c:pt>
                <c:pt idx="239">
                  <c:v>4.9990550737914795E-3</c:v>
                </c:pt>
                <c:pt idx="240">
                  <c:v>4.8542536446265555E-3</c:v>
                </c:pt>
                <c:pt idx="241">
                  <c:v>4.7134580038067711E-3</c:v>
                </c:pt>
                <c:pt idx="242">
                  <c:v>4.5765635743564449E-3</c:v>
                </c:pt>
                <c:pt idx="243">
                  <c:v>4.443468305243811E-3</c:v>
                </c:pt>
                <c:pt idx="244">
                  <c:v>4.3140726170219201E-3</c:v>
                </c:pt>
                <c:pt idx="245">
                  <c:v>4.1882793484203651E-3</c:v>
                </c:pt>
                <c:pt idx="246">
                  <c:v>4.065993703878527E-3</c:v>
                </c:pt>
                <c:pt idx="247">
                  <c:v>3.9471232020112761E-3</c:v>
                </c:pt>
                <c:pt idx="248">
                  <c:v>3.831577624997448E-3</c:v>
                </c:pt>
                <c:pt idx="249">
                  <c:v>3.719268968881668E-3</c:v>
                </c:pt>
                <c:pt idx="250">
                  <c:v>3.6101113947795329E-3</c:v>
                </c:pt>
                <c:pt idx="251">
                  <c:v>3.5040211809761841E-3</c:v>
                </c:pt>
                <c:pt idx="252">
                  <c:v>3.4009166759082759E-3</c:v>
                </c:pt>
                <c:pt idx="253">
                  <c:v>3.3007182520189259E-3</c:v>
                </c:pt>
                <c:pt idx="254">
                  <c:v>3.2033482604754086E-3</c:v>
                </c:pt>
                <c:pt idx="255">
                  <c:v>3.1087309867390191E-3</c:v>
                </c:pt>
                <c:pt idx="256">
                  <c:v>3.016792606976691E-3</c:v>
                </c:pt>
                <c:pt idx="257">
                  <c:v>2.9274611453035614E-3</c:v>
                </c:pt>
                <c:pt idx="258">
                  <c:v>2.8406664318459396E-3</c:v>
                </c:pt>
                <c:pt idx="259">
                  <c:v>2.7563400616138303E-3</c:v>
                </c:pt>
                <c:pt idx="260">
                  <c:v>2.674415354172217E-3</c:v>
                </c:pt>
                <c:pt idx="261">
                  <c:v>2.5948273141002788E-3</c:v>
                </c:pt>
                <c:pt idx="262">
                  <c:v>2.5175125922277178E-3</c:v>
                </c:pt>
                <c:pt idx="263">
                  <c:v>2.4424094476371916E-3</c:v>
                </c:pt>
                <c:pt idx="264">
                  <c:v>2.3694577104220742E-3</c:v>
                </c:pt>
                <c:pt idx="265">
                  <c:v>2.2985987451885829E-3</c:v>
                </c:pt>
                <c:pt idx="266">
                  <c:v>2.2297754152913732E-3</c:v>
                </c:pt>
                <c:pt idx="267">
                  <c:v>2.162932047791789E-3</c:v>
                </c:pt>
                <c:pt idx="268">
                  <c:v>2.0980143991278098E-3</c:v>
                </c:pt>
                <c:pt idx="269">
                  <c:v>2.0349696214849136E-3</c:v>
                </c:pt>
                <c:pt idx="270">
                  <c:v>1.9737462298571001E-3</c:v>
                </c:pt>
                <c:pt idx="271">
                  <c:v>1.9142940697872025E-3</c:v>
                </c:pt>
                <c:pt idx="272">
                  <c:v>1.8565642857758724E-3</c:v>
                </c:pt>
                <c:pt idx="273">
                  <c:v>1.8005092903485235E-3</c:v>
                </c:pt>
                <c:pt idx="274">
                  <c:v>1.7460827337696311E-3</c:v>
                </c:pt>
                <c:pt idx="275">
                  <c:v>1.6932394743938287E-3</c:v>
                </c:pt>
                <c:pt idx="276">
                  <c:v>1.6419355496433527E-3</c:v>
                </c:pt>
                <c:pt idx="277">
                  <c:v>1.5921281476013298E-3</c:v>
                </c:pt>
                <c:pt idx="278">
                  <c:v>1.543775579210704E-3</c:v>
                </c:pt>
                <c:pt idx="279">
                  <c:v>1.4968372510683683E-3</c:v>
                </c:pt>
                <c:pt idx="280">
                  <c:v>1.4512736388044764E-3</c:v>
                </c:pt>
                <c:pt idx="281">
                  <c:v>1.4070462610366792E-3</c:v>
                </c:pt>
                <c:pt idx="282">
                  <c:v>1.3641176538894098E-3</c:v>
                </c:pt>
                <c:pt idx="283">
                  <c:v>1.3224513460681625E-3</c:v>
                </c:pt>
                <c:pt idx="284">
                  <c:v>1.2820118344790566E-3</c:v>
                </c:pt>
                <c:pt idx="285">
                  <c:v>1.2427645603838057E-3</c:v>
                </c:pt>
                <c:pt idx="286">
                  <c:v>1.2046758860805827E-3</c:v>
                </c:pt>
                <c:pt idx="287">
                  <c:v>1.1677130721011676E-3</c:v>
                </c:pt>
                <c:pt idx="288">
                  <c:v>1.1318442549149064E-3</c:v>
                </c:pt>
                <c:pt idx="289">
                  <c:v>1.0970384251302551E-3</c:v>
                </c:pt>
                <c:pt idx="290">
                  <c:v>1.0632654061845269E-3</c:v>
                </c:pt>
                <c:pt idx="291">
                  <c:v>1.030495833512859E-3</c:v>
                </c:pt>
                <c:pt idx="292">
                  <c:v>9.9870113418725924E-4</c:v>
                </c:pt>
                <c:pt idx="293">
                  <c:v>9.6785350701691659E-4</c:v>
                </c:pt>
                <c:pt idx="294">
                  <c:v>9.3792590310089695E-4</c:v>
                </c:pt>
                <c:pt idx="295">
                  <c:v>9.0889200682460133E-4</c:v>
                </c:pt>
                <c:pt idx="296">
                  <c:v>8.8072621729134754E-4</c:v>
                </c:pt>
                <c:pt idx="297">
                  <c:v>8.5340363018066891E-4</c:v>
                </c:pt>
                <c:pt idx="298">
                  <c:v>8.2690002002492084E-4</c:v>
                </c:pt>
                <c:pt idx="299">
                  <c:v>8.0119182289598901E-4</c:v>
                </c:pt>
                <c:pt idx="300">
                  <c:v>7.7625611949399219E-4</c:v>
                </c:pt>
                <c:pt idx="301">
                  <c:v>7.5207061862989164E-4</c:v>
                </c:pt>
                <c:pt idx="302">
                  <c:v>7.2861364109420986E-4</c:v>
                </c:pt>
                <c:pt idx="303">
                  <c:v>7.0586410390399755E-4</c:v>
                </c:pt>
                <c:pt idx="304">
                  <c:v>6.838015049204216E-4</c:v>
                </c:pt>
                <c:pt idx="305">
                  <c:v>6.624059078294E-4</c:v>
                </c:pt>
                <c:pt idx="306">
                  <c:v>6.4165792747786091E-4</c:v>
                </c:pt>
                <c:pt idx="307">
                  <c:v>6.2153871555827543E-4</c:v>
                </c:pt>
                <c:pt idx="308">
                  <c:v>6.0202994663427923E-4</c:v>
                </c:pt>
                <c:pt idx="309">
                  <c:v>5.8311380450025874E-4</c:v>
                </c:pt>
                <c:pt idx="310">
                  <c:v>5.6477296886793809E-4</c:v>
                </c:pt>
                <c:pt idx="311">
                  <c:v>5.46990602373059E-4</c:v>
                </c:pt>
                <c:pt idx="312">
                  <c:v>5.2975033789543402E-4</c:v>
                </c:pt>
                <c:pt idx="313">
                  <c:v>5.130362661856881E-4</c:v>
                </c:pt>
                <c:pt idx="314">
                  <c:v>4.9683292379214738E-4</c:v>
                </c:pt>
                <c:pt idx="315">
                  <c:v>4.8112528128147955E-4</c:v>
                </c:pt>
                <c:pt idx="316">
                  <c:v>4.6589873174669581E-4</c:v>
                </c:pt>
                <c:pt idx="317">
                  <c:v>4.5113907959638513E-4</c:v>
                </c:pt>
                <c:pt idx="318">
                  <c:v>4.3683252961899325E-4</c:v>
                </c:pt>
                <c:pt idx="319">
                  <c:v>4.2296567631619513E-4</c:v>
                </c:pt>
                <c:pt idx="320">
                  <c:v>4.0952549349944741E-4</c:v>
                </c:pt>
                <c:pt idx="321">
                  <c:v>3.9649932414393221E-4</c:v>
                </c:pt>
                <c:pt idx="322">
                  <c:v>3.8387487049420241E-4</c:v>
                </c:pt>
                <c:pt idx="323">
                  <c:v>3.7164018441595393E-4</c:v>
                </c:pt>
                <c:pt idx="324">
                  <c:v>3.5978365798841638E-4</c:v>
                </c:pt>
                <c:pt idx="325">
                  <c:v>3.4829401433201471E-4</c:v>
                </c:pt>
                <c:pt idx="326">
                  <c:v>3.3716029866598959E-4</c:v>
                </c:pt>
                <c:pt idx="327">
                  <c:v>3.2637186959080545E-4</c:v>
                </c:pt>
                <c:pt idx="328">
                  <c:v>3.1591839059024954E-4</c:v>
                </c:pt>
                <c:pt idx="329">
                  <c:v>3.0578982174824415E-4</c:v>
                </c:pt>
                <c:pt idx="330">
                  <c:v>2.9597641167545717E-4</c:v>
                </c:pt>
                <c:pt idx="331">
                  <c:v>2.8646868964091752E-4</c:v>
                </c:pt>
                <c:pt idx="332">
                  <c:v>2.7725745790393904E-4</c:v>
                </c:pt>
                <c:pt idx="333">
                  <c:v>2.6833378424169626E-4</c:v>
                </c:pt>
                <c:pt idx="334">
                  <c:v>2.5968899466796556E-4</c:v>
                </c:pt>
                <c:pt idx="335">
                  <c:v>2.5131466633856293E-4</c:v>
                </c:pt>
                <c:pt idx="336">
                  <c:v>2.432026206391484E-4</c:v>
                </c:pt>
                <c:pt idx="337">
                  <c:v>2.3534491645110277E-4</c:v>
                </c:pt>
                <c:pt idx="338">
                  <c:v>2.2773384359133411E-4</c:v>
                </c:pt>
                <c:pt idx="339">
                  <c:v>2.2036191642188646E-4</c:v>
                </c:pt>
                <c:pt idx="340">
                  <c:v>2.1322186762536054E-4</c:v>
                </c:pt>
                <c:pt idx="341">
                  <c:v>2.0630664214220211E-4</c:v>
                </c:pt>
                <c:pt idx="342">
                  <c:v>1.9960939126601729E-4</c:v>
                </c:pt>
                <c:pt idx="343">
                  <c:v>1.9312346689313582E-4</c:v>
                </c:pt>
                <c:pt idx="344">
                  <c:v>1.8684241592274047E-4</c:v>
                </c:pt>
                <c:pt idx="345">
                  <c:v>1.8075997480394086E-4</c:v>
                </c:pt>
                <c:pt idx="346">
                  <c:v>1.7487006422624513E-4</c:v>
                </c:pt>
                <c:pt idx="347">
                  <c:v>1.6916678394998631E-4</c:v>
                </c:pt>
                <c:pt idx="348">
                  <c:v>1.6364440777328588E-4</c:v>
                </c:pt>
                <c:pt idx="349">
                  <c:v>1.5829737863225175E-4</c:v>
                </c:pt>
                <c:pt idx="350">
                  <c:v>1.5312030383115915E-4</c:v>
                </c:pt>
                <c:pt idx="351">
                  <c:v>1.4810795039943122E-4</c:v>
                </c:pt>
                <c:pt idx="352">
                  <c:v>1.4325524057231289E-4</c:v>
                </c:pt>
                <c:pt idx="353">
                  <c:v>1.3855724739219333E-4</c:v>
                </c:pt>
                <c:pt idx="354">
                  <c:v>1.3400919042760786E-4</c:v>
                </c:pt>
                <c:pt idx="355">
                  <c:v>1.2960643160699035E-4</c:v>
                </c:pt>
                <c:pt idx="356">
                  <c:v>1.2534447116435587E-4</c:v>
                </c:pt>
                <c:pt idx="357">
                  <c:v>1.2121894369409859E-4</c:v>
                </c:pt>
                <c:pt idx="358">
                  <c:v>1.1722561431221055E-4</c:v>
                </c:pt>
                <c:pt idx="359">
                  <c:v>1.1336037492123869E-4</c:v>
                </c:pt>
                <c:pt idx="360">
                  <c:v>1.0961924057638871E-4</c:v>
                </c:pt>
                <c:pt idx="361">
                  <c:v>1.059983459502294E-4</c:v>
                </c:pt>
                <c:pt idx="362">
                  <c:v>1.0249394189350797E-4</c:v>
                </c:pt>
                <c:pt idx="363">
                  <c:v>9.9102392089648917E-5</c:v>
                </c:pt>
                <c:pt idx="364">
                  <c:v>9.58201698005633E-5</c:v>
                </c:pt>
                <c:pt idx="365">
                  <c:v>9.2643854701441811E-5</c:v>
                </c:pt>
                <c:pt idx="366">
                  <c:v>8.9570129802268866E-5</c:v>
                </c:pt>
                <c:pt idx="367">
                  <c:v>8.6595778453842166E-5</c:v>
                </c:pt>
                <c:pt idx="368">
                  <c:v>8.3717681436127806E-5</c:v>
                </c:pt>
                <c:pt idx="369">
                  <c:v>8.0932814126844949E-5</c:v>
                </c:pt>
                <c:pt idx="370">
                  <c:v>7.8238243748210247E-5</c:v>
                </c:pt>
                <c:pt idx="371">
                  <c:v>7.5631126689822663E-5</c:v>
                </c:pt>
                <c:pt idx="372">
                  <c:v>7.3108705905726876E-5</c:v>
                </c:pt>
                <c:pt idx="373">
                  <c:v>7.0668308383726007E-5</c:v>
                </c:pt>
                <c:pt idx="374">
                  <c:v>6.8307342685065473E-5</c:v>
                </c:pt>
                <c:pt idx="375">
                  <c:v>6.6023296552658882E-5</c:v>
                </c:pt>
                <c:pt idx="376">
                  <c:v>6.3813734586064171E-5</c:v>
                </c:pt>
                <c:pt idx="377">
                  <c:v>6.1676295981459025E-5</c:v>
                </c:pt>
                <c:pt idx="378">
                  <c:v>5.9608692334917765E-5</c:v>
                </c:pt>
                <c:pt idx="379">
                  <c:v>5.7608705507318664E-5</c:v>
                </c:pt>
                <c:pt idx="380">
                  <c:v>5.5674185549260028E-5</c:v>
                </c:pt>
                <c:pt idx="381">
                  <c:v>5.3803048684399793E-5</c:v>
                </c:pt>
                <c:pt idx="382">
                  <c:v>5.1993275349672975E-5</c:v>
                </c:pt>
                <c:pt idx="383">
                  <c:v>5.0242908290873603E-5</c:v>
                </c:pt>
                <c:pt idx="384">
                  <c:v>4.8550050712135257E-5</c:v>
                </c:pt>
                <c:pt idx="385">
                  <c:v>4.6912864477867851E-5</c:v>
                </c:pt>
                <c:pt idx="386">
                  <c:v>4.5329568365754457E-5</c:v>
                </c:pt>
                <c:pt idx="387">
                  <c:v>4.3798436369436221E-5</c:v>
                </c:pt>
                <c:pt idx="388">
                  <c:v>4.2317796049558453E-5</c:v>
                </c:pt>
                <c:pt idx="389">
                  <c:v>4.0886026931874097E-5</c:v>
                </c:pt>
                <c:pt idx="390">
                  <c:v>3.9501558951137166E-5</c:v>
                </c:pt>
                <c:pt idx="391">
                  <c:v>3.816287093955268E-5</c:v>
                </c:pt>
                <c:pt idx="392">
                  <c:v>3.6868489158574384E-5</c:v>
                </c:pt>
                <c:pt idx="393">
                  <c:v>3.5616985872878809E-5</c:v>
                </c:pt>
                <c:pt idx="394">
                  <c:v>3.4406977965366846E-5</c:v>
                </c:pt>
                <c:pt idx="395">
                  <c:v>3.3237125592079244E-5</c:v>
                </c:pt>
                <c:pt idx="396">
                  <c:v>3.2106130875935347E-5</c:v>
                </c:pt>
                <c:pt idx="397">
                  <c:v>3.1012736638235498E-5</c:v>
                </c:pt>
                <c:pt idx="398">
                  <c:v>2.9955725166892433E-5</c:v>
                </c:pt>
                <c:pt idx="399">
                  <c:v>2.8933917020384506E-5</c:v>
                </c:pt>
                <c:pt idx="400">
                  <c:v>2.79461698664487E-5</c:v>
                </c:pt>
                <c:pt idx="401">
                  <c:v>2.6991377354556849E-5</c:v>
                </c:pt>
                <c:pt idx="402">
                  <c:v>2.6068468021242084E-5</c:v>
                </c:pt>
                <c:pt idx="403">
                  <c:v>2.5176404227368742E-5</c:v>
                </c:pt>
                <c:pt idx="404">
                  <c:v>2.4314181126459681E-5</c:v>
                </c:pt>
                <c:pt idx="405">
                  <c:v>2.3480825663219011E-5</c:v>
                </c:pt>
                <c:pt idx="406">
                  <c:v>2.2675395601412088E-5</c:v>
                </c:pt>
                <c:pt idx="407">
                  <c:v>2.1896978580283607E-5</c:v>
                </c:pt>
                <c:pt idx="408">
                  <c:v>2.11446911987173E-5</c:v>
                </c:pt>
                <c:pt idx="409">
                  <c:v>2.0417678126362932E-5</c:v>
                </c:pt>
                <c:pt idx="410">
                  <c:v>1.9715111240974403E-5</c:v>
                </c:pt>
                <c:pt idx="411">
                  <c:v>1.9036188791222461E-5</c:v>
                </c:pt>
                <c:pt idx="412">
                  <c:v>1.8380134584267643E-5</c:v>
                </c:pt>
                <c:pt idx="413">
                  <c:v>1.7746197197395541E-5</c:v>
                </c:pt>
                <c:pt idx="414">
                  <c:v>1.7133649213034491E-5</c:v>
                </c:pt>
                <c:pt idx="415">
                  <c:v>1.6541786476496179E-5</c:v>
                </c:pt>
                <c:pt idx="416">
                  <c:v>1.5969927375795411E-5</c:v>
                </c:pt>
                <c:pt idx="417">
                  <c:v>1.5417412142922358E-5</c:v>
                </c:pt>
                <c:pt idx="418">
                  <c:v>1.4883602175957816E-5</c:v>
                </c:pt>
                <c:pt idx="419">
                  <c:v>1.4367879381439496E-5</c:v>
                </c:pt>
                <c:pt idx="420">
                  <c:v>1.386964553640046E-5</c:v>
                </c:pt>
                <c:pt idx="421">
                  <c:v>1.338832166951795E-5</c:v>
                </c:pt>
                <c:pt idx="422">
                  <c:v>1.2923347460827713E-5</c:v>
                </c:pt>
                <c:pt idx="423">
                  <c:v>1.2474180659469655E-5</c:v>
                </c:pt>
                <c:pt idx="424">
                  <c:v>1.2040296518948194E-5</c:v>
                </c:pt>
                <c:pt idx="425">
                  <c:v>1.162118724940416E-5</c:v>
                </c:pt>
                <c:pt idx="426">
                  <c:v>1.1216361486407694E-5</c:v>
                </c:pt>
                <c:pt idx="427">
                  <c:v>1.0825343775795424E-5</c:v>
                </c:pt>
                <c:pt idx="428">
                  <c:v>1.0447674074089247E-5</c:v>
                </c:pt>
                <c:pt idx="429">
                  <c:v>1.0082907264044829E-5</c:v>
                </c:pt>
                <c:pt idx="430">
                  <c:v>9.7306126848918972E-6</c:v>
                </c:pt>
                <c:pt idx="431">
                  <c:v>9.3903736768389986E-6</c:v>
                </c:pt>
                <c:pt idx="432">
                  <c:v>9.0617871394291376E-6</c:v>
                </c:pt>
                <c:pt idx="433">
                  <c:v>8.7444631033414241E-6</c:v>
                </c:pt>
                <c:pt idx="434">
                  <c:v>8.4380243152476874E-6</c:v>
                </c:pt>
                <c:pt idx="435">
                  <c:v>8.1421058353415665E-6</c:v>
                </c:pt>
                <c:pt idx="436">
                  <c:v>7.8563546471704283E-6</c:v>
                </c:pt>
                <c:pt idx="437">
                  <c:v>7.5804292794081135E-6</c:v>
                </c:pt>
                <c:pt idx="438">
                  <c:v>7.3139994392191918E-6</c:v>
                </c:pt>
                <c:pt idx="439">
                  <c:v>7.0567456568730074E-6</c:v>
                </c:pt>
                <c:pt idx="440">
                  <c:v>6.8083589412773634E-6</c:v>
                </c:pt>
                <c:pt idx="441">
                  <c:v>6.5685404461082706E-6</c:v>
                </c:pt>
                <c:pt idx="442">
                  <c:v>6.3370011462242437E-6</c:v>
                </c:pt>
                <c:pt idx="443">
                  <c:v>6.1134615240603678E-6</c:v>
                </c:pt>
                <c:pt idx="444">
                  <c:v>5.8976512657060265E-6</c:v>
                </c:pt>
                <c:pt idx="445">
                  <c:v>5.6893089663800726E-6</c:v>
                </c:pt>
                <c:pt idx="446">
                  <c:v>5.4881818450230981E-6</c:v>
                </c:pt>
                <c:pt idx="447">
                  <c:v>5.2940254677363027E-6</c:v>
                </c:pt>
                <c:pt idx="448">
                  <c:v>5.1066034798029753E-6</c:v>
                </c:pt>
                <c:pt idx="449">
                  <c:v>4.925687346036683E-6</c:v>
                </c:pt>
                <c:pt idx="450">
                  <c:v>4.7510560992068999E-6</c:v>
                </c:pt>
                <c:pt idx="451">
                  <c:v>4.5824960963008686E-6</c:v>
                </c:pt>
                <c:pt idx="452">
                  <c:v>4.4198007823865207E-6</c:v>
                </c:pt>
                <c:pt idx="453">
                  <c:v>4.2627704618482734E-6</c:v>
                </c:pt>
                <c:pt idx="454">
                  <c:v>4.1112120767740931E-6</c:v>
                </c:pt>
                <c:pt idx="455">
                  <c:v>3.964938992279021E-6</c:v>
                </c:pt>
                <c:pt idx="456">
                  <c:v>3.8237707885551573E-6</c:v>
                </c:pt>
                <c:pt idx="457">
                  <c:v>3.6875330594462064E-6</c:v>
                </c:pt>
                <c:pt idx="458">
                  <c:v>3.5560572173482481E-6</c:v>
                </c:pt>
                <c:pt idx="459">
                  <c:v>3.4291803042461959E-6</c:v>
                </c:pt>
                <c:pt idx="460">
                  <c:v>3.3067448086992701E-6</c:v>
                </c:pt>
                <c:pt idx="461">
                  <c:v>3.1885984885954005E-6</c:v>
                </c:pt>
                <c:pt idx="462">
                  <c:v>3.0745941994989138E-6</c:v>
                </c:pt>
                <c:pt idx="463">
                  <c:v>2.9645897284214158E-6</c:v>
                </c:pt>
                <c:pt idx="464">
                  <c:v>2.8584476328506252E-6</c:v>
                </c:pt>
                <c:pt idx="465">
                  <c:v>2.7560350848764391E-6</c:v>
                </c:pt>
                <c:pt idx="466">
                  <c:v>2.6572237202590784E-6</c:v>
                </c:pt>
                <c:pt idx="467">
                  <c:v>2.5618894922871899E-6</c:v>
                </c:pt>
                <c:pt idx="468">
                  <c:v>2.4699125302800411E-6</c:v>
                </c:pt>
                <c:pt idx="469">
                  <c:v>2.3811770025907745E-6</c:v>
                </c:pt>
                <c:pt idx="470">
                  <c:v>2.2955709839726047E-6</c:v>
                </c:pt>
                <c:pt idx="471">
                  <c:v>2.2129863271737835E-6</c:v>
                </c:pt>
                <c:pt idx="472">
                  <c:v>2.1333185386310379E-6</c:v>
                </c:pt>
                <c:pt idx="473">
                  <c:v>2.0564666581352268E-6</c:v>
                </c:pt>
                <c:pt idx="474">
                  <c:v>1.9823331423462292E-6</c:v>
                </c:pt>
                <c:pt idx="475">
                  <c:v>1.9108237520384936E-6</c:v>
                </c:pt>
                <c:pt idx="476">
                  <c:v>1.8418474429612829E-6</c:v>
                </c:pt>
                <c:pt idx="477">
                  <c:v>1.7753162602020562E-6</c:v>
                </c:pt>
                <c:pt idx="478">
                  <c:v>1.7111452359437327E-6</c:v>
                </c:pt>
                <c:pt idx="479">
                  <c:v>1.6492522905108657E-6</c:v>
                </c:pt>
                <c:pt idx="480">
                  <c:v>1.589558136602003E-6</c:v>
                </c:pt>
                <c:pt idx="481">
                  <c:v>1.5319861866092346E-6</c:v>
                </c:pt>
                <c:pt idx="482">
                  <c:v>1.4764624629284656E-6</c:v>
                </c:pt>
                <c:pt idx="483">
                  <c:v>1.4229155111670631E-6</c:v>
                </c:pt>
                <c:pt idx="484">
                  <c:v>1.3712763161583229E-6</c:v>
                </c:pt>
                <c:pt idx="485">
                  <c:v>1.3214782206947539E-6</c:v>
                </c:pt>
                <c:pt idx="486">
                  <c:v>1.2734568468951354E-6</c:v>
                </c:pt>
                <c:pt idx="487">
                  <c:v>1.2271500201225007E-6</c:v>
                </c:pt>
                <c:pt idx="488">
                  <c:v>1.1824976953729712E-6</c:v>
                </c:pt>
                <c:pt idx="489">
                  <c:v>1.1394418860577786E-6</c:v>
                </c:pt>
                <c:pt idx="490">
                  <c:v>1.0979265951029295E-6</c:v>
                </c:pt>
                <c:pt idx="491">
                  <c:v>1.0578977482935471E-6</c:v>
                </c:pt>
                <c:pt idx="492">
                  <c:v>1.0193031297920166E-6</c:v>
                </c:pt>
                <c:pt idx="493">
                  <c:v>9.8209231976109666E-7</c:v>
                </c:pt>
                <c:pt idx="494">
                  <c:v>9.462166340255224E-7</c:v>
                </c:pt>
                <c:pt idx="495">
                  <c:v>9.1162906570746687E-7</c:v>
                </c:pt>
                <c:pt idx="496">
                  <c:v>8.7828422877310083E-7</c:v>
                </c:pt>
                <c:pt idx="497">
                  <c:v>8.4613830342985171E-7</c:v>
                </c:pt>
                <c:pt idx="498">
                  <c:v>8.1514898331516133E-7</c:v>
                </c:pt>
                <c:pt idx="499">
                  <c:v>7.852754244200444E-7</c:v>
                </c:pt>
                <c:pt idx="500">
                  <c:v>7.5647819569187078E-7</c:v>
                </c:pt>
                <c:pt idx="501">
                  <c:v>7.2871923126301749E-7</c:v>
                </c:pt>
                <c:pt idx="502">
                  <c:v>7.0196178425330095E-7</c:v>
                </c:pt>
                <c:pt idx="503">
                  <c:v>6.7617038209598695E-7</c:v>
                </c:pt>
                <c:pt idx="504">
                  <c:v>6.5131078333844891E-7</c:v>
                </c:pt>
                <c:pt idx="505">
                  <c:v>6.2734993587033111E-7</c:v>
                </c:pt>
                <c:pt idx="506">
                  <c:v>6.0425593653342187E-7</c:v>
                </c:pt>
                <c:pt idx="507">
                  <c:v>5.819979920686855E-7</c:v>
                </c:pt>
                <c:pt idx="508">
                  <c:v>5.6054638135767838E-7</c:v>
                </c:pt>
                <c:pt idx="509">
                  <c:v>5.3987241891647431E-7</c:v>
                </c:pt>
                <c:pt idx="510">
                  <c:v>5.1994841960186347E-7</c:v>
                </c:pt>
                <c:pt idx="511">
                  <c:v>5.0074766449064725E-7</c:v>
                </c:pt>
                <c:pt idx="512">
                  <c:v>4.8224436789413869E-7</c:v>
                </c:pt>
                <c:pt idx="513">
                  <c:v>4.6441364547116743E-7</c:v>
                </c:pt>
                <c:pt idx="514">
                  <c:v>4.4723148340403492E-7</c:v>
                </c:pt>
                <c:pt idx="515">
                  <c:v>4.3067470860296708E-7</c:v>
                </c:pt>
                <c:pt idx="516">
                  <c:v>4.1472095990567032E-7</c:v>
                </c:pt>
                <c:pt idx="517">
                  <c:v>3.9934866023972557E-7</c:v>
                </c:pt>
                <c:pt idx="518">
                  <c:v>3.845369897164425E-7</c:v>
                </c:pt>
                <c:pt idx="519">
                  <c:v>3.7026585962594232E-7</c:v>
                </c:pt>
                <c:pt idx="520">
                  <c:v>3.5651588730403446E-7</c:v>
                </c:pt>
                <c:pt idx="521">
                  <c:v>3.4326837184247591E-7</c:v>
                </c:pt>
                <c:pt idx="522">
                  <c:v>3.3050527061510056E-7</c:v>
                </c:pt>
                <c:pt idx="523">
                  <c:v>3.182091765930919E-7</c:v>
                </c:pt>
                <c:pt idx="524">
                  <c:v>3.0636329642365262E-7</c:v>
                </c:pt>
                <c:pt idx="525">
                  <c:v>2.9495142924700309E-7</c:v>
                </c:pt>
                <c:pt idx="526">
                  <c:v>2.8395794622753531E-7</c:v>
                </c:pt>
                <c:pt idx="527">
                  <c:v>2.7336777077566262E-7</c:v>
                </c:pt>
                <c:pt idx="528">
                  <c:v>2.6316635943769413E-7</c:v>
                </c:pt>
                <c:pt idx="529">
                  <c:v>2.5333968343173251E-7</c:v>
                </c:pt>
                <c:pt idx="530">
                  <c:v>2.4387421080835747E-7</c:v>
                </c:pt>
                <c:pt idx="531">
                  <c:v>2.3475688921547537E-7</c:v>
                </c:pt>
                <c:pt idx="532">
                  <c:v>2.2597512924742047E-7</c:v>
                </c:pt>
                <c:pt idx="533">
                  <c:v>2.1751678835900052E-7</c:v>
                </c:pt>
                <c:pt idx="534">
                  <c:v>2.093701553258268E-7</c:v>
                </c:pt>
                <c:pt idx="535">
                  <c:v>2.0152393523284195E-7</c:v>
                </c:pt>
                <c:pt idx="536">
                  <c:v>1.9396723497353595E-7</c:v>
                </c:pt>
                <c:pt idx="537">
                  <c:v>1.8668954924294148E-7</c:v>
                </c:pt>
                <c:pt idx="538">
                  <c:v>1.7968074700800535E-7</c:v>
                </c:pt>
                <c:pt idx="539">
                  <c:v>1.7293105843948275E-7</c:v>
                </c:pt>
                <c:pt idx="540">
                  <c:v>1.6643106228998758E-7</c:v>
                </c:pt>
                <c:pt idx="541">
                  <c:v>1.6017167370337456E-7</c:v>
                </c:pt>
                <c:pt idx="542">
                  <c:v>1.5414413244106216E-7</c:v>
                </c:pt>
                <c:pt idx="543">
                  <c:v>1.4833999151138294E-7</c:v>
                </c:pt>
                <c:pt idx="544">
                  <c:v>1.4275110618853171E-7</c:v>
                </c:pt>
                <c:pt idx="545">
                  <c:v>1.3736962340806191E-7</c:v>
                </c:pt>
                <c:pt idx="546">
                  <c:v>1.321879715263428E-7</c:v>
                </c:pt>
                <c:pt idx="547">
                  <c:v>1.2719885043181405E-7</c:v>
                </c:pt>
                <c:pt idx="548">
                  <c:v>1.2239522199619782E-7</c:v>
                </c:pt>
                <c:pt idx="549">
                  <c:v>1.1777030085431447E-7</c:v>
                </c:pt>
                <c:pt idx="550">
                  <c:v>1.1331754550143292E-7</c:v>
                </c:pt>
                <c:pt idx="551">
                  <c:v>1.0903064969749403E-7</c:v>
                </c:pt>
                <c:pt idx="552">
                  <c:v>1.0490353416788099E-7</c:v>
                </c:pt>
                <c:pt idx="553">
                  <c:v>1.0093033859074848E-7</c:v>
                </c:pt>
                <c:pt idx="554">
                  <c:v>9.7105413861263178E-8</c:v>
                </c:pt>
                <c:pt idx="555">
                  <c:v>9.3423314623383694E-8</c:v>
                </c:pt>
                <c:pt idx="556">
                  <c:v>8.9878792060172261E-8</c:v>
                </c:pt>
                <c:pt idx="557">
                  <c:v>8.6466786933894516E-8</c:v>
                </c:pt>
                <c:pt idx="558">
                  <c:v>8.3182422867436004E-8</c:v>
                </c:pt>
                <c:pt idx="559">
                  <c:v>8.0020999858890411E-8</c:v>
                </c:pt>
                <c:pt idx="560">
                  <c:v>7.6977988021393312E-8</c:v>
                </c:pt>
                <c:pt idx="561">
                  <c:v>7.4049021540566091E-8</c:v>
                </c:pt>
                <c:pt idx="562">
                  <c:v>7.1229892842190978E-8</c:v>
                </c:pt>
                <c:pt idx="563">
                  <c:v>6.8516546962954539E-8</c:v>
                </c:pt>
                <c:pt idx="564">
                  <c:v>6.5905076117351443E-8</c:v>
                </c:pt>
                <c:pt idx="565">
                  <c:v>6.3391714454087148E-8</c:v>
                </c:pt>
                <c:pt idx="566">
                  <c:v>6.0972832995499108E-8</c:v>
                </c:pt>
                <c:pt idx="567">
                  <c:v>5.8644934753765116E-8</c:v>
                </c:pt>
                <c:pt idx="568">
                  <c:v>5.6404650017852307E-8</c:v>
                </c:pt>
                <c:pt idx="569">
                  <c:v>5.4248731805385543E-8</c:v>
                </c:pt>
                <c:pt idx="570">
                  <c:v>5.217405147378121E-8</c:v>
                </c:pt>
                <c:pt idx="571">
                  <c:v>5.0177594485196034E-8</c:v>
                </c:pt>
                <c:pt idx="572">
                  <c:v>4.8256456320025246E-8</c:v>
                </c:pt>
                <c:pt idx="573">
                  <c:v>4.6407838533848361E-8</c:v>
                </c:pt>
                <c:pt idx="574">
                  <c:v>4.4629044952902751E-8</c:v>
                </c:pt>
                <c:pt idx="575">
                  <c:v>4.2917478003322427E-8</c:v>
                </c:pt>
                <c:pt idx="576">
                  <c:v>4.1270635169542081E-8</c:v>
                </c:pt>
                <c:pt idx="577">
                  <c:v>3.9686105577422419E-8</c:v>
                </c:pt>
                <c:pt idx="578">
                  <c:v>3.8161566697799402E-8</c:v>
                </c:pt>
                <c:pt idx="579">
                  <c:v>3.6694781166301127E-8</c:v>
                </c:pt>
                <c:pt idx="580">
                  <c:v>3.5283593715428088E-8</c:v>
                </c:pt>
                <c:pt idx="581">
                  <c:v>3.3925928215009056E-8</c:v>
                </c:pt>
                <c:pt idx="582">
                  <c:v>3.2619784817297043E-8</c:v>
                </c:pt>
                <c:pt idx="583">
                  <c:v>3.1363237203073787E-8</c:v>
                </c:pt>
                <c:pt idx="584">
                  <c:v>3.0154429925273607E-8</c:v>
                </c:pt>
                <c:pt idx="585">
                  <c:v>2.899157584674257E-8</c:v>
                </c:pt>
                <c:pt idx="586">
                  <c:v>2.7872953668866779E-8</c:v>
                </c:pt>
                <c:pt idx="587">
                  <c:v>2.6796905547917759E-8</c:v>
                </c:pt>
                <c:pt idx="588">
                  <c:v>2.5761834796065472E-8</c:v>
                </c:pt>
                <c:pt idx="589">
                  <c:v>2.4766203664114349E-8</c:v>
                </c:pt>
                <c:pt idx="590">
                  <c:v>2.3808531203116639E-8</c:v>
                </c:pt>
                <c:pt idx="591">
                  <c:v>2.2887391202119777E-8</c:v>
                </c:pt>
                <c:pt idx="592">
                  <c:v>2.2001410199386465E-8</c:v>
                </c:pt>
                <c:pt idx="593">
                  <c:v>2.1149265564530864E-8</c:v>
                </c:pt>
                <c:pt idx="594">
                  <c:v>2.0329683649088818E-8</c:v>
                </c:pt>
                <c:pt idx="595">
                  <c:v>1.9541438003132828E-8</c:v>
                </c:pt>
                <c:pt idx="596">
                  <c:v>1.8783347655621327E-8</c:v>
                </c:pt>
                <c:pt idx="597">
                  <c:v>1.8054275456249393E-8</c:v>
                </c:pt>
                <c:pt idx="598">
                  <c:v>1.7353126476647919E-8</c:v>
                </c:pt>
                <c:pt idx="599">
                  <c:v>1.6678846468849337E-8</c:v>
                </c:pt>
                <c:pt idx="600">
                  <c:v>1.6030420379007993E-8</c:v>
                </c:pt>
                <c:pt idx="601">
                  <c:v>1.5406870914438696E-8</c:v>
                </c:pt>
                <c:pt idx="602">
                  <c:v>1.4807257162093996E-8</c:v>
                </c:pt>
                <c:pt idx="603">
                  <c:v>1.4230673256675099E-8</c:v>
                </c:pt>
                <c:pt idx="604">
                  <c:v>1.3676247096625334E-8</c:v>
                </c:pt>
                <c:pt idx="605">
                  <c:v>1.3143139106320163E-8</c:v>
                </c:pt>
                <c:pt idx="606">
                  <c:v>1.2630541042826082E-8</c:v>
                </c:pt>
                <c:pt idx="607">
                  <c:v>1.2137674845650657E-8</c:v>
                </c:pt>
                <c:pt idx="608">
                  <c:v>1.1663791527971868E-8</c:v>
                </c:pt>
                <c:pt idx="609">
                  <c:v>1.1208170107872896E-8</c:v>
                </c:pt>
                <c:pt idx="610">
                  <c:v>1.0770116578172895E-8</c:v>
                </c:pt>
                <c:pt idx="611">
                  <c:v>1.0348962913485069E-8</c:v>
                </c:pt>
                <c:pt idx="612">
                  <c:v>0</c:v>
                </c:pt>
                <c:pt idx="613">
                  <c:v>0</c:v>
                </c:pt>
                <c:pt idx="614">
                  <c:v>0</c:v>
                </c:pt>
                <c:pt idx="615">
                  <c:v>0</c:v>
                </c:pt>
                <c:pt idx="616">
                  <c:v>0</c:v>
                </c:pt>
                <c:pt idx="617">
                  <c:v>0</c:v>
                </c:pt>
                <c:pt idx="618">
                  <c:v>0</c:v>
                </c:pt>
                <c:pt idx="619">
                  <c:v>0</c:v>
                </c:pt>
                <c:pt idx="620">
                  <c:v>0</c:v>
                </c:pt>
                <c:pt idx="621">
                  <c:v>0</c:v>
                </c:pt>
                <c:pt idx="622">
                  <c:v>0</c:v>
                </c:pt>
                <c:pt idx="623">
                  <c:v>0</c:v>
                </c:pt>
                <c:pt idx="624">
                  <c:v>0</c:v>
                </c:pt>
                <c:pt idx="625">
                  <c:v>0</c:v>
                </c:pt>
                <c:pt idx="626">
                  <c:v>0</c:v>
                </c:pt>
                <c:pt idx="627">
                  <c:v>0</c:v>
                </c:pt>
                <c:pt idx="628">
                  <c:v>0</c:v>
                </c:pt>
                <c:pt idx="629">
                  <c:v>0</c:v>
                </c:pt>
                <c:pt idx="630">
                  <c:v>0</c:v>
                </c:pt>
                <c:pt idx="631">
                  <c:v>0</c:v>
                </c:pt>
                <c:pt idx="632">
                  <c:v>0</c:v>
                </c:pt>
                <c:pt idx="633">
                  <c:v>0</c:v>
                </c:pt>
                <c:pt idx="634">
                  <c:v>0</c:v>
                </c:pt>
                <c:pt idx="635">
                  <c:v>0</c:v>
                </c:pt>
                <c:pt idx="636">
                  <c:v>0</c:v>
                </c:pt>
                <c:pt idx="637">
                  <c:v>0</c:v>
                </c:pt>
                <c:pt idx="638">
                  <c:v>0</c:v>
                </c:pt>
                <c:pt idx="639">
                  <c:v>0</c:v>
                </c:pt>
                <c:pt idx="640">
                  <c:v>0</c:v>
                </c:pt>
                <c:pt idx="641">
                  <c:v>0</c:v>
                </c:pt>
                <c:pt idx="642">
                  <c:v>0</c:v>
                </c:pt>
                <c:pt idx="643">
                  <c:v>0</c:v>
                </c:pt>
                <c:pt idx="644">
                  <c:v>0</c:v>
                </c:pt>
                <c:pt idx="645">
                  <c:v>0</c:v>
                </c:pt>
                <c:pt idx="646">
                  <c:v>0</c:v>
                </c:pt>
                <c:pt idx="647">
                  <c:v>0</c:v>
                </c:pt>
                <c:pt idx="648">
                  <c:v>0</c:v>
                </c:pt>
                <c:pt idx="649">
                  <c:v>0</c:v>
                </c:pt>
                <c:pt idx="650">
                  <c:v>0</c:v>
                </c:pt>
                <c:pt idx="651">
                  <c:v>0</c:v>
                </c:pt>
                <c:pt idx="652">
                  <c:v>0</c:v>
                </c:pt>
                <c:pt idx="653">
                  <c:v>0</c:v>
                </c:pt>
                <c:pt idx="654">
                  <c:v>0</c:v>
                </c:pt>
                <c:pt idx="655">
                  <c:v>0</c:v>
                </c:pt>
                <c:pt idx="656">
                  <c:v>0</c:v>
                </c:pt>
                <c:pt idx="657">
                  <c:v>0</c:v>
                </c:pt>
                <c:pt idx="658">
                  <c:v>0</c:v>
                </c:pt>
                <c:pt idx="659">
                  <c:v>0</c:v>
                </c:pt>
                <c:pt idx="660">
                  <c:v>0</c:v>
                </c:pt>
                <c:pt idx="661">
                  <c:v>0</c:v>
                </c:pt>
                <c:pt idx="662">
                  <c:v>0</c:v>
                </c:pt>
                <c:pt idx="663">
                  <c:v>0</c:v>
                </c:pt>
                <c:pt idx="664">
                  <c:v>0</c:v>
                </c:pt>
                <c:pt idx="665">
                  <c:v>0</c:v>
                </c:pt>
                <c:pt idx="666">
                  <c:v>0</c:v>
                </c:pt>
                <c:pt idx="667">
                  <c:v>0</c:v>
                </c:pt>
                <c:pt idx="668">
                  <c:v>0</c:v>
                </c:pt>
                <c:pt idx="669">
                  <c:v>0</c:v>
                </c:pt>
                <c:pt idx="670">
                  <c:v>0</c:v>
                </c:pt>
                <c:pt idx="671">
                  <c:v>0</c:v>
                </c:pt>
                <c:pt idx="672">
                  <c:v>0</c:v>
                </c:pt>
                <c:pt idx="673">
                  <c:v>0</c:v>
                </c:pt>
                <c:pt idx="674">
                  <c:v>0</c:v>
                </c:pt>
                <c:pt idx="675">
                  <c:v>0</c:v>
                </c:pt>
                <c:pt idx="676">
                  <c:v>0</c:v>
                </c:pt>
                <c:pt idx="677">
                  <c:v>0</c:v>
                </c:pt>
                <c:pt idx="678">
                  <c:v>0</c:v>
                </c:pt>
                <c:pt idx="679">
                  <c:v>0</c:v>
                </c:pt>
                <c:pt idx="680">
                  <c:v>0</c:v>
                </c:pt>
                <c:pt idx="681">
                  <c:v>0</c:v>
                </c:pt>
                <c:pt idx="682">
                  <c:v>0</c:v>
                </c:pt>
                <c:pt idx="683">
                  <c:v>0</c:v>
                </c:pt>
                <c:pt idx="684">
                  <c:v>0</c:v>
                </c:pt>
                <c:pt idx="685">
                  <c:v>0</c:v>
                </c:pt>
                <c:pt idx="686">
                  <c:v>0</c:v>
                </c:pt>
                <c:pt idx="687">
                  <c:v>0</c:v>
                </c:pt>
                <c:pt idx="688">
                  <c:v>0</c:v>
                </c:pt>
                <c:pt idx="689">
                  <c:v>0</c:v>
                </c:pt>
                <c:pt idx="690">
                  <c:v>0</c:v>
                </c:pt>
                <c:pt idx="691">
                  <c:v>0</c:v>
                </c:pt>
                <c:pt idx="692">
                  <c:v>0</c:v>
                </c:pt>
                <c:pt idx="693">
                  <c:v>0</c:v>
                </c:pt>
                <c:pt idx="694">
                  <c:v>0</c:v>
                </c:pt>
                <c:pt idx="695">
                  <c:v>0</c:v>
                </c:pt>
                <c:pt idx="696">
                  <c:v>0</c:v>
                </c:pt>
                <c:pt idx="697">
                  <c:v>0</c:v>
                </c:pt>
                <c:pt idx="698">
                  <c:v>0</c:v>
                </c:pt>
                <c:pt idx="699">
                  <c:v>0</c:v>
                </c:pt>
                <c:pt idx="700">
                  <c:v>0</c:v>
                </c:pt>
                <c:pt idx="701">
                  <c:v>0</c:v>
                </c:pt>
                <c:pt idx="702">
                  <c:v>0</c:v>
                </c:pt>
                <c:pt idx="703">
                  <c:v>0</c:v>
                </c:pt>
                <c:pt idx="704">
                  <c:v>0</c:v>
                </c:pt>
                <c:pt idx="705">
                  <c:v>0</c:v>
                </c:pt>
                <c:pt idx="706">
                  <c:v>0</c:v>
                </c:pt>
                <c:pt idx="707">
                  <c:v>0</c:v>
                </c:pt>
                <c:pt idx="708">
                  <c:v>0</c:v>
                </c:pt>
                <c:pt idx="709">
                  <c:v>0</c:v>
                </c:pt>
                <c:pt idx="710">
                  <c:v>0</c:v>
                </c:pt>
                <c:pt idx="711">
                  <c:v>0</c:v>
                </c:pt>
                <c:pt idx="712">
                  <c:v>0</c:v>
                </c:pt>
                <c:pt idx="713">
                  <c:v>0</c:v>
                </c:pt>
                <c:pt idx="714">
                  <c:v>0</c:v>
                </c:pt>
                <c:pt idx="715">
                  <c:v>0</c:v>
                </c:pt>
                <c:pt idx="716">
                  <c:v>0</c:v>
                </c:pt>
                <c:pt idx="717">
                  <c:v>0</c:v>
                </c:pt>
                <c:pt idx="718">
                  <c:v>0</c:v>
                </c:pt>
                <c:pt idx="719">
                  <c:v>0</c:v>
                </c:pt>
                <c:pt idx="720">
                  <c:v>0</c:v>
                </c:pt>
                <c:pt idx="721">
                  <c:v>0</c:v>
                </c:pt>
                <c:pt idx="722">
                  <c:v>0</c:v>
                </c:pt>
                <c:pt idx="723">
                  <c:v>0</c:v>
                </c:pt>
                <c:pt idx="724">
                  <c:v>0</c:v>
                </c:pt>
                <c:pt idx="725">
                  <c:v>0</c:v>
                </c:pt>
                <c:pt idx="726">
                  <c:v>0</c:v>
                </c:pt>
                <c:pt idx="727">
                  <c:v>0</c:v>
                </c:pt>
                <c:pt idx="728">
                  <c:v>0</c:v>
                </c:pt>
                <c:pt idx="729">
                  <c:v>0</c:v>
                </c:pt>
                <c:pt idx="730">
                  <c:v>0</c:v>
                </c:pt>
                <c:pt idx="731">
                  <c:v>0</c:v>
                </c:pt>
                <c:pt idx="732">
                  <c:v>0</c:v>
                </c:pt>
                <c:pt idx="733">
                  <c:v>0</c:v>
                </c:pt>
                <c:pt idx="734">
                  <c:v>0</c:v>
                </c:pt>
                <c:pt idx="735">
                  <c:v>0</c:v>
                </c:pt>
                <c:pt idx="736">
                  <c:v>0</c:v>
                </c:pt>
                <c:pt idx="737">
                  <c:v>0</c:v>
                </c:pt>
                <c:pt idx="738">
                  <c:v>0</c:v>
                </c:pt>
                <c:pt idx="739">
                  <c:v>0</c:v>
                </c:pt>
                <c:pt idx="740">
                  <c:v>0</c:v>
                </c:pt>
                <c:pt idx="741">
                  <c:v>0</c:v>
                </c:pt>
                <c:pt idx="742">
                  <c:v>0</c:v>
                </c:pt>
                <c:pt idx="743">
                  <c:v>0</c:v>
                </c:pt>
                <c:pt idx="744">
                  <c:v>0</c:v>
                </c:pt>
                <c:pt idx="745">
                  <c:v>0</c:v>
                </c:pt>
                <c:pt idx="746">
                  <c:v>0</c:v>
                </c:pt>
                <c:pt idx="747">
                  <c:v>0</c:v>
                </c:pt>
                <c:pt idx="748">
                  <c:v>0</c:v>
                </c:pt>
                <c:pt idx="749">
                  <c:v>0</c:v>
                </c:pt>
                <c:pt idx="750">
                  <c:v>0</c:v>
                </c:pt>
                <c:pt idx="751">
                  <c:v>0</c:v>
                </c:pt>
                <c:pt idx="752">
                  <c:v>0</c:v>
                </c:pt>
                <c:pt idx="753">
                  <c:v>0</c:v>
                </c:pt>
                <c:pt idx="754">
                  <c:v>0</c:v>
                </c:pt>
                <c:pt idx="755">
                  <c:v>0</c:v>
                </c:pt>
                <c:pt idx="756">
                  <c:v>0</c:v>
                </c:pt>
                <c:pt idx="757">
                  <c:v>0</c:v>
                </c:pt>
                <c:pt idx="758">
                  <c:v>0</c:v>
                </c:pt>
                <c:pt idx="759">
                  <c:v>0</c:v>
                </c:pt>
                <c:pt idx="760">
                  <c:v>0</c:v>
                </c:pt>
                <c:pt idx="761">
                  <c:v>0</c:v>
                </c:pt>
                <c:pt idx="762">
                  <c:v>0</c:v>
                </c:pt>
                <c:pt idx="763">
                  <c:v>0</c:v>
                </c:pt>
                <c:pt idx="764">
                  <c:v>0</c:v>
                </c:pt>
                <c:pt idx="765">
                  <c:v>0</c:v>
                </c:pt>
                <c:pt idx="766">
                  <c:v>0</c:v>
                </c:pt>
                <c:pt idx="767">
                  <c:v>0</c:v>
                </c:pt>
                <c:pt idx="768">
                  <c:v>0</c:v>
                </c:pt>
                <c:pt idx="769">
                  <c:v>0</c:v>
                </c:pt>
                <c:pt idx="770">
                  <c:v>0</c:v>
                </c:pt>
                <c:pt idx="771">
                  <c:v>0</c:v>
                </c:pt>
                <c:pt idx="772">
                  <c:v>0</c:v>
                </c:pt>
                <c:pt idx="773">
                  <c:v>0</c:v>
                </c:pt>
                <c:pt idx="774">
                  <c:v>0</c:v>
                </c:pt>
                <c:pt idx="775">
                  <c:v>0</c:v>
                </c:pt>
                <c:pt idx="776">
                  <c:v>0</c:v>
                </c:pt>
                <c:pt idx="777">
                  <c:v>0</c:v>
                </c:pt>
                <c:pt idx="778">
                  <c:v>0</c:v>
                </c:pt>
                <c:pt idx="779">
                  <c:v>0</c:v>
                </c:pt>
                <c:pt idx="780">
                  <c:v>0</c:v>
                </c:pt>
                <c:pt idx="781">
                  <c:v>0</c:v>
                </c:pt>
                <c:pt idx="782">
                  <c:v>0</c:v>
                </c:pt>
                <c:pt idx="783">
                  <c:v>0</c:v>
                </c:pt>
                <c:pt idx="784">
                  <c:v>0</c:v>
                </c:pt>
                <c:pt idx="785">
                  <c:v>0</c:v>
                </c:pt>
                <c:pt idx="786">
                  <c:v>0</c:v>
                </c:pt>
                <c:pt idx="787">
                  <c:v>0</c:v>
                </c:pt>
                <c:pt idx="788">
                  <c:v>0</c:v>
                </c:pt>
                <c:pt idx="789">
                  <c:v>0</c:v>
                </c:pt>
                <c:pt idx="790">
                  <c:v>0</c:v>
                </c:pt>
                <c:pt idx="791">
                  <c:v>0</c:v>
                </c:pt>
                <c:pt idx="792">
                  <c:v>0</c:v>
                </c:pt>
                <c:pt idx="793">
                  <c:v>0</c:v>
                </c:pt>
                <c:pt idx="794">
                  <c:v>0</c:v>
                </c:pt>
                <c:pt idx="795">
                  <c:v>0</c:v>
                </c:pt>
                <c:pt idx="796">
                  <c:v>0</c:v>
                </c:pt>
                <c:pt idx="797">
                  <c:v>0</c:v>
                </c:pt>
                <c:pt idx="798">
                  <c:v>0</c:v>
                </c:pt>
                <c:pt idx="799">
                  <c:v>0</c:v>
                </c:pt>
                <c:pt idx="800">
                  <c:v>0</c:v>
                </c:pt>
                <c:pt idx="801">
                  <c:v>0</c:v>
                </c:pt>
                <c:pt idx="802">
                  <c:v>0</c:v>
                </c:pt>
                <c:pt idx="803">
                  <c:v>0</c:v>
                </c:pt>
                <c:pt idx="804">
                  <c:v>0</c:v>
                </c:pt>
                <c:pt idx="805">
                  <c:v>0</c:v>
                </c:pt>
                <c:pt idx="806">
                  <c:v>0</c:v>
                </c:pt>
                <c:pt idx="807">
                  <c:v>0</c:v>
                </c:pt>
                <c:pt idx="808">
                  <c:v>0</c:v>
                </c:pt>
                <c:pt idx="809">
                  <c:v>0</c:v>
                </c:pt>
                <c:pt idx="810">
                  <c:v>0</c:v>
                </c:pt>
                <c:pt idx="811">
                  <c:v>0</c:v>
                </c:pt>
                <c:pt idx="812">
                  <c:v>0</c:v>
                </c:pt>
                <c:pt idx="813">
                  <c:v>0</c:v>
                </c:pt>
                <c:pt idx="814">
                  <c:v>0</c:v>
                </c:pt>
                <c:pt idx="815">
                  <c:v>0</c:v>
                </c:pt>
                <c:pt idx="816">
                  <c:v>0</c:v>
                </c:pt>
                <c:pt idx="817">
                  <c:v>0</c:v>
                </c:pt>
                <c:pt idx="818">
                  <c:v>0</c:v>
                </c:pt>
                <c:pt idx="819">
                  <c:v>0</c:v>
                </c:pt>
                <c:pt idx="820">
                  <c:v>0</c:v>
                </c:pt>
                <c:pt idx="821">
                  <c:v>0</c:v>
                </c:pt>
                <c:pt idx="822">
                  <c:v>0</c:v>
                </c:pt>
                <c:pt idx="823">
                  <c:v>0</c:v>
                </c:pt>
                <c:pt idx="824">
                  <c:v>0</c:v>
                </c:pt>
                <c:pt idx="825">
                  <c:v>0</c:v>
                </c:pt>
                <c:pt idx="826">
                  <c:v>0</c:v>
                </c:pt>
                <c:pt idx="827">
                  <c:v>0</c:v>
                </c:pt>
                <c:pt idx="828">
                  <c:v>0</c:v>
                </c:pt>
                <c:pt idx="829">
                  <c:v>0</c:v>
                </c:pt>
                <c:pt idx="830">
                  <c:v>0</c:v>
                </c:pt>
                <c:pt idx="831">
                  <c:v>0</c:v>
                </c:pt>
                <c:pt idx="832">
                  <c:v>0</c:v>
                </c:pt>
                <c:pt idx="833">
                  <c:v>0</c:v>
                </c:pt>
                <c:pt idx="834">
                  <c:v>0</c:v>
                </c:pt>
                <c:pt idx="835">
                  <c:v>0</c:v>
                </c:pt>
                <c:pt idx="836">
                  <c:v>0</c:v>
                </c:pt>
                <c:pt idx="837">
                  <c:v>0</c:v>
                </c:pt>
                <c:pt idx="838">
                  <c:v>0</c:v>
                </c:pt>
                <c:pt idx="839">
                  <c:v>0</c:v>
                </c:pt>
                <c:pt idx="840">
                  <c:v>0</c:v>
                </c:pt>
                <c:pt idx="841">
                  <c:v>0</c:v>
                </c:pt>
                <c:pt idx="842">
                  <c:v>0</c:v>
                </c:pt>
                <c:pt idx="843">
                  <c:v>0</c:v>
                </c:pt>
                <c:pt idx="844">
                  <c:v>0</c:v>
                </c:pt>
                <c:pt idx="845">
                  <c:v>0</c:v>
                </c:pt>
                <c:pt idx="846">
                  <c:v>0</c:v>
                </c:pt>
                <c:pt idx="847">
                  <c:v>0</c:v>
                </c:pt>
                <c:pt idx="848">
                  <c:v>0</c:v>
                </c:pt>
                <c:pt idx="849">
                  <c:v>0</c:v>
                </c:pt>
                <c:pt idx="850">
                  <c:v>0</c:v>
                </c:pt>
                <c:pt idx="851">
                  <c:v>0</c:v>
                </c:pt>
                <c:pt idx="852">
                  <c:v>0</c:v>
                </c:pt>
                <c:pt idx="853">
                  <c:v>0</c:v>
                </c:pt>
                <c:pt idx="854">
                  <c:v>0</c:v>
                </c:pt>
                <c:pt idx="855">
                  <c:v>0</c:v>
                </c:pt>
                <c:pt idx="856">
                  <c:v>0</c:v>
                </c:pt>
                <c:pt idx="857">
                  <c:v>0</c:v>
                </c:pt>
                <c:pt idx="858">
                  <c:v>0</c:v>
                </c:pt>
                <c:pt idx="859">
                  <c:v>0</c:v>
                </c:pt>
                <c:pt idx="860">
                  <c:v>0</c:v>
                </c:pt>
                <c:pt idx="861">
                  <c:v>0</c:v>
                </c:pt>
                <c:pt idx="862">
                  <c:v>0</c:v>
                </c:pt>
                <c:pt idx="863">
                  <c:v>0</c:v>
                </c:pt>
                <c:pt idx="864">
                  <c:v>0</c:v>
                </c:pt>
                <c:pt idx="865">
                  <c:v>0</c:v>
                </c:pt>
                <c:pt idx="866">
                  <c:v>0</c:v>
                </c:pt>
                <c:pt idx="867">
                  <c:v>0</c:v>
                </c:pt>
                <c:pt idx="868">
                  <c:v>0</c:v>
                </c:pt>
                <c:pt idx="869">
                  <c:v>0</c:v>
                </c:pt>
                <c:pt idx="870">
                  <c:v>0</c:v>
                </c:pt>
                <c:pt idx="871">
                  <c:v>0</c:v>
                </c:pt>
                <c:pt idx="872">
                  <c:v>0</c:v>
                </c:pt>
                <c:pt idx="873">
                  <c:v>0</c:v>
                </c:pt>
                <c:pt idx="874">
                  <c:v>0</c:v>
                </c:pt>
                <c:pt idx="875">
                  <c:v>0</c:v>
                </c:pt>
                <c:pt idx="876">
                  <c:v>0</c:v>
                </c:pt>
                <c:pt idx="877">
                  <c:v>0</c:v>
                </c:pt>
                <c:pt idx="878">
                  <c:v>0</c:v>
                </c:pt>
                <c:pt idx="879">
                  <c:v>0</c:v>
                </c:pt>
                <c:pt idx="880">
                  <c:v>0</c:v>
                </c:pt>
                <c:pt idx="881">
                  <c:v>0</c:v>
                </c:pt>
                <c:pt idx="882">
                  <c:v>0</c:v>
                </c:pt>
                <c:pt idx="883">
                  <c:v>0</c:v>
                </c:pt>
                <c:pt idx="884">
                  <c:v>0</c:v>
                </c:pt>
                <c:pt idx="885">
                  <c:v>0</c:v>
                </c:pt>
                <c:pt idx="886">
                  <c:v>0</c:v>
                </c:pt>
                <c:pt idx="887">
                  <c:v>0</c:v>
                </c:pt>
                <c:pt idx="888">
                  <c:v>0</c:v>
                </c:pt>
                <c:pt idx="889">
                  <c:v>0</c:v>
                </c:pt>
                <c:pt idx="890">
                  <c:v>0</c:v>
                </c:pt>
                <c:pt idx="891">
                  <c:v>0</c:v>
                </c:pt>
                <c:pt idx="892">
                  <c:v>0</c:v>
                </c:pt>
                <c:pt idx="893">
                  <c:v>0</c:v>
                </c:pt>
                <c:pt idx="894">
                  <c:v>0</c:v>
                </c:pt>
                <c:pt idx="895">
                  <c:v>0</c:v>
                </c:pt>
                <c:pt idx="896">
                  <c:v>0</c:v>
                </c:pt>
                <c:pt idx="897">
                  <c:v>0</c:v>
                </c:pt>
                <c:pt idx="898">
                  <c:v>0</c:v>
                </c:pt>
                <c:pt idx="899">
                  <c:v>0</c:v>
                </c:pt>
                <c:pt idx="900">
                  <c:v>0</c:v>
                </c:pt>
                <c:pt idx="901">
                  <c:v>0</c:v>
                </c:pt>
                <c:pt idx="902">
                  <c:v>0</c:v>
                </c:pt>
                <c:pt idx="903">
                  <c:v>0</c:v>
                </c:pt>
                <c:pt idx="904">
                  <c:v>0</c:v>
                </c:pt>
                <c:pt idx="905">
                  <c:v>0</c:v>
                </c:pt>
                <c:pt idx="906">
                  <c:v>0</c:v>
                </c:pt>
                <c:pt idx="907">
                  <c:v>0</c:v>
                </c:pt>
                <c:pt idx="908">
                  <c:v>0</c:v>
                </c:pt>
                <c:pt idx="909">
                  <c:v>0</c:v>
                </c:pt>
                <c:pt idx="910">
                  <c:v>0</c:v>
                </c:pt>
                <c:pt idx="911">
                  <c:v>0</c:v>
                </c:pt>
                <c:pt idx="912">
                  <c:v>0</c:v>
                </c:pt>
                <c:pt idx="913">
                  <c:v>0</c:v>
                </c:pt>
                <c:pt idx="914">
                  <c:v>0</c:v>
                </c:pt>
                <c:pt idx="915">
                  <c:v>0</c:v>
                </c:pt>
                <c:pt idx="916">
                  <c:v>0</c:v>
                </c:pt>
                <c:pt idx="917">
                  <c:v>0</c:v>
                </c:pt>
                <c:pt idx="918">
                  <c:v>0</c:v>
                </c:pt>
                <c:pt idx="919">
                  <c:v>0</c:v>
                </c:pt>
                <c:pt idx="920">
                  <c:v>0</c:v>
                </c:pt>
                <c:pt idx="921">
                  <c:v>0</c:v>
                </c:pt>
                <c:pt idx="922">
                  <c:v>0</c:v>
                </c:pt>
                <c:pt idx="923">
                  <c:v>0</c:v>
                </c:pt>
                <c:pt idx="924">
                  <c:v>0</c:v>
                </c:pt>
                <c:pt idx="925">
                  <c:v>0</c:v>
                </c:pt>
                <c:pt idx="926">
                  <c:v>0</c:v>
                </c:pt>
                <c:pt idx="927">
                  <c:v>0</c:v>
                </c:pt>
                <c:pt idx="928">
                  <c:v>0</c:v>
                </c:pt>
                <c:pt idx="929">
                  <c:v>0</c:v>
                </c:pt>
                <c:pt idx="930">
                  <c:v>0</c:v>
                </c:pt>
                <c:pt idx="931">
                  <c:v>0</c:v>
                </c:pt>
                <c:pt idx="932">
                  <c:v>0</c:v>
                </c:pt>
                <c:pt idx="933">
                  <c:v>0</c:v>
                </c:pt>
                <c:pt idx="934">
                  <c:v>0</c:v>
                </c:pt>
                <c:pt idx="935">
                  <c:v>0</c:v>
                </c:pt>
                <c:pt idx="936">
                  <c:v>0</c:v>
                </c:pt>
                <c:pt idx="937">
                  <c:v>0</c:v>
                </c:pt>
                <c:pt idx="938">
                  <c:v>0</c:v>
                </c:pt>
                <c:pt idx="939">
                  <c:v>0</c:v>
                </c:pt>
                <c:pt idx="940">
                  <c:v>0</c:v>
                </c:pt>
                <c:pt idx="941">
                  <c:v>0</c:v>
                </c:pt>
                <c:pt idx="942">
                  <c:v>0</c:v>
                </c:pt>
                <c:pt idx="943">
                  <c:v>0</c:v>
                </c:pt>
                <c:pt idx="944">
                  <c:v>0</c:v>
                </c:pt>
                <c:pt idx="945">
                  <c:v>0</c:v>
                </c:pt>
                <c:pt idx="946">
                  <c:v>0</c:v>
                </c:pt>
                <c:pt idx="947">
                  <c:v>0</c:v>
                </c:pt>
                <c:pt idx="948">
                  <c:v>0</c:v>
                </c:pt>
                <c:pt idx="949">
                  <c:v>0</c:v>
                </c:pt>
                <c:pt idx="950">
                  <c:v>0</c:v>
                </c:pt>
                <c:pt idx="951">
                  <c:v>0</c:v>
                </c:pt>
                <c:pt idx="952">
                  <c:v>0</c:v>
                </c:pt>
                <c:pt idx="953">
                  <c:v>0</c:v>
                </c:pt>
                <c:pt idx="954">
                  <c:v>0</c:v>
                </c:pt>
                <c:pt idx="955">
                  <c:v>0</c:v>
                </c:pt>
                <c:pt idx="956">
                  <c:v>0</c:v>
                </c:pt>
                <c:pt idx="957">
                  <c:v>0</c:v>
                </c:pt>
                <c:pt idx="958">
                  <c:v>0</c:v>
                </c:pt>
                <c:pt idx="959">
                  <c:v>0</c:v>
                </c:pt>
                <c:pt idx="960">
                  <c:v>0</c:v>
                </c:pt>
                <c:pt idx="961">
                  <c:v>0</c:v>
                </c:pt>
                <c:pt idx="962">
                  <c:v>0</c:v>
                </c:pt>
                <c:pt idx="963">
                  <c:v>0</c:v>
                </c:pt>
                <c:pt idx="964">
                  <c:v>0</c:v>
                </c:pt>
                <c:pt idx="965">
                  <c:v>0</c:v>
                </c:pt>
                <c:pt idx="966">
                  <c:v>0</c:v>
                </c:pt>
                <c:pt idx="967">
                  <c:v>0</c:v>
                </c:pt>
                <c:pt idx="968">
                  <c:v>0</c:v>
                </c:pt>
                <c:pt idx="969">
                  <c:v>0</c:v>
                </c:pt>
                <c:pt idx="970">
                  <c:v>0</c:v>
                </c:pt>
                <c:pt idx="971">
                  <c:v>0</c:v>
                </c:pt>
                <c:pt idx="972">
                  <c:v>0</c:v>
                </c:pt>
                <c:pt idx="973">
                  <c:v>0</c:v>
                </c:pt>
                <c:pt idx="974">
                  <c:v>0</c:v>
                </c:pt>
                <c:pt idx="975">
                  <c:v>0</c:v>
                </c:pt>
                <c:pt idx="976">
                  <c:v>0</c:v>
                </c:pt>
                <c:pt idx="977">
                  <c:v>0</c:v>
                </c:pt>
                <c:pt idx="978">
                  <c:v>0</c:v>
                </c:pt>
                <c:pt idx="979">
                  <c:v>0</c:v>
                </c:pt>
                <c:pt idx="980">
                  <c:v>0</c:v>
                </c:pt>
                <c:pt idx="981">
                  <c:v>0</c:v>
                </c:pt>
                <c:pt idx="982">
                  <c:v>0</c:v>
                </c:pt>
                <c:pt idx="983">
                  <c:v>0</c:v>
                </c:pt>
                <c:pt idx="984">
                  <c:v>0</c:v>
                </c:pt>
                <c:pt idx="985">
                  <c:v>0</c:v>
                </c:pt>
                <c:pt idx="986">
                  <c:v>0</c:v>
                </c:pt>
                <c:pt idx="987">
                  <c:v>0</c:v>
                </c:pt>
                <c:pt idx="988">
                  <c:v>0</c:v>
                </c:pt>
                <c:pt idx="989">
                  <c:v>0</c:v>
                </c:pt>
                <c:pt idx="990">
                  <c:v>0</c:v>
                </c:pt>
                <c:pt idx="991">
                  <c:v>0</c:v>
                </c:pt>
                <c:pt idx="992">
                  <c:v>0</c:v>
                </c:pt>
                <c:pt idx="993">
                  <c:v>0</c:v>
                </c:pt>
                <c:pt idx="994">
                  <c:v>0</c:v>
                </c:pt>
                <c:pt idx="995">
                  <c:v>0</c:v>
                </c:pt>
                <c:pt idx="996">
                  <c:v>0</c:v>
                </c:pt>
                <c:pt idx="997">
                  <c:v>0</c:v>
                </c:pt>
                <c:pt idx="998">
                  <c:v>0</c:v>
                </c:pt>
                <c:pt idx="999">
                  <c:v>0</c:v>
                </c:pt>
                <c:pt idx="1000">
                  <c:v>0</c:v>
                </c:pt>
                <c:pt idx="1001">
                  <c:v>0</c:v>
                </c:pt>
                <c:pt idx="1002">
                  <c:v>0</c:v>
                </c:pt>
                <c:pt idx="1003">
                  <c:v>0</c:v>
                </c:pt>
                <c:pt idx="1004">
                  <c:v>0</c:v>
                </c:pt>
                <c:pt idx="1005">
                  <c:v>0</c:v>
                </c:pt>
                <c:pt idx="1006">
                  <c:v>0</c:v>
                </c:pt>
                <c:pt idx="1007">
                  <c:v>0</c:v>
                </c:pt>
                <c:pt idx="1008">
                  <c:v>0</c:v>
                </c:pt>
                <c:pt idx="1009">
                  <c:v>0</c:v>
                </c:pt>
                <c:pt idx="1010">
                  <c:v>0</c:v>
                </c:pt>
                <c:pt idx="1011">
                  <c:v>0</c:v>
                </c:pt>
                <c:pt idx="1012">
                  <c:v>0</c:v>
                </c:pt>
                <c:pt idx="1013">
                  <c:v>0</c:v>
                </c:pt>
                <c:pt idx="1014">
                  <c:v>0</c:v>
                </c:pt>
                <c:pt idx="1015">
                  <c:v>0</c:v>
                </c:pt>
                <c:pt idx="1016">
                  <c:v>0</c:v>
                </c:pt>
                <c:pt idx="1017">
                  <c:v>0</c:v>
                </c:pt>
                <c:pt idx="1018">
                  <c:v>0</c:v>
                </c:pt>
                <c:pt idx="1019">
                  <c:v>0</c:v>
                </c:pt>
                <c:pt idx="1020">
                  <c:v>0</c:v>
                </c:pt>
                <c:pt idx="1021">
                  <c:v>0</c:v>
                </c:pt>
                <c:pt idx="1022">
                  <c:v>0</c:v>
                </c:pt>
                <c:pt idx="1023">
                  <c:v>0</c:v>
                </c:pt>
                <c:pt idx="1024">
                  <c:v>0</c:v>
                </c:pt>
                <c:pt idx="1025">
                  <c:v>0</c:v>
                </c:pt>
                <c:pt idx="1026">
                  <c:v>0</c:v>
                </c:pt>
                <c:pt idx="1027">
                  <c:v>0</c:v>
                </c:pt>
                <c:pt idx="1028">
                  <c:v>0</c:v>
                </c:pt>
                <c:pt idx="1029">
                  <c:v>0</c:v>
                </c:pt>
                <c:pt idx="1030">
                  <c:v>0</c:v>
                </c:pt>
                <c:pt idx="1031">
                  <c:v>0</c:v>
                </c:pt>
                <c:pt idx="1032">
                  <c:v>0</c:v>
                </c:pt>
                <c:pt idx="1033">
                  <c:v>0</c:v>
                </c:pt>
                <c:pt idx="1034">
                  <c:v>0</c:v>
                </c:pt>
                <c:pt idx="1035">
                  <c:v>0</c:v>
                </c:pt>
                <c:pt idx="1036">
                  <c:v>0</c:v>
                </c:pt>
                <c:pt idx="1037">
                  <c:v>0</c:v>
                </c:pt>
                <c:pt idx="1038">
                  <c:v>0</c:v>
                </c:pt>
                <c:pt idx="1039">
                  <c:v>0</c:v>
                </c:pt>
                <c:pt idx="1040">
                  <c:v>0</c:v>
                </c:pt>
              </c:numCache>
            </c:numRef>
          </c:yVal>
          <c:smooth val="1"/>
          <c:extLst>
            <c:ext xmlns:c16="http://schemas.microsoft.com/office/drawing/2014/chart" uri="{C3380CC4-5D6E-409C-BE32-E72D297353CC}">
              <c16:uniqueId val="{00000005-1A37-094B-9E1D-F9491A91AD2C}"/>
            </c:ext>
          </c:extLst>
        </c:ser>
        <c:dLbls>
          <c:showLegendKey val="0"/>
          <c:showVal val="0"/>
          <c:showCatName val="0"/>
          <c:showSerName val="0"/>
          <c:showPercent val="0"/>
          <c:showBubbleSize val="0"/>
        </c:dLbls>
        <c:axId val="552040992"/>
        <c:axId val="888546128"/>
      </c:scatterChart>
      <c:valAx>
        <c:axId val="552040992"/>
        <c:scaling>
          <c:orientation val="minMax"/>
          <c:max val="400"/>
          <c:min val="0"/>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NZ"/>
                  <a:t>Time (weeks)</a:t>
                </a:r>
              </a:p>
            </c:rich>
          </c:tx>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quot;&quot;" sourceLinked="0"/>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88546128"/>
        <c:crosses val="autoZero"/>
        <c:crossBetween val="midCat"/>
      </c:valAx>
      <c:valAx>
        <c:axId val="888546128"/>
        <c:scaling>
          <c:orientation val="minMax"/>
          <c:max val="1"/>
          <c:min val="0"/>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NZ"/>
                  <a:t>S(t)</a:t>
                </a:r>
              </a:p>
            </c:rich>
          </c:tx>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00" sourceLinked="0"/>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52040992"/>
        <c:crosses val="autoZero"/>
        <c:crossBetween val="midCat"/>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288136-DCE4-4923-A1C5-D3939BC1BF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33</Pages>
  <Words>12030</Words>
  <Characters>69242</Characters>
  <Application>Microsoft Office Word</Application>
  <DocSecurity>0</DocSecurity>
  <Lines>577</Lines>
  <Paragraphs>162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2022-02-14T12:14:00Z</dcterms:created>
  <dcterms:modified xsi:type="dcterms:W3CDTF">2022-03-16T22:36:00Z</dcterms:modified>
</cp:coreProperties>
</file>