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2D80B" w14:textId="77777777" w:rsidR="009E51A3" w:rsidRPr="00D27BF1" w:rsidRDefault="00F83872" w:rsidP="00C12C14">
      <w:pPr>
        <w:rPr>
          <w:b/>
          <w:sz w:val="36"/>
          <w:szCs w:val="36"/>
        </w:rPr>
      </w:pPr>
      <w:r w:rsidRPr="00D27BF1">
        <w:rPr>
          <w:b/>
          <w:sz w:val="36"/>
          <w:szCs w:val="36"/>
        </w:rPr>
        <w:t>6</w:t>
      </w:r>
      <w:r w:rsidR="00433044" w:rsidRPr="00D27BF1">
        <w:rPr>
          <w:b/>
          <w:sz w:val="36"/>
          <w:szCs w:val="36"/>
        </w:rPr>
        <w:t>.</w:t>
      </w:r>
      <w:r w:rsidRPr="00D27BF1">
        <w:rPr>
          <w:b/>
          <w:sz w:val="36"/>
          <w:szCs w:val="36"/>
        </w:rPr>
        <w:t>04</w:t>
      </w:r>
      <w:r w:rsidR="00B60939" w:rsidRPr="00D27BF1">
        <w:rPr>
          <w:b/>
          <w:sz w:val="36"/>
          <w:szCs w:val="36"/>
        </w:rPr>
        <w:tab/>
      </w:r>
      <w:r w:rsidR="009E51A3" w:rsidRPr="00D27BF1">
        <w:rPr>
          <w:b/>
          <w:sz w:val="36"/>
          <w:szCs w:val="36"/>
        </w:rPr>
        <w:t>MEPOLIZUMAB</w:t>
      </w:r>
      <w:r w:rsidR="00B60939" w:rsidRPr="00D27BF1">
        <w:rPr>
          <w:b/>
          <w:sz w:val="36"/>
          <w:szCs w:val="36"/>
        </w:rPr>
        <w:t xml:space="preserve">, </w:t>
      </w:r>
    </w:p>
    <w:p w14:paraId="42C6E255" w14:textId="77777777" w:rsidR="009E51A3" w:rsidRPr="00D27BF1" w:rsidRDefault="009E51A3" w:rsidP="009E51A3">
      <w:pPr>
        <w:ind w:firstLine="720"/>
        <w:rPr>
          <w:b/>
          <w:sz w:val="36"/>
          <w:szCs w:val="36"/>
        </w:rPr>
      </w:pPr>
      <w:r w:rsidRPr="00D27BF1">
        <w:rPr>
          <w:b/>
          <w:sz w:val="36"/>
          <w:szCs w:val="36"/>
        </w:rPr>
        <w:t>Injection 100</w:t>
      </w:r>
      <w:r w:rsidR="009A5E7D" w:rsidRPr="00D27BF1">
        <w:rPr>
          <w:b/>
          <w:sz w:val="36"/>
          <w:szCs w:val="36"/>
        </w:rPr>
        <w:t xml:space="preserve"> </w:t>
      </w:r>
      <w:r w:rsidRPr="00D27BF1">
        <w:rPr>
          <w:b/>
          <w:sz w:val="36"/>
          <w:szCs w:val="36"/>
        </w:rPr>
        <w:t>mg in 1</w:t>
      </w:r>
      <w:r w:rsidR="009A5E7D" w:rsidRPr="00D27BF1">
        <w:rPr>
          <w:b/>
          <w:sz w:val="36"/>
          <w:szCs w:val="36"/>
        </w:rPr>
        <w:t xml:space="preserve"> </w:t>
      </w:r>
      <w:r w:rsidRPr="00D27BF1">
        <w:rPr>
          <w:b/>
          <w:sz w:val="36"/>
          <w:szCs w:val="36"/>
        </w:rPr>
        <w:t>m</w:t>
      </w:r>
      <w:r w:rsidR="009A5E7D" w:rsidRPr="00D27BF1">
        <w:rPr>
          <w:b/>
          <w:sz w:val="36"/>
          <w:szCs w:val="36"/>
        </w:rPr>
        <w:t>L</w:t>
      </w:r>
      <w:r w:rsidRPr="00D27BF1">
        <w:rPr>
          <w:b/>
          <w:sz w:val="36"/>
          <w:szCs w:val="36"/>
        </w:rPr>
        <w:t xml:space="preserve"> single dose pre-filled pen,</w:t>
      </w:r>
    </w:p>
    <w:p w14:paraId="62E5A387" w14:textId="77777777" w:rsidR="009E51A3" w:rsidRPr="00D27BF1" w:rsidRDefault="009E51A3" w:rsidP="009E51A3">
      <w:pPr>
        <w:ind w:firstLine="720"/>
        <w:rPr>
          <w:b/>
          <w:sz w:val="36"/>
          <w:szCs w:val="36"/>
        </w:rPr>
      </w:pPr>
      <w:r w:rsidRPr="00D27BF1">
        <w:rPr>
          <w:b/>
          <w:sz w:val="36"/>
          <w:szCs w:val="36"/>
        </w:rPr>
        <w:t>Nucala</w:t>
      </w:r>
      <w:r w:rsidR="00B60939" w:rsidRPr="00D27BF1">
        <w:rPr>
          <w:b/>
          <w:sz w:val="36"/>
          <w:szCs w:val="36"/>
          <w:vertAlign w:val="superscript"/>
        </w:rPr>
        <w:t>®</w:t>
      </w:r>
      <w:r w:rsidR="00B60939" w:rsidRPr="00D27BF1">
        <w:rPr>
          <w:b/>
          <w:sz w:val="36"/>
          <w:szCs w:val="36"/>
        </w:rPr>
        <w:t xml:space="preserve">, </w:t>
      </w:r>
    </w:p>
    <w:p w14:paraId="1EBF6B48" w14:textId="77777777" w:rsidR="00B60939" w:rsidRPr="00D27BF1" w:rsidRDefault="009E51A3" w:rsidP="009E51A3">
      <w:pPr>
        <w:ind w:firstLine="720"/>
        <w:rPr>
          <w:b/>
          <w:sz w:val="36"/>
          <w:szCs w:val="36"/>
        </w:rPr>
      </w:pPr>
      <w:r w:rsidRPr="00D27BF1">
        <w:rPr>
          <w:b/>
          <w:sz w:val="36"/>
          <w:szCs w:val="36"/>
        </w:rPr>
        <w:t>GlaxoSmithKline Australia Pty Ltd</w:t>
      </w:r>
      <w:r w:rsidR="00B60939" w:rsidRPr="00D27BF1">
        <w:rPr>
          <w:b/>
          <w:sz w:val="36"/>
          <w:szCs w:val="36"/>
        </w:rPr>
        <w:t>.</w:t>
      </w:r>
    </w:p>
    <w:p w14:paraId="30835896" w14:textId="77777777" w:rsidR="00B60939" w:rsidRPr="00D27BF1" w:rsidRDefault="00B60939" w:rsidP="00207D00"/>
    <w:p w14:paraId="39EA4B82" w14:textId="77777777" w:rsidR="00B50DB8" w:rsidRPr="00D27BF1" w:rsidRDefault="00B50DB8" w:rsidP="0061179F">
      <w:pPr>
        <w:pStyle w:val="PBACHeading1"/>
      </w:pPr>
      <w:bookmarkStart w:id="0" w:name="_Toc82528832"/>
      <w:r w:rsidRPr="00D27BF1">
        <w:t>Purpose of Application</w:t>
      </w:r>
      <w:bookmarkEnd w:id="0"/>
    </w:p>
    <w:p w14:paraId="2889AFD1" w14:textId="77777777" w:rsidR="000935A4" w:rsidRPr="00D27BF1" w:rsidRDefault="000935A4" w:rsidP="00B313EF">
      <w:pPr>
        <w:pStyle w:val="ListParagraph"/>
        <w:widowControl/>
        <w:numPr>
          <w:ilvl w:val="1"/>
          <w:numId w:val="2"/>
        </w:numPr>
      </w:pPr>
      <w:r w:rsidRPr="00D27BF1">
        <w:t xml:space="preserve">The submission requested an Authority Required Section 100 listing for mepolizumab for treatment of chronic rhinosinusitis (CRS) with nasal polyps (NP; collectively CRSwNP) </w:t>
      </w:r>
      <w:r w:rsidR="00457BC4" w:rsidRPr="00D27BF1">
        <w:t xml:space="preserve">for patients </w:t>
      </w:r>
      <w:r w:rsidRPr="00D27BF1">
        <w:t xml:space="preserve">who have received at least one previous surgery for the removal of NP (unless not suitable for surgery) and failed to achieve adequate control with optimised NP therapy (intranasal corticosteroids (INCS) unless contraindicated or not tolerated, </w:t>
      </w:r>
      <w:r w:rsidR="00A12557" w:rsidRPr="00D27BF1">
        <w:t>and</w:t>
      </w:r>
      <w:r w:rsidRPr="00D27BF1">
        <w:t xml:space="preserve"> oral corticosteroids (OCS) unless contraindicated or not tolerated), with a blood eosinophil count (BEC) greater than or equal to 150</w:t>
      </w:r>
      <w:r w:rsidR="00143AD5">
        <w:t xml:space="preserve"> </w:t>
      </w:r>
      <w:r w:rsidRPr="00D27BF1">
        <w:t>cells/µL. This was the first submission for mepolizumab for CRSwNP to be considered by PBAC. Mepolizumab is PBS listed for severe eosinophilic asthma.</w:t>
      </w:r>
    </w:p>
    <w:p w14:paraId="452AAF2E" w14:textId="77777777" w:rsidR="000935A4" w:rsidRPr="00D27BF1" w:rsidRDefault="000935A4" w:rsidP="00B313EF">
      <w:pPr>
        <w:pStyle w:val="ListParagraph"/>
        <w:widowControl/>
        <w:numPr>
          <w:ilvl w:val="1"/>
          <w:numId w:val="2"/>
        </w:numPr>
        <w:spacing w:after="120"/>
      </w:pPr>
      <w:r w:rsidRPr="00D27BF1">
        <w:t>The requested basis for listing is a cost-</w:t>
      </w:r>
      <w:r w:rsidR="004C602D" w:rsidRPr="00D27BF1">
        <w:t>effectiveness</w:t>
      </w:r>
      <w:r w:rsidRPr="00D27BF1">
        <w:t xml:space="preserve"> analysis compare</w:t>
      </w:r>
      <w:r w:rsidR="00AE5DEB" w:rsidRPr="00D27BF1">
        <w:t>d to standard of care (SoC) (</w:t>
      </w:r>
      <w:r w:rsidR="0020510D" w:rsidRPr="0020510D">
        <w:t>Table 1</w:t>
      </w:r>
      <w:r w:rsidRPr="00D27BF1">
        <w:t xml:space="preserve">). </w:t>
      </w:r>
    </w:p>
    <w:p w14:paraId="118F51C7" w14:textId="77777777" w:rsidR="008B1757" w:rsidRPr="00D27BF1" w:rsidRDefault="00AE5DEB" w:rsidP="008F48D2">
      <w:pPr>
        <w:keepNext/>
        <w:keepLines/>
        <w:rPr>
          <w:rStyle w:val="CommentReference"/>
          <w:rFonts w:ascii="Calibri" w:hAnsi="Calibri"/>
          <w:sz w:val="18"/>
          <w:szCs w:val="18"/>
        </w:rPr>
      </w:pPr>
      <w:bookmarkStart w:id="1" w:name="_Ref80531864"/>
      <w:r w:rsidRPr="00D27BF1">
        <w:rPr>
          <w:rStyle w:val="CommentReference"/>
        </w:rPr>
        <w:t xml:space="preserve">Table </w:t>
      </w:r>
      <w:r w:rsidR="0020510D">
        <w:rPr>
          <w:rStyle w:val="CommentReference"/>
          <w:noProof/>
        </w:rPr>
        <w:t>1</w:t>
      </w:r>
      <w:bookmarkEnd w:id="1"/>
      <w:r w:rsidR="004152B5" w:rsidRPr="00D27BF1">
        <w:rPr>
          <w:rStyle w:val="CommentReference"/>
        </w:rPr>
        <w:t xml:space="preserve">: </w:t>
      </w:r>
      <w:r w:rsidR="008B1757" w:rsidRPr="00D27BF1">
        <w:rPr>
          <w:rStyle w:val="CommentReference"/>
        </w:rPr>
        <w:t>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457BC4" w:rsidRPr="00D27BF1" w14:paraId="02CBEBF7" w14:textId="77777777" w:rsidTr="001D0AC6">
        <w:tc>
          <w:tcPr>
            <w:tcW w:w="1668" w:type="dxa"/>
            <w:vAlign w:val="center"/>
          </w:tcPr>
          <w:p w14:paraId="4240FF82" w14:textId="77777777" w:rsidR="00457BC4" w:rsidRPr="00D27BF1" w:rsidRDefault="00457BC4" w:rsidP="008F48D2">
            <w:pPr>
              <w:pStyle w:val="Tabletext"/>
              <w:keepNext/>
              <w:keepLines/>
              <w:rPr>
                <w:b/>
              </w:rPr>
            </w:pPr>
            <w:r w:rsidRPr="00D27BF1">
              <w:rPr>
                <w:b/>
              </w:rPr>
              <w:t>Component</w:t>
            </w:r>
          </w:p>
        </w:tc>
        <w:tc>
          <w:tcPr>
            <w:tcW w:w="7488" w:type="dxa"/>
            <w:vAlign w:val="center"/>
          </w:tcPr>
          <w:p w14:paraId="5296EB41" w14:textId="77777777" w:rsidR="00457BC4" w:rsidRPr="00D27BF1" w:rsidRDefault="00457BC4" w:rsidP="008F48D2">
            <w:pPr>
              <w:pStyle w:val="Tabletext"/>
              <w:keepNext/>
              <w:keepLines/>
              <w:jc w:val="center"/>
              <w:rPr>
                <w:b/>
              </w:rPr>
            </w:pPr>
            <w:r w:rsidRPr="00D27BF1">
              <w:rPr>
                <w:b/>
              </w:rPr>
              <w:t>Description</w:t>
            </w:r>
          </w:p>
        </w:tc>
      </w:tr>
      <w:tr w:rsidR="00457BC4" w:rsidRPr="00D27BF1" w14:paraId="0093E67C" w14:textId="77777777" w:rsidTr="001D0AC6">
        <w:tc>
          <w:tcPr>
            <w:tcW w:w="1668" w:type="dxa"/>
            <w:vAlign w:val="center"/>
          </w:tcPr>
          <w:p w14:paraId="642823EB" w14:textId="77777777" w:rsidR="00457BC4" w:rsidRPr="00D27BF1" w:rsidRDefault="00457BC4" w:rsidP="008F48D2">
            <w:pPr>
              <w:pStyle w:val="Tabletext"/>
              <w:keepNext/>
              <w:keepLines/>
            </w:pPr>
            <w:r w:rsidRPr="00D27BF1">
              <w:t>Population</w:t>
            </w:r>
          </w:p>
        </w:tc>
        <w:tc>
          <w:tcPr>
            <w:tcW w:w="7488" w:type="dxa"/>
            <w:vAlign w:val="center"/>
          </w:tcPr>
          <w:p w14:paraId="72F6C942" w14:textId="77777777" w:rsidR="00457BC4" w:rsidRPr="00D27BF1" w:rsidRDefault="00457BC4" w:rsidP="008F48D2">
            <w:pPr>
              <w:pStyle w:val="Tabletext"/>
              <w:keepNext/>
              <w:keepLines/>
            </w:pPr>
            <w:r w:rsidRPr="00D27BF1">
              <w:t>CRSwNP patients with a blood eosinophil count ≥150cells/µL who have received prior NP surgery and remain inadequately controlled with standard of care (defined as INCS, saline rinses and short courses of OCS).</w:t>
            </w:r>
          </w:p>
        </w:tc>
      </w:tr>
      <w:tr w:rsidR="00457BC4" w:rsidRPr="00D27BF1" w14:paraId="37B1E78E" w14:textId="77777777" w:rsidTr="001D0AC6">
        <w:tc>
          <w:tcPr>
            <w:tcW w:w="1668" w:type="dxa"/>
            <w:vAlign w:val="center"/>
          </w:tcPr>
          <w:p w14:paraId="44FDE01D" w14:textId="77777777" w:rsidR="00457BC4" w:rsidRPr="00D27BF1" w:rsidRDefault="00457BC4" w:rsidP="008F48D2">
            <w:pPr>
              <w:pStyle w:val="Tabletext"/>
              <w:keepNext/>
              <w:keepLines/>
            </w:pPr>
            <w:r w:rsidRPr="00D27BF1">
              <w:t>Intervention</w:t>
            </w:r>
          </w:p>
        </w:tc>
        <w:tc>
          <w:tcPr>
            <w:tcW w:w="7488" w:type="dxa"/>
            <w:vAlign w:val="center"/>
          </w:tcPr>
          <w:p w14:paraId="5A8B93CC" w14:textId="77777777" w:rsidR="00457BC4" w:rsidRPr="00D27BF1" w:rsidRDefault="00457BC4" w:rsidP="008F48D2">
            <w:pPr>
              <w:pStyle w:val="Tabletext"/>
              <w:keepNext/>
              <w:keepLines/>
            </w:pPr>
            <w:r w:rsidRPr="00D27BF1">
              <w:t>Mepolizumab 100 mg SC injection per patient by self-administration every 28 days.</w:t>
            </w:r>
          </w:p>
        </w:tc>
      </w:tr>
      <w:tr w:rsidR="00457BC4" w:rsidRPr="00D27BF1" w14:paraId="26B75A1C" w14:textId="77777777" w:rsidTr="001D0AC6">
        <w:tc>
          <w:tcPr>
            <w:tcW w:w="1668" w:type="dxa"/>
            <w:vAlign w:val="center"/>
          </w:tcPr>
          <w:p w14:paraId="3F0D0263" w14:textId="77777777" w:rsidR="00457BC4" w:rsidRPr="00D27BF1" w:rsidRDefault="00457BC4" w:rsidP="008F48D2">
            <w:pPr>
              <w:pStyle w:val="Tabletext"/>
              <w:keepNext/>
              <w:keepLines/>
            </w:pPr>
            <w:r w:rsidRPr="00D27BF1">
              <w:t>Comparator</w:t>
            </w:r>
          </w:p>
        </w:tc>
        <w:tc>
          <w:tcPr>
            <w:tcW w:w="7488" w:type="dxa"/>
            <w:vAlign w:val="center"/>
          </w:tcPr>
          <w:p w14:paraId="71215499" w14:textId="77777777" w:rsidR="00457BC4" w:rsidRPr="00D27BF1" w:rsidRDefault="00457BC4" w:rsidP="008F48D2">
            <w:pPr>
              <w:pStyle w:val="Tabletext"/>
              <w:keepNext/>
              <w:keepLines/>
            </w:pPr>
            <w:r w:rsidRPr="00D27BF1">
              <w:t>Standard of care (including INCS (drops/sprays/rinses), saline rinses and short courses of OCS).</w:t>
            </w:r>
          </w:p>
        </w:tc>
      </w:tr>
      <w:tr w:rsidR="00457BC4" w:rsidRPr="00D27BF1" w14:paraId="0C54D680" w14:textId="77777777" w:rsidTr="001D0AC6">
        <w:tc>
          <w:tcPr>
            <w:tcW w:w="1668" w:type="dxa"/>
            <w:vAlign w:val="center"/>
          </w:tcPr>
          <w:p w14:paraId="6308A6A2" w14:textId="77777777" w:rsidR="00457BC4" w:rsidRPr="00D27BF1" w:rsidRDefault="00457BC4" w:rsidP="008F48D2">
            <w:pPr>
              <w:pStyle w:val="Tabletext"/>
              <w:keepNext/>
              <w:keepLines/>
            </w:pPr>
            <w:r w:rsidRPr="00D27BF1">
              <w:t>Outcomes</w:t>
            </w:r>
          </w:p>
        </w:tc>
        <w:tc>
          <w:tcPr>
            <w:tcW w:w="7488" w:type="dxa"/>
            <w:vAlign w:val="center"/>
          </w:tcPr>
          <w:p w14:paraId="5DED731C" w14:textId="77777777" w:rsidR="00457BC4" w:rsidRPr="00D27BF1" w:rsidRDefault="00457BC4" w:rsidP="008F48D2">
            <w:pPr>
              <w:pStyle w:val="Tabletext"/>
              <w:keepNext/>
              <w:keepLines/>
            </w:pPr>
            <w:r w:rsidRPr="00D27BF1">
              <w:t>Primary endpoints: Total endoscopic nasal polyp (ENP) score, nasal obstruction visual analogue scale (VAS) score.</w:t>
            </w:r>
          </w:p>
          <w:p w14:paraId="7965E657" w14:textId="77777777" w:rsidR="00457BC4" w:rsidRPr="00D27BF1" w:rsidRDefault="00457BC4" w:rsidP="008F48D2">
            <w:pPr>
              <w:pStyle w:val="Tabletext"/>
              <w:keepNext/>
              <w:keepLines/>
            </w:pPr>
          </w:p>
          <w:p w14:paraId="55428A65" w14:textId="77777777" w:rsidR="00457BC4" w:rsidRPr="00D27BF1" w:rsidRDefault="00457BC4" w:rsidP="008F48D2">
            <w:pPr>
              <w:pStyle w:val="Tabletext"/>
              <w:keepNext/>
              <w:keepLines/>
            </w:pPr>
            <w:r w:rsidRPr="00D27BF1">
              <w:t xml:space="preserve">Secondary endpoints: Time to first actual NP surgery, overall VAS score, change from baseline in SNOT-22 total score, proportion of patients requiring systemic steroids for nasal polyps, composite VAS, individual VAS symptom score for loss of smell, clinically significant asthma exacerbations, change in ACQ-5 score. </w:t>
            </w:r>
          </w:p>
          <w:p w14:paraId="74C42904" w14:textId="77777777" w:rsidR="00457BC4" w:rsidRPr="00D27BF1" w:rsidRDefault="00457BC4" w:rsidP="008F48D2">
            <w:pPr>
              <w:pStyle w:val="Tabletext"/>
              <w:keepNext/>
              <w:keepLines/>
            </w:pPr>
          </w:p>
          <w:p w14:paraId="246686F9" w14:textId="77777777" w:rsidR="00457BC4" w:rsidRPr="00D27BF1" w:rsidRDefault="00457BC4" w:rsidP="008F48D2">
            <w:pPr>
              <w:pStyle w:val="Tabletext"/>
              <w:keepNext/>
              <w:keepLines/>
            </w:pPr>
            <w:r w:rsidRPr="00D27BF1">
              <w:t>Safety: Rates of adverse events (AEs) and serious AEs (fatal and non-fatal).</w:t>
            </w:r>
          </w:p>
        </w:tc>
      </w:tr>
      <w:tr w:rsidR="00457BC4" w:rsidRPr="00D27BF1" w14:paraId="644D5037" w14:textId="77777777" w:rsidTr="001D0AC6">
        <w:tc>
          <w:tcPr>
            <w:tcW w:w="1668" w:type="dxa"/>
            <w:vAlign w:val="center"/>
          </w:tcPr>
          <w:p w14:paraId="2DB5B063" w14:textId="77777777" w:rsidR="00457BC4" w:rsidRPr="00D27BF1" w:rsidRDefault="00457BC4" w:rsidP="008F48D2">
            <w:pPr>
              <w:pStyle w:val="Tabletext"/>
              <w:keepNext/>
              <w:keepLines/>
            </w:pPr>
            <w:r w:rsidRPr="00D27BF1">
              <w:t>Clinical claim</w:t>
            </w:r>
          </w:p>
        </w:tc>
        <w:tc>
          <w:tcPr>
            <w:tcW w:w="7488" w:type="dxa"/>
            <w:vAlign w:val="center"/>
          </w:tcPr>
          <w:p w14:paraId="2E3C8F2C" w14:textId="77777777" w:rsidR="00457BC4" w:rsidRPr="00D27BF1" w:rsidRDefault="00457BC4" w:rsidP="008F48D2">
            <w:pPr>
              <w:pStyle w:val="Tabletext"/>
              <w:keepNext/>
              <w:keepLines/>
            </w:pPr>
            <w:r w:rsidRPr="00D27BF1">
              <w:t>Mepolizumab has superior efficacy and comparable safety to standard of care for patients with recurrent severe bilateral NP who have received prior NP surgery.</w:t>
            </w:r>
          </w:p>
        </w:tc>
      </w:tr>
    </w:tbl>
    <w:p w14:paraId="050B47E5" w14:textId="77777777" w:rsidR="00457BC4" w:rsidRPr="00D27BF1" w:rsidRDefault="00457BC4" w:rsidP="008F48D2">
      <w:pPr>
        <w:pStyle w:val="TableFooter"/>
        <w:keepNext/>
        <w:keepLines/>
      </w:pPr>
      <w:r w:rsidRPr="00D27BF1">
        <w:t>Source: Table</w:t>
      </w:r>
      <w:r w:rsidR="00D27BF1">
        <w:t xml:space="preserve"> </w:t>
      </w:r>
      <w:r w:rsidRPr="00D27BF1">
        <w:t>1-1, p16 of the submission.</w:t>
      </w:r>
    </w:p>
    <w:p w14:paraId="1CD1BD9D" w14:textId="77777777" w:rsidR="00457BC4" w:rsidRDefault="00457BC4" w:rsidP="008F48D2">
      <w:pPr>
        <w:pStyle w:val="TableFooter"/>
        <w:keepNext/>
        <w:keepLines/>
      </w:pPr>
      <w:r w:rsidRPr="00D27BF1">
        <w:t xml:space="preserve">ACQ-5= asthma control questionnaire; AE= adverse event; CRSwNP= chronic rhinosinusitis with nasal polyps; INCS= intranasal corticosteroids; NP= nasal polyps; OCS= oral corticosteroids; QoL= quality of life; SC= subcutaneous; SNOT-22= sino-nasal outcomes test (22 items); VAS= visual analogue scale. </w:t>
      </w:r>
    </w:p>
    <w:p w14:paraId="27A1E661" w14:textId="681541DF" w:rsidR="00152931" w:rsidRDefault="00152931">
      <w:pPr>
        <w:widowControl/>
        <w:jc w:val="left"/>
      </w:pPr>
      <w:r>
        <w:br w:type="page"/>
      </w:r>
    </w:p>
    <w:p w14:paraId="090FCDDD" w14:textId="77777777" w:rsidR="00D85543" w:rsidRDefault="00D85543" w:rsidP="00D85543">
      <w:pPr>
        <w:pStyle w:val="PBACHeading1"/>
      </w:pPr>
      <w:bookmarkStart w:id="2" w:name="_Toc82528833"/>
      <w:r w:rsidRPr="00D27BF1">
        <w:lastRenderedPageBreak/>
        <w:t>Background</w:t>
      </w:r>
      <w:bookmarkEnd w:id="2"/>
    </w:p>
    <w:p w14:paraId="04FA30F8" w14:textId="77777777" w:rsidR="00D85543" w:rsidRPr="00D27BF1" w:rsidRDefault="00D85543" w:rsidP="00D85543">
      <w:pPr>
        <w:rPr>
          <w:b/>
          <w:i/>
          <w:sz w:val="28"/>
          <w:szCs w:val="28"/>
        </w:rPr>
      </w:pPr>
      <w:r w:rsidRPr="00D27BF1">
        <w:rPr>
          <w:b/>
          <w:i/>
          <w:sz w:val="28"/>
          <w:szCs w:val="28"/>
        </w:rPr>
        <w:t>Registration status</w:t>
      </w:r>
    </w:p>
    <w:p w14:paraId="518BC499" w14:textId="6D86DE46" w:rsidR="00D85543" w:rsidRPr="00D27BF1" w:rsidRDefault="000B0FD7" w:rsidP="00D85543">
      <w:pPr>
        <w:pStyle w:val="ListParagraph"/>
        <w:widowControl/>
        <w:numPr>
          <w:ilvl w:val="1"/>
          <w:numId w:val="2"/>
        </w:numPr>
      </w:pPr>
      <w:r w:rsidRPr="00F91542">
        <w:rPr>
          <w:rFonts w:asciiTheme="minorHAnsi" w:hAnsiTheme="minorHAnsi" w:cstheme="minorHAnsi"/>
          <w:b/>
          <w:bCs/>
        </w:rPr>
        <w:t>TGA status at time of PBAC consideration</w:t>
      </w:r>
      <w:r>
        <w:rPr>
          <w:rFonts w:asciiTheme="minorHAnsi" w:hAnsiTheme="minorHAnsi" w:cstheme="minorHAnsi"/>
          <w:b/>
          <w:bCs/>
        </w:rPr>
        <w:t>:</w:t>
      </w:r>
      <w:r w:rsidRPr="00D27BF1">
        <w:t xml:space="preserve"> </w:t>
      </w:r>
      <w:r w:rsidR="00D85543" w:rsidRPr="00D27BF1">
        <w:t xml:space="preserve">The submission was made under TGA/PBAC Parallel Process. At the time of evaluation for PBAC consideration, the TGA Clinical Evaluation Report (CER) (round 1) was available with the submission. </w:t>
      </w:r>
      <w:r w:rsidR="00D85543" w:rsidRPr="000A0F42">
        <w:t>The submission stated that the delegate’s decision was expected in January 2022.</w:t>
      </w:r>
      <w:r w:rsidR="00D85543" w:rsidRPr="00D27BF1">
        <w:t xml:space="preserve"> </w:t>
      </w:r>
    </w:p>
    <w:p w14:paraId="7A01FE7D" w14:textId="77777777" w:rsidR="00D85543" w:rsidRPr="00D27BF1" w:rsidRDefault="00D85543" w:rsidP="00D85543">
      <w:pPr>
        <w:pStyle w:val="ListParagraph"/>
        <w:widowControl/>
        <w:numPr>
          <w:ilvl w:val="1"/>
          <w:numId w:val="2"/>
        </w:numPr>
      </w:pPr>
      <w:r w:rsidRPr="00D27BF1">
        <w:t xml:space="preserve">The proposed indication was: </w:t>
      </w:r>
    </w:p>
    <w:p w14:paraId="398D0A9B" w14:textId="77777777" w:rsidR="00D85543" w:rsidRPr="00D27BF1" w:rsidRDefault="001C6D7A" w:rsidP="00D85543">
      <w:pPr>
        <w:pStyle w:val="ListParagraph"/>
        <w:widowControl/>
      </w:pPr>
      <w:r w:rsidRPr="00D27BF1">
        <w:t>Mepolizumab</w:t>
      </w:r>
      <w:r w:rsidR="00D85543" w:rsidRPr="00D27BF1">
        <w:t xml:space="preserve"> is indicated as add-on maintenance treatment of adult patients with inadequately controlled chronic rhinosinusitis with nasal polyps (CRSwNP).</w:t>
      </w:r>
    </w:p>
    <w:p w14:paraId="72DCA643" w14:textId="77777777" w:rsidR="00D85543" w:rsidRPr="00D27BF1" w:rsidRDefault="00D85543" w:rsidP="00D85543">
      <w:pPr>
        <w:pStyle w:val="ListParagraph"/>
        <w:widowControl/>
        <w:numPr>
          <w:ilvl w:val="1"/>
          <w:numId w:val="2"/>
        </w:numPr>
      </w:pPr>
      <w:r w:rsidRPr="00D27BF1">
        <w:t xml:space="preserve">The TGA evaluator concluded (TGA </w:t>
      </w:r>
      <w:r w:rsidR="00B92043" w:rsidRPr="00D27BF1">
        <w:t>CER</w:t>
      </w:r>
      <w:r w:rsidRPr="00D27BF1">
        <w:t xml:space="preserve"> (round 1)</w:t>
      </w:r>
      <w:r w:rsidR="001C6D7A" w:rsidRPr="00D27BF1">
        <w:t xml:space="preserve">, p76) that </w:t>
      </w:r>
      <w:r w:rsidRPr="00D27BF1">
        <w:t>it is appropriate to reword the indication to be more consistent with the inclusion criteria for the studies. The indication should be:</w:t>
      </w:r>
    </w:p>
    <w:p w14:paraId="15E33CE6" w14:textId="77777777" w:rsidR="00D85543" w:rsidRPr="00D27BF1" w:rsidRDefault="001C6D7A" w:rsidP="0065490A">
      <w:pPr>
        <w:pStyle w:val="ListParagraph"/>
        <w:widowControl/>
      </w:pPr>
      <w:r w:rsidRPr="00D27BF1">
        <w:t>Mepolizumab</w:t>
      </w:r>
      <w:r w:rsidR="00D85543" w:rsidRPr="00D27BF1">
        <w:t xml:space="preserve"> is indicated as add-on treatment in adult patients (18 years and above) with severe chronic rhinosinusitis with nasal polyps (CRSwNP) and an inadequate response</w:t>
      </w:r>
      <w:r w:rsidRPr="00D27BF1">
        <w:t xml:space="preserve"> to intranasal corticosteroids.</w:t>
      </w:r>
    </w:p>
    <w:p w14:paraId="49A3EE0A" w14:textId="77777777" w:rsidR="001C6D7A" w:rsidRPr="001C4799" w:rsidRDefault="001C6D7A" w:rsidP="001C6D7A">
      <w:pPr>
        <w:pStyle w:val="ListParagraph"/>
        <w:widowControl/>
        <w:numPr>
          <w:ilvl w:val="1"/>
          <w:numId w:val="2"/>
        </w:numPr>
        <w:rPr>
          <w:i/>
        </w:rPr>
      </w:pPr>
      <w:r w:rsidRPr="00D27BF1">
        <w:rPr>
          <w:iCs/>
        </w:rPr>
        <w:t>Mepolizumab is currently TGA registered for severe eosinophilic asthma and relapsed or refractory eosinophilic granulomatosis with polyangiitis.</w:t>
      </w:r>
    </w:p>
    <w:p w14:paraId="30EFCF19" w14:textId="77777777" w:rsidR="001C4799" w:rsidRPr="001C4799" w:rsidRDefault="001C4799" w:rsidP="001C4799">
      <w:pPr>
        <w:pStyle w:val="ListParagraph"/>
        <w:widowControl/>
        <w:rPr>
          <w:i/>
          <w:iCs/>
        </w:rPr>
      </w:pPr>
      <w:bookmarkStart w:id="3" w:name="_Hlk76375324"/>
      <w:r w:rsidRPr="001C4799">
        <w:rPr>
          <w:i/>
          <w:iCs/>
        </w:rPr>
        <w:t>For more detail on PBAC’s view, see section 7 PBAC outcome.</w:t>
      </w:r>
      <w:bookmarkEnd w:id="3"/>
    </w:p>
    <w:p w14:paraId="7AE8C746" w14:textId="77777777" w:rsidR="00B60939" w:rsidRDefault="00B50DB8" w:rsidP="004B1CB4">
      <w:pPr>
        <w:pStyle w:val="PBACHeading1"/>
      </w:pPr>
      <w:bookmarkStart w:id="4" w:name="_Toc82528834"/>
      <w:r w:rsidRPr="00D27BF1">
        <w:t>Requested listing</w:t>
      </w:r>
      <w:bookmarkEnd w:id="4"/>
    </w:p>
    <w:p w14:paraId="41303FF3" w14:textId="61EE80D5" w:rsidR="00A25838" w:rsidRDefault="000A0F42" w:rsidP="000A0F42">
      <w:pPr>
        <w:pStyle w:val="ListParagraph"/>
        <w:widowControl/>
        <w:numPr>
          <w:ilvl w:val="1"/>
          <w:numId w:val="2"/>
        </w:numPr>
      </w:pPr>
      <w:r w:rsidRPr="000A0F42">
        <w:t>Suggestions and additions proposed by the Secretariat are added in italics and suggested deletions are crossed out with strikethrough.</w:t>
      </w:r>
    </w:p>
    <w:p w14:paraId="15D14DFD" w14:textId="77777777" w:rsidR="00A25838" w:rsidRDefault="00A25838">
      <w:pPr>
        <w:widowControl/>
        <w:jc w:val="left"/>
      </w:pPr>
      <w:r>
        <w:br w:type="page"/>
      </w:r>
    </w:p>
    <w:p w14:paraId="4D62CA0F" w14:textId="77777777" w:rsidR="00617E12" w:rsidRPr="00D27BF1" w:rsidRDefault="00617E12" w:rsidP="00A25838">
      <w:pPr>
        <w:widowControl/>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708"/>
        <w:gridCol w:w="1134"/>
        <w:gridCol w:w="992"/>
        <w:gridCol w:w="850"/>
        <w:gridCol w:w="709"/>
        <w:gridCol w:w="1701"/>
        <w:gridCol w:w="992"/>
      </w:tblGrid>
      <w:tr w:rsidR="00CB270C" w:rsidRPr="00D27BF1" w14:paraId="4D079EF2" w14:textId="77777777" w:rsidTr="00CB270C">
        <w:trPr>
          <w:cantSplit/>
          <w:trHeight w:val="471"/>
        </w:trPr>
        <w:tc>
          <w:tcPr>
            <w:tcW w:w="2689" w:type="dxa"/>
            <w:gridSpan w:val="2"/>
          </w:tcPr>
          <w:p w14:paraId="73122AA3" w14:textId="77777777" w:rsidR="00CB270C" w:rsidRPr="00D27BF1" w:rsidRDefault="00CB270C" w:rsidP="00C24B3B">
            <w:pPr>
              <w:keepNext/>
              <w:ind w:left="-57"/>
              <w:rPr>
                <w:rFonts w:ascii="Arial Narrow" w:hAnsi="Arial Narrow"/>
                <w:b/>
                <w:bCs/>
                <w:sz w:val="20"/>
                <w:szCs w:val="20"/>
              </w:rPr>
            </w:pPr>
            <w:r w:rsidRPr="00D27BF1">
              <w:rPr>
                <w:rFonts w:ascii="Arial Narrow" w:hAnsi="Arial Narrow"/>
                <w:b/>
                <w:bCs/>
                <w:sz w:val="20"/>
                <w:szCs w:val="20"/>
              </w:rPr>
              <w:t>MEDICINAL PRODUCT</w:t>
            </w:r>
          </w:p>
          <w:p w14:paraId="1AFA957F" w14:textId="77777777" w:rsidR="00CB270C" w:rsidRPr="00D27BF1" w:rsidRDefault="00CB270C" w:rsidP="00C24B3B">
            <w:pPr>
              <w:keepNext/>
              <w:ind w:left="-57"/>
              <w:rPr>
                <w:rFonts w:ascii="Arial Narrow" w:hAnsi="Arial Narrow"/>
                <w:b/>
                <w:sz w:val="20"/>
                <w:szCs w:val="20"/>
              </w:rPr>
            </w:pPr>
            <w:r w:rsidRPr="00D27BF1">
              <w:rPr>
                <w:rFonts w:ascii="Arial Narrow" w:hAnsi="Arial Narrow"/>
                <w:b/>
                <w:bCs/>
                <w:sz w:val="20"/>
                <w:szCs w:val="20"/>
              </w:rPr>
              <w:t>medicinal product pack</w:t>
            </w:r>
          </w:p>
        </w:tc>
        <w:tc>
          <w:tcPr>
            <w:tcW w:w="1134" w:type="dxa"/>
          </w:tcPr>
          <w:p w14:paraId="1A45DA5E" w14:textId="77777777" w:rsidR="00CB270C" w:rsidRPr="00D27BF1" w:rsidRDefault="00CB270C" w:rsidP="00C24B3B">
            <w:pPr>
              <w:keepNext/>
              <w:ind w:left="-108"/>
              <w:jc w:val="center"/>
              <w:rPr>
                <w:rFonts w:ascii="Arial Narrow" w:hAnsi="Arial Narrow"/>
                <w:b/>
                <w:sz w:val="20"/>
                <w:szCs w:val="20"/>
              </w:rPr>
            </w:pPr>
            <w:r w:rsidRPr="00D27BF1">
              <w:rPr>
                <w:rFonts w:ascii="Arial Narrow" w:hAnsi="Arial Narrow"/>
                <w:b/>
                <w:sz w:val="20"/>
                <w:szCs w:val="20"/>
              </w:rPr>
              <w:t>PBS item code</w:t>
            </w:r>
          </w:p>
        </w:tc>
        <w:tc>
          <w:tcPr>
            <w:tcW w:w="992" w:type="dxa"/>
          </w:tcPr>
          <w:p w14:paraId="04D70897" w14:textId="77777777" w:rsidR="00CB270C" w:rsidRPr="00D27BF1" w:rsidRDefault="00CB270C" w:rsidP="00C24B3B">
            <w:pPr>
              <w:keepNext/>
              <w:ind w:left="-108"/>
              <w:jc w:val="center"/>
              <w:rPr>
                <w:rFonts w:ascii="Arial Narrow" w:hAnsi="Arial Narrow"/>
                <w:b/>
                <w:sz w:val="20"/>
                <w:szCs w:val="20"/>
              </w:rPr>
            </w:pPr>
            <w:r w:rsidRPr="00D27BF1">
              <w:rPr>
                <w:rFonts w:ascii="Arial Narrow" w:hAnsi="Arial Narrow"/>
                <w:b/>
                <w:sz w:val="20"/>
                <w:szCs w:val="20"/>
              </w:rPr>
              <w:t>Max. qty packs</w:t>
            </w:r>
          </w:p>
        </w:tc>
        <w:tc>
          <w:tcPr>
            <w:tcW w:w="850" w:type="dxa"/>
          </w:tcPr>
          <w:p w14:paraId="4871446C" w14:textId="77777777" w:rsidR="00CB270C" w:rsidRPr="00D27BF1" w:rsidRDefault="00CB270C" w:rsidP="00C24B3B">
            <w:pPr>
              <w:keepNext/>
              <w:ind w:left="-108"/>
              <w:jc w:val="center"/>
              <w:rPr>
                <w:rFonts w:ascii="Arial Narrow" w:hAnsi="Arial Narrow"/>
                <w:b/>
                <w:sz w:val="20"/>
                <w:szCs w:val="20"/>
              </w:rPr>
            </w:pPr>
            <w:r w:rsidRPr="00D27BF1">
              <w:rPr>
                <w:rFonts w:ascii="Arial Narrow" w:hAnsi="Arial Narrow"/>
                <w:b/>
                <w:sz w:val="20"/>
                <w:szCs w:val="20"/>
              </w:rPr>
              <w:t>Max. qty units</w:t>
            </w:r>
          </w:p>
        </w:tc>
        <w:tc>
          <w:tcPr>
            <w:tcW w:w="709" w:type="dxa"/>
          </w:tcPr>
          <w:p w14:paraId="3C5ACC96" w14:textId="77777777" w:rsidR="00CB270C" w:rsidRPr="00D27BF1" w:rsidRDefault="00CB270C" w:rsidP="00C24B3B">
            <w:pPr>
              <w:keepNext/>
              <w:ind w:left="-108"/>
              <w:jc w:val="center"/>
              <w:rPr>
                <w:rFonts w:ascii="Arial Narrow" w:hAnsi="Arial Narrow"/>
                <w:b/>
                <w:sz w:val="20"/>
                <w:szCs w:val="20"/>
              </w:rPr>
            </w:pPr>
            <w:r w:rsidRPr="00D27BF1">
              <w:rPr>
                <w:rFonts w:ascii="Arial Narrow" w:hAnsi="Arial Narrow"/>
                <w:b/>
                <w:sz w:val="20"/>
                <w:szCs w:val="20"/>
              </w:rPr>
              <w:t>№.of</w:t>
            </w:r>
            <w:r>
              <w:rPr>
                <w:rFonts w:ascii="Arial Narrow" w:hAnsi="Arial Narrow"/>
                <w:b/>
                <w:sz w:val="20"/>
                <w:szCs w:val="20"/>
              </w:rPr>
              <w:t xml:space="preserve"> Rpts</w:t>
            </w:r>
          </w:p>
        </w:tc>
        <w:tc>
          <w:tcPr>
            <w:tcW w:w="1701" w:type="dxa"/>
          </w:tcPr>
          <w:p w14:paraId="026758CF" w14:textId="77777777" w:rsidR="00CB270C" w:rsidRPr="00D27BF1" w:rsidRDefault="00CB270C" w:rsidP="00C24B3B">
            <w:pPr>
              <w:keepNext/>
              <w:ind w:left="-108"/>
              <w:jc w:val="center"/>
              <w:rPr>
                <w:rFonts w:ascii="Arial Narrow" w:hAnsi="Arial Narrow"/>
                <w:b/>
                <w:sz w:val="20"/>
                <w:szCs w:val="20"/>
              </w:rPr>
            </w:pPr>
            <w:r w:rsidRPr="00D27BF1">
              <w:rPr>
                <w:rFonts w:ascii="Arial Narrow" w:hAnsi="Arial Narrow"/>
                <w:b/>
                <w:sz w:val="20"/>
              </w:rPr>
              <w:t>Dispensed Price for Max. Qty</w:t>
            </w:r>
          </w:p>
        </w:tc>
        <w:tc>
          <w:tcPr>
            <w:tcW w:w="992" w:type="dxa"/>
          </w:tcPr>
          <w:p w14:paraId="51C6A729" w14:textId="77777777" w:rsidR="00CB270C" w:rsidRPr="00D27BF1" w:rsidRDefault="00CB270C" w:rsidP="00C24B3B">
            <w:pPr>
              <w:keepNext/>
              <w:rPr>
                <w:rFonts w:ascii="Arial Narrow" w:hAnsi="Arial Narrow"/>
                <w:b/>
                <w:sz w:val="20"/>
                <w:szCs w:val="20"/>
              </w:rPr>
            </w:pPr>
            <w:r w:rsidRPr="00D27BF1">
              <w:rPr>
                <w:rFonts w:ascii="Arial Narrow" w:hAnsi="Arial Narrow"/>
                <w:b/>
                <w:sz w:val="20"/>
                <w:szCs w:val="20"/>
              </w:rPr>
              <w:t>Available brands</w:t>
            </w:r>
          </w:p>
        </w:tc>
      </w:tr>
      <w:tr w:rsidR="000A0F42" w:rsidRPr="00D27BF1" w14:paraId="44438586" w14:textId="77777777" w:rsidTr="00C24B3B">
        <w:trPr>
          <w:cantSplit/>
          <w:trHeight w:val="224"/>
        </w:trPr>
        <w:tc>
          <w:tcPr>
            <w:tcW w:w="9067" w:type="dxa"/>
            <w:gridSpan w:val="8"/>
          </w:tcPr>
          <w:p w14:paraId="38698C98" w14:textId="77777777" w:rsidR="000A0F42" w:rsidRPr="00D27BF1" w:rsidRDefault="000A0F42" w:rsidP="00C24B3B">
            <w:pPr>
              <w:keepNext/>
              <w:ind w:left="-57"/>
              <w:rPr>
                <w:rFonts w:ascii="Arial Narrow" w:hAnsi="Arial Narrow"/>
                <w:sz w:val="20"/>
                <w:szCs w:val="20"/>
              </w:rPr>
            </w:pPr>
            <w:r w:rsidRPr="00D27BF1">
              <w:rPr>
                <w:rFonts w:ascii="Arial Narrow" w:hAnsi="Arial Narrow"/>
                <w:sz w:val="20"/>
                <w:szCs w:val="20"/>
              </w:rPr>
              <w:t>MEPOLIZUMAB</w:t>
            </w:r>
          </w:p>
        </w:tc>
      </w:tr>
      <w:tr w:rsidR="00CB270C" w:rsidRPr="00D27BF1" w14:paraId="1A6C13F3" w14:textId="77777777" w:rsidTr="00CB270C">
        <w:trPr>
          <w:cantSplit/>
          <w:trHeight w:val="553"/>
        </w:trPr>
        <w:tc>
          <w:tcPr>
            <w:tcW w:w="2689" w:type="dxa"/>
            <w:gridSpan w:val="2"/>
          </w:tcPr>
          <w:p w14:paraId="6D664B81" w14:textId="77777777" w:rsidR="00CB270C" w:rsidRPr="000A0F42" w:rsidRDefault="00CB270C" w:rsidP="00C24B3B">
            <w:pPr>
              <w:keepNext/>
              <w:ind w:left="-57"/>
              <w:rPr>
                <w:rFonts w:ascii="Arial Narrow" w:hAnsi="Arial Narrow"/>
                <w:sz w:val="20"/>
                <w:szCs w:val="20"/>
              </w:rPr>
            </w:pPr>
            <w:r w:rsidRPr="000A0F42">
              <w:rPr>
                <w:rFonts w:ascii="Arial Narrow" w:hAnsi="Arial Narrow"/>
                <w:sz w:val="20"/>
                <w:szCs w:val="20"/>
              </w:rPr>
              <w:t>mepolizumab 100 mg/mL injection, 1 mL syringe</w:t>
            </w:r>
          </w:p>
        </w:tc>
        <w:tc>
          <w:tcPr>
            <w:tcW w:w="1134" w:type="dxa"/>
          </w:tcPr>
          <w:p w14:paraId="086B8E4D" w14:textId="77777777" w:rsidR="00CB270C" w:rsidRPr="000A0F42" w:rsidRDefault="00CB270C" w:rsidP="00C24B3B">
            <w:pPr>
              <w:keepNext/>
              <w:jc w:val="center"/>
              <w:rPr>
                <w:rFonts w:ascii="Arial Narrow" w:hAnsi="Arial Narrow"/>
                <w:sz w:val="20"/>
                <w:szCs w:val="20"/>
              </w:rPr>
            </w:pPr>
            <w:r w:rsidRPr="000A0F42">
              <w:rPr>
                <w:rFonts w:ascii="Arial Narrow" w:hAnsi="Arial Narrow"/>
                <w:sz w:val="20"/>
                <w:szCs w:val="20"/>
              </w:rPr>
              <w:t>NEW public</w:t>
            </w:r>
          </w:p>
          <w:p w14:paraId="213ECBF5" w14:textId="77777777" w:rsidR="00CB270C" w:rsidRPr="000A0F42" w:rsidRDefault="00CB270C" w:rsidP="00C24B3B">
            <w:pPr>
              <w:keepNext/>
              <w:jc w:val="center"/>
              <w:rPr>
                <w:rFonts w:ascii="Arial Narrow" w:hAnsi="Arial Narrow"/>
                <w:sz w:val="20"/>
                <w:szCs w:val="20"/>
              </w:rPr>
            </w:pPr>
            <w:r w:rsidRPr="000A0F42">
              <w:rPr>
                <w:rFonts w:ascii="Arial Narrow" w:hAnsi="Arial Narrow"/>
                <w:sz w:val="20"/>
                <w:szCs w:val="20"/>
              </w:rPr>
              <w:t>NEW private</w:t>
            </w:r>
          </w:p>
        </w:tc>
        <w:tc>
          <w:tcPr>
            <w:tcW w:w="992" w:type="dxa"/>
          </w:tcPr>
          <w:p w14:paraId="01234163" w14:textId="77777777" w:rsidR="00CB270C" w:rsidRPr="000A0F42" w:rsidRDefault="00CB270C" w:rsidP="00C24B3B">
            <w:pPr>
              <w:keepNext/>
              <w:jc w:val="center"/>
              <w:rPr>
                <w:rFonts w:ascii="Arial Narrow" w:hAnsi="Arial Narrow"/>
                <w:sz w:val="20"/>
                <w:szCs w:val="20"/>
              </w:rPr>
            </w:pPr>
            <w:r w:rsidRPr="000A0F42">
              <w:rPr>
                <w:rFonts w:ascii="Arial Narrow" w:hAnsi="Arial Narrow"/>
                <w:sz w:val="20"/>
                <w:szCs w:val="20"/>
              </w:rPr>
              <w:t>1</w:t>
            </w:r>
          </w:p>
          <w:p w14:paraId="40901C1A" w14:textId="77777777" w:rsidR="00CB270C" w:rsidRPr="000A0F42" w:rsidRDefault="00CB270C" w:rsidP="00C24B3B">
            <w:pPr>
              <w:keepNext/>
              <w:jc w:val="center"/>
              <w:rPr>
                <w:rFonts w:ascii="Arial Narrow" w:hAnsi="Arial Narrow"/>
                <w:sz w:val="20"/>
                <w:szCs w:val="20"/>
              </w:rPr>
            </w:pPr>
            <w:r w:rsidRPr="000A0F42">
              <w:rPr>
                <w:rFonts w:ascii="Arial Narrow" w:hAnsi="Arial Narrow"/>
                <w:sz w:val="20"/>
                <w:szCs w:val="20"/>
              </w:rPr>
              <w:t>1</w:t>
            </w:r>
          </w:p>
        </w:tc>
        <w:tc>
          <w:tcPr>
            <w:tcW w:w="850" w:type="dxa"/>
          </w:tcPr>
          <w:p w14:paraId="7392E091" w14:textId="77777777" w:rsidR="00CB270C" w:rsidRPr="000A0F42" w:rsidRDefault="00CB270C" w:rsidP="00C24B3B">
            <w:pPr>
              <w:keepNext/>
              <w:jc w:val="center"/>
              <w:rPr>
                <w:rFonts w:ascii="Arial Narrow" w:hAnsi="Arial Narrow"/>
                <w:sz w:val="20"/>
                <w:szCs w:val="20"/>
              </w:rPr>
            </w:pPr>
            <w:r w:rsidRPr="000A0F42">
              <w:rPr>
                <w:rFonts w:ascii="Arial Narrow" w:hAnsi="Arial Narrow"/>
                <w:sz w:val="20"/>
                <w:szCs w:val="20"/>
              </w:rPr>
              <w:t>1</w:t>
            </w:r>
          </w:p>
          <w:p w14:paraId="64BE1F26" w14:textId="77777777" w:rsidR="00CB270C" w:rsidRPr="000A0F42" w:rsidRDefault="00CB270C" w:rsidP="00C24B3B">
            <w:pPr>
              <w:keepNext/>
              <w:jc w:val="center"/>
              <w:rPr>
                <w:rFonts w:ascii="Arial Narrow" w:hAnsi="Arial Narrow"/>
                <w:sz w:val="20"/>
                <w:szCs w:val="20"/>
              </w:rPr>
            </w:pPr>
            <w:r w:rsidRPr="000A0F42">
              <w:rPr>
                <w:rFonts w:ascii="Arial Narrow" w:hAnsi="Arial Narrow"/>
                <w:sz w:val="20"/>
                <w:szCs w:val="20"/>
              </w:rPr>
              <w:t>1</w:t>
            </w:r>
          </w:p>
        </w:tc>
        <w:tc>
          <w:tcPr>
            <w:tcW w:w="709" w:type="dxa"/>
          </w:tcPr>
          <w:p w14:paraId="6CBDD409" w14:textId="77777777" w:rsidR="00CB270C" w:rsidRDefault="00CB270C" w:rsidP="00C24B3B">
            <w:pPr>
              <w:keepNext/>
              <w:jc w:val="center"/>
              <w:rPr>
                <w:rFonts w:ascii="Arial Narrow" w:hAnsi="Arial Narrow"/>
                <w:sz w:val="20"/>
                <w:szCs w:val="20"/>
              </w:rPr>
            </w:pPr>
            <w:r w:rsidRPr="000A0F42">
              <w:rPr>
                <w:rFonts w:ascii="Arial Narrow" w:hAnsi="Arial Narrow"/>
                <w:sz w:val="20"/>
                <w:szCs w:val="20"/>
              </w:rPr>
              <w:t>5</w:t>
            </w:r>
          </w:p>
          <w:p w14:paraId="497C584D" w14:textId="77777777" w:rsidR="00CB270C" w:rsidRPr="000A0F42" w:rsidRDefault="00CB270C" w:rsidP="00C24B3B">
            <w:pPr>
              <w:keepNext/>
              <w:jc w:val="center"/>
              <w:rPr>
                <w:rFonts w:ascii="Arial Narrow" w:hAnsi="Arial Narrow"/>
                <w:sz w:val="20"/>
                <w:szCs w:val="20"/>
              </w:rPr>
            </w:pPr>
            <w:r>
              <w:rPr>
                <w:rFonts w:ascii="Arial Narrow" w:hAnsi="Arial Narrow"/>
                <w:sz w:val="20"/>
                <w:szCs w:val="20"/>
              </w:rPr>
              <w:t>5</w:t>
            </w:r>
          </w:p>
        </w:tc>
        <w:tc>
          <w:tcPr>
            <w:tcW w:w="1701" w:type="dxa"/>
          </w:tcPr>
          <w:p w14:paraId="425465B4" w14:textId="77777777" w:rsidR="00CB270C" w:rsidRPr="00D27BF1" w:rsidRDefault="00CB270C" w:rsidP="00CB270C">
            <w:pPr>
              <w:pStyle w:val="Tabletext"/>
              <w:jc w:val="center"/>
            </w:pPr>
            <w:r w:rsidRPr="00D27BF1">
              <w:t>Published price</w:t>
            </w:r>
          </w:p>
          <w:p w14:paraId="3ACE7B2A" w14:textId="77777777" w:rsidR="00CB270C" w:rsidRPr="00D27BF1" w:rsidRDefault="00CB270C" w:rsidP="00CB270C">
            <w:pPr>
              <w:pStyle w:val="Tabletext"/>
              <w:jc w:val="center"/>
            </w:pPr>
            <w:r w:rsidRPr="00D27BF1">
              <w:t>$1,638.00 (public)</w:t>
            </w:r>
          </w:p>
          <w:p w14:paraId="1E57CCC2" w14:textId="7C7B94E3" w:rsidR="00CB270C" w:rsidRPr="00D27BF1" w:rsidRDefault="00CB270C" w:rsidP="00CB270C">
            <w:pPr>
              <w:pStyle w:val="Tabletext"/>
              <w:jc w:val="center"/>
            </w:pPr>
            <w:r w:rsidRPr="00D27BF1">
              <w:t>$1,685.74 (private) Effective price</w:t>
            </w:r>
          </w:p>
          <w:p w14:paraId="2956E16E" w14:textId="77777777" w:rsidR="00CB270C" w:rsidRPr="00D27BF1" w:rsidRDefault="00CB270C" w:rsidP="00CB270C">
            <w:pPr>
              <w:pStyle w:val="Tabletext"/>
              <w:jc w:val="center"/>
            </w:pPr>
            <w:r w:rsidRPr="00D27BF1">
              <w:t>$</w:t>
            </w:r>
            <w:r w:rsidR="00DD78A9">
              <w:rPr>
                <w:noProof/>
                <w:color w:val="000000"/>
                <w:highlight w:val="black"/>
              </w:rPr>
              <w:t>''''''''''''''''</w:t>
            </w:r>
            <w:r w:rsidRPr="00D27BF1">
              <w:t xml:space="preserve"> (public)</w:t>
            </w:r>
          </w:p>
          <w:p w14:paraId="05130039" w14:textId="77777777" w:rsidR="00CB270C" w:rsidRPr="000A0F42" w:rsidRDefault="00CB270C" w:rsidP="00CB270C">
            <w:pPr>
              <w:keepNext/>
              <w:jc w:val="center"/>
              <w:rPr>
                <w:rFonts w:ascii="Arial Narrow" w:hAnsi="Arial Narrow"/>
                <w:sz w:val="20"/>
                <w:szCs w:val="20"/>
              </w:rPr>
            </w:pPr>
            <w:r w:rsidRPr="00CB270C">
              <w:rPr>
                <w:rFonts w:ascii="Arial Narrow" w:hAnsi="Arial Narrow" w:cs="Times New Roman"/>
                <w:snapToGrid/>
                <w:sz w:val="20"/>
              </w:rPr>
              <w:t>$</w:t>
            </w:r>
            <w:r w:rsidR="00DD78A9">
              <w:rPr>
                <w:rFonts w:ascii="Arial Narrow" w:hAnsi="Arial Narrow" w:cs="Times New Roman"/>
                <w:noProof/>
                <w:snapToGrid/>
                <w:color w:val="000000"/>
                <w:sz w:val="20"/>
                <w:highlight w:val="black"/>
              </w:rPr>
              <w:t>''''''''''''''''</w:t>
            </w:r>
            <w:r w:rsidRPr="00CB270C">
              <w:rPr>
                <w:rFonts w:ascii="Arial Narrow" w:hAnsi="Arial Narrow" w:cs="Times New Roman"/>
                <w:snapToGrid/>
                <w:sz w:val="20"/>
              </w:rPr>
              <w:t xml:space="preserve"> (private)</w:t>
            </w:r>
          </w:p>
        </w:tc>
        <w:tc>
          <w:tcPr>
            <w:tcW w:w="992" w:type="dxa"/>
          </w:tcPr>
          <w:p w14:paraId="44FC3438" w14:textId="77777777" w:rsidR="00CB270C" w:rsidRPr="000A0F42" w:rsidRDefault="00CB270C" w:rsidP="00C24B3B">
            <w:pPr>
              <w:keepNext/>
              <w:rPr>
                <w:rFonts w:ascii="Arial Narrow" w:hAnsi="Arial Narrow"/>
                <w:sz w:val="20"/>
                <w:szCs w:val="20"/>
              </w:rPr>
            </w:pPr>
            <w:r w:rsidRPr="000A0F42">
              <w:rPr>
                <w:rFonts w:ascii="Arial Narrow" w:hAnsi="Arial Narrow"/>
                <w:sz w:val="20"/>
                <w:szCs w:val="20"/>
              </w:rPr>
              <w:t>Nucala</w:t>
            </w:r>
          </w:p>
        </w:tc>
      </w:tr>
      <w:tr w:rsidR="000A0F42" w:rsidRPr="00D27BF1" w14:paraId="7DC67F8C" w14:textId="77777777" w:rsidTr="00C24B3B">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3F460F51" w14:textId="77777777" w:rsidR="000A0F42" w:rsidRPr="000A0F42" w:rsidRDefault="000A0F42" w:rsidP="00C24B3B">
            <w:pPr>
              <w:rPr>
                <w:rFonts w:ascii="Arial Narrow" w:hAnsi="Arial Narrow"/>
                <w:sz w:val="20"/>
                <w:szCs w:val="20"/>
              </w:rPr>
            </w:pPr>
          </w:p>
        </w:tc>
      </w:tr>
      <w:tr w:rsidR="000A0F42" w:rsidRPr="00D27BF1" w14:paraId="0E5D481D" w14:textId="77777777" w:rsidTr="00C24B3B">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431817FE" w14:textId="77777777" w:rsidR="000A0F42" w:rsidRPr="000A0F42" w:rsidRDefault="000A0F42" w:rsidP="00C24B3B">
            <w:pPr>
              <w:rPr>
                <w:rFonts w:ascii="Arial Narrow" w:hAnsi="Arial Narrow"/>
                <w:b/>
                <w:sz w:val="20"/>
                <w:szCs w:val="20"/>
              </w:rPr>
            </w:pPr>
            <w:r w:rsidRPr="000A0F42">
              <w:rPr>
                <w:rFonts w:ascii="Arial Narrow" w:hAnsi="Arial Narrow"/>
                <w:b/>
                <w:sz w:val="20"/>
                <w:szCs w:val="20"/>
              </w:rPr>
              <w:t>Restriction Summary [new] / Treatment of Concept: [new]</w:t>
            </w:r>
          </w:p>
        </w:tc>
      </w:tr>
      <w:tr w:rsidR="000A0F42" w:rsidRPr="00D27BF1" w14:paraId="52D1C547" w14:textId="77777777" w:rsidTr="00C24B3B">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2BA43609" w14:textId="77777777" w:rsidR="000A0F42" w:rsidRPr="000A0F42" w:rsidRDefault="000A0F42" w:rsidP="00C24B3B">
            <w:pPr>
              <w:rPr>
                <w:rFonts w:ascii="Arial Narrow" w:hAnsi="Arial Narrow"/>
                <w:b/>
                <w:sz w:val="20"/>
                <w:szCs w:val="20"/>
              </w:rPr>
            </w:pPr>
          </w:p>
        </w:tc>
        <w:tc>
          <w:tcPr>
            <w:tcW w:w="8086" w:type="dxa"/>
            <w:gridSpan w:val="7"/>
            <w:tcBorders>
              <w:top w:val="single" w:sz="4" w:space="0" w:color="auto"/>
              <w:left w:val="single" w:sz="4" w:space="0" w:color="auto"/>
              <w:bottom w:val="single" w:sz="4" w:space="0" w:color="auto"/>
              <w:right w:val="single" w:sz="4" w:space="0" w:color="auto"/>
            </w:tcBorders>
          </w:tcPr>
          <w:p w14:paraId="55B9C545" w14:textId="77777777" w:rsidR="000A0F42" w:rsidRPr="000A0F42" w:rsidRDefault="000A0F42" w:rsidP="00C24B3B">
            <w:pPr>
              <w:rPr>
                <w:rFonts w:ascii="Arial Narrow" w:hAnsi="Arial Narrow"/>
                <w:sz w:val="20"/>
                <w:szCs w:val="20"/>
              </w:rPr>
            </w:pPr>
            <w:r w:rsidRPr="000A0F42">
              <w:rPr>
                <w:rFonts w:ascii="Arial Narrow" w:hAnsi="Arial Narrow"/>
                <w:b/>
                <w:sz w:val="20"/>
                <w:szCs w:val="20"/>
              </w:rPr>
              <w:t xml:space="preserve">Category / Program: </w:t>
            </w:r>
            <w:r w:rsidRPr="000A0F42">
              <w:rPr>
                <w:rFonts w:ascii="Arial Narrow" w:hAnsi="Arial Narrow"/>
                <w:sz w:val="20"/>
                <w:szCs w:val="20"/>
              </w:rPr>
              <w:t>Section 100 – Highly Specialised Drugs Program (public/private hospitals)</w:t>
            </w:r>
          </w:p>
        </w:tc>
      </w:tr>
      <w:tr w:rsidR="000A0F42" w:rsidRPr="00D27BF1" w14:paraId="1A655E42" w14:textId="77777777" w:rsidTr="00C24B3B">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548A0D22" w14:textId="77777777" w:rsidR="000A0F42" w:rsidRPr="000A0F42" w:rsidRDefault="000A0F42" w:rsidP="00C24B3B">
            <w:pPr>
              <w:rPr>
                <w:rFonts w:ascii="Arial Narrow" w:hAnsi="Arial Narrow"/>
                <w:sz w:val="20"/>
                <w:szCs w:val="20"/>
              </w:rPr>
            </w:pPr>
          </w:p>
        </w:tc>
        <w:tc>
          <w:tcPr>
            <w:tcW w:w="8086" w:type="dxa"/>
            <w:gridSpan w:val="7"/>
            <w:tcBorders>
              <w:top w:val="single" w:sz="4" w:space="0" w:color="auto"/>
              <w:left w:val="single" w:sz="4" w:space="0" w:color="auto"/>
              <w:bottom w:val="single" w:sz="4" w:space="0" w:color="auto"/>
              <w:right w:val="single" w:sz="4" w:space="0" w:color="auto"/>
            </w:tcBorders>
          </w:tcPr>
          <w:p w14:paraId="4F26B11C" w14:textId="1D03C948" w:rsidR="000A0F42" w:rsidRPr="000A0F42" w:rsidRDefault="000A0F42" w:rsidP="00C24B3B">
            <w:pPr>
              <w:rPr>
                <w:rFonts w:ascii="Arial Narrow" w:hAnsi="Arial Narrow"/>
                <w:b/>
                <w:sz w:val="20"/>
                <w:szCs w:val="20"/>
              </w:rPr>
            </w:pPr>
            <w:r w:rsidRPr="000A0F42">
              <w:rPr>
                <w:rFonts w:ascii="Arial Narrow" w:hAnsi="Arial Narrow"/>
                <w:b/>
                <w:sz w:val="20"/>
                <w:szCs w:val="20"/>
              </w:rPr>
              <w:t xml:space="preserve">Prescriber type: </w:t>
            </w:r>
            <w:r w:rsidRPr="000A0F42">
              <w:rPr>
                <w:rFonts w:ascii="Arial Narrow" w:hAnsi="Arial Narrow"/>
                <w:sz w:val="20"/>
                <w:szCs w:val="20"/>
              </w:rPr>
              <w:fldChar w:fldCharType="begin">
                <w:ffData>
                  <w:name w:val=""/>
                  <w:enabled/>
                  <w:calcOnExit w:val="0"/>
                  <w:checkBox>
                    <w:sizeAuto/>
                    <w:default w:val="1"/>
                  </w:checkBox>
                </w:ffData>
              </w:fldChar>
            </w:r>
            <w:r w:rsidRPr="000A0F42">
              <w:rPr>
                <w:rFonts w:ascii="Arial Narrow" w:hAnsi="Arial Narrow"/>
                <w:sz w:val="20"/>
                <w:szCs w:val="20"/>
              </w:rPr>
              <w:instrText xml:space="preserve"> FORMCHECKBOX </w:instrText>
            </w:r>
            <w:r w:rsidR="003038AD">
              <w:rPr>
                <w:rFonts w:ascii="Arial Narrow" w:hAnsi="Arial Narrow"/>
                <w:sz w:val="20"/>
                <w:szCs w:val="20"/>
              </w:rPr>
            </w:r>
            <w:r w:rsidR="003038AD">
              <w:rPr>
                <w:rFonts w:ascii="Arial Narrow" w:hAnsi="Arial Narrow"/>
                <w:sz w:val="20"/>
                <w:szCs w:val="20"/>
              </w:rPr>
              <w:fldChar w:fldCharType="separate"/>
            </w:r>
            <w:r w:rsidRPr="000A0F42">
              <w:rPr>
                <w:rFonts w:ascii="Arial Narrow" w:hAnsi="Arial Narrow"/>
                <w:sz w:val="20"/>
                <w:szCs w:val="20"/>
              </w:rPr>
              <w:fldChar w:fldCharType="end"/>
            </w:r>
            <w:r w:rsidRPr="000A0F42">
              <w:rPr>
                <w:rFonts w:ascii="Arial Narrow" w:hAnsi="Arial Narrow"/>
                <w:sz w:val="20"/>
                <w:szCs w:val="20"/>
              </w:rPr>
              <w:t>Medical Practitioners</w:t>
            </w:r>
          </w:p>
        </w:tc>
      </w:tr>
      <w:tr w:rsidR="000A0F42" w:rsidRPr="00D27BF1" w14:paraId="2DBD12FB" w14:textId="77777777" w:rsidTr="00C24B3B">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14:paraId="3DDDD0B6" w14:textId="77777777" w:rsidR="000A0F42" w:rsidRPr="000A0F42" w:rsidRDefault="000A0F42" w:rsidP="00C24B3B">
            <w:pPr>
              <w:rPr>
                <w:rFonts w:ascii="Arial Narrow" w:hAnsi="Arial Narrow"/>
                <w:sz w:val="20"/>
                <w:szCs w:val="20"/>
              </w:rPr>
            </w:pPr>
          </w:p>
        </w:tc>
        <w:tc>
          <w:tcPr>
            <w:tcW w:w="8086" w:type="dxa"/>
            <w:gridSpan w:val="7"/>
            <w:tcBorders>
              <w:top w:val="single" w:sz="4" w:space="0" w:color="auto"/>
              <w:left w:val="single" w:sz="4" w:space="0" w:color="auto"/>
              <w:bottom w:val="single" w:sz="4" w:space="0" w:color="auto"/>
              <w:right w:val="single" w:sz="4" w:space="0" w:color="auto"/>
            </w:tcBorders>
          </w:tcPr>
          <w:p w14:paraId="019C9B94" w14:textId="77777777" w:rsidR="000A0F42" w:rsidRPr="000A0F42" w:rsidRDefault="000A0F42" w:rsidP="00C24B3B">
            <w:pPr>
              <w:rPr>
                <w:rFonts w:ascii="Arial Narrow" w:hAnsi="Arial Narrow"/>
                <w:b/>
                <w:sz w:val="20"/>
                <w:szCs w:val="20"/>
              </w:rPr>
            </w:pPr>
            <w:r w:rsidRPr="000A0F42">
              <w:rPr>
                <w:rFonts w:ascii="Arial Narrow" w:hAnsi="Arial Narrow"/>
                <w:b/>
                <w:sz w:val="20"/>
                <w:szCs w:val="20"/>
              </w:rPr>
              <w:t xml:space="preserve">Restriction type: </w:t>
            </w:r>
          </w:p>
          <w:p w14:paraId="70093EDA" w14:textId="7A0F2D38" w:rsidR="000A0F42" w:rsidRPr="000A0F42" w:rsidRDefault="000A0F42" w:rsidP="00C24B3B">
            <w:pPr>
              <w:rPr>
                <w:rFonts w:ascii="Arial Narrow" w:eastAsia="Calibri" w:hAnsi="Arial Narrow"/>
                <w:color w:val="FF00FF"/>
                <w:sz w:val="20"/>
                <w:szCs w:val="20"/>
              </w:rPr>
            </w:pPr>
            <w:r w:rsidRPr="000A0F42">
              <w:rPr>
                <w:rFonts w:ascii="Arial Narrow" w:eastAsia="Calibri" w:hAnsi="Arial Narrow"/>
                <w:sz w:val="20"/>
                <w:szCs w:val="20"/>
              </w:rPr>
              <w:fldChar w:fldCharType="begin">
                <w:ffData>
                  <w:name w:val=""/>
                  <w:enabled/>
                  <w:calcOnExit w:val="0"/>
                  <w:checkBox>
                    <w:sizeAuto/>
                    <w:default w:val="1"/>
                  </w:checkBox>
                </w:ffData>
              </w:fldChar>
            </w:r>
            <w:r w:rsidRPr="000A0F42">
              <w:rPr>
                <w:rFonts w:ascii="Arial Narrow" w:eastAsia="Calibri" w:hAnsi="Arial Narrow"/>
                <w:sz w:val="20"/>
                <w:szCs w:val="20"/>
              </w:rPr>
              <w:instrText xml:space="preserve"> FORMCHECKBOX </w:instrText>
            </w:r>
            <w:r w:rsidR="003038AD">
              <w:rPr>
                <w:rFonts w:ascii="Arial Narrow" w:eastAsia="Calibri" w:hAnsi="Arial Narrow"/>
                <w:sz w:val="20"/>
                <w:szCs w:val="20"/>
              </w:rPr>
            </w:r>
            <w:r w:rsidR="003038AD">
              <w:rPr>
                <w:rFonts w:ascii="Arial Narrow" w:eastAsia="Calibri" w:hAnsi="Arial Narrow"/>
                <w:sz w:val="20"/>
                <w:szCs w:val="20"/>
              </w:rPr>
              <w:fldChar w:fldCharType="separate"/>
            </w:r>
            <w:r w:rsidRPr="000A0F42">
              <w:rPr>
                <w:rFonts w:ascii="Arial Narrow" w:eastAsia="Calibri" w:hAnsi="Arial Narrow"/>
                <w:sz w:val="20"/>
                <w:szCs w:val="20"/>
              </w:rPr>
              <w:fldChar w:fldCharType="end"/>
            </w:r>
            <w:r w:rsidRPr="000A0F42">
              <w:rPr>
                <w:rFonts w:ascii="Arial Narrow" w:eastAsia="Calibri" w:hAnsi="Arial Narrow"/>
                <w:sz w:val="20"/>
                <w:szCs w:val="20"/>
              </w:rPr>
              <w:t>Authority Required – non-immediate assessment by Services Australia</w:t>
            </w:r>
          </w:p>
        </w:tc>
      </w:tr>
      <w:tr w:rsidR="000A0F42" w:rsidRPr="00D27BF1" w14:paraId="1223CD53" w14:textId="77777777" w:rsidTr="00C24B3B">
        <w:tblPrEx>
          <w:tblCellMar>
            <w:top w:w="15" w:type="dxa"/>
            <w:left w:w="15" w:type="dxa"/>
            <w:bottom w:w="15" w:type="dxa"/>
            <w:right w:w="15" w:type="dxa"/>
          </w:tblCellMar>
          <w:tblLook w:val="04A0" w:firstRow="1" w:lastRow="0" w:firstColumn="1" w:lastColumn="0" w:noHBand="0" w:noVBand="1"/>
        </w:tblPrEx>
        <w:tc>
          <w:tcPr>
            <w:tcW w:w="981" w:type="dxa"/>
          </w:tcPr>
          <w:p w14:paraId="498DE7D9" w14:textId="77777777" w:rsidR="000A0F42" w:rsidRPr="000A0F42" w:rsidRDefault="000A0F42" w:rsidP="00C24B3B">
            <w:pPr>
              <w:jc w:val="center"/>
              <w:rPr>
                <w:rFonts w:ascii="Arial Narrow" w:hAnsi="Arial Narrow"/>
                <w:i/>
                <w:color w:val="333333"/>
                <w:sz w:val="20"/>
                <w:szCs w:val="20"/>
                <w:lang w:eastAsia="en-AU"/>
              </w:rPr>
            </w:pPr>
          </w:p>
        </w:tc>
        <w:tc>
          <w:tcPr>
            <w:tcW w:w="8086" w:type="dxa"/>
            <w:gridSpan w:val="7"/>
          </w:tcPr>
          <w:p w14:paraId="6404404E" w14:textId="77777777" w:rsidR="000A0F42" w:rsidRPr="000A0F42" w:rsidRDefault="000A0F42" w:rsidP="00C24B3B">
            <w:pPr>
              <w:rPr>
                <w:rFonts w:ascii="Arial Narrow" w:hAnsi="Arial Narrow"/>
                <w:bCs/>
                <w:i/>
                <w:color w:val="333333"/>
                <w:sz w:val="20"/>
                <w:szCs w:val="20"/>
                <w:lang w:eastAsia="en-AU"/>
              </w:rPr>
            </w:pPr>
            <w:r w:rsidRPr="000A0F42">
              <w:rPr>
                <w:rFonts w:ascii="Arial Narrow" w:hAnsi="Arial Narrow"/>
                <w:b/>
                <w:bCs/>
                <w:i/>
                <w:sz w:val="20"/>
                <w:szCs w:val="20"/>
              </w:rPr>
              <w:t xml:space="preserve">Administrative advice: </w:t>
            </w:r>
            <w:r w:rsidRPr="000A0F42">
              <w:rPr>
                <w:rFonts w:ascii="Arial Narrow" w:hAnsi="Arial Narrow"/>
                <w:bCs/>
                <w:i/>
                <w:sz w:val="20"/>
                <w:szCs w:val="20"/>
              </w:rPr>
              <w:t>No increase in the maximum quantity or number of units may be authorised.</w:t>
            </w:r>
          </w:p>
        </w:tc>
      </w:tr>
      <w:tr w:rsidR="000A0F42" w:rsidRPr="00D27BF1" w14:paraId="706F7EFF" w14:textId="77777777" w:rsidTr="00C24B3B">
        <w:tblPrEx>
          <w:tblCellMar>
            <w:top w:w="15" w:type="dxa"/>
            <w:left w:w="15" w:type="dxa"/>
            <w:bottom w:w="15" w:type="dxa"/>
            <w:right w:w="15" w:type="dxa"/>
          </w:tblCellMar>
          <w:tblLook w:val="04A0" w:firstRow="1" w:lastRow="0" w:firstColumn="1" w:lastColumn="0" w:noHBand="0" w:noVBand="1"/>
        </w:tblPrEx>
        <w:tc>
          <w:tcPr>
            <w:tcW w:w="981" w:type="dxa"/>
          </w:tcPr>
          <w:p w14:paraId="0288AC98" w14:textId="77777777" w:rsidR="000A0F42" w:rsidRPr="000A0F42" w:rsidRDefault="000A0F42" w:rsidP="00C24B3B">
            <w:pPr>
              <w:jc w:val="center"/>
              <w:rPr>
                <w:rFonts w:ascii="Arial Narrow" w:hAnsi="Arial Narrow"/>
                <w:i/>
                <w:color w:val="333333"/>
                <w:sz w:val="20"/>
                <w:szCs w:val="20"/>
                <w:lang w:eastAsia="en-AU"/>
              </w:rPr>
            </w:pPr>
          </w:p>
        </w:tc>
        <w:tc>
          <w:tcPr>
            <w:tcW w:w="8086" w:type="dxa"/>
            <w:gridSpan w:val="7"/>
          </w:tcPr>
          <w:p w14:paraId="5051E29D" w14:textId="77777777" w:rsidR="000A0F42" w:rsidRPr="000A0F42" w:rsidRDefault="000A0F42" w:rsidP="00C24B3B">
            <w:pPr>
              <w:rPr>
                <w:rFonts w:ascii="Arial Narrow" w:hAnsi="Arial Narrow"/>
                <w:b/>
                <w:bCs/>
                <w:i/>
                <w:color w:val="333333"/>
                <w:sz w:val="20"/>
                <w:szCs w:val="20"/>
                <w:lang w:eastAsia="en-AU"/>
              </w:rPr>
            </w:pPr>
            <w:r w:rsidRPr="000A0F42">
              <w:rPr>
                <w:rFonts w:ascii="Arial Narrow" w:hAnsi="Arial Narrow"/>
                <w:b/>
                <w:bCs/>
                <w:i/>
                <w:sz w:val="20"/>
                <w:szCs w:val="20"/>
              </w:rPr>
              <w:t xml:space="preserve">Administrative advice: </w:t>
            </w:r>
            <w:r w:rsidRPr="000A0F42">
              <w:rPr>
                <w:rFonts w:ascii="Arial Narrow" w:hAnsi="Arial Narrow"/>
                <w:bCs/>
                <w:i/>
                <w:sz w:val="20"/>
                <w:szCs w:val="20"/>
              </w:rPr>
              <w:t>Special Pricing Arrangements apply.</w:t>
            </w:r>
          </w:p>
        </w:tc>
      </w:tr>
      <w:tr w:rsidR="000A0F42" w:rsidRPr="00D27BF1" w14:paraId="5ACFD990" w14:textId="77777777" w:rsidTr="00A02BF1">
        <w:tblPrEx>
          <w:tblCellMar>
            <w:top w:w="15" w:type="dxa"/>
            <w:left w:w="15" w:type="dxa"/>
            <w:bottom w:w="15" w:type="dxa"/>
            <w:right w:w="15" w:type="dxa"/>
          </w:tblCellMar>
          <w:tblLook w:val="04A0" w:firstRow="1" w:lastRow="0" w:firstColumn="1" w:lastColumn="0" w:noHBand="0" w:noVBand="1"/>
        </w:tblPrEx>
        <w:tc>
          <w:tcPr>
            <w:tcW w:w="981" w:type="dxa"/>
            <w:vAlign w:val="center"/>
          </w:tcPr>
          <w:p w14:paraId="0067E4F1" w14:textId="77777777" w:rsidR="000A0F42" w:rsidRPr="000A0F42" w:rsidRDefault="000A0F42" w:rsidP="00C24B3B">
            <w:pPr>
              <w:jc w:val="center"/>
              <w:rPr>
                <w:rFonts w:ascii="Arial Narrow" w:hAnsi="Arial Narrow"/>
                <w:color w:val="333333"/>
                <w:sz w:val="20"/>
                <w:szCs w:val="20"/>
                <w:lang w:eastAsia="en-AU"/>
              </w:rPr>
            </w:pPr>
          </w:p>
        </w:tc>
        <w:tc>
          <w:tcPr>
            <w:tcW w:w="8086" w:type="dxa"/>
            <w:gridSpan w:val="7"/>
            <w:vAlign w:val="center"/>
            <w:hideMark/>
          </w:tcPr>
          <w:p w14:paraId="2CC69F09" w14:textId="77777777" w:rsidR="000A0F42" w:rsidRPr="000A0F42" w:rsidRDefault="000A0F42" w:rsidP="00C24B3B">
            <w:pPr>
              <w:rPr>
                <w:rFonts w:ascii="Arial Narrow" w:hAnsi="Arial Narrow"/>
                <w:i/>
                <w:color w:val="333333"/>
                <w:sz w:val="20"/>
                <w:szCs w:val="20"/>
                <w:lang w:eastAsia="en-AU"/>
              </w:rPr>
            </w:pPr>
            <w:r w:rsidRPr="000A0F42">
              <w:rPr>
                <w:rFonts w:ascii="Arial Narrow" w:hAnsi="Arial Narrow"/>
                <w:b/>
                <w:bCs/>
                <w:color w:val="333333"/>
                <w:sz w:val="20"/>
                <w:szCs w:val="20"/>
                <w:lang w:eastAsia="en-AU"/>
              </w:rPr>
              <w:t>Indication:</w:t>
            </w:r>
            <w:r w:rsidRPr="000A0F42">
              <w:rPr>
                <w:rFonts w:ascii="Arial Narrow" w:hAnsi="Arial Narrow"/>
                <w:color w:val="333333"/>
                <w:sz w:val="20"/>
                <w:szCs w:val="20"/>
                <w:lang w:eastAsia="en-AU"/>
              </w:rPr>
              <w:t xml:space="preserve"> </w:t>
            </w:r>
            <w:r w:rsidRPr="000A0F42">
              <w:rPr>
                <w:rFonts w:ascii="Arial Narrow" w:hAnsi="Arial Narrow"/>
                <w:sz w:val="20"/>
                <w:szCs w:val="20"/>
              </w:rPr>
              <w:t xml:space="preserve">Chronic rhinosinusitis with nasal polyps </w:t>
            </w:r>
            <w:r w:rsidRPr="000A0F42">
              <w:rPr>
                <w:rFonts w:ascii="Arial Narrow" w:hAnsi="Arial Narrow"/>
                <w:i/>
                <w:sz w:val="20"/>
                <w:szCs w:val="20"/>
              </w:rPr>
              <w:t>(CRSwNP)</w:t>
            </w:r>
          </w:p>
        </w:tc>
      </w:tr>
      <w:tr w:rsidR="000A0F42" w:rsidRPr="00D27BF1" w14:paraId="09D2F7E7" w14:textId="77777777" w:rsidTr="00A02BF1">
        <w:tblPrEx>
          <w:tblCellMar>
            <w:top w:w="15" w:type="dxa"/>
            <w:left w:w="15" w:type="dxa"/>
            <w:bottom w:w="15" w:type="dxa"/>
            <w:right w:w="15" w:type="dxa"/>
          </w:tblCellMar>
          <w:tblLook w:val="04A0" w:firstRow="1" w:lastRow="0" w:firstColumn="1" w:lastColumn="0" w:noHBand="0" w:noVBand="1"/>
        </w:tblPrEx>
        <w:tc>
          <w:tcPr>
            <w:tcW w:w="981" w:type="dxa"/>
            <w:vAlign w:val="center"/>
          </w:tcPr>
          <w:p w14:paraId="72DA4180" w14:textId="77777777" w:rsidR="000A0F42" w:rsidRPr="000A0F42" w:rsidRDefault="000A0F42" w:rsidP="00C24B3B">
            <w:pPr>
              <w:jc w:val="center"/>
              <w:rPr>
                <w:rFonts w:ascii="Arial Narrow" w:hAnsi="Arial Narrow"/>
                <w:color w:val="333333"/>
                <w:sz w:val="20"/>
                <w:szCs w:val="20"/>
                <w:lang w:eastAsia="en-AU"/>
              </w:rPr>
            </w:pPr>
          </w:p>
        </w:tc>
        <w:tc>
          <w:tcPr>
            <w:tcW w:w="8086" w:type="dxa"/>
            <w:gridSpan w:val="7"/>
            <w:vAlign w:val="center"/>
            <w:hideMark/>
          </w:tcPr>
          <w:p w14:paraId="3A0FC3B0" w14:textId="77777777" w:rsidR="000A0F42" w:rsidRPr="000A0F42" w:rsidRDefault="000A0F42" w:rsidP="00C24B3B">
            <w:pPr>
              <w:rPr>
                <w:rFonts w:ascii="Arial Narrow" w:hAnsi="Arial Narrow"/>
                <w:color w:val="FF00FF"/>
                <w:sz w:val="20"/>
                <w:szCs w:val="20"/>
                <w:lang w:eastAsia="en-AU"/>
              </w:rPr>
            </w:pPr>
            <w:r w:rsidRPr="000A0F42">
              <w:rPr>
                <w:rFonts w:ascii="Arial Narrow" w:hAnsi="Arial Narrow"/>
                <w:b/>
                <w:bCs/>
                <w:color w:val="333333"/>
                <w:sz w:val="20"/>
                <w:szCs w:val="20"/>
                <w:lang w:eastAsia="en-AU"/>
              </w:rPr>
              <w:t>Treatment Phase:</w:t>
            </w:r>
            <w:r w:rsidRPr="000A0F42">
              <w:rPr>
                <w:rFonts w:ascii="Arial Narrow" w:hAnsi="Arial Narrow"/>
                <w:color w:val="FF0000"/>
                <w:sz w:val="20"/>
                <w:szCs w:val="20"/>
                <w:lang w:eastAsia="en-AU"/>
              </w:rPr>
              <w:t xml:space="preserve"> </w:t>
            </w:r>
            <w:r w:rsidRPr="000A0F42">
              <w:rPr>
                <w:rFonts w:ascii="Arial Narrow" w:hAnsi="Arial Narrow"/>
                <w:sz w:val="20"/>
                <w:szCs w:val="20"/>
                <w:lang w:eastAsia="en-AU"/>
              </w:rPr>
              <w:t xml:space="preserve">Initial treatment </w:t>
            </w:r>
          </w:p>
        </w:tc>
      </w:tr>
      <w:tr w:rsidR="000A0F42" w:rsidRPr="00D27BF1" w14:paraId="4D75043E" w14:textId="77777777" w:rsidTr="00C24B3B">
        <w:tblPrEx>
          <w:tblCellMar>
            <w:top w:w="15" w:type="dxa"/>
            <w:left w:w="15" w:type="dxa"/>
            <w:bottom w:w="15" w:type="dxa"/>
            <w:right w:w="15" w:type="dxa"/>
          </w:tblCellMar>
          <w:tblLook w:val="04A0" w:firstRow="1" w:lastRow="0" w:firstColumn="1" w:lastColumn="0" w:noHBand="0" w:noVBand="1"/>
        </w:tblPrEx>
        <w:tc>
          <w:tcPr>
            <w:tcW w:w="981" w:type="dxa"/>
            <w:vAlign w:val="center"/>
          </w:tcPr>
          <w:p w14:paraId="7D7D1EE6" w14:textId="77777777" w:rsidR="000A0F42" w:rsidRPr="000A0F42" w:rsidRDefault="000A0F42" w:rsidP="00C24B3B">
            <w:pPr>
              <w:jc w:val="center"/>
              <w:rPr>
                <w:rFonts w:ascii="Arial Narrow" w:hAnsi="Arial Narrow"/>
                <w:color w:val="333333"/>
                <w:sz w:val="20"/>
                <w:szCs w:val="20"/>
                <w:lang w:eastAsia="en-AU"/>
              </w:rPr>
            </w:pPr>
          </w:p>
        </w:tc>
        <w:tc>
          <w:tcPr>
            <w:tcW w:w="8086" w:type="dxa"/>
            <w:gridSpan w:val="7"/>
            <w:vAlign w:val="center"/>
          </w:tcPr>
          <w:p w14:paraId="4417506B" w14:textId="77777777" w:rsidR="000A0F42" w:rsidRPr="000A0F42" w:rsidRDefault="000A0F42" w:rsidP="00C24B3B">
            <w:pPr>
              <w:rPr>
                <w:rFonts w:ascii="Arial Narrow" w:hAnsi="Arial Narrow"/>
                <w:b/>
                <w:bCs/>
                <w:color w:val="333333"/>
                <w:sz w:val="20"/>
                <w:szCs w:val="20"/>
                <w:lang w:eastAsia="en-AU"/>
              </w:rPr>
            </w:pPr>
            <w:r w:rsidRPr="000A0F42">
              <w:rPr>
                <w:rFonts w:ascii="Arial Narrow" w:hAnsi="Arial Narrow"/>
                <w:b/>
                <w:bCs/>
                <w:color w:val="333333"/>
                <w:sz w:val="20"/>
                <w:szCs w:val="20"/>
                <w:lang w:eastAsia="en-AU"/>
              </w:rPr>
              <w:t>Treatment criteria:</w:t>
            </w:r>
          </w:p>
        </w:tc>
      </w:tr>
      <w:tr w:rsidR="000A0F42" w:rsidRPr="00D27BF1" w14:paraId="4ED7789A" w14:textId="77777777" w:rsidTr="00C24B3B">
        <w:tblPrEx>
          <w:tblCellMar>
            <w:top w:w="15" w:type="dxa"/>
            <w:left w:w="15" w:type="dxa"/>
            <w:bottom w:w="15" w:type="dxa"/>
            <w:right w:w="15" w:type="dxa"/>
          </w:tblCellMar>
          <w:tblLook w:val="04A0" w:firstRow="1" w:lastRow="0" w:firstColumn="1" w:lastColumn="0" w:noHBand="0" w:noVBand="1"/>
        </w:tblPrEx>
        <w:tc>
          <w:tcPr>
            <w:tcW w:w="981" w:type="dxa"/>
            <w:vAlign w:val="center"/>
          </w:tcPr>
          <w:p w14:paraId="1D30A387" w14:textId="77777777" w:rsidR="000A0F42" w:rsidRPr="000A0F42" w:rsidRDefault="000A0F42" w:rsidP="00C24B3B">
            <w:pPr>
              <w:jc w:val="center"/>
              <w:rPr>
                <w:rFonts w:ascii="Arial Narrow" w:hAnsi="Arial Narrow"/>
                <w:color w:val="333333"/>
                <w:sz w:val="20"/>
                <w:szCs w:val="20"/>
                <w:lang w:eastAsia="en-AU"/>
              </w:rPr>
            </w:pPr>
          </w:p>
        </w:tc>
        <w:tc>
          <w:tcPr>
            <w:tcW w:w="8086" w:type="dxa"/>
            <w:gridSpan w:val="7"/>
            <w:vAlign w:val="center"/>
          </w:tcPr>
          <w:p w14:paraId="6DFE462F" w14:textId="77777777" w:rsidR="000A0F42" w:rsidRPr="000A0F42" w:rsidRDefault="000A0F42" w:rsidP="00C24B3B">
            <w:pPr>
              <w:rPr>
                <w:rFonts w:ascii="Arial Narrow" w:hAnsi="Arial Narrow"/>
                <w:b/>
                <w:bCs/>
                <w:color w:val="333333"/>
                <w:sz w:val="20"/>
                <w:szCs w:val="20"/>
                <w:lang w:eastAsia="en-AU"/>
              </w:rPr>
            </w:pPr>
            <w:r w:rsidRPr="000A0F42">
              <w:rPr>
                <w:rFonts w:ascii="Arial Narrow" w:hAnsi="Arial Narrow" w:cstheme="minorHAnsi"/>
                <w:color w:val="000000"/>
                <w:sz w:val="20"/>
                <w:szCs w:val="20"/>
                <w:lang w:eastAsia="en-GB"/>
              </w:rPr>
              <w:t>Patient must be treated by a respiratory physician, clinical immunologist, allergist, ear nose and throat specialist (ENT) or general physician experienced in the management of patients with CRSwNP.</w:t>
            </w:r>
          </w:p>
        </w:tc>
      </w:tr>
      <w:tr w:rsidR="000A0F42" w:rsidRPr="00D27BF1" w14:paraId="3F8513F2" w14:textId="77777777" w:rsidTr="00A02BF1">
        <w:tblPrEx>
          <w:tblCellMar>
            <w:top w:w="15" w:type="dxa"/>
            <w:left w:w="15" w:type="dxa"/>
            <w:bottom w:w="15" w:type="dxa"/>
            <w:right w:w="15" w:type="dxa"/>
          </w:tblCellMar>
          <w:tblLook w:val="04A0" w:firstRow="1" w:lastRow="0" w:firstColumn="1" w:lastColumn="0" w:noHBand="0" w:noVBand="1"/>
        </w:tblPrEx>
        <w:tc>
          <w:tcPr>
            <w:tcW w:w="981" w:type="dxa"/>
            <w:vAlign w:val="center"/>
          </w:tcPr>
          <w:p w14:paraId="3B3A8BC7" w14:textId="77777777" w:rsidR="000A0F42" w:rsidRPr="000A0F42" w:rsidRDefault="000A0F42" w:rsidP="00C24B3B">
            <w:pPr>
              <w:jc w:val="center"/>
              <w:rPr>
                <w:rFonts w:ascii="Arial Narrow" w:hAnsi="Arial Narrow"/>
                <w:color w:val="333333"/>
                <w:sz w:val="20"/>
                <w:szCs w:val="20"/>
                <w:lang w:eastAsia="en-AU"/>
              </w:rPr>
            </w:pPr>
          </w:p>
        </w:tc>
        <w:tc>
          <w:tcPr>
            <w:tcW w:w="8086" w:type="dxa"/>
            <w:gridSpan w:val="7"/>
            <w:vAlign w:val="center"/>
            <w:hideMark/>
          </w:tcPr>
          <w:p w14:paraId="50113758" w14:textId="77777777" w:rsidR="000A0F42" w:rsidRPr="000A0F42" w:rsidRDefault="000A0F42" w:rsidP="00C24B3B">
            <w:pPr>
              <w:rPr>
                <w:rFonts w:ascii="Arial Narrow" w:hAnsi="Arial Narrow"/>
                <w:color w:val="FF00FF"/>
                <w:sz w:val="20"/>
                <w:szCs w:val="20"/>
                <w:lang w:eastAsia="en-AU"/>
              </w:rPr>
            </w:pPr>
            <w:r w:rsidRPr="000A0F42">
              <w:rPr>
                <w:rFonts w:ascii="Arial Narrow" w:hAnsi="Arial Narrow"/>
                <w:b/>
                <w:bCs/>
                <w:color w:val="333333"/>
                <w:sz w:val="20"/>
                <w:szCs w:val="20"/>
                <w:lang w:eastAsia="en-AU"/>
              </w:rPr>
              <w:t xml:space="preserve">Clinical criteria: </w:t>
            </w:r>
          </w:p>
        </w:tc>
      </w:tr>
      <w:tr w:rsidR="000A0F42" w:rsidRPr="00D27BF1" w14:paraId="2529551B" w14:textId="77777777" w:rsidTr="00A02BF1">
        <w:tblPrEx>
          <w:tblCellMar>
            <w:top w:w="15" w:type="dxa"/>
            <w:left w:w="15" w:type="dxa"/>
            <w:bottom w:w="15" w:type="dxa"/>
            <w:right w:w="15" w:type="dxa"/>
          </w:tblCellMar>
          <w:tblLook w:val="04A0" w:firstRow="1" w:lastRow="0" w:firstColumn="1" w:lastColumn="0" w:noHBand="0" w:noVBand="1"/>
        </w:tblPrEx>
        <w:tc>
          <w:tcPr>
            <w:tcW w:w="981" w:type="dxa"/>
            <w:vAlign w:val="center"/>
          </w:tcPr>
          <w:p w14:paraId="6F5AF0BF" w14:textId="77777777" w:rsidR="000A0F42" w:rsidRPr="000A0F42" w:rsidRDefault="000A0F42" w:rsidP="00C24B3B">
            <w:pPr>
              <w:jc w:val="center"/>
              <w:rPr>
                <w:rFonts w:ascii="Arial Narrow" w:hAnsi="Arial Narrow"/>
                <w:color w:val="333333"/>
                <w:sz w:val="20"/>
                <w:szCs w:val="20"/>
                <w:lang w:eastAsia="en-AU"/>
              </w:rPr>
            </w:pPr>
          </w:p>
        </w:tc>
        <w:tc>
          <w:tcPr>
            <w:tcW w:w="8086" w:type="dxa"/>
            <w:gridSpan w:val="7"/>
            <w:vAlign w:val="center"/>
            <w:hideMark/>
          </w:tcPr>
          <w:p w14:paraId="0ED2B452" w14:textId="77777777" w:rsidR="000A0F42" w:rsidRPr="000A0F42" w:rsidRDefault="000A0F42" w:rsidP="00C24B3B">
            <w:pPr>
              <w:rPr>
                <w:rFonts w:ascii="Arial Narrow" w:hAnsi="Arial Narrow" w:cstheme="minorHAnsi"/>
                <w:color w:val="000000"/>
                <w:sz w:val="20"/>
                <w:szCs w:val="20"/>
                <w:lang w:eastAsia="en-GB"/>
              </w:rPr>
            </w:pPr>
            <w:r w:rsidRPr="000A0F42">
              <w:rPr>
                <w:rFonts w:ascii="Arial Narrow" w:hAnsi="Arial Narrow" w:cstheme="minorHAnsi"/>
                <w:color w:val="000000"/>
                <w:sz w:val="20"/>
                <w:szCs w:val="20"/>
                <w:lang w:eastAsia="en-GB"/>
              </w:rPr>
              <w:t xml:space="preserve">Patient must have a diagnosis of CRSwNP confirmed and documented by </w:t>
            </w:r>
            <w:r w:rsidRPr="000A0F42">
              <w:rPr>
                <w:rFonts w:ascii="Arial Narrow" w:hAnsi="Arial Narrow" w:cstheme="minorHAnsi"/>
                <w:i/>
                <w:color w:val="000000"/>
                <w:sz w:val="20"/>
                <w:szCs w:val="20"/>
                <w:lang w:eastAsia="en-GB"/>
              </w:rPr>
              <w:t xml:space="preserve">nasal </w:t>
            </w:r>
            <w:r w:rsidRPr="000A0F42">
              <w:rPr>
                <w:rFonts w:ascii="Arial Narrow" w:hAnsi="Arial Narrow" w:cstheme="minorHAnsi"/>
                <w:iCs/>
                <w:color w:val="000000"/>
                <w:sz w:val="20"/>
                <w:szCs w:val="20"/>
                <w:lang w:eastAsia="en-GB"/>
              </w:rPr>
              <w:t>endoscopy or computed tomography (CT) scan</w:t>
            </w:r>
            <w:r w:rsidRPr="000A0F42">
              <w:rPr>
                <w:rFonts w:ascii="Arial Narrow" w:hAnsi="Arial Narrow" w:cstheme="minorHAnsi"/>
                <w:color w:val="000000"/>
                <w:sz w:val="20"/>
                <w:szCs w:val="20"/>
                <w:lang w:eastAsia="en-GB"/>
              </w:rPr>
              <w:t>, OR</w:t>
            </w:r>
          </w:p>
          <w:p w14:paraId="445C54AD" w14:textId="77777777" w:rsidR="000A0F42" w:rsidRPr="000A0F42" w:rsidRDefault="000A0F42" w:rsidP="00C24B3B">
            <w:pPr>
              <w:rPr>
                <w:rFonts w:ascii="Arial Narrow" w:hAnsi="Arial Narrow"/>
                <w:color w:val="333333"/>
                <w:sz w:val="20"/>
                <w:szCs w:val="20"/>
                <w:lang w:eastAsia="en-AU"/>
              </w:rPr>
            </w:pPr>
            <w:r w:rsidRPr="000A0F42">
              <w:rPr>
                <w:rFonts w:ascii="Arial Narrow" w:hAnsi="Arial Narrow" w:cstheme="minorHAnsi"/>
                <w:color w:val="000000"/>
                <w:sz w:val="20"/>
                <w:szCs w:val="20"/>
                <w:lang w:eastAsia="en-GB"/>
              </w:rPr>
              <w:t>Patient must have had a diagnosis of CRSwNP from at least two physicians and/or ENT surgeons experienced in the management of patients with CRSwNP.</w:t>
            </w:r>
          </w:p>
        </w:tc>
      </w:tr>
      <w:tr w:rsidR="000A0F42" w:rsidRPr="00D27BF1" w14:paraId="6BD4BD38" w14:textId="77777777" w:rsidTr="00A02BF1">
        <w:tblPrEx>
          <w:tblCellMar>
            <w:top w:w="15" w:type="dxa"/>
            <w:left w:w="15" w:type="dxa"/>
            <w:bottom w:w="15" w:type="dxa"/>
            <w:right w:w="15" w:type="dxa"/>
          </w:tblCellMar>
          <w:tblLook w:val="04A0" w:firstRow="1" w:lastRow="0" w:firstColumn="1" w:lastColumn="0" w:noHBand="0" w:noVBand="1"/>
        </w:tblPrEx>
        <w:tc>
          <w:tcPr>
            <w:tcW w:w="981" w:type="dxa"/>
            <w:vAlign w:val="center"/>
          </w:tcPr>
          <w:p w14:paraId="3DB2A1A2" w14:textId="77777777" w:rsidR="000A0F42" w:rsidRPr="000A0F42" w:rsidRDefault="000A0F42" w:rsidP="00C24B3B">
            <w:pPr>
              <w:jc w:val="center"/>
              <w:rPr>
                <w:rFonts w:ascii="Arial Narrow" w:hAnsi="Arial Narrow"/>
                <w:color w:val="333333"/>
                <w:sz w:val="20"/>
                <w:szCs w:val="20"/>
                <w:lang w:eastAsia="en-AU"/>
              </w:rPr>
            </w:pPr>
          </w:p>
        </w:tc>
        <w:tc>
          <w:tcPr>
            <w:tcW w:w="8086" w:type="dxa"/>
            <w:gridSpan w:val="7"/>
            <w:vAlign w:val="center"/>
            <w:hideMark/>
          </w:tcPr>
          <w:p w14:paraId="08EF9FDE" w14:textId="77777777" w:rsidR="000A0F42" w:rsidRPr="000A0F42" w:rsidRDefault="000A0F42" w:rsidP="00C24B3B">
            <w:pPr>
              <w:rPr>
                <w:rFonts w:ascii="Arial Narrow" w:hAnsi="Arial Narrow"/>
                <w:color w:val="333333"/>
                <w:sz w:val="20"/>
                <w:szCs w:val="20"/>
                <w:lang w:eastAsia="en-AU"/>
              </w:rPr>
            </w:pPr>
            <w:r w:rsidRPr="000A0F42">
              <w:rPr>
                <w:rFonts w:ascii="Arial Narrow" w:hAnsi="Arial Narrow"/>
                <w:b/>
                <w:bCs/>
                <w:color w:val="333333"/>
                <w:sz w:val="20"/>
                <w:szCs w:val="20"/>
                <w:lang w:eastAsia="en-AU"/>
              </w:rPr>
              <w:t>AND</w:t>
            </w:r>
          </w:p>
        </w:tc>
      </w:tr>
      <w:tr w:rsidR="000A0F42" w:rsidRPr="00D27BF1" w14:paraId="3B4468A5" w14:textId="77777777" w:rsidTr="00C24B3B">
        <w:tblPrEx>
          <w:tblCellMar>
            <w:top w:w="15" w:type="dxa"/>
            <w:left w:w="15" w:type="dxa"/>
            <w:bottom w:w="15" w:type="dxa"/>
            <w:right w:w="15" w:type="dxa"/>
          </w:tblCellMar>
          <w:tblLook w:val="04A0" w:firstRow="1" w:lastRow="0" w:firstColumn="1" w:lastColumn="0" w:noHBand="0" w:noVBand="1"/>
        </w:tblPrEx>
        <w:tc>
          <w:tcPr>
            <w:tcW w:w="981" w:type="dxa"/>
            <w:vAlign w:val="center"/>
          </w:tcPr>
          <w:p w14:paraId="5B6C08AD" w14:textId="77777777" w:rsidR="000A0F42" w:rsidRPr="000A0F42" w:rsidRDefault="000A0F42" w:rsidP="00C24B3B">
            <w:pPr>
              <w:jc w:val="center"/>
              <w:rPr>
                <w:rFonts w:ascii="Arial Narrow" w:hAnsi="Arial Narrow"/>
                <w:color w:val="333333"/>
                <w:sz w:val="20"/>
                <w:szCs w:val="20"/>
                <w:lang w:eastAsia="en-AU"/>
              </w:rPr>
            </w:pPr>
          </w:p>
        </w:tc>
        <w:tc>
          <w:tcPr>
            <w:tcW w:w="8086" w:type="dxa"/>
            <w:gridSpan w:val="7"/>
            <w:vAlign w:val="center"/>
            <w:hideMark/>
          </w:tcPr>
          <w:p w14:paraId="5A95AE16" w14:textId="77777777" w:rsidR="000A0F42" w:rsidRPr="000A0F42" w:rsidRDefault="000A0F42" w:rsidP="00C24B3B">
            <w:pPr>
              <w:rPr>
                <w:rFonts w:ascii="Arial Narrow" w:hAnsi="Arial Narrow"/>
                <w:color w:val="333333"/>
                <w:sz w:val="20"/>
                <w:szCs w:val="20"/>
                <w:lang w:eastAsia="en-AU"/>
              </w:rPr>
            </w:pPr>
            <w:r w:rsidRPr="000A0F42">
              <w:rPr>
                <w:rFonts w:ascii="Arial Narrow" w:hAnsi="Arial Narrow"/>
                <w:b/>
                <w:bCs/>
                <w:color w:val="333333"/>
                <w:sz w:val="20"/>
                <w:szCs w:val="20"/>
                <w:lang w:eastAsia="en-AU"/>
              </w:rPr>
              <w:t>Clinical criteria:</w:t>
            </w:r>
          </w:p>
        </w:tc>
      </w:tr>
      <w:tr w:rsidR="000A0F42" w:rsidRPr="00D27BF1" w14:paraId="46CA016F" w14:textId="77777777" w:rsidTr="00C24B3B">
        <w:tblPrEx>
          <w:tblCellMar>
            <w:top w:w="15" w:type="dxa"/>
            <w:left w:w="15" w:type="dxa"/>
            <w:bottom w:w="15" w:type="dxa"/>
            <w:right w:w="15" w:type="dxa"/>
          </w:tblCellMar>
          <w:tblLook w:val="04A0" w:firstRow="1" w:lastRow="0" w:firstColumn="1" w:lastColumn="0" w:noHBand="0" w:noVBand="1"/>
        </w:tblPrEx>
        <w:tc>
          <w:tcPr>
            <w:tcW w:w="981" w:type="dxa"/>
            <w:vAlign w:val="center"/>
          </w:tcPr>
          <w:p w14:paraId="4A6F55F0" w14:textId="77777777" w:rsidR="000A0F42" w:rsidRPr="000A0F42" w:rsidRDefault="000A0F42" w:rsidP="00C24B3B">
            <w:pPr>
              <w:jc w:val="center"/>
              <w:rPr>
                <w:rFonts w:ascii="Arial Narrow" w:hAnsi="Arial Narrow"/>
                <w:color w:val="333333"/>
                <w:sz w:val="20"/>
                <w:szCs w:val="20"/>
                <w:lang w:eastAsia="en-AU"/>
              </w:rPr>
            </w:pPr>
          </w:p>
        </w:tc>
        <w:tc>
          <w:tcPr>
            <w:tcW w:w="8086" w:type="dxa"/>
            <w:gridSpan w:val="7"/>
            <w:vAlign w:val="center"/>
            <w:hideMark/>
          </w:tcPr>
          <w:p w14:paraId="2C40A36B" w14:textId="77777777" w:rsidR="000A0F42" w:rsidRPr="000A0F42" w:rsidRDefault="000A0F42" w:rsidP="00C24B3B">
            <w:pPr>
              <w:autoSpaceDE w:val="0"/>
              <w:autoSpaceDN w:val="0"/>
              <w:adjustRightInd w:val="0"/>
              <w:rPr>
                <w:rFonts w:ascii="Arial Narrow" w:hAnsi="Arial Narrow" w:cstheme="minorHAnsi"/>
                <w:color w:val="000000"/>
                <w:sz w:val="20"/>
                <w:szCs w:val="20"/>
                <w:lang w:eastAsia="en-GB"/>
              </w:rPr>
            </w:pPr>
            <w:r w:rsidRPr="000A0F42">
              <w:rPr>
                <w:rFonts w:ascii="Arial Narrow" w:hAnsi="Arial Narrow" w:cstheme="minorHAnsi"/>
                <w:color w:val="000000"/>
                <w:sz w:val="20"/>
                <w:szCs w:val="20"/>
                <w:lang w:eastAsia="en-GB"/>
              </w:rPr>
              <w:t xml:space="preserve">Patient must be under the care of the same physician </w:t>
            </w:r>
            <w:r w:rsidRPr="0077138D">
              <w:rPr>
                <w:rFonts w:ascii="Arial Narrow" w:hAnsi="Arial Narrow" w:cstheme="minorHAnsi"/>
                <w:iCs/>
                <w:color w:val="000000"/>
                <w:sz w:val="20"/>
                <w:szCs w:val="20"/>
                <w:lang w:eastAsia="en-GB"/>
              </w:rPr>
              <w:t>for at least 6 months</w:t>
            </w:r>
            <w:r w:rsidRPr="000A0F42">
              <w:rPr>
                <w:rFonts w:ascii="Arial Narrow" w:hAnsi="Arial Narrow" w:cstheme="minorHAnsi"/>
                <w:color w:val="000000"/>
                <w:sz w:val="20"/>
                <w:szCs w:val="20"/>
                <w:lang w:eastAsia="en-GB"/>
              </w:rPr>
              <w:t>; OR must have been diagnosed with CRSwNP by a multidisciplinary team (MDT)</w:t>
            </w:r>
          </w:p>
        </w:tc>
      </w:tr>
      <w:tr w:rsidR="000A0F42" w:rsidRPr="00D27BF1" w14:paraId="28A26A76" w14:textId="77777777" w:rsidTr="00C24B3B">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4EA5D6B1" w14:textId="77777777" w:rsidR="000A0F42" w:rsidRPr="000A0F42" w:rsidRDefault="000A0F42" w:rsidP="00C24B3B">
            <w:pPr>
              <w:jc w:val="center"/>
              <w:rPr>
                <w:rFonts w:ascii="Arial Narrow" w:hAnsi="Arial Narrow"/>
                <w:color w:val="333333"/>
                <w:sz w:val="20"/>
                <w:szCs w:val="20"/>
                <w:lang w:eastAsia="en-AU"/>
              </w:rPr>
            </w:pPr>
          </w:p>
        </w:tc>
        <w:tc>
          <w:tcPr>
            <w:tcW w:w="8086" w:type="dxa"/>
            <w:gridSpan w:val="7"/>
            <w:tcBorders>
              <w:top w:val="single" w:sz="4" w:space="0" w:color="auto"/>
              <w:left w:val="single" w:sz="4" w:space="0" w:color="auto"/>
              <w:bottom w:val="single" w:sz="4" w:space="0" w:color="auto"/>
              <w:right w:val="single" w:sz="4" w:space="0" w:color="auto"/>
            </w:tcBorders>
            <w:vAlign w:val="center"/>
          </w:tcPr>
          <w:p w14:paraId="4B2A1632" w14:textId="77777777" w:rsidR="000A0F42" w:rsidRPr="000A0F42" w:rsidRDefault="000A0F42" w:rsidP="00C24B3B">
            <w:pPr>
              <w:rPr>
                <w:rFonts w:ascii="Arial Narrow" w:hAnsi="Arial Narrow"/>
                <w:b/>
                <w:bCs/>
                <w:color w:val="333333"/>
                <w:sz w:val="20"/>
                <w:szCs w:val="20"/>
                <w:lang w:eastAsia="en-AU"/>
              </w:rPr>
            </w:pPr>
            <w:r w:rsidRPr="000A0F42">
              <w:rPr>
                <w:rFonts w:ascii="Arial Narrow" w:hAnsi="Arial Narrow"/>
                <w:b/>
                <w:bCs/>
                <w:color w:val="333333"/>
                <w:sz w:val="20"/>
                <w:szCs w:val="20"/>
                <w:lang w:eastAsia="en-AU"/>
              </w:rPr>
              <w:t>AND</w:t>
            </w:r>
          </w:p>
        </w:tc>
      </w:tr>
      <w:tr w:rsidR="000A0F42" w:rsidRPr="00D27BF1" w14:paraId="67BE391F" w14:textId="77777777" w:rsidTr="00C24B3B">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79DAF2BA" w14:textId="77777777" w:rsidR="000A0F42" w:rsidRPr="000A0F42" w:rsidRDefault="000A0F42" w:rsidP="00C24B3B">
            <w:pPr>
              <w:keepNext/>
              <w:jc w:val="center"/>
              <w:rPr>
                <w:rFonts w:ascii="Arial Narrow" w:hAnsi="Arial Narrow"/>
                <w:color w:val="333333"/>
                <w:sz w:val="20"/>
                <w:szCs w:val="20"/>
                <w:lang w:eastAsia="en-AU"/>
              </w:rPr>
            </w:pPr>
          </w:p>
        </w:tc>
        <w:tc>
          <w:tcPr>
            <w:tcW w:w="8086" w:type="dxa"/>
            <w:gridSpan w:val="7"/>
            <w:tcBorders>
              <w:top w:val="single" w:sz="4" w:space="0" w:color="auto"/>
              <w:left w:val="single" w:sz="4" w:space="0" w:color="auto"/>
              <w:bottom w:val="single" w:sz="4" w:space="0" w:color="auto"/>
              <w:right w:val="single" w:sz="4" w:space="0" w:color="auto"/>
            </w:tcBorders>
            <w:vAlign w:val="center"/>
          </w:tcPr>
          <w:p w14:paraId="5F9EBCCF" w14:textId="77777777" w:rsidR="000A0F42" w:rsidRPr="000A0F42" w:rsidRDefault="000A0F42" w:rsidP="00C24B3B">
            <w:pPr>
              <w:keepNext/>
              <w:rPr>
                <w:rFonts w:ascii="Arial Narrow" w:hAnsi="Arial Narrow"/>
                <w:b/>
                <w:bCs/>
                <w:color w:val="333333"/>
                <w:sz w:val="20"/>
                <w:szCs w:val="20"/>
                <w:lang w:eastAsia="en-AU"/>
              </w:rPr>
            </w:pPr>
            <w:r w:rsidRPr="000A0F42">
              <w:rPr>
                <w:rFonts w:ascii="Arial Narrow" w:hAnsi="Arial Narrow"/>
                <w:b/>
                <w:bCs/>
                <w:color w:val="333333"/>
                <w:sz w:val="20"/>
                <w:szCs w:val="20"/>
                <w:lang w:eastAsia="en-AU"/>
              </w:rPr>
              <w:t>Clinical criteria:</w:t>
            </w:r>
          </w:p>
        </w:tc>
      </w:tr>
      <w:tr w:rsidR="000A0F42" w:rsidRPr="00D27BF1" w14:paraId="0A44A13D" w14:textId="77777777" w:rsidTr="00C24B3B">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07A257FF" w14:textId="77777777" w:rsidR="000A0F42" w:rsidRPr="000A0F42" w:rsidRDefault="000A0F42" w:rsidP="00C24B3B">
            <w:pPr>
              <w:jc w:val="center"/>
              <w:rPr>
                <w:rFonts w:ascii="Arial Narrow" w:hAnsi="Arial Narrow"/>
                <w:color w:val="333333"/>
                <w:sz w:val="20"/>
                <w:szCs w:val="20"/>
                <w:lang w:eastAsia="en-AU"/>
              </w:rPr>
            </w:pPr>
          </w:p>
        </w:tc>
        <w:tc>
          <w:tcPr>
            <w:tcW w:w="8086" w:type="dxa"/>
            <w:gridSpan w:val="7"/>
            <w:tcBorders>
              <w:top w:val="single" w:sz="4" w:space="0" w:color="auto"/>
              <w:left w:val="single" w:sz="4" w:space="0" w:color="auto"/>
              <w:bottom w:val="single" w:sz="4" w:space="0" w:color="auto"/>
              <w:right w:val="single" w:sz="4" w:space="0" w:color="auto"/>
            </w:tcBorders>
            <w:vAlign w:val="center"/>
          </w:tcPr>
          <w:p w14:paraId="7A167D2B" w14:textId="77777777" w:rsidR="000A0F42" w:rsidRPr="000A0F42" w:rsidRDefault="000A0F42" w:rsidP="00C24B3B">
            <w:pPr>
              <w:rPr>
                <w:rFonts w:ascii="Arial Narrow" w:hAnsi="Arial Narrow"/>
                <w:bCs/>
                <w:color w:val="333333"/>
                <w:sz w:val="20"/>
                <w:szCs w:val="20"/>
                <w:lang w:eastAsia="en-AU"/>
              </w:rPr>
            </w:pPr>
            <w:r w:rsidRPr="000A0F42">
              <w:rPr>
                <w:rFonts w:ascii="Arial Narrow" w:hAnsi="Arial Narrow"/>
                <w:bCs/>
                <w:color w:val="333333"/>
                <w:sz w:val="20"/>
                <w:szCs w:val="20"/>
                <w:lang w:eastAsia="en-AU"/>
              </w:rPr>
              <w:t xml:space="preserve">Patient must have received at least one previous surgery for the removal of nasal polyps; </w:t>
            </w:r>
          </w:p>
          <w:p w14:paraId="4BCCC8EA" w14:textId="77777777" w:rsidR="000A0F42" w:rsidRPr="000A0F42" w:rsidRDefault="000A0F42" w:rsidP="00C24B3B">
            <w:pPr>
              <w:rPr>
                <w:rFonts w:ascii="Arial Narrow" w:hAnsi="Arial Narrow"/>
                <w:bCs/>
                <w:color w:val="333333"/>
                <w:sz w:val="20"/>
                <w:szCs w:val="20"/>
                <w:lang w:eastAsia="en-AU"/>
              </w:rPr>
            </w:pPr>
            <w:r w:rsidRPr="000A0F42">
              <w:rPr>
                <w:rFonts w:ascii="Arial Narrow" w:hAnsi="Arial Narrow"/>
                <w:bCs/>
                <w:color w:val="333333"/>
                <w:sz w:val="20"/>
                <w:szCs w:val="20"/>
                <w:lang w:eastAsia="en-AU"/>
              </w:rPr>
              <w:t xml:space="preserve">OR </w:t>
            </w:r>
          </w:p>
        </w:tc>
      </w:tr>
      <w:tr w:rsidR="000A0F42" w:rsidRPr="00D27BF1" w14:paraId="4A54C8C5" w14:textId="77777777" w:rsidTr="00C24B3B">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05EA47AD" w14:textId="77777777" w:rsidR="000A0F42" w:rsidRPr="000A0F42" w:rsidRDefault="000A0F42" w:rsidP="00C24B3B">
            <w:pPr>
              <w:jc w:val="center"/>
              <w:rPr>
                <w:rFonts w:ascii="Arial Narrow" w:hAnsi="Arial Narrow"/>
                <w:color w:val="333333"/>
                <w:sz w:val="20"/>
                <w:szCs w:val="20"/>
                <w:lang w:eastAsia="en-AU"/>
              </w:rPr>
            </w:pPr>
          </w:p>
        </w:tc>
        <w:tc>
          <w:tcPr>
            <w:tcW w:w="8086" w:type="dxa"/>
            <w:gridSpan w:val="7"/>
            <w:tcBorders>
              <w:top w:val="single" w:sz="4" w:space="0" w:color="auto"/>
              <w:left w:val="single" w:sz="4" w:space="0" w:color="auto"/>
              <w:bottom w:val="single" w:sz="4" w:space="0" w:color="auto"/>
              <w:right w:val="single" w:sz="4" w:space="0" w:color="auto"/>
            </w:tcBorders>
            <w:vAlign w:val="center"/>
          </w:tcPr>
          <w:p w14:paraId="07CC7944" w14:textId="77777777" w:rsidR="000A0F42" w:rsidRPr="000A0F42" w:rsidRDefault="000A0F42" w:rsidP="00C24B3B">
            <w:pPr>
              <w:rPr>
                <w:rFonts w:ascii="Arial Narrow" w:hAnsi="Arial Narrow"/>
                <w:bCs/>
                <w:color w:val="333333"/>
                <w:sz w:val="20"/>
                <w:szCs w:val="20"/>
                <w:lang w:eastAsia="en-AU"/>
              </w:rPr>
            </w:pPr>
            <w:r w:rsidRPr="000A0F42">
              <w:rPr>
                <w:rFonts w:ascii="Arial Narrow" w:hAnsi="Arial Narrow"/>
                <w:bCs/>
                <w:color w:val="333333"/>
                <w:sz w:val="20"/>
                <w:szCs w:val="20"/>
                <w:lang w:eastAsia="en-AU"/>
              </w:rPr>
              <w:t xml:space="preserve">Patient </w:t>
            </w:r>
            <w:r w:rsidRPr="000A0F42">
              <w:rPr>
                <w:rFonts w:ascii="Arial Narrow" w:hAnsi="Arial Narrow"/>
                <w:bCs/>
                <w:strike/>
                <w:color w:val="333333"/>
                <w:sz w:val="20"/>
                <w:szCs w:val="20"/>
                <w:lang w:eastAsia="en-AU"/>
              </w:rPr>
              <w:t xml:space="preserve">is </w:t>
            </w:r>
            <w:r w:rsidRPr="000A0F42">
              <w:rPr>
                <w:rFonts w:ascii="Arial Narrow" w:hAnsi="Arial Narrow"/>
                <w:bCs/>
                <w:i/>
                <w:iCs/>
                <w:color w:val="333333"/>
                <w:sz w:val="20"/>
                <w:szCs w:val="20"/>
                <w:lang w:eastAsia="en-AU"/>
              </w:rPr>
              <w:t>must</w:t>
            </w:r>
            <w:r w:rsidRPr="000A0F42">
              <w:rPr>
                <w:rFonts w:ascii="Arial Narrow" w:hAnsi="Arial Narrow"/>
                <w:bCs/>
                <w:color w:val="333333"/>
                <w:sz w:val="20"/>
                <w:szCs w:val="20"/>
                <w:lang w:eastAsia="en-AU"/>
              </w:rPr>
              <w:t xml:space="preserve"> not </w:t>
            </w:r>
            <w:r w:rsidRPr="000A0F42">
              <w:rPr>
                <w:rFonts w:ascii="Arial Narrow" w:hAnsi="Arial Narrow"/>
                <w:bCs/>
                <w:i/>
                <w:iCs/>
                <w:color w:val="333333"/>
                <w:sz w:val="20"/>
                <w:szCs w:val="20"/>
                <w:lang w:eastAsia="en-AU"/>
              </w:rPr>
              <w:t>be</w:t>
            </w:r>
            <w:r w:rsidRPr="000A0F42">
              <w:rPr>
                <w:rFonts w:ascii="Arial Narrow" w:hAnsi="Arial Narrow"/>
                <w:bCs/>
                <w:color w:val="333333"/>
                <w:sz w:val="20"/>
                <w:szCs w:val="20"/>
                <w:lang w:eastAsia="en-AU"/>
              </w:rPr>
              <w:t xml:space="preserve"> suitable for surgery as per written advice from </w:t>
            </w:r>
            <w:r w:rsidRPr="000A0F42">
              <w:rPr>
                <w:rFonts w:ascii="Arial Narrow" w:hAnsi="Arial Narrow"/>
                <w:bCs/>
                <w:i/>
                <w:color w:val="333333"/>
                <w:sz w:val="20"/>
                <w:szCs w:val="20"/>
                <w:lang w:eastAsia="en-AU"/>
              </w:rPr>
              <w:t xml:space="preserve">at least two of the specialist prescribers listed above </w:t>
            </w:r>
            <w:r w:rsidRPr="000A0F42">
              <w:rPr>
                <w:rFonts w:ascii="Arial Narrow" w:hAnsi="Arial Narrow"/>
                <w:bCs/>
                <w:strike/>
                <w:color w:val="333333"/>
                <w:sz w:val="20"/>
                <w:szCs w:val="20"/>
                <w:lang w:eastAsia="en-AU"/>
              </w:rPr>
              <w:t>physician</w:t>
            </w:r>
            <w:r w:rsidRPr="000A0F42">
              <w:rPr>
                <w:rFonts w:ascii="Arial Narrow" w:hAnsi="Arial Narrow"/>
                <w:bCs/>
                <w:i/>
                <w:strike/>
                <w:color w:val="333333"/>
                <w:sz w:val="20"/>
                <w:szCs w:val="20"/>
                <w:lang w:eastAsia="en-AU"/>
              </w:rPr>
              <w:t xml:space="preserve">s </w:t>
            </w:r>
            <w:r w:rsidRPr="000A0F42">
              <w:rPr>
                <w:rFonts w:ascii="Arial Narrow" w:hAnsi="Arial Narrow"/>
                <w:bCs/>
                <w:strike/>
                <w:color w:val="333333"/>
                <w:sz w:val="20"/>
                <w:szCs w:val="20"/>
                <w:lang w:eastAsia="en-AU"/>
              </w:rPr>
              <w:t>or ENT in care or MDT</w:t>
            </w:r>
            <w:r w:rsidRPr="000A0F42">
              <w:rPr>
                <w:rFonts w:ascii="Arial Narrow" w:hAnsi="Arial Narrow"/>
                <w:bCs/>
                <w:color w:val="333333"/>
                <w:sz w:val="20"/>
                <w:szCs w:val="20"/>
                <w:lang w:eastAsia="en-AU"/>
              </w:rPr>
              <w:t>.</w:t>
            </w:r>
          </w:p>
        </w:tc>
      </w:tr>
      <w:tr w:rsidR="000A0F42" w:rsidRPr="00D27BF1" w14:paraId="6A22CD17" w14:textId="77777777" w:rsidTr="00C24B3B">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31A707B5" w14:textId="77777777" w:rsidR="000A0F42" w:rsidRPr="00D27BF1" w:rsidRDefault="000A0F42" w:rsidP="00C24B3B">
            <w:pPr>
              <w:jc w:val="center"/>
              <w:rPr>
                <w:rFonts w:ascii="Arial Narrow" w:hAnsi="Arial Narrow"/>
                <w:b/>
                <w:color w:val="333333"/>
                <w:sz w:val="20"/>
                <w:szCs w:val="20"/>
                <w:lang w:eastAsia="en-AU"/>
              </w:rPr>
            </w:pPr>
          </w:p>
        </w:tc>
        <w:tc>
          <w:tcPr>
            <w:tcW w:w="8086" w:type="dxa"/>
            <w:gridSpan w:val="7"/>
            <w:tcBorders>
              <w:top w:val="single" w:sz="4" w:space="0" w:color="auto"/>
              <w:left w:val="single" w:sz="4" w:space="0" w:color="auto"/>
              <w:bottom w:val="single" w:sz="4" w:space="0" w:color="auto"/>
              <w:right w:val="single" w:sz="4" w:space="0" w:color="auto"/>
            </w:tcBorders>
            <w:vAlign w:val="center"/>
          </w:tcPr>
          <w:p w14:paraId="6FDF71EF" w14:textId="77777777" w:rsidR="000A0F42" w:rsidRPr="00D27BF1" w:rsidRDefault="000A0F42" w:rsidP="00C24B3B">
            <w:pPr>
              <w:rPr>
                <w:rFonts w:ascii="Arial Narrow" w:hAnsi="Arial Narrow"/>
                <w:b/>
                <w:bCs/>
                <w:color w:val="333333"/>
                <w:sz w:val="20"/>
                <w:szCs w:val="20"/>
                <w:lang w:eastAsia="en-AU"/>
              </w:rPr>
            </w:pPr>
            <w:r w:rsidRPr="00D27BF1">
              <w:rPr>
                <w:rFonts w:ascii="Arial Narrow" w:hAnsi="Arial Narrow"/>
                <w:b/>
                <w:bCs/>
                <w:color w:val="333333"/>
                <w:sz w:val="20"/>
                <w:szCs w:val="20"/>
                <w:lang w:eastAsia="en-AU"/>
              </w:rPr>
              <w:t>AND</w:t>
            </w:r>
          </w:p>
        </w:tc>
      </w:tr>
      <w:tr w:rsidR="000A0F42" w:rsidRPr="00D27BF1" w14:paraId="7EFDA5CC" w14:textId="77777777" w:rsidTr="00C24B3B">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5422E184" w14:textId="77777777" w:rsidR="000A0F42" w:rsidRPr="00D27BF1" w:rsidRDefault="000A0F42" w:rsidP="00C24B3B">
            <w:pPr>
              <w:jc w:val="center"/>
              <w:rPr>
                <w:rFonts w:ascii="Arial Narrow" w:hAnsi="Arial Narrow"/>
                <w:color w:val="333333"/>
                <w:sz w:val="20"/>
                <w:szCs w:val="20"/>
                <w:lang w:eastAsia="en-AU"/>
              </w:rPr>
            </w:pPr>
          </w:p>
        </w:tc>
        <w:tc>
          <w:tcPr>
            <w:tcW w:w="8086" w:type="dxa"/>
            <w:gridSpan w:val="7"/>
            <w:tcBorders>
              <w:top w:val="single" w:sz="4" w:space="0" w:color="auto"/>
              <w:left w:val="single" w:sz="4" w:space="0" w:color="auto"/>
              <w:bottom w:val="single" w:sz="4" w:space="0" w:color="auto"/>
              <w:right w:val="single" w:sz="4" w:space="0" w:color="auto"/>
            </w:tcBorders>
            <w:vAlign w:val="center"/>
          </w:tcPr>
          <w:p w14:paraId="59326FF3" w14:textId="77777777" w:rsidR="000A0F42" w:rsidRPr="00D27BF1" w:rsidRDefault="000A0F42" w:rsidP="00C24B3B">
            <w:pPr>
              <w:rPr>
                <w:rFonts w:ascii="Arial Narrow" w:hAnsi="Arial Narrow"/>
                <w:b/>
                <w:bCs/>
                <w:color w:val="333333"/>
                <w:sz w:val="20"/>
                <w:szCs w:val="20"/>
                <w:lang w:eastAsia="en-AU"/>
              </w:rPr>
            </w:pPr>
            <w:r w:rsidRPr="00D27BF1">
              <w:rPr>
                <w:rFonts w:ascii="Arial Narrow" w:hAnsi="Arial Narrow"/>
                <w:b/>
                <w:bCs/>
                <w:color w:val="333333"/>
                <w:sz w:val="20"/>
                <w:szCs w:val="20"/>
                <w:lang w:eastAsia="en-AU"/>
              </w:rPr>
              <w:t>Clinical criteria:</w:t>
            </w:r>
          </w:p>
        </w:tc>
      </w:tr>
      <w:tr w:rsidR="000A0F42" w:rsidRPr="00D27BF1" w14:paraId="079B784C" w14:textId="77777777" w:rsidTr="00C24B3B">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63CE9238" w14:textId="77777777" w:rsidR="000A0F42" w:rsidRPr="00D27BF1" w:rsidRDefault="000A0F42" w:rsidP="00C24B3B">
            <w:pPr>
              <w:jc w:val="center"/>
              <w:rPr>
                <w:rFonts w:ascii="Arial Narrow" w:hAnsi="Arial Narrow"/>
                <w:color w:val="333333"/>
                <w:sz w:val="20"/>
                <w:szCs w:val="20"/>
                <w:lang w:eastAsia="en-AU"/>
              </w:rPr>
            </w:pPr>
          </w:p>
        </w:tc>
        <w:tc>
          <w:tcPr>
            <w:tcW w:w="8086" w:type="dxa"/>
            <w:gridSpan w:val="7"/>
            <w:tcBorders>
              <w:top w:val="single" w:sz="4" w:space="0" w:color="auto"/>
              <w:left w:val="single" w:sz="4" w:space="0" w:color="auto"/>
              <w:bottom w:val="single" w:sz="4" w:space="0" w:color="auto"/>
              <w:right w:val="single" w:sz="4" w:space="0" w:color="auto"/>
            </w:tcBorders>
            <w:vAlign w:val="center"/>
          </w:tcPr>
          <w:p w14:paraId="06CC6C27" w14:textId="77777777" w:rsidR="000A0F42" w:rsidRPr="00D27BF1" w:rsidRDefault="000A0F42" w:rsidP="00C24B3B">
            <w:pPr>
              <w:rPr>
                <w:rFonts w:ascii="Arial Narrow" w:hAnsi="Arial Narrow" w:cstheme="minorBidi"/>
                <w:i/>
                <w:sz w:val="20"/>
                <w:szCs w:val="20"/>
                <w:lang w:eastAsia="en-GB"/>
              </w:rPr>
            </w:pPr>
            <w:r w:rsidRPr="00D27BF1">
              <w:rPr>
                <w:rFonts w:ascii="Arial Narrow" w:hAnsi="Arial Narrow" w:cstheme="minorBidi"/>
                <w:i/>
                <w:sz w:val="20"/>
                <w:szCs w:val="20"/>
                <w:lang w:eastAsia="en-GB"/>
              </w:rPr>
              <w:t xml:space="preserve">Patient must have a bilateral </w:t>
            </w:r>
            <w:r w:rsidRPr="00D27BF1">
              <w:rPr>
                <w:rFonts w:ascii="Arial Narrow" w:hAnsi="Arial Narrow" w:cstheme="minorBidi"/>
                <w:i/>
                <w:iCs/>
                <w:sz w:val="20"/>
                <w:szCs w:val="20"/>
                <w:lang w:eastAsia="en-GB"/>
              </w:rPr>
              <w:t xml:space="preserve">endoscopic nasal polyp score </w:t>
            </w:r>
            <w:r w:rsidRPr="00D27BF1">
              <w:rPr>
                <w:rFonts w:ascii="Arial Narrow" w:hAnsi="Arial Narrow" w:cstheme="minorBidi"/>
                <w:i/>
                <w:sz w:val="20"/>
                <w:szCs w:val="20"/>
                <w:lang w:eastAsia="en-GB"/>
              </w:rPr>
              <w:t>of ≥5 (out of a maximum score of 8, with a minimum score of 2 in each nasal cavity) despite optimised nasal polys therapy; OR</w:t>
            </w:r>
          </w:p>
          <w:p w14:paraId="6B5DC6AB" w14:textId="77777777" w:rsidR="000A0F42" w:rsidRPr="00D27BF1" w:rsidRDefault="000A0F42" w:rsidP="00C24B3B">
            <w:pPr>
              <w:rPr>
                <w:rFonts w:ascii="Arial Narrow" w:hAnsi="Arial Narrow" w:cstheme="minorHAnsi"/>
                <w:i/>
                <w:sz w:val="20"/>
                <w:szCs w:val="20"/>
                <w:lang w:eastAsia="en-GB"/>
              </w:rPr>
            </w:pPr>
            <w:r w:rsidRPr="00D27BF1">
              <w:rPr>
                <w:rFonts w:ascii="Arial Narrow" w:hAnsi="Arial Narrow" w:cstheme="minorHAnsi"/>
                <w:i/>
                <w:sz w:val="20"/>
                <w:szCs w:val="20"/>
                <w:lang w:eastAsia="en-GB"/>
              </w:rPr>
              <w:t xml:space="preserve">Patient must have a </w:t>
            </w:r>
            <w:r w:rsidRPr="00D27BF1">
              <w:rPr>
                <w:rFonts w:ascii="Arial Narrow" w:hAnsi="Arial Narrow" w:cstheme="minorHAnsi"/>
                <w:i/>
                <w:iCs/>
                <w:sz w:val="20"/>
                <w:szCs w:val="20"/>
                <w:lang w:eastAsia="en-GB"/>
              </w:rPr>
              <w:t xml:space="preserve">nasal obstruction visual analogue scale of </w:t>
            </w:r>
            <w:r w:rsidRPr="00D27BF1">
              <w:rPr>
                <w:rFonts w:ascii="Arial Narrow" w:hAnsi="Arial Narrow" w:cstheme="minorHAnsi"/>
                <w:i/>
                <w:sz w:val="20"/>
                <w:szCs w:val="20"/>
                <w:lang w:eastAsia="en-GB"/>
              </w:rPr>
              <w:t>&gt;5 (out of a maximum score of 10) despite optimised nasal polys therapy.</w:t>
            </w:r>
          </w:p>
        </w:tc>
      </w:tr>
      <w:tr w:rsidR="000A0F42" w:rsidRPr="00D27BF1" w14:paraId="5A73297F" w14:textId="77777777" w:rsidTr="00C24B3B">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7262BDEB" w14:textId="77777777" w:rsidR="000A0F42" w:rsidRPr="00D27BF1" w:rsidRDefault="000A0F42" w:rsidP="00C24B3B">
            <w:pPr>
              <w:jc w:val="center"/>
              <w:rPr>
                <w:rFonts w:ascii="Arial Narrow" w:hAnsi="Arial Narrow"/>
                <w:color w:val="333333"/>
                <w:sz w:val="20"/>
                <w:szCs w:val="20"/>
                <w:lang w:eastAsia="en-AU"/>
              </w:rPr>
            </w:pPr>
          </w:p>
        </w:tc>
        <w:tc>
          <w:tcPr>
            <w:tcW w:w="8086" w:type="dxa"/>
            <w:gridSpan w:val="7"/>
            <w:tcBorders>
              <w:top w:val="single" w:sz="4" w:space="0" w:color="auto"/>
              <w:left w:val="single" w:sz="4" w:space="0" w:color="auto"/>
              <w:bottom w:val="single" w:sz="4" w:space="0" w:color="auto"/>
              <w:right w:val="single" w:sz="4" w:space="0" w:color="auto"/>
            </w:tcBorders>
            <w:vAlign w:val="center"/>
          </w:tcPr>
          <w:p w14:paraId="511CD70F" w14:textId="77777777" w:rsidR="000A0F42" w:rsidRPr="00D27BF1" w:rsidRDefault="000A0F42" w:rsidP="00C24B3B">
            <w:pPr>
              <w:rPr>
                <w:rFonts w:ascii="Arial Narrow" w:hAnsi="Arial Narrow" w:cstheme="minorBidi"/>
                <w:b/>
                <w:sz w:val="20"/>
                <w:szCs w:val="20"/>
                <w:lang w:eastAsia="en-GB"/>
              </w:rPr>
            </w:pPr>
            <w:r w:rsidRPr="00D27BF1">
              <w:rPr>
                <w:rFonts w:ascii="Arial Narrow" w:hAnsi="Arial Narrow" w:cstheme="minorBidi"/>
                <w:b/>
                <w:sz w:val="20"/>
                <w:szCs w:val="20"/>
                <w:lang w:eastAsia="en-GB"/>
              </w:rPr>
              <w:t>AND</w:t>
            </w:r>
          </w:p>
        </w:tc>
      </w:tr>
      <w:tr w:rsidR="000A0F42" w:rsidRPr="00D27BF1" w14:paraId="5157F3D9" w14:textId="77777777" w:rsidTr="00C24B3B">
        <w:tblPrEx>
          <w:tblCellMar>
            <w:top w:w="15" w:type="dxa"/>
            <w:left w:w="15" w:type="dxa"/>
            <w:bottom w:w="15" w:type="dxa"/>
            <w:right w:w="15" w:type="dxa"/>
          </w:tblCellMar>
          <w:tblLook w:val="04A0" w:firstRow="1" w:lastRow="0" w:firstColumn="1" w:lastColumn="0" w:noHBand="0" w:noVBand="1"/>
        </w:tblPrEx>
        <w:tc>
          <w:tcPr>
            <w:tcW w:w="981" w:type="dxa"/>
            <w:vAlign w:val="center"/>
          </w:tcPr>
          <w:p w14:paraId="0F0BDF2E" w14:textId="77777777" w:rsidR="000A0F42" w:rsidRPr="00D27BF1" w:rsidRDefault="000A0F42" w:rsidP="00C24B3B">
            <w:pPr>
              <w:jc w:val="center"/>
              <w:rPr>
                <w:rFonts w:ascii="Arial Narrow" w:hAnsi="Arial Narrow"/>
                <w:color w:val="333333"/>
                <w:sz w:val="20"/>
                <w:szCs w:val="20"/>
                <w:lang w:eastAsia="en-AU"/>
              </w:rPr>
            </w:pPr>
          </w:p>
        </w:tc>
        <w:tc>
          <w:tcPr>
            <w:tcW w:w="8086" w:type="dxa"/>
            <w:gridSpan w:val="7"/>
            <w:vAlign w:val="center"/>
            <w:hideMark/>
          </w:tcPr>
          <w:p w14:paraId="557DACB8" w14:textId="77777777" w:rsidR="000A0F42" w:rsidRPr="00D27BF1" w:rsidRDefault="000A0F42" w:rsidP="00C24B3B">
            <w:pPr>
              <w:rPr>
                <w:rFonts w:ascii="Arial Narrow" w:hAnsi="Arial Narrow"/>
                <w:color w:val="333333"/>
                <w:sz w:val="20"/>
                <w:szCs w:val="20"/>
                <w:lang w:eastAsia="en-AU"/>
              </w:rPr>
            </w:pPr>
            <w:r w:rsidRPr="00D27BF1">
              <w:rPr>
                <w:rFonts w:ascii="Arial Narrow" w:hAnsi="Arial Narrow"/>
                <w:b/>
                <w:bCs/>
                <w:color w:val="333333"/>
                <w:sz w:val="20"/>
                <w:szCs w:val="20"/>
                <w:lang w:eastAsia="en-AU"/>
              </w:rPr>
              <w:t>Clinical criteria:</w:t>
            </w:r>
          </w:p>
        </w:tc>
      </w:tr>
      <w:tr w:rsidR="000A0F42" w:rsidRPr="00D27BF1" w14:paraId="0475DF5B" w14:textId="77777777" w:rsidTr="00C24B3B">
        <w:tblPrEx>
          <w:tblCellMar>
            <w:top w:w="15" w:type="dxa"/>
            <w:left w:w="15" w:type="dxa"/>
            <w:bottom w:w="15" w:type="dxa"/>
            <w:right w:w="15" w:type="dxa"/>
          </w:tblCellMar>
          <w:tblLook w:val="04A0" w:firstRow="1" w:lastRow="0" w:firstColumn="1" w:lastColumn="0" w:noHBand="0" w:noVBand="1"/>
        </w:tblPrEx>
        <w:tc>
          <w:tcPr>
            <w:tcW w:w="981" w:type="dxa"/>
            <w:vAlign w:val="center"/>
          </w:tcPr>
          <w:p w14:paraId="36329FFA" w14:textId="77777777" w:rsidR="000A0F42" w:rsidRPr="00D27BF1" w:rsidRDefault="000A0F42" w:rsidP="00C24B3B">
            <w:pPr>
              <w:jc w:val="center"/>
              <w:rPr>
                <w:rFonts w:ascii="Arial Narrow" w:hAnsi="Arial Narrow"/>
                <w:color w:val="333333"/>
                <w:sz w:val="20"/>
                <w:szCs w:val="20"/>
                <w:lang w:eastAsia="en-AU"/>
              </w:rPr>
            </w:pPr>
          </w:p>
        </w:tc>
        <w:tc>
          <w:tcPr>
            <w:tcW w:w="8086" w:type="dxa"/>
            <w:gridSpan w:val="7"/>
            <w:vAlign w:val="center"/>
            <w:hideMark/>
          </w:tcPr>
          <w:p w14:paraId="4F3012FC" w14:textId="77777777" w:rsidR="000A0F42" w:rsidRPr="00D27BF1" w:rsidRDefault="000A0F42" w:rsidP="00C24B3B">
            <w:pPr>
              <w:rPr>
                <w:rFonts w:ascii="Arial Narrow" w:hAnsi="Arial Narrow" w:cstheme="minorHAnsi"/>
                <w:color w:val="000000"/>
                <w:sz w:val="20"/>
                <w:szCs w:val="20"/>
                <w:lang w:eastAsia="en-GB"/>
              </w:rPr>
            </w:pPr>
            <w:r w:rsidRPr="00D27BF1">
              <w:rPr>
                <w:rFonts w:ascii="Arial Narrow" w:hAnsi="Arial Narrow" w:cstheme="minorHAnsi"/>
                <w:color w:val="000000"/>
                <w:sz w:val="20"/>
                <w:szCs w:val="20"/>
                <w:lang w:eastAsia="en-GB"/>
              </w:rPr>
              <w:t xml:space="preserve">Patient must not have received PBS-subsidised treatment with a biological medicine for CRSwNP; </w:t>
            </w:r>
            <w:r w:rsidRPr="00D27BF1">
              <w:rPr>
                <w:rFonts w:ascii="Arial Narrow" w:hAnsi="Arial Narrow" w:cstheme="minorHAnsi"/>
                <w:color w:val="000000"/>
                <w:sz w:val="20"/>
                <w:szCs w:val="20"/>
                <w:lang w:eastAsia="en-GB"/>
              </w:rPr>
              <w:br/>
              <w:t>OR</w:t>
            </w:r>
          </w:p>
          <w:p w14:paraId="02552D3C" w14:textId="77777777" w:rsidR="000A0F42" w:rsidRPr="00D27BF1" w:rsidRDefault="000A0F42" w:rsidP="00C24B3B">
            <w:pPr>
              <w:rPr>
                <w:rFonts w:ascii="Arial Narrow" w:hAnsi="Arial Narrow" w:cstheme="minorHAnsi"/>
                <w:color w:val="000000"/>
                <w:sz w:val="20"/>
                <w:szCs w:val="20"/>
                <w:lang w:eastAsia="en-GB"/>
              </w:rPr>
            </w:pPr>
            <w:r w:rsidRPr="00D27BF1">
              <w:rPr>
                <w:rFonts w:ascii="Arial Narrow" w:hAnsi="Arial Narrow" w:cstheme="minorHAnsi"/>
                <w:color w:val="000000"/>
                <w:sz w:val="20"/>
                <w:szCs w:val="20"/>
                <w:lang w:eastAsia="en-GB"/>
              </w:rPr>
              <w:t>Patient must have had a break in treatment from the most recently approved PBS-subsidised mepolizumab treatment for CRSwNP.</w:t>
            </w:r>
          </w:p>
          <w:p w14:paraId="18B5088D" w14:textId="77777777" w:rsidR="000A0F42" w:rsidRPr="00D27BF1" w:rsidRDefault="000A0F42" w:rsidP="00C24B3B">
            <w:pPr>
              <w:rPr>
                <w:rFonts w:ascii="Arial Narrow" w:hAnsi="Arial Narrow" w:cstheme="minorHAnsi"/>
                <w:color w:val="000000"/>
                <w:sz w:val="20"/>
                <w:szCs w:val="20"/>
                <w:lang w:eastAsia="en-GB"/>
              </w:rPr>
            </w:pPr>
            <w:r w:rsidRPr="00D27BF1">
              <w:rPr>
                <w:rFonts w:ascii="Arial Narrow" w:hAnsi="Arial Narrow" w:cstheme="minorHAnsi"/>
                <w:color w:val="000000"/>
                <w:sz w:val="20"/>
                <w:szCs w:val="20"/>
                <w:lang w:eastAsia="en-GB"/>
              </w:rPr>
              <w:t>OR</w:t>
            </w:r>
          </w:p>
          <w:p w14:paraId="7415D413" w14:textId="77777777" w:rsidR="000A0F42" w:rsidRPr="00D27BF1" w:rsidRDefault="000A0F42" w:rsidP="00C24B3B">
            <w:pPr>
              <w:rPr>
                <w:rFonts w:ascii="Arial Narrow" w:hAnsi="Arial Narrow" w:cstheme="minorHAnsi"/>
                <w:color w:val="000000"/>
                <w:sz w:val="20"/>
                <w:szCs w:val="20"/>
                <w:lang w:eastAsia="en-GB"/>
              </w:rPr>
            </w:pPr>
            <w:r w:rsidRPr="00D27BF1">
              <w:rPr>
                <w:rFonts w:ascii="Arial Narrow" w:hAnsi="Arial Narrow" w:cstheme="minorHAnsi"/>
                <w:color w:val="000000"/>
                <w:sz w:val="20"/>
                <w:szCs w:val="20"/>
                <w:lang w:eastAsia="en-GB"/>
              </w:rPr>
              <w:t>The treatment must not be used in combination with and within 4 weeks of another PBS-subsidised biological medicine prescribed for nasal polyps or severe asthma.</w:t>
            </w:r>
          </w:p>
        </w:tc>
      </w:tr>
      <w:tr w:rsidR="000A0F42" w:rsidRPr="00D27BF1" w14:paraId="53B0751A" w14:textId="77777777" w:rsidTr="00C24B3B">
        <w:tblPrEx>
          <w:tblCellMar>
            <w:top w:w="15" w:type="dxa"/>
            <w:left w:w="15" w:type="dxa"/>
            <w:bottom w:w="15" w:type="dxa"/>
            <w:right w:w="15" w:type="dxa"/>
          </w:tblCellMar>
          <w:tblLook w:val="04A0" w:firstRow="1" w:lastRow="0" w:firstColumn="1" w:lastColumn="0" w:noHBand="0" w:noVBand="1"/>
        </w:tblPrEx>
        <w:tc>
          <w:tcPr>
            <w:tcW w:w="981" w:type="dxa"/>
            <w:vAlign w:val="center"/>
          </w:tcPr>
          <w:p w14:paraId="390662AD" w14:textId="77777777" w:rsidR="000A0F42" w:rsidRPr="00D27BF1" w:rsidRDefault="000A0F42" w:rsidP="00C24B3B">
            <w:pPr>
              <w:jc w:val="center"/>
              <w:rPr>
                <w:rFonts w:ascii="Arial Narrow" w:hAnsi="Arial Narrow"/>
                <w:b/>
                <w:color w:val="333333"/>
                <w:sz w:val="20"/>
                <w:szCs w:val="20"/>
                <w:lang w:eastAsia="en-AU"/>
              </w:rPr>
            </w:pPr>
          </w:p>
        </w:tc>
        <w:tc>
          <w:tcPr>
            <w:tcW w:w="8086" w:type="dxa"/>
            <w:gridSpan w:val="7"/>
            <w:vAlign w:val="center"/>
          </w:tcPr>
          <w:p w14:paraId="45045EAA" w14:textId="77777777" w:rsidR="000A0F42" w:rsidRPr="00D27BF1" w:rsidRDefault="000A0F42" w:rsidP="00C24B3B">
            <w:pPr>
              <w:rPr>
                <w:rFonts w:ascii="Arial Narrow" w:hAnsi="Arial Narrow" w:cstheme="minorHAnsi"/>
                <w:b/>
                <w:color w:val="000000"/>
                <w:sz w:val="20"/>
                <w:szCs w:val="20"/>
                <w:lang w:eastAsia="en-GB"/>
              </w:rPr>
            </w:pPr>
            <w:r w:rsidRPr="00D27BF1">
              <w:rPr>
                <w:rFonts w:ascii="Arial Narrow" w:hAnsi="Arial Narrow" w:cstheme="minorHAnsi"/>
                <w:b/>
                <w:color w:val="000000"/>
                <w:sz w:val="20"/>
                <w:szCs w:val="20"/>
                <w:lang w:eastAsia="en-GB"/>
              </w:rPr>
              <w:t>AND</w:t>
            </w:r>
          </w:p>
        </w:tc>
      </w:tr>
      <w:tr w:rsidR="000A0F42" w:rsidRPr="00D27BF1" w14:paraId="76D7576B" w14:textId="77777777" w:rsidTr="00C24B3B">
        <w:tblPrEx>
          <w:tblCellMar>
            <w:top w:w="15" w:type="dxa"/>
            <w:left w:w="15" w:type="dxa"/>
            <w:bottom w:w="15" w:type="dxa"/>
            <w:right w:w="15" w:type="dxa"/>
          </w:tblCellMar>
          <w:tblLook w:val="04A0" w:firstRow="1" w:lastRow="0" w:firstColumn="1" w:lastColumn="0" w:noHBand="0" w:noVBand="1"/>
        </w:tblPrEx>
        <w:tc>
          <w:tcPr>
            <w:tcW w:w="981" w:type="dxa"/>
            <w:vAlign w:val="center"/>
          </w:tcPr>
          <w:p w14:paraId="33893C04" w14:textId="77777777" w:rsidR="000A0F42" w:rsidRPr="00D27BF1" w:rsidRDefault="000A0F42" w:rsidP="00C24B3B">
            <w:pPr>
              <w:jc w:val="center"/>
              <w:rPr>
                <w:rFonts w:ascii="Arial Narrow" w:hAnsi="Arial Narrow"/>
                <w:b/>
                <w:color w:val="333333"/>
                <w:sz w:val="20"/>
                <w:szCs w:val="20"/>
                <w:lang w:eastAsia="en-AU"/>
              </w:rPr>
            </w:pPr>
          </w:p>
        </w:tc>
        <w:tc>
          <w:tcPr>
            <w:tcW w:w="8086" w:type="dxa"/>
            <w:gridSpan w:val="7"/>
            <w:vAlign w:val="center"/>
          </w:tcPr>
          <w:p w14:paraId="32D02990" w14:textId="77777777" w:rsidR="000A0F42" w:rsidRPr="00D27BF1" w:rsidRDefault="000A0F42" w:rsidP="00C24B3B">
            <w:pPr>
              <w:rPr>
                <w:rFonts w:ascii="Arial Narrow" w:hAnsi="Arial Narrow" w:cstheme="minorHAnsi"/>
                <w:b/>
                <w:color w:val="000000"/>
                <w:sz w:val="20"/>
                <w:szCs w:val="20"/>
                <w:lang w:eastAsia="en-GB"/>
              </w:rPr>
            </w:pPr>
            <w:r w:rsidRPr="00D27BF1">
              <w:rPr>
                <w:rFonts w:ascii="Arial Narrow" w:hAnsi="Arial Narrow" w:cstheme="minorHAnsi"/>
                <w:b/>
                <w:color w:val="000000"/>
                <w:sz w:val="20"/>
                <w:szCs w:val="20"/>
                <w:lang w:eastAsia="en-GB"/>
              </w:rPr>
              <w:t>Clinical criteria:</w:t>
            </w:r>
          </w:p>
        </w:tc>
      </w:tr>
      <w:tr w:rsidR="000A0F42" w:rsidRPr="00D27BF1" w14:paraId="7A7E0EC9" w14:textId="77777777" w:rsidTr="00C24B3B">
        <w:tblPrEx>
          <w:tblCellMar>
            <w:top w:w="15" w:type="dxa"/>
            <w:left w:w="15" w:type="dxa"/>
            <w:bottom w:w="15" w:type="dxa"/>
            <w:right w:w="15" w:type="dxa"/>
          </w:tblCellMar>
          <w:tblLook w:val="04A0" w:firstRow="1" w:lastRow="0" w:firstColumn="1" w:lastColumn="0" w:noHBand="0" w:noVBand="1"/>
        </w:tblPrEx>
        <w:tc>
          <w:tcPr>
            <w:tcW w:w="981" w:type="dxa"/>
            <w:vAlign w:val="center"/>
          </w:tcPr>
          <w:p w14:paraId="3E41A978" w14:textId="77777777" w:rsidR="000A0F42" w:rsidRPr="00D27BF1" w:rsidRDefault="000A0F42" w:rsidP="00C24B3B">
            <w:pPr>
              <w:jc w:val="center"/>
              <w:rPr>
                <w:rFonts w:ascii="Arial Narrow" w:hAnsi="Arial Narrow"/>
                <w:color w:val="333333"/>
                <w:sz w:val="20"/>
                <w:szCs w:val="20"/>
                <w:lang w:eastAsia="en-AU"/>
              </w:rPr>
            </w:pPr>
          </w:p>
        </w:tc>
        <w:tc>
          <w:tcPr>
            <w:tcW w:w="8086" w:type="dxa"/>
            <w:gridSpan w:val="7"/>
            <w:vAlign w:val="center"/>
          </w:tcPr>
          <w:p w14:paraId="780F3556" w14:textId="77777777" w:rsidR="000A0F42" w:rsidRPr="00D27BF1" w:rsidRDefault="000A0F42" w:rsidP="00C24B3B">
            <w:pPr>
              <w:rPr>
                <w:rFonts w:ascii="Arial Narrow" w:hAnsi="Arial Narrow" w:cstheme="minorHAnsi"/>
                <w:color w:val="000000"/>
                <w:sz w:val="20"/>
                <w:szCs w:val="20"/>
                <w:lang w:eastAsia="en-GB"/>
              </w:rPr>
            </w:pPr>
            <w:r w:rsidRPr="00D27BF1">
              <w:rPr>
                <w:rFonts w:ascii="Arial Narrow" w:hAnsi="Arial Narrow" w:cstheme="minorHAnsi"/>
                <w:color w:val="000000"/>
                <w:sz w:val="20"/>
                <w:szCs w:val="20"/>
                <w:lang w:eastAsia="en-GB"/>
              </w:rPr>
              <w:t>Patient must have failed to achieve adequate control with optimised nasal polyps therapy which has been documented.</w:t>
            </w:r>
          </w:p>
        </w:tc>
      </w:tr>
      <w:tr w:rsidR="000A0F42" w:rsidRPr="00D27BF1" w14:paraId="4C7C2AE1" w14:textId="77777777" w:rsidTr="00C24B3B">
        <w:tblPrEx>
          <w:tblCellMar>
            <w:top w:w="15" w:type="dxa"/>
            <w:left w:w="15" w:type="dxa"/>
            <w:bottom w:w="15" w:type="dxa"/>
            <w:right w:w="15" w:type="dxa"/>
          </w:tblCellMar>
          <w:tblLook w:val="04A0" w:firstRow="1" w:lastRow="0" w:firstColumn="1" w:lastColumn="0" w:noHBand="0" w:noVBand="1"/>
        </w:tblPrEx>
        <w:tc>
          <w:tcPr>
            <w:tcW w:w="981" w:type="dxa"/>
            <w:vAlign w:val="center"/>
          </w:tcPr>
          <w:p w14:paraId="510A409C" w14:textId="77777777" w:rsidR="000A0F42" w:rsidRPr="00D27BF1" w:rsidRDefault="000A0F42" w:rsidP="00C24B3B">
            <w:pPr>
              <w:jc w:val="center"/>
              <w:rPr>
                <w:rFonts w:ascii="Arial Narrow" w:hAnsi="Arial Narrow"/>
                <w:color w:val="333333"/>
                <w:sz w:val="20"/>
                <w:szCs w:val="20"/>
                <w:lang w:eastAsia="en-AU"/>
              </w:rPr>
            </w:pPr>
          </w:p>
        </w:tc>
        <w:tc>
          <w:tcPr>
            <w:tcW w:w="8086" w:type="dxa"/>
            <w:gridSpan w:val="7"/>
            <w:vAlign w:val="center"/>
          </w:tcPr>
          <w:p w14:paraId="115D89CD" w14:textId="77777777" w:rsidR="000A0F42" w:rsidRPr="00D27BF1" w:rsidRDefault="000A0F42" w:rsidP="00C24B3B">
            <w:pPr>
              <w:rPr>
                <w:rFonts w:ascii="Arial Narrow" w:hAnsi="Arial Narrow" w:cstheme="minorHAnsi"/>
                <w:b/>
                <w:color w:val="000000"/>
                <w:sz w:val="20"/>
                <w:szCs w:val="20"/>
                <w:lang w:eastAsia="en-GB"/>
              </w:rPr>
            </w:pPr>
            <w:r w:rsidRPr="00D27BF1">
              <w:rPr>
                <w:rFonts w:ascii="Arial Narrow" w:hAnsi="Arial Narrow" w:cstheme="minorHAnsi"/>
                <w:b/>
                <w:color w:val="000000"/>
                <w:sz w:val="20"/>
                <w:szCs w:val="20"/>
                <w:lang w:eastAsia="en-GB"/>
              </w:rPr>
              <w:t>AND</w:t>
            </w:r>
          </w:p>
        </w:tc>
      </w:tr>
      <w:tr w:rsidR="000A0F42" w:rsidRPr="00D27BF1" w14:paraId="0BFBA7ED" w14:textId="77777777" w:rsidTr="00C24B3B">
        <w:tblPrEx>
          <w:tblCellMar>
            <w:top w:w="15" w:type="dxa"/>
            <w:left w:w="15" w:type="dxa"/>
            <w:bottom w:w="15" w:type="dxa"/>
            <w:right w:w="15" w:type="dxa"/>
          </w:tblCellMar>
          <w:tblLook w:val="04A0" w:firstRow="1" w:lastRow="0" w:firstColumn="1" w:lastColumn="0" w:noHBand="0" w:noVBand="1"/>
        </w:tblPrEx>
        <w:tc>
          <w:tcPr>
            <w:tcW w:w="981" w:type="dxa"/>
            <w:vAlign w:val="center"/>
          </w:tcPr>
          <w:p w14:paraId="5285D66C" w14:textId="77777777" w:rsidR="000A0F42" w:rsidRPr="00D27BF1" w:rsidRDefault="000A0F42" w:rsidP="00C24B3B">
            <w:pPr>
              <w:jc w:val="center"/>
              <w:rPr>
                <w:rFonts w:ascii="Arial Narrow" w:hAnsi="Arial Narrow"/>
                <w:color w:val="333333"/>
                <w:sz w:val="20"/>
                <w:szCs w:val="20"/>
                <w:lang w:eastAsia="en-AU"/>
              </w:rPr>
            </w:pPr>
          </w:p>
        </w:tc>
        <w:tc>
          <w:tcPr>
            <w:tcW w:w="8086" w:type="dxa"/>
            <w:gridSpan w:val="7"/>
            <w:vAlign w:val="center"/>
          </w:tcPr>
          <w:p w14:paraId="737FE185" w14:textId="77777777" w:rsidR="000A0F42" w:rsidRPr="00D27BF1" w:rsidRDefault="000A0F42" w:rsidP="00C24B3B">
            <w:pPr>
              <w:rPr>
                <w:rFonts w:ascii="Arial Narrow" w:hAnsi="Arial Narrow" w:cstheme="minorHAnsi"/>
                <w:b/>
                <w:color w:val="000000"/>
                <w:sz w:val="20"/>
                <w:szCs w:val="20"/>
                <w:lang w:eastAsia="en-GB"/>
              </w:rPr>
            </w:pPr>
            <w:r w:rsidRPr="00D27BF1">
              <w:rPr>
                <w:rFonts w:ascii="Arial Narrow" w:hAnsi="Arial Narrow" w:cstheme="minorHAnsi"/>
                <w:b/>
                <w:color w:val="000000"/>
                <w:sz w:val="20"/>
                <w:szCs w:val="20"/>
                <w:lang w:eastAsia="en-GB"/>
              </w:rPr>
              <w:t>Clinical criteria:</w:t>
            </w:r>
          </w:p>
        </w:tc>
      </w:tr>
      <w:tr w:rsidR="000A0F42" w:rsidRPr="00D27BF1" w14:paraId="1AADDD5C" w14:textId="77777777" w:rsidTr="00C24B3B">
        <w:tblPrEx>
          <w:tblCellMar>
            <w:top w:w="15" w:type="dxa"/>
            <w:left w:w="15" w:type="dxa"/>
            <w:bottom w:w="15" w:type="dxa"/>
            <w:right w:w="15" w:type="dxa"/>
          </w:tblCellMar>
          <w:tblLook w:val="04A0" w:firstRow="1" w:lastRow="0" w:firstColumn="1" w:lastColumn="0" w:noHBand="0" w:noVBand="1"/>
        </w:tblPrEx>
        <w:tc>
          <w:tcPr>
            <w:tcW w:w="981" w:type="dxa"/>
            <w:vAlign w:val="center"/>
          </w:tcPr>
          <w:p w14:paraId="5065E545" w14:textId="77777777" w:rsidR="000A0F42" w:rsidRPr="00D27BF1" w:rsidRDefault="000A0F42" w:rsidP="00C24B3B">
            <w:pPr>
              <w:jc w:val="center"/>
              <w:rPr>
                <w:rFonts w:ascii="Arial Narrow" w:hAnsi="Arial Narrow"/>
                <w:color w:val="333333"/>
                <w:sz w:val="20"/>
                <w:szCs w:val="20"/>
                <w:lang w:eastAsia="en-AU"/>
              </w:rPr>
            </w:pPr>
          </w:p>
        </w:tc>
        <w:tc>
          <w:tcPr>
            <w:tcW w:w="8086" w:type="dxa"/>
            <w:gridSpan w:val="7"/>
            <w:vAlign w:val="center"/>
          </w:tcPr>
          <w:p w14:paraId="70196E6A" w14:textId="77777777" w:rsidR="000A0F42" w:rsidRPr="00D27BF1" w:rsidRDefault="000A0F42" w:rsidP="00C24B3B">
            <w:pPr>
              <w:rPr>
                <w:rFonts w:ascii="Arial Narrow" w:hAnsi="Arial Narrow"/>
                <w:color w:val="333333"/>
                <w:sz w:val="20"/>
                <w:szCs w:val="20"/>
                <w:lang w:eastAsia="en-AU"/>
              </w:rPr>
            </w:pPr>
            <w:r w:rsidRPr="00D27BF1">
              <w:rPr>
                <w:rFonts w:ascii="Arial Narrow" w:hAnsi="Arial Narrow"/>
                <w:color w:val="333333"/>
                <w:sz w:val="20"/>
                <w:szCs w:val="20"/>
                <w:lang w:eastAsia="en-AU"/>
              </w:rPr>
              <w:t>Patient must have blood eosinophil count greater than or equal to 150cells/uL in the last 12 months.</w:t>
            </w:r>
          </w:p>
        </w:tc>
      </w:tr>
      <w:tr w:rsidR="000A0F42" w:rsidRPr="00D27BF1" w14:paraId="0DA47D9F" w14:textId="77777777" w:rsidTr="00C24B3B">
        <w:tblPrEx>
          <w:tblCellMar>
            <w:top w:w="15" w:type="dxa"/>
            <w:left w:w="15" w:type="dxa"/>
            <w:bottom w:w="15" w:type="dxa"/>
            <w:right w:w="15" w:type="dxa"/>
          </w:tblCellMar>
          <w:tblLook w:val="04A0" w:firstRow="1" w:lastRow="0" w:firstColumn="1" w:lastColumn="0" w:noHBand="0" w:noVBand="1"/>
        </w:tblPrEx>
        <w:tc>
          <w:tcPr>
            <w:tcW w:w="981" w:type="dxa"/>
            <w:vAlign w:val="center"/>
          </w:tcPr>
          <w:p w14:paraId="1B11C7D9" w14:textId="77777777" w:rsidR="000A0F42" w:rsidRPr="00D27BF1" w:rsidRDefault="000A0F42" w:rsidP="00C24B3B">
            <w:pPr>
              <w:jc w:val="center"/>
              <w:rPr>
                <w:rFonts w:ascii="Arial Narrow" w:hAnsi="Arial Narrow"/>
                <w:color w:val="333333"/>
                <w:sz w:val="20"/>
                <w:szCs w:val="20"/>
                <w:lang w:eastAsia="en-AU"/>
              </w:rPr>
            </w:pPr>
          </w:p>
        </w:tc>
        <w:tc>
          <w:tcPr>
            <w:tcW w:w="8086" w:type="dxa"/>
            <w:gridSpan w:val="7"/>
            <w:vAlign w:val="center"/>
          </w:tcPr>
          <w:p w14:paraId="142C96DE" w14:textId="77777777" w:rsidR="000A0F42" w:rsidRPr="00D27BF1" w:rsidRDefault="000A0F42" w:rsidP="00C24B3B">
            <w:pPr>
              <w:rPr>
                <w:rFonts w:ascii="Arial Narrow" w:hAnsi="Arial Narrow"/>
                <w:b/>
                <w:strike/>
                <w:color w:val="333333"/>
                <w:sz w:val="20"/>
                <w:szCs w:val="20"/>
                <w:lang w:eastAsia="en-AU"/>
              </w:rPr>
            </w:pPr>
            <w:r w:rsidRPr="00D27BF1">
              <w:rPr>
                <w:rFonts w:ascii="Arial Narrow" w:hAnsi="Arial Narrow"/>
                <w:b/>
                <w:strike/>
                <w:color w:val="333333"/>
                <w:sz w:val="20"/>
                <w:szCs w:val="20"/>
                <w:lang w:eastAsia="en-AU"/>
              </w:rPr>
              <w:t>AND</w:t>
            </w:r>
          </w:p>
        </w:tc>
      </w:tr>
      <w:tr w:rsidR="000A0F42" w:rsidRPr="00D27BF1" w14:paraId="3CDBDE94" w14:textId="77777777" w:rsidTr="00C24B3B">
        <w:tblPrEx>
          <w:tblCellMar>
            <w:top w:w="15" w:type="dxa"/>
            <w:left w:w="15" w:type="dxa"/>
            <w:bottom w:w="15" w:type="dxa"/>
            <w:right w:w="15" w:type="dxa"/>
          </w:tblCellMar>
          <w:tblLook w:val="04A0" w:firstRow="1" w:lastRow="0" w:firstColumn="1" w:lastColumn="0" w:noHBand="0" w:noVBand="1"/>
        </w:tblPrEx>
        <w:tc>
          <w:tcPr>
            <w:tcW w:w="981" w:type="dxa"/>
            <w:vAlign w:val="center"/>
          </w:tcPr>
          <w:p w14:paraId="7A73EE5C" w14:textId="77777777" w:rsidR="000A0F42" w:rsidRPr="00D27BF1" w:rsidRDefault="000A0F42" w:rsidP="00C24B3B">
            <w:pPr>
              <w:jc w:val="center"/>
              <w:rPr>
                <w:rFonts w:ascii="Arial Narrow" w:hAnsi="Arial Narrow"/>
                <w:color w:val="333333"/>
                <w:sz w:val="20"/>
                <w:szCs w:val="20"/>
                <w:lang w:eastAsia="en-AU"/>
              </w:rPr>
            </w:pPr>
          </w:p>
        </w:tc>
        <w:tc>
          <w:tcPr>
            <w:tcW w:w="8086" w:type="dxa"/>
            <w:gridSpan w:val="7"/>
            <w:vAlign w:val="center"/>
          </w:tcPr>
          <w:p w14:paraId="4C8C4911" w14:textId="77777777" w:rsidR="000A0F42" w:rsidRPr="00D27BF1" w:rsidRDefault="000A0F42" w:rsidP="00C24B3B">
            <w:pPr>
              <w:rPr>
                <w:rFonts w:ascii="Arial Narrow" w:hAnsi="Arial Narrow"/>
                <w:b/>
                <w:strike/>
                <w:color w:val="333333"/>
                <w:sz w:val="20"/>
                <w:szCs w:val="20"/>
                <w:lang w:eastAsia="en-AU"/>
              </w:rPr>
            </w:pPr>
            <w:r w:rsidRPr="00D27BF1">
              <w:rPr>
                <w:rFonts w:ascii="Arial Narrow" w:hAnsi="Arial Narrow"/>
                <w:b/>
                <w:strike/>
                <w:color w:val="333333"/>
                <w:sz w:val="20"/>
                <w:szCs w:val="20"/>
                <w:lang w:eastAsia="en-AU"/>
              </w:rPr>
              <w:t>Clinical criteria:</w:t>
            </w:r>
          </w:p>
        </w:tc>
      </w:tr>
      <w:tr w:rsidR="000A0F42" w:rsidRPr="00D27BF1" w14:paraId="16E3F106" w14:textId="77777777" w:rsidTr="00C24B3B">
        <w:tblPrEx>
          <w:tblCellMar>
            <w:top w:w="15" w:type="dxa"/>
            <w:left w:w="15" w:type="dxa"/>
            <w:bottom w:w="15" w:type="dxa"/>
            <w:right w:w="15" w:type="dxa"/>
          </w:tblCellMar>
          <w:tblLook w:val="04A0" w:firstRow="1" w:lastRow="0" w:firstColumn="1" w:lastColumn="0" w:noHBand="0" w:noVBand="1"/>
        </w:tblPrEx>
        <w:tc>
          <w:tcPr>
            <w:tcW w:w="981" w:type="dxa"/>
            <w:vAlign w:val="center"/>
          </w:tcPr>
          <w:p w14:paraId="59F69F98" w14:textId="77777777" w:rsidR="000A0F42" w:rsidRPr="00D27BF1" w:rsidRDefault="000A0F42" w:rsidP="00C24B3B">
            <w:pPr>
              <w:jc w:val="center"/>
              <w:rPr>
                <w:rFonts w:ascii="Arial Narrow" w:hAnsi="Arial Narrow"/>
                <w:color w:val="333333"/>
                <w:sz w:val="20"/>
                <w:szCs w:val="20"/>
                <w:lang w:eastAsia="en-AU"/>
              </w:rPr>
            </w:pPr>
          </w:p>
        </w:tc>
        <w:tc>
          <w:tcPr>
            <w:tcW w:w="8086" w:type="dxa"/>
            <w:gridSpan w:val="7"/>
            <w:vAlign w:val="center"/>
          </w:tcPr>
          <w:p w14:paraId="65555D2A" w14:textId="77777777" w:rsidR="000A0F42" w:rsidRPr="00D27BF1" w:rsidRDefault="000A0F42" w:rsidP="00C24B3B">
            <w:pPr>
              <w:widowControl/>
              <w:autoSpaceDE w:val="0"/>
              <w:autoSpaceDN w:val="0"/>
              <w:adjustRightInd w:val="0"/>
              <w:jc w:val="left"/>
              <w:rPr>
                <w:rFonts w:ascii="Arial Narrow" w:hAnsi="Arial Narrow" w:cstheme="minorHAnsi"/>
                <w:strike/>
                <w:color w:val="000000"/>
                <w:sz w:val="20"/>
                <w:szCs w:val="20"/>
                <w:lang w:eastAsia="en-GB"/>
              </w:rPr>
            </w:pPr>
            <w:r w:rsidRPr="00D27BF1">
              <w:rPr>
                <w:rFonts w:ascii="Arial Narrow" w:hAnsi="Arial Narrow" w:cstheme="minorHAnsi"/>
                <w:strike/>
                <w:color w:val="000000"/>
                <w:sz w:val="20"/>
                <w:szCs w:val="20"/>
                <w:lang w:eastAsia="en-GB"/>
              </w:rPr>
              <w:t>Patient must not receive more than 24 weeks of treatment to demonstrate a response under this restriction.</w:t>
            </w:r>
          </w:p>
        </w:tc>
      </w:tr>
      <w:tr w:rsidR="000A0F42" w:rsidRPr="00D27BF1" w14:paraId="45DFA1FF" w14:textId="77777777" w:rsidTr="00C24B3B">
        <w:tblPrEx>
          <w:tblCellMar>
            <w:top w:w="15" w:type="dxa"/>
            <w:left w:w="15" w:type="dxa"/>
            <w:bottom w:w="15" w:type="dxa"/>
            <w:right w:w="15" w:type="dxa"/>
          </w:tblCellMar>
          <w:tblLook w:val="04A0" w:firstRow="1" w:lastRow="0" w:firstColumn="1" w:lastColumn="0" w:noHBand="0" w:noVBand="1"/>
        </w:tblPrEx>
        <w:tc>
          <w:tcPr>
            <w:tcW w:w="981" w:type="dxa"/>
            <w:vAlign w:val="center"/>
          </w:tcPr>
          <w:p w14:paraId="41A221B6" w14:textId="77777777" w:rsidR="000A0F42" w:rsidRPr="00D27BF1" w:rsidRDefault="000A0F42" w:rsidP="00C24B3B">
            <w:pPr>
              <w:jc w:val="center"/>
              <w:rPr>
                <w:rFonts w:ascii="Arial Narrow" w:hAnsi="Arial Narrow"/>
                <w:color w:val="333333"/>
                <w:sz w:val="20"/>
                <w:szCs w:val="20"/>
                <w:lang w:eastAsia="en-AU"/>
              </w:rPr>
            </w:pPr>
          </w:p>
        </w:tc>
        <w:tc>
          <w:tcPr>
            <w:tcW w:w="8086" w:type="dxa"/>
            <w:gridSpan w:val="7"/>
            <w:vAlign w:val="center"/>
            <w:hideMark/>
          </w:tcPr>
          <w:p w14:paraId="03F4153E" w14:textId="77777777" w:rsidR="000A0F42" w:rsidRPr="00D27BF1" w:rsidRDefault="000A0F42" w:rsidP="00C24B3B">
            <w:pPr>
              <w:rPr>
                <w:rFonts w:ascii="Arial Narrow" w:hAnsi="Arial Narrow"/>
                <w:color w:val="333333"/>
                <w:sz w:val="20"/>
                <w:szCs w:val="20"/>
                <w:lang w:eastAsia="en-AU"/>
              </w:rPr>
            </w:pPr>
            <w:r w:rsidRPr="00D27BF1">
              <w:rPr>
                <w:rFonts w:ascii="Arial Narrow" w:hAnsi="Arial Narrow"/>
                <w:b/>
                <w:bCs/>
                <w:color w:val="333333"/>
                <w:sz w:val="20"/>
                <w:szCs w:val="20"/>
                <w:lang w:eastAsia="en-AU"/>
              </w:rPr>
              <w:t>Population criteria:</w:t>
            </w:r>
          </w:p>
        </w:tc>
      </w:tr>
      <w:tr w:rsidR="000A0F42" w:rsidRPr="00D27BF1" w14:paraId="78AFDEB5" w14:textId="77777777" w:rsidTr="00A02BF1">
        <w:tblPrEx>
          <w:tblCellMar>
            <w:top w:w="15" w:type="dxa"/>
            <w:left w:w="15" w:type="dxa"/>
            <w:bottom w:w="15" w:type="dxa"/>
            <w:right w:w="15" w:type="dxa"/>
          </w:tblCellMar>
          <w:tblLook w:val="04A0" w:firstRow="1" w:lastRow="0" w:firstColumn="1" w:lastColumn="0" w:noHBand="0" w:noVBand="1"/>
        </w:tblPrEx>
        <w:tc>
          <w:tcPr>
            <w:tcW w:w="981" w:type="dxa"/>
            <w:vAlign w:val="center"/>
          </w:tcPr>
          <w:p w14:paraId="2F568F80" w14:textId="77777777" w:rsidR="000A0F42" w:rsidRPr="00D27BF1" w:rsidRDefault="000A0F42" w:rsidP="00C24B3B">
            <w:pPr>
              <w:jc w:val="center"/>
              <w:rPr>
                <w:rFonts w:ascii="Arial Narrow" w:hAnsi="Arial Narrow"/>
                <w:color w:val="333333"/>
                <w:sz w:val="20"/>
                <w:szCs w:val="20"/>
                <w:lang w:eastAsia="en-AU"/>
              </w:rPr>
            </w:pPr>
          </w:p>
        </w:tc>
        <w:tc>
          <w:tcPr>
            <w:tcW w:w="8086" w:type="dxa"/>
            <w:gridSpan w:val="7"/>
            <w:vAlign w:val="center"/>
            <w:hideMark/>
          </w:tcPr>
          <w:p w14:paraId="26CBEF81" w14:textId="77777777" w:rsidR="000A0F42" w:rsidRPr="00D27BF1" w:rsidRDefault="000A0F42" w:rsidP="00C24B3B">
            <w:pPr>
              <w:rPr>
                <w:rFonts w:ascii="Arial Narrow" w:hAnsi="Arial Narrow"/>
                <w:color w:val="333333"/>
                <w:sz w:val="20"/>
                <w:szCs w:val="20"/>
                <w:lang w:eastAsia="en-AU"/>
              </w:rPr>
            </w:pPr>
            <w:r w:rsidRPr="00D27BF1">
              <w:rPr>
                <w:rFonts w:ascii="Arial Narrow" w:hAnsi="Arial Narrow" w:cstheme="minorHAnsi"/>
                <w:color w:val="000000"/>
                <w:sz w:val="20"/>
                <w:szCs w:val="20"/>
                <w:lang w:eastAsia="en-GB"/>
              </w:rPr>
              <w:t>Patient must be aged 18 years or older.</w:t>
            </w:r>
          </w:p>
        </w:tc>
      </w:tr>
      <w:tr w:rsidR="000A0F42" w:rsidRPr="00D27BF1" w14:paraId="71AF5BCA" w14:textId="77777777" w:rsidTr="00A02BF1">
        <w:tblPrEx>
          <w:tblCellMar>
            <w:top w:w="15" w:type="dxa"/>
            <w:left w:w="15" w:type="dxa"/>
            <w:bottom w:w="15" w:type="dxa"/>
            <w:right w:w="15" w:type="dxa"/>
          </w:tblCellMar>
          <w:tblLook w:val="04A0" w:firstRow="1" w:lastRow="0" w:firstColumn="1" w:lastColumn="0" w:noHBand="0" w:noVBand="1"/>
        </w:tblPrEx>
        <w:tc>
          <w:tcPr>
            <w:tcW w:w="981" w:type="dxa"/>
            <w:vAlign w:val="center"/>
          </w:tcPr>
          <w:p w14:paraId="0DFFC476" w14:textId="77777777" w:rsidR="000A0F42" w:rsidRPr="00D27BF1" w:rsidRDefault="000A0F42" w:rsidP="00C24B3B">
            <w:pPr>
              <w:jc w:val="center"/>
              <w:rPr>
                <w:rFonts w:ascii="Arial Narrow" w:hAnsi="Arial Narrow"/>
                <w:color w:val="333333"/>
                <w:sz w:val="20"/>
                <w:szCs w:val="20"/>
                <w:lang w:eastAsia="en-AU"/>
              </w:rPr>
            </w:pPr>
          </w:p>
        </w:tc>
        <w:tc>
          <w:tcPr>
            <w:tcW w:w="8086" w:type="dxa"/>
            <w:gridSpan w:val="7"/>
            <w:vAlign w:val="center"/>
            <w:hideMark/>
          </w:tcPr>
          <w:p w14:paraId="28209C57" w14:textId="77777777" w:rsidR="000A0F42" w:rsidRPr="00D27BF1" w:rsidRDefault="000A0F42" w:rsidP="00C24B3B">
            <w:pPr>
              <w:rPr>
                <w:rFonts w:ascii="Arial Narrow" w:hAnsi="Arial Narrow"/>
                <w:b/>
                <w:bCs/>
                <w:color w:val="333333"/>
                <w:sz w:val="20"/>
                <w:szCs w:val="20"/>
                <w:lang w:eastAsia="en-AU"/>
              </w:rPr>
            </w:pPr>
            <w:r w:rsidRPr="00D27BF1">
              <w:rPr>
                <w:rFonts w:ascii="Arial Narrow" w:hAnsi="Arial Narrow"/>
                <w:b/>
                <w:bCs/>
                <w:color w:val="333333"/>
                <w:sz w:val="20"/>
                <w:szCs w:val="20"/>
                <w:lang w:eastAsia="en-AU"/>
              </w:rPr>
              <w:t xml:space="preserve">Prescribing Instructions: </w:t>
            </w:r>
          </w:p>
          <w:p w14:paraId="061A754C" w14:textId="77777777" w:rsidR="000A0F42" w:rsidRPr="00D27BF1" w:rsidRDefault="000A0F42" w:rsidP="00C24B3B">
            <w:pPr>
              <w:autoSpaceDE w:val="0"/>
              <w:autoSpaceDN w:val="0"/>
              <w:adjustRightInd w:val="0"/>
              <w:rPr>
                <w:rFonts w:ascii="Arial Narrow" w:hAnsi="Arial Narrow" w:cstheme="minorHAnsi"/>
                <w:color w:val="000000"/>
                <w:sz w:val="20"/>
                <w:szCs w:val="20"/>
                <w:lang w:eastAsia="en-GB"/>
              </w:rPr>
            </w:pPr>
            <w:r w:rsidRPr="00D27BF1">
              <w:rPr>
                <w:rFonts w:ascii="Arial Narrow" w:hAnsi="Arial Narrow" w:cstheme="minorHAnsi"/>
                <w:bCs/>
                <w:color w:val="000000"/>
                <w:sz w:val="20"/>
                <w:szCs w:val="20"/>
                <w:lang w:eastAsia="en-GB"/>
              </w:rPr>
              <w:t>Optimised nasal polyps therapy includes:</w:t>
            </w:r>
          </w:p>
          <w:p w14:paraId="4012A739" w14:textId="77777777" w:rsidR="000A0F42" w:rsidRPr="00D27BF1" w:rsidRDefault="000A0F42" w:rsidP="00C24B3B">
            <w:pPr>
              <w:autoSpaceDE w:val="0"/>
              <w:autoSpaceDN w:val="0"/>
              <w:adjustRightInd w:val="0"/>
              <w:rPr>
                <w:rFonts w:ascii="Arial Narrow" w:hAnsi="Arial Narrow"/>
                <w:color w:val="000000"/>
                <w:sz w:val="20"/>
                <w:szCs w:val="20"/>
                <w:lang w:eastAsia="en-GB"/>
              </w:rPr>
            </w:pPr>
            <w:r w:rsidRPr="00D27BF1">
              <w:rPr>
                <w:rFonts w:ascii="Arial Narrow" w:hAnsi="Arial Narrow"/>
                <w:color w:val="000000" w:themeColor="text1"/>
                <w:sz w:val="20"/>
                <w:szCs w:val="20"/>
                <w:lang w:eastAsia="en-GB"/>
              </w:rPr>
              <w:t xml:space="preserve">(i) Adherence to </w:t>
            </w:r>
            <w:r w:rsidRPr="00D27BF1">
              <w:rPr>
                <w:rFonts w:ascii="Arial Narrow" w:hAnsi="Arial Narrow"/>
                <w:color w:val="000000" w:themeColor="text1"/>
                <w:sz w:val="20"/>
                <w:szCs w:val="20"/>
                <w:u w:val="single"/>
                <w:lang w:eastAsia="en-GB"/>
              </w:rPr>
              <w:t>intranasal corticosteroid therapy</w:t>
            </w:r>
            <w:r w:rsidRPr="00D27BF1">
              <w:rPr>
                <w:rFonts w:ascii="Arial Narrow" w:hAnsi="Arial Narrow"/>
                <w:color w:val="000000" w:themeColor="text1"/>
                <w:sz w:val="20"/>
                <w:szCs w:val="20"/>
                <w:lang w:eastAsia="en-GB"/>
              </w:rPr>
              <w:t xml:space="preserve"> for at least 2 months, unless contraindicated or not tolerated;</w:t>
            </w:r>
          </w:p>
          <w:p w14:paraId="26A5FB8B" w14:textId="77777777" w:rsidR="000A0F42" w:rsidRPr="00D27BF1" w:rsidRDefault="000A0F42" w:rsidP="00C24B3B">
            <w:pPr>
              <w:autoSpaceDE w:val="0"/>
              <w:autoSpaceDN w:val="0"/>
              <w:adjustRightInd w:val="0"/>
              <w:rPr>
                <w:rFonts w:ascii="Arial Narrow" w:hAnsi="Arial Narrow" w:cstheme="minorHAnsi"/>
                <w:b/>
                <w:bCs/>
                <w:color w:val="000000"/>
                <w:sz w:val="20"/>
                <w:szCs w:val="20"/>
                <w:lang w:eastAsia="en-GB"/>
              </w:rPr>
            </w:pPr>
            <w:r w:rsidRPr="00D27BF1">
              <w:rPr>
                <w:rFonts w:ascii="Arial Narrow" w:hAnsi="Arial Narrow" w:cstheme="minorHAnsi"/>
                <w:b/>
                <w:bCs/>
                <w:color w:val="000000"/>
                <w:sz w:val="20"/>
                <w:szCs w:val="20"/>
                <w:lang w:eastAsia="en-GB"/>
              </w:rPr>
              <w:t>AND</w:t>
            </w:r>
          </w:p>
          <w:p w14:paraId="48AFC210" w14:textId="77777777" w:rsidR="000A0F42" w:rsidRPr="00D27BF1" w:rsidRDefault="000A0F42" w:rsidP="00C24B3B">
            <w:pPr>
              <w:autoSpaceDE w:val="0"/>
              <w:autoSpaceDN w:val="0"/>
              <w:adjustRightInd w:val="0"/>
              <w:rPr>
                <w:rFonts w:ascii="Arial Narrow" w:hAnsi="Arial Narrow" w:cstheme="minorHAnsi"/>
                <w:color w:val="000000"/>
                <w:sz w:val="20"/>
                <w:szCs w:val="20"/>
                <w:lang w:eastAsia="en-GB"/>
              </w:rPr>
            </w:pPr>
            <w:r w:rsidRPr="00D27BF1">
              <w:rPr>
                <w:rFonts w:ascii="Arial Narrow" w:hAnsi="Arial Narrow" w:cstheme="minorHAnsi"/>
                <w:color w:val="000000"/>
                <w:sz w:val="20"/>
                <w:szCs w:val="20"/>
                <w:lang w:eastAsia="en-GB"/>
              </w:rPr>
              <w:t>(</w:t>
            </w:r>
            <w:r w:rsidRPr="00D27BF1">
              <w:rPr>
                <w:rFonts w:ascii="Arial Narrow" w:hAnsi="Arial Narrow"/>
                <w:color w:val="000000" w:themeColor="text1"/>
                <w:sz w:val="20"/>
                <w:szCs w:val="20"/>
                <w:lang w:eastAsia="en-GB"/>
              </w:rPr>
              <w:t xml:space="preserve">ii) treatment with </w:t>
            </w:r>
            <w:r w:rsidRPr="00D27BF1">
              <w:rPr>
                <w:rFonts w:ascii="Arial Narrow" w:hAnsi="Arial Narrow"/>
                <w:color w:val="000000" w:themeColor="text1"/>
                <w:sz w:val="20"/>
                <w:szCs w:val="20"/>
                <w:u w:val="single"/>
                <w:lang w:eastAsia="en-GB"/>
              </w:rPr>
              <w:t>oral corticosteroids</w:t>
            </w:r>
            <w:r w:rsidRPr="00D27BF1">
              <w:rPr>
                <w:rFonts w:ascii="Arial Narrow" w:hAnsi="Arial Narrow"/>
                <w:color w:val="000000" w:themeColor="text1"/>
                <w:sz w:val="20"/>
                <w:szCs w:val="20"/>
                <w:lang w:eastAsia="en-GB"/>
              </w:rPr>
              <w:t xml:space="preserve">, </w:t>
            </w:r>
            <w:r w:rsidRPr="00D27BF1">
              <w:rPr>
                <w:rFonts w:ascii="Arial Narrow" w:hAnsi="Arial Narrow"/>
                <w:i/>
                <w:iCs/>
                <w:color w:val="000000" w:themeColor="text1"/>
                <w:sz w:val="20"/>
                <w:szCs w:val="20"/>
                <w:lang w:eastAsia="en-GB"/>
              </w:rPr>
              <w:t>one course</w:t>
            </w:r>
            <w:r w:rsidRPr="00D27BF1">
              <w:rPr>
                <w:rFonts w:ascii="Arial Narrow" w:hAnsi="Arial Narrow"/>
                <w:color w:val="000000" w:themeColor="text1"/>
                <w:sz w:val="20"/>
                <w:szCs w:val="20"/>
                <w:lang w:eastAsia="en-GB"/>
              </w:rPr>
              <w:t xml:space="preserve"> in the past 12 months, unless contraindicated or not tolerated</w:t>
            </w:r>
            <w:r w:rsidRPr="00D27BF1">
              <w:rPr>
                <w:rFonts w:ascii="Arial Narrow" w:hAnsi="Arial Narrow" w:cstheme="minorHAnsi"/>
                <w:color w:val="000000"/>
                <w:sz w:val="20"/>
                <w:szCs w:val="20"/>
                <w:lang w:eastAsia="en-GB"/>
              </w:rPr>
              <w:t>.</w:t>
            </w:r>
          </w:p>
          <w:p w14:paraId="19B4ACFE" w14:textId="77777777" w:rsidR="000A0F42" w:rsidRPr="00D27BF1" w:rsidRDefault="000A0F42" w:rsidP="00C24B3B">
            <w:pPr>
              <w:autoSpaceDE w:val="0"/>
              <w:autoSpaceDN w:val="0"/>
              <w:adjustRightInd w:val="0"/>
              <w:rPr>
                <w:rFonts w:ascii="Arial Narrow" w:hAnsi="Arial Narrow" w:cstheme="minorHAnsi"/>
                <w:strike/>
                <w:color w:val="000000"/>
                <w:sz w:val="20"/>
                <w:szCs w:val="20"/>
                <w:lang w:eastAsia="en-GB"/>
              </w:rPr>
            </w:pPr>
            <w:r w:rsidRPr="00D27BF1">
              <w:rPr>
                <w:rFonts w:ascii="Arial Narrow" w:hAnsi="Arial Narrow" w:cstheme="minorHAnsi"/>
                <w:b/>
                <w:bCs/>
                <w:strike/>
                <w:color w:val="000000"/>
                <w:sz w:val="20"/>
                <w:szCs w:val="20"/>
                <w:lang w:eastAsia="en-GB"/>
              </w:rPr>
              <w:t>AND</w:t>
            </w:r>
          </w:p>
          <w:p w14:paraId="435D4332" w14:textId="77777777" w:rsidR="000A0F42" w:rsidRPr="00D27BF1" w:rsidRDefault="000A0F42" w:rsidP="00C24B3B">
            <w:pPr>
              <w:autoSpaceDE w:val="0"/>
              <w:autoSpaceDN w:val="0"/>
              <w:adjustRightInd w:val="0"/>
              <w:rPr>
                <w:rFonts w:ascii="Arial Narrow" w:hAnsi="Arial Narrow" w:cstheme="minorHAnsi"/>
                <w:strike/>
                <w:color w:val="000000"/>
                <w:sz w:val="20"/>
                <w:szCs w:val="20"/>
                <w:lang w:eastAsia="en-GB"/>
              </w:rPr>
            </w:pPr>
            <w:r w:rsidRPr="00D27BF1">
              <w:rPr>
                <w:rFonts w:ascii="Arial Narrow" w:hAnsi="Arial Narrow" w:cstheme="minorHAnsi"/>
                <w:strike/>
                <w:color w:val="000000"/>
                <w:sz w:val="20"/>
                <w:szCs w:val="20"/>
                <w:lang w:eastAsia="en-GB"/>
              </w:rPr>
              <w:t xml:space="preserve">The following initiation criteria indicate failure to achieve adequate control </w:t>
            </w:r>
            <w:r w:rsidRPr="00D27BF1">
              <w:rPr>
                <w:rFonts w:ascii="Arial Narrow" w:hAnsi="Arial Narrow" w:cstheme="minorHAnsi"/>
                <w:i/>
                <w:iCs/>
                <w:strike/>
                <w:color w:val="000000"/>
                <w:sz w:val="20"/>
                <w:szCs w:val="20"/>
                <w:lang w:eastAsia="en-GB"/>
              </w:rPr>
              <w:t>to optimised nasal polyps therapy</w:t>
            </w:r>
            <w:r w:rsidRPr="00D27BF1">
              <w:rPr>
                <w:rFonts w:ascii="Arial Narrow" w:hAnsi="Arial Narrow" w:cstheme="minorHAnsi"/>
                <w:strike/>
                <w:color w:val="000000"/>
                <w:sz w:val="20"/>
                <w:szCs w:val="20"/>
                <w:lang w:eastAsia="en-GB"/>
              </w:rPr>
              <w:t xml:space="preserve"> and must be </w:t>
            </w:r>
            <w:r w:rsidRPr="00D27BF1">
              <w:rPr>
                <w:rFonts w:ascii="Arial Narrow" w:hAnsi="Arial Narrow" w:cstheme="minorHAnsi"/>
                <w:i/>
                <w:iCs/>
                <w:strike/>
                <w:color w:val="000000"/>
                <w:sz w:val="20"/>
                <w:szCs w:val="20"/>
                <w:lang w:eastAsia="en-GB"/>
              </w:rPr>
              <w:t>declared to have been met</w:t>
            </w:r>
            <w:r w:rsidRPr="00D27BF1">
              <w:rPr>
                <w:rFonts w:ascii="Arial Narrow" w:hAnsi="Arial Narrow" w:cstheme="minorHAnsi"/>
                <w:strike/>
                <w:color w:val="000000"/>
                <w:sz w:val="20"/>
                <w:szCs w:val="20"/>
                <w:lang w:eastAsia="en-GB"/>
              </w:rPr>
              <w:t xml:space="preserve"> at the time of the application: </w:t>
            </w:r>
          </w:p>
          <w:p w14:paraId="6BE7B478" w14:textId="77777777" w:rsidR="000A0F42" w:rsidRPr="00D27BF1" w:rsidRDefault="000A0F42" w:rsidP="00C24B3B">
            <w:pPr>
              <w:autoSpaceDE w:val="0"/>
              <w:autoSpaceDN w:val="0"/>
              <w:adjustRightInd w:val="0"/>
              <w:rPr>
                <w:rFonts w:ascii="Arial Narrow" w:hAnsi="Arial Narrow" w:cstheme="minorBidi"/>
                <w:strike/>
                <w:sz w:val="20"/>
                <w:szCs w:val="20"/>
                <w:lang w:eastAsia="en-GB"/>
              </w:rPr>
            </w:pPr>
            <w:r w:rsidRPr="00D27BF1">
              <w:rPr>
                <w:rFonts w:ascii="Arial Narrow" w:hAnsi="Arial Narrow" w:cstheme="minorBidi"/>
                <w:strike/>
                <w:sz w:val="20"/>
                <w:szCs w:val="20"/>
                <w:lang w:eastAsia="en-GB"/>
              </w:rPr>
              <w:t xml:space="preserve">Baseline </w:t>
            </w:r>
            <w:r w:rsidRPr="00D27BF1">
              <w:rPr>
                <w:rFonts w:ascii="Arial Narrow" w:hAnsi="Arial Narrow" w:cstheme="minorBidi"/>
                <w:i/>
                <w:iCs/>
                <w:strike/>
                <w:sz w:val="20"/>
                <w:szCs w:val="20"/>
                <w:lang w:eastAsia="en-GB"/>
              </w:rPr>
              <w:t xml:space="preserve">endoscopic nasal polyp score </w:t>
            </w:r>
            <w:r w:rsidRPr="00D27BF1">
              <w:rPr>
                <w:rFonts w:ascii="Arial Narrow" w:hAnsi="Arial Narrow" w:cstheme="minorBidi"/>
                <w:strike/>
                <w:sz w:val="20"/>
                <w:szCs w:val="20"/>
                <w:lang w:eastAsia="en-GB"/>
              </w:rPr>
              <w:t>of ≥5 (out of a maximum score of 8, with a minimum score of 2 in each nasal cavity), OR</w:t>
            </w:r>
          </w:p>
          <w:p w14:paraId="33036198" w14:textId="77777777" w:rsidR="000A0F42" w:rsidRPr="00D27BF1" w:rsidRDefault="000A0F42" w:rsidP="00C24B3B">
            <w:pPr>
              <w:rPr>
                <w:rFonts w:ascii="Arial Narrow" w:hAnsi="Arial Narrow" w:cstheme="minorHAnsi"/>
                <w:strike/>
                <w:sz w:val="20"/>
                <w:szCs w:val="20"/>
                <w:lang w:eastAsia="en-GB"/>
              </w:rPr>
            </w:pPr>
            <w:r w:rsidRPr="00D27BF1">
              <w:rPr>
                <w:rFonts w:ascii="Arial Narrow" w:hAnsi="Arial Narrow" w:cstheme="minorHAnsi"/>
                <w:strike/>
                <w:sz w:val="20"/>
                <w:szCs w:val="20"/>
                <w:lang w:eastAsia="en-GB"/>
              </w:rPr>
              <w:t xml:space="preserve">Baseline </w:t>
            </w:r>
            <w:r w:rsidRPr="00D27BF1">
              <w:rPr>
                <w:rFonts w:ascii="Arial Narrow" w:hAnsi="Arial Narrow" w:cstheme="minorHAnsi"/>
                <w:i/>
                <w:iCs/>
                <w:strike/>
                <w:sz w:val="20"/>
                <w:szCs w:val="20"/>
                <w:lang w:eastAsia="en-GB"/>
              </w:rPr>
              <w:t xml:space="preserve">nasal obstruction VAS of </w:t>
            </w:r>
            <w:r w:rsidRPr="00D27BF1">
              <w:rPr>
                <w:rFonts w:ascii="Arial Narrow" w:hAnsi="Arial Narrow" w:cstheme="minorHAnsi"/>
                <w:strike/>
                <w:sz w:val="20"/>
                <w:szCs w:val="20"/>
                <w:lang w:eastAsia="en-GB"/>
              </w:rPr>
              <w:t>&gt;5 (out of a maximum score of 10)</w:t>
            </w:r>
          </w:p>
          <w:p w14:paraId="23C3E3C1" w14:textId="77777777" w:rsidR="000A0F42" w:rsidRPr="00D27BF1" w:rsidRDefault="000A0F42" w:rsidP="00C24B3B">
            <w:pPr>
              <w:autoSpaceDE w:val="0"/>
              <w:autoSpaceDN w:val="0"/>
              <w:adjustRightInd w:val="0"/>
              <w:rPr>
                <w:rFonts w:ascii="Arial Narrow" w:hAnsi="Arial Narrow" w:cstheme="minorHAnsi"/>
                <w:color w:val="000000"/>
                <w:sz w:val="20"/>
                <w:szCs w:val="20"/>
                <w:lang w:eastAsia="en-GB"/>
              </w:rPr>
            </w:pPr>
            <w:r w:rsidRPr="00D27BF1">
              <w:rPr>
                <w:rFonts w:ascii="Arial Narrow" w:hAnsi="Arial Narrow" w:cstheme="minorHAnsi"/>
                <w:b/>
                <w:bCs/>
                <w:color w:val="000000"/>
                <w:sz w:val="20"/>
                <w:szCs w:val="20"/>
                <w:lang w:eastAsia="en-GB"/>
              </w:rPr>
              <w:t xml:space="preserve">Surgical exception: </w:t>
            </w:r>
            <w:r w:rsidRPr="00D27BF1">
              <w:rPr>
                <w:rFonts w:ascii="Arial Narrow" w:hAnsi="Arial Narrow" w:cstheme="minorHAnsi"/>
                <w:color w:val="000000"/>
                <w:sz w:val="20"/>
                <w:szCs w:val="20"/>
                <w:lang w:eastAsia="en-GB"/>
              </w:rPr>
              <w:t>details</w:t>
            </w:r>
            <w:r w:rsidRPr="00D27BF1">
              <w:rPr>
                <w:rFonts w:ascii="Arial Narrow" w:hAnsi="Arial Narrow" w:cstheme="minorHAnsi"/>
                <w:b/>
                <w:bCs/>
                <w:color w:val="000000"/>
                <w:sz w:val="20"/>
                <w:szCs w:val="20"/>
                <w:lang w:eastAsia="en-GB"/>
              </w:rPr>
              <w:t xml:space="preserve"> </w:t>
            </w:r>
            <w:r w:rsidRPr="00D27BF1">
              <w:rPr>
                <w:rFonts w:ascii="Arial Narrow" w:hAnsi="Arial Narrow" w:cstheme="minorHAnsi"/>
                <w:color w:val="000000"/>
                <w:sz w:val="20"/>
                <w:szCs w:val="20"/>
                <w:lang w:eastAsia="en-GB"/>
              </w:rPr>
              <w:t xml:space="preserve">to be provided in a written application to seek an exemption include serious comorbid disease (e.g. cardiovascular, stroke) making the risk of surgery unacceptable. </w:t>
            </w:r>
            <w:r w:rsidRPr="00D27BF1">
              <w:rPr>
                <w:rFonts w:ascii="Arial Narrow" w:hAnsi="Arial Narrow" w:cstheme="minorHAnsi"/>
                <w:strike/>
                <w:color w:val="000000"/>
                <w:sz w:val="20"/>
                <w:szCs w:val="20"/>
                <w:lang w:eastAsia="en-GB"/>
              </w:rPr>
              <w:t>Any treating physician or MDT healthcare professional who would be making the decision to use a biologic and/or who is managing the patient can make the decision of whether the patient should be exempted from surgery. (With surgical exception, all other entry criteria need to be met for MEPO initiation)</w:t>
            </w:r>
          </w:p>
          <w:p w14:paraId="2D052D4B" w14:textId="77777777" w:rsidR="000A0F42" w:rsidRPr="00D27BF1" w:rsidRDefault="000A0F42" w:rsidP="00C24B3B">
            <w:pPr>
              <w:autoSpaceDE w:val="0"/>
              <w:autoSpaceDN w:val="0"/>
              <w:adjustRightInd w:val="0"/>
              <w:rPr>
                <w:rFonts w:ascii="Arial Narrow" w:hAnsi="Arial Narrow" w:cstheme="minorHAnsi"/>
                <w:b/>
                <w:bCs/>
                <w:color w:val="000000"/>
                <w:sz w:val="20"/>
                <w:szCs w:val="20"/>
                <w:lang w:eastAsia="en-GB"/>
              </w:rPr>
            </w:pPr>
            <w:r w:rsidRPr="00D27BF1">
              <w:rPr>
                <w:rFonts w:ascii="Arial Narrow" w:hAnsi="Arial Narrow" w:cstheme="minorHAnsi"/>
                <w:b/>
                <w:bCs/>
                <w:color w:val="000000"/>
                <w:sz w:val="20"/>
                <w:szCs w:val="20"/>
                <w:lang w:eastAsia="en-GB"/>
              </w:rPr>
              <w:t>Evidence to provide in or with the application:</w:t>
            </w:r>
          </w:p>
          <w:p w14:paraId="3AA76958" w14:textId="77777777" w:rsidR="000A0F42" w:rsidRPr="00D27BF1" w:rsidRDefault="000A0F42" w:rsidP="00C24B3B">
            <w:pPr>
              <w:pStyle w:val="ListParagraph"/>
              <w:widowControl/>
              <w:numPr>
                <w:ilvl w:val="0"/>
                <w:numId w:val="13"/>
              </w:numPr>
              <w:autoSpaceDE w:val="0"/>
              <w:autoSpaceDN w:val="0"/>
              <w:adjustRightInd w:val="0"/>
              <w:spacing w:before="120" w:after="0"/>
              <w:ind w:left="0" w:firstLine="0"/>
              <w:contextualSpacing/>
              <w:jc w:val="left"/>
              <w:rPr>
                <w:rFonts w:ascii="Arial Narrow" w:hAnsi="Arial Narrow" w:cstheme="minorHAnsi"/>
                <w:color w:val="000000"/>
                <w:sz w:val="20"/>
                <w:szCs w:val="20"/>
                <w:lang w:eastAsia="en-GB"/>
              </w:rPr>
            </w:pPr>
            <w:r w:rsidRPr="00D27BF1">
              <w:rPr>
                <w:rFonts w:ascii="Arial Narrow" w:hAnsi="Arial Narrow" w:cstheme="minorHAnsi"/>
                <w:color w:val="000000"/>
                <w:sz w:val="20"/>
                <w:szCs w:val="20"/>
                <w:lang w:eastAsia="en-GB"/>
              </w:rPr>
              <w:t>details of prior drug therapy (date of commencement and duration of therapy); AND</w:t>
            </w:r>
          </w:p>
          <w:p w14:paraId="4381194E" w14:textId="77777777" w:rsidR="000A0F42" w:rsidRPr="00D27BF1" w:rsidRDefault="000A0F42" w:rsidP="00C24B3B">
            <w:pPr>
              <w:pStyle w:val="ListParagraph"/>
              <w:widowControl/>
              <w:numPr>
                <w:ilvl w:val="0"/>
                <w:numId w:val="13"/>
              </w:numPr>
              <w:autoSpaceDE w:val="0"/>
              <w:autoSpaceDN w:val="0"/>
              <w:adjustRightInd w:val="0"/>
              <w:spacing w:before="120" w:after="0"/>
              <w:ind w:left="0" w:firstLine="0"/>
              <w:contextualSpacing/>
              <w:jc w:val="left"/>
              <w:rPr>
                <w:rFonts w:ascii="Arial Narrow" w:hAnsi="Arial Narrow" w:cstheme="minorHAnsi"/>
                <w:color w:val="000000"/>
                <w:sz w:val="20"/>
                <w:szCs w:val="20"/>
                <w:lang w:eastAsia="en-GB"/>
              </w:rPr>
            </w:pPr>
            <w:r w:rsidRPr="00D27BF1">
              <w:rPr>
                <w:rFonts w:ascii="Arial Narrow" w:hAnsi="Arial Narrow" w:cstheme="minorHAnsi"/>
                <w:color w:val="000000"/>
                <w:sz w:val="20"/>
                <w:szCs w:val="20"/>
                <w:lang w:eastAsia="en-GB"/>
              </w:rPr>
              <w:t>details of surgery (date and treatment); OR details of surgical exception AND</w:t>
            </w:r>
          </w:p>
          <w:p w14:paraId="4AB491FD" w14:textId="77777777" w:rsidR="000A0F42" w:rsidRPr="00D27BF1" w:rsidRDefault="000A0F42" w:rsidP="00C24B3B">
            <w:pPr>
              <w:pStyle w:val="ListParagraph"/>
              <w:widowControl/>
              <w:numPr>
                <w:ilvl w:val="0"/>
                <w:numId w:val="13"/>
              </w:numPr>
              <w:autoSpaceDE w:val="0"/>
              <w:autoSpaceDN w:val="0"/>
              <w:adjustRightInd w:val="0"/>
              <w:spacing w:before="120" w:after="0"/>
              <w:ind w:left="0" w:firstLine="0"/>
              <w:contextualSpacing/>
              <w:jc w:val="left"/>
              <w:rPr>
                <w:rFonts w:ascii="Arial Narrow" w:hAnsi="Arial Narrow" w:cstheme="minorBidi"/>
                <w:sz w:val="20"/>
                <w:szCs w:val="20"/>
                <w:lang w:eastAsia="en-GB"/>
              </w:rPr>
            </w:pPr>
            <w:r w:rsidRPr="00D27BF1">
              <w:rPr>
                <w:rFonts w:ascii="Arial Narrow" w:hAnsi="Arial Narrow" w:cstheme="minorBidi"/>
                <w:sz w:val="20"/>
                <w:szCs w:val="20"/>
                <w:lang w:eastAsia="en-GB"/>
              </w:rPr>
              <w:t>the eosinophil count and date; AND</w:t>
            </w:r>
          </w:p>
          <w:p w14:paraId="0C5169C9" w14:textId="77777777" w:rsidR="000A0F42" w:rsidRPr="00D27BF1" w:rsidRDefault="000A0F42" w:rsidP="00C24B3B">
            <w:pPr>
              <w:pStyle w:val="ListParagraph"/>
              <w:widowControl/>
              <w:numPr>
                <w:ilvl w:val="0"/>
                <w:numId w:val="13"/>
              </w:numPr>
              <w:autoSpaceDE w:val="0"/>
              <w:autoSpaceDN w:val="0"/>
              <w:adjustRightInd w:val="0"/>
              <w:spacing w:before="120" w:after="0"/>
              <w:ind w:left="0" w:firstLine="0"/>
              <w:contextualSpacing/>
              <w:jc w:val="left"/>
              <w:rPr>
                <w:rFonts w:ascii="Arial Narrow" w:hAnsi="Arial Narrow" w:cstheme="minorBidi"/>
                <w:color w:val="000000"/>
                <w:sz w:val="20"/>
                <w:szCs w:val="20"/>
                <w:lang w:eastAsia="en-GB"/>
              </w:rPr>
            </w:pPr>
            <w:r w:rsidRPr="00D27BF1">
              <w:rPr>
                <w:rFonts w:ascii="Arial Narrow" w:hAnsi="Arial Narrow" w:cstheme="minorBidi"/>
                <w:color w:val="000000" w:themeColor="text1"/>
                <w:sz w:val="20"/>
                <w:szCs w:val="20"/>
                <w:lang w:eastAsia="en-GB"/>
              </w:rPr>
              <w:t xml:space="preserve">Baseline NP score obtained in the past 12 months; AND </w:t>
            </w:r>
          </w:p>
          <w:p w14:paraId="2A53F373" w14:textId="77777777" w:rsidR="000A0F42" w:rsidRPr="00D27BF1" w:rsidRDefault="000A0F42" w:rsidP="00C24B3B">
            <w:pPr>
              <w:pStyle w:val="ListParagraph"/>
              <w:widowControl/>
              <w:numPr>
                <w:ilvl w:val="0"/>
                <w:numId w:val="13"/>
              </w:numPr>
              <w:autoSpaceDE w:val="0"/>
              <w:autoSpaceDN w:val="0"/>
              <w:adjustRightInd w:val="0"/>
              <w:spacing w:before="120" w:after="0"/>
              <w:ind w:left="0" w:firstLine="0"/>
              <w:contextualSpacing/>
              <w:jc w:val="left"/>
              <w:rPr>
                <w:rFonts w:ascii="Arial Narrow" w:hAnsi="Arial Narrow" w:cstheme="minorBidi"/>
                <w:color w:val="000000"/>
                <w:sz w:val="20"/>
                <w:szCs w:val="20"/>
                <w:lang w:eastAsia="en-GB"/>
              </w:rPr>
            </w:pPr>
            <w:r w:rsidRPr="00D27BF1">
              <w:rPr>
                <w:rFonts w:ascii="Arial Narrow" w:hAnsi="Arial Narrow" w:cstheme="minorBidi"/>
                <w:color w:val="000000" w:themeColor="text1"/>
                <w:sz w:val="20"/>
                <w:szCs w:val="20"/>
                <w:lang w:eastAsia="en-GB"/>
              </w:rPr>
              <w:t>Baseline nasal obstruction VAS score</w:t>
            </w:r>
          </w:p>
        </w:tc>
      </w:tr>
      <w:tr w:rsidR="000A0F42" w:rsidRPr="00D27BF1" w14:paraId="02C05E36" w14:textId="77777777" w:rsidTr="00C24B3B">
        <w:tblPrEx>
          <w:tblCellMar>
            <w:top w:w="15" w:type="dxa"/>
            <w:left w:w="15" w:type="dxa"/>
            <w:bottom w:w="15" w:type="dxa"/>
            <w:right w:w="15" w:type="dxa"/>
          </w:tblCellMar>
          <w:tblLook w:val="04A0" w:firstRow="1" w:lastRow="0" w:firstColumn="1" w:lastColumn="0" w:noHBand="0" w:noVBand="1"/>
        </w:tblPrEx>
        <w:tc>
          <w:tcPr>
            <w:tcW w:w="9067" w:type="dxa"/>
            <w:gridSpan w:val="8"/>
            <w:vAlign w:val="center"/>
          </w:tcPr>
          <w:p w14:paraId="6F614C7E" w14:textId="77777777" w:rsidR="000A0F42" w:rsidRPr="00D27BF1" w:rsidRDefault="000A0F42" w:rsidP="00C24B3B">
            <w:pPr>
              <w:rPr>
                <w:rFonts w:ascii="Arial Narrow" w:hAnsi="Arial Narrow"/>
                <w:bCs/>
                <w:color w:val="FF0000"/>
                <w:sz w:val="20"/>
                <w:szCs w:val="20"/>
                <w:lang w:eastAsia="en-AU"/>
              </w:rPr>
            </w:pPr>
          </w:p>
        </w:tc>
      </w:tr>
      <w:tr w:rsidR="000A0F42" w:rsidRPr="00D27BF1" w14:paraId="56E28665" w14:textId="77777777" w:rsidTr="00C24B3B">
        <w:tblPrEx>
          <w:tblCellMar>
            <w:top w:w="15" w:type="dxa"/>
            <w:left w:w="15" w:type="dxa"/>
            <w:bottom w:w="15" w:type="dxa"/>
            <w:right w:w="15" w:type="dxa"/>
          </w:tblCellMar>
          <w:tblLook w:val="04A0" w:firstRow="1" w:lastRow="0" w:firstColumn="1" w:lastColumn="0" w:noHBand="0" w:noVBand="1"/>
        </w:tblPrEx>
        <w:tc>
          <w:tcPr>
            <w:tcW w:w="9067" w:type="dxa"/>
            <w:gridSpan w:val="8"/>
            <w:vAlign w:val="center"/>
          </w:tcPr>
          <w:p w14:paraId="28EAE867" w14:textId="2C0BB423" w:rsidR="000A0F42" w:rsidRPr="00D27BF1" w:rsidRDefault="000A0F42" w:rsidP="00C24B3B">
            <w:pPr>
              <w:rPr>
                <w:rFonts w:ascii="Arial Narrow" w:hAnsi="Arial Narrow"/>
                <w:b/>
                <w:bCs/>
                <w:color w:val="333333"/>
                <w:sz w:val="20"/>
                <w:szCs w:val="20"/>
                <w:lang w:eastAsia="en-AU"/>
              </w:rPr>
            </w:pPr>
            <w:r w:rsidRPr="00D27BF1">
              <w:rPr>
                <w:rFonts w:ascii="Arial Narrow" w:hAnsi="Arial Narrow"/>
                <w:b/>
                <w:bCs/>
                <w:color w:val="333333"/>
                <w:sz w:val="20"/>
                <w:szCs w:val="20"/>
                <w:lang w:eastAsia="en-AU"/>
              </w:rPr>
              <w:t xml:space="preserve">Restriction Summary [new] / Treatment of Concept: [new] </w:t>
            </w:r>
          </w:p>
        </w:tc>
      </w:tr>
      <w:tr w:rsidR="000A0F42" w:rsidRPr="00D27BF1" w14:paraId="3BB330EC" w14:textId="77777777" w:rsidTr="00C24B3B">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4B4AAC67" w14:textId="77777777" w:rsidR="000A0F42" w:rsidRPr="00D27BF1" w:rsidRDefault="000A0F42" w:rsidP="00C24B3B">
            <w:pPr>
              <w:rPr>
                <w:rFonts w:ascii="Arial Narrow" w:hAnsi="Arial Narrow"/>
                <w:b/>
                <w:sz w:val="20"/>
                <w:szCs w:val="20"/>
              </w:rPr>
            </w:pPr>
          </w:p>
        </w:tc>
        <w:tc>
          <w:tcPr>
            <w:tcW w:w="8086" w:type="dxa"/>
            <w:gridSpan w:val="7"/>
            <w:tcBorders>
              <w:top w:val="single" w:sz="4" w:space="0" w:color="auto"/>
              <w:left w:val="single" w:sz="4" w:space="0" w:color="auto"/>
              <w:bottom w:val="single" w:sz="4" w:space="0" w:color="auto"/>
              <w:right w:val="single" w:sz="4" w:space="0" w:color="auto"/>
            </w:tcBorders>
          </w:tcPr>
          <w:p w14:paraId="0AC4D1D9" w14:textId="77777777" w:rsidR="000A0F42" w:rsidRPr="00D27BF1" w:rsidRDefault="000A0F42" w:rsidP="00C24B3B">
            <w:pPr>
              <w:rPr>
                <w:rFonts w:ascii="Arial Narrow" w:hAnsi="Arial Narrow"/>
                <w:sz w:val="20"/>
                <w:szCs w:val="20"/>
              </w:rPr>
            </w:pPr>
            <w:r w:rsidRPr="00D27BF1">
              <w:rPr>
                <w:rFonts w:ascii="Arial Narrow" w:hAnsi="Arial Narrow"/>
                <w:b/>
                <w:sz w:val="20"/>
                <w:szCs w:val="20"/>
              </w:rPr>
              <w:t xml:space="preserve">Category / Program: </w:t>
            </w:r>
            <w:r w:rsidRPr="00D27BF1">
              <w:rPr>
                <w:rFonts w:ascii="Arial Narrow" w:hAnsi="Arial Narrow"/>
                <w:sz w:val="20"/>
                <w:szCs w:val="20"/>
              </w:rPr>
              <w:t>Section 100 – Highly Specialised Drugs Program</w:t>
            </w:r>
          </w:p>
        </w:tc>
      </w:tr>
      <w:tr w:rsidR="000A0F42" w:rsidRPr="00D27BF1" w14:paraId="69243D92" w14:textId="77777777" w:rsidTr="00C24B3B">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6468A553" w14:textId="77777777" w:rsidR="000A0F42" w:rsidRPr="00D27BF1" w:rsidRDefault="000A0F42" w:rsidP="00C24B3B">
            <w:pPr>
              <w:rPr>
                <w:rFonts w:ascii="Arial Narrow" w:hAnsi="Arial Narrow"/>
                <w:sz w:val="20"/>
                <w:szCs w:val="20"/>
              </w:rPr>
            </w:pPr>
          </w:p>
        </w:tc>
        <w:tc>
          <w:tcPr>
            <w:tcW w:w="8086" w:type="dxa"/>
            <w:gridSpan w:val="7"/>
            <w:tcBorders>
              <w:top w:val="single" w:sz="4" w:space="0" w:color="auto"/>
              <w:left w:val="single" w:sz="4" w:space="0" w:color="auto"/>
              <w:bottom w:val="single" w:sz="4" w:space="0" w:color="auto"/>
              <w:right w:val="single" w:sz="4" w:space="0" w:color="auto"/>
            </w:tcBorders>
          </w:tcPr>
          <w:p w14:paraId="1D9B47F5" w14:textId="3346AD96" w:rsidR="000A0F42" w:rsidRPr="00D27BF1" w:rsidRDefault="000A0F42" w:rsidP="00C24B3B">
            <w:pPr>
              <w:rPr>
                <w:rFonts w:ascii="Arial Narrow" w:hAnsi="Arial Narrow"/>
                <w:b/>
                <w:sz w:val="20"/>
                <w:szCs w:val="20"/>
              </w:rPr>
            </w:pPr>
            <w:r w:rsidRPr="00D27BF1">
              <w:rPr>
                <w:rFonts w:ascii="Arial Narrow" w:hAnsi="Arial Narrow"/>
                <w:b/>
                <w:sz w:val="20"/>
                <w:szCs w:val="20"/>
              </w:rPr>
              <w:t xml:space="preserve">Prescriber type: </w:t>
            </w:r>
            <w:r w:rsidRPr="00D27BF1">
              <w:rPr>
                <w:rFonts w:ascii="Arial Narrow" w:hAnsi="Arial Narrow"/>
                <w:sz w:val="20"/>
                <w:szCs w:val="20"/>
              </w:rPr>
              <w:fldChar w:fldCharType="begin">
                <w:ffData>
                  <w:name w:val=""/>
                  <w:enabled/>
                  <w:calcOnExit w:val="0"/>
                  <w:checkBox>
                    <w:sizeAuto/>
                    <w:default w:val="1"/>
                  </w:checkBox>
                </w:ffData>
              </w:fldChar>
            </w:r>
            <w:r w:rsidRPr="00D27BF1">
              <w:rPr>
                <w:rFonts w:ascii="Arial Narrow" w:hAnsi="Arial Narrow"/>
                <w:sz w:val="20"/>
                <w:szCs w:val="20"/>
              </w:rPr>
              <w:instrText xml:space="preserve"> FORMCHECKBOX </w:instrText>
            </w:r>
            <w:r w:rsidR="003038AD">
              <w:rPr>
                <w:rFonts w:ascii="Arial Narrow" w:hAnsi="Arial Narrow"/>
                <w:sz w:val="20"/>
                <w:szCs w:val="20"/>
              </w:rPr>
            </w:r>
            <w:r w:rsidR="003038AD">
              <w:rPr>
                <w:rFonts w:ascii="Arial Narrow" w:hAnsi="Arial Narrow"/>
                <w:sz w:val="20"/>
                <w:szCs w:val="20"/>
              </w:rPr>
              <w:fldChar w:fldCharType="separate"/>
            </w:r>
            <w:r w:rsidRPr="00D27BF1">
              <w:rPr>
                <w:rFonts w:ascii="Arial Narrow" w:hAnsi="Arial Narrow"/>
                <w:sz w:val="20"/>
                <w:szCs w:val="20"/>
              </w:rPr>
              <w:fldChar w:fldCharType="end"/>
            </w:r>
            <w:r w:rsidRPr="00D27BF1">
              <w:rPr>
                <w:rFonts w:ascii="Arial Narrow" w:hAnsi="Arial Narrow"/>
                <w:sz w:val="20"/>
                <w:szCs w:val="20"/>
              </w:rPr>
              <w:t>Medical Practitioners</w:t>
            </w:r>
          </w:p>
        </w:tc>
      </w:tr>
      <w:tr w:rsidR="000A0F42" w:rsidRPr="00D27BF1" w14:paraId="492350F8" w14:textId="77777777" w:rsidTr="00C24B3B">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14:paraId="2E5AF364" w14:textId="77777777" w:rsidR="000A0F42" w:rsidRPr="00D27BF1" w:rsidRDefault="000A0F42" w:rsidP="00C24B3B">
            <w:pPr>
              <w:rPr>
                <w:rFonts w:ascii="Arial Narrow" w:hAnsi="Arial Narrow"/>
                <w:sz w:val="20"/>
                <w:szCs w:val="20"/>
              </w:rPr>
            </w:pPr>
          </w:p>
        </w:tc>
        <w:tc>
          <w:tcPr>
            <w:tcW w:w="8086" w:type="dxa"/>
            <w:gridSpan w:val="7"/>
            <w:tcBorders>
              <w:top w:val="single" w:sz="4" w:space="0" w:color="auto"/>
              <w:left w:val="single" w:sz="4" w:space="0" w:color="auto"/>
              <w:bottom w:val="single" w:sz="4" w:space="0" w:color="auto"/>
              <w:right w:val="single" w:sz="4" w:space="0" w:color="auto"/>
            </w:tcBorders>
          </w:tcPr>
          <w:p w14:paraId="723805A3" w14:textId="77777777" w:rsidR="000A0F42" w:rsidRPr="00D27BF1" w:rsidRDefault="000A0F42" w:rsidP="00C24B3B">
            <w:pPr>
              <w:rPr>
                <w:rFonts w:ascii="Arial Narrow" w:hAnsi="Arial Narrow"/>
                <w:b/>
                <w:sz w:val="20"/>
                <w:szCs w:val="20"/>
              </w:rPr>
            </w:pPr>
            <w:r w:rsidRPr="00D27BF1">
              <w:rPr>
                <w:rFonts w:ascii="Arial Narrow" w:hAnsi="Arial Narrow"/>
                <w:b/>
                <w:sz w:val="20"/>
                <w:szCs w:val="20"/>
              </w:rPr>
              <w:t xml:space="preserve">Restriction type: </w:t>
            </w:r>
          </w:p>
          <w:p w14:paraId="6A3D34E6" w14:textId="77777777" w:rsidR="000A0F42" w:rsidRPr="00D27BF1" w:rsidRDefault="000A0F42" w:rsidP="00C24B3B">
            <w:pPr>
              <w:rPr>
                <w:rFonts w:ascii="Arial Narrow" w:eastAsia="Calibri" w:hAnsi="Arial Narrow"/>
                <w:color w:val="FF0000"/>
                <w:sz w:val="20"/>
                <w:szCs w:val="20"/>
              </w:rPr>
            </w:pPr>
            <w:r w:rsidRPr="00D27BF1">
              <w:rPr>
                <w:rFonts w:ascii="Arial Narrow" w:eastAsia="Calibri" w:hAnsi="Arial Narrow"/>
                <w:sz w:val="20"/>
                <w:szCs w:val="20"/>
              </w:rPr>
              <w:fldChar w:fldCharType="begin">
                <w:ffData>
                  <w:name w:val="Check3"/>
                  <w:enabled/>
                  <w:calcOnExit w:val="0"/>
                  <w:checkBox>
                    <w:sizeAuto/>
                    <w:default w:val="1"/>
                  </w:checkBox>
                </w:ffData>
              </w:fldChar>
            </w:r>
            <w:r w:rsidRPr="00D27BF1">
              <w:rPr>
                <w:rFonts w:ascii="Arial Narrow" w:eastAsia="Calibri" w:hAnsi="Arial Narrow"/>
                <w:sz w:val="20"/>
                <w:szCs w:val="20"/>
              </w:rPr>
              <w:instrText xml:space="preserve"> FORMCHECKBOX </w:instrText>
            </w:r>
            <w:r w:rsidR="003038AD">
              <w:rPr>
                <w:rFonts w:ascii="Arial Narrow" w:eastAsia="Calibri" w:hAnsi="Arial Narrow"/>
                <w:sz w:val="20"/>
                <w:szCs w:val="20"/>
              </w:rPr>
            </w:r>
            <w:r w:rsidR="003038AD">
              <w:rPr>
                <w:rFonts w:ascii="Arial Narrow" w:eastAsia="Calibri" w:hAnsi="Arial Narrow"/>
                <w:sz w:val="20"/>
                <w:szCs w:val="20"/>
              </w:rPr>
              <w:fldChar w:fldCharType="separate"/>
            </w:r>
            <w:r w:rsidRPr="00D27BF1">
              <w:rPr>
                <w:rFonts w:ascii="Arial Narrow" w:eastAsia="Calibri" w:hAnsi="Arial Narrow"/>
                <w:sz w:val="20"/>
                <w:szCs w:val="20"/>
              </w:rPr>
              <w:fldChar w:fldCharType="end"/>
            </w:r>
            <w:r w:rsidRPr="00D27BF1">
              <w:rPr>
                <w:rFonts w:ascii="Arial Narrow" w:eastAsia="Calibri" w:hAnsi="Arial Narrow"/>
                <w:sz w:val="20"/>
                <w:szCs w:val="20"/>
              </w:rPr>
              <w:t xml:space="preserve">Authority Required – immediate/real-time assessment by Services Australia </w:t>
            </w:r>
          </w:p>
        </w:tc>
      </w:tr>
      <w:tr w:rsidR="000A0F42" w:rsidRPr="00D27BF1" w14:paraId="41867944" w14:textId="77777777" w:rsidTr="00C24B3B">
        <w:tblPrEx>
          <w:tblCellMar>
            <w:top w:w="15" w:type="dxa"/>
            <w:left w:w="15" w:type="dxa"/>
            <w:bottom w:w="15" w:type="dxa"/>
            <w:right w:w="15" w:type="dxa"/>
          </w:tblCellMar>
          <w:tblLook w:val="04A0" w:firstRow="1" w:lastRow="0" w:firstColumn="1" w:lastColumn="0" w:noHBand="0" w:noVBand="1"/>
        </w:tblPrEx>
        <w:tc>
          <w:tcPr>
            <w:tcW w:w="981" w:type="dxa"/>
          </w:tcPr>
          <w:p w14:paraId="6AE605C5" w14:textId="77777777" w:rsidR="000A0F42" w:rsidRPr="00D27BF1" w:rsidRDefault="000A0F42" w:rsidP="00C24B3B">
            <w:pPr>
              <w:jc w:val="center"/>
              <w:rPr>
                <w:rFonts w:ascii="Arial Narrow" w:hAnsi="Arial Narrow"/>
                <w:bCs/>
                <w:i/>
                <w:color w:val="333333"/>
                <w:sz w:val="20"/>
                <w:szCs w:val="20"/>
                <w:lang w:eastAsia="en-AU"/>
              </w:rPr>
            </w:pPr>
          </w:p>
        </w:tc>
        <w:tc>
          <w:tcPr>
            <w:tcW w:w="8086" w:type="dxa"/>
            <w:gridSpan w:val="7"/>
          </w:tcPr>
          <w:p w14:paraId="157841F1" w14:textId="77777777" w:rsidR="000A0F42" w:rsidRPr="00D27BF1" w:rsidRDefault="000A0F42" w:rsidP="00C24B3B">
            <w:pPr>
              <w:rPr>
                <w:rFonts w:ascii="Arial Narrow" w:hAnsi="Arial Narrow"/>
                <w:bCs/>
                <w:i/>
                <w:color w:val="333333"/>
                <w:sz w:val="20"/>
                <w:szCs w:val="20"/>
                <w:lang w:eastAsia="en-AU"/>
              </w:rPr>
            </w:pPr>
            <w:r w:rsidRPr="00D27BF1">
              <w:rPr>
                <w:rFonts w:ascii="Arial Narrow" w:hAnsi="Arial Narrow"/>
                <w:b/>
                <w:bCs/>
                <w:i/>
                <w:color w:val="333333"/>
                <w:sz w:val="20"/>
                <w:szCs w:val="20"/>
                <w:lang w:eastAsia="en-AU"/>
              </w:rPr>
              <w:t>Administrative advice:</w:t>
            </w:r>
            <w:r w:rsidRPr="00D27BF1">
              <w:rPr>
                <w:rFonts w:ascii="Arial Narrow" w:hAnsi="Arial Narrow"/>
                <w:bCs/>
                <w:i/>
                <w:color w:val="333333"/>
                <w:sz w:val="20"/>
                <w:szCs w:val="20"/>
                <w:lang w:eastAsia="en-AU"/>
              </w:rPr>
              <w:t xml:space="preserve"> No increase in the maximum quantity or number of units may be authorised.</w:t>
            </w:r>
          </w:p>
        </w:tc>
      </w:tr>
      <w:tr w:rsidR="000A0F42" w:rsidRPr="00D27BF1" w14:paraId="163ED828" w14:textId="77777777" w:rsidTr="00C24B3B">
        <w:tblPrEx>
          <w:tblCellMar>
            <w:top w:w="15" w:type="dxa"/>
            <w:left w:w="15" w:type="dxa"/>
            <w:bottom w:w="15" w:type="dxa"/>
            <w:right w:w="15" w:type="dxa"/>
          </w:tblCellMar>
          <w:tblLook w:val="04A0" w:firstRow="1" w:lastRow="0" w:firstColumn="1" w:lastColumn="0" w:noHBand="0" w:noVBand="1"/>
        </w:tblPrEx>
        <w:tc>
          <w:tcPr>
            <w:tcW w:w="981" w:type="dxa"/>
          </w:tcPr>
          <w:p w14:paraId="5EE700D0" w14:textId="77777777" w:rsidR="000A0F42" w:rsidRPr="00D27BF1" w:rsidRDefault="000A0F42" w:rsidP="00C24B3B">
            <w:pPr>
              <w:jc w:val="center"/>
              <w:rPr>
                <w:rFonts w:ascii="Arial Narrow" w:hAnsi="Arial Narrow"/>
                <w:bCs/>
                <w:i/>
                <w:color w:val="333333"/>
                <w:sz w:val="20"/>
                <w:szCs w:val="20"/>
                <w:lang w:eastAsia="en-AU"/>
              </w:rPr>
            </w:pPr>
          </w:p>
        </w:tc>
        <w:tc>
          <w:tcPr>
            <w:tcW w:w="8086" w:type="dxa"/>
            <w:gridSpan w:val="7"/>
          </w:tcPr>
          <w:p w14:paraId="5F1726F8" w14:textId="77777777" w:rsidR="000A0F42" w:rsidRPr="00D27BF1" w:rsidRDefault="000A0F42" w:rsidP="00C24B3B">
            <w:pPr>
              <w:rPr>
                <w:rFonts w:ascii="Arial Narrow" w:hAnsi="Arial Narrow"/>
                <w:bCs/>
                <w:i/>
                <w:color w:val="333333"/>
                <w:sz w:val="20"/>
                <w:szCs w:val="20"/>
                <w:lang w:eastAsia="en-AU"/>
              </w:rPr>
            </w:pPr>
            <w:r w:rsidRPr="00D27BF1">
              <w:rPr>
                <w:rFonts w:ascii="Arial Narrow" w:hAnsi="Arial Narrow"/>
                <w:b/>
                <w:bCs/>
                <w:i/>
                <w:color w:val="333333"/>
                <w:sz w:val="20"/>
                <w:szCs w:val="20"/>
                <w:lang w:eastAsia="en-AU"/>
              </w:rPr>
              <w:t>Administrative advice:</w:t>
            </w:r>
            <w:r w:rsidRPr="00D27BF1">
              <w:rPr>
                <w:rFonts w:ascii="Arial Narrow" w:hAnsi="Arial Narrow"/>
                <w:bCs/>
                <w:i/>
                <w:color w:val="333333"/>
                <w:sz w:val="20"/>
                <w:szCs w:val="20"/>
                <w:lang w:eastAsia="en-AU"/>
              </w:rPr>
              <w:t xml:space="preserve"> Special Pricing Arrangements apply.</w:t>
            </w:r>
          </w:p>
        </w:tc>
      </w:tr>
      <w:tr w:rsidR="000A0F42" w:rsidRPr="00D27BF1" w14:paraId="27250E19" w14:textId="77777777" w:rsidTr="00A02BF1">
        <w:tblPrEx>
          <w:tblCellMar>
            <w:top w:w="15" w:type="dxa"/>
            <w:left w:w="15" w:type="dxa"/>
            <w:bottom w:w="15" w:type="dxa"/>
            <w:right w:w="15" w:type="dxa"/>
          </w:tblCellMar>
          <w:tblLook w:val="04A0" w:firstRow="1" w:lastRow="0" w:firstColumn="1" w:lastColumn="0" w:noHBand="0" w:noVBand="1"/>
        </w:tblPrEx>
        <w:tc>
          <w:tcPr>
            <w:tcW w:w="981" w:type="dxa"/>
            <w:vAlign w:val="center"/>
          </w:tcPr>
          <w:p w14:paraId="03F724C4" w14:textId="77777777" w:rsidR="000A0F42" w:rsidRPr="00D27BF1" w:rsidRDefault="000A0F42" w:rsidP="00C24B3B">
            <w:pPr>
              <w:jc w:val="center"/>
              <w:rPr>
                <w:rFonts w:ascii="Arial Narrow" w:hAnsi="Arial Narrow"/>
                <w:color w:val="333333"/>
                <w:sz w:val="20"/>
                <w:szCs w:val="20"/>
                <w:lang w:eastAsia="en-AU"/>
              </w:rPr>
            </w:pPr>
          </w:p>
        </w:tc>
        <w:tc>
          <w:tcPr>
            <w:tcW w:w="8086" w:type="dxa"/>
            <w:gridSpan w:val="7"/>
            <w:vAlign w:val="center"/>
            <w:hideMark/>
          </w:tcPr>
          <w:p w14:paraId="3B4A2974" w14:textId="77777777" w:rsidR="000A0F42" w:rsidRPr="00D27BF1" w:rsidRDefault="000A0F42" w:rsidP="00C24B3B">
            <w:pPr>
              <w:rPr>
                <w:rFonts w:ascii="Arial Narrow" w:hAnsi="Arial Narrow"/>
                <w:color w:val="333333"/>
                <w:sz w:val="20"/>
                <w:szCs w:val="20"/>
                <w:lang w:eastAsia="en-AU"/>
              </w:rPr>
            </w:pPr>
            <w:r w:rsidRPr="00D27BF1">
              <w:rPr>
                <w:rFonts w:ascii="Arial Narrow" w:hAnsi="Arial Narrow"/>
                <w:b/>
                <w:bCs/>
                <w:color w:val="333333"/>
                <w:sz w:val="20"/>
                <w:szCs w:val="20"/>
                <w:lang w:eastAsia="en-AU"/>
              </w:rPr>
              <w:t>Indication:</w:t>
            </w:r>
            <w:r w:rsidRPr="00D27BF1">
              <w:rPr>
                <w:rFonts w:ascii="Arial Narrow" w:hAnsi="Arial Narrow"/>
                <w:color w:val="333333"/>
                <w:sz w:val="20"/>
                <w:szCs w:val="20"/>
                <w:lang w:eastAsia="en-AU"/>
              </w:rPr>
              <w:t xml:space="preserve"> </w:t>
            </w:r>
            <w:r w:rsidRPr="000A0F42">
              <w:rPr>
                <w:rFonts w:ascii="Arial Narrow" w:hAnsi="Arial Narrow"/>
                <w:sz w:val="20"/>
                <w:szCs w:val="20"/>
              </w:rPr>
              <w:t>Chronic rhinosinusitis with nasal polyps (</w:t>
            </w:r>
            <w:r w:rsidRPr="000A0F42">
              <w:rPr>
                <w:rFonts w:ascii="Arial Narrow" w:hAnsi="Arial Narrow" w:cstheme="minorHAnsi"/>
                <w:color w:val="000000"/>
                <w:sz w:val="20"/>
                <w:szCs w:val="20"/>
                <w:lang w:eastAsia="en-GB"/>
              </w:rPr>
              <w:t>CRSwNP)</w:t>
            </w:r>
          </w:p>
        </w:tc>
      </w:tr>
      <w:tr w:rsidR="000A0F42" w:rsidRPr="00D27BF1" w14:paraId="4F6D0568" w14:textId="77777777" w:rsidTr="00A02BF1">
        <w:tblPrEx>
          <w:tblCellMar>
            <w:top w:w="15" w:type="dxa"/>
            <w:left w:w="15" w:type="dxa"/>
            <w:bottom w:w="15" w:type="dxa"/>
            <w:right w:w="15" w:type="dxa"/>
          </w:tblCellMar>
          <w:tblLook w:val="04A0" w:firstRow="1" w:lastRow="0" w:firstColumn="1" w:lastColumn="0" w:noHBand="0" w:noVBand="1"/>
        </w:tblPrEx>
        <w:tc>
          <w:tcPr>
            <w:tcW w:w="981" w:type="dxa"/>
            <w:vAlign w:val="center"/>
          </w:tcPr>
          <w:p w14:paraId="539AAF72" w14:textId="77777777" w:rsidR="000A0F42" w:rsidRPr="00D27BF1" w:rsidRDefault="000A0F42" w:rsidP="00C24B3B">
            <w:pPr>
              <w:jc w:val="center"/>
              <w:rPr>
                <w:rFonts w:ascii="Arial Narrow" w:hAnsi="Arial Narrow"/>
                <w:color w:val="333333"/>
                <w:sz w:val="20"/>
                <w:szCs w:val="20"/>
                <w:lang w:eastAsia="en-AU"/>
              </w:rPr>
            </w:pPr>
          </w:p>
        </w:tc>
        <w:tc>
          <w:tcPr>
            <w:tcW w:w="8086" w:type="dxa"/>
            <w:gridSpan w:val="7"/>
            <w:vAlign w:val="center"/>
            <w:hideMark/>
          </w:tcPr>
          <w:p w14:paraId="70498480" w14:textId="77777777" w:rsidR="000A0F42" w:rsidRPr="00D27BF1" w:rsidRDefault="000A0F42" w:rsidP="00C24B3B">
            <w:pPr>
              <w:rPr>
                <w:rFonts w:ascii="Arial Narrow" w:hAnsi="Arial Narrow"/>
                <w:color w:val="FF00FF"/>
                <w:sz w:val="20"/>
                <w:szCs w:val="20"/>
                <w:lang w:eastAsia="en-AU"/>
              </w:rPr>
            </w:pPr>
            <w:r w:rsidRPr="00D27BF1">
              <w:rPr>
                <w:rFonts w:ascii="Arial Narrow" w:hAnsi="Arial Narrow"/>
                <w:b/>
                <w:bCs/>
                <w:color w:val="333333"/>
                <w:sz w:val="20"/>
                <w:szCs w:val="20"/>
                <w:lang w:eastAsia="en-AU"/>
              </w:rPr>
              <w:t>Treatment Phase</w:t>
            </w:r>
            <w:r w:rsidRPr="00D27BF1">
              <w:rPr>
                <w:rFonts w:ascii="Arial Narrow" w:hAnsi="Arial Narrow"/>
                <w:b/>
                <w:bCs/>
                <w:sz w:val="20"/>
                <w:szCs w:val="20"/>
                <w:lang w:eastAsia="en-AU"/>
              </w:rPr>
              <w:t>:</w:t>
            </w:r>
            <w:r w:rsidRPr="00D27BF1">
              <w:rPr>
                <w:rFonts w:ascii="Arial Narrow" w:hAnsi="Arial Narrow"/>
                <w:sz w:val="20"/>
                <w:szCs w:val="20"/>
                <w:lang w:eastAsia="en-AU"/>
              </w:rPr>
              <w:t xml:space="preserve"> Continuing treatment criteria </w:t>
            </w:r>
          </w:p>
        </w:tc>
      </w:tr>
      <w:tr w:rsidR="000A0F42" w:rsidRPr="00D27BF1" w14:paraId="273909D6" w14:textId="77777777" w:rsidTr="00C24B3B">
        <w:tblPrEx>
          <w:tblCellMar>
            <w:top w:w="15" w:type="dxa"/>
            <w:left w:w="15" w:type="dxa"/>
            <w:bottom w:w="15" w:type="dxa"/>
            <w:right w:w="15" w:type="dxa"/>
          </w:tblCellMar>
          <w:tblLook w:val="04A0" w:firstRow="1" w:lastRow="0" w:firstColumn="1" w:lastColumn="0" w:noHBand="0" w:noVBand="1"/>
        </w:tblPrEx>
        <w:tc>
          <w:tcPr>
            <w:tcW w:w="981" w:type="dxa"/>
            <w:vAlign w:val="center"/>
          </w:tcPr>
          <w:p w14:paraId="247537A2" w14:textId="77777777" w:rsidR="000A0F42" w:rsidRPr="00D27BF1" w:rsidRDefault="000A0F42" w:rsidP="00C24B3B">
            <w:pPr>
              <w:jc w:val="center"/>
              <w:rPr>
                <w:rFonts w:ascii="Arial Narrow" w:hAnsi="Arial Narrow"/>
                <w:color w:val="333333"/>
                <w:sz w:val="20"/>
                <w:szCs w:val="20"/>
                <w:lang w:eastAsia="en-AU"/>
              </w:rPr>
            </w:pPr>
          </w:p>
        </w:tc>
        <w:tc>
          <w:tcPr>
            <w:tcW w:w="8086" w:type="dxa"/>
            <w:gridSpan w:val="7"/>
            <w:vAlign w:val="center"/>
          </w:tcPr>
          <w:p w14:paraId="3FE3F4F4" w14:textId="77777777" w:rsidR="000A0F42" w:rsidRPr="00D27BF1" w:rsidRDefault="000A0F42" w:rsidP="00C24B3B">
            <w:pPr>
              <w:rPr>
                <w:rFonts w:ascii="Arial Narrow" w:hAnsi="Arial Narrow" w:cstheme="minorHAnsi"/>
                <w:b/>
                <w:color w:val="000000"/>
                <w:sz w:val="20"/>
                <w:szCs w:val="20"/>
                <w:lang w:eastAsia="en-GB"/>
              </w:rPr>
            </w:pPr>
            <w:r w:rsidRPr="00D27BF1">
              <w:rPr>
                <w:rFonts w:ascii="Arial Narrow" w:hAnsi="Arial Narrow" w:cstheme="minorHAnsi"/>
                <w:b/>
                <w:color w:val="000000"/>
                <w:sz w:val="20"/>
                <w:szCs w:val="20"/>
                <w:lang w:eastAsia="en-GB"/>
              </w:rPr>
              <w:t>Clinical criteria:</w:t>
            </w:r>
          </w:p>
        </w:tc>
      </w:tr>
      <w:tr w:rsidR="000A0F42" w:rsidRPr="00D27BF1" w14:paraId="14802F6F" w14:textId="77777777" w:rsidTr="00C24B3B">
        <w:tblPrEx>
          <w:tblCellMar>
            <w:top w:w="15" w:type="dxa"/>
            <w:left w:w="15" w:type="dxa"/>
            <w:bottom w:w="15" w:type="dxa"/>
            <w:right w:w="15" w:type="dxa"/>
          </w:tblCellMar>
          <w:tblLook w:val="04A0" w:firstRow="1" w:lastRow="0" w:firstColumn="1" w:lastColumn="0" w:noHBand="0" w:noVBand="1"/>
        </w:tblPrEx>
        <w:tc>
          <w:tcPr>
            <w:tcW w:w="981" w:type="dxa"/>
            <w:vAlign w:val="center"/>
          </w:tcPr>
          <w:p w14:paraId="523B1E5F" w14:textId="77777777" w:rsidR="000A0F42" w:rsidRPr="00D27BF1" w:rsidRDefault="000A0F42" w:rsidP="00C24B3B">
            <w:pPr>
              <w:jc w:val="center"/>
              <w:rPr>
                <w:rFonts w:ascii="Arial Narrow" w:hAnsi="Arial Narrow"/>
                <w:color w:val="333333"/>
                <w:sz w:val="20"/>
                <w:szCs w:val="20"/>
                <w:lang w:eastAsia="en-AU"/>
              </w:rPr>
            </w:pPr>
          </w:p>
        </w:tc>
        <w:tc>
          <w:tcPr>
            <w:tcW w:w="8086" w:type="dxa"/>
            <w:gridSpan w:val="7"/>
            <w:vAlign w:val="center"/>
          </w:tcPr>
          <w:p w14:paraId="4109153A" w14:textId="77777777" w:rsidR="000A0F42" w:rsidRPr="00D27BF1" w:rsidRDefault="000A0F42" w:rsidP="00C24B3B">
            <w:pPr>
              <w:autoSpaceDE w:val="0"/>
              <w:autoSpaceDN w:val="0"/>
              <w:adjustRightInd w:val="0"/>
              <w:rPr>
                <w:rFonts w:ascii="Arial Narrow" w:hAnsi="Arial Narrow"/>
                <w:strike/>
                <w:color w:val="333333"/>
                <w:sz w:val="20"/>
                <w:szCs w:val="20"/>
                <w:lang w:eastAsia="en-AU"/>
              </w:rPr>
            </w:pPr>
            <w:r w:rsidRPr="00D27BF1">
              <w:rPr>
                <w:rFonts w:ascii="Arial Narrow" w:hAnsi="Arial Narrow"/>
                <w:strike/>
                <w:color w:val="333333"/>
                <w:sz w:val="20"/>
                <w:szCs w:val="20"/>
                <w:lang w:eastAsia="en-AU"/>
              </w:rPr>
              <w:t>Patient must not receive more than 24 weeks of treatment under this continuing treatment restriction.</w:t>
            </w:r>
          </w:p>
        </w:tc>
      </w:tr>
      <w:tr w:rsidR="000A0F42" w:rsidRPr="00D27BF1" w14:paraId="1709D8AF" w14:textId="77777777" w:rsidTr="00C24B3B">
        <w:tblPrEx>
          <w:tblCellMar>
            <w:top w:w="15" w:type="dxa"/>
            <w:left w:w="15" w:type="dxa"/>
            <w:bottom w:w="15" w:type="dxa"/>
            <w:right w:w="15" w:type="dxa"/>
          </w:tblCellMar>
          <w:tblLook w:val="04A0" w:firstRow="1" w:lastRow="0" w:firstColumn="1" w:lastColumn="0" w:noHBand="0" w:noVBand="1"/>
        </w:tblPrEx>
        <w:tc>
          <w:tcPr>
            <w:tcW w:w="981" w:type="dxa"/>
          </w:tcPr>
          <w:p w14:paraId="14A8753E" w14:textId="77777777" w:rsidR="000A0F42" w:rsidRPr="00D27BF1" w:rsidRDefault="000A0F42" w:rsidP="00C24B3B">
            <w:pPr>
              <w:jc w:val="center"/>
              <w:rPr>
                <w:rFonts w:ascii="Arial Narrow" w:hAnsi="Arial Narrow"/>
                <w:bCs/>
                <w:i/>
                <w:color w:val="333333"/>
                <w:sz w:val="20"/>
                <w:szCs w:val="20"/>
                <w:lang w:eastAsia="en-AU"/>
              </w:rPr>
            </w:pPr>
          </w:p>
        </w:tc>
        <w:tc>
          <w:tcPr>
            <w:tcW w:w="8086" w:type="dxa"/>
            <w:gridSpan w:val="7"/>
          </w:tcPr>
          <w:p w14:paraId="1DA67CAE" w14:textId="77777777" w:rsidR="000A0F42" w:rsidRPr="00D27BF1" w:rsidRDefault="000A0F42" w:rsidP="00C24B3B">
            <w:pPr>
              <w:autoSpaceDE w:val="0"/>
              <w:autoSpaceDN w:val="0"/>
              <w:adjustRightInd w:val="0"/>
              <w:rPr>
                <w:rFonts w:ascii="Arial Narrow" w:hAnsi="Arial Narrow"/>
                <w:bCs/>
                <w:i/>
                <w:color w:val="333333"/>
                <w:sz w:val="20"/>
                <w:szCs w:val="20"/>
                <w:lang w:eastAsia="en-AU"/>
              </w:rPr>
            </w:pPr>
            <w:r w:rsidRPr="00D27BF1">
              <w:rPr>
                <w:rFonts w:ascii="Arial Narrow" w:hAnsi="Arial Narrow"/>
                <w:bCs/>
                <w:i/>
                <w:color w:val="333333"/>
                <w:sz w:val="20"/>
                <w:szCs w:val="20"/>
                <w:lang w:eastAsia="en-AU"/>
              </w:rPr>
              <w:t>Patient must have previously received PBS-subsidised treatment with this drug for this condition</w:t>
            </w:r>
          </w:p>
        </w:tc>
      </w:tr>
      <w:tr w:rsidR="000A0F42" w:rsidRPr="00D27BF1" w14:paraId="64E0E955" w14:textId="77777777" w:rsidTr="00C24B3B">
        <w:tblPrEx>
          <w:tblCellMar>
            <w:top w:w="15" w:type="dxa"/>
            <w:left w:w="15" w:type="dxa"/>
            <w:bottom w:w="15" w:type="dxa"/>
            <w:right w:w="15" w:type="dxa"/>
          </w:tblCellMar>
          <w:tblLook w:val="04A0" w:firstRow="1" w:lastRow="0" w:firstColumn="1" w:lastColumn="0" w:noHBand="0" w:noVBand="1"/>
        </w:tblPrEx>
        <w:tc>
          <w:tcPr>
            <w:tcW w:w="981" w:type="dxa"/>
            <w:vAlign w:val="center"/>
          </w:tcPr>
          <w:p w14:paraId="6FCA7143" w14:textId="77777777" w:rsidR="000A0F42" w:rsidRPr="00D27BF1" w:rsidRDefault="000A0F42" w:rsidP="00C24B3B">
            <w:pPr>
              <w:jc w:val="center"/>
              <w:rPr>
                <w:rFonts w:ascii="Arial Narrow" w:hAnsi="Arial Narrow"/>
                <w:color w:val="333333"/>
                <w:sz w:val="20"/>
                <w:szCs w:val="20"/>
                <w:lang w:eastAsia="en-AU"/>
              </w:rPr>
            </w:pPr>
          </w:p>
        </w:tc>
        <w:tc>
          <w:tcPr>
            <w:tcW w:w="8086" w:type="dxa"/>
            <w:gridSpan w:val="7"/>
            <w:vAlign w:val="center"/>
          </w:tcPr>
          <w:p w14:paraId="44680050" w14:textId="77777777" w:rsidR="000A0F42" w:rsidRPr="00D27BF1" w:rsidRDefault="000A0F42" w:rsidP="00C24B3B">
            <w:pPr>
              <w:autoSpaceDE w:val="0"/>
              <w:autoSpaceDN w:val="0"/>
              <w:adjustRightInd w:val="0"/>
              <w:rPr>
                <w:rFonts w:ascii="Arial Narrow" w:hAnsi="Arial Narrow"/>
                <w:b/>
                <w:color w:val="333333"/>
                <w:sz w:val="20"/>
                <w:szCs w:val="20"/>
                <w:lang w:eastAsia="en-AU"/>
              </w:rPr>
            </w:pPr>
            <w:r w:rsidRPr="00D27BF1">
              <w:rPr>
                <w:rFonts w:ascii="Arial Narrow" w:hAnsi="Arial Narrow"/>
                <w:b/>
                <w:color w:val="333333"/>
                <w:sz w:val="20"/>
                <w:szCs w:val="20"/>
                <w:lang w:eastAsia="en-AU"/>
              </w:rPr>
              <w:t>AND</w:t>
            </w:r>
          </w:p>
        </w:tc>
      </w:tr>
      <w:tr w:rsidR="000A0F42" w:rsidRPr="00D27BF1" w14:paraId="162FF7FF" w14:textId="77777777" w:rsidTr="00C24B3B">
        <w:tblPrEx>
          <w:tblCellMar>
            <w:top w:w="15" w:type="dxa"/>
            <w:left w:w="15" w:type="dxa"/>
            <w:bottom w:w="15" w:type="dxa"/>
            <w:right w:w="15" w:type="dxa"/>
          </w:tblCellMar>
          <w:tblLook w:val="04A0" w:firstRow="1" w:lastRow="0" w:firstColumn="1" w:lastColumn="0" w:noHBand="0" w:noVBand="1"/>
        </w:tblPrEx>
        <w:tc>
          <w:tcPr>
            <w:tcW w:w="981" w:type="dxa"/>
            <w:vAlign w:val="center"/>
          </w:tcPr>
          <w:p w14:paraId="23644DC7" w14:textId="77777777" w:rsidR="000A0F42" w:rsidRPr="00D27BF1" w:rsidRDefault="000A0F42" w:rsidP="00C24B3B">
            <w:pPr>
              <w:jc w:val="center"/>
              <w:rPr>
                <w:rFonts w:ascii="Arial Narrow" w:hAnsi="Arial Narrow"/>
                <w:color w:val="333333"/>
                <w:sz w:val="20"/>
                <w:szCs w:val="20"/>
                <w:lang w:eastAsia="en-AU"/>
              </w:rPr>
            </w:pPr>
          </w:p>
        </w:tc>
        <w:tc>
          <w:tcPr>
            <w:tcW w:w="8086" w:type="dxa"/>
            <w:gridSpan w:val="7"/>
            <w:vAlign w:val="center"/>
          </w:tcPr>
          <w:p w14:paraId="5A089459" w14:textId="77777777" w:rsidR="000A0F42" w:rsidRPr="00D27BF1" w:rsidRDefault="000A0F42" w:rsidP="00C24B3B">
            <w:pPr>
              <w:autoSpaceDE w:val="0"/>
              <w:autoSpaceDN w:val="0"/>
              <w:adjustRightInd w:val="0"/>
              <w:rPr>
                <w:rFonts w:ascii="Arial Narrow" w:hAnsi="Arial Narrow"/>
                <w:b/>
                <w:color w:val="333333"/>
                <w:sz w:val="20"/>
                <w:szCs w:val="20"/>
                <w:lang w:eastAsia="en-AU"/>
              </w:rPr>
            </w:pPr>
            <w:r w:rsidRPr="00D27BF1">
              <w:rPr>
                <w:rFonts w:ascii="Arial Narrow" w:hAnsi="Arial Narrow"/>
                <w:b/>
                <w:color w:val="333333"/>
                <w:sz w:val="20"/>
                <w:szCs w:val="20"/>
                <w:lang w:eastAsia="en-AU"/>
              </w:rPr>
              <w:t>Clinical criteria:</w:t>
            </w:r>
          </w:p>
        </w:tc>
      </w:tr>
      <w:tr w:rsidR="000A0F42" w:rsidRPr="00D27BF1" w14:paraId="3CE3E86C" w14:textId="77777777" w:rsidTr="00C24B3B">
        <w:tblPrEx>
          <w:tblCellMar>
            <w:top w:w="15" w:type="dxa"/>
            <w:left w:w="15" w:type="dxa"/>
            <w:bottom w:w="15" w:type="dxa"/>
            <w:right w:w="15" w:type="dxa"/>
          </w:tblCellMar>
          <w:tblLook w:val="04A0" w:firstRow="1" w:lastRow="0" w:firstColumn="1" w:lastColumn="0" w:noHBand="0" w:noVBand="1"/>
        </w:tblPrEx>
        <w:tc>
          <w:tcPr>
            <w:tcW w:w="981" w:type="dxa"/>
            <w:vAlign w:val="center"/>
          </w:tcPr>
          <w:p w14:paraId="4949A70F" w14:textId="77777777" w:rsidR="000A0F42" w:rsidRPr="00D27BF1" w:rsidRDefault="000A0F42" w:rsidP="00C24B3B">
            <w:pPr>
              <w:jc w:val="center"/>
              <w:rPr>
                <w:rFonts w:ascii="Arial Narrow" w:hAnsi="Arial Narrow"/>
                <w:i/>
                <w:color w:val="333333"/>
                <w:sz w:val="20"/>
                <w:szCs w:val="20"/>
                <w:lang w:eastAsia="en-AU"/>
              </w:rPr>
            </w:pPr>
          </w:p>
        </w:tc>
        <w:tc>
          <w:tcPr>
            <w:tcW w:w="8086" w:type="dxa"/>
            <w:gridSpan w:val="7"/>
            <w:vAlign w:val="center"/>
          </w:tcPr>
          <w:p w14:paraId="299AD7D9" w14:textId="77777777" w:rsidR="000A0F42" w:rsidRPr="00D27BF1" w:rsidRDefault="000A0F42" w:rsidP="00C24B3B">
            <w:pPr>
              <w:autoSpaceDE w:val="0"/>
              <w:autoSpaceDN w:val="0"/>
              <w:adjustRightInd w:val="0"/>
              <w:rPr>
                <w:rFonts w:ascii="Arial Narrow" w:hAnsi="Arial Narrow" w:cstheme="minorHAnsi"/>
                <w:bCs/>
                <w:i/>
                <w:color w:val="000000"/>
                <w:sz w:val="20"/>
                <w:szCs w:val="20"/>
                <w:lang w:eastAsia="en-GB"/>
              </w:rPr>
            </w:pPr>
            <w:r w:rsidRPr="00D27BF1">
              <w:rPr>
                <w:rFonts w:ascii="Arial Narrow" w:hAnsi="Arial Narrow" w:cstheme="minorHAnsi"/>
                <w:bCs/>
                <w:i/>
                <w:color w:val="000000"/>
                <w:sz w:val="20"/>
                <w:szCs w:val="20"/>
                <w:lang w:eastAsia="en-GB"/>
              </w:rPr>
              <w:t xml:space="preserve">Patient must have achieved an adequate response to this drug, defined as having at least one of: (i) an improvement in bilateral endoscopic NP score of </w:t>
            </w:r>
            <w:r w:rsidRPr="00D27BF1">
              <w:rPr>
                <w:rFonts w:ascii="Arial Narrow" w:hAnsi="Arial Narrow" w:cstheme="minorHAnsi"/>
                <w:i/>
                <w:color w:val="000000"/>
                <w:sz w:val="20"/>
                <w:szCs w:val="20"/>
                <w:lang w:eastAsia="en-GB"/>
              </w:rPr>
              <w:t xml:space="preserve">≥1.0 compared to the baseline level provided with the initial authority application, (ii) an improvement in nasal obstruction VAS score of </w:t>
            </w:r>
            <w:r w:rsidRPr="00D27BF1">
              <w:rPr>
                <w:rFonts w:ascii="Arial Narrow" w:hAnsi="Arial Narrow" w:cstheme="minorBidi"/>
                <w:i/>
                <w:color w:val="000000" w:themeColor="text1"/>
                <w:sz w:val="20"/>
                <w:szCs w:val="20"/>
                <w:lang w:eastAsia="en-GB"/>
              </w:rPr>
              <w:t xml:space="preserve">≥3.0 compared </w:t>
            </w:r>
            <w:r w:rsidRPr="00D27BF1">
              <w:rPr>
                <w:rFonts w:ascii="Arial Narrow" w:hAnsi="Arial Narrow" w:cstheme="minorHAnsi"/>
                <w:i/>
                <w:color w:val="000000"/>
                <w:sz w:val="20"/>
                <w:szCs w:val="20"/>
                <w:lang w:eastAsia="en-GB"/>
              </w:rPr>
              <w:t xml:space="preserve">to the baseline level provided with the initial authority application. </w:t>
            </w:r>
          </w:p>
          <w:p w14:paraId="34575ACD" w14:textId="77777777" w:rsidR="000A0F42" w:rsidRPr="00D27BF1" w:rsidRDefault="000A0F42" w:rsidP="00C24B3B">
            <w:pPr>
              <w:autoSpaceDE w:val="0"/>
              <w:autoSpaceDN w:val="0"/>
              <w:adjustRightInd w:val="0"/>
              <w:rPr>
                <w:rFonts w:ascii="Arial Narrow" w:hAnsi="Arial Narrow" w:cstheme="minorHAnsi"/>
                <w:strike/>
                <w:color w:val="000000"/>
                <w:sz w:val="20"/>
                <w:szCs w:val="20"/>
                <w:lang w:eastAsia="en-GB"/>
              </w:rPr>
            </w:pPr>
            <w:r w:rsidRPr="00D27BF1">
              <w:rPr>
                <w:rFonts w:ascii="Arial Narrow" w:hAnsi="Arial Narrow" w:cstheme="minorHAnsi"/>
                <w:b/>
                <w:bCs/>
                <w:strike/>
                <w:color w:val="000000"/>
                <w:sz w:val="20"/>
                <w:szCs w:val="20"/>
                <w:lang w:eastAsia="en-GB"/>
              </w:rPr>
              <w:t>In absence of surgery, an adequate response to mepolizumab is defined as:</w:t>
            </w:r>
          </w:p>
          <w:p w14:paraId="16434271" w14:textId="77777777" w:rsidR="000A0F42" w:rsidRPr="00D27BF1" w:rsidRDefault="000A0F42" w:rsidP="00C24B3B">
            <w:pPr>
              <w:autoSpaceDE w:val="0"/>
              <w:autoSpaceDN w:val="0"/>
              <w:adjustRightInd w:val="0"/>
              <w:rPr>
                <w:rFonts w:ascii="Arial Narrow" w:hAnsi="Arial Narrow" w:cstheme="minorHAnsi"/>
                <w:strike/>
                <w:color w:val="000000"/>
                <w:sz w:val="20"/>
                <w:szCs w:val="20"/>
                <w:lang w:eastAsia="en-GB"/>
              </w:rPr>
            </w:pPr>
            <w:r w:rsidRPr="00D27BF1">
              <w:rPr>
                <w:rFonts w:ascii="Arial Narrow" w:hAnsi="Arial Narrow" w:cstheme="minorHAnsi"/>
                <w:strike/>
                <w:color w:val="000000"/>
                <w:sz w:val="20"/>
                <w:szCs w:val="20"/>
                <w:lang w:eastAsia="en-GB"/>
              </w:rPr>
              <w:t xml:space="preserve">An improvement in bilateral endoscopic NP score of ≥1.0, </w:t>
            </w:r>
            <w:r w:rsidRPr="00D27BF1">
              <w:rPr>
                <w:rFonts w:ascii="Arial Narrow" w:hAnsi="Arial Narrow" w:cstheme="minorHAnsi"/>
                <w:b/>
                <w:bCs/>
                <w:strike/>
                <w:color w:val="000000"/>
                <w:sz w:val="20"/>
                <w:szCs w:val="20"/>
                <w:lang w:eastAsia="en-GB"/>
              </w:rPr>
              <w:t xml:space="preserve">OR </w:t>
            </w:r>
          </w:p>
          <w:p w14:paraId="2D58A5F8" w14:textId="77777777" w:rsidR="000A0F42" w:rsidRPr="00D27BF1" w:rsidRDefault="000A0F42" w:rsidP="00C24B3B">
            <w:pPr>
              <w:autoSpaceDE w:val="0"/>
              <w:autoSpaceDN w:val="0"/>
              <w:adjustRightInd w:val="0"/>
              <w:rPr>
                <w:rFonts w:ascii="Arial Narrow" w:hAnsi="Arial Narrow" w:cstheme="minorBidi"/>
                <w:strike/>
                <w:color w:val="000000" w:themeColor="text1"/>
                <w:sz w:val="20"/>
                <w:szCs w:val="20"/>
                <w:lang w:eastAsia="en-GB"/>
              </w:rPr>
            </w:pPr>
            <w:r w:rsidRPr="00D27BF1">
              <w:rPr>
                <w:rFonts w:ascii="Arial Narrow" w:hAnsi="Arial Narrow" w:cstheme="minorBidi"/>
                <w:strike/>
                <w:color w:val="000000" w:themeColor="text1"/>
                <w:sz w:val="20"/>
                <w:szCs w:val="20"/>
                <w:lang w:eastAsia="en-GB"/>
              </w:rPr>
              <w:t>An improvement in nasal obstruction VAS score of ≥3.0</w:t>
            </w:r>
          </w:p>
        </w:tc>
      </w:tr>
      <w:tr w:rsidR="000A0F42" w:rsidRPr="00D27BF1" w14:paraId="0C306A69" w14:textId="77777777" w:rsidTr="00C24B3B">
        <w:tblPrEx>
          <w:tblCellMar>
            <w:top w:w="15" w:type="dxa"/>
            <w:left w:w="15" w:type="dxa"/>
            <w:bottom w:w="15" w:type="dxa"/>
            <w:right w:w="15" w:type="dxa"/>
          </w:tblCellMar>
          <w:tblLook w:val="04A0" w:firstRow="1" w:lastRow="0" w:firstColumn="1" w:lastColumn="0" w:noHBand="0" w:noVBand="1"/>
        </w:tblPrEx>
        <w:tc>
          <w:tcPr>
            <w:tcW w:w="981" w:type="dxa"/>
            <w:vAlign w:val="center"/>
          </w:tcPr>
          <w:p w14:paraId="0E583C19" w14:textId="77777777" w:rsidR="000A0F42" w:rsidRPr="00D27BF1" w:rsidRDefault="000A0F42" w:rsidP="00C24B3B">
            <w:pPr>
              <w:jc w:val="center"/>
              <w:rPr>
                <w:rFonts w:ascii="Arial Narrow" w:hAnsi="Arial Narrow"/>
                <w:color w:val="333333"/>
                <w:sz w:val="20"/>
                <w:szCs w:val="20"/>
                <w:lang w:eastAsia="en-AU"/>
              </w:rPr>
            </w:pPr>
          </w:p>
        </w:tc>
        <w:tc>
          <w:tcPr>
            <w:tcW w:w="8086" w:type="dxa"/>
            <w:gridSpan w:val="7"/>
          </w:tcPr>
          <w:p w14:paraId="6A063BC8" w14:textId="77777777" w:rsidR="000A0F42" w:rsidRPr="00D27BF1" w:rsidRDefault="000A0F42" w:rsidP="00C24B3B">
            <w:pPr>
              <w:autoSpaceDE w:val="0"/>
              <w:autoSpaceDN w:val="0"/>
              <w:adjustRightInd w:val="0"/>
              <w:rPr>
                <w:rFonts w:ascii="Arial Narrow" w:hAnsi="Arial Narrow"/>
                <w:b/>
                <w:color w:val="333333"/>
                <w:sz w:val="20"/>
                <w:szCs w:val="20"/>
                <w:lang w:eastAsia="en-AU"/>
              </w:rPr>
            </w:pPr>
            <w:r w:rsidRPr="00D27BF1">
              <w:rPr>
                <w:rFonts w:ascii="Arial Narrow" w:hAnsi="Arial Narrow"/>
                <w:b/>
                <w:color w:val="333333"/>
                <w:sz w:val="20"/>
                <w:szCs w:val="20"/>
                <w:lang w:eastAsia="en-AU"/>
              </w:rPr>
              <w:t>AND</w:t>
            </w:r>
          </w:p>
        </w:tc>
      </w:tr>
      <w:tr w:rsidR="000A0F42" w:rsidRPr="00D27BF1" w14:paraId="3EB9C9CB" w14:textId="77777777" w:rsidTr="00C24B3B">
        <w:tblPrEx>
          <w:tblCellMar>
            <w:top w:w="15" w:type="dxa"/>
            <w:left w:w="15" w:type="dxa"/>
            <w:bottom w:w="15" w:type="dxa"/>
            <w:right w:w="15" w:type="dxa"/>
          </w:tblCellMar>
          <w:tblLook w:val="04A0" w:firstRow="1" w:lastRow="0" w:firstColumn="1" w:lastColumn="0" w:noHBand="0" w:noVBand="1"/>
        </w:tblPrEx>
        <w:tc>
          <w:tcPr>
            <w:tcW w:w="981" w:type="dxa"/>
            <w:vAlign w:val="center"/>
          </w:tcPr>
          <w:p w14:paraId="386EF033" w14:textId="77777777" w:rsidR="000A0F42" w:rsidRPr="00D27BF1" w:rsidRDefault="000A0F42" w:rsidP="00C24B3B">
            <w:pPr>
              <w:jc w:val="center"/>
              <w:rPr>
                <w:rFonts w:ascii="Arial Narrow" w:hAnsi="Arial Narrow"/>
                <w:i/>
                <w:color w:val="333333"/>
                <w:sz w:val="20"/>
                <w:szCs w:val="20"/>
                <w:lang w:eastAsia="en-AU"/>
              </w:rPr>
            </w:pPr>
          </w:p>
        </w:tc>
        <w:tc>
          <w:tcPr>
            <w:tcW w:w="8086" w:type="dxa"/>
            <w:gridSpan w:val="7"/>
          </w:tcPr>
          <w:p w14:paraId="130194E5" w14:textId="77777777" w:rsidR="000A0F42" w:rsidRPr="00D27BF1" w:rsidRDefault="000A0F42" w:rsidP="00C24B3B">
            <w:pPr>
              <w:autoSpaceDE w:val="0"/>
              <w:autoSpaceDN w:val="0"/>
              <w:adjustRightInd w:val="0"/>
              <w:rPr>
                <w:rFonts w:ascii="Arial Narrow" w:hAnsi="Arial Narrow"/>
                <w:b/>
                <w:color w:val="333333"/>
                <w:sz w:val="20"/>
                <w:szCs w:val="20"/>
                <w:lang w:eastAsia="en-AU"/>
              </w:rPr>
            </w:pPr>
            <w:r w:rsidRPr="00D27BF1">
              <w:rPr>
                <w:rFonts w:ascii="Arial Narrow" w:hAnsi="Arial Narrow"/>
                <w:b/>
                <w:color w:val="333333"/>
                <w:sz w:val="20"/>
                <w:szCs w:val="20"/>
                <w:lang w:eastAsia="en-AU"/>
              </w:rPr>
              <w:t>Clinical criteria:</w:t>
            </w:r>
          </w:p>
        </w:tc>
      </w:tr>
      <w:tr w:rsidR="000A0F42" w:rsidRPr="00D27BF1" w14:paraId="4EFD71FB" w14:textId="77777777" w:rsidTr="00C24B3B">
        <w:tblPrEx>
          <w:tblCellMar>
            <w:top w:w="15" w:type="dxa"/>
            <w:left w:w="15" w:type="dxa"/>
            <w:bottom w:w="15" w:type="dxa"/>
            <w:right w:w="15" w:type="dxa"/>
          </w:tblCellMar>
          <w:tblLook w:val="04A0" w:firstRow="1" w:lastRow="0" w:firstColumn="1" w:lastColumn="0" w:noHBand="0" w:noVBand="1"/>
        </w:tblPrEx>
        <w:tc>
          <w:tcPr>
            <w:tcW w:w="981" w:type="dxa"/>
            <w:vAlign w:val="center"/>
          </w:tcPr>
          <w:p w14:paraId="787F37DA" w14:textId="77777777" w:rsidR="000A0F42" w:rsidRPr="00D27BF1" w:rsidRDefault="000A0F42" w:rsidP="00C24B3B">
            <w:pPr>
              <w:jc w:val="center"/>
              <w:rPr>
                <w:rFonts w:ascii="Arial Narrow" w:hAnsi="Arial Narrow"/>
                <w:i/>
                <w:color w:val="333333"/>
                <w:sz w:val="20"/>
                <w:szCs w:val="20"/>
                <w:lang w:eastAsia="en-AU"/>
              </w:rPr>
            </w:pPr>
          </w:p>
        </w:tc>
        <w:tc>
          <w:tcPr>
            <w:tcW w:w="8086" w:type="dxa"/>
            <w:gridSpan w:val="7"/>
            <w:vAlign w:val="center"/>
          </w:tcPr>
          <w:p w14:paraId="438E8E7F" w14:textId="77777777" w:rsidR="000A0F42" w:rsidRPr="00D27BF1" w:rsidRDefault="000A0F42" w:rsidP="00C24B3B">
            <w:pPr>
              <w:autoSpaceDE w:val="0"/>
              <w:autoSpaceDN w:val="0"/>
              <w:adjustRightInd w:val="0"/>
              <w:rPr>
                <w:rFonts w:ascii="Arial Narrow" w:hAnsi="Arial Narrow" w:cstheme="minorHAnsi"/>
                <w:bCs/>
                <w:i/>
                <w:color w:val="000000"/>
                <w:sz w:val="20"/>
                <w:szCs w:val="20"/>
                <w:lang w:eastAsia="en-GB"/>
              </w:rPr>
            </w:pPr>
            <w:r w:rsidRPr="00D27BF1">
              <w:rPr>
                <w:rFonts w:ascii="Arial Narrow" w:hAnsi="Arial Narrow" w:cstheme="minorHAnsi"/>
                <w:bCs/>
                <w:i/>
                <w:color w:val="000000"/>
                <w:sz w:val="20"/>
                <w:szCs w:val="20"/>
                <w:lang w:eastAsia="en-GB"/>
              </w:rPr>
              <w:t xml:space="preserve">Patient must not have undergone surgery for the removal of nasal polyps since initiation of this drug for this condition. </w:t>
            </w:r>
          </w:p>
        </w:tc>
      </w:tr>
      <w:tr w:rsidR="000A0F42" w:rsidRPr="00D27BF1" w14:paraId="7A10D355" w14:textId="77777777" w:rsidTr="00C24B3B">
        <w:tblPrEx>
          <w:tblCellMar>
            <w:top w:w="15" w:type="dxa"/>
            <w:left w:w="15" w:type="dxa"/>
            <w:bottom w:w="15" w:type="dxa"/>
            <w:right w:w="15" w:type="dxa"/>
          </w:tblCellMar>
          <w:tblLook w:val="04A0" w:firstRow="1" w:lastRow="0" w:firstColumn="1" w:lastColumn="0" w:noHBand="0" w:noVBand="1"/>
        </w:tblPrEx>
        <w:tc>
          <w:tcPr>
            <w:tcW w:w="981" w:type="dxa"/>
            <w:vAlign w:val="center"/>
          </w:tcPr>
          <w:p w14:paraId="6C0A8DD6" w14:textId="77777777" w:rsidR="000A0F42" w:rsidRPr="00D27BF1" w:rsidRDefault="000A0F42" w:rsidP="00C24B3B">
            <w:pPr>
              <w:jc w:val="center"/>
              <w:rPr>
                <w:rFonts w:ascii="Arial Narrow" w:hAnsi="Arial Narrow"/>
                <w:color w:val="333333"/>
                <w:sz w:val="20"/>
                <w:szCs w:val="20"/>
                <w:lang w:eastAsia="en-AU"/>
              </w:rPr>
            </w:pPr>
          </w:p>
        </w:tc>
        <w:tc>
          <w:tcPr>
            <w:tcW w:w="8086" w:type="dxa"/>
            <w:gridSpan w:val="7"/>
            <w:vAlign w:val="center"/>
            <w:hideMark/>
          </w:tcPr>
          <w:p w14:paraId="6BF03AE8" w14:textId="77777777" w:rsidR="000A0F42" w:rsidRPr="00D27BF1" w:rsidRDefault="000A0F42" w:rsidP="00C24B3B">
            <w:pPr>
              <w:rPr>
                <w:rFonts w:ascii="Arial Narrow" w:hAnsi="Arial Narrow"/>
                <w:color w:val="333333"/>
                <w:sz w:val="20"/>
                <w:szCs w:val="20"/>
                <w:lang w:eastAsia="en-AU"/>
              </w:rPr>
            </w:pPr>
            <w:r w:rsidRPr="00D27BF1">
              <w:rPr>
                <w:rFonts w:ascii="Arial Narrow" w:hAnsi="Arial Narrow"/>
                <w:b/>
                <w:bCs/>
                <w:color w:val="333333"/>
                <w:sz w:val="20"/>
                <w:szCs w:val="20"/>
                <w:lang w:eastAsia="en-AU"/>
              </w:rPr>
              <w:t>Treatment criteria:</w:t>
            </w:r>
          </w:p>
        </w:tc>
      </w:tr>
      <w:tr w:rsidR="000A0F42" w:rsidRPr="00D27BF1" w14:paraId="5C0A6D57" w14:textId="77777777" w:rsidTr="00C24B3B">
        <w:tblPrEx>
          <w:tblCellMar>
            <w:top w:w="15" w:type="dxa"/>
            <w:left w:w="15" w:type="dxa"/>
            <w:bottom w:w="15" w:type="dxa"/>
            <w:right w:w="15" w:type="dxa"/>
          </w:tblCellMar>
          <w:tblLook w:val="04A0" w:firstRow="1" w:lastRow="0" w:firstColumn="1" w:lastColumn="0" w:noHBand="0" w:noVBand="1"/>
        </w:tblPrEx>
        <w:tc>
          <w:tcPr>
            <w:tcW w:w="981" w:type="dxa"/>
            <w:vAlign w:val="center"/>
          </w:tcPr>
          <w:p w14:paraId="72886A39" w14:textId="77777777" w:rsidR="000A0F42" w:rsidRPr="00D27BF1" w:rsidRDefault="000A0F42" w:rsidP="00C24B3B">
            <w:pPr>
              <w:jc w:val="center"/>
              <w:rPr>
                <w:rFonts w:ascii="Arial Narrow" w:hAnsi="Arial Narrow"/>
                <w:color w:val="333333"/>
                <w:sz w:val="20"/>
                <w:szCs w:val="20"/>
                <w:lang w:eastAsia="en-AU"/>
              </w:rPr>
            </w:pPr>
          </w:p>
        </w:tc>
        <w:tc>
          <w:tcPr>
            <w:tcW w:w="8086" w:type="dxa"/>
            <w:gridSpan w:val="7"/>
            <w:vAlign w:val="center"/>
            <w:hideMark/>
          </w:tcPr>
          <w:p w14:paraId="766000C5" w14:textId="77777777" w:rsidR="000A0F42" w:rsidRPr="00D27BF1" w:rsidRDefault="000A0F42" w:rsidP="00C24B3B">
            <w:pPr>
              <w:autoSpaceDE w:val="0"/>
              <w:autoSpaceDN w:val="0"/>
              <w:adjustRightInd w:val="0"/>
              <w:rPr>
                <w:rFonts w:ascii="Arial Narrow" w:hAnsi="Arial Narrow" w:cstheme="minorHAnsi"/>
                <w:color w:val="000000"/>
                <w:sz w:val="20"/>
                <w:szCs w:val="20"/>
                <w:lang w:eastAsia="en-GB"/>
              </w:rPr>
            </w:pPr>
            <w:r w:rsidRPr="00D27BF1">
              <w:rPr>
                <w:rFonts w:ascii="Arial Narrow" w:hAnsi="Arial Narrow" w:cstheme="minorHAnsi"/>
                <w:color w:val="000000"/>
                <w:sz w:val="20"/>
                <w:szCs w:val="20"/>
                <w:lang w:eastAsia="en-GB"/>
              </w:rPr>
              <w:t>Patient must be treated by a respiratory physician, clinical immunologist, allergist, ear nose and throat specialist (ENT) or general physician experienced in the management of patients with CRSwNP.</w:t>
            </w:r>
          </w:p>
        </w:tc>
      </w:tr>
      <w:tr w:rsidR="000A0F42" w:rsidRPr="00D27BF1" w14:paraId="135B083D" w14:textId="77777777" w:rsidTr="00C24B3B">
        <w:tblPrEx>
          <w:tblCellMar>
            <w:top w:w="15" w:type="dxa"/>
            <w:left w:w="15" w:type="dxa"/>
            <w:bottom w:w="15" w:type="dxa"/>
            <w:right w:w="15" w:type="dxa"/>
          </w:tblCellMar>
          <w:tblLook w:val="04A0" w:firstRow="1" w:lastRow="0" w:firstColumn="1" w:lastColumn="0" w:noHBand="0" w:noVBand="1"/>
        </w:tblPrEx>
        <w:tc>
          <w:tcPr>
            <w:tcW w:w="981" w:type="dxa"/>
            <w:vAlign w:val="center"/>
          </w:tcPr>
          <w:p w14:paraId="1711927A" w14:textId="77777777" w:rsidR="000A0F42" w:rsidRPr="00D27BF1" w:rsidRDefault="000A0F42" w:rsidP="00C24B3B">
            <w:pPr>
              <w:jc w:val="center"/>
              <w:rPr>
                <w:rFonts w:ascii="Arial Narrow" w:hAnsi="Arial Narrow"/>
                <w:color w:val="333333"/>
                <w:sz w:val="20"/>
                <w:szCs w:val="20"/>
                <w:lang w:eastAsia="en-AU"/>
              </w:rPr>
            </w:pPr>
          </w:p>
        </w:tc>
        <w:tc>
          <w:tcPr>
            <w:tcW w:w="8086" w:type="dxa"/>
            <w:gridSpan w:val="7"/>
            <w:vAlign w:val="center"/>
            <w:hideMark/>
          </w:tcPr>
          <w:p w14:paraId="182D0D11" w14:textId="77777777" w:rsidR="000A0F42" w:rsidRPr="00D27BF1" w:rsidRDefault="000A0F42" w:rsidP="00C24B3B">
            <w:pPr>
              <w:rPr>
                <w:rFonts w:ascii="Arial Narrow" w:hAnsi="Arial Narrow"/>
                <w:color w:val="333333"/>
                <w:sz w:val="20"/>
                <w:szCs w:val="20"/>
                <w:lang w:eastAsia="en-AU"/>
              </w:rPr>
            </w:pPr>
            <w:r w:rsidRPr="00D27BF1">
              <w:rPr>
                <w:rFonts w:ascii="Arial Narrow" w:hAnsi="Arial Narrow"/>
                <w:b/>
                <w:bCs/>
                <w:color w:val="333333"/>
                <w:sz w:val="20"/>
                <w:szCs w:val="20"/>
                <w:lang w:eastAsia="en-AU"/>
              </w:rPr>
              <w:t>Population criteria:</w:t>
            </w:r>
          </w:p>
        </w:tc>
      </w:tr>
      <w:tr w:rsidR="000A0F42" w:rsidRPr="00D27BF1" w14:paraId="3CDCB90A" w14:textId="77777777" w:rsidTr="00C24B3B">
        <w:tblPrEx>
          <w:tblCellMar>
            <w:top w:w="15" w:type="dxa"/>
            <w:left w:w="15" w:type="dxa"/>
            <w:bottom w:w="15" w:type="dxa"/>
            <w:right w:w="15" w:type="dxa"/>
          </w:tblCellMar>
          <w:tblLook w:val="04A0" w:firstRow="1" w:lastRow="0" w:firstColumn="1" w:lastColumn="0" w:noHBand="0" w:noVBand="1"/>
        </w:tblPrEx>
        <w:tc>
          <w:tcPr>
            <w:tcW w:w="981" w:type="dxa"/>
            <w:vAlign w:val="center"/>
            <w:hideMark/>
          </w:tcPr>
          <w:p w14:paraId="2657D571" w14:textId="77777777" w:rsidR="000A0F42" w:rsidRPr="00D27BF1" w:rsidRDefault="000A0F42" w:rsidP="00C24B3B">
            <w:pPr>
              <w:jc w:val="center"/>
              <w:rPr>
                <w:rFonts w:ascii="Arial Narrow" w:hAnsi="Arial Narrow"/>
                <w:color w:val="333333"/>
                <w:sz w:val="20"/>
                <w:szCs w:val="20"/>
                <w:lang w:eastAsia="en-AU"/>
              </w:rPr>
            </w:pPr>
          </w:p>
        </w:tc>
        <w:tc>
          <w:tcPr>
            <w:tcW w:w="8086" w:type="dxa"/>
            <w:gridSpan w:val="7"/>
            <w:vAlign w:val="center"/>
            <w:hideMark/>
          </w:tcPr>
          <w:p w14:paraId="12A41C42" w14:textId="77777777" w:rsidR="000A0F42" w:rsidRPr="00D27BF1" w:rsidRDefault="000A0F42" w:rsidP="00C24B3B">
            <w:pPr>
              <w:rPr>
                <w:rFonts w:ascii="Arial Narrow" w:hAnsi="Arial Narrow"/>
                <w:color w:val="333333"/>
                <w:sz w:val="20"/>
                <w:szCs w:val="20"/>
                <w:lang w:eastAsia="en-AU"/>
              </w:rPr>
            </w:pPr>
            <w:r w:rsidRPr="00D27BF1">
              <w:rPr>
                <w:rFonts w:ascii="Arial Narrow" w:hAnsi="Arial Narrow" w:cstheme="minorHAnsi"/>
                <w:color w:val="000000"/>
                <w:sz w:val="20"/>
                <w:szCs w:val="20"/>
                <w:lang w:eastAsia="en-GB"/>
              </w:rPr>
              <w:t>Patient must be aged 18 years or older.</w:t>
            </w:r>
          </w:p>
        </w:tc>
      </w:tr>
      <w:tr w:rsidR="000A0F42" w:rsidRPr="00D27BF1" w14:paraId="29C8A983" w14:textId="77777777" w:rsidTr="00C24B3B">
        <w:tblPrEx>
          <w:tblCellMar>
            <w:top w:w="15" w:type="dxa"/>
            <w:left w:w="15" w:type="dxa"/>
            <w:bottom w:w="15" w:type="dxa"/>
            <w:right w:w="15" w:type="dxa"/>
          </w:tblCellMar>
          <w:tblLook w:val="04A0" w:firstRow="1" w:lastRow="0" w:firstColumn="1" w:lastColumn="0" w:noHBand="0" w:noVBand="1"/>
        </w:tblPrEx>
        <w:tc>
          <w:tcPr>
            <w:tcW w:w="981" w:type="dxa"/>
            <w:vAlign w:val="center"/>
            <w:hideMark/>
          </w:tcPr>
          <w:p w14:paraId="7AB37CC9" w14:textId="77777777" w:rsidR="000A0F42" w:rsidRPr="00D27BF1" w:rsidRDefault="000A0F42" w:rsidP="00C24B3B">
            <w:pPr>
              <w:jc w:val="center"/>
              <w:rPr>
                <w:rFonts w:ascii="Arial Narrow" w:hAnsi="Arial Narrow"/>
                <w:color w:val="333333"/>
                <w:sz w:val="20"/>
                <w:szCs w:val="20"/>
                <w:lang w:eastAsia="en-AU"/>
              </w:rPr>
            </w:pPr>
          </w:p>
        </w:tc>
        <w:tc>
          <w:tcPr>
            <w:tcW w:w="8086" w:type="dxa"/>
            <w:gridSpan w:val="7"/>
            <w:vAlign w:val="center"/>
            <w:hideMark/>
          </w:tcPr>
          <w:p w14:paraId="52C72826" w14:textId="77777777" w:rsidR="000A0F42" w:rsidRPr="00D27BF1" w:rsidRDefault="000A0F42" w:rsidP="00C24B3B">
            <w:pPr>
              <w:rPr>
                <w:rFonts w:ascii="Arial Narrow" w:hAnsi="Arial Narrow"/>
                <w:b/>
                <w:bCs/>
                <w:strike/>
                <w:color w:val="333333"/>
                <w:sz w:val="20"/>
                <w:szCs w:val="20"/>
                <w:lang w:eastAsia="en-AU"/>
              </w:rPr>
            </w:pPr>
            <w:r w:rsidRPr="00D27BF1">
              <w:rPr>
                <w:rFonts w:ascii="Arial Narrow" w:hAnsi="Arial Narrow"/>
                <w:b/>
                <w:bCs/>
                <w:strike/>
                <w:color w:val="333333"/>
                <w:sz w:val="20"/>
                <w:szCs w:val="20"/>
                <w:lang w:eastAsia="en-AU"/>
              </w:rPr>
              <w:t xml:space="preserve">Prescribing Instructions: </w:t>
            </w:r>
          </w:p>
          <w:p w14:paraId="3D5C20D5" w14:textId="77777777" w:rsidR="000A0F42" w:rsidRPr="00D27BF1" w:rsidRDefault="000A0F42" w:rsidP="00C24B3B">
            <w:pPr>
              <w:autoSpaceDE w:val="0"/>
              <w:autoSpaceDN w:val="0"/>
              <w:adjustRightInd w:val="0"/>
              <w:rPr>
                <w:rFonts w:ascii="Arial Narrow" w:hAnsi="Arial Narrow" w:cstheme="minorHAnsi"/>
                <w:strike/>
                <w:color w:val="000000"/>
                <w:sz w:val="20"/>
                <w:szCs w:val="20"/>
                <w:lang w:eastAsia="en-GB"/>
              </w:rPr>
            </w:pPr>
            <w:r w:rsidRPr="00D27BF1">
              <w:rPr>
                <w:rFonts w:ascii="Arial Narrow" w:hAnsi="Arial Narrow" w:cstheme="minorHAnsi"/>
                <w:b/>
                <w:bCs/>
                <w:strike/>
                <w:color w:val="000000"/>
                <w:sz w:val="20"/>
                <w:szCs w:val="20"/>
                <w:lang w:eastAsia="en-GB"/>
              </w:rPr>
              <w:t xml:space="preserve">Evidence of each qualifying response measure to provide via telephone and to document in the patient's medical records for PBS compliance auditing purposes </w:t>
            </w:r>
          </w:p>
          <w:p w14:paraId="12645BDB" w14:textId="77777777" w:rsidR="000A0F42" w:rsidRPr="00D27BF1" w:rsidRDefault="000A0F42" w:rsidP="00C24B3B">
            <w:pPr>
              <w:pStyle w:val="ListParagraph"/>
              <w:widowControl/>
              <w:numPr>
                <w:ilvl w:val="0"/>
                <w:numId w:val="14"/>
              </w:numPr>
              <w:autoSpaceDE w:val="0"/>
              <w:autoSpaceDN w:val="0"/>
              <w:adjustRightInd w:val="0"/>
              <w:spacing w:after="0"/>
              <w:contextualSpacing/>
              <w:jc w:val="left"/>
              <w:rPr>
                <w:rFonts w:ascii="Arial Narrow" w:hAnsi="Arial Narrow" w:cstheme="minorHAnsi"/>
                <w:strike/>
                <w:sz w:val="20"/>
                <w:szCs w:val="20"/>
                <w:lang w:eastAsia="en-GB"/>
              </w:rPr>
            </w:pPr>
            <w:r w:rsidRPr="00D27BF1">
              <w:rPr>
                <w:rFonts w:ascii="Arial Narrow" w:hAnsi="Arial Narrow" w:cstheme="minorHAnsi"/>
                <w:strike/>
                <w:sz w:val="20"/>
                <w:szCs w:val="20"/>
                <w:lang w:eastAsia="en-GB"/>
              </w:rPr>
              <w:t xml:space="preserve">NP score; </w:t>
            </w:r>
            <w:r w:rsidRPr="00D27BF1">
              <w:rPr>
                <w:rFonts w:ascii="Arial Narrow" w:hAnsi="Arial Narrow" w:cstheme="minorHAnsi"/>
                <w:b/>
                <w:strike/>
                <w:sz w:val="20"/>
                <w:szCs w:val="20"/>
                <w:lang w:eastAsia="en-GB"/>
              </w:rPr>
              <w:t>OR</w:t>
            </w:r>
            <w:r w:rsidRPr="00D27BF1">
              <w:rPr>
                <w:rFonts w:ascii="Arial Narrow" w:hAnsi="Arial Narrow" w:cstheme="minorHAnsi"/>
                <w:strike/>
                <w:sz w:val="20"/>
                <w:szCs w:val="20"/>
                <w:lang w:eastAsia="en-GB"/>
              </w:rPr>
              <w:t xml:space="preserve"> </w:t>
            </w:r>
          </w:p>
          <w:p w14:paraId="2F24972F" w14:textId="77777777" w:rsidR="000A0F42" w:rsidRPr="00D27BF1" w:rsidRDefault="000A0F42" w:rsidP="00C24B3B">
            <w:pPr>
              <w:pStyle w:val="ListParagraph"/>
              <w:widowControl/>
              <w:numPr>
                <w:ilvl w:val="0"/>
                <w:numId w:val="14"/>
              </w:numPr>
              <w:autoSpaceDE w:val="0"/>
              <w:autoSpaceDN w:val="0"/>
              <w:adjustRightInd w:val="0"/>
              <w:spacing w:after="0"/>
              <w:contextualSpacing/>
              <w:jc w:val="left"/>
              <w:rPr>
                <w:rFonts w:ascii="Arial Narrow" w:hAnsi="Arial Narrow" w:cstheme="minorHAnsi"/>
                <w:color w:val="000000"/>
                <w:sz w:val="20"/>
                <w:szCs w:val="20"/>
                <w:lang w:eastAsia="en-GB"/>
              </w:rPr>
            </w:pPr>
            <w:r w:rsidRPr="00D27BF1">
              <w:rPr>
                <w:rFonts w:ascii="Arial Narrow" w:hAnsi="Arial Narrow" w:cstheme="minorHAnsi"/>
                <w:strike/>
                <w:color w:val="000000"/>
                <w:sz w:val="20"/>
                <w:szCs w:val="20"/>
                <w:lang w:eastAsia="en-GB"/>
              </w:rPr>
              <w:t>nasal obstruction VAS score</w:t>
            </w:r>
          </w:p>
        </w:tc>
      </w:tr>
    </w:tbl>
    <w:p w14:paraId="121BCC5A" w14:textId="77777777" w:rsidR="000A0F42" w:rsidRPr="00D27BF1" w:rsidRDefault="000A0F42" w:rsidP="004B1CB4"/>
    <w:p w14:paraId="4F7B504B" w14:textId="77777777" w:rsidR="00C43183" w:rsidRPr="00D27BF1" w:rsidRDefault="00A14C5C" w:rsidP="00B313EF">
      <w:pPr>
        <w:pStyle w:val="ListParagraph"/>
        <w:widowControl/>
        <w:numPr>
          <w:ilvl w:val="1"/>
          <w:numId w:val="2"/>
        </w:numPr>
      </w:pPr>
      <w:r w:rsidRPr="00D27BF1">
        <w:t xml:space="preserve">A special pricing arrangement (SPA) was proposed by the Sponsor. </w:t>
      </w:r>
      <w:r w:rsidR="00BD2BC2" w:rsidRPr="00D27BF1">
        <w:t>The sponsor proposed effective prices of $</w:t>
      </w:r>
      <w:r w:rsidR="00DD78A9">
        <w:rPr>
          <w:noProof/>
          <w:color w:val="000000"/>
          <w:highlight w:val="black"/>
        </w:rPr>
        <w:t>''''''''''''</w:t>
      </w:r>
      <w:r w:rsidR="00BD2BC2" w:rsidRPr="00D27BF1">
        <w:t xml:space="preserve"> for public and $</w:t>
      </w:r>
      <w:r w:rsidR="00DD78A9">
        <w:rPr>
          <w:noProof/>
          <w:color w:val="000000"/>
          <w:highlight w:val="black"/>
        </w:rPr>
        <w:t>'''''''''''''</w:t>
      </w:r>
      <w:r w:rsidR="00BD2BC2" w:rsidRPr="00D27BF1">
        <w:t xml:space="preserve"> for private per vial, compared to published prices of $1,638.00 for public and $1,685.74 for private. </w:t>
      </w:r>
    </w:p>
    <w:p w14:paraId="48C41E8B" w14:textId="77777777" w:rsidR="00F46A9C" w:rsidRPr="00D27BF1" w:rsidRDefault="00127ACD" w:rsidP="00B313EF">
      <w:pPr>
        <w:pStyle w:val="ListParagraph"/>
        <w:numPr>
          <w:ilvl w:val="1"/>
          <w:numId w:val="2"/>
        </w:numPr>
        <w:rPr>
          <w:iCs/>
        </w:rPr>
      </w:pPr>
      <w:r w:rsidRPr="00D27BF1">
        <w:rPr>
          <w:iCs/>
        </w:rPr>
        <w:t>The proposed restriction omitted key information which may be important in determining the most appropriate use of mepolizumab in the proposed population</w:t>
      </w:r>
      <w:r w:rsidR="00ED0DDA" w:rsidRPr="00D27BF1">
        <w:rPr>
          <w:iCs/>
        </w:rPr>
        <w:t>:</w:t>
      </w:r>
    </w:p>
    <w:p w14:paraId="26D49769" w14:textId="7A604347" w:rsidR="00127ACD" w:rsidRPr="00D27BF1" w:rsidRDefault="00127ACD" w:rsidP="00127ACD">
      <w:pPr>
        <w:pStyle w:val="Bulletpoints"/>
        <w:numPr>
          <w:ilvl w:val="0"/>
          <w:numId w:val="8"/>
        </w:numPr>
        <w:spacing w:after="120"/>
        <w:ind w:left="1134" w:hanging="425"/>
      </w:pPr>
      <w:r w:rsidRPr="00D27BF1">
        <w:t xml:space="preserve">There were no restrictions </w:t>
      </w:r>
      <w:r w:rsidR="000C0C2B" w:rsidRPr="00D27BF1">
        <w:t>around how many times a patient</w:t>
      </w:r>
      <w:r w:rsidRPr="00D27BF1">
        <w:t xml:space="preserve"> may retrial mepolizumab. Based on th</w:t>
      </w:r>
      <w:r w:rsidR="00ED0DDA" w:rsidRPr="00D27BF1">
        <w:t xml:space="preserve">e proposed restriction in the </w:t>
      </w:r>
      <w:r w:rsidRPr="00D27BF1">
        <w:t>submission a patient may keep re-trialling mepolizumab as long as they had severe disease and a ‘break in treatment’</w:t>
      </w:r>
      <w:r w:rsidR="00ED0DDA" w:rsidRPr="00D27BF1">
        <w:t xml:space="preserve"> based on the initiation criteria. </w:t>
      </w:r>
      <w:r w:rsidR="00143AD5">
        <w:t>A</w:t>
      </w:r>
      <w:r w:rsidRPr="00D27BF1">
        <w:t xml:space="preserve"> minimum duration</w:t>
      </w:r>
      <w:r w:rsidR="00FA2328" w:rsidRPr="00D27BF1">
        <w:t xml:space="preserve"> of the break in treatment</w:t>
      </w:r>
      <w:r w:rsidRPr="00D27BF1">
        <w:t xml:space="preserve"> was not provided by the submission</w:t>
      </w:r>
      <w:r w:rsidR="008029C3" w:rsidRPr="00D27BF1">
        <w:t>.</w:t>
      </w:r>
      <w:r w:rsidR="00ED0DDA" w:rsidRPr="00D27BF1">
        <w:t xml:space="preserve"> </w:t>
      </w:r>
      <w:r w:rsidR="008029C3" w:rsidRPr="00D27BF1">
        <w:t>However</w:t>
      </w:r>
      <w:r w:rsidR="00586CDC">
        <w:t>,</w:t>
      </w:r>
      <w:r w:rsidR="008029C3" w:rsidRPr="00D27BF1">
        <w:t xml:space="preserve"> </w:t>
      </w:r>
      <w:r w:rsidR="00ED0DDA" w:rsidRPr="00D27BF1">
        <w:t xml:space="preserve">the </w:t>
      </w:r>
      <w:r w:rsidR="008029C3" w:rsidRPr="00D27BF1">
        <w:t xml:space="preserve">proposed </w:t>
      </w:r>
      <w:r w:rsidR="00ED0DDA" w:rsidRPr="00D27BF1">
        <w:t xml:space="preserve">clinical criteria </w:t>
      </w:r>
      <w:r w:rsidR="008029C3" w:rsidRPr="00D27BF1">
        <w:t xml:space="preserve">indicated </w:t>
      </w:r>
      <w:r w:rsidR="00ED0DDA" w:rsidRPr="00D27BF1">
        <w:t>that</w:t>
      </w:r>
      <w:r w:rsidR="00227594" w:rsidRPr="00D27BF1">
        <w:t xml:space="preserve"> treatment must not be used within 4 weeks of another PBS-subsidised biological medicine prescribed for NPs or severe asthma</w:t>
      </w:r>
      <w:r w:rsidR="008029C3" w:rsidRPr="00D27BF1">
        <w:t xml:space="preserve"> and </w:t>
      </w:r>
      <w:r w:rsidR="00143AD5">
        <w:t xml:space="preserve">this </w:t>
      </w:r>
      <w:r w:rsidR="008029C3" w:rsidRPr="00D27BF1">
        <w:t>may suggest a minimal period for a ‘break in treatment’</w:t>
      </w:r>
      <w:r w:rsidR="00227594" w:rsidRPr="00D27BF1">
        <w:t>. I</w:t>
      </w:r>
      <w:r w:rsidR="00CC2366" w:rsidRPr="00D27BF1">
        <w:t>t was unclear how this</w:t>
      </w:r>
      <w:r w:rsidR="00227594" w:rsidRPr="00D27BF1">
        <w:t xml:space="preserve"> threshold of 4 weeks was determined </w:t>
      </w:r>
      <w:r w:rsidR="00626012" w:rsidRPr="00D27BF1">
        <w:t>as the</w:t>
      </w:r>
      <w:r w:rsidR="00CC2366" w:rsidRPr="00D27BF1">
        <w:t xml:space="preserve"> reason was not provided by the submission</w:t>
      </w:r>
      <w:r w:rsidR="00C24B3B">
        <w:t>.</w:t>
      </w:r>
      <w:r w:rsidRPr="00D27BF1">
        <w:t xml:space="preserve"> </w:t>
      </w:r>
      <w:r w:rsidR="00831AF7">
        <w:t>The pre-PBAC response clarified that the 4-week break in treatment refers to the washout period required following a previous biological agent for eosinophilic disease consistent with the severe asthma indication for biologic agents. The pre-PBAC response proposed that the recommended criteria for the re-initiation of mepolizumab is 6 months as per the initial listing of omali</w:t>
      </w:r>
      <w:r w:rsidR="00C24B3B">
        <w:t>zumab in severe allergic asthma;</w:t>
      </w:r>
    </w:p>
    <w:p w14:paraId="44C1539D" w14:textId="77777777" w:rsidR="00127ACD" w:rsidRPr="00D27BF1" w:rsidRDefault="00ED0DDA" w:rsidP="00127ACD">
      <w:pPr>
        <w:pStyle w:val="Bulletpoints"/>
        <w:numPr>
          <w:ilvl w:val="0"/>
          <w:numId w:val="8"/>
        </w:numPr>
        <w:spacing w:after="120"/>
        <w:ind w:left="1134" w:hanging="425"/>
      </w:pPr>
      <w:r w:rsidRPr="00D27BF1">
        <w:t>In the continuing criteria, t</w:t>
      </w:r>
      <w:r w:rsidR="004D4295" w:rsidRPr="00D27BF1">
        <w:t>he submission stated that in absence of surgery, an adequate response to mepolizumab was defined as an improvement in bilateral</w:t>
      </w:r>
      <w:r w:rsidR="00626012" w:rsidRPr="00D27BF1">
        <w:t xml:space="preserve"> endoscopic nasal polyp</w:t>
      </w:r>
      <w:r w:rsidR="004D4295" w:rsidRPr="00D27BF1">
        <w:t xml:space="preserve"> </w:t>
      </w:r>
      <w:r w:rsidR="00626012" w:rsidRPr="00D27BF1">
        <w:t>(</w:t>
      </w:r>
      <w:r w:rsidR="004D4295" w:rsidRPr="00D27BF1">
        <w:t>ENP</w:t>
      </w:r>
      <w:r w:rsidR="00626012" w:rsidRPr="00D27BF1">
        <w:t>)</w:t>
      </w:r>
      <w:r w:rsidR="004D4295" w:rsidRPr="00D27BF1">
        <w:t xml:space="preserve"> score of </w:t>
      </w:r>
      <w:r w:rsidR="004D4295" w:rsidRPr="00D27BF1">
        <w:rPr>
          <w:rFonts w:cs="Calibri"/>
        </w:rPr>
        <w:t>≥</w:t>
      </w:r>
      <w:r w:rsidR="004D4295" w:rsidRPr="00D27BF1">
        <w:t>1</w:t>
      </w:r>
      <w:r w:rsidRPr="00D27BF1">
        <w:t xml:space="preserve"> or an improvement in</w:t>
      </w:r>
      <w:r w:rsidR="00626012" w:rsidRPr="00D27BF1">
        <w:t xml:space="preserve"> nasal obstruction (NO) visual analogue scale (collectively NO-VAS)</w:t>
      </w:r>
      <w:r w:rsidRPr="00D27BF1">
        <w:t xml:space="preserve"> score of </w:t>
      </w:r>
      <w:r w:rsidRPr="00D27BF1">
        <w:rPr>
          <w:rFonts w:cs="Calibri"/>
        </w:rPr>
        <w:t>≥</w:t>
      </w:r>
      <w:r w:rsidRPr="00D27BF1">
        <w:t>3. However, t</w:t>
      </w:r>
      <w:r w:rsidR="00127ACD" w:rsidRPr="00D27BF1">
        <w:t>here was no requirement in the continuing criteria to maintain response to treatment even though adequate response was defined; and</w:t>
      </w:r>
    </w:p>
    <w:p w14:paraId="47B177EA" w14:textId="4D58D063" w:rsidR="00127ACD" w:rsidRPr="0057459B" w:rsidRDefault="00127ACD" w:rsidP="00DF4875">
      <w:pPr>
        <w:pStyle w:val="Bulletpoints"/>
        <w:numPr>
          <w:ilvl w:val="0"/>
          <w:numId w:val="8"/>
        </w:numPr>
        <w:spacing w:after="120"/>
        <w:ind w:left="1134" w:hanging="425"/>
      </w:pPr>
      <w:r w:rsidRPr="00D27BF1">
        <w:t xml:space="preserve">It was unclear whether a patient who received nasal polyps (NP) surgery while on treatment with mepolizumab and </w:t>
      </w:r>
      <w:r w:rsidR="0079037D" w:rsidRPr="00D27BF1">
        <w:t>fulfils</w:t>
      </w:r>
      <w:r w:rsidRPr="00D27BF1">
        <w:t xml:space="preserve"> the criteria for ‘an adequate response’ at a subsequent visit should be eligible to continue treatment with mepolizumab. The proposed restriction does not restrict use of mepolizumab </w:t>
      </w:r>
      <w:r w:rsidR="00577B1F" w:rsidRPr="00D27BF1">
        <w:t>in</w:t>
      </w:r>
      <w:r w:rsidRPr="00D27BF1">
        <w:t xml:space="preserve"> patients who have surgery whilst on treatment with mepolizumab (and it may be difficult to distinguish whether an adequate response was achieved due to mepolizumab or successful surgery). In the pivotal SYNAPSE trial, patients who underwent surgery were not required to discontinue from mepolizumab (or placebo). In the economic model any patient who receive</w:t>
      </w:r>
      <w:r w:rsidR="00577B1F" w:rsidRPr="00D27BF1">
        <w:t>d</w:t>
      </w:r>
      <w:r w:rsidRPr="00D27BF1">
        <w:t xml:space="preserve"> surgery was assumed to discontinue mepolizumab and no re-initiation was considered in the model or financial estimates. </w:t>
      </w:r>
      <w:r w:rsidR="00DF4875" w:rsidRPr="0057459B">
        <w:t xml:space="preserve">The Pre-Sub-Committee </w:t>
      </w:r>
      <w:r w:rsidR="005C36A4">
        <w:t>R</w:t>
      </w:r>
      <w:r w:rsidR="00DF4875" w:rsidRPr="0057459B">
        <w:t xml:space="preserve">esponse (PSCR) stated that the treatment continuation response criteria </w:t>
      </w:r>
      <w:r w:rsidR="00737FCA" w:rsidRPr="0057459B">
        <w:t>apply</w:t>
      </w:r>
      <w:r w:rsidR="00DF4875" w:rsidRPr="0057459B">
        <w:t xml:space="preserve"> to patients who have not undergone NP surgery. The PSCR stated that patients undergoing NP surgery would discontinue treatment and be eligible to re-initiate treatment if they meet the initial clinical criteria at any stage following surgery.</w:t>
      </w:r>
    </w:p>
    <w:p w14:paraId="7E522997" w14:textId="77777777" w:rsidR="00B52051" w:rsidRPr="00D27BF1" w:rsidRDefault="00B52051" w:rsidP="00B313EF">
      <w:pPr>
        <w:pStyle w:val="ListParagraph"/>
        <w:widowControl/>
        <w:numPr>
          <w:ilvl w:val="1"/>
          <w:numId w:val="2"/>
        </w:numPr>
      </w:pPr>
      <w:r w:rsidRPr="00D27BF1">
        <w:t>The sponsor wishe</w:t>
      </w:r>
      <w:r w:rsidR="008F48D2" w:rsidRPr="00D27BF1">
        <w:t>d</w:t>
      </w:r>
      <w:r w:rsidRPr="00D27BF1">
        <w:t xml:space="preserve"> to work with the PBAC to agree on a separate grandfathering restriction for patients enrolled in a planned patient familiarisation program following TGA approval. </w:t>
      </w:r>
      <w:r w:rsidR="00831AF7">
        <w:t xml:space="preserve">The pre-PBAC response stated that any patient familiarisation </w:t>
      </w:r>
      <w:r w:rsidR="00F64299">
        <w:t xml:space="preserve">program </w:t>
      </w:r>
      <w:r w:rsidR="00831AF7">
        <w:t xml:space="preserve">would align with the proposed PBS criteria. </w:t>
      </w:r>
    </w:p>
    <w:p w14:paraId="3112810A" w14:textId="77777777" w:rsidR="00C43183" w:rsidRPr="00D27BF1" w:rsidRDefault="00C43183" w:rsidP="00B313EF">
      <w:pPr>
        <w:pStyle w:val="ListParagraph"/>
        <w:widowControl/>
        <w:numPr>
          <w:ilvl w:val="1"/>
          <w:numId w:val="2"/>
        </w:numPr>
        <w:spacing w:after="0"/>
      </w:pPr>
      <w:r w:rsidRPr="00D27BF1">
        <w:t xml:space="preserve">The eligibility criteria in </w:t>
      </w:r>
      <w:r w:rsidR="00C03048" w:rsidRPr="00D27BF1">
        <w:t xml:space="preserve">the pivotal </w:t>
      </w:r>
      <w:r w:rsidRPr="00D27BF1">
        <w:t>SYNAPSE</w:t>
      </w:r>
      <w:r w:rsidR="00C03048" w:rsidRPr="00D27BF1">
        <w:t xml:space="preserve"> trial</w:t>
      </w:r>
      <w:r w:rsidRPr="00D27BF1">
        <w:t xml:space="preserve"> did not fully align with the requested restriction</w:t>
      </w:r>
      <w:r w:rsidR="0073164A" w:rsidRPr="00D27BF1">
        <w:t xml:space="preserve">. The requested restriction was broader than the </w:t>
      </w:r>
      <w:r w:rsidR="00F46A9C" w:rsidRPr="00D27BF1">
        <w:t xml:space="preserve">eligibility </w:t>
      </w:r>
      <w:r w:rsidR="0073164A" w:rsidRPr="00D27BF1">
        <w:t>criteria in SYNAPSE</w:t>
      </w:r>
      <w:r w:rsidR="00F46A9C" w:rsidRPr="00D27BF1">
        <w:t>, which required patients to have</w:t>
      </w:r>
      <w:r w:rsidRPr="00D27BF1">
        <w:t>:</w:t>
      </w:r>
    </w:p>
    <w:p w14:paraId="2DED27CA" w14:textId="77777777" w:rsidR="00C43183" w:rsidRPr="00D27BF1" w:rsidRDefault="00C43183" w:rsidP="00C43183">
      <w:pPr>
        <w:pStyle w:val="Bulletpoints"/>
      </w:pPr>
      <w:r w:rsidRPr="00D27BF1">
        <w:t>Previous history of at least one prior NP surgery</w:t>
      </w:r>
      <w:r w:rsidR="00BE1EA6" w:rsidRPr="00D27BF1">
        <w:t>.</w:t>
      </w:r>
      <w:r w:rsidRPr="00D27BF1">
        <w:t xml:space="preserve"> </w:t>
      </w:r>
      <w:r w:rsidR="002F0269" w:rsidRPr="00D27BF1">
        <w:t>Comparatively, p</w:t>
      </w:r>
      <w:r w:rsidRPr="00D27BF1">
        <w:t xml:space="preserve">atients deemed not suitable for surgery were allowed under </w:t>
      </w:r>
      <w:r w:rsidR="00F46A9C" w:rsidRPr="00D27BF1">
        <w:t xml:space="preserve">the requested </w:t>
      </w:r>
      <w:r w:rsidRPr="00D27BF1">
        <w:t>restriction;</w:t>
      </w:r>
    </w:p>
    <w:p w14:paraId="7E1C2AF9" w14:textId="77777777" w:rsidR="00FB3E74" w:rsidRPr="00D27BF1" w:rsidRDefault="00C43183" w:rsidP="00FB3E74">
      <w:pPr>
        <w:pStyle w:val="Bulletpoints"/>
      </w:pPr>
      <w:r w:rsidRPr="00D27BF1">
        <w:t>Previous treatment with INCS</w:t>
      </w:r>
      <w:r w:rsidR="00BE1EA6" w:rsidRPr="00D27BF1">
        <w:t>.</w:t>
      </w:r>
      <w:r w:rsidRPr="00D27BF1">
        <w:t xml:space="preserve"> </w:t>
      </w:r>
      <w:r w:rsidR="002F0269" w:rsidRPr="00D27BF1">
        <w:t>Comparatively, p</w:t>
      </w:r>
      <w:r w:rsidR="00F46A9C" w:rsidRPr="00D27BF1">
        <w:t xml:space="preserve">atients with </w:t>
      </w:r>
      <w:r w:rsidRPr="00D27BF1">
        <w:t xml:space="preserve">contraindication or intolerance to INCS </w:t>
      </w:r>
      <w:r w:rsidR="00F46A9C" w:rsidRPr="00D27BF1">
        <w:t xml:space="preserve">could be treated </w:t>
      </w:r>
      <w:r w:rsidRPr="00D27BF1">
        <w:t xml:space="preserve">under the </w:t>
      </w:r>
      <w:r w:rsidR="00F46A9C" w:rsidRPr="00D27BF1">
        <w:t xml:space="preserve">requested </w:t>
      </w:r>
      <w:r w:rsidRPr="00D27BF1">
        <w:t>restriction;</w:t>
      </w:r>
    </w:p>
    <w:p w14:paraId="19A9944F" w14:textId="77777777" w:rsidR="00C43183" w:rsidRPr="00D27BF1" w:rsidRDefault="00C43183" w:rsidP="00C43183">
      <w:pPr>
        <w:pStyle w:val="Bulletpoints"/>
      </w:pPr>
      <w:r w:rsidRPr="00D27BF1">
        <w:t xml:space="preserve">Overall </w:t>
      </w:r>
      <w:r w:rsidR="00C03048" w:rsidRPr="00D27BF1">
        <w:t>visual analogue scale (</w:t>
      </w:r>
      <w:r w:rsidRPr="00D27BF1">
        <w:t>VAS</w:t>
      </w:r>
      <w:r w:rsidR="00C03048" w:rsidRPr="00D27BF1">
        <w:t>)</w:t>
      </w:r>
      <w:r w:rsidRPr="00D27BF1">
        <w:t xml:space="preserve"> symptom score (&gt;7)</w:t>
      </w:r>
      <w:r w:rsidR="00BE1EA6" w:rsidRPr="00D27BF1">
        <w:t>.</w:t>
      </w:r>
      <w:r w:rsidR="00F46A9C" w:rsidRPr="00D27BF1">
        <w:t xml:space="preserve"> </w:t>
      </w:r>
      <w:r w:rsidR="00BE1EA6" w:rsidRPr="00D27BF1">
        <w:t>Overall VAS score not assessed under requested restriction</w:t>
      </w:r>
      <w:r w:rsidR="003A1319">
        <w:t>. The PBAC considered inclusion of overall VAS score in the restriction may be appropriate</w:t>
      </w:r>
      <w:r w:rsidRPr="00D27BF1">
        <w:t xml:space="preserve">; and </w:t>
      </w:r>
    </w:p>
    <w:p w14:paraId="19AB6C4C" w14:textId="77777777" w:rsidR="00FB3E74" w:rsidRPr="0057459B" w:rsidRDefault="002F0269" w:rsidP="00FB3E74">
      <w:pPr>
        <w:pStyle w:val="Bulletpoints"/>
      </w:pPr>
      <w:r w:rsidRPr="00D27BF1">
        <w:t xml:space="preserve">Have both </w:t>
      </w:r>
      <w:r w:rsidR="00C43183" w:rsidRPr="00D27BF1">
        <w:t xml:space="preserve">ENP score </w:t>
      </w:r>
      <w:r w:rsidR="00C43183" w:rsidRPr="00D27BF1">
        <w:rPr>
          <w:rFonts w:cs="Calibri"/>
        </w:rPr>
        <w:t>≥</w:t>
      </w:r>
      <w:r w:rsidR="00C43183" w:rsidRPr="00D27BF1">
        <w:t xml:space="preserve">5 and </w:t>
      </w:r>
      <w:r w:rsidR="00510F26" w:rsidRPr="00D27BF1">
        <w:t>NO-VAS</w:t>
      </w:r>
      <w:r w:rsidR="00626012" w:rsidRPr="00D27BF1">
        <w:t xml:space="preserve"> score</w:t>
      </w:r>
      <w:r w:rsidRPr="00D27BF1">
        <w:t xml:space="preserve"> </w:t>
      </w:r>
      <w:r w:rsidR="00C43183" w:rsidRPr="00D27BF1">
        <w:t xml:space="preserve">&gt;5. The requested restriction required only satisfying the requirements from </w:t>
      </w:r>
      <w:r w:rsidRPr="00D27BF1">
        <w:t xml:space="preserve">at least </w:t>
      </w:r>
      <w:r w:rsidR="00C43183" w:rsidRPr="00D27BF1">
        <w:t>one of the two instruments</w:t>
      </w:r>
      <w:r w:rsidR="00657C51" w:rsidRPr="00D27BF1">
        <w:t xml:space="preserve">. </w:t>
      </w:r>
      <w:r w:rsidR="0031467F" w:rsidRPr="0057459B">
        <w:t xml:space="preserve">The ESC considered that the need for ongoing treatment should not be restricted </w:t>
      </w:r>
      <w:r w:rsidR="00657C51" w:rsidRPr="0057459B">
        <w:t>to patients satisfying the requirem</w:t>
      </w:r>
      <w:r w:rsidR="00973F4C" w:rsidRPr="0057459B">
        <w:t xml:space="preserve">ents of both instruments as </w:t>
      </w:r>
      <w:r w:rsidR="0031467F" w:rsidRPr="0057459B">
        <w:t>symptom</w:t>
      </w:r>
      <w:r w:rsidR="00EC63AB" w:rsidRPr="0057459B">
        <w:t>atic</w:t>
      </w:r>
      <w:r w:rsidR="0031467F" w:rsidRPr="0057459B">
        <w:t xml:space="preserve"> improvement can occur without a change in the size of </w:t>
      </w:r>
      <w:r w:rsidR="00657C51" w:rsidRPr="0057459B">
        <w:t>NPs</w:t>
      </w:r>
      <w:r w:rsidR="0031467F" w:rsidRPr="0057459B">
        <w:t xml:space="preserve">. </w:t>
      </w:r>
    </w:p>
    <w:p w14:paraId="60667207" w14:textId="77777777" w:rsidR="00C17EDC" w:rsidRPr="00D27BF1" w:rsidRDefault="00657C51" w:rsidP="00EC63AB">
      <w:pPr>
        <w:pStyle w:val="ListParagraph"/>
        <w:widowControl/>
        <w:rPr>
          <w:i/>
        </w:rPr>
      </w:pPr>
      <w:r w:rsidRPr="00D27BF1">
        <w:t>T</w:t>
      </w:r>
      <w:r w:rsidR="00C43183" w:rsidRPr="00D27BF1">
        <w:t xml:space="preserve">he requested restriction’s criteria </w:t>
      </w:r>
      <w:r w:rsidR="0073164A" w:rsidRPr="00D27BF1">
        <w:t xml:space="preserve">which required </w:t>
      </w:r>
      <w:r w:rsidR="00C43183" w:rsidRPr="00D27BF1">
        <w:t xml:space="preserve">previous treatment with OCS (unless contradicted or not tolerated) and </w:t>
      </w:r>
      <w:r w:rsidR="0073164A" w:rsidRPr="00D27BF1">
        <w:t xml:space="preserve">a </w:t>
      </w:r>
      <w:r w:rsidR="00C43183" w:rsidRPr="00D27BF1">
        <w:t xml:space="preserve">BEC count </w:t>
      </w:r>
      <w:r w:rsidR="0073164A" w:rsidRPr="00D27BF1">
        <w:t xml:space="preserve">of ≥150 cells/µL </w:t>
      </w:r>
      <w:r w:rsidR="00C43183" w:rsidRPr="00D27BF1">
        <w:t>were narrower than the eligibility criteria</w:t>
      </w:r>
      <w:r w:rsidR="00F46A9C" w:rsidRPr="00D27BF1">
        <w:t xml:space="preserve"> in SYNAPSE</w:t>
      </w:r>
      <w:r w:rsidR="00C03048" w:rsidRPr="00D27BF1">
        <w:t xml:space="preserve">. </w:t>
      </w:r>
    </w:p>
    <w:p w14:paraId="55316F40" w14:textId="77777777" w:rsidR="00FB3E74" w:rsidRPr="00D27BF1" w:rsidRDefault="00FB3E74" w:rsidP="00B313EF">
      <w:pPr>
        <w:pStyle w:val="ListParagraph"/>
        <w:widowControl/>
        <w:numPr>
          <w:ilvl w:val="1"/>
          <w:numId w:val="2"/>
        </w:numPr>
        <w:spacing w:after="0"/>
      </w:pPr>
      <w:r w:rsidRPr="00D27BF1">
        <w:t>The requested restriction was</w:t>
      </w:r>
      <w:r w:rsidR="00BE1EA6" w:rsidRPr="00D27BF1">
        <w:t xml:space="preserve"> also</w:t>
      </w:r>
      <w:r w:rsidRPr="00D27BF1">
        <w:t xml:space="preserve"> narrower than the indication recommended by the TGA evaluator (see</w:t>
      </w:r>
      <w:r w:rsidR="008F48D2" w:rsidRPr="00D27BF1">
        <w:t xml:space="preserve"> paragraph</w:t>
      </w:r>
      <w:r w:rsidR="001C6D7A" w:rsidRPr="00D27BF1">
        <w:t xml:space="preserve"> 2.3</w:t>
      </w:r>
      <w:r w:rsidRPr="00D27BF1">
        <w:t>), which did not restrict treatment with mepolizumab to patients:</w:t>
      </w:r>
    </w:p>
    <w:p w14:paraId="6485DBFD" w14:textId="77777777" w:rsidR="00FB3E74" w:rsidRPr="00D27BF1" w:rsidRDefault="00FB3E74" w:rsidP="00FB3E74">
      <w:pPr>
        <w:pStyle w:val="Bulletpoints"/>
      </w:pPr>
      <w:r w:rsidRPr="00D27BF1">
        <w:t xml:space="preserve">Who have received at least one previous surgery for the removal of nasal polyps (unless patient is not suitable for surgery); </w:t>
      </w:r>
    </w:p>
    <w:p w14:paraId="7E556EC5" w14:textId="77777777" w:rsidR="00FB3E74" w:rsidRPr="00D27BF1" w:rsidRDefault="00FB3E74" w:rsidP="00FB3E74">
      <w:pPr>
        <w:pStyle w:val="Bulletpoints"/>
      </w:pPr>
      <w:r w:rsidRPr="00D27BF1">
        <w:t>Who have received treatment with OCS in the past 12 months (unless contraindicated or not tolerated); or</w:t>
      </w:r>
    </w:p>
    <w:p w14:paraId="2E87710E" w14:textId="77777777" w:rsidR="00FB3E74" w:rsidRPr="00D27BF1" w:rsidRDefault="00FB3E74" w:rsidP="00FB3E74">
      <w:pPr>
        <w:pStyle w:val="Bulletpoints"/>
      </w:pPr>
      <w:r w:rsidRPr="00D27BF1">
        <w:t xml:space="preserve">With a BEC </w:t>
      </w:r>
      <w:r w:rsidRPr="00D27BF1">
        <w:rPr>
          <w:rFonts w:cs="Calibri"/>
        </w:rPr>
        <w:t>≥</w:t>
      </w:r>
      <w:r w:rsidRPr="00D27BF1">
        <w:t>150cells/µL in the last 12 months.</w:t>
      </w:r>
    </w:p>
    <w:p w14:paraId="1D08F8BC" w14:textId="5A0206D5" w:rsidR="00B636F0" w:rsidRPr="00D27BF1" w:rsidRDefault="00FB3E74" w:rsidP="00FB3E74">
      <w:pPr>
        <w:pStyle w:val="ListParagraph"/>
        <w:widowControl/>
      </w:pPr>
      <w:r w:rsidRPr="00D27BF1">
        <w:t>These criteria in the requested PBS restriction were aligned to the circumstances of use and efficacy results of subgroup analyses from the SYNAPSE trial. While the requested restriction allows access for patients deemed not suitable for surgery, it was noted that all patients in SYNAPSE must have had at least one surgery for the removal of NP within the previous 10 years. Thus, the efficacy and cost-effectiveness of mepolizumab in patients who were unsuitable for surgery was unknown.</w:t>
      </w:r>
      <w:r w:rsidR="00F64299">
        <w:t xml:space="preserve"> The pre-PBAC response argued that removing access to patients deemed to be unsuitable for prior surgery may create </w:t>
      </w:r>
      <w:r w:rsidR="00B537D7">
        <w:t>an inequity in access for this small subset of CRSwNP patients. The PBAC acknowledged that alternative treatment options are limited for patients considered unsuitable for surgery.</w:t>
      </w:r>
    </w:p>
    <w:p w14:paraId="7C3B052E" w14:textId="0FE0343D" w:rsidR="00FB3E74" w:rsidRPr="00D27BF1" w:rsidRDefault="00FB3E74" w:rsidP="00B313EF">
      <w:pPr>
        <w:pStyle w:val="ListParagraph"/>
        <w:widowControl/>
        <w:numPr>
          <w:ilvl w:val="1"/>
          <w:numId w:val="2"/>
        </w:numPr>
      </w:pPr>
      <w:r w:rsidRPr="00D27BF1">
        <w:t>The requested restriction also allowed for patients who could not use INCS or OCS due to contraindications or intolerances to be eligible for mepolizumab. This was inconsistent to SYNAPSE where all patients were treated with INCS for at least 8</w:t>
      </w:r>
      <w:r w:rsidR="000E08E5">
        <w:t> </w:t>
      </w:r>
      <w:r w:rsidRPr="00D27BF1">
        <w:t xml:space="preserve">weeks prior to screening and throughout the trial duration. </w:t>
      </w:r>
      <w:r w:rsidR="00BE1EA6" w:rsidRPr="00D27BF1">
        <w:t>T</w:t>
      </w:r>
      <w:r w:rsidRPr="00D27BF1">
        <w:t xml:space="preserve">he use of OCS was permitted in SYNAPSE and approximately 50% of patients had ≥1 course of OCS in previous 12 months. The requested restriction was likely consistent with the proposed TGA indication which specified “inadequately controlled CRSwNP”, but was broader than the restriction proposed by the TGA evaluator who suggested restricting use to patients with “an inadequate response to intranasal corticosteroids”. </w:t>
      </w:r>
    </w:p>
    <w:p w14:paraId="7F42C173" w14:textId="3394B9D1" w:rsidR="00EC63AB" w:rsidRDefault="00EC63AB" w:rsidP="00B313EF">
      <w:pPr>
        <w:pStyle w:val="ListParagraph"/>
        <w:widowControl/>
        <w:numPr>
          <w:ilvl w:val="1"/>
          <w:numId w:val="2"/>
        </w:numPr>
      </w:pPr>
      <w:r w:rsidRPr="0057459B">
        <w:t xml:space="preserve">The PSCR stated that while there </w:t>
      </w:r>
      <w:r w:rsidRPr="0057459B">
        <w:rPr>
          <w:iCs/>
          <w:lang w:eastAsia="en-AU"/>
        </w:rPr>
        <w:t>is no consensus on an agreed BEC level at which systemic therapies for CRSwNP are required (Ho 2020)</w:t>
      </w:r>
      <w:r w:rsidR="00B543B7" w:rsidRPr="0057459B">
        <w:rPr>
          <w:rStyle w:val="FootnoteReference"/>
          <w:iCs/>
          <w:lang w:eastAsia="en-AU"/>
        </w:rPr>
        <w:footnoteReference w:id="1"/>
      </w:r>
      <w:r w:rsidRPr="0057459B">
        <w:rPr>
          <w:iCs/>
          <w:lang w:eastAsia="en-AU"/>
        </w:rPr>
        <w:t xml:space="preserve"> there are an increasing number of studies recognising the role of blood/tissue eosinophilia as a marker for abnormal inflammatory state and risk for long term recurrence (McHugh T, Snidvongs K, Xie M &amp; S, 2018)</w:t>
      </w:r>
      <w:r w:rsidR="00B543B7" w:rsidRPr="0057459B">
        <w:rPr>
          <w:rStyle w:val="FootnoteReference"/>
          <w:iCs/>
          <w:lang w:eastAsia="en-AU"/>
        </w:rPr>
        <w:footnoteReference w:id="2"/>
      </w:r>
      <w:r w:rsidRPr="0057459B">
        <w:rPr>
          <w:iCs/>
          <w:lang w:eastAsia="en-AU"/>
        </w:rPr>
        <w:t xml:space="preserve">. The ESC considered that it may be reasonable for a BEC count cut-off to be </w:t>
      </w:r>
      <w:r w:rsidR="00B543B7" w:rsidRPr="0057459B">
        <w:rPr>
          <w:iCs/>
          <w:lang w:eastAsia="en-AU"/>
        </w:rPr>
        <w:t>included</w:t>
      </w:r>
      <w:r w:rsidRPr="0057459B">
        <w:rPr>
          <w:iCs/>
          <w:lang w:eastAsia="en-AU"/>
        </w:rPr>
        <w:t xml:space="preserve"> in the restriction and noted that the BEC threshold is currently set at </w:t>
      </w:r>
      <w:r w:rsidRPr="0057459B">
        <w:t>≥</w:t>
      </w:r>
      <w:r w:rsidRPr="0057459B">
        <w:rPr>
          <w:iCs/>
          <w:lang w:eastAsia="en-AU"/>
        </w:rPr>
        <w:t>300 cells/</w:t>
      </w:r>
      <w:r w:rsidRPr="0057459B">
        <w:t xml:space="preserve">µL for patients with uncontrolled severe asthma unless they have been receiving treatment with OCS (reduces to ≥150 </w:t>
      </w:r>
      <w:r w:rsidRPr="0057459B">
        <w:rPr>
          <w:iCs/>
          <w:lang w:eastAsia="en-AU"/>
        </w:rPr>
        <w:t>cells/</w:t>
      </w:r>
      <w:r w:rsidRPr="0057459B">
        <w:t>µL while</w:t>
      </w:r>
      <w:r w:rsidR="00482707" w:rsidRPr="0057459B">
        <w:t xml:space="preserve"> receiving treatment with OCS).</w:t>
      </w:r>
      <w:r w:rsidRPr="0057459B">
        <w:t xml:space="preserve"> </w:t>
      </w:r>
      <w:r w:rsidR="00A0797C" w:rsidRPr="0057459B">
        <w:t>The ESC noted</w:t>
      </w:r>
      <w:r w:rsidRPr="0057459B">
        <w:t xml:space="preserve"> that</w:t>
      </w:r>
      <w:r w:rsidR="00B543B7" w:rsidRPr="0057459B">
        <w:t xml:space="preserve"> </w:t>
      </w:r>
      <w:r w:rsidR="00A0797C" w:rsidRPr="0057459B">
        <w:t xml:space="preserve">OCS use was not an </w:t>
      </w:r>
      <w:r w:rsidR="00737FCA" w:rsidRPr="0057459B">
        <w:t>inclusion criterion</w:t>
      </w:r>
      <w:r w:rsidR="00A0797C" w:rsidRPr="0057459B">
        <w:t xml:space="preserve"> for SYNAPSE and </w:t>
      </w:r>
      <w:r w:rsidR="00B543B7" w:rsidRPr="0057459B">
        <w:t xml:space="preserve">not all patients received </w:t>
      </w:r>
      <w:r w:rsidR="00A0797C" w:rsidRPr="0057459B">
        <w:t>a course of OCS</w:t>
      </w:r>
      <w:r w:rsidRPr="0057459B">
        <w:t xml:space="preserve"> </w:t>
      </w:r>
      <w:r w:rsidR="00A0797C" w:rsidRPr="0057459B">
        <w:t>during the trial</w:t>
      </w:r>
      <w:r w:rsidR="00482707" w:rsidRPr="0057459B">
        <w:t xml:space="preserve"> (see paragraph 3.</w:t>
      </w:r>
      <w:r w:rsidR="00741348">
        <w:t>7</w:t>
      </w:r>
      <w:r w:rsidR="00482707" w:rsidRPr="0057459B">
        <w:t>)</w:t>
      </w:r>
      <w:r w:rsidR="00A0797C" w:rsidRPr="0057459B">
        <w:t xml:space="preserve">. As such, the ESC considered </w:t>
      </w:r>
      <w:r w:rsidRPr="0057459B">
        <w:t>the requirement for optimised NP therapy to include treatment with OCS in the past 12 months may not be reasonable and could lead to inappropriate use to meet the restriction criteria.</w:t>
      </w:r>
    </w:p>
    <w:p w14:paraId="3F044FD7" w14:textId="77777777" w:rsidR="001C4799" w:rsidRPr="001C4799" w:rsidRDefault="001C4799" w:rsidP="001C4799">
      <w:pPr>
        <w:pStyle w:val="ListParagraph"/>
        <w:widowControl/>
        <w:rPr>
          <w:i/>
        </w:rPr>
      </w:pPr>
      <w:r w:rsidRPr="001C4799">
        <w:rPr>
          <w:i/>
        </w:rPr>
        <w:t>For more detail on PBAC’s view, see section 7 PBAC outcome.</w:t>
      </w:r>
    </w:p>
    <w:p w14:paraId="2377B6B6" w14:textId="77777777" w:rsidR="00A0797C" w:rsidRPr="00D27BF1" w:rsidRDefault="00971F7E" w:rsidP="00BD6CF3">
      <w:pPr>
        <w:pStyle w:val="PBACHeading1"/>
      </w:pPr>
      <w:bookmarkStart w:id="5" w:name="_Toc82528835"/>
      <w:r w:rsidRPr="00D27BF1">
        <w:t>Population and disease</w:t>
      </w:r>
      <w:bookmarkEnd w:id="5"/>
    </w:p>
    <w:p w14:paraId="6D9041A7" w14:textId="77777777" w:rsidR="000B1B05" w:rsidRPr="00D27BF1" w:rsidRDefault="000B1B05" w:rsidP="00B313EF">
      <w:pPr>
        <w:pStyle w:val="ListParagraph"/>
        <w:widowControl/>
        <w:numPr>
          <w:ilvl w:val="1"/>
          <w:numId w:val="2"/>
        </w:numPr>
      </w:pPr>
      <w:r w:rsidRPr="00D27BF1">
        <w:t xml:space="preserve">NP are chronic inflammatory outgrowths of the paranasal sinus mucosa (commonly the ethmoid sinuses) that present bilaterally along the middle and superior meatus and occur primarily in adults. NP greatly impact a patient’s </w:t>
      </w:r>
      <w:r w:rsidR="002151F5" w:rsidRPr="00D27BF1">
        <w:t>health related quality of life (</w:t>
      </w:r>
      <w:r w:rsidRPr="00D27BF1">
        <w:t>HRQoL</w:t>
      </w:r>
      <w:r w:rsidR="002151F5" w:rsidRPr="00D27BF1">
        <w:t>)</w:t>
      </w:r>
      <w:r w:rsidRPr="00D27BF1">
        <w:t xml:space="preserve"> through increases in nasal obstruction, loss of sense of smell, facial pain, facial pressure and nasal discharge; and the persistence of these symptoms leads to CRS. NP develop in the setting of chronic paranasal sinus inflammation and are therefore associated with CRS. In the last decade there has been a change in terminology in the medical literature and guidelines which acknowledges NP as a subtype of CRS (Hopkins, 2019) and the treatment algorithms for CRS depend mainly on the presence or absence of NP. While the pathogenesis of CRSwNP is not completely understood amidst significant microscopic and macroscopic disease heterogeneity, type 2 inflammation and eosinophils are thought to play a role (Schleimer 2017).</w:t>
      </w:r>
    </w:p>
    <w:p w14:paraId="52339DCD" w14:textId="77777777" w:rsidR="00A14C5C" w:rsidRPr="00D27BF1" w:rsidRDefault="00395F75" w:rsidP="00B313EF">
      <w:pPr>
        <w:pStyle w:val="ListParagraph"/>
        <w:widowControl/>
        <w:numPr>
          <w:ilvl w:val="1"/>
          <w:numId w:val="2"/>
        </w:numPr>
      </w:pPr>
      <w:r w:rsidRPr="00D27BF1">
        <w:t>According to the European Position Paper on Rhinosinusitis and NP (EPOS) (Fokkens 2020) and consistent with the 2007 American Academy of Otolaryngology guideline (Rosenfeld 2007) the diagnosis of CRS (with or without NP) in adults was defined as:</w:t>
      </w:r>
      <w:r w:rsidR="00A14C5C" w:rsidRPr="00D27BF1">
        <w:t xml:space="preserve"> </w:t>
      </w:r>
    </w:p>
    <w:p w14:paraId="21399E50" w14:textId="77777777" w:rsidR="00395F75" w:rsidRPr="00D27BF1" w:rsidRDefault="00395F75" w:rsidP="0036761E">
      <w:pPr>
        <w:pStyle w:val="ListParagraph"/>
        <w:widowControl/>
        <w:spacing w:after="0"/>
      </w:pPr>
      <w:r w:rsidRPr="00D27BF1">
        <w:t>Inflammation of the nose and the paranasal sinuses characterized by two or more symptoms, one of which should be either nasal blockage/obstruction/congestion or nasal discharge (anterior/posterior nasal drip):</w:t>
      </w:r>
    </w:p>
    <w:p w14:paraId="3A7B1890" w14:textId="77777777" w:rsidR="00395F75" w:rsidRPr="00D27BF1" w:rsidRDefault="00395F75" w:rsidP="0036761E">
      <w:pPr>
        <w:pStyle w:val="Bulletpoints"/>
      </w:pPr>
      <w:r w:rsidRPr="00D27BF1">
        <w:t>± facial pain/pressure</w:t>
      </w:r>
    </w:p>
    <w:p w14:paraId="1F6A1A51" w14:textId="77777777" w:rsidR="00395F75" w:rsidRPr="00D27BF1" w:rsidRDefault="00395F75" w:rsidP="0036761E">
      <w:pPr>
        <w:pStyle w:val="Bulletpoints"/>
      </w:pPr>
      <w:r w:rsidRPr="00D27BF1">
        <w:t>± reduction or loss of smell</w:t>
      </w:r>
    </w:p>
    <w:p w14:paraId="44804C46" w14:textId="77777777" w:rsidR="0036761E" w:rsidRPr="00D27BF1" w:rsidRDefault="00395F75" w:rsidP="002833AC">
      <w:pPr>
        <w:pStyle w:val="Bulletpoints"/>
        <w:numPr>
          <w:ilvl w:val="0"/>
          <w:numId w:val="0"/>
        </w:numPr>
        <w:ind w:left="720"/>
      </w:pPr>
      <w:r w:rsidRPr="00D27BF1">
        <w:t>for ≥12 weeks and either</w:t>
      </w:r>
    </w:p>
    <w:p w14:paraId="08FAF1C6" w14:textId="77777777" w:rsidR="0036761E" w:rsidRPr="00D27BF1" w:rsidRDefault="00395F75" w:rsidP="00B313EF">
      <w:pPr>
        <w:pStyle w:val="Bulletpoints"/>
        <w:numPr>
          <w:ilvl w:val="1"/>
          <w:numId w:val="3"/>
        </w:numPr>
      </w:pPr>
      <w:r w:rsidRPr="00D27BF1">
        <w:t>endoscopic signs of:</w:t>
      </w:r>
    </w:p>
    <w:p w14:paraId="1E19F254" w14:textId="77777777" w:rsidR="0036761E" w:rsidRPr="00D27BF1" w:rsidRDefault="00395F75" w:rsidP="00B313EF">
      <w:pPr>
        <w:pStyle w:val="Bulletpoints"/>
        <w:numPr>
          <w:ilvl w:val="2"/>
          <w:numId w:val="3"/>
        </w:numPr>
      </w:pPr>
      <w:r w:rsidRPr="00D27BF1">
        <w:t>NP and/or</w:t>
      </w:r>
    </w:p>
    <w:p w14:paraId="6472393C" w14:textId="77777777" w:rsidR="0036761E" w:rsidRPr="00D27BF1" w:rsidRDefault="00395F75" w:rsidP="00B313EF">
      <w:pPr>
        <w:pStyle w:val="Bulletpoints"/>
        <w:numPr>
          <w:ilvl w:val="2"/>
          <w:numId w:val="3"/>
        </w:numPr>
      </w:pPr>
      <w:r w:rsidRPr="00D27BF1">
        <w:t>mucopurulent discharge primarily from middle meatus and/or</w:t>
      </w:r>
    </w:p>
    <w:p w14:paraId="0D0A9FE5" w14:textId="77777777" w:rsidR="0036761E" w:rsidRPr="00D27BF1" w:rsidRDefault="00395F75" w:rsidP="00B313EF">
      <w:pPr>
        <w:pStyle w:val="Bulletpoints"/>
        <w:numPr>
          <w:ilvl w:val="2"/>
          <w:numId w:val="3"/>
        </w:numPr>
      </w:pPr>
      <w:r w:rsidRPr="00D27BF1">
        <w:t>oedema/mucosal obstruction primarily in middle meatus and/or</w:t>
      </w:r>
    </w:p>
    <w:p w14:paraId="6BA4D9A6" w14:textId="77777777" w:rsidR="0036761E" w:rsidRPr="00D27BF1" w:rsidRDefault="00395F75" w:rsidP="00B313EF">
      <w:pPr>
        <w:pStyle w:val="Bulletpoints"/>
        <w:numPr>
          <w:ilvl w:val="1"/>
          <w:numId w:val="3"/>
        </w:numPr>
      </w:pPr>
      <w:r w:rsidRPr="00D27BF1">
        <w:t>computerised tomography (CT) changes:</w:t>
      </w:r>
    </w:p>
    <w:p w14:paraId="2E3E9DC2" w14:textId="6B90A26D" w:rsidR="00D46A99" w:rsidRPr="00D27BF1" w:rsidRDefault="00395F75" w:rsidP="00B313EF">
      <w:pPr>
        <w:pStyle w:val="Bulletpoints"/>
        <w:numPr>
          <w:ilvl w:val="2"/>
          <w:numId w:val="3"/>
        </w:numPr>
        <w:spacing w:after="240"/>
      </w:pPr>
      <w:r w:rsidRPr="00D27BF1">
        <w:t>mucosal changes within the ostiomeatal complex and/or sinuses</w:t>
      </w:r>
      <w:r w:rsidR="00CF2E6A">
        <w:t xml:space="preserve">. </w:t>
      </w:r>
    </w:p>
    <w:p w14:paraId="3336D70C" w14:textId="77777777" w:rsidR="00DF0CC4" w:rsidRPr="00D27BF1" w:rsidRDefault="00A538BB" w:rsidP="00B313EF">
      <w:pPr>
        <w:pStyle w:val="ListParagraph"/>
        <w:widowControl/>
        <w:numPr>
          <w:ilvl w:val="1"/>
          <w:numId w:val="2"/>
        </w:numPr>
      </w:pPr>
      <w:r w:rsidRPr="00D27BF1">
        <w:t>It was noted that severe CRSwNP may be defined differently depending on the guidelines used. A comparison table was constructed during the evaluation to highlight th</w:t>
      </w:r>
      <w:r w:rsidR="001371F7" w:rsidRPr="00D27BF1">
        <w:t>ese differences (</w:t>
      </w:r>
      <w:r w:rsidR="0020510D" w:rsidRPr="0020510D">
        <w:t>Table 2</w:t>
      </w:r>
      <w:r w:rsidRPr="00D27BF1">
        <w:t>).</w:t>
      </w:r>
    </w:p>
    <w:p w14:paraId="59E4AA58" w14:textId="77777777" w:rsidR="00B90316" w:rsidRPr="00D27BF1" w:rsidRDefault="001371F7" w:rsidP="00A8233D">
      <w:pPr>
        <w:keepNext/>
        <w:keepLines/>
        <w:rPr>
          <w:rStyle w:val="CommentReference"/>
          <w:b w:val="0"/>
        </w:rPr>
      </w:pPr>
      <w:bookmarkStart w:id="6" w:name="_Ref80539729"/>
      <w:r w:rsidRPr="00D27BF1">
        <w:rPr>
          <w:rStyle w:val="CommentReference"/>
        </w:rPr>
        <w:t xml:space="preserve">Table </w:t>
      </w:r>
      <w:r w:rsidR="0020510D">
        <w:rPr>
          <w:rStyle w:val="CommentReference"/>
          <w:noProof/>
        </w:rPr>
        <w:t>2</w:t>
      </w:r>
      <w:bookmarkEnd w:id="6"/>
      <w:r w:rsidR="00B90316" w:rsidRPr="00D27BF1">
        <w:rPr>
          <w:rStyle w:val="CommentReference"/>
        </w:rPr>
        <w:t>: Thresholds for classification of severe</w:t>
      </w:r>
      <w:r w:rsidR="002151F5" w:rsidRPr="00D27BF1">
        <w:rPr>
          <w:rStyle w:val="CommentReference"/>
        </w:rPr>
        <w:t xml:space="preserve"> CRSwNP</w:t>
      </w:r>
      <w:r w:rsidR="00B90316" w:rsidRPr="00D27BF1">
        <w:rPr>
          <w:rStyle w:val="CommentReference"/>
        </w:rPr>
        <w:t xml:space="preserve"> </w:t>
      </w:r>
    </w:p>
    <w:tbl>
      <w:tblPr>
        <w:tblStyle w:val="TableGrid"/>
        <w:tblW w:w="0" w:type="auto"/>
        <w:tblLook w:val="04A0" w:firstRow="1" w:lastRow="0" w:firstColumn="1" w:lastColumn="0" w:noHBand="0" w:noVBand="1"/>
        <w:tblCaption w:val="Table 2: Thresholds for classification of severe CRSwNP "/>
      </w:tblPr>
      <w:tblGrid>
        <w:gridCol w:w="2483"/>
        <w:gridCol w:w="2080"/>
        <w:gridCol w:w="1386"/>
        <w:gridCol w:w="1581"/>
        <w:gridCol w:w="1487"/>
      </w:tblGrid>
      <w:tr w:rsidR="00B90316" w:rsidRPr="00D27BF1" w14:paraId="2FE97E1F" w14:textId="77777777" w:rsidTr="00AC5AD6">
        <w:trPr>
          <w:tblHeader/>
        </w:trPr>
        <w:tc>
          <w:tcPr>
            <w:tcW w:w="2483" w:type="dxa"/>
            <w:vAlign w:val="center"/>
          </w:tcPr>
          <w:p w14:paraId="3467DAA5" w14:textId="77777777" w:rsidR="00B90316" w:rsidRPr="00D27BF1" w:rsidRDefault="00B90316" w:rsidP="00A8233D">
            <w:pPr>
              <w:pStyle w:val="Tabletext"/>
              <w:keepNext/>
              <w:keepLines/>
              <w:rPr>
                <w:b/>
              </w:rPr>
            </w:pPr>
            <w:r w:rsidRPr="00D27BF1">
              <w:rPr>
                <w:b/>
              </w:rPr>
              <w:t>Instrument (range)</w:t>
            </w:r>
          </w:p>
        </w:tc>
        <w:tc>
          <w:tcPr>
            <w:tcW w:w="2080" w:type="dxa"/>
            <w:vAlign w:val="center"/>
          </w:tcPr>
          <w:p w14:paraId="0F3BBC45" w14:textId="77777777" w:rsidR="00B90316" w:rsidRPr="00D27BF1" w:rsidRDefault="00B90316" w:rsidP="00A8233D">
            <w:pPr>
              <w:pStyle w:val="Tabletext"/>
              <w:keepNext/>
              <w:keepLines/>
              <w:jc w:val="center"/>
              <w:rPr>
                <w:b/>
              </w:rPr>
            </w:pPr>
            <w:r w:rsidRPr="00D27BF1">
              <w:rPr>
                <w:b/>
              </w:rPr>
              <w:t xml:space="preserve">Requested restriction </w:t>
            </w:r>
            <w:r w:rsidRPr="00D27BF1">
              <w:rPr>
                <w:b/>
                <w:vertAlign w:val="superscript"/>
              </w:rPr>
              <w:t>a</w:t>
            </w:r>
          </w:p>
        </w:tc>
        <w:tc>
          <w:tcPr>
            <w:tcW w:w="1386" w:type="dxa"/>
            <w:vAlign w:val="center"/>
          </w:tcPr>
          <w:p w14:paraId="01B24BC2" w14:textId="77777777" w:rsidR="00B90316" w:rsidRPr="00D27BF1" w:rsidRDefault="00B90316" w:rsidP="00A8233D">
            <w:pPr>
              <w:pStyle w:val="Tabletext"/>
              <w:keepNext/>
              <w:keepLines/>
              <w:jc w:val="center"/>
              <w:rPr>
                <w:b/>
              </w:rPr>
            </w:pPr>
            <w:r w:rsidRPr="00D27BF1">
              <w:rPr>
                <w:b/>
              </w:rPr>
              <w:t>EPOS 2020</w:t>
            </w:r>
          </w:p>
        </w:tc>
        <w:tc>
          <w:tcPr>
            <w:tcW w:w="1581" w:type="dxa"/>
            <w:vAlign w:val="center"/>
          </w:tcPr>
          <w:p w14:paraId="3010F6CB" w14:textId="77777777" w:rsidR="00B90316" w:rsidRPr="00D27BF1" w:rsidRDefault="00B90316" w:rsidP="00A8233D">
            <w:pPr>
              <w:pStyle w:val="Tabletext"/>
              <w:keepNext/>
              <w:keepLines/>
              <w:jc w:val="center"/>
              <w:rPr>
                <w:b/>
              </w:rPr>
            </w:pPr>
            <w:r w:rsidRPr="00D27BF1">
              <w:rPr>
                <w:b/>
              </w:rPr>
              <w:t>EUFOREA</w:t>
            </w:r>
            <w:r w:rsidR="002833AC" w:rsidRPr="00D27BF1">
              <w:rPr>
                <w:b/>
              </w:rPr>
              <w:t xml:space="preserve"> 2021</w:t>
            </w:r>
            <w:r w:rsidRPr="00D27BF1">
              <w:rPr>
                <w:b/>
              </w:rPr>
              <w:t xml:space="preserve"> </w:t>
            </w:r>
            <w:r w:rsidRPr="00D27BF1">
              <w:rPr>
                <w:b/>
                <w:vertAlign w:val="superscript"/>
              </w:rPr>
              <w:t>b</w:t>
            </w:r>
          </w:p>
        </w:tc>
        <w:tc>
          <w:tcPr>
            <w:tcW w:w="1487" w:type="dxa"/>
            <w:vAlign w:val="center"/>
          </w:tcPr>
          <w:p w14:paraId="15D88EC3" w14:textId="77777777" w:rsidR="00B90316" w:rsidRPr="00D27BF1" w:rsidRDefault="00B90316" w:rsidP="00A8233D">
            <w:pPr>
              <w:pStyle w:val="Tabletext"/>
              <w:keepNext/>
              <w:keepLines/>
              <w:jc w:val="center"/>
              <w:rPr>
                <w:b/>
                <w:vertAlign w:val="superscript"/>
              </w:rPr>
            </w:pPr>
            <w:r w:rsidRPr="00D27BF1">
              <w:rPr>
                <w:b/>
              </w:rPr>
              <w:t xml:space="preserve">SYNAPSE trial </w:t>
            </w:r>
            <w:r w:rsidRPr="00D27BF1">
              <w:rPr>
                <w:b/>
                <w:vertAlign w:val="superscript"/>
              </w:rPr>
              <w:t>c</w:t>
            </w:r>
          </w:p>
        </w:tc>
      </w:tr>
      <w:tr w:rsidR="00B90316" w:rsidRPr="00D27BF1" w14:paraId="670D8981" w14:textId="77777777" w:rsidTr="002833AC">
        <w:tc>
          <w:tcPr>
            <w:tcW w:w="2483" w:type="dxa"/>
          </w:tcPr>
          <w:p w14:paraId="2B983657" w14:textId="77777777" w:rsidR="00B90316" w:rsidRPr="00D27BF1" w:rsidRDefault="00B90316" w:rsidP="00A8233D">
            <w:pPr>
              <w:pStyle w:val="Tabletext"/>
              <w:keepNext/>
              <w:keepLines/>
            </w:pPr>
            <w:r w:rsidRPr="00D27BF1">
              <w:t>ENP score (0-8)</w:t>
            </w:r>
          </w:p>
        </w:tc>
        <w:tc>
          <w:tcPr>
            <w:tcW w:w="2080" w:type="dxa"/>
          </w:tcPr>
          <w:p w14:paraId="09698199" w14:textId="77777777" w:rsidR="00B90316" w:rsidRPr="00D27BF1" w:rsidRDefault="00B90316" w:rsidP="00A8233D">
            <w:pPr>
              <w:pStyle w:val="Tabletext"/>
              <w:keepNext/>
              <w:keepLines/>
              <w:jc w:val="center"/>
            </w:pPr>
            <w:r w:rsidRPr="00D27BF1">
              <w:t>≥5</w:t>
            </w:r>
          </w:p>
        </w:tc>
        <w:tc>
          <w:tcPr>
            <w:tcW w:w="1386" w:type="dxa"/>
          </w:tcPr>
          <w:p w14:paraId="2F9D83D4" w14:textId="77777777" w:rsidR="00B90316" w:rsidRPr="00D27BF1" w:rsidRDefault="00B90316" w:rsidP="00A8233D">
            <w:pPr>
              <w:pStyle w:val="Tabletext"/>
              <w:keepNext/>
              <w:keepLines/>
              <w:jc w:val="center"/>
            </w:pPr>
            <w:r w:rsidRPr="00D27BF1">
              <w:t>NS</w:t>
            </w:r>
          </w:p>
        </w:tc>
        <w:tc>
          <w:tcPr>
            <w:tcW w:w="1581" w:type="dxa"/>
          </w:tcPr>
          <w:p w14:paraId="48D72D2A" w14:textId="77777777" w:rsidR="00B90316" w:rsidRPr="00D27BF1" w:rsidRDefault="00B90316" w:rsidP="00A8233D">
            <w:pPr>
              <w:pStyle w:val="Tabletext"/>
              <w:keepNext/>
              <w:keepLines/>
              <w:jc w:val="center"/>
            </w:pPr>
            <w:r w:rsidRPr="00D27BF1">
              <w:t>&gt;4</w:t>
            </w:r>
          </w:p>
        </w:tc>
        <w:tc>
          <w:tcPr>
            <w:tcW w:w="1487" w:type="dxa"/>
          </w:tcPr>
          <w:p w14:paraId="01EC733D" w14:textId="77777777" w:rsidR="00B90316" w:rsidRPr="00D27BF1" w:rsidRDefault="00B90316" w:rsidP="00A8233D">
            <w:pPr>
              <w:pStyle w:val="Tabletext"/>
              <w:keepNext/>
              <w:keepLines/>
              <w:jc w:val="center"/>
            </w:pPr>
            <w:r w:rsidRPr="00D27BF1">
              <w:t>≥5</w:t>
            </w:r>
          </w:p>
        </w:tc>
      </w:tr>
      <w:tr w:rsidR="00B90316" w:rsidRPr="00D27BF1" w14:paraId="79C190E3" w14:textId="77777777" w:rsidTr="002833AC">
        <w:tc>
          <w:tcPr>
            <w:tcW w:w="2483" w:type="dxa"/>
          </w:tcPr>
          <w:p w14:paraId="0D61095D" w14:textId="77777777" w:rsidR="00B90316" w:rsidRPr="00D27BF1" w:rsidRDefault="00B90316" w:rsidP="00A8233D">
            <w:pPr>
              <w:pStyle w:val="Tabletext"/>
              <w:keepNext/>
              <w:keepLines/>
            </w:pPr>
            <w:r w:rsidRPr="00D27BF1">
              <w:t>NO-VAS score (0-10)</w:t>
            </w:r>
          </w:p>
        </w:tc>
        <w:tc>
          <w:tcPr>
            <w:tcW w:w="2080" w:type="dxa"/>
          </w:tcPr>
          <w:p w14:paraId="5EB0E3B0" w14:textId="77777777" w:rsidR="00B90316" w:rsidRPr="00D27BF1" w:rsidRDefault="00B90316" w:rsidP="00A8233D">
            <w:pPr>
              <w:pStyle w:val="Tabletext"/>
              <w:keepNext/>
              <w:keepLines/>
              <w:jc w:val="center"/>
            </w:pPr>
            <w:r w:rsidRPr="00D27BF1">
              <w:t>&gt;5</w:t>
            </w:r>
          </w:p>
        </w:tc>
        <w:tc>
          <w:tcPr>
            <w:tcW w:w="1386" w:type="dxa"/>
          </w:tcPr>
          <w:p w14:paraId="431BCBE7" w14:textId="77777777" w:rsidR="00B90316" w:rsidRPr="00D27BF1" w:rsidRDefault="00B90316" w:rsidP="00A8233D">
            <w:pPr>
              <w:pStyle w:val="Tabletext"/>
              <w:keepNext/>
              <w:keepLines/>
              <w:jc w:val="center"/>
            </w:pPr>
            <w:r w:rsidRPr="00D27BF1">
              <w:t>NS</w:t>
            </w:r>
          </w:p>
        </w:tc>
        <w:tc>
          <w:tcPr>
            <w:tcW w:w="1581" w:type="dxa"/>
          </w:tcPr>
          <w:p w14:paraId="1C6A2527" w14:textId="77777777" w:rsidR="00B90316" w:rsidRPr="00D27BF1" w:rsidRDefault="00B90316" w:rsidP="00A8233D">
            <w:pPr>
              <w:pStyle w:val="Tabletext"/>
              <w:keepNext/>
              <w:keepLines/>
              <w:jc w:val="center"/>
            </w:pPr>
            <w:r w:rsidRPr="00D27BF1">
              <w:t>NS</w:t>
            </w:r>
          </w:p>
        </w:tc>
        <w:tc>
          <w:tcPr>
            <w:tcW w:w="1487" w:type="dxa"/>
          </w:tcPr>
          <w:p w14:paraId="2F20008B" w14:textId="77777777" w:rsidR="00B90316" w:rsidRPr="00D27BF1" w:rsidRDefault="00B90316" w:rsidP="00A8233D">
            <w:pPr>
              <w:pStyle w:val="Tabletext"/>
              <w:keepNext/>
              <w:keepLines/>
              <w:jc w:val="center"/>
            </w:pPr>
            <w:r w:rsidRPr="00D27BF1">
              <w:t>&gt;5</w:t>
            </w:r>
          </w:p>
        </w:tc>
      </w:tr>
      <w:tr w:rsidR="00B90316" w:rsidRPr="00D27BF1" w14:paraId="1BD6C950" w14:textId="77777777" w:rsidTr="002833AC">
        <w:tc>
          <w:tcPr>
            <w:tcW w:w="2483" w:type="dxa"/>
          </w:tcPr>
          <w:p w14:paraId="11E03DBE" w14:textId="77777777" w:rsidR="00B90316" w:rsidRPr="00D27BF1" w:rsidRDefault="00B90316" w:rsidP="00A8233D">
            <w:pPr>
              <w:pStyle w:val="Tabletext"/>
              <w:keepNext/>
              <w:keepLines/>
            </w:pPr>
            <w:r w:rsidRPr="00D27BF1">
              <w:t>Overall symptom VAS (0-10)</w:t>
            </w:r>
          </w:p>
        </w:tc>
        <w:tc>
          <w:tcPr>
            <w:tcW w:w="2080" w:type="dxa"/>
          </w:tcPr>
          <w:p w14:paraId="62AD5D71" w14:textId="77777777" w:rsidR="00B90316" w:rsidRPr="00D27BF1" w:rsidRDefault="00B90316" w:rsidP="00A8233D">
            <w:pPr>
              <w:pStyle w:val="Tabletext"/>
              <w:keepNext/>
              <w:keepLines/>
              <w:jc w:val="center"/>
            </w:pPr>
            <w:r w:rsidRPr="00D27BF1">
              <w:t>NS</w:t>
            </w:r>
          </w:p>
        </w:tc>
        <w:tc>
          <w:tcPr>
            <w:tcW w:w="1386" w:type="dxa"/>
          </w:tcPr>
          <w:p w14:paraId="2FE69377" w14:textId="77777777" w:rsidR="00B90316" w:rsidRPr="00D27BF1" w:rsidRDefault="00B90316" w:rsidP="00A8233D">
            <w:pPr>
              <w:pStyle w:val="Tabletext"/>
              <w:keepNext/>
              <w:keepLines/>
              <w:jc w:val="center"/>
            </w:pPr>
            <w:r w:rsidRPr="00D27BF1">
              <w:t>&gt;7</w:t>
            </w:r>
          </w:p>
        </w:tc>
        <w:tc>
          <w:tcPr>
            <w:tcW w:w="1581" w:type="dxa"/>
          </w:tcPr>
          <w:p w14:paraId="3BB406C9" w14:textId="77777777" w:rsidR="00B90316" w:rsidRPr="00D27BF1" w:rsidRDefault="00B90316" w:rsidP="00A8233D">
            <w:pPr>
              <w:pStyle w:val="Tabletext"/>
              <w:keepNext/>
              <w:keepLines/>
              <w:jc w:val="center"/>
            </w:pPr>
            <w:r w:rsidRPr="00D27BF1">
              <w:t>≥5</w:t>
            </w:r>
          </w:p>
        </w:tc>
        <w:tc>
          <w:tcPr>
            <w:tcW w:w="1487" w:type="dxa"/>
          </w:tcPr>
          <w:p w14:paraId="04751C99" w14:textId="77777777" w:rsidR="00B90316" w:rsidRPr="00D27BF1" w:rsidRDefault="00B90316" w:rsidP="00A8233D">
            <w:pPr>
              <w:pStyle w:val="Tabletext"/>
              <w:keepNext/>
              <w:keepLines/>
              <w:jc w:val="center"/>
            </w:pPr>
            <w:r w:rsidRPr="00D27BF1">
              <w:t>&gt;7</w:t>
            </w:r>
          </w:p>
        </w:tc>
      </w:tr>
      <w:tr w:rsidR="00B90316" w:rsidRPr="00D27BF1" w14:paraId="5D26B6FC" w14:textId="77777777" w:rsidTr="002833AC">
        <w:tc>
          <w:tcPr>
            <w:tcW w:w="2483" w:type="dxa"/>
          </w:tcPr>
          <w:p w14:paraId="19F5D097" w14:textId="77777777" w:rsidR="00B90316" w:rsidRPr="00D27BF1" w:rsidRDefault="00B90316" w:rsidP="00A8233D">
            <w:pPr>
              <w:pStyle w:val="Tabletext"/>
              <w:keepNext/>
              <w:keepLines/>
            </w:pPr>
            <w:r w:rsidRPr="00D27BF1">
              <w:t>Nasal congestion score (0-3)</w:t>
            </w:r>
          </w:p>
        </w:tc>
        <w:tc>
          <w:tcPr>
            <w:tcW w:w="2080" w:type="dxa"/>
          </w:tcPr>
          <w:p w14:paraId="064FF21F" w14:textId="77777777" w:rsidR="00B90316" w:rsidRPr="00D27BF1" w:rsidRDefault="00B90316" w:rsidP="00A8233D">
            <w:pPr>
              <w:pStyle w:val="Tabletext"/>
              <w:keepNext/>
              <w:keepLines/>
              <w:jc w:val="center"/>
            </w:pPr>
            <w:r w:rsidRPr="00D27BF1">
              <w:t>NS</w:t>
            </w:r>
          </w:p>
        </w:tc>
        <w:tc>
          <w:tcPr>
            <w:tcW w:w="1386" w:type="dxa"/>
          </w:tcPr>
          <w:p w14:paraId="44084AC1" w14:textId="77777777" w:rsidR="00B90316" w:rsidRPr="00D27BF1" w:rsidRDefault="00B90316" w:rsidP="00A8233D">
            <w:pPr>
              <w:pStyle w:val="Tabletext"/>
              <w:keepNext/>
              <w:keepLines/>
              <w:jc w:val="center"/>
            </w:pPr>
            <w:r w:rsidRPr="00D27BF1">
              <w:t>NS</w:t>
            </w:r>
          </w:p>
        </w:tc>
        <w:tc>
          <w:tcPr>
            <w:tcW w:w="1581" w:type="dxa"/>
          </w:tcPr>
          <w:p w14:paraId="0D28B07F" w14:textId="77777777" w:rsidR="00B90316" w:rsidRPr="00D27BF1" w:rsidRDefault="00B90316" w:rsidP="00A8233D">
            <w:pPr>
              <w:pStyle w:val="Tabletext"/>
              <w:keepNext/>
              <w:keepLines/>
              <w:jc w:val="center"/>
            </w:pPr>
            <w:r w:rsidRPr="00D27BF1">
              <w:t>&gt;2</w:t>
            </w:r>
          </w:p>
        </w:tc>
        <w:tc>
          <w:tcPr>
            <w:tcW w:w="1487" w:type="dxa"/>
          </w:tcPr>
          <w:p w14:paraId="6D07BE91" w14:textId="77777777" w:rsidR="00B90316" w:rsidRPr="00D27BF1" w:rsidRDefault="00B90316" w:rsidP="00A8233D">
            <w:pPr>
              <w:pStyle w:val="Tabletext"/>
              <w:keepNext/>
              <w:keepLines/>
              <w:jc w:val="center"/>
            </w:pPr>
            <w:r w:rsidRPr="00D27BF1">
              <w:t>NS</w:t>
            </w:r>
          </w:p>
        </w:tc>
      </w:tr>
      <w:tr w:rsidR="00B90316" w:rsidRPr="00D27BF1" w14:paraId="13EADCBE" w14:textId="77777777" w:rsidTr="002833AC">
        <w:tc>
          <w:tcPr>
            <w:tcW w:w="2483" w:type="dxa"/>
          </w:tcPr>
          <w:p w14:paraId="3146DA8F" w14:textId="77777777" w:rsidR="00B90316" w:rsidRPr="00D27BF1" w:rsidRDefault="00B90316" w:rsidP="00A8233D">
            <w:pPr>
              <w:pStyle w:val="Tabletext"/>
              <w:keepNext/>
              <w:keepLines/>
            </w:pPr>
            <w:r w:rsidRPr="00D27BF1">
              <w:t>SNOT-22 score (0-110)</w:t>
            </w:r>
          </w:p>
        </w:tc>
        <w:tc>
          <w:tcPr>
            <w:tcW w:w="2080" w:type="dxa"/>
          </w:tcPr>
          <w:p w14:paraId="063B60D7" w14:textId="77777777" w:rsidR="00B90316" w:rsidRPr="00D27BF1" w:rsidRDefault="00B90316" w:rsidP="00A8233D">
            <w:pPr>
              <w:pStyle w:val="Tabletext"/>
              <w:keepNext/>
              <w:keepLines/>
              <w:jc w:val="center"/>
            </w:pPr>
            <w:r w:rsidRPr="00D27BF1">
              <w:t>NS</w:t>
            </w:r>
          </w:p>
        </w:tc>
        <w:tc>
          <w:tcPr>
            <w:tcW w:w="1386" w:type="dxa"/>
          </w:tcPr>
          <w:p w14:paraId="2EFED71F" w14:textId="77777777" w:rsidR="00B90316" w:rsidRPr="00D27BF1" w:rsidRDefault="00B90316" w:rsidP="00A8233D">
            <w:pPr>
              <w:pStyle w:val="Tabletext"/>
              <w:keepNext/>
              <w:keepLines/>
              <w:jc w:val="center"/>
            </w:pPr>
            <w:r w:rsidRPr="00D27BF1">
              <w:t>NS</w:t>
            </w:r>
          </w:p>
        </w:tc>
        <w:tc>
          <w:tcPr>
            <w:tcW w:w="1581" w:type="dxa"/>
          </w:tcPr>
          <w:p w14:paraId="018F90E4" w14:textId="77777777" w:rsidR="00B90316" w:rsidRPr="00D27BF1" w:rsidRDefault="00B90316" w:rsidP="00A8233D">
            <w:pPr>
              <w:pStyle w:val="Tabletext"/>
              <w:keepNext/>
              <w:keepLines/>
              <w:jc w:val="center"/>
            </w:pPr>
            <w:r w:rsidRPr="00D27BF1">
              <w:t>&gt;35</w:t>
            </w:r>
          </w:p>
        </w:tc>
        <w:tc>
          <w:tcPr>
            <w:tcW w:w="1487" w:type="dxa"/>
          </w:tcPr>
          <w:p w14:paraId="7BB61905" w14:textId="77777777" w:rsidR="00B90316" w:rsidRPr="00D27BF1" w:rsidRDefault="00B90316" w:rsidP="00A8233D">
            <w:pPr>
              <w:pStyle w:val="Tabletext"/>
              <w:keepNext/>
              <w:keepLines/>
              <w:jc w:val="center"/>
            </w:pPr>
            <w:r w:rsidRPr="00D27BF1">
              <w:t>NS</w:t>
            </w:r>
          </w:p>
        </w:tc>
      </w:tr>
      <w:tr w:rsidR="00B90316" w:rsidRPr="00D27BF1" w14:paraId="254C753D" w14:textId="77777777" w:rsidTr="002833AC">
        <w:tc>
          <w:tcPr>
            <w:tcW w:w="2483" w:type="dxa"/>
          </w:tcPr>
          <w:p w14:paraId="342310B5" w14:textId="77777777" w:rsidR="00B90316" w:rsidRPr="00D27BF1" w:rsidRDefault="00B90316" w:rsidP="00A8233D">
            <w:pPr>
              <w:pStyle w:val="Tabletext"/>
              <w:keepNext/>
              <w:keepLines/>
            </w:pPr>
            <w:r w:rsidRPr="00D27BF1">
              <w:t>Loss of smell score (0-3)</w:t>
            </w:r>
          </w:p>
        </w:tc>
        <w:tc>
          <w:tcPr>
            <w:tcW w:w="2080" w:type="dxa"/>
          </w:tcPr>
          <w:p w14:paraId="4044C59F" w14:textId="77777777" w:rsidR="00B90316" w:rsidRPr="00D27BF1" w:rsidRDefault="00B90316" w:rsidP="00A8233D">
            <w:pPr>
              <w:pStyle w:val="Tabletext"/>
              <w:keepNext/>
              <w:keepLines/>
              <w:jc w:val="center"/>
            </w:pPr>
            <w:r w:rsidRPr="00D27BF1">
              <w:t>NS</w:t>
            </w:r>
          </w:p>
        </w:tc>
        <w:tc>
          <w:tcPr>
            <w:tcW w:w="1386" w:type="dxa"/>
          </w:tcPr>
          <w:p w14:paraId="295E44BF" w14:textId="77777777" w:rsidR="00B90316" w:rsidRPr="00D27BF1" w:rsidRDefault="00B90316" w:rsidP="00A8233D">
            <w:pPr>
              <w:pStyle w:val="Tabletext"/>
              <w:keepNext/>
              <w:keepLines/>
              <w:jc w:val="center"/>
            </w:pPr>
            <w:r w:rsidRPr="00D27BF1">
              <w:t>NS</w:t>
            </w:r>
          </w:p>
        </w:tc>
        <w:tc>
          <w:tcPr>
            <w:tcW w:w="1581" w:type="dxa"/>
          </w:tcPr>
          <w:p w14:paraId="20802104" w14:textId="77777777" w:rsidR="00B90316" w:rsidRPr="00D27BF1" w:rsidRDefault="00B90316" w:rsidP="00A8233D">
            <w:pPr>
              <w:pStyle w:val="Tabletext"/>
              <w:keepNext/>
              <w:keepLines/>
              <w:jc w:val="center"/>
            </w:pPr>
            <w:r w:rsidRPr="00D27BF1">
              <w:t>&gt;2</w:t>
            </w:r>
          </w:p>
        </w:tc>
        <w:tc>
          <w:tcPr>
            <w:tcW w:w="1487" w:type="dxa"/>
          </w:tcPr>
          <w:p w14:paraId="6E7F50D2" w14:textId="77777777" w:rsidR="00B90316" w:rsidRPr="00D27BF1" w:rsidRDefault="00B90316" w:rsidP="00A8233D">
            <w:pPr>
              <w:pStyle w:val="Tabletext"/>
              <w:keepNext/>
              <w:keepLines/>
              <w:jc w:val="center"/>
            </w:pPr>
            <w:r w:rsidRPr="00D27BF1">
              <w:t>NS</w:t>
            </w:r>
          </w:p>
        </w:tc>
      </w:tr>
    </w:tbl>
    <w:p w14:paraId="013A5CD6" w14:textId="77777777" w:rsidR="00B90316" w:rsidRPr="00D27BF1" w:rsidRDefault="00B90316" w:rsidP="00A8233D">
      <w:pPr>
        <w:pStyle w:val="TableFooter"/>
        <w:keepNext/>
        <w:keepLines/>
      </w:pPr>
      <w:r w:rsidRPr="00D27BF1">
        <w:t xml:space="preserve">Source: Complied during evaluation. </w:t>
      </w:r>
    </w:p>
    <w:p w14:paraId="37082FA5" w14:textId="77777777" w:rsidR="00B90316" w:rsidRPr="00D27BF1" w:rsidRDefault="00B90316" w:rsidP="00A8233D">
      <w:pPr>
        <w:pStyle w:val="TableFooter"/>
        <w:keepNext/>
        <w:keepLines/>
      </w:pPr>
      <w:r w:rsidRPr="00D27BF1">
        <w:t xml:space="preserve">ENP= endoscopic nasal polyp; </w:t>
      </w:r>
      <w:r w:rsidR="007F474F" w:rsidRPr="00D27BF1">
        <w:t xml:space="preserve">EUFOREA = European forum for research and education in allergy and airway diseases; </w:t>
      </w:r>
      <w:r w:rsidRPr="00D27BF1">
        <w:t xml:space="preserve">NO-VAS= nasal obstruction-visual analogue scale; NS= not specified; SNOT-22= sino-nasal outcomes test (22 items); VAS= visual analogue scale. </w:t>
      </w:r>
    </w:p>
    <w:p w14:paraId="5018A5BB" w14:textId="77777777" w:rsidR="00B90316" w:rsidRPr="00D27BF1" w:rsidRDefault="00B90316" w:rsidP="00A8233D">
      <w:pPr>
        <w:pStyle w:val="TableFooter"/>
        <w:keepNext/>
        <w:keepLines/>
      </w:pPr>
      <w:r w:rsidRPr="00D27BF1">
        <w:t xml:space="preserve">a. Allowed for a choice of ENP score </w:t>
      </w:r>
      <w:r w:rsidRPr="00D27BF1">
        <w:rPr>
          <w:u w:val="single"/>
        </w:rPr>
        <w:t>or</w:t>
      </w:r>
      <w:r w:rsidRPr="00D27BF1">
        <w:t xml:space="preserve"> NO-VAS score to be used (i.e. patient will not be required to satisfy both). </w:t>
      </w:r>
    </w:p>
    <w:p w14:paraId="5C9AE59A" w14:textId="77777777" w:rsidR="00B90316" w:rsidRPr="00D27BF1" w:rsidRDefault="00B90316" w:rsidP="00A8233D">
      <w:pPr>
        <w:pStyle w:val="TableFooter"/>
        <w:keepNext/>
        <w:keepLines/>
      </w:pPr>
      <w:r w:rsidRPr="00D27BF1">
        <w:t>b. The presence of bilateral nasal polyps alone is not sufficient to define severe CRSwNP; the disease also needs to be clinically symptomatic: any of the listed patient reported outcomes can be used to define the severe phenotype (if available).</w:t>
      </w:r>
    </w:p>
    <w:p w14:paraId="3D6729A6" w14:textId="77777777" w:rsidR="00B90316" w:rsidRPr="00D27BF1" w:rsidRDefault="00B90316" w:rsidP="00A8233D">
      <w:pPr>
        <w:pStyle w:val="TableFooter"/>
        <w:keepNext/>
        <w:keepLines/>
      </w:pPr>
      <w:r w:rsidRPr="00D27BF1">
        <w:t>c. Need to satisfy all listed criteria</w:t>
      </w:r>
    </w:p>
    <w:p w14:paraId="39B5A3F1" w14:textId="77777777" w:rsidR="00B90316" w:rsidRPr="00D27BF1" w:rsidRDefault="00B90316" w:rsidP="00B90316">
      <w:pPr>
        <w:widowControl/>
        <w:rPr>
          <w:i/>
        </w:rPr>
      </w:pPr>
    </w:p>
    <w:p w14:paraId="085F17D7" w14:textId="77777777" w:rsidR="00F1327A" w:rsidRDefault="00563630" w:rsidP="00B313EF">
      <w:pPr>
        <w:pStyle w:val="ListParagraph"/>
        <w:widowControl/>
        <w:numPr>
          <w:ilvl w:val="1"/>
          <w:numId w:val="2"/>
        </w:numPr>
        <w:rPr>
          <w:i/>
        </w:rPr>
      </w:pPr>
      <w:r w:rsidRPr="00D27BF1">
        <w:t xml:space="preserve">The target population for </w:t>
      </w:r>
      <w:r w:rsidR="00A8233D" w:rsidRPr="00D27BF1">
        <w:t xml:space="preserve">the </w:t>
      </w:r>
      <w:r w:rsidRPr="00D27BF1">
        <w:t xml:space="preserve">submission </w:t>
      </w:r>
      <w:r w:rsidR="00A8233D" w:rsidRPr="00D27BF1">
        <w:t>were</w:t>
      </w:r>
      <w:r w:rsidRPr="00D27BF1">
        <w:t xml:space="preserve"> patients with CRSwNP who have received at least one previous surgery for the removal of NP (unless not suitable for surgery) and failed to achieve adequate control </w:t>
      </w:r>
      <w:r w:rsidR="001D0AC6" w:rsidRPr="00D27BF1">
        <w:t>with optimised NP therapy (INCS</w:t>
      </w:r>
      <w:r w:rsidRPr="00D27BF1">
        <w:t xml:space="preserve"> unless contraindicated or not tolerated, </w:t>
      </w:r>
      <w:r w:rsidR="00A8233D" w:rsidRPr="00D27BF1">
        <w:t>and</w:t>
      </w:r>
      <w:r w:rsidRPr="00D27BF1">
        <w:t xml:space="preserve"> OCS unless contraindicated or not tolerated), with a BEC greater than or equal to 150</w:t>
      </w:r>
      <w:r w:rsidR="00052A78" w:rsidRPr="00D27BF1">
        <w:t xml:space="preserve"> </w:t>
      </w:r>
      <w:r w:rsidRPr="00D27BF1">
        <w:t>cells/µL</w:t>
      </w:r>
      <w:r w:rsidRPr="00D27BF1">
        <w:rPr>
          <w:i/>
        </w:rPr>
        <w:t>.</w:t>
      </w:r>
    </w:p>
    <w:p w14:paraId="43224AED" w14:textId="77777777" w:rsidR="001C4799" w:rsidRPr="001C4799" w:rsidRDefault="001C4799" w:rsidP="001C4799">
      <w:pPr>
        <w:pStyle w:val="ListParagraph"/>
        <w:widowControl/>
        <w:rPr>
          <w:i/>
        </w:rPr>
      </w:pPr>
      <w:r w:rsidRPr="001C4799">
        <w:rPr>
          <w:i/>
        </w:rPr>
        <w:t>For more detail on PBAC’s view, see section 7 PBAC outcome.</w:t>
      </w:r>
    </w:p>
    <w:p w14:paraId="15A14C4E" w14:textId="77777777" w:rsidR="00B50DB8" w:rsidRPr="00D27BF1" w:rsidRDefault="00B50DB8" w:rsidP="0023209F">
      <w:pPr>
        <w:pStyle w:val="PBACHeading1"/>
      </w:pPr>
      <w:bookmarkStart w:id="7" w:name="_Toc82528836"/>
      <w:r w:rsidRPr="00D27BF1">
        <w:t>Comparator</w:t>
      </w:r>
      <w:bookmarkEnd w:id="7"/>
    </w:p>
    <w:p w14:paraId="55163045" w14:textId="5A5CC31C" w:rsidR="00E93816" w:rsidRPr="00D27BF1" w:rsidRDefault="00A14C5C" w:rsidP="00B313EF">
      <w:pPr>
        <w:pStyle w:val="ListParagraph"/>
        <w:widowControl/>
        <w:numPr>
          <w:ilvl w:val="1"/>
          <w:numId w:val="2"/>
        </w:numPr>
      </w:pPr>
      <w:r w:rsidRPr="00D27BF1">
        <w:rPr>
          <w:rFonts w:cs="Calibri"/>
          <w:snapToGrid/>
          <w:szCs w:val="24"/>
          <w:lang w:eastAsia="en-AU"/>
        </w:rPr>
        <w:t>The submission nominated SoC as the main comparator.</w:t>
      </w:r>
      <w:r w:rsidR="00E93816" w:rsidRPr="00D27BF1">
        <w:rPr>
          <w:rFonts w:cs="Calibri"/>
          <w:snapToGrid/>
          <w:szCs w:val="24"/>
          <w:lang w:eastAsia="en-AU"/>
        </w:rPr>
        <w:t xml:space="preserve"> SoC included ongoing INCS usage with intermittent usage of other treatments like nasal saline irrigations and OCS (Fokkens 2020).</w:t>
      </w:r>
      <w:r w:rsidRPr="00D27BF1">
        <w:rPr>
          <w:rFonts w:cs="Calibri"/>
          <w:snapToGrid/>
          <w:szCs w:val="24"/>
          <w:lang w:eastAsia="en-AU"/>
        </w:rPr>
        <w:t xml:space="preserve"> </w:t>
      </w:r>
      <w:r w:rsidR="00E93816" w:rsidRPr="00D27BF1">
        <w:rPr>
          <w:rFonts w:cs="Calibri"/>
          <w:snapToGrid/>
          <w:szCs w:val="24"/>
          <w:lang w:eastAsia="en-AU"/>
        </w:rPr>
        <w:t>The submission did not consider NP surgery as a relevant comparator to mepolizumab, and claimed that mepolizumab will not replace surgery as it is a progression event in the course of CRSwNP disease which could be required in patients on mepolizumab or SoC.</w:t>
      </w:r>
      <w:r w:rsidR="00185CFB" w:rsidRPr="00D27BF1">
        <w:rPr>
          <w:rFonts w:cs="Calibri"/>
          <w:snapToGrid/>
          <w:szCs w:val="24"/>
          <w:lang w:eastAsia="en-AU"/>
        </w:rPr>
        <w:t xml:space="preserve"> </w:t>
      </w:r>
      <w:r w:rsidR="000F3CEA" w:rsidRPr="00D27BF1">
        <w:rPr>
          <w:rFonts w:cs="Calibri"/>
          <w:iCs/>
          <w:snapToGrid/>
          <w:szCs w:val="24"/>
          <w:lang w:eastAsia="en-AU"/>
        </w:rPr>
        <w:t>This may not be appropriate</w:t>
      </w:r>
      <w:r w:rsidR="00185CFB" w:rsidRPr="00D27BF1">
        <w:rPr>
          <w:rFonts w:cs="Calibri"/>
          <w:snapToGrid/>
          <w:szCs w:val="24"/>
          <w:lang w:eastAsia="en-AU"/>
        </w:rPr>
        <w:t xml:space="preserve">. </w:t>
      </w:r>
      <w:r w:rsidR="00F57565" w:rsidRPr="00D27BF1">
        <w:rPr>
          <w:rFonts w:cs="Calibri"/>
          <w:snapToGrid/>
          <w:szCs w:val="24"/>
          <w:lang w:eastAsia="en-AU"/>
        </w:rPr>
        <w:t>For the proportion of patients who are eligible for NP surgery, r</w:t>
      </w:r>
      <w:r w:rsidR="00BD56CC" w:rsidRPr="00D27BF1">
        <w:rPr>
          <w:rFonts w:cs="Calibri"/>
          <w:snapToGrid/>
          <w:szCs w:val="24"/>
          <w:lang w:eastAsia="en-AU"/>
        </w:rPr>
        <w:t xml:space="preserve">epeat </w:t>
      </w:r>
      <w:r w:rsidR="00185CFB" w:rsidRPr="00D27BF1">
        <w:rPr>
          <w:rFonts w:cs="Calibri"/>
          <w:snapToGrid/>
          <w:szCs w:val="24"/>
          <w:lang w:eastAsia="en-AU"/>
        </w:rPr>
        <w:t>NP surgery is a widely accepted and practi</w:t>
      </w:r>
      <w:r w:rsidR="000F3CEA" w:rsidRPr="00D27BF1">
        <w:rPr>
          <w:rFonts w:cs="Calibri"/>
          <w:snapToGrid/>
          <w:szCs w:val="24"/>
          <w:lang w:eastAsia="en-AU"/>
        </w:rPr>
        <w:t>c</w:t>
      </w:r>
      <w:r w:rsidR="00185CFB" w:rsidRPr="00D27BF1">
        <w:rPr>
          <w:rFonts w:cs="Calibri"/>
          <w:snapToGrid/>
          <w:szCs w:val="24"/>
          <w:lang w:eastAsia="en-AU"/>
        </w:rPr>
        <w:t>ed for the treatment of CRSwNP, as acknowledged by the submission in their current treatment algorithm. Whilst repeat surgery may be viewed as a progression of CRSwNP, evidence presented by the submission indicated that patients with a prior history of NP surgery who were treated with mepolizumab had a 57% reduction in NP surgeries, suggesting that mepolizumab would therefore replace a proportion of NP surgeries. It was</w:t>
      </w:r>
      <w:r w:rsidR="00DD7E59" w:rsidRPr="00D27BF1">
        <w:rPr>
          <w:rFonts w:cs="Calibri"/>
          <w:snapToGrid/>
          <w:szCs w:val="24"/>
          <w:lang w:eastAsia="en-AU"/>
        </w:rPr>
        <w:t xml:space="preserve"> noted that the submission</w:t>
      </w:r>
      <w:r w:rsidR="00185CFB" w:rsidRPr="00D27BF1">
        <w:rPr>
          <w:rFonts w:cs="Calibri"/>
          <w:snapToGrid/>
          <w:szCs w:val="24"/>
          <w:lang w:eastAsia="en-AU"/>
        </w:rPr>
        <w:t xml:space="preserve"> also implied that mepolizumab would be an alternative treatment option for (repeat) NP surgery in severe patients.</w:t>
      </w:r>
    </w:p>
    <w:p w14:paraId="4F46ACBE" w14:textId="77777777" w:rsidR="00A14C5C" w:rsidRPr="001C4799" w:rsidRDefault="00DD7E59" w:rsidP="00B313EF">
      <w:pPr>
        <w:pStyle w:val="ListParagraph"/>
        <w:widowControl/>
        <w:numPr>
          <w:ilvl w:val="1"/>
          <w:numId w:val="2"/>
        </w:numPr>
      </w:pPr>
      <w:r w:rsidRPr="00D27BF1">
        <w:rPr>
          <w:rFonts w:cs="Calibri"/>
          <w:snapToGrid/>
          <w:szCs w:val="24"/>
          <w:lang w:eastAsia="en-AU"/>
        </w:rPr>
        <w:t xml:space="preserve">Overall, </w:t>
      </w:r>
      <w:r w:rsidR="00552AD3" w:rsidRPr="00D27BF1">
        <w:rPr>
          <w:rFonts w:cs="Calibri"/>
          <w:snapToGrid/>
          <w:szCs w:val="24"/>
          <w:lang w:eastAsia="en-AU"/>
        </w:rPr>
        <w:t xml:space="preserve">even though </w:t>
      </w:r>
      <w:r w:rsidRPr="00D27BF1">
        <w:rPr>
          <w:rFonts w:cs="Calibri"/>
          <w:snapToGrid/>
          <w:szCs w:val="24"/>
          <w:lang w:eastAsia="en-AU"/>
        </w:rPr>
        <w:t xml:space="preserve">SoC (INCS usage with intermittent usage of other treatment like nasal saline irrigations and OCS) was </w:t>
      </w:r>
      <w:r w:rsidR="000F3CEA" w:rsidRPr="00D27BF1">
        <w:rPr>
          <w:rFonts w:cs="Calibri"/>
          <w:snapToGrid/>
          <w:szCs w:val="24"/>
          <w:lang w:eastAsia="en-AU"/>
        </w:rPr>
        <w:t xml:space="preserve">likely </w:t>
      </w:r>
      <w:r w:rsidRPr="00D27BF1">
        <w:rPr>
          <w:rFonts w:cs="Calibri"/>
          <w:snapToGrid/>
          <w:szCs w:val="24"/>
          <w:lang w:eastAsia="en-AU"/>
        </w:rPr>
        <w:t xml:space="preserve">the </w:t>
      </w:r>
      <w:r w:rsidR="000F3CEA" w:rsidRPr="00D27BF1">
        <w:rPr>
          <w:rFonts w:cs="Calibri"/>
          <w:snapToGrid/>
          <w:szCs w:val="24"/>
          <w:lang w:eastAsia="en-AU"/>
        </w:rPr>
        <w:t xml:space="preserve">reasonable </w:t>
      </w:r>
      <w:r w:rsidRPr="00D27BF1">
        <w:rPr>
          <w:rFonts w:cs="Calibri"/>
          <w:snapToGrid/>
          <w:szCs w:val="24"/>
          <w:lang w:eastAsia="en-AU"/>
        </w:rPr>
        <w:t xml:space="preserve">comparator, surgery was </w:t>
      </w:r>
      <w:r w:rsidR="00552AD3" w:rsidRPr="00D27BF1">
        <w:rPr>
          <w:rFonts w:cs="Calibri"/>
          <w:snapToGrid/>
          <w:szCs w:val="24"/>
          <w:lang w:eastAsia="en-AU"/>
        </w:rPr>
        <w:t xml:space="preserve">likely unreasonably </w:t>
      </w:r>
      <w:r w:rsidRPr="00D27BF1">
        <w:rPr>
          <w:rFonts w:cs="Calibri"/>
          <w:snapToGrid/>
          <w:szCs w:val="24"/>
          <w:lang w:eastAsia="en-AU"/>
        </w:rPr>
        <w:t xml:space="preserve">omitted as part of SoC. SoC (including surgery) would be the </w:t>
      </w:r>
      <w:r w:rsidR="000F3CEA" w:rsidRPr="00D27BF1">
        <w:rPr>
          <w:rFonts w:cs="Calibri"/>
          <w:snapToGrid/>
          <w:szCs w:val="24"/>
          <w:lang w:eastAsia="en-AU"/>
        </w:rPr>
        <w:t xml:space="preserve">most </w:t>
      </w:r>
      <w:r w:rsidRPr="00D27BF1">
        <w:rPr>
          <w:rFonts w:cs="Calibri"/>
          <w:snapToGrid/>
          <w:szCs w:val="24"/>
          <w:lang w:eastAsia="en-AU"/>
        </w:rPr>
        <w:t xml:space="preserve">appropriate </w:t>
      </w:r>
      <w:r w:rsidR="000F3CEA" w:rsidRPr="00D27BF1">
        <w:rPr>
          <w:rFonts w:cs="Calibri"/>
          <w:snapToGrid/>
          <w:szCs w:val="24"/>
          <w:lang w:eastAsia="en-AU"/>
        </w:rPr>
        <w:t xml:space="preserve">description of the </w:t>
      </w:r>
      <w:r w:rsidRPr="00D27BF1">
        <w:rPr>
          <w:rFonts w:cs="Calibri"/>
          <w:snapToGrid/>
          <w:szCs w:val="24"/>
          <w:lang w:eastAsia="en-AU"/>
        </w:rPr>
        <w:t xml:space="preserve">comparator. </w:t>
      </w:r>
      <w:r w:rsidR="00DF4875" w:rsidRPr="0057459B">
        <w:rPr>
          <w:rFonts w:cs="Calibri"/>
          <w:snapToGrid/>
          <w:szCs w:val="24"/>
          <w:lang w:eastAsia="en-AU"/>
        </w:rPr>
        <w:t>The ESC considered SoC appropriate as the nominated comparator.</w:t>
      </w:r>
    </w:p>
    <w:p w14:paraId="655DE185" w14:textId="77777777" w:rsidR="001C4799" w:rsidRPr="001C4799" w:rsidRDefault="001C4799" w:rsidP="001C4799">
      <w:pPr>
        <w:pStyle w:val="ListParagraph"/>
        <w:widowControl/>
        <w:rPr>
          <w:rFonts w:cs="Calibri"/>
          <w:i/>
          <w:snapToGrid/>
          <w:szCs w:val="24"/>
          <w:lang w:eastAsia="en-AU"/>
        </w:rPr>
      </w:pPr>
      <w:r w:rsidRPr="001C4799">
        <w:rPr>
          <w:rFonts w:cs="Calibri"/>
          <w:i/>
          <w:snapToGrid/>
          <w:szCs w:val="24"/>
          <w:lang w:eastAsia="en-AU"/>
        </w:rPr>
        <w:t>For more detail on PBAC’s view, see section 7 PBAC outcome.</w:t>
      </w:r>
    </w:p>
    <w:p w14:paraId="5DA185C1" w14:textId="77777777" w:rsidR="00B50DB8" w:rsidRPr="00D27BF1" w:rsidRDefault="00BD6CF3" w:rsidP="00550981">
      <w:pPr>
        <w:pStyle w:val="PBACHeading1"/>
        <w:spacing w:after="120"/>
      </w:pPr>
      <w:bookmarkStart w:id="8" w:name="_Toc82528837"/>
      <w:r w:rsidRPr="00D27BF1">
        <w:t>C</w:t>
      </w:r>
      <w:r w:rsidR="00B50DB8" w:rsidRPr="00D27BF1">
        <w:t>onsideration of the evidence</w:t>
      </w:r>
      <w:bookmarkEnd w:id="8"/>
    </w:p>
    <w:p w14:paraId="1895202C" w14:textId="77777777" w:rsidR="001C4799" w:rsidRPr="006E1229" w:rsidRDefault="001C4799" w:rsidP="00550981">
      <w:pPr>
        <w:pStyle w:val="Heading2"/>
      </w:pPr>
      <w:r w:rsidRPr="006E1229">
        <w:t>Sponsor hearing</w:t>
      </w:r>
    </w:p>
    <w:p w14:paraId="2BFFF068" w14:textId="77777777" w:rsidR="00B60939" w:rsidRPr="001C4799" w:rsidRDefault="001C4799" w:rsidP="00550981">
      <w:pPr>
        <w:numPr>
          <w:ilvl w:val="1"/>
          <w:numId w:val="2"/>
        </w:numPr>
        <w:spacing w:before="120" w:after="120"/>
        <w:rPr>
          <w:rFonts w:cs="Calibri"/>
          <w:bCs/>
        </w:rPr>
      </w:pPr>
      <w:r w:rsidRPr="00F91542">
        <w:rPr>
          <w:rFonts w:cs="Calibri"/>
          <w:bCs/>
        </w:rPr>
        <w:t>The</w:t>
      </w:r>
      <w:r>
        <w:rPr>
          <w:rFonts w:cs="Calibri"/>
          <w:bCs/>
        </w:rPr>
        <w:t>re was no hearing for this item</w:t>
      </w:r>
      <w:r w:rsidRPr="00F91542">
        <w:rPr>
          <w:rFonts w:cs="Calibri"/>
          <w:bCs/>
        </w:rPr>
        <w:t>.</w:t>
      </w:r>
    </w:p>
    <w:p w14:paraId="14B69702" w14:textId="77777777" w:rsidR="001C4799" w:rsidRPr="001C4799" w:rsidRDefault="001C4799" w:rsidP="00550981">
      <w:pPr>
        <w:pStyle w:val="Heading2"/>
        <w:spacing w:before="120" w:after="120"/>
      </w:pPr>
      <w:bookmarkStart w:id="9" w:name="_Toc82528838"/>
      <w:r w:rsidRPr="001C4799">
        <w:t>Consumer comments</w:t>
      </w:r>
    </w:p>
    <w:p w14:paraId="3BCBD74E" w14:textId="33B5E842" w:rsidR="00151527" w:rsidRPr="00151527" w:rsidRDefault="001C4799" w:rsidP="00151527">
      <w:pPr>
        <w:numPr>
          <w:ilvl w:val="1"/>
          <w:numId w:val="2"/>
        </w:numPr>
        <w:spacing w:before="120" w:after="120"/>
        <w:rPr>
          <w:rFonts w:cs="Calibri"/>
          <w:bCs/>
        </w:rPr>
      </w:pPr>
      <w:r w:rsidRPr="00151527">
        <w:rPr>
          <w:rFonts w:cs="Calibri"/>
          <w:bCs/>
        </w:rPr>
        <w:t>The PBAC noted and welcom</w:t>
      </w:r>
      <w:r w:rsidR="00B90B03" w:rsidRPr="00151527">
        <w:rPr>
          <w:rFonts w:cs="Calibri"/>
          <w:bCs/>
        </w:rPr>
        <w:t>ed the input from individuals (1), health care professionals (2</w:t>
      </w:r>
      <w:r w:rsidRPr="00151527">
        <w:rPr>
          <w:rFonts w:cs="Calibri"/>
          <w:bCs/>
        </w:rPr>
        <w:t>) and organisations (1) via the Consumer Comments facility on the PBS website. The comments described a range o</w:t>
      </w:r>
      <w:r w:rsidR="00B90B03" w:rsidRPr="00151527">
        <w:rPr>
          <w:rFonts w:cs="Calibri"/>
          <w:bCs/>
        </w:rPr>
        <w:t>f benefits of treatment with mepolizumab</w:t>
      </w:r>
      <w:r w:rsidRPr="00151527">
        <w:rPr>
          <w:rFonts w:cs="Calibri"/>
          <w:bCs/>
        </w:rPr>
        <w:t xml:space="preserve"> including </w:t>
      </w:r>
      <w:r w:rsidR="00550981" w:rsidRPr="00151527">
        <w:rPr>
          <w:rFonts w:cs="Calibri"/>
          <w:bCs/>
        </w:rPr>
        <w:t xml:space="preserve">an improvement in quality of life </w:t>
      </w:r>
      <w:r w:rsidR="00BD430A">
        <w:rPr>
          <w:rFonts w:cs="Calibri"/>
          <w:bCs/>
        </w:rPr>
        <w:t xml:space="preserve">(QoL) </w:t>
      </w:r>
      <w:r w:rsidR="00550981" w:rsidRPr="00151527">
        <w:rPr>
          <w:rFonts w:cs="Calibri"/>
          <w:bCs/>
        </w:rPr>
        <w:t xml:space="preserve">due to a reduction in the impact of the condition on sleep, taste, smell, sinus congestion and associated chronic pain. </w:t>
      </w:r>
      <w:r w:rsidR="00BD430A">
        <w:rPr>
          <w:rFonts w:cs="Calibri"/>
          <w:bCs/>
        </w:rPr>
        <w:t>The comments noted that a reduction in NP size does not always address the symptoms of this condition that impact on a patient</w:t>
      </w:r>
      <w:r w:rsidR="00737FCA">
        <w:rPr>
          <w:rFonts w:cs="Calibri"/>
          <w:bCs/>
        </w:rPr>
        <w:t>’</w:t>
      </w:r>
      <w:r w:rsidR="00BD430A">
        <w:rPr>
          <w:rFonts w:cs="Calibri"/>
          <w:bCs/>
        </w:rPr>
        <w:t xml:space="preserve">s QoL. </w:t>
      </w:r>
      <w:r w:rsidR="00151527" w:rsidRPr="00151527">
        <w:rPr>
          <w:rFonts w:cs="Calibri"/>
          <w:bCs/>
        </w:rPr>
        <w:t xml:space="preserve">The comments also described the importance of having alternative treatment options available to patients with this condition who have often endured repeated </w:t>
      </w:r>
      <w:r w:rsidR="00151527">
        <w:rPr>
          <w:rFonts w:cs="Calibri"/>
          <w:bCs/>
        </w:rPr>
        <w:t>NP</w:t>
      </w:r>
      <w:r w:rsidR="00151527" w:rsidRPr="00151527">
        <w:rPr>
          <w:rFonts w:cs="Calibri"/>
          <w:bCs/>
        </w:rPr>
        <w:t xml:space="preserve"> removal surgeries. </w:t>
      </w:r>
    </w:p>
    <w:p w14:paraId="160FB24A" w14:textId="77777777" w:rsidR="00B60939" w:rsidRPr="00D27BF1" w:rsidRDefault="00B60939" w:rsidP="00C9624D">
      <w:pPr>
        <w:pStyle w:val="Heading2"/>
      </w:pPr>
      <w:r w:rsidRPr="00D27BF1">
        <w:t>Clinical trials</w:t>
      </w:r>
      <w:bookmarkEnd w:id="9"/>
    </w:p>
    <w:p w14:paraId="34C4D913" w14:textId="77777777" w:rsidR="00A14C5C" w:rsidRPr="00D27BF1" w:rsidRDefault="00A14C5C" w:rsidP="00B313EF">
      <w:pPr>
        <w:pStyle w:val="ListParagraph"/>
        <w:widowControl/>
        <w:numPr>
          <w:ilvl w:val="1"/>
          <w:numId w:val="2"/>
        </w:numPr>
      </w:pPr>
      <w:r w:rsidRPr="00D27BF1">
        <w:rPr>
          <w:rFonts w:cs="Calibri"/>
          <w:snapToGrid/>
          <w:szCs w:val="24"/>
          <w:lang w:eastAsia="en-AU"/>
        </w:rPr>
        <w:t xml:space="preserve">The submission </w:t>
      </w:r>
      <w:r w:rsidR="000F3CEA" w:rsidRPr="00D27BF1">
        <w:rPr>
          <w:rFonts w:cs="Calibri"/>
          <w:snapToGrid/>
          <w:szCs w:val="24"/>
          <w:lang w:eastAsia="en-AU"/>
        </w:rPr>
        <w:t>wa</w:t>
      </w:r>
      <w:r w:rsidRPr="00D27BF1">
        <w:rPr>
          <w:rFonts w:cs="Calibri"/>
          <w:snapToGrid/>
          <w:szCs w:val="24"/>
          <w:lang w:eastAsia="en-AU"/>
        </w:rPr>
        <w:t>s based on one head-to-head trial, SYNAPSE (</w:t>
      </w:r>
      <w:r w:rsidR="00443C8D" w:rsidRPr="00D27BF1">
        <w:rPr>
          <w:rFonts w:cs="Calibri"/>
          <w:snapToGrid/>
          <w:szCs w:val="24"/>
          <w:lang w:eastAsia="en-AU"/>
        </w:rPr>
        <w:t>intent-to-treat (</w:t>
      </w:r>
      <w:r w:rsidRPr="00D27BF1">
        <w:rPr>
          <w:rFonts w:cs="Calibri"/>
          <w:snapToGrid/>
          <w:szCs w:val="24"/>
          <w:lang w:eastAsia="en-AU"/>
        </w:rPr>
        <w:t>ITT</w:t>
      </w:r>
      <w:r w:rsidR="00443C8D" w:rsidRPr="00D27BF1">
        <w:rPr>
          <w:rFonts w:cs="Calibri"/>
          <w:snapToGrid/>
          <w:szCs w:val="24"/>
          <w:lang w:eastAsia="en-AU"/>
        </w:rPr>
        <w:t>)</w:t>
      </w:r>
      <w:r w:rsidRPr="00D27BF1">
        <w:rPr>
          <w:rFonts w:cs="Calibri"/>
          <w:snapToGrid/>
          <w:szCs w:val="24"/>
          <w:lang w:eastAsia="en-AU"/>
        </w:rPr>
        <w:t xml:space="preserve"> N=407) comparing mepolizumab (N=206) to </w:t>
      </w:r>
      <w:r w:rsidR="00443C8D" w:rsidRPr="00D27BF1">
        <w:rPr>
          <w:rFonts w:cs="Calibri"/>
          <w:snapToGrid/>
          <w:szCs w:val="24"/>
          <w:lang w:eastAsia="en-AU"/>
        </w:rPr>
        <w:t>placebo</w:t>
      </w:r>
      <w:r w:rsidRPr="00D27BF1">
        <w:rPr>
          <w:rFonts w:cs="Calibri"/>
          <w:snapToGrid/>
          <w:szCs w:val="24"/>
          <w:lang w:eastAsia="en-AU"/>
        </w:rPr>
        <w:t xml:space="preserve"> (N=201), in </w:t>
      </w:r>
      <w:r w:rsidR="00020A12" w:rsidRPr="00D27BF1">
        <w:rPr>
          <w:rFonts w:cs="Calibri"/>
          <w:snapToGrid/>
          <w:szCs w:val="24"/>
          <w:lang w:eastAsia="en-AU"/>
        </w:rPr>
        <w:t xml:space="preserve">adult (≥18 years of age) </w:t>
      </w:r>
      <w:r w:rsidR="00443C8D" w:rsidRPr="00D27BF1">
        <w:rPr>
          <w:rFonts w:cs="Calibri"/>
          <w:snapToGrid/>
          <w:szCs w:val="24"/>
          <w:lang w:eastAsia="en-AU"/>
        </w:rPr>
        <w:t>CRSwNP</w:t>
      </w:r>
      <w:r w:rsidRPr="00D27BF1">
        <w:rPr>
          <w:rFonts w:cs="Calibri"/>
          <w:snapToGrid/>
          <w:szCs w:val="24"/>
          <w:lang w:eastAsia="en-AU"/>
        </w:rPr>
        <w:t xml:space="preserve"> </w:t>
      </w:r>
      <w:r w:rsidR="00443C8D" w:rsidRPr="00D27BF1">
        <w:rPr>
          <w:rFonts w:cs="Calibri"/>
          <w:snapToGrid/>
          <w:szCs w:val="24"/>
          <w:lang w:eastAsia="en-AU"/>
        </w:rPr>
        <w:t>patients with uncontrolled symptoms after at least one surgery and treatment with INCS for at least eight weeks.</w:t>
      </w:r>
    </w:p>
    <w:p w14:paraId="7EC870F6" w14:textId="659E2B0E" w:rsidR="00A14C5C" w:rsidRPr="00D27BF1" w:rsidRDefault="00A14C5C" w:rsidP="00B313EF">
      <w:pPr>
        <w:pStyle w:val="ListParagraph"/>
        <w:widowControl/>
        <w:numPr>
          <w:ilvl w:val="1"/>
          <w:numId w:val="2"/>
        </w:numPr>
      </w:pPr>
      <w:r w:rsidRPr="00D27BF1">
        <w:rPr>
          <w:rFonts w:cs="Calibri"/>
          <w:snapToGrid/>
          <w:szCs w:val="24"/>
          <w:lang w:eastAsia="en-AU"/>
        </w:rPr>
        <w:t xml:space="preserve">SYNAPSE comprised of a </w:t>
      </w:r>
      <w:r w:rsidR="003B641A" w:rsidRPr="00D27BF1">
        <w:rPr>
          <w:rFonts w:cs="Calibri"/>
          <w:snapToGrid/>
          <w:szCs w:val="24"/>
          <w:lang w:eastAsia="en-AU"/>
        </w:rPr>
        <w:t>four</w:t>
      </w:r>
      <w:r w:rsidRPr="00D27BF1">
        <w:rPr>
          <w:rFonts w:cs="Calibri"/>
          <w:snapToGrid/>
          <w:szCs w:val="24"/>
          <w:lang w:eastAsia="en-AU"/>
        </w:rPr>
        <w:t xml:space="preserve">-week run in period, followed by a 52-week treatment period. </w:t>
      </w:r>
      <w:r w:rsidR="005F1E6C" w:rsidRPr="00D27BF1">
        <w:rPr>
          <w:rFonts w:cs="Calibri"/>
          <w:snapToGrid/>
          <w:szCs w:val="24"/>
          <w:lang w:eastAsia="en-AU"/>
        </w:rPr>
        <w:t xml:space="preserve">In addition, it was planned for up to the first 200 randomised participants to enter a </w:t>
      </w:r>
      <w:r w:rsidR="003B641A" w:rsidRPr="00D27BF1">
        <w:rPr>
          <w:rFonts w:cs="Calibri"/>
          <w:snapToGrid/>
          <w:szCs w:val="24"/>
          <w:lang w:eastAsia="en-AU"/>
        </w:rPr>
        <w:t>six</w:t>
      </w:r>
      <w:r w:rsidR="005F1E6C" w:rsidRPr="00D27BF1">
        <w:rPr>
          <w:rFonts w:cs="Calibri"/>
          <w:snapToGrid/>
          <w:szCs w:val="24"/>
          <w:lang w:eastAsia="en-AU"/>
        </w:rPr>
        <w:t>-month no-treatment follow-up period following their Week 52 visit in order to assess maintenance of response. It was noted that only a total of 134</w:t>
      </w:r>
      <w:r w:rsidR="00CF2E6A">
        <w:rPr>
          <w:rFonts w:cs="Calibri"/>
          <w:snapToGrid/>
          <w:szCs w:val="24"/>
          <w:lang w:eastAsia="en-AU"/>
        </w:rPr>
        <w:t> </w:t>
      </w:r>
      <w:r w:rsidR="005F1E6C" w:rsidRPr="00D27BF1">
        <w:rPr>
          <w:rFonts w:cs="Calibri"/>
          <w:snapToGrid/>
          <w:szCs w:val="24"/>
          <w:lang w:eastAsia="en-AU"/>
        </w:rPr>
        <w:t>patients entered th</w:t>
      </w:r>
      <w:r w:rsidR="003B641A" w:rsidRPr="00D27BF1">
        <w:rPr>
          <w:rFonts w:cs="Calibri"/>
          <w:snapToGrid/>
          <w:szCs w:val="24"/>
          <w:lang w:eastAsia="en-AU"/>
        </w:rPr>
        <w:t>e</w:t>
      </w:r>
      <w:r w:rsidR="005F1E6C" w:rsidRPr="00D27BF1">
        <w:rPr>
          <w:rFonts w:cs="Calibri"/>
          <w:snapToGrid/>
          <w:szCs w:val="24"/>
          <w:lang w:eastAsia="en-AU"/>
        </w:rPr>
        <w:t xml:space="preserve"> no-treatment follow-up phase, with 133 patients completing this period (mepolizumab N=68; placebo N=65). The reason for not meeting the recruitment target for the follow-up period was not explained. </w:t>
      </w:r>
    </w:p>
    <w:p w14:paraId="6AA27D02" w14:textId="77777777" w:rsidR="005F1E6C" w:rsidRPr="00D27BF1" w:rsidRDefault="00A14C5C" w:rsidP="00B313EF">
      <w:pPr>
        <w:pStyle w:val="ListParagraph"/>
        <w:widowControl/>
        <w:numPr>
          <w:ilvl w:val="1"/>
          <w:numId w:val="2"/>
        </w:numPr>
        <w:rPr>
          <w:rStyle w:val="CommentReference"/>
          <w:rFonts w:ascii="Calibri" w:hAnsi="Calibri"/>
          <w:b w:val="0"/>
          <w:sz w:val="24"/>
          <w:szCs w:val="22"/>
        </w:rPr>
      </w:pPr>
      <w:r w:rsidRPr="00D27BF1">
        <w:rPr>
          <w:rFonts w:cs="Calibri"/>
          <w:snapToGrid/>
          <w:szCs w:val="24"/>
          <w:lang w:eastAsia="en-AU"/>
        </w:rPr>
        <w:t xml:space="preserve">Details of the trials presented in </w:t>
      </w:r>
      <w:r w:rsidRPr="00D27BF1">
        <w:rPr>
          <w:rFonts w:asciiTheme="minorHAnsi" w:hAnsiTheme="minorHAnsi" w:cstheme="minorHAnsi"/>
          <w:snapToGrid/>
          <w:szCs w:val="24"/>
          <w:lang w:eastAsia="en-AU"/>
        </w:rPr>
        <w:t xml:space="preserve">the </w:t>
      </w:r>
      <w:r w:rsidR="000B14C3" w:rsidRPr="00D27BF1">
        <w:rPr>
          <w:rFonts w:asciiTheme="minorHAnsi" w:hAnsiTheme="minorHAnsi" w:cstheme="minorHAnsi"/>
          <w:snapToGrid/>
          <w:szCs w:val="24"/>
          <w:lang w:eastAsia="en-AU"/>
        </w:rPr>
        <w:t>submission are provided in</w:t>
      </w:r>
      <w:r w:rsidR="000B14C3" w:rsidRPr="00D27BF1">
        <w:rPr>
          <w:rFonts w:asciiTheme="minorHAnsi" w:hAnsiTheme="minorHAnsi" w:cstheme="minorHAnsi"/>
          <w:b/>
          <w:snapToGrid/>
          <w:szCs w:val="24"/>
          <w:lang w:eastAsia="en-AU"/>
        </w:rPr>
        <w:t xml:space="preserve"> </w:t>
      </w:r>
      <w:r w:rsidR="0020510D" w:rsidRPr="0020510D">
        <w:rPr>
          <w:rStyle w:val="CommentReference"/>
          <w:rFonts w:asciiTheme="minorHAnsi" w:hAnsiTheme="minorHAnsi" w:cstheme="minorHAnsi"/>
          <w:b w:val="0"/>
          <w:sz w:val="24"/>
          <w:szCs w:val="24"/>
        </w:rPr>
        <w:t>Table 3</w:t>
      </w:r>
      <w:r w:rsidR="000B14C3" w:rsidRPr="00D27BF1">
        <w:rPr>
          <w:rFonts w:asciiTheme="minorHAnsi" w:hAnsiTheme="minorHAnsi" w:cstheme="minorHAnsi"/>
          <w:snapToGrid/>
          <w:szCs w:val="24"/>
          <w:lang w:eastAsia="en-AU"/>
        </w:rPr>
        <w:t>.</w:t>
      </w:r>
    </w:p>
    <w:p w14:paraId="76A2A870" w14:textId="77777777" w:rsidR="005F1E6C" w:rsidRPr="00D27BF1" w:rsidRDefault="000B14C3" w:rsidP="003B641A">
      <w:pPr>
        <w:keepNext/>
        <w:keepLines/>
        <w:rPr>
          <w:rStyle w:val="CommentReference"/>
          <w:b w:val="0"/>
        </w:rPr>
      </w:pPr>
      <w:bookmarkStart w:id="10" w:name="_Ref80542494"/>
      <w:r w:rsidRPr="00D27BF1">
        <w:rPr>
          <w:rStyle w:val="CommentReference"/>
        </w:rPr>
        <w:t xml:space="preserve">Table </w:t>
      </w:r>
      <w:r w:rsidR="0020510D">
        <w:rPr>
          <w:rStyle w:val="CommentReference"/>
          <w:noProof/>
        </w:rPr>
        <w:t>3</w:t>
      </w:r>
      <w:bookmarkEnd w:id="10"/>
      <w:r w:rsidRPr="00D27BF1">
        <w:rPr>
          <w:rStyle w:val="CommentReference"/>
        </w:rPr>
        <w:t>: Trial</w:t>
      </w:r>
      <w:r w:rsidR="005F1E6C" w:rsidRPr="00D27BF1">
        <w:rPr>
          <w:rStyle w:val="CommentReference"/>
        </w:rPr>
        <w:t xml:space="preserve">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4940"/>
        <w:gridCol w:w="2642"/>
      </w:tblGrid>
      <w:tr w:rsidR="005F1E6C" w:rsidRPr="00D27BF1" w14:paraId="2A92FD84" w14:textId="77777777" w:rsidTr="008F37E6">
        <w:trPr>
          <w:tblHeader/>
        </w:trPr>
        <w:tc>
          <w:tcPr>
            <w:tcW w:w="796" w:type="pct"/>
            <w:vAlign w:val="center"/>
          </w:tcPr>
          <w:p w14:paraId="5924D469" w14:textId="77777777" w:rsidR="005F1E6C" w:rsidRPr="00D27BF1" w:rsidRDefault="005F1E6C" w:rsidP="003B641A">
            <w:pPr>
              <w:pStyle w:val="Tabletext"/>
              <w:keepNext/>
              <w:keepLines/>
              <w:rPr>
                <w:b/>
              </w:rPr>
            </w:pPr>
            <w:r w:rsidRPr="00D27BF1">
              <w:rPr>
                <w:b/>
              </w:rPr>
              <w:t>Trial ID</w:t>
            </w:r>
          </w:p>
        </w:tc>
        <w:tc>
          <w:tcPr>
            <w:tcW w:w="2739" w:type="pct"/>
            <w:tcBorders>
              <w:bottom w:val="single" w:sz="4" w:space="0" w:color="auto"/>
            </w:tcBorders>
            <w:vAlign w:val="center"/>
          </w:tcPr>
          <w:p w14:paraId="74F5A692" w14:textId="77777777" w:rsidR="005F1E6C" w:rsidRPr="00D27BF1" w:rsidRDefault="005F1E6C" w:rsidP="003B641A">
            <w:pPr>
              <w:pStyle w:val="Tabletext"/>
              <w:keepNext/>
              <w:keepLines/>
              <w:jc w:val="center"/>
              <w:rPr>
                <w:b/>
              </w:rPr>
            </w:pPr>
            <w:r w:rsidRPr="00D27BF1">
              <w:rPr>
                <w:b/>
              </w:rPr>
              <w:t>Protocol title/ Publication title</w:t>
            </w:r>
          </w:p>
        </w:tc>
        <w:tc>
          <w:tcPr>
            <w:tcW w:w="1466" w:type="pct"/>
            <w:tcBorders>
              <w:bottom w:val="single" w:sz="4" w:space="0" w:color="auto"/>
            </w:tcBorders>
            <w:vAlign w:val="center"/>
          </w:tcPr>
          <w:p w14:paraId="0F04147F" w14:textId="77777777" w:rsidR="005F1E6C" w:rsidRPr="00D27BF1" w:rsidRDefault="005F1E6C" w:rsidP="003B641A">
            <w:pPr>
              <w:pStyle w:val="Tabletext"/>
              <w:keepNext/>
              <w:keepLines/>
              <w:jc w:val="center"/>
              <w:rPr>
                <w:b/>
              </w:rPr>
            </w:pPr>
            <w:r w:rsidRPr="00D27BF1">
              <w:rPr>
                <w:b/>
              </w:rPr>
              <w:t>Publication citation</w:t>
            </w:r>
          </w:p>
        </w:tc>
      </w:tr>
      <w:tr w:rsidR="005F1E6C" w:rsidRPr="00D27BF1" w14:paraId="47B79A8B" w14:textId="77777777" w:rsidTr="008F37E6">
        <w:tc>
          <w:tcPr>
            <w:tcW w:w="796" w:type="pct"/>
            <w:tcBorders>
              <w:bottom w:val="nil"/>
            </w:tcBorders>
            <w:vAlign w:val="center"/>
          </w:tcPr>
          <w:p w14:paraId="64147F54" w14:textId="77777777" w:rsidR="005F1E6C" w:rsidRPr="00D27BF1" w:rsidRDefault="005F1E6C" w:rsidP="003B641A">
            <w:pPr>
              <w:pStyle w:val="Tabletext"/>
              <w:keepNext/>
              <w:keepLines/>
              <w:rPr>
                <w:rFonts w:ascii="Times" w:hAnsi="Times"/>
              </w:rPr>
            </w:pPr>
          </w:p>
        </w:tc>
        <w:tc>
          <w:tcPr>
            <w:tcW w:w="2739" w:type="pct"/>
            <w:tcBorders>
              <w:bottom w:val="nil"/>
              <w:right w:val="single" w:sz="4" w:space="0" w:color="auto"/>
            </w:tcBorders>
            <w:vAlign w:val="center"/>
          </w:tcPr>
          <w:p w14:paraId="01659335" w14:textId="77777777" w:rsidR="005F1E6C" w:rsidRPr="00D27BF1" w:rsidRDefault="005F1E6C" w:rsidP="008F37E6">
            <w:pPr>
              <w:pStyle w:val="Tabletext"/>
              <w:keepNext/>
              <w:keepLines/>
            </w:pPr>
            <w:r w:rsidRPr="00D27BF1">
              <w:t>Clinical Study Report: A randomised, double-blind, parallel group PhIII study to assess the clinical efficacy and safety of 100 mg SC Mepolizumab as an add on to maintenance treatment in adults with severe bilateral nasal polyps - SYNAPSE (StudY in NAsal Polyps patients to assess the Safety and Efficacy of mepolizumab)</w:t>
            </w:r>
            <w:r w:rsidR="00CB727E" w:rsidRPr="00D27BF1">
              <w:t>.</w:t>
            </w:r>
            <w:r w:rsidRPr="00D27BF1">
              <w:t xml:space="preserve"> </w:t>
            </w:r>
          </w:p>
        </w:tc>
        <w:tc>
          <w:tcPr>
            <w:tcW w:w="1466" w:type="pct"/>
            <w:tcBorders>
              <w:left w:val="single" w:sz="4" w:space="0" w:color="auto"/>
              <w:bottom w:val="nil"/>
            </w:tcBorders>
            <w:vAlign w:val="center"/>
          </w:tcPr>
          <w:p w14:paraId="30CD1BFE" w14:textId="77777777" w:rsidR="005F1E6C" w:rsidRPr="00D27BF1" w:rsidRDefault="005F1E6C" w:rsidP="008F37E6">
            <w:pPr>
              <w:pStyle w:val="Tabletext"/>
              <w:keepNext/>
              <w:keepLines/>
            </w:pPr>
            <w:r w:rsidRPr="00D27BF1">
              <w:t>CSR Dated 23 June 2020.</w:t>
            </w:r>
          </w:p>
        </w:tc>
      </w:tr>
      <w:tr w:rsidR="005F1E6C" w:rsidRPr="00D27BF1" w14:paraId="75B4BE00" w14:textId="77777777" w:rsidTr="008F37E6">
        <w:tc>
          <w:tcPr>
            <w:tcW w:w="796" w:type="pct"/>
            <w:tcBorders>
              <w:top w:val="nil"/>
              <w:bottom w:val="nil"/>
            </w:tcBorders>
            <w:vAlign w:val="center"/>
          </w:tcPr>
          <w:p w14:paraId="69B09F79" w14:textId="77777777" w:rsidR="005F1E6C" w:rsidRPr="00D27BF1" w:rsidRDefault="005F1E6C" w:rsidP="003B641A">
            <w:pPr>
              <w:pStyle w:val="Tabletext"/>
              <w:keepNext/>
              <w:keepLines/>
            </w:pPr>
          </w:p>
        </w:tc>
        <w:tc>
          <w:tcPr>
            <w:tcW w:w="2739" w:type="pct"/>
            <w:tcBorders>
              <w:top w:val="nil"/>
              <w:bottom w:val="nil"/>
              <w:right w:val="single" w:sz="4" w:space="0" w:color="auto"/>
            </w:tcBorders>
            <w:vAlign w:val="center"/>
          </w:tcPr>
          <w:p w14:paraId="37E2C65D" w14:textId="77777777" w:rsidR="005F1E6C" w:rsidRPr="00D27BF1" w:rsidRDefault="005F1E6C" w:rsidP="008F37E6">
            <w:pPr>
              <w:pStyle w:val="Tabletext"/>
              <w:keepNext/>
              <w:keepLines/>
              <w:rPr>
                <w:szCs w:val="18"/>
                <w:lang w:eastAsia="en-AU"/>
              </w:rPr>
            </w:pPr>
            <w:r w:rsidRPr="00D27BF1">
              <w:rPr>
                <w:szCs w:val="18"/>
                <w:lang w:eastAsia="en-AU"/>
              </w:rPr>
              <w:t>Han JK, Bachert C, Fokkens W, Desrosiers M, Wagenmann M, Lee SE, Smith SG, Martin N, Mayer B, Yancey SW, Sousa AR, Chan R, Hopkins C; SYNAPSE study investigators. Mepolizumab for chronic rhinosinusitis with nasal polyps (SYNAPSE): a randomised, double-blind, placebo-controlled, phase 3 trial.</w:t>
            </w:r>
          </w:p>
        </w:tc>
        <w:tc>
          <w:tcPr>
            <w:tcW w:w="1466" w:type="pct"/>
            <w:tcBorders>
              <w:top w:val="nil"/>
              <w:left w:val="single" w:sz="4" w:space="0" w:color="auto"/>
              <w:bottom w:val="nil"/>
            </w:tcBorders>
            <w:vAlign w:val="center"/>
          </w:tcPr>
          <w:p w14:paraId="11E0BCB9" w14:textId="77777777" w:rsidR="005F1E6C" w:rsidRPr="00D27BF1" w:rsidRDefault="005F1E6C" w:rsidP="008F37E6">
            <w:pPr>
              <w:pStyle w:val="Tabletext"/>
              <w:keepNext/>
              <w:keepLines/>
              <w:rPr>
                <w:szCs w:val="18"/>
                <w:lang w:eastAsia="en-AU"/>
              </w:rPr>
            </w:pPr>
            <w:r w:rsidRPr="00D27BF1">
              <w:rPr>
                <w:i/>
                <w:szCs w:val="18"/>
                <w:lang w:eastAsia="en-AU"/>
              </w:rPr>
              <w:t>Lancet Respir Med</w:t>
            </w:r>
            <w:r w:rsidRPr="00D27BF1">
              <w:rPr>
                <w:szCs w:val="18"/>
                <w:lang w:eastAsia="en-AU"/>
              </w:rPr>
              <w:t xml:space="preserve"> 2021; S2213-2600(21): 00097-7.</w:t>
            </w:r>
          </w:p>
        </w:tc>
      </w:tr>
      <w:tr w:rsidR="005F1E6C" w:rsidRPr="00D27BF1" w14:paraId="096FA3A9" w14:textId="77777777" w:rsidTr="008F37E6">
        <w:tc>
          <w:tcPr>
            <w:tcW w:w="796" w:type="pct"/>
            <w:tcBorders>
              <w:top w:val="nil"/>
              <w:bottom w:val="nil"/>
            </w:tcBorders>
            <w:vAlign w:val="center"/>
          </w:tcPr>
          <w:p w14:paraId="31E9FA11" w14:textId="77777777" w:rsidR="005F1E6C" w:rsidRPr="00D27BF1" w:rsidRDefault="005F1E6C" w:rsidP="003B641A">
            <w:pPr>
              <w:pStyle w:val="Tabletext"/>
              <w:keepNext/>
              <w:keepLines/>
            </w:pPr>
          </w:p>
        </w:tc>
        <w:tc>
          <w:tcPr>
            <w:tcW w:w="2739" w:type="pct"/>
            <w:tcBorders>
              <w:top w:val="nil"/>
              <w:bottom w:val="nil"/>
              <w:right w:val="single" w:sz="4" w:space="0" w:color="auto"/>
            </w:tcBorders>
            <w:vAlign w:val="center"/>
          </w:tcPr>
          <w:p w14:paraId="782B1F96" w14:textId="77777777" w:rsidR="005F1E6C" w:rsidRPr="00D27BF1" w:rsidRDefault="005F1E6C" w:rsidP="008F37E6">
            <w:pPr>
              <w:pStyle w:val="Tabletext"/>
              <w:keepNext/>
              <w:keepLines/>
              <w:rPr>
                <w:szCs w:val="18"/>
                <w:lang w:eastAsia="en-AU"/>
              </w:rPr>
            </w:pPr>
            <w:r w:rsidRPr="00D27BF1">
              <w:rPr>
                <w:szCs w:val="18"/>
                <w:lang w:eastAsia="en-AU"/>
              </w:rPr>
              <w:t xml:space="preserve">Hopkins C, Bachert C, Fokkens W, et al. Late Breaking Abstract - Add-on mepolizumab for chronic rhinosinusitis with nasal polyps: SYNAPSE study. </w:t>
            </w:r>
          </w:p>
        </w:tc>
        <w:tc>
          <w:tcPr>
            <w:tcW w:w="1466" w:type="pct"/>
            <w:tcBorders>
              <w:top w:val="nil"/>
              <w:left w:val="single" w:sz="4" w:space="0" w:color="auto"/>
              <w:bottom w:val="nil"/>
            </w:tcBorders>
          </w:tcPr>
          <w:p w14:paraId="2967AD49" w14:textId="77777777" w:rsidR="005F1E6C" w:rsidRPr="00D27BF1" w:rsidRDefault="005F1E6C" w:rsidP="008F37E6">
            <w:pPr>
              <w:pStyle w:val="Tabletext"/>
              <w:keepNext/>
              <w:keepLines/>
              <w:rPr>
                <w:szCs w:val="18"/>
                <w:lang w:eastAsia="en-AU"/>
              </w:rPr>
            </w:pPr>
            <w:r w:rsidRPr="00D27BF1">
              <w:rPr>
                <w:szCs w:val="18"/>
                <w:lang w:eastAsia="en-AU"/>
              </w:rPr>
              <w:t xml:space="preserve">Poster presented at the 2020 ERS International Congress. </w:t>
            </w:r>
            <w:r w:rsidRPr="00D27BF1">
              <w:rPr>
                <w:i/>
                <w:szCs w:val="18"/>
                <w:lang w:eastAsia="en-AU"/>
              </w:rPr>
              <w:t>European Respiratory Journal</w:t>
            </w:r>
            <w:r w:rsidRPr="00D27BF1">
              <w:rPr>
                <w:szCs w:val="18"/>
                <w:lang w:eastAsia="en-AU"/>
              </w:rPr>
              <w:t xml:space="preserve"> 2020 56: 4616.</w:t>
            </w:r>
          </w:p>
        </w:tc>
      </w:tr>
      <w:tr w:rsidR="005F1E6C" w:rsidRPr="00D27BF1" w14:paraId="13360E49" w14:textId="77777777" w:rsidTr="008F37E6">
        <w:tc>
          <w:tcPr>
            <w:tcW w:w="796" w:type="pct"/>
            <w:tcBorders>
              <w:top w:val="nil"/>
              <w:bottom w:val="nil"/>
            </w:tcBorders>
            <w:vAlign w:val="center"/>
          </w:tcPr>
          <w:p w14:paraId="1AE65194" w14:textId="77777777" w:rsidR="005F1E6C" w:rsidRPr="00D27BF1" w:rsidRDefault="008F37E6" w:rsidP="003B641A">
            <w:pPr>
              <w:pStyle w:val="Tabletext"/>
              <w:keepNext/>
              <w:keepLines/>
            </w:pPr>
            <w:r w:rsidRPr="00D27BF1">
              <w:t>SYNAPSE</w:t>
            </w:r>
          </w:p>
        </w:tc>
        <w:tc>
          <w:tcPr>
            <w:tcW w:w="2739" w:type="pct"/>
            <w:tcBorders>
              <w:top w:val="nil"/>
              <w:bottom w:val="nil"/>
              <w:right w:val="single" w:sz="4" w:space="0" w:color="auto"/>
            </w:tcBorders>
            <w:vAlign w:val="center"/>
          </w:tcPr>
          <w:p w14:paraId="10D463AD" w14:textId="77777777" w:rsidR="005F1E6C" w:rsidRPr="00D27BF1" w:rsidRDefault="005F1E6C" w:rsidP="008F37E6">
            <w:pPr>
              <w:pStyle w:val="Tabletext"/>
              <w:keepNext/>
              <w:keepLines/>
              <w:rPr>
                <w:szCs w:val="18"/>
                <w:lang w:eastAsia="en-AU"/>
              </w:rPr>
            </w:pPr>
            <w:r w:rsidRPr="00D27BF1">
              <w:rPr>
                <w:szCs w:val="18"/>
                <w:lang w:eastAsia="en-AU"/>
              </w:rPr>
              <w:t xml:space="preserve">Tabberer M, Trigg A, Busse W, et al. Mepolizumab reduces disease symptoms for patients with chronic rhinosinusitis with nasal polyps: Data from the SYNAPSE study. </w:t>
            </w:r>
          </w:p>
        </w:tc>
        <w:tc>
          <w:tcPr>
            <w:tcW w:w="1466" w:type="pct"/>
            <w:tcBorders>
              <w:top w:val="nil"/>
              <w:left w:val="single" w:sz="4" w:space="0" w:color="auto"/>
              <w:bottom w:val="nil"/>
            </w:tcBorders>
          </w:tcPr>
          <w:p w14:paraId="3F008D35" w14:textId="77777777" w:rsidR="005F1E6C" w:rsidRPr="00D27BF1" w:rsidRDefault="005F1E6C" w:rsidP="008F37E6">
            <w:pPr>
              <w:pStyle w:val="Tabletext"/>
              <w:keepNext/>
              <w:keepLines/>
              <w:rPr>
                <w:szCs w:val="18"/>
                <w:lang w:eastAsia="en-AU"/>
              </w:rPr>
            </w:pPr>
            <w:r w:rsidRPr="00D27BF1">
              <w:rPr>
                <w:szCs w:val="18"/>
                <w:lang w:eastAsia="en-AU"/>
              </w:rPr>
              <w:t>Poster presented at the American Academy of Allergy Asthma &amp; Immunology Annual Meeting 2021.</w:t>
            </w:r>
          </w:p>
        </w:tc>
      </w:tr>
      <w:tr w:rsidR="005F1E6C" w:rsidRPr="00D27BF1" w14:paraId="5F85B879" w14:textId="77777777" w:rsidTr="008F37E6">
        <w:tc>
          <w:tcPr>
            <w:tcW w:w="796" w:type="pct"/>
            <w:tcBorders>
              <w:top w:val="nil"/>
              <w:bottom w:val="nil"/>
            </w:tcBorders>
            <w:vAlign w:val="center"/>
          </w:tcPr>
          <w:p w14:paraId="1BCECCCE" w14:textId="77777777" w:rsidR="005F1E6C" w:rsidRPr="00D27BF1" w:rsidRDefault="005F1E6C" w:rsidP="003B641A">
            <w:pPr>
              <w:pStyle w:val="Tabletext"/>
              <w:keepNext/>
              <w:keepLines/>
            </w:pPr>
          </w:p>
        </w:tc>
        <w:tc>
          <w:tcPr>
            <w:tcW w:w="2739" w:type="pct"/>
            <w:tcBorders>
              <w:top w:val="nil"/>
              <w:bottom w:val="nil"/>
              <w:right w:val="single" w:sz="4" w:space="0" w:color="auto"/>
            </w:tcBorders>
            <w:vAlign w:val="center"/>
          </w:tcPr>
          <w:p w14:paraId="6793BCD8" w14:textId="77777777" w:rsidR="005F1E6C" w:rsidRPr="00D27BF1" w:rsidRDefault="005F1E6C" w:rsidP="008F37E6">
            <w:pPr>
              <w:pStyle w:val="Tabletext"/>
              <w:keepNext/>
              <w:keepLines/>
              <w:rPr>
                <w:szCs w:val="18"/>
                <w:lang w:eastAsia="en-AU"/>
              </w:rPr>
            </w:pPr>
            <w:r w:rsidRPr="00D27BF1">
              <w:rPr>
                <w:szCs w:val="18"/>
                <w:lang w:eastAsia="en-AU"/>
              </w:rPr>
              <w:t>Bachert C. Mepolizumab for chronic rhinosinusitis with nasal polyps: comorbid asthma, NSAID exacerbated respiratory disease, eosinophil stratification.</w:t>
            </w:r>
          </w:p>
        </w:tc>
        <w:tc>
          <w:tcPr>
            <w:tcW w:w="1466" w:type="pct"/>
            <w:tcBorders>
              <w:top w:val="nil"/>
              <w:left w:val="single" w:sz="4" w:space="0" w:color="auto"/>
              <w:bottom w:val="nil"/>
            </w:tcBorders>
          </w:tcPr>
          <w:p w14:paraId="29C0ABA6" w14:textId="77777777" w:rsidR="005F1E6C" w:rsidRPr="00D27BF1" w:rsidRDefault="005F1E6C" w:rsidP="008F37E6">
            <w:pPr>
              <w:pStyle w:val="Tabletext"/>
              <w:keepNext/>
              <w:keepLines/>
              <w:rPr>
                <w:szCs w:val="18"/>
                <w:lang w:eastAsia="en-AU"/>
              </w:rPr>
            </w:pPr>
            <w:r w:rsidRPr="00D27BF1">
              <w:rPr>
                <w:szCs w:val="18"/>
                <w:lang w:eastAsia="en-AU"/>
              </w:rPr>
              <w:t>Poster presented at the American Academy of Allergy, Asthma &amp; Immunology Annual Meeting 2020.</w:t>
            </w:r>
          </w:p>
        </w:tc>
      </w:tr>
      <w:tr w:rsidR="005F1E6C" w:rsidRPr="00D27BF1" w14:paraId="5C29AC05" w14:textId="77777777" w:rsidTr="008F37E6">
        <w:tc>
          <w:tcPr>
            <w:tcW w:w="796" w:type="pct"/>
            <w:tcBorders>
              <w:top w:val="nil"/>
              <w:bottom w:val="nil"/>
            </w:tcBorders>
            <w:vAlign w:val="center"/>
          </w:tcPr>
          <w:p w14:paraId="2802EA80" w14:textId="77777777" w:rsidR="005F1E6C" w:rsidRPr="00D27BF1" w:rsidRDefault="005F1E6C" w:rsidP="003B641A">
            <w:pPr>
              <w:pStyle w:val="Tabletext"/>
              <w:keepNext/>
              <w:keepLines/>
            </w:pPr>
          </w:p>
        </w:tc>
        <w:tc>
          <w:tcPr>
            <w:tcW w:w="2739" w:type="pct"/>
            <w:tcBorders>
              <w:top w:val="nil"/>
              <w:bottom w:val="nil"/>
              <w:right w:val="single" w:sz="4" w:space="0" w:color="auto"/>
            </w:tcBorders>
            <w:vAlign w:val="center"/>
          </w:tcPr>
          <w:p w14:paraId="12EB0399" w14:textId="77777777" w:rsidR="005F1E6C" w:rsidRPr="00D27BF1" w:rsidRDefault="005F1E6C" w:rsidP="008F37E6">
            <w:pPr>
              <w:pStyle w:val="Tabletext"/>
              <w:keepNext/>
              <w:keepLines/>
              <w:rPr>
                <w:szCs w:val="18"/>
                <w:lang w:eastAsia="en-AU"/>
              </w:rPr>
            </w:pPr>
            <w:r w:rsidRPr="00D27BF1">
              <w:rPr>
                <w:szCs w:val="18"/>
                <w:lang w:eastAsia="en-AU"/>
              </w:rPr>
              <w:t>Lee SE, Tabberer M, Trigg A, et al. Mepolizumab improves health-related quality of life for patients with chronic rhinosinusitis with nasal polyps: Data from the SYNAPSE study.</w:t>
            </w:r>
          </w:p>
        </w:tc>
        <w:tc>
          <w:tcPr>
            <w:tcW w:w="1466" w:type="pct"/>
            <w:tcBorders>
              <w:top w:val="nil"/>
              <w:left w:val="single" w:sz="4" w:space="0" w:color="auto"/>
              <w:bottom w:val="nil"/>
            </w:tcBorders>
          </w:tcPr>
          <w:p w14:paraId="5CF5C8EA" w14:textId="77777777" w:rsidR="005F1E6C" w:rsidRPr="00D27BF1" w:rsidRDefault="005F1E6C" w:rsidP="008F37E6">
            <w:pPr>
              <w:pStyle w:val="Tabletext"/>
              <w:keepNext/>
              <w:keepLines/>
              <w:rPr>
                <w:szCs w:val="18"/>
                <w:lang w:eastAsia="en-AU"/>
              </w:rPr>
            </w:pPr>
            <w:r w:rsidRPr="00D27BF1">
              <w:rPr>
                <w:szCs w:val="18"/>
                <w:lang w:eastAsia="en-AU"/>
              </w:rPr>
              <w:t>Poster presented at the American Academy of Allergy Asthma &amp; Immunology Annual Meeting 2021</w:t>
            </w:r>
          </w:p>
        </w:tc>
      </w:tr>
      <w:tr w:rsidR="005F1E6C" w:rsidRPr="00D27BF1" w14:paraId="6B152CD7" w14:textId="77777777" w:rsidTr="008F37E6">
        <w:tc>
          <w:tcPr>
            <w:tcW w:w="796" w:type="pct"/>
            <w:tcBorders>
              <w:top w:val="nil"/>
              <w:bottom w:val="single" w:sz="4" w:space="0" w:color="auto"/>
            </w:tcBorders>
            <w:vAlign w:val="center"/>
          </w:tcPr>
          <w:p w14:paraId="45B9350D" w14:textId="77777777" w:rsidR="005F1E6C" w:rsidRPr="00D27BF1" w:rsidRDefault="005F1E6C" w:rsidP="003B641A">
            <w:pPr>
              <w:pStyle w:val="Tabletext"/>
              <w:keepNext/>
              <w:keepLines/>
            </w:pPr>
          </w:p>
        </w:tc>
        <w:tc>
          <w:tcPr>
            <w:tcW w:w="2739" w:type="pct"/>
            <w:tcBorders>
              <w:top w:val="nil"/>
              <w:bottom w:val="single" w:sz="4" w:space="0" w:color="auto"/>
              <w:right w:val="single" w:sz="4" w:space="0" w:color="auto"/>
            </w:tcBorders>
            <w:vAlign w:val="center"/>
          </w:tcPr>
          <w:p w14:paraId="6D350983" w14:textId="77777777" w:rsidR="005F1E6C" w:rsidRPr="00D27BF1" w:rsidRDefault="005F1E6C" w:rsidP="008F37E6">
            <w:pPr>
              <w:pStyle w:val="Tabletext"/>
              <w:keepNext/>
              <w:keepLines/>
              <w:rPr>
                <w:szCs w:val="18"/>
                <w:lang w:eastAsia="en-AU"/>
              </w:rPr>
            </w:pPr>
            <w:r w:rsidRPr="00D27BF1">
              <w:rPr>
                <w:szCs w:val="18"/>
                <w:lang w:eastAsia="en-AU"/>
              </w:rPr>
              <w:t>Chupp G., Alobid I., Lugogo N., Kariyawasam HH., Bourdin A., et al., Mepolizumab Reduces Systemic Corticosteroid A1344: Use in Patients With Chronic Rhinosinusitis With Nasal Polyps.</w:t>
            </w:r>
          </w:p>
        </w:tc>
        <w:tc>
          <w:tcPr>
            <w:tcW w:w="1466" w:type="pct"/>
            <w:tcBorders>
              <w:top w:val="nil"/>
              <w:left w:val="single" w:sz="4" w:space="0" w:color="auto"/>
              <w:bottom w:val="single" w:sz="4" w:space="0" w:color="auto"/>
            </w:tcBorders>
          </w:tcPr>
          <w:p w14:paraId="26BAE5F8" w14:textId="77777777" w:rsidR="005F1E6C" w:rsidRPr="00D27BF1" w:rsidRDefault="005F1E6C" w:rsidP="003B641A">
            <w:pPr>
              <w:pStyle w:val="Tabletext"/>
              <w:keepNext/>
              <w:keepLines/>
              <w:rPr>
                <w:szCs w:val="18"/>
                <w:lang w:eastAsia="en-AU"/>
              </w:rPr>
            </w:pPr>
            <w:r w:rsidRPr="00D27BF1">
              <w:rPr>
                <w:szCs w:val="18"/>
                <w:lang w:eastAsia="en-AU"/>
              </w:rPr>
              <w:t xml:space="preserve">Online Abstract Issue of the </w:t>
            </w:r>
            <w:r w:rsidRPr="00D27BF1">
              <w:rPr>
                <w:i/>
                <w:szCs w:val="18"/>
                <w:lang w:eastAsia="en-AU"/>
              </w:rPr>
              <w:t>American Journal of Respiratory and Critical Care Medicine</w:t>
            </w:r>
            <w:r w:rsidRPr="00D27BF1">
              <w:rPr>
                <w:szCs w:val="18"/>
                <w:lang w:eastAsia="en-AU"/>
              </w:rPr>
              <w:t>, Volume 203, May 3, 2021</w:t>
            </w:r>
          </w:p>
        </w:tc>
      </w:tr>
    </w:tbl>
    <w:p w14:paraId="26661477" w14:textId="77777777" w:rsidR="005F1E6C" w:rsidRPr="00D27BF1" w:rsidRDefault="005F1E6C" w:rsidP="003B641A">
      <w:pPr>
        <w:pStyle w:val="TableFooter"/>
        <w:keepNext/>
        <w:keepLines/>
      </w:pPr>
      <w:r w:rsidRPr="00D27BF1">
        <w:t>Source: Table 2-4, p43 of the submission.</w:t>
      </w:r>
    </w:p>
    <w:p w14:paraId="352BE37C" w14:textId="77777777" w:rsidR="005F1E6C" w:rsidRPr="00D27BF1" w:rsidRDefault="005F1E6C" w:rsidP="003B641A">
      <w:pPr>
        <w:pStyle w:val="TableFooter"/>
        <w:keepNext/>
        <w:keepLines/>
        <w:rPr>
          <w:sz w:val="20"/>
        </w:rPr>
      </w:pPr>
      <w:r w:rsidRPr="00D27BF1">
        <w:t>CSR= clinical study report</w:t>
      </w:r>
    </w:p>
    <w:p w14:paraId="6FC2E61C" w14:textId="77777777" w:rsidR="00862502" w:rsidRPr="00D27BF1" w:rsidRDefault="00862502" w:rsidP="00094314"/>
    <w:p w14:paraId="2302A6C0" w14:textId="7D7010C6" w:rsidR="00A14C5C" w:rsidRPr="00D27BF1" w:rsidRDefault="00A14C5C" w:rsidP="00B313EF">
      <w:pPr>
        <w:pStyle w:val="ListParagraph"/>
        <w:widowControl/>
        <w:numPr>
          <w:ilvl w:val="1"/>
          <w:numId w:val="2"/>
        </w:numPr>
      </w:pPr>
      <w:r w:rsidRPr="00D27BF1">
        <w:t>The key features of the direct randomised trial</w:t>
      </w:r>
      <w:r w:rsidR="005104DD" w:rsidRPr="00D27BF1">
        <w:t xml:space="preserve"> are summarised in </w:t>
      </w:r>
      <w:r w:rsidR="0020510D" w:rsidRPr="0020510D">
        <w:t>Table 4</w:t>
      </w:r>
      <w:r w:rsidRPr="00D27BF1">
        <w:t>. Overall, there was a low risk of bia</w:t>
      </w:r>
      <w:r w:rsidR="00804151" w:rsidRPr="00D27BF1">
        <w:t>s in the SYNAPSE trial, however, the submission acknowledged that</w:t>
      </w:r>
      <w:r w:rsidR="008F37E6" w:rsidRPr="00D27BF1">
        <w:t xml:space="preserve"> there were</w:t>
      </w:r>
      <w:r w:rsidR="00804151" w:rsidRPr="00D27BF1">
        <w:t xml:space="preserve"> important protocol deviations that potentially affected the efficacy results</w:t>
      </w:r>
      <w:r w:rsidR="008F37E6" w:rsidRPr="00D27BF1">
        <w:t xml:space="preserve">, which </w:t>
      </w:r>
      <w:r w:rsidR="00804151" w:rsidRPr="00D27BF1">
        <w:t xml:space="preserve">led to removal </w:t>
      </w:r>
      <w:r w:rsidR="008F37E6" w:rsidRPr="00D27BF1">
        <w:t xml:space="preserve">of </w:t>
      </w:r>
      <w:r w:rsidR="00804151" w:rsidRPr="00D27BF1">
        <w:t>26 (6%) patients</w:t>
      </w:r>
      <w:r w:rsidR="008F37E6" w:rsidRPr="00D27BF1">
        <w:t xml:space="preserve"> from the per protocol (PP) population</w:t>
      </w:r>
      <w:r w:rsidR="00804151" w:rsidRPr="00D27BF1">
        <w:t xml:space="preserve">. The submission </w:t>
      </w:r>
      <w:r w:rsidR="00542D07" w:rsidRPr="00D27BF1">
        <w:t xml:space="preserve">noted </w:t>
      </w:r>
      <w:r w:rsidR="00804151" w:rsidRPr="00D27BF1">
        <w:t xml:space="preserve">that the </w:t>
      </w:r>
      <w:r w:rsidR="00542D07" w:rsidRPr="00D27BF1">
        <w:t xml:space="preserve">co-primary outcome </w:t>
      </w:r>
      <w:r w:rsidR="00804151" w:rsidRPr="00D27BF1">
        <w:t>results from the analysis of the PP population were similar to those from the ITT population. PP results were not available for other endpoints</w:t>
      </w:r>
      <w:r w:rsidR="00542D07" w:rsidRPr="00D27BF1">
        <w:t>.</w:t>
      </w:r>
      <w:r w:rsidR="00F94CAC" w:rsidRPr="00D27BF1">
        <w:t xml:space="preserve"> </w:t>
      </w:r>
    </w:p>
    <w:p w14:paraId="37C3E0DA" w14:textId="77777777" w:rsidR="002D306A" w:rsidRPr="00D27BF1" w:rsidRDefault="005104DD" w:rsidP="00542D07">
      <w:pPr>
        <w:keepNext/>
        <w:keepLines/>
        <w:rPr>
          <w:rStyle w:val="CommentReference"/>
        </w:rPr>
      </w:pPr>
      <w:bookmarkStart w:id="11" w:name="_Ref80542719"/>
      <w:r w:rsidRPr="00D27BF1">
        <w:rPr>
          <w:rStyle w:val="CommentReference"/>
        </w:rPr>
        <w:t xml:space="preserve">Table </w:t>
      </w:r>
      <w:r w:rsidR="0020510D">
        <w:rPr>
          <w:rStyle w:val="CommentReference"/>
          <w:noProof/>
        </w:rPr>
        <w:t>4</w:t>
      </w:r>
      <w:bookmarkEnd w:id="11"/>
      <w:r w:rsidR="002D306A" w:rsidRPr="00D27BF1">
        <w:rPr>
          <w:rStyle w:val="CommentReference"/>
        </w:rPr>
        <w:t>: Key</w:t>
      </w:r>
      <w:r w:rsidR="00B86C7A" w:rsidRPr="00D27BF1">
        <w:rPr>
          <w:rStyle w:val="CommentReference"/>
        </w:rPr>
        <w:t xml:space="preserve"> features of the included evidence</w:t>
      </w:r>
    </w:p>
    <w:tbl>
      <w:tblPr>
        <w:tblStyle w:val="TableGrid"/>
        <w:tblW w:w="0" w:type="auto"/>
        <w:tblLayout w:type="fixed"/>
        <w:tblCellMar>
          <w:left w:w="28" w:type="dxa"/>
          <w:right w:w="28" w:type="dxa"/>
        </w:tblCellMar>
        <w:tblLook w:val="04A0" w:firstRow="1" w:lastRow="0" w:firstColumn="1" w:lastColumn="0" w:noHBand="0" w:noVBand="1"/>
        <w:tblCaption w:val="Table 4: Key features of the included evidence"/>
      </w:tblPr>
      <w:tblGrid>
        <w:gridCol w:w="846"/>
        <w:gridCol w:w="1323"/>
        <w:gridCol w:w="1323"/>
        <w:gridCol w:w="1323"/>
        <w:gridCol w:w="709"/>
        <w:gridCol w:w="1746"/>
        <w:gridCol w:w="1747"/>
      </w:tblGrid>
      <w:tr w:rsidR="00273AF9" w:rsidRPr="00D27BF1" w14:paraId="4DEF41AA" w14:textId="77777777" w:rsidTr="005905DA">
        <w:trPr>
          <w:tblHeader/>
        </w:trPr>
        <w:tc>
          <w:tcPr>
            <w:tcW w:w="846" w:type="dxa"/>
            <w:tcBorders>
              <w:top w:val="single" w:sz="4" w:space="0" w:color="auto"/>
              <w:left w:val="single" w:sz="4" w:space="0" w:color="auto"/>
              <w:bottom w:val="single" w:sz="4" w:space="0" w:color="auto"/>
              <w:right w:val="single" w:sz="4" w:space="0" w:color="auto"/>
            </w:tcBorders>
            <w:hideMark/>
          </w:tcPr>
          <w:p w14:paraId="7095E183" w14:textId="77777777" w:rsidR="00273AF9" w:rsidRPr="00D27BF1" w:rsidRDefault="00273AF9" w:rsidP="002F32ED">
            <w:pPr>
              <w:pStyle w:val="Tabletext"/>
              <w:keepNext/>
              <w:keepLines/>
              <w:rPr>
                <w:b/>
              </w:rPr>
            </w:pPr>
            <w:r w:rsidRPr="00D27BF1">
              <w:rPr>
                <w:b/>
              </w:rPr>
              <w:t>Trial, N</w:t>
            </w:r>
          </w:p>
        </w:tc>
        <w:tc>
          <w:tcPr>
            <w:tcW w:w="1323" w:type="dxa"/>
            <w:tcBorders>
              <w:top w:val="single" w:sz="4" w:space="0" w:color="auto"/>
              <w:left w:val="single" w:sz="4" w:space="0" w:color="auto"/>
              <w:bottom w:val="single" w:sz="4" w:space="0" w:color="auto"/>
              <w:right w:val="single" w:sz="4" w:space="0" w:color="auto"/>
            </w:tcBorders>
            <w:vAlign w:val="center"/>
            <w:hideMark/>
          </w:tcPr>
          <w:p w14:paraId="40F94205" w14:textId="77777777" w:rsidR="00273AF9" w:rsidRPr="00D27BF1" w:rsidRDefault="00273AF9" w:rsidP="005905DA">
            <w:pPr>
              <w:pStyle w:val="Tabletext"/>
              <w:keepNext/>
              <w:keepLines/>
              <w:jc w:val="center"/>
              <w:rPr>
                <w:b/>
              </w:rPr>
            </w:pPr>
            <w:r w:rsidRPr="00D27BF1">
              <w:rPr>
                <w:b/>
              </w:rPr>
              <w:t>Trial Design</w:t>
            </w:r>
          </w:p>
        </w:tc>
        <w:tc>
          <w:tcPr>
            <w:tcW w:w="1323" w:type="dxa"/>
            <w:tcBorders>
              <w:top w:val="single" w:sz="4" w:space="0" w:color="auto"/>
              <w:left w:val="single" w:sz="4" w:space="0" w:color="auto"/>
              <w:bottom w:val="single" w:sz="4" w:space="0" w:color="auto"/>
              <w:right w:val="single" w:sz="4" w:space="0" w:color="auto"/>
            </w:tcBorders>
            <w:vAlign w:val="center"/>
            <w:hideMark/>
          </w:tcPr>
          <w:p w14:paraId="35669528" w14:textId="77777777" w:rsidR="00273AF9" w:rsidRPr="00D27BF1" w:rsidRDefault="00273AF9" w:rsidP="005905DA">
            <w:pPr>
              <w:pStyle w:val="Tabletext"/>
              <w:keepNext/>
              <w:keepLines/>
              <w:jc w:val="center"/>
              <w:rPr>
                <w:b/>
              </w:rPr>
            </w:pPr>
            <w:r w:rsidRPr="00D27BF1">
              <w:rPr>
                <w:b/>
              </w:rPr>
              <w:t>Interventions</w:t>
            </w:r>
          </w:p>
        </w:tc>
        <w:tc>
          <w:tcPr>
            <w:tcW w:w="1323" w:type="dxa"/>
            <w:tcBorders>
              <w:top w:val="single" w:sz="4" w:space="0" w:color="auto"/>
              <w:left w:val="single" w:sz="4" w:space="0" w:color="auto"/>
              <w:bottom w:val="single" w:sz="4" w:space="0" w:color="auto"/>
              <w:right w:val="single" w:sz="4" w:space="0" w:color="auto"/>
            </w:tcBorders>
            <w:vAlign w:val="center"/>
            <w:hideMark/>
          </w:tcPr>
          <w:p w14:paraId="3B74E31E" w14:textId="77777777" w:rsidR="00273AF9" w:rsidRPr="00D27BF1" w:rsidRDefault="00273AF9" w:rsidP="005905DA">
            <w:pPr>
              <w:pStyle w:val="Tabletext"/>
              <w:keepNext/>
              <w:keepLines/>
              <w:jc w:val="center"/>
              <w:rPr>
                <w:b/>
              </w:rPr>
            </w:pPr>
            <w:r w:rsidRPr="00D27BF1">
              <w:rPr>
                <w:b/>
              </w:rPr>
              <w:t>Population</w:t>
            </w:r>
          </w:p>
        </w:tc>
        <w:tc>
          <w:tcPr>
            <w:tcW w:w="709" w:type="dxa"/>
            <w:tcBorders>
              <w:top w:val="single" w:sz="4" w:space="0" w:color="auto"/>
              <w:left w:val="single" w:sz="4" w:space="0" w:color="auto"/>
              <w:bottom w:val="single" w:sz="4" w:space="0" w:color="auto"/>
              <w:right w:val="single" w:sz="4" w:space="0" w:color="auto"/>
            </w:tcBorders>
            <w:vAlign w:val="center"/>
          </w:tcPr>
          <w:p w14:paraId="0E39C999" w14:textId="77777777" w:rsidR="00273AF9" w:rsidRPr="00D27BF1" w:rsidRDefault="00273AF9" w:rsidP="005905DA">
            <w:pPr>
              <w:pStyle w:val="Tabletext"/>
              <w:keepNext/>
              <w:keepLines/>
              <w:jc w:val="center"/>
              <w:rPr>
                <w:b/>
              </w:rPr>
            </w:pPr>
            <w:r w:rsidRPr="00D27BF1">
              <w:rPr>
                <w:b/>
              </w:rPr>
              <w:t>Risk of bias</w:t>
            </w:r>
          </w:p>
        </w:tc>
        <w:tc>
          <w:tcPr>
            <w:tcW w:w="1746" w:type="dxa"/>
            <w:tcBorders>
              <w:top w:val="single" w:sz="4" w:space="0" w:color="auto"/>
              <w:left w:val="single" w:sz="4" w:space="0" w:color="auto"/>
              <w:bottom w:val="single" w:sz="4" w:space="0" w:color="auto"/>
              <w:right w:val="single" w:sz="4" w:space="0" w:color="auto"/>
            </w:tcBorders>
            <w:vAlign w:val="center"/>
            <w:hideMark/>
          </w:tcPr>
          <w:p w14:paraId="59F7A1EF" w14:textId="77777777" w:rsidR="00273AF9" w:rsidRPr="00D27BF1" w:rsidRDefault="00273AF9" w:rsidP="005905DA">
            <w:pPr>
              <w:pStyle w:val="Tabletext"/>
              <w:keepNext/>
              <w:keepLines/>
              <w:jc w:val="center"/>
              <w:rPr>
                <w:b/>
              </w:rPr>
            </w:pPr>
            <w:r w:rsidRPr="00D27BF1">
              <w:rPr>
                <w:b/>
              </w:rPr>
              <w:t>Main Outcomes</w:t>
            </w:r>
          </w:p>
        </w:tc>
        <w:tc>
          <w:tcPr>
            <w:tcW w:w="1747" w:type="dxa"/>
            <w:tcBorders>
              <w:top w:val="single" w:sz="4" w:space="0" w:color="auto"/>
              <w:left w:val="single" w:sz="4" w:space="0" w:color="auto"/>
              <w:bottom w:val="single" w:sz="4" w:space="0" w:color="auto"/>
              <w:right w:val="single" w:sz="4" w:space="0" w:color="auto"/>
            </w:tcBorders>
            <w:vAlign w:val="center"/>
          </w:tcPr>
          <w:p w14:paraId="0C0C463D" w14:textId="77777777" w:rsidR="00273AF9" w:rsidRPr="00D27BF1" w:rsidRDefault="00273AF9" w:rsidP="005905DA">
            <w:pPr>
              <w:pStyle w:val="Tabletext"/>
              <w:keepNext/>
              <w:keepLines/>
              <w:jc w:val="center"/>
              <w:rPr>
                <w:b/>
              </w:rPr>
            </w:pPr>
            <w:r w:rsidRPr="00D27BF1">
              <w:rPr>
                <w:b/>
              </w:rPr>
              <w:t>Used in modelled evaluation</w:t>
            </w:r>
          </w:p>
        </w:tc>
      </w:tr>
      <w:tr w:rsidR="00201026" w:rsidRPr="00D27BF1" w14:paraId="07C308CC" w14:textId="77777777" w:rsidTr="005905DA">
        <w:trPr>
          <w:tblHeader/>
        </w:trPr>
        <w:tc>
          <w:tcPr>
            <w:tcW w:w="846" w:type="dxa"/>
            <w:vMerge w:val="restart"/>
            <w:tcBorders>
              <w:left w:val="single" w:sz="4" w:space="0" w:color="auto"/>
              <w:right w:val="single" w:sz="4" w:space="0" w:color="auto"/>
            </w:tcBorders>
            <w:vAlign w:val="center"/>
          </w:tcPr>
          <w:p w14:paraId="6EB6F6BD" w14:textId="77777777" w:rsidR="00201026" w:rsidRPr="00D27BF1" w:rsidRDefault="00201026" w:rsidP="005905DA">
            <w:pPr>
              <w:pStyle w:val="Tabletext"/>
              <w:keepNext/>
              <w:keepLines/>
            </w:pPr>
            <w:r w:rsidRPr="00D27BF1">
              <w:t>SYNAPSE</w:t>
            </w:r>
          </w:p>
          <w:p w14:paraId="7C24A4A5" w14:textId="77777777" w:rsidR="00201026" w:rsidRPr="00D27BF1" w:rsidRDefault="00201026" w:rsidP="005905DA">
            <w:pPr>
              <w:pStyle w:val="Tabletext"/>
              <w:keepNext/>
              <w:keepLines/>
            </w:pPr>
            <w:r w:rsidRPr="00D27BF1">
              <w:t>N=407*</w:t>
            </w:r>
          </w:p>
        </w:tc>
        <w:tc>
          <w:tcPr>
            <w:tcW w:w="1323" w:type="dxa"/>
            <w:vMerge w:val="restart"/>
            <w:tcBorders>
              <w:left w:val="single" w:sz="4" w:space="0" w:color="auto"/>
              <w:right w:val="single" w:sz="4" w:space="0" w:color="auto"/>
            </w:tcBorders>
            <w:vAlign w:val="center"/>
          </w:tcPr>
          <w:p w14:paraId="24CD550A" w14:textId="77777777" w:rsidR="00201026" w:rsidRPr="00D27BF1" w:rsidRDefault="00201026" w:rsidP="005905DA">
            <w:pPr>
              <w:pStyle w:val="Tabletext"/>
              <w:keepNext/>
              <w:keepLines/>
              <w:jc w:val="center"/>
            </w:pPr>
            <w:r w:rsidRPr="00D27BF1">
              <w:t>Phase 3, R, DB, PC, MC, PG</w:t>
            </w:r>
          </w:p>
          <w:p w14:paraId="7444274A" w14:textId="77777777" w:rsidR="00201026" w:rsidRPr="00D27BF1" w:rsidRDefault="00201026" w:rsidP="005905DA">
            <w:pPr>
              <w:pStyle w:val="Tabletext"/>
              <w:keepNext/>
              <w:keepLines/>
              <w:jc w:val="center"/>
            </w:pPr>
          </w:p>
          <w:p w14:paraId="75A426BC" w14:textId="77777777" w:rsidR="00201026" w:rsidRPr="00D27BF1" w:rsidRDefault="00201026" w:rsidP="005905DA">
            <w:pPr>
              <w:pStyle w:val="Tabletext"/>
              <w:keepNext/>
              <w:keepLines/>
              <w:jc w:val="center"/>
            </w:pPr>
            <w:r w:rsidRPr="00D27BF1">
              <w:t>Trial duration of treatment of 48 weeks (sufficient for 52 weeks of treatment), followed by 24 week duration of follow-up (for patients entering this latter phase).</w:t>
            </w:r>
          </w:p>
        </w:tc>
        <w:tc>
          <w:tcPr>
            <w:tcW w:w="1323" w:type="dxa"/>
            <w:vMerge w:val="restart"/>
            <w:tcBorders>
              <w:left w:val="single" w:sz="4" w:space="0" w:color="auto"/>
              <w:right w:val="single" w:sz="4" w:space="0" w:color="auto"/>
            </w:tcBorders>
            <w:vAlign w:val="center"/>
          </w:tcPr>
          <w:p w14:paraId="356EE705" w14:textId="77777777" w:rsidR="00201026" w:rsidRPr="00D27BF1" w:rsidRDefault="00201026" w:rsidP="005905DA">
            <w:pPr>
              <w:pStyle w:val="Tabletext"/>
              <w:keepNext/>
              <w:keepLines/>
              <w:jc w:val="center"/>
            </w:pPr>
            <w:r w:rsidRPr="00D27BF1">
              <w:t>MEPO: 100mg, SC, Q4W</w:t>
            </w:r>
          </w:p>
          <w:p w14:paraId="7AA173DE" w14:textId="77777777" w:rsidR="00201026" w:rsidRPr="00D27BF1" w:rsidRDefault="00201026" w:rsidP="005905DA">
            <w:pPr>
              <w:pStyle w:val="Tabletext"/>
              <w:keepNext/>
              <w:keepLines/>
              <w:jc w:val="center"/>
            </w:pPr>
            <w:r w:rsidRPr="00D27BF1">
              <w:t>vs.</w:t>
            </w:r>
          </w:p>
          <w:p w14:paraId="1EE70FAD" w14:textId="77777777" w:rsidR="00201026" w:rsidRPr="00D27BF1" w:rsidRDefault="00201026" w:rsidP="005905DA">
            <w:pPr>
              <w:pStyle w:val="Tabletext"/>
              <w:keepNext/>
              <w:keepLines/>
              <w:jc w:val="center"/>
            </w:pPr>
            <w:r w:rsidRPr="00D27BF1">
              <w:t>PLA: SC, Q4W</w:t>
            </w:r>
          </w:p>
        </w:tc>
        <w:tc>
          <w:tcPr>
            <w:tcW w:w="1323" w:type="dxa"/>
            <w:vMerge w:val="restart"/>
            <w:tcBorders>
              <w:left w:val="single" w:sz="4" w:space="0" w:color="auto"/>
              <w:right w:val="single" w:sz="4" w:space="0" w:color="auto"/>
            </w:tcBorders>
            <w:vAlign w:val="center"/>
          </w:tcPr>
          <w:p w14:paraId="2151156C" w14:textId="77777777" w:rsidR="00201026" w:rsidRPr="00D27BF1" w:rsidRDefault="00201026" w:rsidP="005905DA">
            <w:pPr>
              <w:pStyle w:val="Tabletext"/>
              <w:keepNext/>
              <w:keepLines/>
              <w:jc w:val="center"/>
            </w:pPr>
            <w:r w:rsidRPr="00D27BF1">
              <w:t>Adults with recurrent CRSwNP, a history of at least one prior surgery for NP, recurrent NP despite treatment with current SoC and in current need for NP surgery.</w:t>
            </w:r>
          </w:p>
        </w:tc>
        <w:tc>
          <w:tcPr>
            <w:tcW w:w="709" w:type="dxa"/>
            <w:vMerge w:val="restart"/>
            <w:tcBorders>
              <w:left w:val="single" w:sz="4" w:space="0" w:color="auto"/>
              <w:right w:val="single" w:sz="4" w:space="0" w:color="auto"/>
            </w:tcBorders>
            <w:vAlign w:val="center"/>
          </w:tcPr>
          <w:p w14:paraId="3EAFA534" w14:textId="77777777" w:rsidR="00201026" w:rsidRPr="00D27BF1" w:rsidRDefault="002F32ED" w:rsidP="005905DA">
            <w:pPr>
              <w:pStyle w:val="Tabletext"/>
              <w:keepNext/>
              <w:keepLines/>
              <w:jc w:val="center"/>
            </w:pPr>
            <w:r w:rsidRPr="00D27BF1">
              <w:t>Low</w:t>
            </w:r>
          </w:p>
        </w:tc>
        <w:tc>
          <w:tcPr>
            <w:tcW w:w="1746" w:type="dxa"/>
            <w:tcBorders>
              <w:left w:val="single" w:sz="4" w:space="0" w:color="auto"/>
              <w:bottom w:val="nil"/>
              <w:right w:val="single" w:sz="4" w:space="0" w:color="auto"/>
            </w:tcBorders>
            <w:vAlign w:val="center"/>
          </w:tcPr>
          <w:p w14:paraId="736194FA" w14:textId="77777777" w:rsidR="00201026" w:rsidRPr="00D27BF1" w:rsidRDefault="00DD41AD" w:rsidP="005905DA">
            <w:pPr>
              <w:pStyle w:val="Tabletext"/>
              <w:keepNext/>
              <w:keepLines/>
              <w:jc w:val="center"/>
            </w:pPr>
            <w:r w:rsidRPr="00D27BF1">
              <w:t xml:space="preserve">Co-primary: </w:t>
            </w:r>
            <w:r w:rsidR="00201026" w:rsidRPr="00D27BF1">
              <w:t>Change from baseline total ENP score at week 52</w:t>
            </w:r>
          </w:p>
        </w:tc>
        <w:tc>
          <w:tcPr>
            <w:tcW w:w="1747" w:type="dxa"/>
            <w:tcBorders>
              <w:top w:val="single" w:sz="4" w:space="0" w:color="auto"/>
              <w:left w:val="single" w:sz="4" w:space="0" w:color="auto"/>
              <w:bottom w:val="nil"/>
              <w:right w:val="single" w:sz="4" w:space="0" w:color="auto"/>
            </w:tcBorders>
            <w:vAlign w:val="center"/>
          </w:tcPr>
          <w:p w14:paraId="019D39E7" w14:textId="77777777" w:rsidR="00201026" w:rsidRPr="00D27BF1" w:rsidRDefault="00201026" w:rsidP="005905DA">
            <w:pPr>
              <w:pStyle w:val="Tabletext"/>
              <w:keepNext/>
              <w:keepLines/>
              <w:jc w:val="center"/>
            </w:pPr>
            <w:r w:rsidRPr="00D27BF1">
              <w:t xml:space="preserve">Yes, in combination with co-primary outcome </w:t>
            </w:r>
            <w:r w:rsidR="002F32ED" w:rsidRPr="00D27BF1">
              <w:t xml:space="preserve">of </w:t>
            </w:r>
            <w:r w:rsidRPr="00D27BF1">
              <w:t>NO-VAS score</w:t>
            </w:r>
            <w:r w:rsidR="002F32ED" w:rsidRPr="00D27BF1">
              <w:t xml:space="preserve"> to determine responder status</w:t>
            </w:r>
          </w:p>
        </w:tc>
      </w:tr>
      <w:tr w:rsidR="00201026" w:rsidRPr="00D27BF1" w14:paraId="4DF514A3" w14:textId="77777777" w:rsidTr="005905DA">
        <w:trPr>
          <w:tblHeader/>
        </w:trPr>
        <w:tc>
          <w:tcPr>
            <w:tcW w:w="846" w:type="dxa"/>
            <w:vMerge/>
            <w:tcBorders>
              <w:left w:val="single" w:sz="4" w:space="0" w:color="auto"/>
              <w:right w:val="single" w:sz="4" w:space="0" w:color="auto"/>
            </w:tcBorders>
            <w:vAlign w:val="center"/>
          </w:tcPr>
          <w:p w14:paraId="60351E39" w14:textId="77777777" w:rsidR="00201026" w:rsidRPr="00D27BF1" w:rsidRDefault="00201026" w:rsidP="005905DA">
            <w:pPr>
              <w:pStyle w:val="Tabletext"/>
              <w:keepNext/>
              <w:keepLines/>
            </w:pPr>
          </w:p>
        </w:tc>
        <w:tc>
          <w:tcPr>
            <w:tcW w:w="1323" w:type="dxa"/>
            <w:vMerge/>
            <w:tcBorders>
              <w:left w:val="single" w:sz="4" w:space="0" w:color="auto"/>
              <w:right w:val="single" w:sz="4" w:space="0" w:color="auto"/>
            </w:tcBorders>
            <w:vAlign w:val="center"/>
          </w:tcPr>
          <w:p w14:paraId="70D56B2D" w14:textId="77777777" w:rsidR="00201026" w:rsidRPr="00D27BF1" w:rsidRDefault="00201026" w:rsidP="005905DA">
            <w:pPr>
              <w:pStyle w:val="Tabletext"/>
              <w:keepNext/>
              <w:keepLines/>
              <w:jc w:val="center"/>
            </w:pPr>
          </w:p>
        </w:tc>
        <w:tc>
          <w:tcPr>
            <w:tcW w:w="1323" w:type="dxa"/>
            <w:vMerge/>
            <w:tcBorders>
              <w:left w:val="single" w:sz="4" w:space="0" w:color="auto"/>
              <w:right w:val="single" w:sz="4" w:space="0" w:color="auto"/>
            </w:tcBorders>
            <w:vAlign w:val="center"/>
          </w:tcPr>
          <w:p w14:paraId="467D863F" w14:textId="77777777" w:rsidR="00201026" w:rsidRPr="00D27BF1" w:rsidRDefault="00201026" w:rsidP="005905DA">
            <w:pPr>
              <w:pStyle w:val="Tabletext"/>
              <w:keepNext/>
              <w:keepLines/>
              <w:jc w:val="center"/>
            </w:pPr>
          </w:p>
        </w:tc>
        <w:tc>
          <w:tcPr>
            <w:tcW w:w="1323" w:type="dxa"/>
            <w:vMerge/>
            <w:tcBorders>
              <w:left w:val="single" w:sz="4" w:space="0" w:color="auto"/>
              <w:right w:val="single" w:sz="4" w:space="0" w:color="auto"/>
            </w:tcBorders>
            <w:vAlign w:val="center"/>
          </w:tcPr>
          <w:p w14:paraId="5894041D" w14:textId="77777777" w:rsidR="00201026" w:rsidRPr="00D27BF1" w:rsidRDefault="00201026" w:rsidP="005905DA">
            <w:pPr>
              <w:pStyle w:val="Tabletext"/>
              <w:keepNext/>
              <w:keepLines/>
              <w:jc w:val="center"/>
            </w:pPr>
          </w:p>
        </w:tc>
        <w:tc>
          <w:tcPr>
            <w:tcW w:w="709" w:type="dxa"/>
            <w:vMerge/>
            <w:tcBorders>
              <w:left w:val="single" w:sz="4" w:space="0" w:color="auto"/>
              <w:right w:val="single" w:sz="4" w:space="0" w:color="auto"/>
            </w:tcBorders>
            <w:vAlign w:val="center"/>
          </w:tcPr>
          <w:p w14:paraId="416EB596" w14:textId="77777777" w:rsidR="00201026" w:rsidRPr="00D27BF1" w:rsidRDefault="00201026" w:rsidP="005905DA">
            <w:pPr>
              <w:pStyle w:val="Tabletext"/>
              <w:keepNext/>
              <w:keepLines/>
              <w:jc w:val="center"/>
            </w:pPr>
          </w:p>
        </w:tc>
        <w:tc>
          <w:tcPr>
            <w:tcW w:w="1746" w:type="dxa"/>
            <w:tcBorders>
              <w:top w:val="nil"/>
              <w:left w:val="single" w:sz="4" w:space="0" w:color="auto"/>
              <w:bottom w:val="nil"/>
              <w:right w:val="single" w:sz="4" w:space="0" w:color="auto"/>
            </w:tcBorders>
            <w:vAlign w:val="center"/>
          </w:tcPr>
          <w:p w14:paraId="4F39084B" w14:textId="77777777" w:rsidR="00201026" w:rsidRPr="00D27BF1" w:rsidRDefault="00DD41AD" w:rsidP="005905DA">
            <w:pPr>
              <w:pStyle w:val="Tabletext"/>
              <w:keepNext/>
              <w:keepLines/>
              <w:jc w:val="center"/>
            </w:pPr>
            <w:r w:rsidRPr="00D27BF1">
              <w:t xml:space="preserve">Co-primary: </w:t>
            </w:r>
            <w:r w:rsidR="00201026" w:rsidRPr="00D27BF1">
              <w:t>Change from baseline mean NO-VAS score during the 4 weeks prior to week 52</w:t>
            </w:r>
          </w:p>
        </w:tc>
        <w:tc>
          <w:tcPr>
            <w:tcW w:w="1747" w:type="dxa"/>
            <w:tcBorders>
              <w:top w:val="nil"/>
              <w:left w:val="single" w:sz="4" w:space="0" w:color="auto"/>
              <w:bottom w:val="nil"/>
              <w:right w:val="single" w:sz="4" w:space="0" w:color="auto"/>
            </w:tcBorders>
            <w:vAlign w:val="center"/>
          </w:tcPr>
          <w:p w14:paraId="5A00060D" w14:textId="649BF2B5" w:rsidR="00201026" w:rsidRPr="00D27BF1" w:rsidRDefault="00201026" w:rsidP="005905DA">
            <w:pPr>
              <w:pStyle w:val="Tabletext"/>
              <w:keepNext/>
              <w:keepLines/>
              <w:jc w:val="center"/>
            </w:pPr>
            <w:r w:rsidRPr="00D27BF1">
              <w:t xml:space="preserve">Yes, in combination with co-primary outcome </w:t>
            </w:r>
            <w:r w:rsidR="002F32ED" w:rsidRPr="00D27BF1">
              <w:t xml:space="preserve">of </w:t>
            </w:r>
            <w:r w:rsidRPr="00D27BF1">
              <w:t>ENP score</w:t>
            </w:r>
            <w:r w:rsidR="002F32ED" w:rsidRPr="00D27BF1">
              <w:t xml:space="preserve"> to determine responder status</w:t>
            </w:r>
          </w:p>
        </w:tc>
      </w:tr>
      <w:tr w:rsidR="00201026" w:rsidRPr="00D27BF1" w14:paraId="07ADA5A4" w14:textId="77777777" w:rsidTr="005905DA">
        <w:trPr>
          <w:tblHeader/>
        </w:trPr>
        <w:tc>
          <w:tcPr>
            <w:tcW w:w="846" w:type="dxa"/>
            <w:vMerge/>
            <w:tcBorders>
              <w:left w:val="single" w:sz="4" w:space="0" w:color="auto"/>
              <w:right w:val="single" w:sz="4" w:space="0" w:color="auto"/>
            </w:tcBorders>
            <w:vAlign w:val="center"/>
          </w:tcPr>
          <w:p w14:paraId="4E258AFA" w14:textId="77777777" w:rsidR="00201026" w:rsidRPr="00D27BF1" w:rsidRDefault="00201026" w:rsidP="005905DA">
            <w:pPr>
              <w:pStyle w:val="Tabletext"/>
              <w:keepNext/>
              <w:keepLines/>
            </w:pPr>
          </w:p>
        </w:tc>
        <w:tc>
          <w:tcPr>
            <w:tcW w:w="1323" w:type="dxa"/>
            <w:vMerge/>
            <w:tcBorders>
              <w:left w:val="single" w:sz="4" w:space="0" w:color="auto"/>
              <w:right w:val="single" w:sz="4" w:space="0" w:color="auto"/>
            </w:tcBorders>
            <w:vAlign w:val="center"/>
          </w:tcPr>
          <w:p w14:paraId="115189E4" w14:textId="77777777" w:rsidR="00201026" w:rsidRPr="00D27BF1" w:rsidRDefault="00201026" w:rsidP="005905DA">
            <w:pPr>
              <w:pStyle w:val="Tabletext"/>
              <w:keepNext/>
              <w:keepLines/>
              <w:jc w:val="center"/>
            </w:pPr>
          </w:p>
        </w:tc>
        <w:tc>
          <w:tcPr>
            <w:tcW w:w="1323" w:type="dxa"/>
            <w:vMerge/>
            <w:tcBorders>
              <w:left w:val="single" w:sz="4" w:space="0" w:color="auto"/>
              <w:right w:val="single" w:sz="4" w:space="0" w:color="auto"/>
            </w:tcBorders>
            <w:vAlign w:val="center"/>
          </w:tcPr>
          <w:p w14:paraId="0023A6FB" w14:textId="77777777" w:rsidR="00201026" w:rsidRPr="00D27BF1" w:rsidRDefault="00201026" w:rsidP="005905DA">
            <w:pPr>
              <w:pStyle w:val="Tabletext"/>
              <w:keepNext/>
              <w:keepLines/>
              <w:jc w:val="center"/>
            </w:pPr>
          </w:p>
        </w:tc>
        <w:tc>
          <w:tcPr>
            <w:tcW w:w="1323" w:type="dxa"/>
            <w:vMerge/>
            <w:tcBorders>
              <w:left w:val="single" w:sz="4" w:space="0" w:color="auto"/>
              <w:right w:val="single" w:sz="4" w:space="0" w:color="auto"/>
            </w:tcBorders>
            <w:vAlign w:val="center"/>
          </w:tcPr>
          <w:p w14:paraId="72C992AB" w14:textId="77777777" w:rsidR="00201026" w:rsidRPr="00D27BF1" w:rsidRDefault="00201026" w:rsidP="005905DA">
            <w:pPr>
              <w:pStyle w:val="Tabletext"/>
              <w:keepNext/>
              <w:keepLines/>
              <w:jc w:val="center"/>
            </w:pPr>
          </w:p>
        </w:tc>
        <w:tc>
          <w:tcPr>
            <w:tcW w:w="709" w:type="dxa"/>
            <w:vMerge/>
            <w:tcBorders>
              <w:left w:val="single" w:sz="4" w:space="0" w:color="auto"/>
              <w:right w:val="single" w:sz="4" w:space="0" w:color="auto"/>
            </w:tcBorders>
            <w:vAlign w:val="center"/>
          </w:tcPr>
          <w:p w14:paraId="3A0C9FC3" w14:textId="77777777" w:rsidR="00201026" w:rsidRPr="00D27BF1" w:rsidRDefault="00201026" w:rsidP="005905DA">
            <w:pPr>
              <w:pStyle w:val="Tabletext"/>
              <w:keepNext/>
              <w:keepLines/>
              <w:jc w:val="center"/>
            </w:pPr>
          </w:p>
        </w:tc>
        <w:tc>
          <w:tcPr>
            <w:tcW w:w="1746" w:type="dxa"/>
            <w:tcBorders>
              <w:top w:val="nil"/>
              <w:left w:val="single" w:sz="4" w:space="0" w:color="auto"/>
              <w:bottom w:val="nil"/>
              <w:right w:val="single" w:sz="4" w:space="0" w:color="auto"/>
            </w:tcBorders>
            <w:vAlign w:val="center"/>
          </w:tcPr>
          <w:p w14:paraId="1159C473" w14:textId="77777777" w:rsidR="00201026" w:rsidRPr="00D27BF1" w:rsidRDefault="00DD41AD" w:rsidP="005905DA">
            <w:pPr>
              <w:pStyle w:val="Tabletext"/>
              <w:keepNext/>
              <w:keepLines/>
              <w:jc w:val="center"/>
            </w:pPr>
            <w:r w:rsidRPr="00D27BF1">
              <w:t xml:space="preserve">Secondary: </w:t>
            </w:r>
            <w:r w:rsidR="00201026" w:rsidRPr="00D27BF1">
              <w:t>Time to first actual surgery</w:t>
            </w:r>
          </w:p>
        </w:tc>
        <w:tc>
          <w:tcPr>
            <w:tcW w:w="1747" w:type="dxa"/>
            <w:tcBorders>
              <w:top w:val="nil"/>
              <w:left w:val="single" w:sz="4" w:space="0" w:color="auto"/>
              <w:bottom w:val="nil"/>
              <w:right w:val="single" w:sz="4" w:space="0" w:color="auto"/>
            </w:tcBorders>
            <w:vAlign w:val="center"/>
          </w:tcPr>
          <w:p w14:paraId="3BD223A1" w14:textId="77777777" w:rsidR="00201026" w:rsidRPr="00D27BF1" w:rsidRDefault="00201026" w:rsidP="005905DA">
            <w:pPr>
              <w:pStyle w:val="Tabletext"/>
              <w:keepNext/>
              <w:keepLines/>
              <w:jc w:val="center"/>
            </w:pPr>
            <w:r w:rsidRPr="00D27BF1">
              <w:t>Yes</w:t>
            </w:r>
          </w:p>
        </w:tc>
      </w:tr>
      <w:tr w:rsidR="00201026" w:rsidRPr="00D27BF1" w14:paraId="260AF593" w14:textId="77777777" w:rsidTr="005905DA">
        <w:trPr>
          <w:tblHeader/>
        </w:trPr>
        <w:tc>
          <w:tcPr>
            <w:tcW w:w="846" w:type="dxa"/>
            <w:vMerge/>
            <w:tcBorders>
              <w:left w:val="single" w:sz="4" w:space="0" w:color="auto"/>
              <w:right w:val="single" w:sz="4" w:space="0" w:color="auto"/>
            </w:tcBorders>
            <w:vAlign w:val="center"/>
          </w:tcPr>
          <w:p w14:paraId="2BB8495D" w14:textId="77777777" w:rsidR="00201026" w:rsidRPr="00D27BF1" w:rsidRDefault="00201026" w:rsidP="005905DA">
            <w:pPr>
              <w:pStyle w:val="Tabletext"/>
              <w:keepNext/>
              <w:keepLines/>
            </w:pPr>
          </w:p>
        </w:tc>
        <w:tc>
          <w:tcPr>
            <w:tcW w:w="1323" w:type="dxa"/>
            <w:vMerge/>
            <w:tcBorders>
              <w:left w:val="single" w:sz="4" w:space="0" w:color="auto"/>
              <w:right w:val="single" w:sz="4" w:space="0" w:color="auto"/>
            </w:tcBorders>
            <w:vAlign w:val="center"/>
          </w:tcPr>
          <w:p w14:paraId="57E344E2" w14:textId="77777777" w:rsidR="00201026" w:rsidRPr="00D27BF1" w:rsidRDefault="00201026" w:rsidP="005905DA">
            <w:pPr>
              <w:pStyle w:val="Tabletext"/>
              <w:keepNext/>
              <w:keepLines/>
              <w:jc w:val="center"/>
            </w:pPr>
          </w:p>
        </w:tc>
        <w:tc>
          <w:tcPr>
            <w:tcW w:w="1323" w:type="dxa"/>
            <w:vMerge/>
            <w:tcBorders>
              <w:left w:val="single" w:sz="4" w:space="0" w:color="auto"/>
              <w:right w:val="single" w:sz="4" w:space="0" w:color="auto"/>
            </w:tcBorders>
            <w:vAlign w:val="center"/>
          </w:tcPr>
          <w:p w14:paraId="44D6729C" w14:textId="77777777" w:rsidR="00201026" w:rsidRPr="00D27BF1" w:rsidRDefault="00201026" w:rsidP="005905DA">
            <w:pPr>
              <w:pStyle w:val="Tabletext"/>
              <w:keepNext/>
              <w:keepLines/>
              <w:jc w:val="center"/>
            </w:pPr>
          </w:p>
        </w:tc>
        <w:tc>
          <w:tcPr>
            <w:tcW w:w="1323" w:type="dxa"/>
            <w:vMerge/>
            <w:tcBorders>
              <w:left w:val="single" w:sz="4" w:space="0" w:color="auto"/>
              <w:right w:val="single" w:sz="4" w:space="0" w:color="auto"/>
            </w:tcBorders>
            <w:vAlign w:val="center"/>
          </w:tcPr>
          <w:p w14:paraId="71F7A2B6" w14:textId="77777777" w:rsidR="00201026" w:rsidRPr="00D27BF1" w:rsidRDefault="00201026" w:rsidP="005905DA">
            <w:pPr>
              <w:pStyle w:val="Tabletext"/>
              <w:keepNext/>
              <w:keepLines/>
              <w:jc w:val="center"/>
            </w:pPr>
          </w:p>
        </w:tc>
        <w:tc>
          <w:tcPr>
            <w:tcW w:w="709" w:type="dxa"/>
            <w:vMerge/>
            <w:tcBorders>
              <w:left w:val="single" w:sz="4" w:space="0" w:color="auto"/>
              <w:right w:val="single" w:sz="4" w:space="0" w:color="auto"/>
            </w:tcBorders>
            <w:vAlign w:val="center"/>
          </w:tcPr>
          <w:p w14:paraId="442A0A5E" w14:textId="77777777" w:rsidR="00201026" w:rsidRPr="00D27BF1" w:rsidRDefault="00201026" w:rsidP="005905DA">
            <w:pPr>
              <w:pStyle w:val="Tabletext"/>
              <w:keepNext/>
              <w:keepLines/>
              <w:jc w:val="center"/>
            </w:pPr>
          </w:p>
        </w:tc>
        <w:tc>
          <w:tcPr>
            <w:tcW w:w="1746" w:type="dxa"/>
            <w:tcBorders>
              <w:top w:val="nil"/>
              <w:left w:val="single" w:sz="4" w:space="0" w:color="auto"/>
              <w:bottom w:val="nil"/>
              <w:right w:val="single" w:sz="4" w:space="0" w:color="auto"/>
            </w:tcBorders>
            <w:vAlign w:val="center"/>
          </w:tcPr>
          <w:p w14:paraId="1BDC8181" w14:textId="77777777" w:rsidR="00201026" w:rsidRPr="00D27BF1" w:rsidRDefault="00DD41AD" w:rsidP="005905DA">
            <w:pPr>
              <w:pStyle w:val="Tabletext"/>
              <w:keepNext/>
              <w:keepLines/>
              <w:jc w:val="center"/>
            </w:pPr>
            <w:r w:rsidRPr="00D27BF1">
              <w:t xml:space="preserve">Secondary: </w:t>
            </w:r>
            <w:r w:rsidR="00201026" w:rsidRPr="00D27BF1">
              <w:t>Change in VAS symptom score</w:t>
            </w:r>
          </w:p>
        </w:tc>
        <w:tc>
          <w:tcPr>
            <w:tcW w:w="1747" w:type="dxa"/>
            <w:tcBorders>
              <w:top w:val="nil"/>
              <w:left w:val="single" w:sz="4" w:space="0" w:color="auto"/>
              <w:bottom w:val="nil"/>
              <w:right w:val="single" w:sz="4" w:space="0" w:color="auto"/>
            </w:tcBorders>
            <w:vAlign w:val="center"/>
          </w:tcPr>
          <w:p w14:paraId="75610508" w14:textId="77777777" w:rsidR="00201026" w:rsidRPr="00D27BF1" w:rsidRDefault="002F32ED" w:rsidP="005905DA">
            <w:pPr>
              <w:pStyle w:val="Tabletext"/>
              <w:keepNext/>
              <w:keepLines/>
              <w:jc w:val="center"/>
            </w:pPr>
            <w:r w:rsidRPr="00D27BF1">
              <w:t>No</w:t>
            </w:r>
          </w:p>
        </w:tc>
      </w:tr>
      <w:tr w:rsidR="00201026" w:rsidRPr="00D27BF1" w14:paraId="4CD5822D" w14:textId="77777777" w:rsidTr="005905DA">
        <w:trPr>
          <w:tblHeader/>
        </w:trPr>
        <w:tc>
          <w:tcPr>
            <w:tcW w:w="846" w:type="dxa"/>
            <w:vMerge/>
            <w:tcBorders>
              <w:left w:val="single" w:sz="4" w:space="0" w:color="auto"/>
              <w:right w:val="single" w:sz="4" w:space="0" w:color="auto"/>
            </w:tcBorders>
            <w:vAlign w:val="center"/>
          </w:tcPr>
          <w:p w14:paraId="0D7BD103" w14:textId="77777777" w:rsidR="00201026" w:rsidRPr="00D27BF1" w:rsidRDefault="00201026" w:rsidP="005905DA">
            <w:pPr>
              <w:pStyle w:val="Tabletext"/>
              <w:keepNext/>
              <w:keepLines/>
            </w:pPr>
          </w:p>
        </w:tc>
        <w:tc>
          <w:tcPr>
            <w:tcW w:w="1323" w:type="dxa"/>
            <w:vMerge/>
            <w:tcBorders>
              <w:left w:val="single" w:sz="4" w:space="0" w:color="auto"/>
              <w:right w:val="single" w:sz="4" w:space="0" w:color="auto"/>
            </w:tcBorders>
            <w:vAlign w:val="center"/>
          </w:tcPr>
          <w:p w14:paraId="620E13F0" w14:textId="77777777" w:rsidR="00201026" w:rsidRPr="00D27BF1" w:rsidRDefault="00201026" w:rsidP="005905DA">
            <w:pPr>
              <w:pStyle w:val="Tabletext"/>
              <w:keepNext/>
              <w:keepLines/>
              <w:jc w:val="center"/>
            </w:pPr>
          </w:p>
        </w:tc>
        <w:tc>
          <w:tcPr>
            <w:tcW w:w="1323" w:type="dxa"/>
            <w:vMerge/>
            <w:tcBorders>
              <w:left w:val="single" w:sz="4" w:space="0" w:color="auto"/>
              <w:right w:val="single" w:sz="4" w:space="0" w:color="auto"/>
            </w:tcBorders>
            <w:vAlign w:val="center"/>
          </w:tcPr>
          <w:p w14:paraId="511FD2B3" w14:textId="77777777" w:rsidR="00201026" w:rsidRPr="00D27BF1" w:rsidRDefault="00201026" w:rsidP="005905DA">
            <w:pPr>
              <w:pStyle w:val="Tabletext"/>
              <w:keepNext/>
              <w:keepLines/>
              <w:jc w:val="center"/>
            </w:pPr>
          </w:p>
        </w:tc>
        <w:tc>
          <w:tcPr>
            <w:tcW w:w="1323" w:type="dxa"/>
            <w:vMerge/>
            <w:tcBorders>
              <w:left w:val="single" w:sz="4" w:space="0" w:color="auto"/>
              <w:right w:val="single" w:sz="4" w:space="0" w:color="auto"/>
            </w:tcBorders>
            <w:vAlign w:val="center"/>
          </w:tcPr>
          <w:p w14:paraId="4CE3082D" w14:textId="77777777" w:rsidR="00201026" w:rsidRPr="00D27BF1" w:rsidRDefault="00201026" w:rsidP="005905DA">
            <w:pPr>
              <w:pStyle w:val="Tabletext"/>
              <w:keepNext/>
              <w:keepLines/>
              <w:jc w:val="center"/>
            </w:pPr>
          </w:p>
        </w:tc>
        <w:tc>
          <w:tcPr>
            <w:tcW w:w="709" w:type="dxa"/>
            <w:vMerge/>
            <w:tcBorders>
              <w:left w:val="single" w:sz="4" w:space="0" w:color="auto"/>
              <w:right w:val="single" w:sz="4" w:space="0" w:color="auto"/>
            </w:tcBorders>
            <w:vAlign w:val="center"/>
          </w:tcPr>
          <w:p w14:paraId="3CBD7672" w14:textId="77777777" w:rsidR="00201026" w:rsidRPr="00D27BF1" w:rsidRDefault="00201026" w:rsidP="005905DA">
            <w:pPr>
              <w:pStyle w:val="Tabletext"/>
              <w:keepNext/>
              <w:keepLines/>
              <w:jc w:val="center"/>
            </w:pPr>
          </w:p>
        </w:tc>
        <w:tc>
          <w:tcPr>
            <w:tcW w:w="1746" w:type="dxa"/>
            <w:tcBorders>
              <w:top w:val="nil"/>
              <w:left w:val="single" w:sz="4" w:space="0" w:color="auto"/>
              <w:bottom w:val="nil"/>
              <w:right w:val="single" w:sz="4" w:space="0" w:color="auto"/>
            </w:tcBorders>
            <w:vAlign w:val="center"/>
          </w:tcPr>
          <w:p w14:paraId="4B75D3EC" w14:textId="77777777" w:rsidR="00201026" w:rsidRPr="00D27BF1" w:rsidRDefault="00DD41AD" w:rsidP="005905DA">
            <w:pPr>
              <w:pStyle w:val="Tabletext"/>
              <w:keepNext/>
              <w:keepLines/>
              <w:jc w:val="center"/>
            </w:pPr>
            <w:r w:rsidRPr="00D27BF1">
              <w:t xml:space="preserve">Secondary: </w:t>
            </w:r>
            <w:r w:rsidR="00201026" w:rsidRPr="00D27BF1">
              <w:t>SNOT-22 score</w:t>
            </w:r>
          </w:p>
        </w:tc>
        <w:tc>
          <w:tcPr>
            <w:tcW w:w="1747" w:type="dxa"/>
            <w:tcBorders>
              <w:top w:val="nil"/>
              <w:left w:val="single" w:sz="4" w:space="0" w:color="auto"/>
              <w:bottom w:val="nil"/>
              <w:right w:val="single" w:sz="4" w:space="0" w:color="auto"/>
            </w:tcBorders>
            <w:vAlign w:val="center"/>
          </w:tcPr>
          <w:p w14:paraId="024FDCC7" w14:textId="77777777" w:rsidR="00201026" w:rsidRPr="00D27BF1" w:rsidRDefault="002F32ED" w:rsidP="005905DA">
            <w:pPr>
              <w:pStyle w:val="Tabletext"/>
              <w:keepNext/>
              <w:keepLines/>
              <w:jc w:val="center"/>
            </w:pPr>
            <w:r w:rsidRPr="00D27BF1">
              <w:t>Yes, utilities were derived by mapping SNOT-22 results to the EQ-5D</w:t>
            </w:r>
          </w:p>
        </w:tc>
      </w:tr>
      <w:tr w:rsidR="00201026" w:rsidRPr="00D27BF1" w14:paraId="3569DEBE" w14:textId="77777777" w:rsidTr="005905DA">
        <w:trPr>
          <w:tblHeader/>
        </w:trPr>
        <w:tc>
          <w:tcPr>
            <w:tcW w:w="846" w:type="dxa"/>
            <w:vMerge/>
            <w:tcBorders>
              <w:left w:val="single" w:sz="4" w:space="0" w:color="auto"/>
              <w:bottom w:val="single" w:sz="4" w:space="0" w:color="auto"/>
              <w:right w:val="single" w:sz="4" w:space="0" w:color="auto"/>
            </w:tcBorders>
            <w:vAlign w:val="center"/>
          </w:tcPr>
          <w:p w14:paraId="35EFE7EB" w14:textId="77777777" w:rsidR="00201026" w:rsidRPr="00D27BF1" w:rsidRDefault="00201026" w:rsidP="005905DA">
            <w:pPr>
              <w:pStyle w:val="Tabletext"/>
              <w:keepNext/>
              <w:keepLines/>
            </w:pPr>
          </w:p>
        </w:tc>
        <w:tc>
          <w:tcPr>
            <w:tcW w:w="1323" w:type="dxa"/>
            <w:vMerge/>
            <w:tcBorders>
              <w:left w:val="single" w:sz="4" w:space="0" w:color="auto"/>
              <w:bottom w:val="single" w:sz="4" w:space="0" w:color="auto"/>
              <w:right w:val="single" w:sz="4" w:space="0" w:color="auto"/>
            </w:tcBorders>
            <w:vAlign w:val="center"/>
          </w:tcPr>
          <w:p w14:paraId="4FA0FE9B" w14:textId="77777777" w:rsidR="00201026" w:rsidRPr="00D27BF1" w:rsidRDefault="00201026" w:rsidP="005905DA">
            <w:pPr>
              <w:pStyle w:val="Tabletext"/>
              <w:keepNext/>
              <w:keepLines/>
              <w:jc w:val="center"/>
            </w:pPr>
          </w:p>
        </w:tc>
        <w:tc>
          <w:tcPr>
            <w:tcW w:w="1323" w:type="dxa"/>
            <w:vMerge/>
            <w:tcBorders>
              <w:left w:val="single" w:sz="4" w:space="0" w:color="auto"/>
              <w:bottom w:val="single" w:sz="4" w:space="0" w:color="auto"/>
              <w:right w:val="single" w:sz="4" w:space="0" w:color="auto"/>
            </w:tcBorders>
            <w:vAlign w:val="center"/>
          </w:tcPr>
          <w:p w14:paraId="6E547126" w14:textId="77777777" w:rsidR="00201026" w:rsidRPr="00D27BF1" w:rsidRDefault="00201026" w:rsidP="005905DA">
            <w:pPr>
              <w:pStyle w:val="Tabletext"/>
              <w:keepNext/>
              <w:keepLines/>
              <w:jc w:val="center"/>
            </w:pPr>
          </w:p>
        </w:tc>
        <w:tc>
          <w:tcPr>
            <w:tcW w:w="1323" w:type="dxa"/>
            <w:vMerge/>
            <w:tcBorders>
              <w:left w:val="single" w:sz="4" w:space="0" w:color="auto"/>
              <w:bottom w:val="single" w:sz="4" w:space="0" w:color="auto"/>
              <w:right w:val="single" w:sz="4" w:space="0" w:color="auto"/>
            </w:tcBorders>
            <w:vAlign w:val="center"/>
          </w:tcPr>
          <w:p w14:paraId="3885ADC6" w14:textId="77777777" w:rsidR="00201026" w:rsidRPr="00D27BF1" w:rsidRDefault="00201026" w:rsidP="005905DA">
            <w:pPr>
              <w:pStyle w:val="Tabletext"/>
              <w:keepNext/>
              <w:keepLines/>
              <w:jc w:val="center"/>
            </w:pPr>
          </w:p>
        </w:tc>
        <w:tc>
          <w:tcPr>
            <w:tcW w:w="709" w:type="dxa"/>
            <w:vMerge/>
            <w:tcBorders>
              <w:left w:val="single" w:sz="4" w:space="0" w:color="auto"/>
              <w:bottom w:val="single" w:sz="4" w:space="0" w:color="auto"/>
              <w:right w:val="single" w:sz="4" w:space="0" w:color="auto"/>
            </w:tcBorders>
            <w:vAlign w:val="center"/>
          </w:tcPr>
          <w:p w14:paraId="7B685F37" w14:textId="77777777" w:rsidR="00201026" w:rsidRPr="00D27BF1" w:rsidRDefault="00201026" w:rsidP="005905DA">
            <w:pPr>
              <w:pStyle w:val="Tabletext"/>
              <w:keepNext/>
              <w:keepLines/>
              <w:jc w:val="center"/>
            </w:pPr>
          </w:p>
        </w:tc>
        <w:tc>
          <w:tcPr>
            <w:tcW w:w="1746" w:type="dxa"/>
            <w:tcBorders>
              <w:top w:val="nil"/>
              <w:left w:val="single" w:sz="4" w:space="0" w:color="auto"/>
              <w:bottom w:val="single" w:sz="4" w:space="0" w:color="auto"/>
              <w:right w:val="single" w:sz="4" w:space="0" w:color="auto"/>
            </w:tcBorders>
            <w:vAlign w:val="center"/>
          </w:tcPr>
          <w:p w14:paraId="6E19BC76" w14:textId="77777777" w:rsidR="00201026" w:rsidRPr="00D27BF1" w:rsidRDefault="00DD41AD" w:rsidP="005905DA">
            <w:pPr>
              <w:pStyle w:val="Tabletext"/>
              <w:keepNext/>
              <w:keepLines/>
              <w:jc w:val="center"/>
            </w:pPr>
            <w:r w:rsidRPr="00D27BF1">
              <w:t xml:space="preserve">Secondary: </w:t>
            </w:r>
            <w:r w:rsidR="00201026" w:rsidRPr="00D27BF1">
              <w:t>Requirement for systemic steroid use</w:t>
            </w:r>
          </w:p>
        </w:tc>
        <w:tc>
          <w:tcPr>
            <w:tcW w:w="1747" w:type="dxa"/>
            <w:tcBorders>
              <w:top w:val="nil"/>
              <w:left w:val="single" w:sz="4" w:space="0" w:color="auto"/>
              <w:bottom w:val="single" w:sz="4" w:space="0" w:color="auto"/>
              <w:right w:val="single" w:sz="4" w:space="0" w:color="auto"/>
            </w:tcBorders>
            <w:vAlign w:val="center"/>
          </w:tcPr>
          <w:p w14:paraId="6C5FE1E4" w14:textId="77777777" w:rsidR="00201026" w:rsidRPr="00D27BF1" w:rsidRDefault="002F32ED" w:rsidP="005905DA">
            <w:pPr>
              <w:pStyle w:val="Tabletext"/>
              <w:keepNext/>
              <w:keepLines/>
              <w:jc w:val="center"/>
            </w:pPr>
            <w:r w:rsidRPr="00D27BF1">
              <w:t>Yes</w:t>
            </w:r>
          </w:p>
        </w:tc>
      </w:tr>
    </w:tbl>
    <w:p w14:paraId="3992DCB1" w14:textId="77777777" w:rsidR="002D306A" w:rsidRPr="00D27BF1" w:rsidRDefault="002D306A" w:rsidP="00542D07">
      <w:pPr>
        <w:pStyle w:val="TableFooter"/>
        <w:keepNext/>
        <w:keepLines/>
      </w:pPr>
      <w:r w:rsidRPr="00D27BF1">
        <w:t>Source: Table 2-5, p47 of the submission.</w:t>
      </w:r>
    </w:p>
    <w:p w14:paraId="52293895" w14:textId="77777777" w:rsidR="002D306A" w:rsidRPr="00D27BF1" w:rsidRDefault="002D306A" w:rsidP="00542D07">
      <w:pPr>
        <w:pStyle w:val="TableFooter"/>
        <w:keepNext/>
        <w:keepLines/>
      </w:pPr>
      <w:r w:rsidRPr="00D27BF1">
        <w:t>CRSwNP= chronic rhinosinusitis with nasal polyps; DB= double blind; ENP= endoscopic nasal polyp;</w:t>
      </w:r>
      <w:r w:rsidR="00F70352" w:rsidRPr="00D27BF1">
        <w:t xml:space="preserve"> EQ-5D= European quality of life five dimension;</w:t>
      </w:r>
      <w:r w:rsidRPr="00D27BF1">
        <w:t xml:space="preserve"> MC= multicentre; MEPO = mepolizumab; MF= mometasone furoate; NO-VAS= nasal obstruction-visual analogue scale; NP= nasal polyps; PC= placebo-controlled; PG= parallel group; PLA= placebo; Q4W= every 4 weeks; R= randomised; SoC= standard of care; SNOT-22= Sino-nasal outcomes test (22 items); VAS= visual analogue scale</w:t>
      </w:r>
    </w:p>
    <w:p w14:paraId="126C9482" w14:textId="77777777" w:rsidR="002D306A" w:rsidRPr="00D27BF1" w:rsidRDefault="002D306A" w:rsidP="00542D07">
      <w:pPr>
        <w:pStyle w:val="TableFooter"/>
        <w:keepNext/>
        <w:keepLines/>
      </w:pPr>
      <w:r w:rsidRPr="00D27BF1">
        <w:t>* Intent-to-treat population.</w:t>
      </w:r>
    </w:p>
    <w:p w14:paraId="6A89F3AD" w14:textId="77777777" w:rsidR="007F1017" w:rsidRPr="00D27BF1" w:rsidRDefault="007F1017" w:rsidP="007F1017"/>
    <w:p w14:paraId="49561362" w14:textId="77777777" w:rsidR="001F3D57" w:rsidRPr="00D27BF1" w:rsidRDefault="001F3D57" w:rsidP="00B313EF">
      <w:pPr>
        <w:pStyle w:val="ListParagraph"/>
        <w:widowControl/>
        <w:numPr>
          <w:ilvl w:val="1"/>
          <w:numId w:val="2"/>
        </w:numPr>
        <w:spacing w:after="0"/>
      </w:pPr>
      <w:r w:rsidRPr="00D27BF1">
        <w:t xml:space="preserve">In addition to the study treatment, all patients were treated with </w:t>
      </w:r>
      <w:r w:rsidR="00552AD3" w:rsidRPr="00D27BF1">
        <w:t xml:space="preserve">the following concomitant therapy </w:t>
      </w:r>
      <w:r w:rsidRPr="00D27BF1">
        <w:t>for CRSwNP throughout the study (run-in, treatment and no-treatment follow-up periods:</w:t>
      </w:r>
    </w:p>
    <w:p w14:paraId="063260C9" w14:textId="77777777" w:rsidR="001F3D57" w:rsidRPr="00D27BF1" w:rsidRDefault="001F3D57" w:rsidP="001F3D57">
      <w:pPr>
        <w:pStyle w:val="Bulletpoints"/>
      </w:pPr>
      <w:r w:rsidRPr="00D27BF1">
        <w:t xml:space="preserve">Daily </w:t>
      </w:r>
      <w:r w:rsidR="00542D07" w:rsidRPr="00D27BF1">
        <w:t>mometasone furoate (</w:t>
      </w:r>
      <w:r w:rsidRPr="00D27BF1">
        <w:t>MF</w:t>
      </w:r>
      <w:r w:rsidR="00542D07" w:rsidRPr="00D27BF1">
        <w:t>) intranasally</w:t>
      </w:r>
      <w:r w:rsidRPr="00D27BF1">
        <w:t>; and</w:t>
      </w:r>
    </w:p>
    <w:p w14:paraId="55B7ABC0" w14:textId="77777777" w:rsidR="001F3D57" w:rsidRPr="00D27BF1" w:rsidRDefault="001F3D57" w:rsidP="001F3D57">
      <w:pPr>
        <w:pStyle w:val="Bulletpoints"/>
      </w:pPr>
      <w:r w:rsidRPr="00D27BF1">
        <w:t>If required: saline nasal douching, occasional short courses of high dose OCS and/oral antibiotics.</w:t>
      </w:r>
    </w:p>
    <w:p w14:paraId="0244CF74" w14:textId="77777777" w:rsidR="004F3FFF" w:rsidRPr="00D27BF1" w:rsidRDefault="001F3D57" w:rsidP="001F3D57">
      <w:pPr>
        <w:pStyle w:val="ListParagraph"/>
        <w:widowControl/>
      </w:pPr>
      <w:r w:rsidRPr="00D27BF1">
        <w:t xml:space="preserve">Patients could continue treatment </w:t>
      </w:r>
      <w:r w:rsidR="00552AD3" w:rsidRPr="00D27BF1">
        <w:t xml:space="preserve">with mepolizumab (or placebo) </w:t>
      </w:r>
      <w:r w:rsidRPr="00D27BF1">
        <w:t>following courses of OCS or NP surgery.</w:t>
      </w:r>
    </w:p>
    <w:p w14:paraId="24D73B6E" w14:textId="77777777" w:rsidR="007F7FEE" w:rsidRPr="00D27BF1" w:rsidRDefault="007F7FEE" w:rsidP="00B313EF">
      <w:pPr>
        <w:pStyle w:val="ListParagraph"/>
        <w:widowControl/>
        <w:numPr>
          <w:ilvl w:val="1"/>
          <w:numId w:val="2"/>
        </w:numPr>
      </w:pPr>
      <w:r w:rsidRPr="00D27BF1">
        <w:t>In the primary analysis, patients who had nasal surgery/sinuplasty were assigned their worst observed score prior to surgery/sinuplasty and patients with missing data (due to study withdrawal or otherwise) were assigned their worst observed score prior to study withdrawal or missing visit.</w:t>
      </w:r>
      <w:r w:rsidRPr="00D27BF1">
        <w:rPr>
          <w:i/>
        </w:rPr>
        <w:t xml:space="preserve"> </w:t>
      </w:r>
      <w:r w:rsidRPr="00D27BF1">
        <w:t xml:space="preserve">This approach may not be reasonable given any imbalance in the number of patients who had NP surgery or patients with missing data between the two treatment arms would result in bias in favour of the arm with less missing data. </w:t>
      </w:r>
      <w:r w:rsidR="004D11F1" w:rsidRPr="00D27BF1">
        <w:t>Two sensitivity analyses were conducted using alternative imputation methods. However, these sensitivity analyses assigned worse scores than the primary analysis and would therefore result in even larger biases (compared to the primary analysis) in favour of the arm with less missing data. Other approaches to the treatment of missing data such as last observation carried forward or the censoring of patients did not appear to have been considered for the co-primary outcomes.</w:t>
      </w:r>
    </w:p>
    <w:p w14:paraId="700FBDD5" w14:textId="77777777" w:rsidR="00545340" w:rsidRPr="00D27BF1" w:rsidRDefault="00545340" w:rsidP="00B313EF">
      <w:pPr>
        <w:pStyle w:val="ListParagraph"/>
        <w:widowControl/>
        <w:numPr>
          <w:ilvl w:val="1"/>
          <w:numId w:val="2"/>
        </w:numPr>
      </w:pPr>
      <w:r w:rsidRPr="00D27BF1">
        <w:t xml:space="preserve">The efficacy of mepolizumab in the SYNAPSE trial was assessed using co-primary outcomes of change from baseline in </w:t>
      </w:r>
      <w:r w:rsidR="00C9668C" w:rsidRPr="00D27BF1">
        <w:t xml:space="preserve">total </w:t>
      </w:r>
      <w:r w:rsidRPr="00D27BF1">
        <w:t xml:space="preserve">ENP score (0-8) at Week 52 and change in mean NO-VAS symptom score (0-10), which was assessed daily, during the 4 weeks prior to Week 52. </w:t>
      </w:r>
    </w:p>
    <w:p w14:paraId="26F2812D" w14:textId="77777777" w:rsidR="002368B4" w:rsidRPr="00D27BF1" w:rsidRDefault="002368B4" w:rsidP="00B313EF">
      <w:pPr>
        <w:pStyle w:val="ListParagraph"/>
        <w:widowControl/>
        <w:numPr>
          <w:ilvl w:val="1"/>
          <w:numId w:val="2"/>
        </w:numPr>
      </w:pPr>
      <w:r w:rsidRPr="00D27BF1">
        <w:t xml:space="preserve">Key secondary outcomes presented in the submission </w:t>
      </w:r>
      <w:r w:rsidR="00AD2A40" w:rsidRPr="00D27BF1">
        <w:t xml:space="preserve">included </w:t>
      </w:r>
      <w:r w:rsidRPr="00D27BF1">
        <w:t xml:space="preserve">time to first nasal surgery; impact on </w:t>
      </w:r>
      <w:r w:rsidR="00DE2330" w:rsidRPr="00D27BF1">
        <w:t>quality of life (</w:t>
      </w:r>
      <w:r w:rsidRPr="00D27BF1">
        <w:t>QoL</w:t>
      </w:r>
      <w:r w:rsidR="00DE2330" w:rsidRPr="00D27BF1">
        <w:t>)</w:t>
      </w:r>
      <w:r w:rsidR="00AD2A40" w:rsidRPr="00D27BF1">
        <w:t xml:space="preserve"> measured by the 36-item short form health survey (SF-36) version 2 (v2) and the sino-nasal outcome test (22 items) (SNOT-22)</w:t>
      </w:r>
      <w:r w:rsidRPr="00D27BF1">
        <w:t xml:space="preserve">; proportion of participants requiring systemic steroids; and </w:t>
      </w:r>
      <w:r w:rsidR="005C1AF5" w:rsidRPr="00D27BF1">
        <w:t xml:space="preserve">clinically significant </w:t>
      </w:r>
      <w:r w:rsidRPr="00D27BF1">
        <w:t>asthma</w:t>
      </w:r>
      <w:r w:rsidR="005C1AF5" w:rsidRPr="00D27BF1">
        <w:t xml:space="preserve"> exacerbations</w:t>
      </w:r>
      <w:r w:rsidRPr="00D27BF1">
        <w:t>.</w:t>
      </w:r>
      <w:r w:rsidR="00AD2A40" w:rsidRPr="00D27BF1">
        <w:t xml:space="preserve"> </w:t>
      </w:r>
      <w:r w:rsidR="00AD2A40" w:rsidRPr="00D27BF1">
        <w:rPr>
          <w:iCs/>
        </w:rPr>
        <w:t>These secondary outcomes were used to inform the economic model.</w:t>
      </w:r>
    </w:p>
    <w:p w14:paraId="40526B4C" w14:textId="77777777" w:rsidR="00DE2330" w:rsidRPr="00D27BF1" w:rsidRDefault="00DE2330" w:rsidP="00B313EF">
      <w:pPr>
        <w:pStyle w:val="ListParagraph"/>
        <w:widowControl/>
        <w:numPr>
          <w:ilvl w:val="1"/>
          <w:numId w:val="2"/>
        </w:numPr>
      </w:pPr>
      <w:r w:rsidRPr="00D27BF1">
        <w:t>In order to provide strong control of type I error when making inferences for the pre-defined secondary endpoints, multiplicity was controlled using a hierarchical closed testing approach in the following order (dependent on statistical significance having been achieved for the two co-primary endpoints first): time to first nasal surgery; change from baseline in overall VAS symptom score; change from baseline in SNOT-22 total score</w:t>
      </w:r>
      <w:r w:rsidR="001D58AE" w:rsidRPr="00D27BF1">
        <w:t xml:space="preserve"> (</w:t>
      </w:r>
      <w:r w:rsidR="00B00047" w:rsidRPr="00D27BF1">
        <w:t xml:space="preserve">a </w:t>
      </w:r>
      <w:r w:rsidR="001D58AE" w:rsidRPr="00D27BF1">
        <w:t>QoL measure)</w:t>
      </w:r>
      <w:r w:rsidRPr="00D27BF1">
        <w:t xml:space="preserve">; proportion of participants requiring systemic steroids for nasal polyps; change from baseline in the mean composite VAS score; change from baseline in mean individual VAS symptom score for loss of smell. </w:t>
      </w:r>
    </w:p>
    <w:p w14:paraId="34EB152E" w14:textId="77777777" w:rsidR="00A56EDF" w:rsidRPr="00D27BF1" w:rsidRDefault="001F68FD" w:rsidP="00B313EF">
      <w:pPr>
        <w:pStyle w:val="ListParagraph"/>
        <w:widowControl/>
        <w:numPr>
          <w:ilvl w:val="1"/>
          <w:numId w:val="2"/>
        </w:numPr>
        <w:spacing w:after="0"/>
      </w:pPr>
      <w:r w:rsidRPr="00D27BF1">
        <w:t xml:space="preserve">The submission proposed that the </w:t>
      </w:r>
      <w:r w:rsidR="007F7FEE" w:rsidRPr="00D27BF1">
        <w:t xml:space="preserve">following </w:t>
      </w:r>
      <w:r w:rsidRPr="00D27BF1">
        <w:t>minimal clinically important difference</w:t>
      </w:r>
      <w:r w:rsidR="002F0257" w:rsidRPr="00D27BF1">
        <w:t>s</w:t>
      </w:r>
      <w:r w:rsidRPr="00D27BF1">
        <w:t xml:space="preserve"> (</w:t>
      </w:r>
      <w:r w:rsidR="00A14C5C" w:rsidRPr="00D27BF1">
        <w:t>MCID</w:t>
      </w:r>
      <w:r w:rsidR="002F0257" w:rsidRPr="00D27BF1">
        <w:t>s</w:t>
      </w:r>
      <w:r w:rsidRPr="00D27BF1">
        <w:t>)</w:t>
      </w:r>
      <w:r w:rsidR="00A56EDF" w:rsidRPr="00D27BF1">
        <w:t>:</w:t>
      </w:r>
    </w:p>
    <w:p w14:paraId="399865FF" w14:textId="77777777" w:rsidR="00A56EDF" w:rsidRPr="00D27BF1" w:rsidRDefault="007F7FEE" w:rsidP="00A56EDF">
      <w:pPr>
        <w:pStyle w:val="Bulletpoints"/>
        <w:rPr>
          <w:i/>
        </w:rPr>
      </w:pPr>
      <w:r w:rsidRPr="00D27BF1">
        <w:t xml:space="preserve">Change from baseline in </w:t>
      </w:r>
      <w:r w:rsidR="00C9668C" w:rsidRPr="00D27BF1">
        <w:t xml:space="preserve">total </w:t>
      </w:r>
      <w:r w:rsidRPr="00D27BF1">
        <w:t>ENP score</w:t>
      </w:r>
      <w:r w:rsidR="00C9668C" w:rsidRPr="00D27BF1">
        <w:t xml:space="preserve"> (centrally read)</w:t>
      </w:r>
      <w:r w:rsidRPr="00D27BF1">
        <w:t xml:space="preserve">: </w:t>
      </w:r>
      <w:r w:rsidR="00A56EDF" w:rsidRPr="00D27BF1">
        <w:t>An ENP score responder was defined as a participant who had an improvement (decrease) of ≥1.0 point. The submission claimed this was based on Bachert 2021, however a MCID was never explicitly stated in this article (the proportion of patients who achieved a reduction of the ENP score by at least 1 point was reported but it was not stated whether this was clinically meaningful)</w:t>
      </w:r>
      <w:r w:rsidR="00857EAB" w:rsidRPr="00D27BF1">
        <w:t>;</w:t>
      </w:r>
    </w:p>
    <w:p w14:paraId="268DAAC6" w14:textId="77777777" w:rsidR="00F14FAA" w:rsidRPr="00D27BF1" w:rsidRDefault="007F7FEE" w:rsidP="00F14FAA">
      <w:pPr>
        <w:pStyle w:val="Bulletpoints"/>
      </w:pPr>
      <w:r w:rsidRPr="00D27BF1">
        <w:t xml:space="preserve">Change from baseline in NO-VAS symptom score: </w:t>
      </w:r>
      <w:r w:rsidR="00F14FAA" w:rsidRPr="00D27BF1">
        <w:t>A responder in the assessment of NO-VAS symptom score was defined as a participant who had an improvement (decrease) from baseline of ≥3 points. This was based on advisory board advice (panel indicated an improvement of 2-3 points would be clinically meaningful), in the absence of a validated MCID in the literature. The submission claimed this was further supported by a psychometric analyses based on the SNOT-22 and overall symptoms VAS which were sufficiently correlated (r≥0.3) to indicate a meaningful within-patient change thresholds (Tabberer M, Trigg A, 2021). This could not be independently verified, however as a MCID of ≥3 would represent at least a 30% change the MCID may be reasonable.</w:t>
      </w:r>
    </w:p>
    <w:p w14:paraId="23DD3E2E" w14:textId="77777777" w:rsidR="00E5069F" w:rsidRPr="00D27BF1" w:rsidRDefault="00E5069F" w:rsidP="001D58AE">
      <w:pPr>
        <w:pStyle w:val="Bulletpoints"/>
      </w:pPr>
      <w:r w:rsidRPr="00D27BF1">
        <w:t xml:space="preserve">Change from baseline in SNOT-22 total score: </w:t>
      </w:r>
      <w:r w:rsidR="001D58AE" w:rsidRPr="00D27BF1">
        <w:t>The MCID for the QoL SNOT-22 measurement was a ≥8.9 change in SNOT-22 score (Hopkins 2009). A SNOT-22 responder was defined as a participant who had a SNOT-22 score decrease of ≥8.9 from baseline at Week 52.</w:t>
      </w:r>
    </w:p>
    <w:p w14:paraId="79A732CA" w14:textId="4987E0B9" w:rsidR="004D11F1" w:rsidRPr="00D27BF1" w:rsidRDefault="00857EAB" w:rsidP="004332D4">
      <w:pPr>
        <w:pStyle w:val="Bulletpoints"/>
        <w:numPr>
          <w:ilvl w:val="0"/>
          <w:numId w:val="0"/>
        </w:numPr>
        <w:spacing w:after="240"/>
        <w:ind w:left="720"/>
      </w:pPr>
      <w:r w:rsidRPr="00D27BF1">
        <w:t xml:space="preserve">The </w:t>
      </w:r>
      <w:r w:rsidR="007F7FEE" w:rsidRPr="00D27BF1">
        <w:t xml:space="preserve">PBAC has not previously considered </w:t>
      </w:r>
      <w:r w:rsidRPr="00D27BF1">
        <w:t xml:space="preserve">these outcomes for </w:t>
      </w:r>
      <w:r w:rsidR="007F7FEE" w:rsidRPr="00D27BF1">
        <w:t>CRSwNP</w:t>
      </w:r>
      <w:r w:rsidRPr="00D27BF1">
        <w:t>.</w:t>
      </w:r>
      <w:r w:rsidR="007F7FEE" w:rsidRPr="00D27BF1">
        <w:t xml:space="preserve"> It was not clear whether the nominated MCIDs should be applied to point estimate of the results in SYNAPSE or, more conservatively, to the lower or upper bounds of the 95%</w:t>
      </w:r>
      <w:r w:rsidR="00CF2E6A">
        <w:t> </w:t>
      </w:r>
      <w:r w:rsidR="007F7FEE" w:rsidRPr="00D27BF1">
        <w:t xml:space="preserve">confidence intervals. It was assumed that it would be applied to the point estimates </w:t>
      </w:r>
      <w:r w:rsidRPr="00D27BF1">
        <w:t>during evaluation</w:t>
      </w:r>
      <w:r w:rsidR="004332D4" w:rsidRPr="00D27BF1">
        <w:t>.</w:t>
      </w:r>
    </w:p>
    <w:p w14:paraId="1E54658C" w14:textId="77777777" w:rsidR="00300927" w:rsidRPr="00D27BF1" w:rsidRDefault="00857EAB" w:rsidP="00B313EF">
      <w:pPr>
        <w:pStyle w:val="ListParagraph"/>
        <w:widowControl/>
        <w:numPr>
          <w:ilvl w:val="1"/>
          <w:numId w:val="2"/>
        </w:numPr>
      </w:pPr>
      <w:r w:rsidRPr="00D27BF1">
        <w:rPr>
          <w:iCs/>
        </w:rPr>
        <w:t xml:space="preserve">The change from baseline of ENP score and NO-VAS were not used in the economic model. Instead, the number of responders based on either an ENP score change of </w:t>
      </w:r>
      <w:r w:rsidRPr="00D27BF1">
        <w:rPr>
          <w:rFonts w:cs="Calibri"/>
          <w:iCs/>
        </w:rPr>
        <w:t>≥</w:t>
      </w:r>
      <w:r w:rsidRPr="00D27BF1">
        <w:rPr>
          <w:iCs/>
        </w:rPr>
        <w:t xml:space="preserve">1.0 point from baseline or NO-VAS score change of </w:t>
      </w:r>
      <w:r w:rsidRPr="00D27BF1">
        <w:rPr>
          <w:rFonts w:cs="Calibri"/>
          <w:iCs/>
        </w:rPr>
        <w:t>≥</w:t>
      </w:r>
      <w:r w:rsidR="000A0F84" w:rsidRPr="00D27BF1">
        <w:rPr>
          <w:iCs/>
        </w:rPr>
        <w:t>3.0 points f</w:t>
      </w:r>
      <w:r w:rsidRPr="00D27BF1">
        <w:rPr>
          <w:iCs/>
        </w:rPr>
        <w:t>r</w:t>
      </w:r>
      <w:r w:rsidR="000A0F84" w:rsidRPr="00D27BF1">
        <w:rPr>
          <w:iCs/>
        </w:rPr>
        <w:t>o</w:t>
      </w:r>
      <w:r w:rsidRPr="00D27BF1">
        <w:rPr>
          <w:iCs/>
        </w:rPr>
        <w:t xml:space="preserve">m baseline were the key efficacy input in the economic evaluation. </w:t>
      </w:r>
      <w:r w:rsidR="004332D4" w:rsidRPr="00D27BF1">
        <w:t xml:space="preserve">This </w:t>
      </w:r>
      <w:r w:rsidRPr="00D27BF1">
        <w:t>wa</w:t>
      </w:r>
      <w:r w:rsidR="004332D4" w:rsidRPr="00D27BF1">
        <w:t xml:space="preserve">s </w:t>
      </w:r>
      <w:r w:rsidR="00792610" w:rsidRPr="00D27BF1">
        <w:t>in line with</w:t>
      </w:r>
      <w:r w:rsidR="00510CAB" w:rsidRPr="00D27BF1">
        <w:t xml:space="preserve"> the requested restriction</w:t>
      </w:r>
      <w:r w:rsidR="00792610" w:rsidRPr="00D27BF1">
        <w:t xml:space="preserve"> which</w:t>
      </w:r>
      <w:r w:rsidR="00510CAB" w:rsidRPr="00D27BF1">
        <w:t xml:space="preserve"> </w:t>
      </w:r>
      <w:r w:rsidRPr="00D27BF1">
        <w:t xml:space="preserve">required response on one of either </w:t>
      </w:r>
      <w:r w:rsidR="00510CAB" w:rsidRPr="00D27BF1">
        <w:t>ENP score (≥1) or NO-VAS score (≥3) to continue treatment</w:t>
      </w:r>
      <w:r w:rsidR="00792610" w:rsidRPr="00D27BF1">
        <w:t xml:space="preserve">. </w:t>
      </w:r>
    </w:p>
    <w:p w14:paraId="26C87092" w14:textId="77777777" w:rsidR="0084160E" w:rsidRPr="0057459B" w:rsidRDefault="004D11F1" w:rsidP="00B313EF">
      <w:pPr>
        <w:pStyle w:val="ListParagraph"/>
        <w:numPr>
          <w:ilvl w:val="1"/>
          <w:numId w:val="2"/>
        </w:numPr>
      </w:pPr>
      <w:bookmarkStart w:id="12" w:name="_Ref80629193"/>
      <w:r w:rsidRPr="00D27BF1">
        <w:t>No formal hypothesis testing in subgroups o</w:t>
      </w:r>
      <w:r w:rsidR="00197186" w:rsidRPr="00D27BF1">
        <w:t>f the population was performed</w:t>
      </w:r>
      <w:r w:rsidRPr="00D27BF1">
        <w:t>.</w:t>
      </w:r>
      <w:bookmarkEnd w:id="12"/>
      <w:r w:rsidRPr="00D27BF1">
        <w:t xml:space="preserve"> </w:t>
      </w:r>
      <w:r w:rsidR="00052A78" w:rsidRPr="0057459B">
        <w:t xml:space="preserve">The ESC noted the PSCR provided the demographics for the BEC </w:t>
      </w:r>
      <w:r w:rsidR="00482707" w:rsidRPr="0057459B">
        <w:t>≥</w:t>
      </w:r>
      <w:r w:rsidR="00052A78" w:rsidRPr="0057459B">
        <w:t xml:space="preserve">150 cells/µL subgroup and considered they appeared generally comparable to the ITT population. </w:t>
      </w:r>
    </w:p>
    <w:p w14:paraId="72935A2B" w14:textId="77777777" w:rsidR="00B60939" w:rsidRPr="00D27BF1" w:rsidRDefault="00B60939" w:rsidP="00C9624D">
      <w:pPr>
        <w:pStyle w:val="Heading2"/>
      </w:pPr>
      <w:bookmarkStart w:id="13" w:name="_Toc82528839"/>
      <w:r w:rsidRPr="00D27BF1">
        <w:t>Comparative effectiveness</w:t>
      </w:r>
      <w:bookmarkEnd w:id="13"/>
    </w:p>
    <w:p w14:paraId="350456FE" w14:textId="77777777" w:rsidR="007C17E4" w:rsidRPr="00D27BF1" w:rsidRDefault="0020510D" w:rsidP="007C17E4">
      <w:pPr>
        <w:pStyle w:val="ListParagraph"/>
        <w:widowControl/>
        <w:numPr>
          <w:ilvl w:val="1"/>
          <w:numId w:val="2"/>
        </w:numPr>
      </w:pPr>
      <w:r w:rsidRPr="0020510D">
        <w:rPr>
          <w:rStyle w:val="CommentReference"/>
          <w:rFonts w:asciiTheme="minorHAnsi" w:hAnsiTheme="minorHAnsi" w:cstheme="minorHAnsi"/>
          <w:b w:val="0"/>
          <w:sz w:val="24"/>
          <w:szCs w:val="24"/>
        </w:rPr>
        <w:t>Table 5</w:t>
      </w:r>
      <w:r w:rsidR="008D6587" w:rsidRPr="00D27BF1">
        <w:rPr>
          <w:rFonts w:cs="Calibri"/>
          <w:b/>
          <w:snapToGrid/>
          <w:szCs w:val="24"/>
          <w:lang w:eastAsia="en-AU"/>
        </w:rPr>
        <w:t xml:space="preserve"> </w:t>
      </w:r>
      <w:r w:rsidR="00A40A08" w:rsidRPr="00D27BF1">
        <w:rPr>
          <w:rStyle w:val="CommentReference"/>
          <w:rFonts w:asciiTheme="minorHAnsi" w:hAnsiTheme="minorHAnsi" w:cstheme="minorHAnsi"/>
          <w:b w:val="0"/>
          <w:sz w:val="24"/>
          <w:szCs w:val="24"/>
        </w:rPr>
        <w:t xml:space="preserve">and </w:t>
      </w:r>
      <w:r w:rsidRPr="0020510D">
        <w:rPr>
          <w:rStyle w:val="CommentReference"/>
          <w:rFonts w:asciiTheme="minorHAnsi" w:hAnsiTheme="minorHAnsi" w:cstheme="minorHAnsi"/>
          <w:b w:val="0"/>
          <w:sz w:val="24"/>
          <w:szCs w:val="24"/>
        </w:rPr>
        <w:t>Table 6</w:t>
      </w:r>
      <w:r w:rsidR="00A40A08" w:rsidRPr="00D27BF1">
        <w:rPr>
          <w:rStyle w:val="CommentReference"/>
          <w:rFonts w:asciiTheme="minorHAnsi" w:hAnsiTheme="minorHAnsi" w:cstheme="minorHAnsi"/>
          <w:b w:val="0"/>
          <w:sz w:val="24"/>
          <w:szCs w:val="24"/>
        </w:rPr>
        <w:t xml:space="preserve"> </w:t>
      </w:r>
      <w:r w:rsidR="00335D46" w:rsidRPr="00D27BF1">
        <w:rPr>
          <w:rStyle w:val="CommentReference"/>
          <w:rFonts w:asciiTheme="minorHAnsi" w:hAnsiTheme="minorHAnsi" w:cstheme="minorHAnsi"/>
          <w:b w:val="0"/>
          <w:sz w:val="24"/>
          <w:szCs w:val="24"/>
        </w:rPr>
        <w:t>summarise</w:t>
      </w:r>
      <w:r w:rsidR="00A40A08" w:rsidRPr="00D27BF1">
        <w:rPr>
          <w:rStyle w:val="CommentReference"/>
          <w:rFonts w:asciiTheme="minorHAnsi" w:hAnsiTheme="minorHAnsi" w:cstheme="minorHAnsi"/>
          <w:b w:val="0"/>
          <w:sz w:val="24"/>
          <w:szCs w:val="24"/>
        </w:rPr>
        <w:t xml:space="preserve"> </w:t>
      </w:r>
      <w:r w:rsidR="00335D46" w:rsidRPr="00D27BF1">
        <w:rPr>
          <w:rStyle w:val="CommentReference"/>
          <w:rFonts w:asciiTheme="minorHAnsi" w:hAnsiTheme="minorHAnsi" w:cstheme="minorHAnsi"/>
          <w:b w:val="0"/>
          <w:sz w:val="24"/>
          <w:szCs w:val="24"/>
        </w:rPr>
        <w:t>the</w:t>
      </w:r>
      <w:r w:rsidR="008C4A26" w:rsidRPr="00D27BF1">
        <w:rPr>
          <w:rStyle w:val="CommentReference"/>
          <w:rFonts w:asciiTheme="minorHAnsi" w:hAnsiTheme="minorHAnsi" w:cstheme="minorHAnsi"/>
          <w:b w:val="0"/>
          <w:sz w:val="24"/>
          <w:szCs w:val="24"/>
        </w:rPr>
        <w:t xml:space="preserve"> </w:t>
      </w:r>
      <w:r w:rsidR="00A40A08" w:rsidRPr="00D27BF1">
        <w:rPr>
          <w:rStyle w:val="CommentReference"/>
          <w:rFonts w:asciiTheme="minorHAnsi" w:hAnsiTheme="minorHAnsi" w:cstheme="minorHAnsi"/>
          <w:b w:val="0"/>
          <w:sz w:val="24"/>
          <w:szCs w:val="24"/>
        </w:rPr>
        <w:t xml:space="preserve">co-primary and key secondary </w:t>
      </w:r>
      <w:r w:rsidR="00F76AD0" w:rsidRPr="00D27BF1">
        <w:rPr>
          <w:rStyle w:val="CommentReference"/>
          <w:rFonts w:asciiTheme="minorHAnsi" w:hAnsiTheme="minorHAnsi" w:cstheme="minorHAnsi"/>
          <w:b w:val="0"/>
          <w:sz w:val="24"/>
          <w:szCs w:val="24"/>
        </w:rPr>
        <w:t>results of SYNAPSE</w:t>
      </w:r>
      <w:r w:rsidR="00A40A08" w:rsidRPr="00D27BF1">
        <w:rPr>
          <w:rStyle w:val="CommentReference"/>
          <w:rFonts w:asciiTheme="minorHAnsi" w:hAnsiTheme="minorHAnsi" w:cstheme="minorHAnsi"/>
          <w:b w:val="0"/>
          <w:sz w:val="24"/>
          <w:szCs w:val="24"/>
        </w:rPr>
        <w:t>, respectively</w:t>
      </w:r>
      <w:r w:rsidR="00F76AD0" w:rsidRPr="00D27BF1">
        <w:rPr>
          <w:rStyle w:val="CommentReference"/>
          <w:rFonts w:asciiTheme="minorHAnsi" w:hAnsiTheme="minorHAnsi" w:cstheme="minorHAnsi"/>
          <w:b w:val="0"/>
          <w:sz w:val="24"/>
          <w:szCs w:val="24"/>
        </w:rPr>
        <w:t>.</w:t>
      </w:r>
      <w:r w:rsidR="00A40A08" w:rsidRPr="00D27BF1">
        <w:rPr>
          <w:rFonts w:cs="Calibri"/>
          <w:b/>
          <w:snapToGrid/>
          <w:szCs w:val="24"/>
          <w:lang w:eastAsia="en-AU"/>
        </w:rPr>
        <w:t xml:space="preserve"> </w:t>
      </w:r>
      <w:r w:rsidR="007C17E4" w:rsidRPr="00D27BF1">
        <w:t>It was noted that all primary and secondary endpoints achieved statistical significance at the two-sided 5% level adjusted for multiplicity</w:t>
      </w:r>
      <w:r w:rsidR="005C1AF5" w:rsidRPr="00D27BF1">
        <w:t xml:space="preserve"> in the ITT population</w:t>
      </w:r>
      <w:r w:rsidR="007C17E4" w:rsidRPr="00D27BF1">
        <w:t>.</w:t>
      </w:r>
    </w:p>
    <w:p w14:paraId="028A1CA7" w14:textId="77777777" w:rsidR="008D6587" w:rsidRPr="00D27BF1" w:rsidRDefault="008D6587" w:rsidP="00A40A08">
      <w:pPr>
        <w:keepNext/>
        <w:keepLines/>
        <w:rPr>
          <w:rStyle w:val="CommentReference"/>
          <w:b w:val="0"/>
        </w:rPr>
      </w:pPr>
      <w:bookmarkStart w:id="14" w:name="_Ref80566457"/>
      <w:r w:rsidRPr="00D27BF1">
        <w:rPr>
          <w:rStyle w:val="CommentReference"/>
        </w:rPr>
        <w:t xml:space="preserve">Table </w:t>
      </w:r>
      <w:r w:rsidR="0020510D">
        <w:rPr>
          <w:rStyle w:val="CommentReference"/>
          <w:noProof/>
        </w:rPr>
        <w:t>5</w:t>
      </w:r>
      <w:bookmarkEnd w:id="14"/>
      <w:r w:rsidRPr="00D27BF1">
        <w:rPr>
          <w:rStyle w:val="CommentReference"/>
        </w:rPr>
        <w:t xml:space="preserve">: Summary of </w:t>
      </w:r>
      <w:r w:rsidR="00A40A08" w:rsidRPr="00D27BF1">
        <w:rPr>
          <w:rStyle w:val="CommentReference"/>
        </w:rPr>
        <w:t xml:space="preserve">co-primary outcome </w:t>
      </w:r>
      <w:r w:rsidRPr="00D27BF1">
        <w:rPr>
          <w:rStyle w:val="CommentReference"/>
        </w:rPr>
        <w:t xml:space="preserve">results in </w:t>
      </w:r>
      <w:r w:rsidR="00A40A08" w:rsidRPr="00D27BF1">
        <w:rPr>
          <w:rStyle w:val="CommentReference"/>
        </w:rPr>
        <w:t>SYNAPSE</w:t>
      </w:r>
    </w:p>
    <w:tbl>
      <w:tblPr>
        <w:tblStyle w:val="TableGrid"/>
        <w:tblW w:w="0" w:type="auto"/>
        <w:tblLayout w:type="fixed"/>
        <w:tblLook w:val="04A0" w:firstRow="1" w:lastRow="0" w:firstColumn="1" w:lastColumn="0" w:noHBand="0" w:noVBand="1"/>
        <w:tblCaption w:val="Table 5: Summary of co-primary outcome results in SYNAPSE"/>
      </w:tblPr>
      <w:tblGrid>
        <w:gridCol w:w="2547"/>
        <w:gridCol w:w="992"/>
        <w:gridCol w:w="1134"/>
        <w:gridCol w:w="1418"/>
        <w:gridCol w:w="850"/>
        <w:gridCol w:w="851"/>
        <w:gridCol w:w="1225"/>
      </w:tblGrid>
      <w:tr w:rsidR="003D5316" w:rsidRPr="00D27BF1" w14:paraId="20B41E34" w14:textId="77777777" w:rsidTr="00AC5AD6">
        <w:trPr>
          <w:tblHeader/>
        </w:trPr>
        <w:tc>
          <w:tcPr>
            <w:tcW w:w="2547" w:type="dxa"/>
            <w:vMerge w:val="restart"/>
          </w:tcPr>
          <w:p w14:paraId="0779E5FF" w14:textId="77777777" w:rsidR="003D5316" w:rsidRPr="00D27BF1" w:rsidRDefault="003D5316" w:rsidP="00A40A08">
            <w:pPr>
              <w:pStyle w:val="Tabletext"/>
              <w:keepNext/>
              <w:keepLines/>
              <w:rPr>
                <w:szCs w:val="20"/>
              </w:rPr>
            </w:pPr>
            <w:bookmarkStart w:id="15" w:name="_Hlk80626897"/>
          </w:p>
        </w:tc>
        <w:tc>
          <w:tcPr>
            <w:tcW w:w="3544" w:type="dxa"/>
            <w:gridSpan w:val="3"/>
            <w:vAlign w:val="center"/>
          </w:tcPr>
          <w:p w14:paraId="6A792B5F" w14:textId="77777777" w:rsidR="003D5316" w:rsidRPr="00D27BF1" w:rsidRDefault="003D5316" w:rsidP="00A40A08">
            <w:pPr>
              <w:pStyle w:val="Tabletext"/>
              <w:keepNext/>
              <w:keepLines/>
              <w:jc w:val="center"/>
              <w:rPr>
                <w:b/>
                <w:szCs w:val="20"/>
              </w:rPr>
            </w:pPr>
            <w:r w:rsidRPr="00D27BF1">
              <w:rPr>
                <w:b/>
                <w:szCs w:val="20"/>
              </w:rPr>
              <w:t>ITT</w:t>
            </w:r>
          </w:p>
        </w:tc>
        <w:tc>
          <w:tcPr>
            <w:tcW w:w="2926" w:type="dxa"/>
            <w:gridSpan w:val="3"/>
            <w:vAlign w:val="center"/>
          </w:tcPr>
          <w:p w14:paraId="4581D423" w14:textId="77777777" w:rsidR="003D5316" w:rsidRPr="00D27BF1" w:rsidRDefault="003D5316" w:rsidP="00A40A08">
            <w:pPr>
              <w:pStyle w:val="Tabletext"/>
              <w:keepNext/>
              <w:keepLines/>
              <w:jc w:val="center"/>
              <w:rPr>
                <w:b/>
                <w:szCs w:val="20"/>
              </w:rPr>
            </w:pPr>
            <w:r w:rsidRPr="00D27BF1">
              <w:rPr>
                <w:b/>
                <w:szCs w:val="20"/>
              </w:rPr>
              <w:t xml:space="preserve">BEC </w:t>
            </w:r>
            <w:r w:rsidRPr="00D27BF1">
              <w:rPr>
                <w:rFonts w:cstheme="minorHAnsi"/>
                <w:b/>
                <w:szCs w:val="20"/>
              </w:rPr>
              <w:t>≥</w:t>
            </w:r>
            <w:r w:rsidRPr="00D27BF1">
              <w:rPr>
                <w:b/>
                <w:szCs w:val="20"/>
              </w:rPr>
              <w:t>150 cells/</w:t>
            </w:r>
            <w:r w:rsidRPr="00D27BF1">
              <w:rPr>
                <w:rFonts w:cstheme="minorHAnsi"/>
                <w:b/>
                <w:szCs w:val="20"/>
              </w:rPr>
              <w:t>µ</w:t>
            </w:r>
            <w:r w:rsidRPr="00D27BF1">
              <w:rPr>
                <w:b/>
                <w:szCs w:val="20"/>
              </w:rPr>
              <w:t>L</w:t>
            </w:r>
          </w:p>
        </w:tc>
      </w:tr>
      <w:tr w:rsidR="007C17E4" w:rsidRPr="00D27BF1" w14:paraId="2EC24948" w14:textId="77777777" w:rsidTr="00AC5AD6">
        <w:trPr>
          <w:tblHeader/>
        </w:trPr>
        <w:tc>
          <w:tcPr>
            <w:tcW w:w="2547" w:type="dxa"/>
            <w:vMerge/>
          </w:tcPr>
          <w:p w14:paraId="38F7826A" w14:textId="77777777" w:rsidR="003D5316" w:rsidRPr="00D27BF1" w:rsidRDefault="003D5316" w:rsidP="00A40A08">
            <w:pPr>
              <w:pStyle w:val="Tabletext"/>
              <w:keepNext/>
              <w:keepLines/>
              <w:rPr>
                <w:szCs w:val="20"/>
              </w:rPr>
            </w:pPr>
          </w:p>
        </w:tc>
        <w:tc>
          <w:tcPr>
            <w:tcW w:w="992" w:type="dxa"/>
            <w:vAlign w:val="center"/>
          </w:tcPr>
          <w:p w14:paraId="0A52E7F7" w14:textId="77777777" w:rsidR="003D5316" w:rsidRPr="00D27BF1" w:rsidRDefault="00483DA2" w:rsidP="00A40A08">
            <w:pPr>
              <w:pStyle w:val="Tabletext"/>
              <w:keepNext/>
              <w:keepLines/>
              <w:jc w:val="center"/>
              <w:rPr>
                <w:b/>
                <w:szCs w:val="20"/>
              </w:rPr>
            </w:pPr>
            <w:r w:rsidRPr="00D27BF1">
              <w:rPr>
                <w:b/>
                <w:szCs w:val="20"/>
              </w:rPr>
              <w:t>PLA</w:t>
            </w:r>
          </w:p>
        </w:tc>
        <w:tc>
          <w:tcPr>
            <w:tcW w:w="1134" w:type="dxa"/>
            <w:vAlign w:val="center"/>
          </w:tcPr>
          <w:p w14:paraId="29999ED6" w14:textId="77777777" w:rsidR="003D5316" w:rsidRPr="00D27BF1" w:rsidRDefault="00300927" w:rsidP="00A40A08">
            <w:pPr>
              <w:pStyle w:val="Tabletext"/>
              <w:keepNext/>
              <w:keepLines/>
              <w:jc w:val="center"/>
              <w:rPr>
                <w:b/>
                <w:szCs w:val="20"/>
              </w:rPr>
            </w:pPr>
            <w:r w:rsidRPr="00D27BF1">
              <w:rPr>
                <w:b/>
                <w:szCs w:val="20"/>
              </w:rPr>
              <w:t>MEPO</w:t>
            </w:r>
          </w:p>
        </w:tc>
        <w:tc>
          <w:tcPr>
            <w:tcW w:w="1418" w:type="dxa"/>
            <w:vAlign w:val="center"/>
          </w:tcPr>
          <w:p w14:paraId="056F42C0" w14:textId="77777777" w:rsidR="003D5316" w:rsidRPr="00D27BF1" w:rsidRDefault="003D5316" w:rsidP="00A40A08">
            <w:pPr>
              <w:pStyle w:val="Tabletext"/>
              <w:keepNext/>
              <w:keepLines/>
              <w:jc w:val="center"/>
              <w:rPr>
                <w:b/>
                <w:szCs w:val="20"/>
              </w:rPr>
            </w:pPr>
            <w:r w:rsidRPr="00D27BF1">
              <w:rPr>
                <w:b/>
                <w:szCs w:val="20"/>
              </w:rPr>
              <w:t>Difference</w:t>
            </w:r>
            <w:r w:rsidR="0098037A" w:rsidRPr="00D27BF1">
              <w:rPr>
                <w:b/>
                <w:szCs w:val="20"/>
              </w:rPr>
              <w:t xml:space="preserve"> (95%CI); p-value</w:t>
            </w:r>
          </w:p>
        </w:tc>
        <w:tc>
          <w:tcPr>
            <w:tcW w:w="850" w:type="dxa"/>
            <w:vAlign w:val="center"/>
          </w:tcPr>
          <w:p w14:paraId="18606C69" w14:textId="77777777" w:rsidR="003D5316" w:rsidRPr="00D27BF1" w:rsidRDefault="00483DA2" w:rsidP="00A40A08">
            <w:pPr>
              <w:pStyle w:val="Tabletext"/>
              <w:keepNext/>
              <w:keepLines/>
              <w:jc w:val="center"/>
              <w:rPr>
                <w:b/>
                <w:szCs w:val="20"/>
              </w:rPr>
            </w:pPr>
            <w:r w:rsidRPr="00D27BF1">
              <w:rPr>
                <w:b/>
                <w:szCs w:val="20"/>
              </w:rPr>
              <w:t>PLA</w:t>
            </w:r>
          </w:p>
        </w:tc>
        <w:tc>
          <w:tcPr>
            <w:tcW w:w="851" w:type="dxa"/>
            <w:vAlign w:val="center"/>
          </w:tcPr>
          <w:p w14:paraId="462BB583" w14:textId="77777777" w:rsidR="003D5316" w:rsidRPr="00D27BF1" w:rsidRDefault="00300927" w:rsidP="00A40A08">
            <w:pPr>
              <w:pStyle w:val="Tabletext"/>
              <w:keepNext/>
              <w:keepLines/>
              <w:jc w:val="center"/>
              <w:rPr>
                <w:b/>
                <w:szCs w:val="20"/>
              </w:rPr>
            </w:pPr>
            <w:r w:rsidRPr="00D27BF1">
              <w:rPr>
                <w:b/>
                <w:szCs w:val="20"/>
              </w:rPr>
              <w:t>MEPO</w:t>
            </w:r>
          </w:p>
        </w:tc>
        <w:tc>
          <w:tcPr>
            <w:tcW w:w="1225" w:type="dxa"/>
            <w:vAlign w:val="center"/>
          </w:tcPr>
          <w:p w14:paraId="15DF335E" w14:textId="77777777" w:rsidR="003D5316" w:rsidRPr="00D27BF1" w:rsidRDefault="003D5316" w:rsidP="00A40A08">
            <w:pPr>
              <w:pStyle w:val="Tabletext"/>
              <w:keepNext/>
              <w:keepLines/>
              <w:jc w:val="center"/>
              <w:rPr>
                <w:b/>
                <w:szCs w:val="20"/>
              </w:rPr>
            </w:pPr>
            <w:r w:rsidRPr="00D27BF1">
              <w:rPr>
                <w:b/>
                <w:szCs w:val="20"/>
              </w:rPr>
              <w:t>Difference</w:t>
            </w:r>
            <w:r w:rsidR="0098037A" w:rsidRPr="00D27BF1">
              <w:rPr>
                <w:b/>
                <w:szCs w:val="20"/>
              </w:rPr>
              <w:t xml:space="preserve"> (95%CI); p-value</w:t>
            </w:r>
          </w:p>
        </w:tc>
      </w:tr>
      <w:bookmarkEnd w:id="15"/>
      <w:tr w:rsidR="008A5E15" w:rsidRPr="00D27BF1" w14:paraId="12577138" w14:textId="77777777" w:rsidTr="00607A78">
        <w:tc>
          <w:tcPr>
            <w:tcW w:w="9017" w:type="dxa"/>
            <w:gridSpan w:val="7"/>
          </w:tcPr>
          <w:p w14:paraId="6E822878" w14:textId="77777777" w:rsidR="008A5E15" w:rsidRPr="00D27BF1" w:rsidRDefault="004C29C8" w:rsidP="00A40A08">
            <w:pPr>
              <w:pStyle w:val="Tabletext"/>
              <w:keepNext/>
              <w:keepLines/>
              <w:rPr>
                <w:szCs w:val="20"/>
                <w:u w:val="single"/>
              </w:rPr>
            </w:pPr>
            <w:r w:rsidRPr="00D27BF1">
              <w:rPr>
                <w:szCs w:val="20"/>
                <w:u w:val="single"/>
              </w:rPr>
              <w:t xml:space="preserve">Change from baseline in total </w:t>
            </w:r>
            <w:r w:rsidR="008A5E15" w:rsidRPr="00D27BF1">
              <w:rPr>
                <w:szCs w:val="20"/>
                <w:u w:val="single"/>
              </w:rPr>
              <w:t>ENP</w:t>
            </w:r>
            <w:r w:rsidRPr="00D27BF1">
              <w:rPr>
                <w:szCs w:val="20"/>
                <w:u w:val="single"/>
              </w:rPr>
              <w:t xml:space="preserve"> score (centrally read)</w:t>
            </w:r>
          </w:p>
        </w:tc>
      </w:tr>
      <w:tr w:rsidR="007C17E4" w:rsidRPr="00D27BF1" w14:paraId="0545D6C9" w14:textId="77777777" w:rsidTr="007C17E4">
        <w:tc>
          <w:tcPr>
            <w:tcW w:w="2547" w:type="dxa"/>
            <w:vAlign w:val="center"/>
          </w:tcPr>
          <w:p w14:paraId="3F9F1AEE" w14:textId="77777777" w:rsidR="00506DF5" w:rsidRPr="00D27BF1" w:rsidRDefault="00506DF5" w:rsidP="00A40A08">
            <w:pPr>
              <w:pStyle w:val="Tabletext"/>
              <w:keepNext/>
              <w:keepLines/>
              <w:rPr>
                <w:szCs w:val="20"/>
              </w:rPr>
            </w:pPr>
            <w:r w:rsidRPr="00D27BF1">
              <w:rPr>
                <w:szCs w:val="20"/>
              </w:rPr>
              <w:t>Median</w:t>
            </w:r>
            <w:r w:rsidR="00300927" w:rsidRPr="00D27BF1">
              <w:rPr>
                <w:szCs w:val="20"/>
              </w:rPr>
              <w:t xml:space="preserve"> change</w:t>
            </w:r>
            <w:r w:rsidRPr="00D27BF1">
              <w:rPr>
                <w:szCs w:val="20"/>
              </w:rPr>
              <w:t xml:space="preserve"> at Week 52</w:t>
            </w:r>
            <w:r w:rsidR="00DE531D" w:rsidRPr="00D27BF1">
              <w:rPr>
                <w:szCs w:val="20"/>
              </w:rPr>
              <w:t xml:space="preserve"> </w:t>
            </w:r>
            <w:r w:rsidR="00DE531D" w:rsidRPr="00D27BF1">
              <w:rPr>
                <w:szCs w:val="20"/>
                <w:vertAlign w:val="superscript"/>
              </w:rPr>
              <w:t>a</w:t>
            </w:r>
          </w:p>
        </w:tc>
        <w:tc>
          <w:tcPr>
            <w:tcW w:w="992" w:type="dxa"/>
            <w:vAlign w:val="center"/>
          </w:tcPr>
          <w:p w14:paraId="55D8EF08" w14:textId="77777777" w:rsidR="00506DF5" w:rsidRPr="00D27BF1" w:rsidRDefault="00506DF5" w:rsidP="00A40A08">
            <w:pPr>
              <w:pStyle w:val="Tabletext"/>
              <w:keepNext/>
              <w:keepLines/>
              <w:jc w:val="center"/>
              <w:rPr>
                <w:szCs w:val="20"/>
              </w:rPr>
            </w:pPr>
            <w:r w:rsidRPr="00D27BF1">
              <w:rPr>
                <w:szCs w:val="20"/>
              </w:rPr>
              <w:t>0.0</w:t>
            </w:r>
          </w:p>
        </w:tc>
        <w:tc>
          <w:tcPr>
            <w:tcW w:w="1134" w:type="dxa"/>
            <w:vAlign w:val="center"/>
          </w:tcPr>
          <w:p w14:paraId="7E56E630" w14:textId="77777777" w:rsidR="00506DF5" w:rsidRPr="00D27BF1" w:rsidRDefault="00506DF5" w:rsidP="00A40A08">
            <w:pPr>
              <w:pStyle w:val="Tabletext"/>
              <w:keepNext/>
              <w:keepLines/>
              <w:jc w:val="center"/>
              <w:rPr>
                <w:szCs w:val="20"/>
              </w:rPr>
            </w:pPr>
            <w:r w:rsidRPr="00D27BF1">
              <w:rPr>
                <w:szCs w:val="20"/>
              </w:rPr>
              <w:t>-1.0</w:t>
            </w:r>
          </w:p>
        </w:tc>
        <w:tc>
          <w:tcPr>
            <w:tcW w:w="1418" w:type="dxa"/>
            <w:vAlign w:val="center"/>
          </w:tcPr>
          <w:p w14:paraId="66C9A8EF" w14:textId="77777777" w:rsidR="00506DF5" w:rsidRPr="00D27BF1" w:rsidRDefault="00506DF5" w:rsidP="00A40A08">
            <w:pPr>
              <w:pStyle w:val="Tabletext"/>
              <w:keepNext/>
              <w:keepLines/>
              <w:jc w:val="center"/>
              <w:rPr>
                <w:b/>
                <w:szCs w:val="20"/>
              </w:rPr>
            </w:pPr>
            <w:r w:rsidRPr="00D27BF1">
              <w:rPr>
                <w:b/>
                <w:szCs w:val="20"/>
              </w:rPr>
              <w:t xml:space="preserve">-0.73 (-1.11, </w:t>
            </w:r>
            <w:r w:rsidR="002C5D7B" w:rsidRPr="00D27BF1">
              <w:rPr>
                <w:b/>
                <w:szCs w:val="20"/>
              </w:rPr>
              <w:br/>
            </w:r>
            <w:r w:rsidRPr="00D27BF1">
              <w:rPr>
                <w:b/>
                <w:szCs w:val="20"/>
              </w:rPr>
              <w:t>-0.34); &lt;0.0001</w:t>
            </w:r>
          </w:p>
        </w:tc>
        <w:tc>
          <w:tcPr>
            <w:tcW w:w="850" w:type="dxa"/>
            <w:vAlign w:val="center"/>
          </w:tcPr>
          <w:p w14:paraId="6162CF6F" w14:textId="77777777" w:rsidR="00506DF5" w:rsidRPr="00D27BF1" w:rsidRDefault="006677B8" w:rsidP="00A40A08">
            <w:pPr>
              <w:pStyle w:val="Tabletext"/>
              <w:keepNext/>
              <w:keepLines/>
              <w:jc w:val="center"/>
              <w:rPr>
                <w:szCs w:val="20"/>
              </w:rPr>
            </w:pPr>
            <w:r w:rsidRPr="00D27BF1">
              <w:rPr>
                <w:szCs w:val="20"/>
              </w:rPr>
              <w:t>0.0</w:t>
            </w:r>
          </w:p>
        </w:tc>
        <w:tc>
          <w:tcPr>
            <w:tcW w:w="851" w:type="dxa"/>
            <w:vAlign w:val="center"/>
          </w:tcPr>
          <w:p w14:paraId="26BCC3C5" w14:textId="77777777" w:rsidR="00506DF5" w:rsidRPr="00D27BF1" w:rsidRDefault="006677B8" w:rsidP="00A40A08">
            <w:pPr>
              <w:pStyle w:val="Tabletext"/>
              <w:keepNext/>
              <w:keepLines/>
              <w:jc w:val="center"/>
              <w:rPr>
                <w:szCs w:val="20"/>
              </w:rPr>
            </w:pPr>
            <w:r w:rsidRPr="00D27BF1">
              <w:rPr>
                <w:szCs w:val="20"/>
              </w:rPr>
              <w:t>-0.5</w:t>
            </w:r>
          </w:p>
        </w:tc>
        <w:tc>
          <w:tcPr>
            <w:tcW w:w="1225" w:type="dxa"/>
            <w:vAlign w:val="center"/>
          </w:tcPr>
          <w:p w14:paraId="32AF2C5E" w14:textId="77777777" w:rsidR="00506DF5" w:rsidRPr="00D27BF1" w:rsidRDefault="006677B8" w:rsidP="00A40A08">
            <w:pPr>
              <w:pStyle w:val="Tabletext"/>
              <w:keepNext/>
              <w:keepLines/>
              <w:jc w:val="center"/>
              <w:rPr>
                <w:szCs w:val="20"/>
              </w:rPr>
            </w:pPr>
            <w:r w:rsidRPr="00D27BF1">
              <w:rPr>
                <w:szCs w:val="20"/>
              </w:rPr>
              <w:t xml:space="preserve">-0.75 (-1.21, </w:t>
            </w:r>
            <w:r w:rsidR="002C5D7B" w:rsidRPr="00D27BF1">
              <w:rPr>
                <w:szCs w:val="20"/>
              </w:rPr>
              <w:br/>
            </w:r>
            <w:r w:rsidRPr="00D27BF1">
              <w:rPr>
                <w:szCs w:val="20"/>
              </w:rPr>
              <w:t>-0.29)</w:t>
            </w:r>
            <w:r w:rsidR="00607A78" w:rsidRPr="00D27BF1">
              <w:rPr>
                <w:szCs w:val="20"/>
              </w:rPr>
              <w:t>; NR</w:t>
            </w:r>
          </w:p>
        </w:tc>
      </w:tr>
      <w:tr w:rsidR="007C17E4" w:rsidRPr="00D27BF1" w14:paraId="6BAB07A4" w14:textId="77777777" w:rsidTr="007C17E4">
        <w:tc>
          <w:tcPr>
            <w:tcW w:w="2547" w:type="dxa"/>
            <w:vAlign w:val="center"/>
          </w:tcPr>
          <w:p w14:paraId="634D9F2E" w14:textId="77777777" w:rsidR="00506DF5" w:rsidRPr="00D27BF1" w:rsidRDefault="00506DF5" w:rsidP="00A40A08">
            <w:pPr>
              <w:pStyle w:val="Tabletext"/>
              <w:keepNext/>
              <w:keepLines/>
              <w:rPr>
                <w:szCs w:val="20"/>
              </w:rPr>
            </w:pPr>
            <w:r w:rsidRPr="00D27BF1">
              <w:rPr>
                <w:szCs w:val="20"/>
              </w:rPr>
              <w:t>Responder Week 52</w:t>
            </w:r>
            <w:r w:rsidR="00FD1BE1" w:rsidRPr="00D27BF1">
              <w:rPr>
                <w:szCs w:val="20"/>
              </w:rPr>
              <w:t>,</w:t>
            </w:r>
            <w:r w:rsidRPr="00D27BF1">
              <w:rPr>
                <w:szCs w:val="20"/>
              </w:rPr>
              <w:t xml:space="preserve"> n/N (%)</w:t>
            </w:r>
            <w:r w:rsidR="00DE531D" w:rsidRPr="00D27BF1">
              <w:rPr>
                <w:szCs w:val="20"/>
              </w:rPr>
              <w:t xml:space="preserve"> </w:t>
            </w:r>
            <w:r w:rsidR="00DE531D" w:rsidRPr="00D27BF1">
              <w:rPr>
                <w:szCs w:val="20"/>
                <w:vertAlign w:val="superscript"/>
              </w:rPr>
              <w:t>b</w:t>
            </w:r>
          </w:p>
        </w:tc>
        <w:tc>
          <w:tcPr>
            <w:tcW w:w="992" w:type="dxa"/>
            <w:vAlign w:val="center"/>
          </w:tcPr>
          <w:p w14:paraId="33E09076" w14:textId="77777777" w:rsidR="00506DF5" w:rsidRPr="00D27BF1" w:rsidRDefault="00506DF5" w:rsidP="00A40A08">
            <w:pPr>
              <w:pStyle w:val="Tabletext"/>
              <w:keepNext/>
              <w:keepLines/>
              <w:jc w:val="center"/>
              <w:rPr>
                <w:szCs w:val="20"/>
              </w:rPr>
            </w:pPr>
            <w:r w:rsidRPr="00D27BF1">
              <w:rPr>
                <w:szCs w:val="20"/>
              </w:rPr>
              <w:t>57</w:t>
            </w:r>
            <w:r w:rsidR="00483DA2" w:rsidRPr="00D27BF1">
              <w:rPr>
                <w:szCs w:val="20"/>
              </w:rPr>
              <w:t>/201</w:t>
            </w:r>
            <w:r w:rsidRPr="00D27BF1">
              <w:rPr>
                <w:szCs w:val="20"/>
              </w:rPr>
              <w:t xml:space="preserve"> (28)</w:t>
            </w:r>
          </w:p>
        </w:tc>
        <w:tc>
          <w:tcPr>
            <w:tcW w:w="1134" w:type="dxa"/>
            <w:vAlign w:val="center"/>
          </w:tcPr>
          <w:p w14:paraId="4912D629" w14:textId="77777777" w:rsidR="00506DF5" w:rsidRPr="00D27BF1" w:rsidRDefault="00506DF5" w:rsidP="00A40A08">
            <w:pPr>
              <w:pStyle w:val="Tabletext"/>
              <w:keepNext/>
              <w:keepLines/>
              <w:jc w:val="center"/>
              <w:rPr>
                <w:szCs w:val="20"/>
              </w:rPr>
            </w:pPr>
            <w:r w:rsidRPr="00D27BF1">
              <w:rPr>
                <w:szCs w:val="20"/>
              </w:rPr>
              <w:t>104</w:t>
            </w:r>
            <w:r w:rsidR="00483DA2" w:rsidRPr="00D27BF1">
              <w:rPr>
                <w:szCs w:val="20"/>
              </w:rPr>
              <w:t>/206</w:t>
            </w:r>
            <w:r w:rsidRPr="00D27BF1">
              <w:rPr>
                <w:szCs w:val="20"/>
              </w:rPr>
              <w:t xml:space="preserve"> (50)</w:t>
            </w:r>
          </w:p>
        </w:tc>
        <w:tc>
          <w:tcPr>
            <w:tcW w:w="1418" w:type="dxa"/>
            <w:vAlign w:val="center"/>
          </w:tcPr>
          <w:p w14:paraId="72AEADD2" w14:textId="77777777" w:rsidR="00506DF5" w:rsidRPr="00D27BF1" w:rsidRDefault="004C3D52" w:rsidP="00A40A08">
            <w:pPr>
              <w:pStyle w:val="Tabletext"/>
              <w:keepNext/>
              <w:keepLines/>
              <w:jc w:val="center"/>
              <w:rPr>
                <w:szCs w:val="20"/>
              </w:rPr>
            </w:pPr>
            <w:r w:rsidRPr="00D27BF1">
              <w:rPr>
                <w:szCs w:val="20"/>
              </w:rPr>
              <w:t>NR</w:t>
            </w:r>
          </w:p>
        </w:tc>
        <w:tc>
          <w:tcPr>
            <w:tcW w:w="850" w:type="dxa"/>
            <w:vAlign w:val="center"/>
          </w:tcPr>
          <w:p w14:paraId="324F43B5" w14:textId="77777777" w:rsidR="00506DF5" w:rsidRPr="00D27BF1" w:rsidRDefault="004C3D52" w:rsidP="00A40A08">
            <w:pPr>
              <w:pStyle w:val="Tabletext"/>
              <w:keepNext/>
              <w:keepLines/>
              <w:jc w:val="center"/>
              <w:rPr>
                <w:szCs w:val="20"/>
              </w:rPr>
            </w:pPr>
            <w:r w:rsidRPr="00D27BF1">
              <w:rPr>
                <w:szCs w:val="20"/>
              </w:rPr>
              <w:t>NR</w:t>
            </w:r>
          </w:p>
        </w:tc>
        <w:tc>
          <w:tcPr>
            <w:tcW w:w="851" w:type="dxa"/>
            <w:vAlign w:val="center"/>
          </w:tcPr>
          <w:p w14:paraId="25E53851" w14:textId="77777777" w:rsidR="00506DF5" w:rsidRPr="00D27BF1" w:rsidRDefault="004C3D52" w:rsidP="00A40A08">
            <w:pPr>
              <w:pStyle w:val="Tabletext"/>
              <w:keepNext/>
              <w:keepLines/>
              <w:jc w:val="center"/>
              <w:rPr>
                <w:szCs w:val="20"/>
              </w:rPr>
            </w:pPr>
            <w:r w:rsidRPr="00D27BF1">
              <w:rPr>
                <w:szCs w:val="20"/>
              </w:rPr>
              <w:t>NR</w:t>
            </w:r>
          </w:p>
        </w:tc>
        <w:tc>
          <w:tcPr>
            <w:tcW w:w="1225" w:type="dxa"/>
            <w:vAlign w:val="center"/>
          </w:tcPr>
          <w:p w14:paraId="65AE52CA" w14:textId="77777777" w:rsidR="00506DF5" w:rsidRPr="00D27BF1" w:rsidRDefault="004C3D52" w:rsidP="00A40A08">
            <w:pPr>
              <w:pStyle w:val="Tabletext"/>
              <w:keepNext/>
              <w:keepLines/>
              <w:jc w:val="center"/>
              <w:rPr>
                <w:szCs w:val="20"/>
              </w:rPr>
            </w:pPr>
            <w:r w:rsidRPr="00D27BF1">
              <w:rPr>
                <w:szCs w:val="20"/>
              </w:rPr>
              <w:t>NR</w:t>
            </w:r>
          </w:p>
        </w:tc>
      </w:tr>
      <w:tr w:rsidR="00506DF5" w:rsidRPr="00D27BF1" w14:paraId="0F67AF3E" w14:textId="77777777" w:rsidTr="00607A78">
        <w:tc>
          <w:tcPr>
            <w:tcW w:w="9017" w:type="dxa"/>
            <w:gridSpan w:val="7"/>
          </w:tcPr>
          <w:p w14:paraId="1B510CE0" w14:textId="77777777" w:rsidR="00506DF5" w:rsidRPr="00D27BF1" w:rsidRDefault="00506DF5" w:rsidP="00A40A08">
            <w:pPr>
              <w:pStyle w:val="Tabletext"/>
              <w:keepNext/>
              <w:keepLines/>
              <w:rPr>
                <w:szCs w:val="20"/>
                <w:u w:val="single"/>
              </w:rPr>
            </w:pPr>
            <w:r w:rsidRPr="00D27BF1">
              <w:rPr>
                <w:szCs w:val="20"/>
                <w:u w:val="single"/>
              </w:rPr>
              <w:t xml:space="preserve">Change from baseline in NO-VAS symptom score </w:t>
            </w:r>
          </w:p>
        </w:tc>
      </w:tr>
      <w:tr w:rsidR="007C17E4" w:rsidRPr="00D27BF1" w14:paraId="256536B6" w14:textId="77777777" w:rsidTr="007C17E4">
        <w:tc>
          <w:tcPr>
            <w:tcW w:w="2547" w:type="dxa"/>
            <w:vAlign w:val="center"/>
          </w:tcPr>
          <w:p w14:paraId="17BA840A" w14:textId="77777777" w:rsidR="00DE531D" w:rsidRPr="00D27BF1" w:rsidRDefault="00DE531D" w:rsidP="00A40A08">
            <w:pPr>
              <w:pStyle w:val="Tabletext"/>
              <w:keepNext/>
              <w:keepLines/>
              <w:rPr>
                <w:szCs w:val="20"/>
              </w:rPr>
            </w:pPr>
            <w:r w:rsidRPr="00D27BF1">
              <w:rPr>
                <w:szCs w:val="20"/>
              </w:rPr>
              <w:t>Median</w:t>
            </w:r>
            <w:r w:rsidR="00FD1BE1" w:rsidRPr="00D27BF1">
              <w:rPr>
                <w:szCs w:val="20"/>
              </w:rPr>
              <w:t xml:space="preserve"> change</w:t>
            </w:r>
            <w:r w:rsidRPr="00D27BF1">
              <w:rPr>
                <w:szCs w:val="20"/>
              </w:rPr>
              <w:t xml:space="preserve"> at Week 49-52</w:t>
            </w:r>
            <w:r w:rsidRPr="00D27BF1">
              <w:rPr>
                <w:szCs w:val="20"/>
                <w:vertAlign w:val="superscript"/>
              </w:rPr>
              <w:t>a</w:t>
            </w:r>
          </w:p>
        </w:tc>
        <w:tc>
          <w:tcPr>
            <w:tcW w:w="992" w:type="dxa"/>
            <w:shd w:val="clear" w:color="auto" w:fill="auto"/>
            <w:vAlign w:val="center"/>
          </w:tcPr>
          <w:p w14:paraId="6968350B" w14:textId="77777777" w:rsidR="00DE531D" w:rsidRPr="00D27BF1" w:rsidRDefault="00DE531D" w:rsidP="00A40A08">
            <w:pPr>
              <w:pStyle w:val="Tabletext"/>
              <w:keepNext/>
              <w:keepLines/>
              <w:jc w:val="center"/>
              <w:rPr>
                <w:szCs w:val="20"/>
              </w:rPr>
            </w:pPr>
            <w:r w:rsidRPr="00D27BF1">
              <w:rPr>
                <w:szCs w:val="20"/>
              </w:rPr>
              <w:t>-0.82</w:t>
            </w:r>
          </w:p>
        </w:tc>
        <w:tc>
          <w:tcPr>
            <w:tcW w:w="1134" w:type="dxa"/>
            <w:shd w:val="clear" w:color="auto" w:fill="auto"/>
            <w:vAlign w:val="center"/>
          </w:tcPr>
          <w:p w14:paraId="5DC7D6CA" w14:textId="77777777" w:rsidR="00DE531D" w:rsidRPr="00D27BF1" w:rsidRDefault="00DE531D" w:rsidP="00A40A08">
            <w:pPr>
              <w:pStyle w:val="Tabletext"/>
              <w:keepNext/>
              <w:keepLines/>
              <w:jc w:val="center"/>
              <w:rPr>
                <w:szCs w:val="20"/>
              </w:rPr>
            </w:pPr>
            <w:r w:rsidRPr="00D27BF1">
              <w:rPr>
                <w:szCs w:val="20"/>
              </w:rPr>
              <w:t>-4.41</w:t>
            </w:r>
          </w:p>
        </w:tc>
        <w:tc>
          <w:tcPr>
            <w:tcW w:w="1418" w:type="dxa"/>
            <w:vAlign w:val="center"/>
          </w:tcPr>
          <w:p w14:paraId="5687DD85" w14:textId="77777777" w:rsidR="00DE531D" w:rsidRPr="00D27BF1" w:rsidRDefault="00DE531D" w:rsidP="00A40A08">
            <w:pPr>
              <w:pStyle w:val="Tabletext"/>
              <w:keepNext/>
              <w:keepLines/>
              <w:jc w:val="center"/>
              <w:rPr>
                <w:b/>
                <w:szCs w:val="20"/>
              </w:rPr>
            </w:pPr>
            <w:r w:rsidRPr="00D27BF1">
              <w:rPr>
                <w:b/>
                <w:szCs w:val="20"/>
              </w:rPr>
              <w:t xml:space="preserve">-3.14 (-4.09, </w:t>
            </w:r>
            <w:r w:rsidR="006F3CDE" w:rsidRPr="00D27BF1">
              <w:rPr>
                <w:b/>
                <w:szCs w:val="20"/>
              </w:rPr>
              <w:br/>
            </w:r>
            <w:r w:rsidRPr="00D27BF1">
              <w:rPr>
                <w:b/>
                <w:szCs w:val="20"/>
              </w:rPr>
              <w:t>-2.18); &lt;0.0001</w:t>
            </w:r>
          </w:p>
        </w:tc>
        <w:tc>
          <w:tcPr>
            <w:tcW w:w="850" w:type="dxa"/>
            <w:vAlign w:val="center"/>
          </w:tcPr>
          <w:p w14:paraId="354A24DD" w14:textId="77777777" w:rsidR="00DE531D" w:rsidRPr="00D27BF1" w:rsidRDefault="006677B8" w:rsidP="00A40A08">
            <w:pPr>
              <w:pStyle w:val="Tabletext"/>
              <w:keepNext/>
              <w:keepLines/>
              <w:jc w:val="center"/>
              <w:rPr>
                <w:szCs w:val="20"/>
              </w:rPr>
            </w:pPr>
            <w:r w:rsidRPr="00D27BF1">
              <w:rPr>
                <w:szCs w:val="20"/>
              </w:rPr>
              <w:t>-0.75</w:t>
            </w:r>
          </w:p>
        </w:tc>
        <w:tc>
          <w:tcPr>
            <w:tcW w:w="851" w:type="dxa"/>
            <w:vAlign w:val="center"/>
          </w:tcPr>
          <w:p w14:paraId="7874FB30" w14:textId="77777777" w:rsidR="00DE531D" w:rsidRPr="00D27BF1" w:rsidRDefault="006677B8" w:rsidP="00A40A08">
            <w:pPr>
              <w:pStyle w:val="Tabletext"/>
              <w:keepNext/>
              <w:keepLines/>
              <w:jc w:val="center"/>
              <w:rPr>
                <w:szCs w:val="20"/>
              </w:rPr>
            </w:pPr>
            <w:r w:rsidRPr="00D27BF1">
              <w:rPr>
                <w:szCs w:val="20"/>
              </w:rPr>
              <w:t>-4.32</w:t>
            </w:r>
          </w:p>
        </w:tc>
        <w:tc>
          <w:tcPr>
            <w:tcW w:w="1225" w:type="dxa"/>
            <w:vAlign w:val="center"/>
          </w:tcPr>
          <w:p w14:paraId="3AD55686" w14:textId="77777777" w:rsidR="00DE531D" w:rsidRPr="00D27BF1" w:rsidRDefault="006677B8" w:rsidP="00A40A08">
            <w:pPr>
              <w:pStyle w:val="Tabletext"/>
              <w:keepNext/>
              <w:keepLines/>
              <w:jc w:val="center"/>
              <w:rPr>
                <w:szCs w:val="20"/>
              </w:rPr>
            </w:pPr>
            <w:r w:rsidRPr="00D27BF1">
              <w:rPr>
                <w:szCs w:val="20"/>
              </w:rPr>
              <w:t xml:space="preserve">-3.36 (-4.27, </w:t>
            </w:r>
            <w:r w:rsidR="002E0037" w:rsidRPr="00D27BF1">
              <w:rPr>
                <w:szCs w:val="20"/>
              </w:rPr>
              <w:br/>
            </w:r>
            <w:r w:rsidRPr="00D27BF1">
              <w:rPr>
                <w:szCs w:val="20"/>
              </w:rPr>
              <w:t>-2.44)</w:t>
            </w:r>
            <w:r w:rsidR="00607A78" w:rsidRPr="00D27BF1">
              <w:rPr>
                <w:szCs w:val="20"/>
              </w:rPr>
              <w:t>; NR</w:t>
            </w:r>
          </w:p>
        </w:tc>
      </w:tr>
      <w:tr w:rsidR="00A40A08" w:rsidRPr="00D27BF1" w14:paraId="56D31093" w14:textId="77777777" w:rsidTr="007C17E4">
        <w:tc>
          <w:tcPr>
            <w:tcW w:w="2547" w:type="dxa"/>
            <w:vAlign w:val="center"/>
          </w:tcPr>
          <w:p w14:paraId="36F0AA67" w14:textId="77777777" w:rsidR="004C3D52" w:rsidRPr="00D27BF1" w:rsidRDefault="004C3D52" w:rsidP="00A40A08">
            <w:pPr>
              <w:pStyle w:val="Tabletext"/>
              <w:keepNext/>
              <w:keepLines/>
              <w:rPr>
                <w:szCs w:val="20"/>
              </w:rPr>
            </w:pPr>
            <w:r w:rsidRPr="00D27BF1">
              <w:rPr>
                <w:szCs w:val="20"/>
              </w:rPr>
              <w:t xml:space="preserve">Responder Week 52, n/N (%) </w:t>
            </w:r>
            <w:r w:rsidRPr="00D27BF1">
              <w:rPr>
                <w:szCs w:val="20"/>
                <w:vertAlign w:val="superscript"/>
              </w:rPr>
              <w:t>c</w:t>
            </w:r>
          </w:p>
        </w:tc>
        <w:tc>
          <w:tcPr>
            <w:tcW w:w="992" w:type="dxa"/>
            <w:shd w:val="clear" w:color="auto" w:fill="auto"/>
            <w:vAlign w:val="center"/>
          </w:tcPr>
          <w:p w14:paraId="49C5F36E" w14:textId="77777777" w:rsidR="004C3D52" w:rsidRPr="00D27BF1" w:rsidRDefault="004C3D52" w:rsidP="00A40A08">
            <w:pPr>
              <w:pStyle w:val="Tabletext"/>
              <w:keepNext/>
              <w:keepLines/>
              <w:jc w:val="center"/>
              <w:rPr>
                <w:szCs w:val="20"/>
              </w:rPr>
            </w:pPr>
            <w:r w:rsidRPr="00D27BF1">
              <w:rPr>
                <w:szCs w:val="20"/>
              </w:rPr>
              <w:t>73/201 (36)</w:t>
            </w:r>
          </w:p>
        </w:tc>
        <w:tc>
          <w:tcPr>
            <w:tcW w:w="1134" w:type="dxa"/>
            <w:shd w:val="clear" w:color="auto" w:fill="auto"/>
            <w:vAlign w:val="center"/>
          </w:tcPr>
          <w:p w14:paraId="4A189DC6" w14:textId="77777777" w:rsidR="004C3D52" w:rsidRPr="00D27BF1" w:rsidRDefault="004C3D52" w:rsidP="00A40A08">
            <w:pPr>
              <w:pStyle w:val="Tabletext"/>
              <w:keepNext/>
              <w:keepLines/>
              <w:jc w:val="center"/>
              <w:rPr>
                <w:szCs w:val="20"/>
              </w:rPr>
            </w:pPr>
            <w:r w:rsidRPr="00D27BF1">
              <w:rPr>
                <w:szCs w:val="20"/>
              </w:rPr>
              <w:t>124/206 (60)</w:t>
            </w:r>
          </w:p>
        </w:tc>
        <w:tc>
          <w:tcPr>
            <w:tcW w:w="1418" w:type="dxa"/>
            <w:vAlign w:val="center"/>
          </w:tcPr>
          <w:p w14:paraId="2D699477" w14:textId="77777777" w:rsidR="004C3D52" w:rsidRPr="00D27BF1" w:rsidRDefault="004C3D52" w:rsidP="00A40A08">
            <w:pPr>
              <w:pStyle w:val="Tabletext"/>
              <w:keepNext/>
              <w:keepLines/>
              <w:jc w:val="center"/>
              <w:rPr>
                <w:szCs w:val="20"/>
              </w:rPr>
            </w:pPr>
            <w:r w:rsidRPr="00D27BF1">
              <w:rPr>
                <w:szCs w:val="20"/>
              </w:rPr>
              <w:t>NR</w:t>
            </w:r>
          </w:p>
        </w:tc>
        <w:tc>
          <w:tcPr>
            <w:tcW w:w="850" w:type="dxa"/>
            <w:vAlign w:val="center"/>
          </w:tcPr>
          <w:p w14:paraId="46716369" w14:textId="77777777" w:rsidR="004C3D52" w:rsidRPr="00D27BF1" w:rsidRDefault="004C3D52" w:rsidP="00A40A08">
            <w:pPr>
              <w:pStyle w:val="Tabletext"/>
              <w:keepNext/>
              <w:keepLines/>
              <w:jc w:val="center"/>
              <w:rPr>
                <w:szCs w:val="20"/>
              </w:rPr>
            </w:pPr>
            <w:r w:rsidRPr="00D27BF1">
              <w:rPr>
                <w:szCs w:val="20"/>
              </w:rPr>
              <w:t>NR</w:t>
            </w:r>
          </w:p>
        </w:tc>
        <w:tc>
          <w:tcPr>
            <w:tcW w:w="851" w:type="dxa"/>
            <w:vAlign w:val="center"/>
          </w:tcPr>
          <w:p w14:paraId="06FF863E" w14:textId="77777777" w:rsidR="004C3D52" w:rsidRPr="00D27BF1" w:rsidRDefault="004C3D52" w:rsidP="00A40A08">
            <w:pPr>
              <w:pStyle w:val="Tabletext"/>
              <w:keepNext/>
              <w:keepLines/>
              <w:jc w:val="center"/>
              <w:rPr>
                <w:szCs w:val="20"/>
              </w:rPr>
            </w:pPr>
            <w:r w:rsidRPr="00D27BF1">
              <w:rPr>
                <w:szCs w:val="20"/>
              </w:rPr>
              <w:t>NR</w:t>
            </w:r>
          </w:p>
        </w:tc>
        <w:tc>
          <w:tcPr>
            <w:tcW w:w="1225" w:type="dxa"/>
            <w:vAlign w:val="center"/>
          </w:tcPr>
          <w:p w14:paraId="13CDBCDC" w14:textId="77777777" w:rsidR="004C3D52" w:rsidRPr="00D27BF1" w:rsidRDefault="004C3D52" w:rsidP="00A40A08">
            <w:pPr>
              <w:pStyle w:val="Tabletext"/>
              <w:keepNext/>
              <w:keepLines/>
              <w:jc w:val="center"/>
              <w:rPr>
                <w:szCs w:val="20"/>
              </w:rPr>
            </w:pPr>
            <w:r w:rsidRPr="00D27BF1">
              <w:rPr>
                <w:szCs w:val="20"/>
              </w:rPr>
              <w:t>NR</w:t>
            </w:r>
          </w:p>
        </w:tc>
      </w:tr>
      <w:tr w:rsidR="004C3D52" w:rsidRPr="00D27BF1" w14:paraId="11A4153A" w14:textId="77777777" w:rsidTr="00607A78">
        <w:tc>
          <w:tcPr>
            <w:tcW w:w="9017" w:type="dxa"/>
            <w:gridSpan w:val="7"/>
          </w:tcPr>
          <w:p w14:paraId="7A2FAA45" w14:textId="77777777" w:rsidR="004C3D52" w:rsidRPr="00D27BF1" w:rsidRDefault="00B077C8" w:rsidP="00A40A08">
            <w:pPr>
              <w:pStyle w:val="Tabletext"/>
              <w:keepNext/>
              <w:keepLines/>
              <w:rPr>
                <w:szCs w:val="20"/>
                <w:u w:val="single"/>
              </w:rPr>
            </w:pPr>
            <w:r w:rsidRPr="00D27BF1">
              <w:rPr>
                <w:szCs w:val="20"/>
                <w:u w:val="single"/>
              </w:rPr>
              <w:t>Any Responder (ENP and/or NO-VAS)</w:t>
            </w:r>
          </w:p>
        </w:tc>
      </w:tr>
      <w:tr w:rsidR="00A40A08" w:rsidRPr="00D27BF1" w14:paraId="354B7E8D" w14:textId="77777777" w:rsidTr="007C17E4">
        <w:tc>
          <w:tcPr>
            <w:tcW w:w="2547" w:type="dxa"/>
            <w:vAlign w:val="center"/>
          </w:tcPr>
          <w:p w14:paraId="5ECF04CC" w14:textId="77777777" w:rsidR="004C3D52" w:rsidRPr="00D27BF1" w:rsidRDefault="004C3D52" w:rsidP="00A40A08">
            <w:pPr>
              <w:pStyle w:val="Tabletext"/>
              <w:keepNext/>
              <w:keepLines/>
              <w:rPr>
                <w:szCs w:val="20"/>
              </w:rPr>
            </w:pPr>
            <w:r w:rsidRPr="00D27BF1">
              <w:rPr>
                <w:szCs w:val="20"/>
              </w:rPr>
              <w:t>Total responder at Week 24, n/N (%)</w:t>
            </w:r>
          </w:p>
        </w:tc>
        <w:tc>
          <w:tcPr>
            <w:tcW w:w="992" w:type="dxa"/>
            <w:vAlign w:val="center"/>
          </w:tcPr>
          <w:p w14:paraId="46F7DED3" w14:textId="77777777" w:rsidR="004C3D52" w:rsidRPr="00D27BF1" w:rsidRDefault="004C3D52" w:rsidP="00A40A08">
            <w:pPr>
              <w:pStyle w:val="Tabletext"/>
              <w:keepNext/>
              <w:keepLines/>
              <w:jc w:val="center"/>
              <w:rPr>
                <w:szCs w:val="20"/>
              </w:rPr>
            </w:pPr>
            <w:r w:rsidRPr="00D27BF1">
              <w:rPr>
                <w:szCs w:val="20"/>
              </w:rPr>
              <w:t>95/201 (47)</w:t>
            </w:r>
          </w:p>
        </w:tc>
        <w:tc>
          <w:tcPr>
            <w:tcW w:w="1134" w:type="dxa"/>
            <w:vAlign w:val="center"/>
          </w:tcPr>
          <w:p w14:paraId="2E2C20E4" w14:textId="77777777" w:rsidR="004C3D52" w:rsidRPr="00D27BF1" w:rsidRDefault="004C3D52" w:rsidP="00A40A08">
            <w:pPr>
              <w:pStyle w:val="Tabletext"/>
              <w:keepNext/>
              <w:keepLines/>
              <w:jc w:val="center"/>
              <w:rPr>
                <w:szCs w:val="20"/>
              </w:rPr>
            </w:pPr>
            <w:r w:rsidRPr="00D27BF1">
              <w:rPr>
                <w:szCs w:val="20"/>
              </w:rPr>
              <w:t>144/206 (70)</w:t>
            </w:r>
          </w:p>
        </w:tc>
        <w:tc>
          <w:tcPr>
            <w:tcW w:w="1418" w:type="dxa"/>
            <w:vAlign w:val="center"/>
          </w:tcPr>
          <w:p w14:paraId="6DF6954E" w14:textId="77777777" w:rsidR="004C3D52" w:rsidRPr="00D27BF1" w:rsidRDefault="004C3D52" w:rsidP="00A40A08">
            <w:pPr>
              <w:pStyle w:val="Tabletext"/>
              <w:keepNext/>
              <w:keepLines/>
              <w:jc w:val="center"/>
              <w:rPr>
                <w:szCs w:val="20"/>
              </w:rPr>
            </w:pPr>
            <w:r w:rsidRPr="00D27BF1">
              <w:rPr>
                <w:szCs w:val="20"/>
              </w:rPr>
              <w:t>NR</w:t>
            </w:r>
          </w:p>
        </w:tc>
        <w:tc>
          <w:tcPr>
            <w:tcW w:w="850" w:type="dxa"/>
            <w:vAlign w:val="center"/>
          </w:tcPr>
          <w:p w14:paraId="27CAC04E" w14:textId="77777777" w:rsidR="004C3D52" w:rsidRPr="00D27BF1" w:rsidRDefault="004C3D52" w:rsidP="00A40A08">
            <w:pPr>
              <w:pStyle w:val="Tabletext"/>
              <w:keepNext/>
              <w:keepLines/>
              <w:jc w:val="center"/>
              <w:rPr>
                <w:szCs w:val="20"/>
              </w:rPr>
            </w:pPr>
            <w:r w:rsidRPr="00D27BF1">
              <w:rPr>
                <w:szCs w:val="20"/>
              </w:rPr>
              <w:t>86/185 (47)</w:t>
            </w:r>
          </w:p>
        </w:tc>
        <w:tc>
          <w:tcPr>
            <w:tcW w:w="851" w:type="dxa"/>
            <w:vAlign w:val="center"/>
          </w:tcPr>
          <w:p w14:paraId="28404AA0" w14:textId="77777777" w:rsidR="004C3D52" w:rsidRPr="00D27BF1" w:rsidRDefault="004C3D52" w:rsidP="00A40A08">
            <w:pPr>
              <w:pStyle w:val="Tabletext"/>
              <w:keepNext/>
              <w:keepLines/>
              <w:jc w:val="center"/>
              <w:rPr>
                <w:szCs w:val="20"/>
              </w:rPr>
            </w:pPr>
            <w:r w:rsidRPr="00D27BF1">
              <w:rPr>
                <w:szCs w:val="20"/>
              </w:rPr>
              <w:t>129/186</w:t>
            </w:r>
            <w:r w:rsidR="00B077C8" w:rsidRPr="00D27BF1">
              <w:rPr>
                <w:szCs w:val="20"/>
              </w:rPr>
              <w:t xml:space="preserve"> </w:t>
            </w:r>
            <w:r w:rsidRPr="00D27BF1">
              <w:rPr>
                <w:szCs w:val="20"/>
              </w:rPr>
              <w:t>(69)</w:t>
            </w:r>
          </w:p>
        </w:tc>
        <w:tc>
          <w:tcPr>
            <w:tcW w:w="1225" w:type="dxa"/>
            <w:vAlign w:val="center"/>
          </w:tcPr>
          <w:p w14:paraId="457BB13E" w14:textId="77777777" w:rsidR="004C3D52" w:rsidRPr="00D27BF1" w:rsidRDefault="004C3D52" w:rsidP="00A40A08">
            <w:pPr>
              <w:pStyle w:val="Tabletext"/>
              <w:keepNext/>
              <w:keepLines/>
              <w:jc w:val="center"/>
              <w:rPr>
                <w:szCs w:val="20"/>
              </w:rPr>
            </w:pPr>
            <w:r w:rsidRPr="00D27BF1">
              <w:rPr>
                <w:szCs w:val="20"/>
              </w:rPr>
              <w:t>NR</w:t>
            </w:r>
          </w:p>
        </w:tc>
      </w:tr>
      <w:tr w:rsidR="00A40A08" w:rsidRPr="00D27BF1" w14:paraId="06568456" w14:textId="77777777" w:rsidTr="007C17E4">
        <w:tc>
          <w:tcPr>
            <w:tcW w:w="2547" w:type="dxa"/>
            <w:vAlign w:val="center"/>
          </w:tcPr>
          <w:p w14:paraId="2C42B7B2" w14:textId="77777777" w:rsidR="004C3D52" w:rsidRPr="00D27BF1" w:rsidRDefault="004C3D52" w:rsidP="00A40A08">
            <w:pPr>
              <w:pStyle w:val="Tabletext"/>
              <w:keepNext/>
              <w:keepLines/>
              <w:rPr>
                <w:szCs w:val="20"/>
              </w:rPr>
            </w:pPr>
            <w:r w:rsidRPr="00D27BF1">
              <w:rPr>
                <w:szCs w:val="20"/>
              </w:rPr>
              <w:t>Total responder at Week 52, n/N (%)</w:t>
            </w:r>
          </w:p>
        </w:tc>
        <w:tc>
          <w:tcPr>
            <w:tcW w:w="992" w:type="dxa"/>
            <w:vAlign w:val="center"/>
          </w:tcPr>
          <w:p w14:paraId="168E04A7" w14:textId="77777777" w:rsidR="004C3D52" w:rsidRPr="00D27BF1" w:rsidRDefault="004C3D52" w:rsidP="00A40A08">
            <w:pPr>
              <w:pStyle w:val="Tabletext"/>
              <w:keepNext/>
              <w:keepLines/>
              <w:jc w:val="center"/>
              <w:rPr>
                <w:szCs w:val="20"/>
              </w:rPr>
            </w:pPr>
            <w:r w:rsidRPr="00D27BF1">
              <w:rPr>
                <w:szCs w:val="20"/>
              </w:rPr>
              <w:t>95/201 (47)</w:t>
            </w:r>
          </w:p>
        </w:tc>
        <w:tc>
          <w:tcPr>
            <w:tcW w:w="1134" w:type="dxa"/>
            <w:vAlign w:val="center"/>
          </w:tcPr>
          <w:p w14:paraId="61553E1A" w14:textId="77777777" w:rsidR="004C3D52" w:rsidRPr="00D27BF1" w:rsidRDefault="004C3D52" w:rsidP="00A40A08">
            <w:pPr>
              <w:pStyle w:val="Tabletext"/>
              <w:keepNext/>
              <w:keepLines/>
              <w:jc w:val="center"/>
              <w:rPr>
                <w:szCs w:val="20"/>
              </w:rPr>
            </w:pPr>
            <w:r w:rsidRPr="00D27BF1">
              <w:rPr>
                <w:szCs w:val="20"/>
              </w:rPr>
              <w:t>146/206 (71)</w:t>
            </w:r>
          </w:p>
        </w:tc>
        <w:tc>
          <w:tcPr>
            <w:tcW w:w="1418" w:type="dxa"/>
            <w:vAlign w:val="center"/>
          </w:tcPr>
          <w:p w14:paraId="1E3C5792" w14:textId="77777777" w:rsidR="004C3D52" w:rsidRPr="00D27BF1" w:rsidRDefault="004C3D52" w:rsidP="00A40A08">
            <w:pPr>
              <w:pStyle w:val="Tabletext"/>
              <w:keepNext/>
              <w:keepLines/>
              <w:jc w:val="center"/>
              <w:rPr>
                <w:szCs w:val="20"/>
              </w:rPr>
            </w:pPr>
            <w:r w:rsidRPr="00D27BF1">
              <w:rPr>
                <w:szCs w:val="20"/>
              </w:rPr>
              <w:t>NR</w:t>
            </w:r>
          </w:p>
        </w:tc>
        <w:tc>
          <w:tcPr>
            <w:tcW w:w="850" w:type="dxa"/>
            <w:vAlign w:val="center"/>
          </w:tcPr>
          <w:p w14:paraId="0BF833A4" w14:textId="77777777" w:rsidR="004C3D52" w:rsidRPr="00D27BF1" w:rsidRDefault="004C3D52" w:rsidP="00A40A08">
            <w:pPr>
              <w:pStyle w:val="Tabletext"/>
              <w:keepNext/>
              <w:keepLines/>
              <w:jc w:val="center"/>
              <w:rPr>
                <w:szCs w:val="20"/>
              </w:rPr>
            </w:pPr>
            <w:r w:rsidRPr="00D27BF1">
              <w:rPr>
                <w:szCs w:val="20"/>
              </w:rPr>
              <w:t>NR</w:t>
            </w:r>
          </w:p>
        </w:tc>
        <w:tc>
          <w:tcPr>
            <w:tcW w:w="851" w:type="dxa"/>
            <w:vAlign w:val="center"/>
          </w:tcPr>
          <w:p w14:paraId="4BE1C583" w14:textId="77777777" w:rsidR="004C3D52" w:rsidRPr="00D27BF1" w:rsidRDefault="004C3D52" w:rsidP="00A40A08">
            <w:pPr>
              <w:pStyle w:val="Tabletext"/>
              <w:keepNext/>
              <w:keepLines/>
              <w:jc w:val="center"/>
              <w:rPr>
                <w:szCs w:val="20"/>
              </w:rPr>
            </w:pPr>
            <w:r w:rsidRPr="00D27BF1">
              <w:rPr>
                <w:szCs w:val="20"/>
              </w:rPr>
              <w:t>NR</w:t>
            </w:r>
          </w:p>
        </w:tc>
        <w:tc>
          <w:tcPr>
            <w:tcW w:w="1225" w:type="dxa"/>
            <w:vAlign w:val="center"/>
          </w:tcPr>
          <w:p w14:paraId="2F630F81" w14:textId="77777777" w:rsidR="004C3D52" w:rsidRPr="00D27BF1" w:rsidRDefault="004C3D52" w:rsidP="00A40A08">
            <w:pPr>
              <w:pStyle w:val="Tabletext"/>
              <w:keepNext/>
              <w:keepLines/>
              <w:jc w:val="center"/>
              <w:rPr>
                <w:szCs w:val="20"/>
              </w:rPr>
            </w:pPr>
            <w:r w:rsidRPr="00D27BF1">
              <w:rPr>
                <w:szCs w:val="20"/>
              </w:rPr>
              <w:t>NR</w:t>
            </w:r>
          </w:p>
        </w:tc>
      </w:tr>
      <w:tr w:rsidR="00A40A08" w:rsidRPr="00D27BF1" w14:paraId="2231AF9D" w14:textId="77777777" w:rsidTr="007C17E4">
        <w:tc>
          <w:tcPr>
            <w:tcW w:w="2547" w:type="dxa"/>
            <w:vAlign w:val="center"/>
          </w:tcPr>
          <w:p w14:paraId="401F7AC2" w14:textId="77777777" w:rsidR="004C3D52" w:rsidRPr="00D27BF1" w:rsidRDefault="004C3D52" w:rsidP="00A40A08">
            <w:pPr>
              <w:pStyle w:val="Tabletext"/>
              <w:keepNext/>
              <w:keepLines/>
              <w:rPr>
                <w:szCs w:val="20"/>
              </w:rPr>
            </w:pPr>
            <w:r w:rsidRPr="00D27BF1">
              <w:rPr>
                <w:szCs w:val="20"/>
              </w:rPr>
              <w:t>Maintained response at Week 52 from Week 24, n/N (%)</w:t>
            </w:r>
          </w:p>
        </w:tc>
        <w:tc>
          <w:tcPr>
            <w:tcW w:w="992" w:type="dxa"/>
            <w:vAlign w:val="center"/>
          </w:tcPr>
          <w:p w14:paraId="12B54211" w14:textId="77777777" w:rsidR="004C3D52" w:rsidRPr="00D27BF1" w:rsidRDefault="004C3D52" w:rsidP="00A40A08">
            <w:pPr>
              <w:pStyle w:val="Tabletext"/>
              <w:keepNext/>
              <w:keepLines/>
              <w:jc w:val="center"/>
              <w:rPr>
                <w:szCs w:val="20"/>
              </w:rPr>
            </w:pPr>
            <w:r w:rsidRPr="00D27BF1">
              <w:rPr>
                <w:szCs w:val="20"/>
              </w:rPr>
              <w:t xml:space="preserve">65/95 </w:t>
            </w:r>
            <w:r w:rsidR="003177D8" w:rsidRPr="00D27BF1">
              <w:rPr>
                <w:szCs w:val="20"/>
              </w:rPr>
              <w:br/>
            </w:r>
            <w:r w:rsidRPr="00D27BF1">
              <w:rPr>
                <w:szCs w:val="20"/>
              </w:rPr>
              <w:t>(68)</w:t>
            </w:r>
          </w:p>
        </w:tc>
        <w:tc>
          <w:tcPr>
            <w:tcW w:w="1134" w:type="dxa"/>
            <w:vAlign w:val="center"/>
          </w:tcPr>
          <w:p w14:paraId="4EB434A1" w14:textId="77777777" w:rsidR="004C3D52" w:rsidRPr="00D27BF1" w:rsidRDefault="004C3D52" w:rsidP="00A40A08">
            <w:pPr>
              <w:pStyle w:val="Tabletext"/>
              <w:keepNext/>
              <w:keepLines/>
              <w:jc w:val="center"/>
              <w:rPr>
                <w:szCs w:val="20"/>
              </w:rPr>
            </w:pPr>
            <w:r w:rsidRPr="00D27BF1">
              <w:rPr>
                <w:szCs w:val="20"/>
              </w:rPr>
              <w:t>125/144 (87)</w:t>
            </w:r>
          </w:p>
        </w:tc>
        <w:tc>
          <w:tcPr>
            <w:tcW w:w="1418" w:type="dxa"/>
            <w:vAlign w:val="center"/>
          </w:tcPr>
          <w:p w14:paraId="7253F600" w14:textId="77777777" w:rsidR="004C3D52" w:rsidRPr="00D27BF1" w:rsidRDefault="004C3D52" w:rsidP="00A40A08">
            <w:pPr>
              <w:pStyle w:val="Tabletext"/>
              <w:keepNext/>
              <w:keepLines/>
              <w:jc w:val="center"/>
              <w:rPr>
                <w:szCs w:val="20"/>
              </w:rPr>
            </w:pPr>
            <w:r w:rsidRPr="00D27BF1">
              <w:rPr>
                <w:szCs w:val="20"/>
              </w:rPr>
              <w:t>NR</w:t>
            </w:r>
          </w:p>
        </w:tc>
        <w:tc>
          <w:tcPr>
            <w:tcW w:w="850" w:type="dxa"/>
            <w:vAlign w:val="center"/>
          </w:tcPr>
          <w:p w14:paraId="1A116553" w14:textId="77777777" w:rsidR="007C17E4" w:rsidRPr="00D27BF1" w:rsidRDefault="004C3D52" w:rsidP="00A40A08">
            <w:pPr>
              <w:pStyle w:val="Tabletext"/>
              <w:keepNext/>
              <w:keepLines/>
              <w:jc w:val="center"/>
              <w:rPr>
                <w:szCs w:val="20"/>
              </w:rPr>
            </w:pPr>
            <w:r w:rsidRPr="00D27BF1">
              <w:rPr>
                <w:szCs w:val="20"/>
              </w:rPr>
              <w:t xml:space="preserve">58/86 </w:t>
            </w:r>
          </w:p>
          <w:p w14:paraId="2868D66E" w14:textId="77777777" w:rsidR="004C3D52" w:rsidRPr="00D27BF1" w:rsidRDefault="004C3D52" w:rsidP="00A40A08">
            <w:pPr>
              <w:pStyle w:val="Tabletext"/>
              <w:keepNext/>
              <w:keepLines/>
              <w:jc w:val="center"/>
              <w:rPr>
                <w:szCs w:val="20"/>
              </w:rPr>
            </w:pPr>
            <w:r w:rsidRPr="00D27BF1">
              <w:rPr>
                <w:szCs w:val="20"/>
              </w:rPr>
              <w:t>(67)</w:t>
            </w:r>
          </w:p>
        </w:tc>
        <w:tc>
          <w:tcPr>
            <w:tcW w:w="851" w:type="dxa"/>
            <w:vAlign w:val="center"/>
          </w:tcPr>
          <w:p w14:paraId="58F6F30E" w14:textId="77777777" w:rsidR="004C3D52" w:rsidRPr="00D27BF1" w:rsidRDefault="004C3D52" w:rsidP="00A40A08">
            <w:pPr>
              <w:pStyle w:val="Tabletext"/>
              <w:keepNext/>
              <w:keepLines/>
              <w:jc w:val="center"/>
              <w:rPr>
                <w:szCs w:val="20"/>
              </w:rPr>
            </w:pPr>
            <w:r w:rsidRPr="00D27BF1">
              <w:rPr>
                <w:szCs w:val="20"/>
              </w:rPr>
              <w:t>112/129 (87)</w:t>
            </w:r>
          </w:p>
        </w:tc>
        <w:tc>
          <w:tcPr>
            <w:tcW w:w="1225" w:type="dxa"/>
            <w:vAlign w:val="center"/>
          </w:tcPr>
          <w:p w14:paraId="14D749AA" w14:textId="77777777" w:rsidR="004C3D52" w:rsidRPr="00D27BF1" w:rsidRDefault="004C3D52" w:rsidP="00A40A08">
            <w:pPr>
              <w:pStyle w:val="Tabletext"/>
              <w:keepNext/>
              <w:keepLines/>
              <w:jc w:val="center"/>
              <w:rPr>
                <w:szCs w:val="20"/>
              </w:rPr>
            </w:pPr>
            <w:r w:rsidRPr="00D27BF1">
              <w:rPr>
                <w:szCs w:val="20"/>
              </w:rPr>
              <w:t>NR</w:t>
            </w:r>
          </w:p>
        </w:tc>
      </w:tr>
    </w:tbl>
    <w:p w14:paraId="672ADDFE" w14:textId="77777777" w:rsidR="00A40A08" w:rsidRPr="00D27BF1" w:rsidRDefault="00A40A08" w:rsidP="00A40A08">
      <w:pPr>
        <w:pStyle w:val="TableFooter"/>
        <w:keepNext/>
        <w:keepLines/>
      </w:pPr>
      <w:r w:rsidRPr="00D27BF1">
        <w:t>Source: Table 2-19, 2-21, 2-22, pp 65, 67-69 of the submission; calculated during evaluation using information from Table 2-19, p65, Table 2-22, p68-69 and Table 2-52, p102 of submission; and cells H8:J16 and H84:J91, “Defaults” sheet, and F21:I36, “Inputs” sheet, Attachment 5-Mepolizumab CEM.xlsm</w:t>
      </w:r>
    </w:p>
    <w:p w14:paraId="72934FCF" w14:textId="77777777" w:rsidR="00483DA2" w:rsidRPr="00D27BF1" w:rsidRDefault="00483DA2" w:rsidP="00A40A08">
      <w:pPr>
        <w:pStyle w:val="TableFooter"/>
        <w:keepNext/>
        <w:keepLines/>
      </w:pPr>
      <w:r w:rsidRPr="00D27BF1">
        <w:t xml:space="preserve">ENP= endoscopic nasal polyp; NO-VAS= nasal obstruction visual analogue scale; </w:t>
      </w:r>
      <w:r w:rsidRPr="00D27BF1">
        <w:rPr>
          <w:rFonts w:eastAsia="Calibri"/>
        </w:rPr>
        <w:t>n= number of participants with event; N= total participants in group</w:t>
      </w:r>
      <w:r w:rsidR="000F6D84" w:rsidRPr="00D27BF1">
        <w:rPr>
          <w:rFonts w:eastAsia="Calibri"/>
        </w:rPr>
        <w:t xml:space="preserve">; </w:t>
      </w:r>
      <w:r w:rsidR="00607A78" w:rsidRPr="00D27BF1">
        <w:rPr>
          <w:rFonts w:eastAsia="Calibri"/>
        </w:rPr>
        <w:t xml:space="preserve">NR = not reported; </w:t>
      </w:r>
      <w:r w:rsidR="000F6D84" w:rsidRPr="00D27BF1">
        <w:rPr>
          <w:rFonts w:eastAsia="Calibri"/>
        </w:rPr>
        <w:t>SNOT-22= sino-nasal outcomes test (22 items)</w:t>
      </w:r>
    </w:p>
    <w:p w14:paraId="18699FAE" w14:textId="77777777" w:rsidR="00DE531D" w:rsidRPr="00D27BF1" w:rsidRDefault="00DE531D" w:rsidP="00A40A08">
      <w:pPr>
        <w:pStyle w:val="TableFooter"/>
        <w:keepNext/>
        <w:keepLines/>
      </w:pPr>
      <w:r w:rsidRPr="00D27BF1">
        <w:t xml:space="preserve">a. </w:t>
      </w:r>
      <w:r w:rsidR="00A37511" w:rsidRPr="00D27BF1">
        <w:t>Difference refers to the adjusted difference</w:t>
      </w:r>
      <w:r w:rsidR="00483DA2" w:rsidRPr="00D27BF1">
        <w:t xml:space="preserve">. </w:t>
      </w:r>
      <w:r w:rsidRPr="00D27BF1">
        <w:t>Quantile regression with covariates of treatment group, geographic region, baseline score and log(e) baseline blood eosinophil count; p-value based on Wilcoxon rank-sum test.</w:t>
      </w:r>
    </w:p>
    <w:p w14:paraId="271F83D8" w14:textId="77777777" w:rsidR="00DE531D" w:rsidRPr="00D27BF1" w:rsidRDefault="00DE531D" w:rsidP="00A40A08">
      <w:pPr>
        <w:pStyle w:val="TableFooter"/>
        <w:keepNext/>
        <w:keepLines/>
      </w:pPr>
      <w:r w:rsidRPr="00D27BF1">
        <w:t>b. Defined as a participant with a ≥1-point improvement from baseline in the absence of surgery/sinuplasty prior to that visit.</w:t>
      </w:r>
    </w:p>
    <w:p w14:paraId="7F11C0B1" w14:textId="77777777" w:rsidR="00DE531D" w:rsidRPr="00D27BF1" w:rsidRDefault="00DE531D" w:rsidP="00A40A08">
      <w:pPr>
        <w:pStyle w:val="TableFooter"/>
        <w:keepNext/>
        <w:keepLines/>
      </w:pPr>
      <w:r w:rsidRPr="00D27BF1">
        <w:t>c. Defined as a participant who had an improvement (decrease) from baseline of ≥3 points. Responder status was calculated during the evaluation</w:t>
      </w:r>
    </w:p>
    <w:p w14:paraId="671A5496" w14:textId="77777777" w:rsidR="00483DA2" w:rsidRPr="00D27BF1" w:rsidRDefault="00483DA2" w:rsidP="00A40A08">
      <w:pPr>
        <w:pStyle w:val="TableFooter"/>
        <w:keepNext/>
        <w:keepLines/>
      </w:pPr>
      <w:r w:rsidRPr="00D27BF1">
        <w:rPr>
          <w:szCs w:val="18"/>
        </w:rPr>
        <w:t>Values in bold indicate statistical significant differences, values in italics indicate values extracted during evaluation</w:t>
      </w:r>
    </w:p>
    <w:p w14:paraId="782BFC4B" w14:textId="77777777" w:rsidR="00DE531D" w:rsidRPr="00D27BF1" w:rsidRDefault="00DE531D" w:rsidP="00DE531D">
      <w:pPr>
        <w:widowControl/>
      </w:pPr>
    </w:p>
    <w:p w14:paraId="4A7AC879" w14:textId="77777777" w:rsidR="00A40A08" w:rsidRPr="00D27BF1" w:rsidRDefault="00A40A08" w:rsidP="00A40A08">
      <w:pPr>
        <w:keepNext/>
        <w:keepLines/>
        <w:rPr>
          <w:rStyle w:val="CommentReference"/>
        </w:rPr>
      </w:pPr>
      <w:bookmarkStart w:id="16" w:name="_Ref80626708"/>
      <w:r w:rsidRPr="00D27BF1">
        <w:rPr>
          <w:rStyle w:val="CommentReference"/>
        </w:rPr>
        <w:t xml:space="preserve">Table </w:t>
      </w:r>
      <w:r w:rsidR="0020510D">
        <w:rPr>
          <w:rStyle w:val="CommentReference"/>
          <w:noProof/>
        </w:rPr>
        <w:t>6</w:t>
      </w:r>
      <w:bookmarkEnd w:id="16"/>
      <w:r w:rsidRPr="00D27BF1">
        <w:rPr>
          <w:rStyle w:val="CommentReference"/>
        </w:rPr>
        <w:t xml:space="preserve"> Summary of secondary outcome results in SYNAPSE</w:t>
      </w:r>
    </w:p>
    <w:tbl>
      <w:tblPr>
        <w:tblStyle w:val="TableGrid"/>
        <w:tblW w:w="0" w:type="auto"/>
        <w:tblLayout w:type="fixed"/>
        <w:tblLook w:val="04A0" w:firstRow="1" w:lastRow="0" w:firstColumn="1" w:lastColumn="0" w:noHBand="0" w:noVBand="1"/>
        <w:tblCaption w:val="Table 6 Summary of secondary outcome results in SYNAPSE"/>
      </w:tblPr>
      <w:tblGrid>
        <w:gridCol w:w="2405"/>
        <w:gridCol w:w="1134"/>
        <w:gridCol w:w="1134"/>
        <w:gridCol w:w="1418"/>
        <w:gridCol w:w="1134"/>
        <w:gridCol w:w="992"/>
        <w:gridCol w:w="800"/>
      </w:tblGrid>
      <w:tr w:rsidR="00E905C0" w:rsidRPr="00D27BF1" w14:paraId="35EDBB32" w14:textId="77777777" w:rsidTr="00AC5AD6">
        <w:trPr>
          <w:tblHeader/>
        </w:trPr>
        <w:tc>
          <w:tcPr>
            <w:tcW w:w="2405" w:type="dxa"/>
            <w:vMerge w:val="restart"/>
          </w:tcPr>
          <w:p w14:paraId="6369B447" w14:textId="77777777" w:rsidR="00E905C0" w:rsidRPr="00D27BF1" w:rsidRDefault="00E905C0" w:rsidP="00F83872">
            <w:pPr>
              <w:pStyle w:val="Tabletext"/>
              <w:keepNext/>
              <w:keepLines/>
              <w:rPr>
                <w:szCs w:val="20"/>
              </w:rPr>
            </w:pPr>
          </w:p>
        </w:tc>
        <w:tc>
          <w:tcPr>
            <w:tcW w:w="3686" w:type="dxa"/>
            <w:gridSpan w:val="3"/>
            <w:vAlign w:val="center"/>
          </w:tcPr>
          <w:p w14:paraId="6935FE54" w14:textId="77777777" w:rsidR="00E905C0" w:rsidRPr="00D27BF1" w:rsidRDefault="00E905C0" w:rsidP="00F83872">
            <w:pPr>
              <w:pStyle w:val="Tabletext"/>
              <w:keepNext/>
              <w:keepLines/>
              <w:jc w:val="center"/>
              <w:rPr>
                <w:b/>
                <w:szCs w:val="20"/>
              </w:rPr>
            </w:pPr>
            <w:r w:rsidRPr="00D27BF1">
              <w:rPr>
                <w:b/>
                <w:szCs w:val="20"/>
              </w:rPr>
              <w:t>ITT</w:t>
            </w:r>
          </w:p>
        </w:tc>
        <w:tc>
          <w:tcPr>
            <w:tcW w:w="2926" w:type="dxa"/>
            <w:gridSpan w:val="3"/>
            <w:vAlign w:val="center"/>
          </w:tcPr>
          <w:p w14:paraId="576AC3FE" w14:textId="77777777" w:rsidR="00E905C0" w:rsidRPr="00D27BF1" w:rsidRDefault="00E905C0" w:rsidP="00F83872">
            <w:pPr>
              <w:pStyle w:val="Tabletext"/>
              <w:keepNext/>
              <w:keepLines/>
              <w:jc w:val="center"/>
              <w:rPr>
                <w:b/>
                <w:szCs w:val="20"/>
              </w:rPr>
            </w:pPr>
            <w:r w:rsidRPr="00D27BF1">
              <w:rPr>
                <w:b/>
                <w:szCs w:val="20"/>
              </w:rPr>
              <w:t xml:space="preserve">BEC </w:t>
            </w:r>
            <w:r w:rsidRPr="00D27BF1">
              <w:rPr>
                <w:rFonts w:cstheme="minorHAnsi"/>
                <w:b/>
                <w:szCs w:val="20"/>
              </w:rPr>
              <w:t>≥</w:t>
            </w:r>
            <w:r w:rsidRPr="00D27BF1">
              <w:rPr>
                <w:b/>
                <w:szCs w:val="20"/>
              </w:rPr>
              <w:t>150 cells/</w:t>
            </w:r>
            <w:r w:rsidRPr="00D27BF1">
              <w:rPr>
                <w:rFonts w:cstheme="minorHAnsi"/>
                <w:b/>
                <w:szCs w:val="20"/>
              </w:rPr>
              <w:t>µ</w:t>
            </w:r>
            <w:r w:rsidRPr="00D27BF1">
              <w:rPr>
                <w:b/>
                <w:szCs w:val="20"/>
              </w:rPr>
              <w:t>L</w:t>
            </w:r>
          </w:p>
        </w:tc>
      </w:tr>
      <w:tr w:rsidR="007C17E4" w:rsidRPr="00D27BF1" w14:paraId="25B84B73" w14:textId="77777777" w:rsidTr="00AC5AD6">
        <w:trPr>
          <w:tblHeader/>
        </w:trPr>
        <w:tc>
          <w:tcPr>
            <w:tcW w:w="2405" w:type="dxa"/>
            <w:vMerge/>
          </w:tcPr>
          <w:p w14:paraId="7C33316C" w14:textId="77777777" w:rsidR="00E905C0" w:rsidRPr="00D27BF1" w:rsidRDefault="00E905C0" w:rsidP="00F83872">
            <w:pPr>
              <w:pStyle w:val="Tabletext"/>
              <w:keepNext/>
              <w:keepLines/>
              <w:rPr>
                <w:szCs w:val="20"/>
              </w:rPr>
            </w:pPr>
          </w:p>
        </w:tc>
        <w:tc>
          <w:tcPr>
            <w:tcW w:w="1134" w:type="dxa"/>
            <w:vAlign w:val="center"/>
          </w:tcPr>
          <w:p w14:paraId="52FBE848" w14:textId="77777777" w:rsidR="00E905C0" w:rsidRPr="00D27BF1" w:rsidRDefault="00E905C0" w:rsidP="00F83872">
            <w:pPr>
              <w:pStyle w:val="Tabletext"/>
              <w:keepNext/>
              <w:keepLines/>
              <w:jc w:val="center"/>
              <w:rPr>
                <w:b/>
                <w:szCs w:val="20"/>
              </w:rPr>
            </w:pPr>
            <w:r w:rsidRPr="00D27BF1">
              <w:rPr>
                <w:b/>
                <w:szCs w:val="20"/>
              </w:rPr>
              <w:t>PLA</w:t>
            </w:r>
          </w:p>
        </w:tc>
        <w:tc>
          <w:tcPr>
            <w:tcW w:w="1134" w:type="dxa"/>
            <w:vAlign w:val="center"/>
          </w:tcPr>
          <w:p w14:paraId="250AE94D" w14:textId="77777777" w:rsidR="00E905C0" w:rsidRPr="00D27BF1" w:rsidRDefault="00E905C0" w:rsidP="00F83872">
            <w:pPr>
              <w:pStyle w:val="Tabletext"/>
              <w:keepNext/>
              <w:keepLines/>
              <w:jc w:val="center"/>
              <w:rPr>
                <w:b/>
                <w:szCs w:val="20"/>
              </w:rPr>
            </w:pPr>
            <w:r w:rsidRPr="00D27BF1">
              <w:rPr>
                <w:b/>
                <w:szCs w:val="20"/>
              </w:rPr>
              <w:t>MEPO</w:t>
            </w:r>
          </w:p>
        </w:tc>
        <w:tc>
          <w:tcPr>
            <w:tcW w:w="1418" w:type="dxa"/>
            <w:vAlign w:val="center"/>
          </w:tcPr>
          <w:p w14:paraId="2EA4EBF7" w14:textId="77777777" w:rsidR="00E905C0" w:rsidRPr="00D27BF1" w:rsidRDefault="00E905C0" w:rsidP="00F83872">
            <w:pPr>
              <w:pStyle w:val="Tabletext"/>
              <w:keepNext/>
              <w:keepLines/>
              <w:jc w:val="center"/>
              <w:rPr>
                <w:b/>
                <w:szCs w:val="20"/>
              </w:rPr>
            </w:pPr>
            <w:r w:rsidRPr="00D27BF1">
              <w:rPr>
                <w:b/>
                <w:szCs w:val="20"/>
              </w:rPr>
              <w:t>Difference (95%CI); p-value</w:t>
            </w:r>
          </w:p>
        </w:tc>
        <w:tc>
          <w:tcPr>
            <w:tcW w:w="1134" w:type="dxa"/>
            <w:vAlign w:val="center"/>
          </w:tcPr>
          <w:p w14:paraId="07FD3707" w14:textId="77777777" w:rsidR="00E905C0" w:rsidRPr="00D27BF1" w:rsidRDefault="00E905C0" w:rsidP="00F83872">
            <w:pPr>
              <w:pStyle w:val="Tabletext"/>
              <w:keepNext/>
              <w:keepLines/>
              <w:jc w:val="center"/>
              <w:rPr>
                <w:b/>
                <w:szCs w:val="20"/>
              </w:rPr>
            </w:pPr>
            <w:r w:rsidRPr="00D27BF1">
              <w:rPr>
                <w:b/>
                <w:szCs w:val="20"/>
              </w:rPr>
              <w:t>PLA</w:t>
            </w:r>
          </w:p>
        </w:tc>
        <w:tc>
          <w:tcPr>
            <w:tcW w:w="992" w:type="dxa"/>
            <w:vAlign w:val="center"/>
          </w:tcPr>
          <w:p w14:paraId="1834C849" w14:textId="77777777" w:rsidR="00E905C0" w:rsidRPr="00D27BF1" w:rsidRDefault="00E905C0" w:rsidP="00F83872">
            <w:pPr>
              <w:pStyle w:val="Tabletext"/>
              <w:keepNext/>
              <w:keepLines/>
              <w:jc w:val="center"/>
              <w:rPr>
                <w:b/>
                <w:szCs w:val="20"/>
              </w:rPr>
            </w:pPr>
            <w:r w:rsidRPr="00D27BF1">
              <w:rPr>
                <w:b/>
                <w:szCs w:val="20"/>
              </w:rPr>
              <w:t>MEPO</w:t>
            </w:r>
          </w:p>
        </w:tc>
        <w:tc>
          <w:tcPr>
            <w:tcW w:w="800" w:type="dxa"/>
            <w:vAlign w:val="center"/>
          </w:tcPr>
          <w:p w14:paraId="3BF44999" w14:textId="77777777" w:rsidR="00E905C0" w:rsidRPr="00D27BF1" w:rsidRDefault="00E905C0" w:rsidP="00F83872">
            <w:pPr>
              <w:pStyle w:val="Tabletext"/>
              <w:keepNext/>
              <w:keepLines/>
              <w:jc w:val="center"/>
              <w:rPr>
                <w:b/>
                <w:szCs w:val="20"/>
              </w:rPr>
            </w:pPr>
            <w:r w:rsidRPr="00D27BF1">
              <w:rPr>
                <w:b/>
                <w:szCs w:val="20"/>
              </w:rPr>
              <w:t xml:space="preserve">Difference </w:t>
            </w:r>
          </w:p>
        </w:tc>
      </w:tr>
      <w:tr w:rsidR="00E905C0" w:rsidRPr="00D27BF1" w14:paraId="0AF4E918" w14:textId="77777777" w:rsidTr="00F83872">
        <w:tc>
          <w:tcPr>
            <w:tcW w:w="9017" w:type="dxa"/>
            <w:gridSpan w:val="7"/>
            <w:vAlign w:val="center"/>
          </w:tcPr>
          <w:p w14:paraId="2A333E97" w14:textId="77777777" w:rsidR="00E905C0" w:rsidRPr="00D27BF1" w:rsidRDefault="00E905C0" w:rsidP="00E905C0">
            <w:pPr>
              <w:pStyle w:val="Tabletext"/>
              <w:keepNext/>
              <w:keepLines/>
              <w:rPr>
                <w:szCs w:val="20"/>
              </w:rPr>
            </w:pPr>
            <w:r w:rsidRPr="00D27BF1">
              <w:rPr>
                <w:szCs w:val="20"/>
                <w:u w:val="single"/>
              </w:rPr>
              <w:t>Time to first nasal surgery</w:t>
            </w:r>
          </w:p>
        </w:tc>
      </w:tr>
      <w:tr w:rsidR="007C17E4" w:rsidRPr="00D27BF1" w14:paraId="66C3090F" w14:textId="77777777" w:rsidTr="007C17E4">
        <w:tc>
          <w:tcPr>
            <w:tcW w:w="2405" w:type="dxa"/>
            <w:vAlign w:val="center"/>
          </w:tcPr>
          <w:p w14:paraId="709F0712" w14:textId="77777777" w:rsidR="00A40A08" w:rsidRPr="00D27BF1" w:rsidRDefault="00A40A08" w:rsidP="00A40A08">
            <w:pPr>
              <w:pStyle w:val="Tabletext"/>
              <w:keepNext/>
              <w:keepLines/>
              <w:rPr>
                <w:szCs w:val="20"/>
              </w:rPr>
            </w:pPr>
            <w:r w:rsidRPr="00D27BF1">
              <w:rPr>
                <w:szCs w:val="20"/>
              </w:rPr>
              <w:t xml:space="preserve">Probability of surgery by Week 24 (95% CI) </w:t>
            </w:r>
            <w:r w:rsidRPr="00D27BF1">
              <w:rPr>
                <w:szCs w:val="20"/>
                <w:vertAlign w:val="superscript"/>
              </w:rPr>
              <w:t>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DF3713" w14:textId="77777777" w:rsidR="00A40A08" w:rsidRPr="00D27BF1" w:rsidRDefault="00A40A08" w:rsidP="00A40A08">
            <w:pPr>
              <w:pStyle w:val="Tabletext"/>
              <w:keepNext/>
              <w:keepLines/>
              <w:jc w:val="center"/>
              <w:rPr>
                <w:szCs w:val="20"/>
              </w:rPr>
            </w:pPr>
            <w:r w:rsidRPr="00D27BF1">
              <w:rPr>
                <w:szCs w:val="20"/>
              </w:rPr>
              <w:t>9.1</w:t>
            </w:r>
          </w:p>
          <w:p w14:paraId="51509F5B" w14:textId="77777777" w:rsidR="00A40A08" w:rsidRPr="00D27BF1" w:rsidRDefault="00A40A08" w:rsidP="00A40A08">
            <w:pPr>
              <w:pStyle w:val="Tabletext"/>
              <w:keepNext/>
              <w:keepLines/>
              <w:jc w:val="center"/>
              <w:rPr>
                <w:szCs w:val="20"/>
              </w:rPr>
            </w:pPr>
            <w:r w:rsidRPr="00D27BF1">
              <w:rPr>
                <w:szCs w:val="20"/>
              </w:rPr>
              <w:t>(5.8, 14.0)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FE3C87" w14:textId="77777777" w:rsidR="00A40A08" w:rsidRPr="00D27BF1" w:rsidRDefault="00A40A08" w:rsidP="00A40A08">
            <w:pPr>
              <w:pStyle w:val="Tabletext"/>
              <w:keepNext/>
              <w:keepLines/>
              <w:jc w:val="center"/>
              <w:rPr>
                <w:szCs w:val="20"/>
              </w:rPr>
            </w:pPr>
            <w:r w:rsidRPr="00D27BF1">
              <w:rPr>
                <w:szCs w:val="20"/>
              </w:rPr>
              <w:t>4.0</w:t>
            </w:r>
          </w:p>
          <w:p w14:paraId="6064D20B" w14:textId="77777777" w:rsidR="00A40A08" w:rsidRPr="00D27BF1" w:rsidRDefault="00A40A08" w:rsidP="00A40A08">
            <w:pPr>
              <w:pStyle w:val="Tabletext"/>
              <w:keepNext/>
              <w:keepLines/>
              <w:jc w:val="center"/>
              <w:rPr>
                <w:szCs w:val="20"/>
              </w:rPr>
            </w:pPr>
            <w:r w:rsidRPr="00D27BF1">
              <w:rPr>
                <w:szCs w:val="20"/>
              </w:rPr>
              <w:t>(2.0, 7.8)</w:t>
            </w:r>
          </w:p>
        </w:tc>
        <w:tc>
          <w:tcPr>
            <w:tcW w:w="1418" w:type="dxa"/>
            <w:vAlign w:val="center"/>
          </w:tcPr>
          <w:p w14:paraId="16DAE962" w14:textId="77777777" w:rsidR="00A40A08" w:rsidRPr="00D27BF1" w:rsidRDefault="00A40A08" w:rsidP="00A40A08">
            <w:pPr>
              <w:pStyle w:val="Tabletext"/>
              <w:keepNext/>
              <w:keepLines/>
              <w:jc w:val="center"/>
              <w:rPr>
                <w:szCs w:val="20"/>
              </w:rPr>
            </w:pPr>
            <w:r w:rsidRPr="00D27BF1">
              <w:rPr>
                <w:szCs w:val="20"/>
              </w:rPr>
              <w:t>NR</w:t>
            </w:r>
          </w:p>
        </w:tc>
        <w:tc>
          <w:tcPr>
            <w:tcW w:w="1134" w:type="dxa"/>
            <w:vAlign w:val="center"/>
          </w:tcPr>
          <w:p w14:paraId="673811F7" w14:textId="77777777" w:rsidR="00A40A08" w:rsidRPr="00D27BF1" w:rsidRDefault="00A40A08" w:rsidP="00A40A08">
            <w:pPr>
              <w:pStyle w:val="Tabletext"/>
              <w:keepNext/>
              <w:keepLines/>
              <w:jc w:val="center"/>
              <w:rPr>
                <w:szCs w:val="20"/>
              </w:rPr>
            </w:pPr>
            <w:r w:rsidRPr="00D27BF1">
              <w:rPr>
                <w:szCs w:val="20"/>
              </w:rPr>
              <w:t>9.7</w:t>
            </w:r>
          </w:p>
          <w:p w14:paraId="6D1627DD" w14:textId="77777777" w:rsidR="00A40A08" w:rsidRPr="00D27BF1" w:rsidRDefault="00A40A08" w:rsidP="00A40A08">
            <w:pPr>
              <w:pStyle w:val="Tabletext"/>
              <w:keepNext/>
              <w:keepLines/>
              <w:jc w:val="center"/>
              <w:rPr>
                <w:szCs w:val="20"/>
              </w:rPr>
            </w:pPr>
            <w:r w:rsidRPr="00D27BF1">
              <w:rPr>
                <w:szCs w:val="20"/>
              </w:rPr>
              <w:t>(7.6, 11.9)</w:t>
            </w:r>
          </w:p>
        </w:tc>
        <w:tc>
          <w:tcPr>
            <w:tcW w:w="992" w:type="dxa"/>
            <w:vAlign w:val="center"/>
          </w:tcPr>
          <w:p w14:paraId="06044226" w14:textId="77777777" w:rsidR="00A40A08" w:rsidRPr="00D27BF1" w:rsidRDefault="00A40A08" w:rsidP="00A40A08">
            <w:pPr>
              <w:pStyle w:val="Tabletext"/>
              <w:keepNext/>
              <w:keepLines/>
              <w:jc w:val="center"/>
              <w:rPr>
                <w:szCs w:val="20"/>
              </w:rPr>
            </w:pPr>
            <w:r w:rsidRPr="00D27BF1">
              <w:rPr>
                <w:szCs w:val="20"/>
              </w:rPr>
              <w:t>4.3</w:t>
            </w:r>
          </w:p>
          <w:p w14:paraId="6C6A5ED4" w14:textId="77777777" w:rsidR="00A40A08" w:rsidRPr="00D27BF1" w:rsidRDefault="00A40A08" w:rsidP="00A40A08">
            <w:pPr>
              <w:pStyle w:val="Tabletext"/>
              <w:keepNext/>
              <w:keepLines/>
              <w:jc w:val="center"/>
              <w:rPr>
                <w:szCs w:val="20"/>
              </w:rPr>
            </w:pPr>
            <w:r w:rsidRPr="00D27BF1">
              <w:rPr>
                <w:szCs w:val="20"/>
              </w:rPr>
              <w:t>(2.8, 5.8)</w:t>
            </w:r>
          </w:p>
        </w:tc>
        <w:tc>
          <w:tcPr>
            <w:tcW w:w="800" w:type="dxa"/>
            <w:vAlign w:val="center"/>
          </w:tcPr>
          <w:p w14:paraId="47C4DF9B" w14:textId="77777777" w:rsidR="00A40A08" w:rsidRPr="00D27BF1" w:rsidRDefault="00A40A08" w:rsidP="00A40A08">
            <w:pPr>
              <w:pStyle w:val="Tabletext"/>
              <w:keepNext/>
              <w:keepLines/>
              <w:jc w:val="center"/>
              <w:rPr>
                <w:szCs w:val="20"/>
              </w:rPr>
            </w:pPr>
            <w:r w:rsidRPr="00D27BF1">
              <w:rPr>
                <w:szCs w:val="20"/>
              </w:rPr>
              <w:t>NR</w:t>
            </w:r>
          </w:p>
        </w:tc>
      </w:tr>
      <w:tr w:rsidR="007C17E4" w:rsidRPr="00D27BF1" w14:paraId="76E39D96" w14:textId="77777777" w:rsidTr="007C17E4">
        <w:tc>
          <w:tcPr>
            <w:tcW w:w="2405" w:type="dxa"/>
            <w:vAlign w:val="center"/>
          </w:tcPr>
          <w:p w14:paraId="633F76CA" w14:textId="77777777" w:rsidR="00A40A08" w:rsidRPr="00D27BF1" w:rsidRDefault="00A40A08" w:rsidP="00A40A08">
            <w:pPr>
              <w:pStyle w:val="Tabletext"/>
              <w:keepNext/>
              <w:keepLines/>
              <w:rPr>
                <w:szCs w:val="20"/>
              </w:rPr>
            </w:pPr>
            <w:r w:rsidRPr="00D27BF1">
              <w:rPr>
                <w:szCs w:val="20"/>
              </w:rPr>
              <w:t xml:space="preserve">Probability of surgery by Week 52 (95% CI) </w:t>
            </w:r>
            <w:r w:rsidRPr="00D27BF1">
              <w:rPr>
                <w:szCs w:val="20"/>
                <w:vertAlign w:val="superscript"/>
              </w:rPr>
              <w:t>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BD0445" w14:textId="77777777" w:rsidR="00A40A08" w:rsidRPr="00D27BF1" w:rsidRDefault="00A40A08" w:rsidP="00A40A08">
            <w:pPr>
              <w:pStyle w:val="Tabletext"/>
              <w:keepNext/>
              <w:keepLines/>
              <w:jc w:val="center"/>
              <w:rPr>
                <w:szCs w:val="20"/>
              </w:rPr>
            </w:pPr>
            <w:r w:rsidRPr="00D27BF1">
              <w:rPr>
                <w:szCs w:val="20"/>
              </w:rPr>
              <w:t>23.6</w:t>
            </w:r>
          </w:p>
          <w:p w14:paraId="32597939" w14:textId="77777777" w:rsidR="00A40A08" w:rsidRPr="00D27BF1" w:rsidRDefault="00A40A08" w:rsidP="00A40A08">
            <w:pPr>
              <w:pStyle w:val="Tabletext"/>
              <w:keepNext/>
              <w:keepLines/>
              <w:jc w:val="center"/>
              <w:rPr>
                <w:szCs w:val="20"/>
              </w:rPr>
            </w:pPr>
            <w:r w:rsidRPr="00D27BF1">
              <w:rPr>
                <w:szCs w:val="20"/>
              </w:rPr>
              <w:t>(18.3, 30.3)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8C555A" w14:textId="77777777" w:rsidR="00A40A08" w:rsidRPr="00D27BF1" w:rsidRDefault="00A40A08" w:rsidP="00A40A08">
            <w:pPr>
              <w:pStyle w:val="Tabletext"/>
              <w:keepNext/>
              <w:keepLines/>
              <w:jc w:val="center"/>
              <w:rPr>
                <w:szCs w:val="20"/>
              </w:rPr>
            </w:pPr>
            <w:r w:rsidRPr="00D27BF1">
              <w:rPr>
                <w:szCs w:val="20"/>
              </w:rPr>
              <w:t>9.2</w:t>
            </w:r>
          </w:p>
          <w:p w14:paraId="7BB328C5" w14:textId="77777777" w:rsidR="00A40A08" w:rsidRPr="00D27BF1" w:rsidRDefault="00A40A08" w:rsidP="00A40A08">
            <w:pPr>
              <w:pStyle w:val="Tabletext"/>
              <w:keepNext/>
              <w:keepLines/>
              <w:jc w:val="center"/>
              <w:rPr>
                <w:szCs w:val="20"/>
              </w:rPr>
            </w:pPr>
            <w:r w:rsidRPr="00D27BF1">
              <w:rPr>
                <w:szCs w:val="20"/>
              </w:rPr>
              <w:t>(5.9,14.2)</w:t>
            </w:r>
          </w:p>
        </w:tc>
        <w:tc>
          <w:tcPr>
            <w:tcW w:w="1418" w:type="dxa"/>
            <w:vAlign w:val="center"/>
          </w:tcPr>
          <w:p w14:paraId="23300DEC" w14:textId="77777777" w:rsidR="00A40A08" w:rsidRPr="00D27BF1" w:rsidRDefault="00A40A08" w:rsidP="00A40A08">
            <w:pPr>
              <w:pStyle w:val="Tabletext"/>
              <w:keepNext/>
              <w:keepLines/>
              <w:jc w:val="center"/>
              <w:rPr>
                <w:b/>
                <w:szCs w:val="20"/>
                <w:vertAlign w:val="superscript"/>
              </w:rPr>
            </w:pPr>
            <w:r w:rsidRPr="00D27BF1">
              <w:rPr>
                <w:b/>
                <w:szCs w:val="20"/>
              </w:rPr>
              <w:t xml:space="preserve">0.43 (0.25, 0.76); 0.003 </w:t>
            </w:r>
            <w:r w:rsidRPr="00D27BF1">
              <w:rPr>
                <w:b/>
                <w:szCs w:val="20"/>
                <w:vertAlign w:val="superscript"/>
              </w:rPr>
              <w:t>b</w:t>
            </w:r>
          </w:p>
        </w:tc>
        <w:tc>
          <w:tcPr>
            <w:tcW w:w="1134" w:type="dxa"/>
            <w:vAlign w:val="center"/>
          </w:tcPr>
          <w:p w14:paraId="0592D00F" w14:textId="77777777" w:rsidR="00A40A08" w:rsidRPr="00D27BF1" w:rsidRDefault="00A40A08" w:rsidP="00A40A08">
            <w:pPr>
              <w:pStyle w:val="Tabletext"/>
              <w:keepNext/>
              <w:keepLines/>
              <w:jc w:val="center"/>
              <w:rPr>
                <w:szCs w:val="20"/>
              </w:rPr>
            </w:pPr>
            <w:r w:rsidRPr="00D27BF1">
              <w:rPr>
                <w:szCs w:val="20"/>
              </w:rPr>
              <w:t>23.8</w:t>
            </w:r>
          </w:p>
          <w:p w14:paraId="6C448133" w14:textId="77777777" w:rsidR="00A40A08" w:rsidRPr="00D27BF1" w:rsidRDefault="00A40A08" w:rsidP="00A40A08">
            <w:pPr>
              <w:pStyle w:val="Tabletext"/>
              <w:keepNext/>
              <w:keepLines/>
              <w:jc w:val="center"/>
              <w:rPr>
                <w:szCs w:val="20"/>
              </w:rPr>
            </w:pPr>
            <w:r w:rsidRPr="00D27BF1">
              <w:rPr>
                <w:szCs w:val="20"/>
              </w:rPr>
              <w:t>(20.7, 26.9)</w:t>
            </w:r>
          </w:p>
        </w:tc>
        <w:tc>
          <w:tcPr>
            <w:tcW w:w="992" w:type="dxa"/>
            <w:vAlign w:val="center"/>
          </w:tcPr>
          <w:p w14:paraId="1B1D72BF" w14:textId="77777777" w:rsidR="00A40A08" w:rsidRPr="00D27BF1" w:rsidRDefault="00A40A08" w:rsidP="00A40A08">
            <w:pPr>
              <w:pStyle w:val="Tabletext"/>
              <w:keepNext/>
              <w:keepLines/>
              <w:jc w:val="center"/>
              <w:rPr>
                <w:szCs w:val="20"/>
              </w:rPr>
            </w:pPr>
            <w:r w:rsidRPr="00D27BF1">
              <w:rPr>
                <w:szCs w:val="20"/>
              </w:rPr>
              <w:t>9.1</w:t>
            </w:r>
          </w:p>
          <w:p w14:paraId="53C7CE8B" w14:textId="77777777" w:rsidR="00A40A08" w:rsidRPr="00D27BF1" w:rsidRDefault="00A40A08" w:rsidP="00A40A08">
            <w:pPr>
              <w:pStyle w:val="Tabletext"/>
              <w:keepNext/>
              <w:keepLines/>
              <w:jc w:val="center"/>
              <w:rPr>
                <w:szCs w:val="20"/>
              </w:rPr>
            </w:pPr>
            <w:r w:rsidRPr="00D27BF1">
              <w:rPr>
                <w:szCs w:val="20"/>
              </w:rPr>
              <w:t>(7.0,11.3)</w:t>
            </w:r>
          </w:p>
        </w:tc>
        <w:tc>
          <w:tcPr>
            <w:tcW w:w="800" w:type="dxa"/>
            <w:vAlign w:val="center"/>
          </w:tcPr>
          <w:p w14:paraId="334B9D70" w14:textId="77777777" w:rsidR="00A40A08" w:rsidRPr="00D27BF1" w:rsidRDefault="00A40A08" w:rsidP="00A40A08">
            <w:pPr>
              <w:pStyle w:val="Tabletext"/>
              <w:keepNext/>
              <w:keepLines/>
              <w:jc w:val="center"/>
              <w:rPr>
                <w:szCs w:val="20"/>
              </w:rPr>
            </w:pPr>
            <w:r w:rsidRPr="00D27BF1">
              <w:rPr>
                <w:szCs w:val="20"/>
              </w:rPr>
              <w:t>NR</w:t>
            </w:r>
          </w:p>
        </w:tc>
      </w:tr>
      <w:tr w:rsidR="007C17E4" w:rsidRPr="00D27BF1" w14:paraId="136395EF" w14:textId="77777777" w:rsidTr="007C17E4">
        <w:tc>
          <w:tcPr>
            <w:tcW w:w="2405" w:type="dxa"/>
            <w:vAlign w:val="center"/>
          </w:tcPr>
          <w:p w14:paraId="152183C6" w14:textId="77777777" w:rsidR="00A40A08" w:rsidRPr="00D27BF1" w:rsidRDefault="00A40A08" w:rsidP="00A40A08">
            <w:pPr>
              <w:pStyle w:val="Tabletext"/>
              <w:keepNext/>
              <w:keepLines/>
              <w:rPr>
                <w:szCs w:val="20"/>
              </w:rPr>
            </w:pPr>
            <w:r w:rsidRPr="00D27BF1">
              <w:rPr>
                <w:szCs w:val="20"/>
              </w:rPr>
              <w:t>Proportion of responders at Week 24 needing surgery by Week 52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C8F535" w14:textId="77777777" w:rsidR="00A40A08" w:rsidRPr="00D27BF1" w:rsidRDefault="00A40A08" w:rsidP="00A40A08">
            <w:pPr>
              <w:pStyle w:val="Tabletext"/>
              <w:keepNext/>
              <w:keepLines/>
              <w:jc w:val="center"/>
              <w:rPr>
                <w:szCs w:val="20"/>
              </w:rPr>
            </w:pPr>
            <w:r w:rsidRPr="00D27BF1">
              <w:rPr>
                <w:szCs w:val="20"/>
              </w:rPr>
              <w:t>16/95 (17)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3C785" w14:textId="77777777" w:rsidR="00A40A08" w:rsidRPr="00D27BF1" w:rsidRDefault="00A40A08" w:rsidP="00A40A08">
            <w:pPr>
              <w:pStyle w:val="Tabletext"/>
              <w:keepNext/>
              <w:keepLines/>
              <w:jc w:val="center"/>
              <w:rPr>
                <w:szCs w:val="20"/>
              </w:rPr>
            </w:pPr>
            <w:r w:rsidRPr="00D27BF1">
              <w:rPr>
                <w:szCs w:val="20"/>
              </w:rPr>
              <w:t>6/144 (4)</w:t>
            </w:r>
          </w:p>
        </w:tc>
        <w:tc>
          <w:tcPr>
            <w:tcW w:w="1418" w:type="dxa"/>
            <w:vAlign w:val="center"/>
          </w:tcPr>
          <w:p w14:paraId="55BA2E47" w14:textId="77777777" w:rsidR="00A40A08" w:rsidRPr="00D27BF1" w:rsidRDefault="00A40A08" w:rsidP="00A40A08">
            <w:pPr>
              <w:pStyle w:val="Tabletext"/>
              <w:keepNext/>
              <w:keepLines/>
              <w:jc w:val="center"/>
              <w:rPr>
                <w:bCs/>
                <w:szCs w:val="20"/>
              </w:rPr>
            </w:pPr>
            <w:r w:rsidRPr="00D27BF1">
              <w:rPr>
                <w:bCs/>
                <w:szCs w:val="20"/>
              </w:rPr>
              <w:t>NR</w:t>
            </w:r>
          </w:p>
        </w:tc>
        <w:tc>
          <w:tcPr>
            <w:tcW w:w="1134" w:type="dxa"/>
            <w:vAlign w:val="center"/>
          </w:tcPr>
          <w:p w14:paraId="628E4863" w14:textId="77777777" w:rsidR="00A40A08" w:rsidRPr="00D27BF1" w:rsidRDefault="00A40A08" w:rsidP="00A40A08">
            <w:pPr>
              <w:pStyle w:val="Tabletext"/>
              <w:keepNext/>
              <w:keepLines/>
              <w:jc w:val="center"/>
              <w:rPr>
                <w:szCs w:val="20"/>
              </w:rPr>
            </w:pPr>
            <w:r w:rsidRPr="00D27BF1">
              <w:rPr>
                <w:szCs w:val="20"/>
              </w:rPr>
              <w:t>15/86 (17)</w:t>
            </w:r>
          </w:p>
        </w:tc>
        <w:tc>
          <w:tcPr>
            <w:tcW w:w="992" w:type="dxa"/>
            <w:vAlign w:val="center"/>
          </w:tcPr>
          <w:p w14:paraId="077BDBB4" w14:textId="77777777" w:rsidR="00A40A08" w:rsidRPr="00D27BF1" w:rsidRDefault="00A40A08" w:rsidP="00A40A08">
            <w:pPr>
              <w:pStyle w:val="Tabletext"/>
              <w:keepNext/>
              <w:keepLines/>
              <w:jc w:val="center"/>
              <w:rPr>
                <w:szCs w:val="20"/>
              </w:rPr>
            </w:pPr>
            <w:r w:rsidRPr="00D27BF1">
              <w:rPr>
                <w:szCs w:val="20"/>
              </w:rPr>
              <w:t>5/129 (4)</w:t>
            </w:r>
          </w:p>
        </w:tc>
        <w:tc>
          <w:tcPr>
            <w:tcW w:w="800" w:type="dxa"/>
            <w:vAlign w:val="center"/>
          </w:tcPr>
          <w:p w14:paraId="35A844C9" w14:textId="77777777" w:rsidR="00A40A08" w:rsidRPr="00D27BF1" w:rsidRDefault="00A40A08" w:rsidP="00A40A08">
            <w:pPr>
              <w:pStyle w:val="Tabletext"/>
              <w:keepNext/>
              <w:keepLines/>
              <w:jc w:val="center"/>
              <w:rPr>
                <w:szCs w:val="20"/>
              </w:rPr>
            </w:pPr>
            <w:r w:rsidRPr="00D27BF1">
              <w:rPr>
                <w:szCs w:val="20"/>
              </w:rPr>
              <w:t>NR</w:t>
            </w:r>
          </w:p>
        </w:tc>
      </w:tr>
      <w:tr w:rsidR="007C17E4" w:rsidRPr="00D27BF1" w14:paraId="26044FF6" w14:textId="77777777" w:rsidTr="007C17E4">
        <w:tc>
          <w:tcPr>
            <w:tcW w:w="2405" w:type="dxa"/>
            <w:vAlign w:val="center"/>
          </w:tcPr>
          <w:p w14:paraId="6E7BAD2A" w14:textId="77777777" w:rsidR="00A40A08" w:rsidRPr="00D27BF1" w:rsidRDefault="00A40A08" w:rsidP="00A40A08">
            <w:pPr>
              <w:pStyle w:val="Tabletext"/>
              <w:keepNext/>
              <w:keepLines/>
              <w:rPr>
                <w:szCs w:val="20"/>
              </w:rPr>
            </w:pPr>
            <w:r w:rsidRPr="00D27BF1">
              <w:rPr>
                <w:szCs w:val="20"/>
              </w:rPr>
              <w:t>Proportion of non-responders at Week 24 needing surgery by Week 52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AF1F11" w14:textId="77777777" w:rsidR="00A40A08" w:rsidRPr="00D27BF1" w:rsidRDefault="00A40A08" w:rsidP="00A40A08">
            <w:pPr>
              <w:pStyle w:val="Tabletext"/>
              <w:keepNext/>
              <w:keepLines/>
              <w:jc w:val="center"/>
              <w:rPr>
                <w:szCs w:val="20"/>
              </w:rPr>
            </w:pPr>
            <w:r w:rsidRPr="00D27BF1">
              <w:rPr>
                <w:szCs w:val="20"/>
              </w:rPr>
              <w:t xml:space="preserve">12/88 </w:t>
            </w:r>
            <w:r w:rsidRPr="00D27BF1">
              <w:rPr>
                <w:szCs w:val="20"/>
                <w:vertAlign w:val="superscript"/>
              </w:rPr>
              <w:t>c</w:t>
            </w:r>
            <w:r w:rsidRPr="00D27BF1">
              <w:rPr>
                <w:szCs w:val="20"/>
              </w:rPr>
              <w:t xml:space="preserve"> (14)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79DEC" w14:textId="77777777" w:rsidR="00A40A08" w:rsidRPr="00D27BF1" w:rsidRDefault="00A40A08" w:rsidP="00A40A08">
            <w:pPr>
              <w:pStyle w:val="Tabletext"/>
              <w:keepNext/>
              <w:keepLines/>
              <w:jc w:val="center"/>
              <w:rPr>
                <w:szCs w:val="20"/>
              </w:rPr>
            </w:pPr>
            <w:r w:rsidRPr="00D27BF1">
              <w:rPr>
                <w:szCs w:val="20"/>
              </w:rPr>
              <w:t>NR</w:t>
            </w:r>
          </w:p>
        </w:tc>
        <w:tc>
          <w:tcPr>
            <w:tcW w:w="1418" w:type="dxa"/>
            <w:vAlign w:val="center"/>
          </w:tcPr>
          <w:p w14:paraId="4C826344" w14:textId="77777777" w:rsidR="00A40A08" w:rsidRPr="00D27BF1" w:rsidRDefault="00A40A08" w:rsidP="00A40A08">
            <w:pPr>
              <w:pStyle w:val="Tabletext"/>
              <w:keepNext/>
              <w:keepLines/>
              <w:jc w:val="center"/>
              <w:rPr>
                <w:bCs/>
                <w:szCs w:val="20"/>
              </w:rPr>
            </w:pPr>
            <w:r w:rsidRPr="00D27BF1">
              <w:rPr>
                <w:bCs/>
                <w:szCs w:val="20"/>
              </w:rPr>
              <w:t>NR</w:t>
            </w:r>
          </w:p>
        </w:tc>
        <w:tc>
          <w:tcPr>
            <w:tcW w:w="1134" w:type="dxa"/>
            <w:vAlign w:val="center"/>
          </w:tcPr>
          <w:p w14:paraId="4126FD59" w14:textId="77777777" w:rsidR="00A40A08" w:rsidRPr="00D27BF1" w:rsidRDefault="00A40A08" w:rsidP="00A40A08">
            <w:pPr>
              <w:pStyle w:val="Tabletext"/>
              <w:keepNext/>
              <w:keepLines/>
              <w:jc w:val="center"/>
              <w:rPr>
                <w:szCs w:val="20"/>
              </w:rPr>
            </w:pPr>
            <w:r w:rsidRPr="00D27BF1">
              <w:rPr>
                <w:szCs w:val="20"/>
              </w:rPr>
              <w:t xml:space="preserve">11/81 </w:t>
            </w:r>
            <w:r w:rsidRPr="00D27BF1">
              <w:rPr>
                <w:szCs w:val="20"/>
                <w:vertAlign w:val="superscript"/>
              </w:rPr>
              <w:t>c</w:t>
            </w:r>
            <w:r w:rsidRPr="00D27BF1">
              <w:rPr>
                <w:szCs w:val="20"/>
              </w:rPr>
              <w:t xml:space="preserve"> (14)</w:t>
            </w:r>
          </w:p>
        </w:tc>
        <w:tc>
          <w:tcPr>
            <w:tcW w:w="992" w:type="dxa"/>
            <w:vAlign w:val="center"/>
          </w:tcPr>
          <w:p w14:paraId="0FD20A6A" w14:textId="77777777" w:rsidR="00A40A08" w:rsidRPr="00D27BF1" w:rsidRDefault="00A40A08" w:rsidP="00A40A08">
            <w:pPr>
              <w:pStyle w:val="Tabletext"/>
              <w:keepNext/>
              <w:keepLines/>
              <w:jc w:val="center"/>
              <w:rPr>
                <w:szCs w:val="20"/>
              </w:rPr>
            </w:pPr>
            <w:r w:rsidRPr="00D27BF1">
              <w:rPr>
                <w:szCs w:val="20"/>
              </w:rPr>
              <w:t>NR</w:t>
            </w:r>
          </w:p>
        </w:tc>
        <w:tc>
          <w:tcPr>
            <w:tcW w:w="800" w:type="dxa"/>
            <w:vAlign w:val="center"/>
          </w:tcPr>
          <w:p w14:paraId="07E63823" w14:textId="77777777" w:rsidR="00A40A08" w:rsidRPr="00D27BF1" w:rsidRDefault="00A40A08" w:rsidP="00A40A08">
            <w:pPr>
              <w:pStyle w:val="Tabletext"/>
              <w:keepNext/>
              <w:keepLines/>
              <w:jc w:val="center"/>
              <w:rPr>
                <w:szCs w:val="20"/>
              </w:rPr>
            </w:pPr>
            <w:r w:rsidRPr="00D27BF1">
              <w:rPr>
                <w:szCs w:val="20"/>
              </w:rPr>
              <w:t>NR</w:t>
            </w:r>
          </w:p>
        </w:tc>
      </w:tr>
      <w:tr w:rsidR="00A40A08" w:rsidRPr="00D27BF1" w14:paraId="54B5D3ED" w14:textId="77777777" w:rsidTr="00F83872">
        <w:tc>
          <w:tcPr>
            <w:tcW w:w="9017" w:type="dxa"/>
            <w:gridSpan w:val="7"/>
          </w:tcPr>
          <w:p w14:paraId="0E7C6185" w14:textId="77777777" w:rsidR="00A40A08" w:rsidRPr="00D27BF1" w:rsidRDefault="00A40A08" w:rsidP="00A40A08">
            <w:pPr>
              <w:pStyle w:val="Tabletext"/>
              <w:keepNext/>
              <w:keepLines/>
              <w:rPr>
                <w:szCs w:val="20"/>
                <w:u w:val="single"/>
              </w:rPr>
            </w:pPr>
            <w:r w:rsidRPr="00D27BF1">
              <w:rPr>
                <w:szCs w:val="20"/>
                <w:u w:val="single"/>
              </w:rPr>
              <w:t xml:space="preserve">Proportion of participants requiring systemic steroids up to Week 52 </w:t>
            </w:r>
            <w:r w:rsidRPr="00D27BF1">
              <w:rPr>
                <w:szCs w:val="20"/>
                <w:u w:val="single"/>
                <w:vertAlign w:val="superscript"/>
              </w:rPr>
              <w:t>d</w:t>
            </w:r>
          </w:p>
        </w:tc>
      </w:tr>
      <w:tr w:rsidR="007C17E4" w:rsidRPr="00D27BF1" w14:paraId="53A26B4D" w14:textId="77777777" w:rsidTr="007C17E4">
        <w:tc>
          <w:tcPr>
            <w:tcW w:w="2405" w:type="dxa"/>
            <w:tcBorders>
              <w:right w:val="single" w:sz="4" w:space="0" w:color="000000" w:themeColor="text1"/>
            </w:tcBorders>
          </w:tcPr>
          <w:p w14:paraId="5E90162B" w14:textId="77777777" w:rsidR="00A40A08" w:rsidRPr="00D27BF1" w:rsidRDefault="00A40A08" w:rsidP="00A40A08">
            <w:pPr>
              <w:pStyle w:val="Tabletext"/>
              <w:keepNext/>
              <w:keepLines/>
              <w:rPr>
                <w:szCs w:val="20"/>
              </w:rPr>
            </w:pPr>
            <w:r w:rsidRPr="00D27BF1">
              <w:rPr>
                <w:szCs w:val="20"/>
              </w:rPr>
              <w:t xml:space="preserve">Number of participants with ≥1 course, n/N (%)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AF5F1D" w14:textId="77777777" w:rsidR="00A40A08" w:rsidRPr="00D27BF1" w:rsidRDefault="00A40A08" w:rsidP="00A40A08">
            <w:pPr>
              <w:pStyle w:val="Tabletext"/>
              <w:keepNext/>
              <w:keepLines/>
              <w:jc w:val="center"/>
              <w:rPr>
                <w:szCs w:val="20"/>
              </w:rPr>
            </w:pPr>
            <w:r w:rsidRPr="00D27BF1">
              <w:rPr>
                <w:szCs w:val="20"/>
              </w:rPr>
              <w:t>74/201 (37)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E0C02A" w14:textId="77777777" w:rsidR="00A40A08" w:rsidRPr="00D27BF1" w:rsidRDefault="00A40A08" w:rsidP="00A40A08">
            <w:pPr>
              <w:pStyle w:val="Tabletext"/>
              <w:keepNext/>
              <w:keepLines/>
              <w:jc w:val="center"/>
              <w:rPr>
                <w:szCs w:val="20"/>
              </w:rPr>
            </w:pPr>
            <w:r w:rsidRPr="00D27BF1">
              <w:rPr>
                <w:szCs w:val="20"/>
              </w:rPr>
              <w:t>52/206 (25)</w:t>
            </w:r>
          </w:p>
        </w:tc>
        <w:tc>
          <w:tcPr>
            <w:tcW w:w="1418" w:type="dxa"/>
            <w:vAlign w:val="center"/>
          </w:tcPr>
          <w:p w14:paraId="7B38E2EC" w14:textId="77777777" w:rsidR="00A40A08" w:rsidRPr="00D27BF1" w:rsidRDefault="00A40A08" w:rsidP="00A40A08">
            <w:pPr>
              <w:pStyle w:val="Tabletext"/>
              <w:keepNext/>
              <w:keepLines/>
              <w:jc w:val="center"/>
              <w:rPr>
                <w:b/>
                <w:szCs w:val="20"/>
                <w:vertAlign w:val="superscript"/>
              </w:rPr>
            </w:pPr>
            <w:r w:rsidRPr="00D27BF1">
              <w:rPr>
                <w:b/>
                <w:szCs w:val="20"/>
              </w:rPr>
              <w:t xml:space="preserve">0.58 (0.36, 0.92); 0.020 </w:t>
            </w:r>
            <w:r w:rsidRPr="00D27BF1">
              <w:rPr>
                <w:b/>
                <w:szCs w:val="20"/>
                <w:vertAlign w:val="superscript"/>
              </w:rPr>
              <w:t>e</w:t>
            </w:r>
          </w:p>
        </w:tc>
        <w:tc>
          <w:tcPr>
            <w:tcW w:w="1134" w:type="dxa"/>
            <w:vAlign w:val="center"/>
          </w:tcPr>
          <w:p w14:paraId="50666581" w14:textId="77777777" w:rsidR="00A40A08" w:rsidRPr="00D27BF1" w:rsidRDefault="00A40A08" w:rsidP="00A40A08">
            <w:pPr>
              <w:pStyle w:val="Tabletext"/>
              <w:keepNext/>
              <w:keepLines/>
              <w:jc w:val="center"/>
              <w:rPr>
                <w:szCs w:val="20"/>
              </w:rPr>
            </w:pPr>
            <w:r w:rsidRPr="00D27BF1">
              <w:rPr>
                <w:szCs w:val="20"/>
              </w:rPr>
              <w:t>NR</w:t>
            </w:r>
          </w:p>
        </w:tc>
        <w:tc>
          <w:tcPr>
            <w:tcW w:w="992" w:type="dxa"/>
            <w:vAlign w:val="center"/>
          </w:tcPr>
          <w:p w14:paraId="0350E3C1" w14:textId="77777777" w:rsidR="00A40A08" w:rsidRPr="00D27BF1" w:rsidRDefault="00A40A08" w:rsidP="00A40A08">
            <w:pPr>
              <w:pStyle w:val="Tabletext"/>
              <w:keepNext/>
              <w:keepLines/>
              <w:jc w:val="center"/>
              <w:rPr>
                <w:szCs w:val="20"/>
              </w:rPr>
            </w:pPr>
            <w:r w:rsidRPr="00D27BF1">
              <w:rPr>
                <w:szCs w:val="20"/>
              </w:rPr>
              <w:t>NR</w:t>
            </w:r>
          </w:p>
        </w:tc>
        <w:tc>
          <w:tcPr>
            <w:tcW w:w="800" w:type="dxa"/>
            <w:vAlign w:val="center"/>
          </w:tcPr>
          <w:p w14:paraId="513E0714" w14:textId="77777777" w:rsidR="00A40A08" w:rsidRPr="00D27BF1" w:rsidRDefault="00A40A08" w:rsidP="00A40A08">
            <w:pPr>
              <w:pStyle w:val="Tabletext"/>
              <w:keepNext/>
              <w:keepLines/>
              <w:jc w:val="center"/>
              <w:rPr>
                <w:szCs w:val="20"/>
              </w:rPr>
            </w:pPr>
            <w:r w:rsidRPr="00D27BF1">
              <w:rPr>
                <w:szCs w:val="20"/>
              </w:rPr>
              <w:t>NR</w:t>
            </w:r>
          </w:p>
        </w:tc>
      </w:tr>
      <w:tr w:rsidR="007C17E4" w:rsidRPr="00D27BF1" w14:paraId="4B48E4C2" w14:textId="77777777" w:rsidTr="007C17E4">
        <w:tc>
          <w:tcPr>
            <w:tcW w:w="2405" w:type="dxa"/>
            <w:tcBorders>
              <w:right w:val="single" w:sz="4" w:space="0" w:color="000000" w:themeColor="text1"/>
            </w:tcBorders>
          </w:tcPr>
          <w:p w14:paraId="18FB3C12" w14:textId="77777777" w:rsidR="00A40A08" w:rsidRPr="00D27BF1" w:rsidRDefault="00A40A08" w:rsidP="00A40A08">
            <w:pPr>
              <w:pStyle w:val="Tabletext"/>
              <w:keepNext/>
              <w:keepLines/>
              <w:rPr>
                <w:szCs w:val="20"/>
              </w:rPr>
            </w:pPr>
            <w:r w:rsidRPr="00D27BF1">
              <w:rPr>
                <w:szCs w:val="20"/>
              </w:rPr>
              <w:t xml:space="preserve">Total number of courses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3C42DF" w14:textId="77777777" w:rsidR="00A40A08" w:rsidRPr="00D27BF1" w:rsidRDefault="00A40A08" w:rsidP="00A40A08">
            <w:pPr>
              <w:pStyle w:val="Tabletext"/>
              <w:keepNext/>
              <w:keepLines/>
              <w:jc w:val="center"/>
              <w:rPr>
                <w:szCs w:val="20"/>
              </w:rPr>
            </w:pPr>
            <w:r w:rsidRPr="00D27BF1">
              <w:rPr>
                <w:szCs w:val="20"/>
              </w:rPr>
              <w:t>124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DE5808" w14:textId="77777777" w:rsidR="00A40A08" w:rsidRPr="00D27BF1" w:rsidRDefault="00A40A08" w:rsidP="00A40A08">
            <w:pPr>
              <w:pStyle w:val="Tabletext"/>
              <w:keepNext/>
              <w:keepLines/>
              <w:jc w:val="center"/>
              <w:rPr>
                <w:szCs w:val="20"/>
              </w:rPr>
            </w:pPr>
            <w:r w:rsidRPr="00D27BF1">
              <w:rPr>
                <w:szCs w:val="20"/>
              </w:rPr>
              <w:t>82</w:t>
            </w:r>
          </w:p>
        </w:tc>
        <w:tc>
          <w:tcPr>
            <w:tcW w:w="1418" w:type="dxa"/>
            <w:vAlign w:val="center"/>
          </w:tcPr>
          <w:p w14:paraId="47E3D77D" w14:textId="77777777" w:rsidR="00A40A08" w:rsidRPr="00D27BF1" w:rsidRDefault="00A40A08" w:rsidP="00A40A08">
            <w:pPr>
              <w:pStyle w:val="Tabletext"/>
              <w:keepNext/>
              <w:keepLines/>
              <w:jc w:val="center"/>
              <w:rPr>
                <w:szCs w:val="20"/>
              </w:rPr>
            </w:pPr>
            <w:r w:rsidRPr="00D27BF1">
              <w:rPr>
                <w:szCs w:val="20"/>
              </w:rPr>
              <w:t>NR</w:t>
            </w:r>
          </w:p>
        </w:tc>
        <w:tc>
          <w:tcPr>
            <w:tcW w:w="1134" w:type="dxa"/>
            <w:vAlign w:val="center"/>
          </w:tcPr>
          <w:p w14:paraId="0ACEB32D" w14:textId="77777777" w:rsidR="00A40A08" w:rsidRPr="00D27BF1" w:rsidRDefault="00A40A08" w:rsidP="00A40A08">
            <w:pPr>
              <w:pStyle w:val="Tabletext"/>
              <w:keepNext/>
              <w:keepLines/>
              <w:jc w:val="center"/>
              <w:rPr>
                <w:szCs w:val="20"/>
              </w:rPr>
            </w:pPr>
            <w:r w:rsidRPr="00D27BF1">
              <w:rPr>
                <w:szCs w:val="20"/>
              </w:rPr>
              <w:t>NR</w:t>
            </w:r>
          </w:p>
        </w:tc>
        <w:tc>
          <w:tcPr>
            <w:tcW w:w="992" w:type="dxa"/>
            <w:vAlign w:val="center"/>
          </w:tcPr>
          <w:p w14:paraId="36BC73E1" w14:textId="77777777" w:rsidR="00A40A08" w:rsidRPr="00D27BF1" w:rsidRDefault="00A40A08" w:rsidP="00A40A08">
            <w:pPr>
              <w:pStyle w:val="Tabletext"/>
              <w:keepNext/>
              <w:keepLines/>
              <w:jc w:val="center"/>
              <w:rPr>
                <w:szCs w:val="20"/>
              </w:rPr>
            </w:pPr>
            <w:r w:rsidRPr="00D27BF1">
              <w:rPr>
                <w:szCs w:val="20"/>
              </w:rPr>
              <w:t>NR</w:t>
            </w:r>
          </w:p>
        </w:tc>
        <w:tc>
          <w:tcPr>
            <w:tcW w:w="800" w:type="dxa"/>
            <w:vAlign w:val="center"/>
          </w:tcPr>
          <w:p w14:paraId="76B650DB" w14:textId="77777777" w:rsidR="00A40A08" w:rsidRPr="00D27BF1" w:rsidRDefault="00A40A08" w:rsidP="00A40A08">
            <w:pPr>
              <w:pStyle w:val="Tabletext"/>
              <w:keepNext/>
              <w:keepLines/>
              <w:jc w:val="center"/>
              <w:rPr>
                <w:szCs w:val="20"/>
              </w:rPr>
            </w:pPr>
            <w:r w:rsidRPr="00D27BF1">
              <w:rPr>
                <w:szCs w:val="20"/>
              </w:rPr>
              <w:t>NR</w:t>
            </w:r>
          </w:p>
        </w:tc>
      </w:tr>
      <w:tr w:rsidR="00A40A08" w:rsidRPr="00D27BF1" w14:paraId="3B3B317A" w14:textId="77777777" w:rsidTr="00F83872">
        <w:tc>
          <w:tcPr>
            <w:tcW w:w="9017" w:type="dxa"/>
            <w:gridSpan w:val="7"/>
          </w:tcPr>
          <w:p w14:paraId="467CC26A" w14:textId="77777777" w:rsidR="00A40A08" w:rsidRPr="00D27BF1" w:rsidRDefault="00A40A08" w:rsidP="00A40A08">
            <w:pPr>
              <w:pStyle w:val="Tabletext"/>
              <w:keepNext/>
              <w:keepLines/>
              <w:rPr>
                <w:szCs w:val="20"/>
                <w:u w:val="single"/>
              </w:rPr>
            </w:pPr>
            <w:r w:rsidRPr="00D27BF1">
              <w:rPr>
                <w:szCs w:val="20"/>
                <w:u w:val="single"/>
              </w:rPr>
              <w:t>Change from baseline in SNOT-22 total score</w:t>
            </w:r>
          </w:p>
        </w:tc>
      </w:tr>
      <w:tr w:rsidR="007C17E4" w:rsidRPr="00D27BF1" w14:paraId="145D1B70" w14:textId="77777777" w:rsidTr="007C17E4">
        <w:tc>
          <w:tcPr>
            <w:tcW w:w="2405" w:type="dxa"/>
            <w:tcBorders>
              <w:right w:val="single" w:sz="4" w:space="0" w:color="000000" w:themeColor="text1"/>
            </w:tcBorders>
            <w:vAlign w:val="center"/>
          </w:tcPr>
          <w:p w14:paraId="68E5EE68" w14:textId="77777777" w:rsidR="00A40A08" w:rsidRPr="00D27BF1" w:rsidRDefault="00A40A08" w:rsidP="00A40A08">
            <w:pPr>
              <w:pStyle w:val="Tabletext"/>
              <w:keepNext/>
              <w:keepLines/>
              <w:rPr>
                <w:szCs w:val="20"/>
              </w:rPr>
            </w:pPr>
            <w:r w:rsidRPr="00D27BF1">
              <w:rPr>
                <w:szCs w:val="20"/>
              </w:rPr>
              <w:t>Median change at Week 52</w:t>
            </w:r>
          </w:p>
        </w:tc>
        <w:tc>
          <w:tcPr>
            <w:tcW w:w="1134" w:type="dxa"/>
            <w:shd w:val="clear" w:color="auto" w:fill="auto"/>
            <w:vAlign w:val="center"/>
          </w:tcPr>
          <w:p w14:paraId="57F80ADC" w14:textId="77777777" w:rsidR="00A40A08" w:rsidRPr="00D27BF1" w:rsidRDefault="00A40A08" w:rsidP="00A40A08">
            <w:pPr>
              <w:pStyle w:val="Tabletext"/>
              <w:keepNext/>
              <w:keepLines/>
              <w:jc w:val="center"/>
              <w:rPr>
                <w:szCs w:val="20"/>
              </w:rPr>
            </w:pPr>
            <w:r w:rsidRPr="00D27BF1">
              <w:rPr>
                <w:szCs w:val="20"/>
              </w:rPr>
              <w:t>-14.0</w:t>
            </w:r>
          </w:p>
        </w:tc>
        <w:tc>
          <w:tcPr>
            <w:tcW w:w="1134" w:type="dxa"/>
            <w:shd w:val="clear" w:color="auto" w:fill="auto"/>
            <w:vAlign w:val="center"/>
          </w:tcPr>
          <w:p w14:paraId="61C57628" w14:textId="77777777" w:rsidR="00A40A08" w:rsidRPr="00D27BF1" w:rsidRDefault="00A40A08" w:rsidP="00A40A08">
            <w:pPr>
              <w:pStyle w:val="Tabletext"/>
              <w:keepNext/>
              <w:keepLines/>
              <w:jc w:val="center"/>
              <w:rPr>
                <w:szCs w:val="20"/>
              </w:rPr>
            </w:pPr>
            <w:r w:rsidRPr="00D27BF1">
              <w:rPr>
                <w:szCs w:val="20"/>
              </w:rPr>
              <w:t>-30.0</w:t>
            </w:r>
          </w:p>
        </w:tc>
        <w:tc>
          <w:tcPr>
            <w:tcW w:w="1418" w:type="dxa"/>
            <w:vAlign w:val="center"/>
          </w:tcPr>
          <w:p w14:paraId="6F52CD5F" w14:textId="77777777" w:rsidR="007C17E4" w:rsidRPr="00D27BF1" w:rsidRDefault="00A40A08" w:rsidP="00A40A08">
            <w:pPr>
              <w:pStyle w:val="Tabletext"/>
              <w:keepNext/>
              <w:keepLines/>
              <w:jc w:val="center"/>
              <w:rPr>
                <w:b/>
                <w:szCs w:val="20"/>
              </w:rPr>
            </w:pPr>
            <w:r w:rsidRPr="00D27BF1">
              <w:rPr>
                <w:b/>
                <w:szCs w:val="20"/>
              </w:rPr>
              <w:t xml:space="preserve">-16.49 (-23.57, </w:t>
            </w:r>
          </w:p>
          <w:p w14:paraId="569DA47B" w14:textId="77777777" w:rsidR="00A40A08" w:rsidRPr="00D27BF1" w:rsidRDefault="007C17E4" w:rsidP="00A40A08">
            <w:pPr>
              <w:pStyle w:val="Tabletext"/>
              <w:keepNext/>
              <w:keepLines/>
              <w:jc w:val="center"/>
              <w:rPr>
                <w:b/>
                <w:szCs w:val="20"/>
              </w:rPr>
            </w:pPr>
            <w:r w:rsidRPr="00D27BF1">
              <w:rPr>
                <w:b/>
                <w:szCs w:val="20"/>
              </w:rPr>
              <w:t>-</w:t>
            </w:r>
            <w:r w:rsidR="00A40A08" w:rsidRPr="00D27BF1">
              <w:rPr>
                <w:b/>
                <w:szCs w:val="20"/>
              </w:rPr>
              <w:t>9.42); &lt;0.001</w:t>
            </w:r>
          </w:p>
        </w:tc>
        <w:tc>
          <w:tcPr>
            <w:tcW w:w="1134" w:type="dxa"/>
            <w:vAlign w:val="center"/>
          </w:tcPr>
          <w:p w14:paraId="78BBDCF8" w14:textId="77777777" w:rsidR="00A40A08" w:rsidRPr="00D27BF1" w:rsidRDefault="00A40A08" w:rsidP="00A40A08">
            <w:pPr>
              <w:pStyle w:val="Tabletext"/>
              <w:keepNext/>
              <w:keepLines/>
              <w:jc w:val="center"/>
              <w:rPr>
                <w:szCs w:val="20"/>
              </w:rPr>
            </w:pPr>
            <w:r w:rsidRPr="00D27BF1">
              <w:rPr>
                <w:szCs w:val="20"/>
              </w:rPr>
              <w:t>NR</w:t>
            </w:r>
          </w:p>
        </w:tc>
        <w:tc>
          <w:tcPr>
            <w:tcW w:w="992" w:type="dxa"/>
            <w:vAlign w:val="center"/>
          </w:tcPr>
          <w:p w14:paraId="5A191193" w14:textId="77777777" w:rsidR="00A40A08" w:rsidRPr="00D27BF1" w:rsidRDefault="00A40A08" w:rsidP="00A40A08">
            <w:pPr>
              <w:pStyle w:val="Tabletext"/>
              <w:keepNext/>
              <w:keepLines/>
              <w:jc w:val="center"/>
              <w:rPr>
                <w:szCs w:val="20"/>
              </w:rPr>
            </w:pPr>
            <w:r w:rsidRPr="00D27BF1">
              <w:rPr>
                <w:szCs w:val="20"/>
              </w:rPr>
              <w:t>NR</w:t>
            </w:r>
          </w:p>
        </w:tc>
        <w:tc>
          <w:tcPr>
            <w:tcW w:w="800" w:type="dxa"/>
            <w:vAlign w:val="center"/>
          </w:tcPr>
          <w:p w14:paraId="0EC41B6F" w14:textId="77777777" w:rsidR="00A40A08" w:rsidRPr="00D27BF1" w:rsidRDefault="00A40A08" w:rsidP="00A40A08">
            <w:pPr>
              <w:pStyle w:val="Tabletext"/>
              <w:keepNext/>
              <w:keepLines/>
              <w:jc w:val="center"/>
              <w:rPr>
                <w:szCs w:val="20"/>
              </w:rPr>
            </w:pPr>
            <w:r w:rsidRPr="00D27BF1">
              <w:rPr>
                <w:szCs w:val="20"/>
              </w:rPr>
              <w:t>NR</w:t>
            </w:r>
          </w:p>
        </w:tc>
      </w:tr>
      <w:tr w:rsidR="007C17E4" w:rsidRPr="00D27BF1" w14:paraId="0C94ACA0" w14:textId="77777777" w:rsidTr="007C17E4">
        <w:tc>
          <w:tcPr>
            <w:tcW w:w="2405" w:type="dxa"/>
            <w:tcBorders>
              <w:right w:val="single" w:sz="4" w:space="0" w:color="000000" w:themeColor="text1"/>
            </w:tcBorders>
            <w:vAlign w:val="center"/>
          </w:tcPr>
          <w:p w14:paraId="52F24E4F" w14:textId="77777777" w:rsidR="00A40A08" w:rsidRPr="00D27BF1" w:rsidRDefault="00A40A08" w:rsidP="00A40A08">
            <w:pPr>
              <w:pStyle w:val="Tabletext"/>
              <w:keepNext/>
              <w:keepLines/>
              <w:rPr>
                <w:szCs w:val="20"/>
              </w:rPr>
            </w:pPr>
            <w:r w:rsidRPr="00D27BF1">
              <w:rPr>
                <w:szCs w:val="20"/>
              </w:rPr>
              <w:t>Responder, n/N (%)</w:t>
            </w:r>
            <w:r w:rsidRPr="00D27BF1">
              <w:rPr>
                <w:szCs w:val="20"/>
                <w:vertAlign w:val="superscript"/>
              </w:rPr>
              <w:t xml:space="preserve"> </w:t>
            </w:r>
            <w:r w:rsidR="00E905C0" w:rsidRPr="00D27BF1">
              <w:rPr>
                <w:szCs w:val="20"/>
                <w:vertAlign w:val="superscript"/>
              </w:rPr>
              <w:t>f</w:t>
            </w:r>
          </w:p>
        </w:tc>
        <w:tc>
          <w:tcPr>
            <w:tcW w:w="1134" w:type="dxa"/>
            <w:tcBorders>
              <w:top w:val="single" w:sz="4" w:space="0" w:color="auto"/>
              <w:left w:val="single" w:sz="4" w:space="0" w:color="auto"/>
              <w:bottom w:val="single" w:sz="4" w:space="0" w:color="auto"/>
              <w:right w:val="single" w:sz="4" w:space="0" w:color="auto"/>
            </w:tcBorders>
            <w:vAlign w:val="center"/>
          </w:tcPr>
          <w:p w14:paraId="34B31680" w14:textId="77777777" w:rsidR="00A40A08" w:rsidRPr="00D27BF1" w:rsidRDefault="00A40A08" w:rsidP="00A40A08">
            <w:pPr>
              <w:pStyle w:val="Tabletext"/>
              <w:keepNext/>
              <w:keepLines/>
              <w:jc w:val="center"/>
              <w:rPr>
                <w:szCs w:val="20"/>
              </w:rPr>
            </w:pPr>
            <w:r w:rsidRPr="00D27BF1">
              <w:rPr>
                <w:szCs w:val="20"/>
              </w:rPr>
              <w:t>106/198 (54)</w:t>
            </w:r>
          </w:p>
        </w:tc>
        <w:tc>
          <w:tcPr>
            <w:tcW w:w="1134" w:type="dxa"/>
            <w:tcBorders>
              <w:top w:val="single" w:sz="4" w:space="0" w:color="auto"/>
              <w:left w:val="single" w:sz="4" w:space="0" w:color="auto"/>
              <w:bottom w:val="single" w:sz="4" w:space="0" w:color="auto"/>
              <w:right w:val="single" w:sz="4" w:space="0" w:color="auto"/>
            </w:tcBorders>
            <w:vAlign w:val="center"/>
          </w:tcPr>
          <w:p w14:paraId="5572F242" w14:textId="77777777" w:rsidR="00A40A08" w:rsidRPr="00D27BF1" w:rsidRDefault="00A40A08" w:rsidP="00A40A08">
            <w:pPr>
              <w:pStyle w:val="Tabletext"/>
              <w:keepNext/>
              <w:keepLines/>
              <w:jc w:val="center"/>
              <w:rPr>
                <w:szCs w:val="20"/>
              </w:rPr>
            </w:pPr>
            <w:r w:rsidRPr="00D27BF1">
              <w:rPr>
                <w:szCs w:val="20"/>
              </w:rPr>
              <w:t>150/205 (73)</w:t>
            </w:r>
          </w:p>
        </w:tc>
        <w:tc>
          <w:tcPr>
            <w:tcW w:w="1418" w:type="dxa"/>
            <w:vAlign w:val="center"/>
          </w:tcPr>
          <w:p w14:paraId="35C4ABF0" w14:textId="77777777" w:rsidR="00A40A08" w:rsidRPr="00D27BF1" w:rsidRDefault="00A40A08" w:rsidP="00A40A08">
            <w:pPr>
              <w:pStyle w:val="Tabletext"/>
              <w:keepNext/>
              <w:keepLines/>
              <w:jc w:val="center"/>
              <w:rPr>
                <w:b/>
                <w:szCs w:val="20"/>
              </w:rPr>
            </w:pPr>
            <w:r w:rsidRPr="00D27BF1">
              <w:rPr>
                <w:b/>
                <w:szCs w:val="20"/>
              </w:rPr>
              <w:t>2.44 (1.60, 3.73); &lt;0.001</w:t>
            </w:r>
          </w:p>
        </w:tc>
        <w:tc>
          <w:tcPr>
            <w:tcW w:w="1134" w:type="dxa"/>
            <w:vAlign w:val="center"/>
          </w:tcPr>
          <w:p w14:paraId="5504E77C" w14:textId="77777777" w:rsidR="00A40A08" w:rsidRPr="00D27BF1" w:rsidRDefault="00A40A08" w:rsidP="00A40A08">
            <w:pPr>
              <w:pStyle w:val="Tabletext"/>
              <w:keepNext/>
              <w:keepLines/>
              <w:jc w:val="center"/>
              <w:rPr>
                <w:szCs w:val="20"/>
              </w:rPr>
            </w:pPr>
            <w:r w:rsidRPr="00D27BF1">
              <w:rPr>
                <w:szCs w:val="20"/>
              </w:rPr>
              <w:t>NR</w:t>
            </w:r>
          </w:p>
        </w:tc>
        <w:tc>
          <w:tcPr>
            <w:tcW w:w="992" w:type="dxa"/>
            <w:vAlign w:val="center"/>
          </w:tcPr>
          <w:p w14:paraId="38315CF5" w14:textId="77777777" w:rsidR="00A40A08" w:rsidRPr="00D27BF1" w:rsidRDefault="00A40A08" w:rsidP="00A40A08">
            <w:pPr>
              <w:pStyle w:val="Tabletext"/>
              <w:keepNext/>
              <w:keepLines/>
              <w:jc w:val="center"/>
              <w:rPr>
                <w:szCs w:val="20"/>
              </w:rPr>
            </w:pPr>
            <w:r w:rsidRPr="00D27BF1">
              <w:rPr>
                <w:szCs w:val="20"/>
              </w:rPr>
              <w:t>NR</w:t>
            </w:r>
          </w:p>
        </w:tc>
        <w:tc>
          <w:tcPr>
            <w:tcW w:w="800" w:type="dxa"/>
            <w:vAlign w:val="center"/>
          </w:tcPr>
          <w:p w14:paraId="58C805D5" w14:textId="77777777" w:rsidR="00A40A08" w:rsidRPr="00D27BF1" w:rsidRDefault="00A40A08" w:rsidP="00A40A08">
            <w:pPr>
              <w:pStyle w:val="Tabletext"/>
              <w:keepNext/>
              <w:keepLines/>
              <w:jc w:val="center"/>
              <w:rPr>
                <w:szCs w:val="20"/>
              </w:rPr>
            </w:pPr>
            <w:r w:rsidRPr="00D27BF1">
              <w:rPr>
                <w:szCs w:val="20"/>
              </w:rPr>
              <w:t>NR</w:t>
            </w:r>
          </w:p>
        </w:tc>
      </w:tr>
      <w:tr w:rsidR="00A40A08" w:rsidRPr="00D27BF1" w14:paraId="616B8426" w14:textId="77777777" w:rsidTr="00F83872">
        <w:tc>
          <w:tcPr>
            <w:tcW w:w="9017" w:type="dxa"/>
            <w:gridSpan w:val="7"/>
          </w:tcPr>
          <w:p w14:paraId="3EAF2D59" w14:textId="77777777" w:rsidR="00A40A08" w:rsidRPr="00D27BF1" w:rsidRDefault="00A40A08" w:rsidP="00A40A08">
            <w:pPr>
              <w:pStyle w:val="Tabletext"/>
              <w:keepNext/>
              <w:keepLines/>
              <w:rPr>
                <w:szCs w:val="20"/>
                <w:u w:val="single"/>
              </w:rPr>
            </w:pPr>
            <w:r w:rsidRPr="00D27BF1">
              <w:rPr>
                <w:szCs w:val="20"/>
                <w:u w:val="single"/>
              </w:rPr>
              <w:t xml:space="preserve">Clinically significant asthma exacerbations </w:t>
            </w:r>
            <w:r w:rsidR="00E905C0" w:rsidRPr="00D27BF1">
              <w:rPr>
                <w:szCs w:val="20"/>
                <w:u w:val="single"/>
                <w:vertAlign w:val="superscript"/>
              </w:rPr>
              <w:t>g</w:t>
            </w:r>
          </w:p>
        </w:tc>
      </w:tr>
      <w:tr w:rsidR="007C17E4" w:rsidRPr="00D27BF1" w14:paraId="53D8A5B3" w14:textId="77777777" w:rsidTr="007C17E4">
        <w:tc>
          <w:tcPr>
            <w:tcW w:w="2405" w:type="dxa"/>
            <w:shd w:val="clear" w:color="auto" w:fill="auto"/>
            <w:vAlign w:val="center"/>
          </w:tcPr>
          <w:p w14:paraId="74B99751" w14:textId="77777777" w:rsidR="00A40A08" w:rsidRPr="00D27BF1" w:rsidRDefault="00A40A08" w:rsidP="00A40A08">
            <w:pPr>
              <w:pStyle w:val="Tabletext"/>
              <w:keepNext/>
              <w:keepLines/>
              <w:rPr>
                <w:szCs w:val="20"/>
              </w:rPr>
            </w:pPr>
            <w:r w:rsidRPr="00D27BF1">
              <w:rPr>
                <w:szCs w:val="20"/>
              </w:rPr>
              <w:t>Subjects with at least one exacerbation, n/N (%)</w:t>
            </w:r>
          </w:p>
        </w:tc>
        <w:tc>
          <w:tcPr>
            <w:tcW w:w="1134" w:type="dxa"/>
            <w:shd w:val="clear" w:color="auto" w:fill="auto"/>
            <w:vAlign w:val="center"/>
          </w:tcPr>
          <w:p w14:paraId="0EEF05C0" w14:textId="77777777" w:rsidR="00A40A08" w:rsidRPr="00D27BF1" w:rsidRDefault="00A40A08" w:rsidP="00A40A08">
            <w:pPr>
              <w:pStyle w:val="Tabletext"/>
              <w:keepNext/>
              <w:keepLines/>
              <w:jc w:val="center"/>
              <w:rPr>
                <w:szCs w:val="20"/>
              </w:rPr>
            </w:pPr>
            <w:r w:rsidRPr="00D27BF1">
              <w:rPr>
                <w:szCs w:val="20"/>
              </w:rPr>
              <w:t>11/149 (7)</w:t>
            </w:r>
          </w:p>
        </w:tc>
        <w:tc>
          <w:tcPr>
            <w:tcW w:w="1134" w:type="dxa"/>
            <w:shd w:val="clear" w:color="auto" w:fill="auto"/>
            <w:vAlign w:val="center"/>
          </w:tcPr>
          <w:p w14:paraId="02BC4C07" w14:textId="77777777" w:rsidR="00A40A08" w:rsidRPr="00D27BF1" w:rsidRDefault="00A40A08" w:rsidP="00A40A08">
            <w:pPr>
              <w:pStyle w:val="Tabletext"/>
              <w:keepNext/>
              <w:keepLines/>
              <w:jc w:val="center"/>
              <w:rPr>
                <w:szCs w:val="20"/>
              </w:rPr>
            </w:pPr>
            <w:r w:rsidRPr="00D27BF1">
              <w:rPr>
                <w:szCs w:val="20"/>
              </w:rPr>
              <w:t>6/140 (4)</w:t>
            </w:r>
          </w:p>
        </w:tc>
        <w:tc>
          <w:tcPr>
            <w:tcW w:w="1418" w:type="dxa"/>
            <w:vAlign w:val="center"/>
          </w:tcPr>
          <w:p w14:paraId="0CBD61A4" w14:textId="77777777" w:rsidR="00A40A08" w:rsidRPr="00D27BF1" w:rsidRDefault="00A40A08" w:rsidP="00A40A08">
            <w:pPr>
              <w:pStyle w:val="Tabletext"/>
              <w:keepNext/>
              <w:keepLines/>
              <w:jc w:val="center"/>
              <w:rPr>
                <w:szCs w:val="20"/>
              </w:rPr>
            </w:pPr>
            <w:r w:rsidRPr="00D27BF1">
              <w:rPr>
                <w:szCs w:val="20"/>
              </w:rPr>
              <w:t>NR</w:t>
            </w:r>
          </w:p>
        </w:tc>
        <w:tc>
          <w:tcPr>
            <w:tcW w:w="1134" w:type="dxa"/>
            <w:vAlign w:val="center"/>
          </w:tcPr>
          <w:p w14:paraId="585793CA" w14:textId="77777777" w:rsidR="00A40A08" w:rsidRPr="00D27BF1" w:rsidRDefault="00A40A08" w:rsidP="00A40A08">
            <w:pPr>
              <w:pStyle w:val="Tabletext"/>
              <w:keepNext/>
              <w:keepLines/>
              <w:jc w:val="center"/>
              <w:rPr>
                <w:szCs w:val="20"/>
              </w:rPr>
            </w:pPr>
            <w:r w:rsidRPr="00D27BF1">
              <w:rPr>
                <w:szCs w:val="20"/>
              </w:rPr>
              <w:t>NR</w:t>
            </w:r>
          </w:p>
        </w:tc>
        <w:tc>
          <w:tcPr>
            <w:tcW w:w="992" w:type="dxa"/>
            <w:vAlign w:val="center"/>
          </w:tcPr>
          <w:p w14:paraId="32CD9A98" w14:textId="77777777" w:rsidR="00A40A08" w:rsidRPr="00D27BF1" w:rsidRDefault="00A40A08" w:rsidP="00A40A08">
            <w:pPr>
              <w:pStyle w:val="Tabletext"/>
              <w:keepNext/>
              <w:keepLines/>
              <w:jc w:val="center"/>
              <w:rPr>
                <w:szCs w:val="20"/>
              </w:rPr>
            </w:pPr>
            <w:r w:rsidRPr="00D27BF1">
              <w:rPr>
                <w:szCs w:val="20"/>
              </w:rPr>
              <w:t>NR</w:t>
            </w:r>
          </w:p>
        </w:tc>
        <w:tc>
          <w:tcPr>
            <w:tcW w:w="800" w:type="dxa"/>
            <w:vAlign w:val="center"/>
          </w:tcPr>
          <w:p w14:paraId="14B08B31" w14:textId="77777777" w:rsidR="00A40A08" w:rsidRPr="00D27BF1" w:rsidRDefault="00A40A08" w:rsidP="00A40A08">
            <w:pPr>
              <w:pStyle w:val="Tabletext"/>
              <w:keepNext/>
              <w:keepLines/>
              <w:jc w:val="center"/>
              <w:rPr>
                <w:szCs w:val="20"/>
              </w:rPr>
            </w:pPr>
            <w:r w:rsidRPr="00D27BF1">
              <w:rPr>
                <w:szCs w:val="20"/>
              </w:rPr>
              <w:t>NR</w:t>
            </w:r>
          </w:p>
        </w:tc>
      </w:tr>
      <w:tr w:rsidR="007C17E4" w:rsidRPr="00D27BF1" w14:paraId="5E652D15" w14:textId="77777777" w:rsidTr="007C17E4">
        <w:tc>
          <w:tcPr>
            <w:tcW w:w="2405" w:type="dxa"/>
            <w:shd w:val="clear" w:color="auto" w:fill="auto"/>
            <w:vAlign w:val="center"/>
          </w:tcPr>
          <w:p w14:paraId="3959A822" w14:textId="77777777" w:rsidR="00A40A08" w:rsidRPr="00D27BF1" w:rsidRDefault="00A40A08" w:rsidP="00A40A08">
            <w:pPr>
              <w:pStyle w:val="Tabletext"/>
              <w:keepNext/>
              <w:keepLines/>
              <w:rPr>
                <w:szCs w:val="20"/>
              </w:rPr>
            </w:pPr>
            <w:r w:rsidRPr="00D27BF1">
              <w:rPr>
                <w:szCs w:val="20"/>
              </w:rPr>
              <w:t xml:space="preserve">Total exacerbations </w:t>
            </w:r>
          </w:p>
        </w:tc>
        <w:tc>
          <w:tcPr>
            <w:tcW w:w="1134" w:type="dxa"/>
            <w:shd w:val="clear" w:color="auto" w:fill="auto"/>
            <w:vAlign w:val="center"/>
          </w:tcPr>
          <w:p w14:paraId="3F93ED9A" w14:textId="77777777" w:rsidR="00A40A08" w:rsidRPr="00D27BF1" w:rsidRDefault="00A40A08" w:rsidP="00A40A08">
            <w:pPr>
              <w:pStyle w:val="Tabletext"/>
              <w:keepNext/>
              <w:keepLines/>
              <w:jc w:val="center"/>
              <w:rPr>
                <w:szCs w:val="20"/>
              </w:rPr>
            </w:pPr>
            <w:r w:rsidRPr="00D27BF1">
              <w:rPr>
                <w:szCs w:val="20"/>
              </w:rPr>
              <w:t>20</w:t>
            </w:r>
          </w:p>
        </w:tc>
        <w:tc>
          <w:tcPr>
            <w:tcW w:w="1134" w:type="dxa"/>
            <w:shd w:val="clear" w:color="auto" w:fill="auto"/>
            <w:vAlign w:val="center"/>
          </w:tcPr>
          <w:p w14:paraId="290F1133" w14:textId="77777777" w:rsidR="00A40A08" w:rsidRPr="00D27BF1" w:rsidRDefault="00A40A08" w:rsidP="00A40A08">
            <w:pPr>
              <w:pStyle w:val="Tabletext"/>
              <w:keepNext/>
              <w:keepLines/>
              <w:jc w:val="center"/>
              <w:rPr>
                <w:szCs w:val="20"/>
              </w:rPr>
            </w:pPr>
            <w:r w:rsidRPr="00D27BF1">
              <w:rPr>
                <w:szCs w:val="20"/>
              </w:rPr>
              <w:t>6</w:t>
            </w:r>
          </w:p>
        </w:tc>
        <w:tc>
          <w:tcPr>
            <w:tcW w:w="1418" w:type="dxa"/>
            <w:vAlign w:val="center"/>
          </w:tcPr>
          <w:p w14:paraId="4213ACB7" w14:textId="77777777" w:rsidR="00A40A08" w:rsidRPr="00D27BF1" w:rsidRDefault="00A40A08" w:rsidP="00A40A08">
            <w:pPr>
              <w:pStyle w:val="Tabletext"/>
              <w:keepNext/>
              <w:keepLines/>
              <w:jc w:val="center"/>
              <w:rPr>
                <w:szCs w:val="20"/>
              </w:rPr>
            </w:pPr>
            <w:r w:rsidRPr="00D27BF1">
              <w:rPr>
                <w:szCs w:val="20"/>
              </w:rPr>
              <w:t>NR</w:t>
            </w:r>
          </w:p>
        </w:tc>
        <w:tc>
          <w:tcPr>
            <w:tcW w:w="1134" w:type="dxa"/>
            <w:vAlign w:val="center"/>
          </w:tcPr>
          <w:p w14:paraId="07D5C47F" w14:textId="77777777" w:rsidR="00A40A08" w:rsidRPr="00D27BF1" w:rsidRDefault="00A40A08" w:rsidP="00A40A08">
            <w:pPr>
              <w:pStyle w:val="Tabletext"/>
              <w:keepNext/>
              <w:keepLines/>
              <w:jc w:val="center"/>
              <w:rPr>
                <w:szCs w:val="20"/>
              </w:rPr>
            </w:pPr>
            <w:r w:rsidRPr="00D27BF1">
              <w:rPr>
                <w:szCs w:val="20"/>
              </w:rPr>
              <w:t>NR</w:t>
            </w:r>
          </w:p>
        </w:tc>
        <w:tc>
          <w:tcPr>
            <w:tcW w:w="992" w:type="dxa"/>
            <w:vAlign w:val="center"/>
          </w:tcPr>
          <w:p w14:paraId="2EDFF1B6" w14:textId="77777777" w:rsidR="00A40A08" w:rsidRPr="00D27BF1" w:rsidRDefault="00A40A08" w:rsidP="00A40A08">
            <w:pPr>
              <w:pStyle w:val="Tabletext"/>
              <w:keepNext/>
              <w:keepLines/>
              <w:jc w:val="center"/>
              <w:rPr>
                <w:szCs w:val="20"/>
              </w:rPr>
            </w:pPr>
            <w:r w:rsidRPr="00D27BF1">
              <w:rPr>
                <w:szCs w:val="20"/>
              </w:rPr>
              <w:t>NR</w:t>
            </w:r>
          </w:p>
        </w:tc>
        <w:tc>
          <w:tcPr>
            <w:tcW w:w="800" w:type="dxa"/>
            <w:vAlign w:val="center"/>
          </w:tcPr>
          <w:p w14:paraId="6048A816" w14:textId="77777777" w:rsidR="00A40A08" w:rsidRPr="00D27BF1" w:rsidRDefault="00A40A08" w:rsidP="00A40A08">
            <w:pPr>
              <w:pStyle w:val="Tabletext"/>
              <w:keepNext/>
              <w:keepLines/>
              <w:jc w:val="center"/>
              <w:rPr>
                <w:szCs w:val="20"/>
              </w:rPr>
            </w:pPr>
            <w:r w:rsidRPr="00D27BF1">
              <w:rPr>
                <w:szCs w:val="20"/>
              </w:rPr>
              <w:t>NR</w:t>
            </w:r>
          </w:p>
        </w:tc>
      </w:tr>
      <w:tr w:rsidR="007C17E4" w:rsidRPr="00D27BF1" w14:paraId="13671C6B" w14:textId="77777777" w:rsidTr="007C17E4">
        <w:tc>
          <w:tcPr>
            <w:tcW w:w="2405" w:type="dxa"/>
            <w:vAlign w:val="center"/>
          </w:tcPr>
          <w:p w14:paraId="6A7F5757" w14:textId="77777777" w:rsidR="00A40A08" w:rsidRPr="00D27BF1" w:rsidRDefault="00A40A08" w:rsidP="00A40A08">
            <w:pPr>
              <w:pStyle w:val="Tabletext"/>
              <w:keepNext/>
              <w:keepLines/>
              <w:rPr>
                <w:szCs w:val="20"/>
              </w:rPr>
            </w:pPr>
            <w:r w:rsidRPr="00D27BF1">
              <w:rPr>
                <w:szCs w:val="20"/>
              </w:rPr>
              <w:t>Exacerbation rate/year (95% CI)</w:t>
            </w:r>
          </w:p>
        </w:tc>
        <w:tc>
          <w:tcPr>
            <w:tcW w:w="1134" w:type="dxa"/>
            <w:shd w:val="clear" w:color="auto" w:fill="auto"/>
            <w:vAlign w:val="center"/>
          </w:tcPr>
          <w:p w14:paraId="3246A735" w14:textId="77777777" w:rsidR="00A40A08" w:rsidRPr="00D27BF1" w:rsidRDefault="00A40A08" w:rsidP="00A40A08">
            <w:pPr>
              <w:pStyle w:val="Tabletext"/>
              <w:keepNext/>
              <w:keepLines/>
              <w:jc w:val="center"/>
              <w:rPr>
                <w:szCs w:val="20"/>
              </w:rPr>
            </w:pPr>
            <w:r w:rsidRPr="00D27BF1">
              <w:rPr>
                <w:szCs w:val="20"/>
              </w:rPr>
              <w:t>0.15</w:t>
            </w:r>
          </w:p>
          <w:p w14:paraId="5B8966BB" w14:textId="77777777" w:rsidR="00A40A08" w:rsidRPr="00D27BF1" w:rsidRDefault="00A40A08" w:rsidP="00A40A08">
            <w:pPr>
              <w:pStyle w:val="Tabletext"/>
              <w:keepNext/>
              <w:keepLines/>
              <w:jc w:val="center"/>
              <w:rPr>
                <w:szCs w:val="20"/>
              </w:rPr>
            </w:pPr>
            <w:r w:rsidRPr="00D27BF1">
              <w:rPr>
                <w:szCs w:val="20"/>
              </w:rPr>
              <w:t>(0.08, 0.26)</w:t>
            </w:r>
          </w:p>
        </w:tc>
        <w:tc>
          <w:tcPr>
            <w:tcW w:w="1134" w:type="dxa"/>
            <w:shd w:val="clear" w:color="auto" w:fill="auto"/>
            <w:vAlign w:val="center"/>
          </w:tcPr>
          <w:p w14:paraId="413702E7" w14:textId="77777777" w:rsidR="00A40A08" w:rsidRPr="00D27BF1" w:rsidRDefault="00A40A08" w:rsidP="00A40A08">
            <w:pPr>
              <w:pStyle w:val="Tabletext"/>
              <w:keepNext/>
              <w:keepLines/>
              <w:jc w:val="center"/>
              <w:rPr>
                <w:szCs w:val="20"/>
              </w:rPr>
            </w:pPr>
            <w:r w:rsidRPr="00D27BF1">
              <w:rPr>
                <w:szCs w:val="20"/>
              </w:rPr>
              <w:t>0.05</w:t>
            </w:r>
          </w:p>
          <w:p w14:paraId="76773221" w14:textId="77777777" w:rsidR="00A40A08" w:rsidRPr="00D27BF1" w:rsidRDefault="00A40A08" w:rsidP="00A40A08">
            <w:pPr>
              <w:pStyle w:val="Tabletext"/>
              <w:keepNext/>
              <w:keepLines/>
              <w:jc w:val="center"/>
              <w:rPr>
                <w:szCs w:val="20"/>
              </w:rPr>
            </w:pPr>
            <w:r w:rsidRPr="00D27BF1">
              <w:rPr>
                <w:szCs w:val="20"/>
              </w:rPr>
              <w:t>(0.02,0.12)</w:t>
            </w:r>
          </w:p>
        </w:tc>
        <w:tc>
          <w:tcPr>
            <w:tcW w:w="1418" w:type="dxa"/>
            <w:vAlign w:val="center"/>
          </w:tcPr>
          <w:p w14:paraId="55CB1080" w14:textId="77777777" w:rsidR="00A40A08" w:rsidRPr="00D27BF1" w:rsidRDefault="00A40A08" w:rsidP="00A40A08">
            <w:pPr>
              <w:pStyle w:val="Tabletext"/>
              <w:keepNext/>
              <w:keepLines/>
              <w:jc w:val="center"/>
              <w:rPr>
                <w:szCs w:val="20"/>
                <w:vertAlign w:val="superscript"/>
              </w:rPr>
            </w:pPr>
            <w:r w:rsidRPr="00D27BF1">
              <w:rPr>
                <w:b/>
                <w:bCs/>
                <w:szCs w:val="20"/>
              </w:rPr>
              <w:t>0.33 (0.12, 0.95)</w:t>
            </w:r>
            <w:r w:rsidRPr="00D27BF1">
              <w:rPr>
                <w:szCs w:val="20"/>
              </w:rPr>
              <w:t xml:space="preserve"> </w:t>
            </w:r>
            <w:r w:rsidR="00E905C0" w:rsidRPr="00D27BF1">
              <w:rPr>
                <w:szCs w:val="20"/>
                <w:vertAlign w:val="superscript"/>
              </w:rPr>
              <w:t>h</w:t>
            </w:r>
          </w:p>
        </w:tc>
        <w:tc>
          <w:tcPr>
            <w:tcW w:w="1134" w:type="dxa"/>
            <w:vAlign w:val="center"/>
          </w:tcPr>
          <w:p w14:paraId="6A44E9B8" w14:textId="77777777" w:rsidR="00A40A08" w:rsidRPr="00D27BF1" w:rsidRDefault="00A40A08" w:rsidP="00A40A08">
            <w:pPr>
              <w:pStyle w:val="Tabletext"/>
              <w:keepNext/>
              <w:keepLines/>
              <w:jc w:val="center"/>
              <w:rPr>
                <w:szCs w:val="20"/>
              </w:rPr>
            </w:pPr>
            <w:r w:rsidRPr="00D27BF1">
              <w:rPr>
                <w:szCs w:val="20"/>
              </w:rPr>
              <w:t>NR</w:t>
            </w:r>
          </w:p>
        </w:tc>
        <w:tc>
          <w:tcPr>
            <w:tcW w:w="992" w:type="dxa"/>
            <w:vAlign w:val="center"/>
          </w:tcPr>
          <w:p w14:paraId="70C73545" w14:textId="77777777" w:rsidR="00A40A08" w:rsidRPr="00D27BF1" w:rsidRDefault="00A40A08" w:rsidP="00A40A08">
            <w:pPr>
              <w:pStyle w:val="Tabletext"/>
              <w:keepNext/>
              <w:keepLines/>
              <w:jc w:val="center"/>
              <w:rPr>
                <w:szCs w:val="20"/>
              </w:rPr>
            </w:pPr>
            <w:r w:rsidRPr="00D27BF1">
              <w:rPr>
                <w:szCs w:val="20"/>
              </w:rPr>
              <w:t>NR</w:t>
            </w:r>
          </w:p>
        </w:tc>
        <w:tc>
          <w:tcPr>
            <w:tcW w:w="800" w:type="dxa"/>
            <w:vAlign w:val="center"/>
          </w:tcPr>
          <w:p w14:paraId="25539AD1" w14:textId="77777777" w:rsidR="00A40A08" w:rsidRPr="00D27BF1" w:rsidRDefault="00A40A08" w:rsidP="00A40A08">
            <w:pPr>
              <w:pStyle w:val="Tabletext"/>
              <w:keepNext/>
              <w:keepLines/>
              <w:jc w:val="center"/>
              <w:rPr>
                <w:szCs w:val="20"/>
              </w:rPr>
            </w:pPr>
            <w:r w:rsidRPr="00D27BF1">
              <w:rPr>
                <w:szCs w:val="20"/>
              </w:rPr>
              <w:t>NR</w:t>
            </w:r>
          </w:p>
        </w:tc>
      </w:tr>
    </w:tbl>
    <w:p w14:paraId="75B9FC33" w14:textId="77777777" w:rsidR="00A40A08" w:rsidRPr="00D27BF1" w:rsidRDefault="00A40A08" w:rsidP="00A40A08">
      <w:pPr>
        <w:pStyle w:val="TableFooter"/>
        <w:keepNext/>
        <w:keepLines/>
      </w:pPr>
      <w:r w:rsidRPr="00D27BF1">
        <w:t xml:space="preserve">Source: Table 2-31, 2-35, 2-37, 2-39, pp 81, 85, 87-89 of the submission; </w:t>
      </w:r>
    </w:p>
    <w:p w14:paraId="7B0D2DBB" w14:textId="77777777" w:rsidR="00A40A08" w:rsidRPr="00D27BF1" w:rsidRDefault="00E905C0" w:rsidP="00A40A08">
      <w:pPr>
        <w:pStyle w:val="TableFooter"/>
        <w:keepNext/>
        <w:keepLines/>
      </w:pPr>
      <w:r w:rsidRPr="00D27BF1">
        <w:t>a</w:t>
      </w:r>
      <w:r w:rsidR="00A40A08" w:rsidRPr="00D27BF1">
        <w:t>. Kaplan-Meier estimate</w:t>
      </w:r>
    </w:p>
    <w:p w14:paraId="43A04CDA" w14:textId="77777777" w:rsidR="00A40A08" w:rsidRPr="00D27BF1" w:rsidRDefault="00E905C0" w:rsidP="00A40A08">
      <w:pPr>
        <w:pStyle w:val="TableFooter"/>
        <w:keepNext/>
        <w:keepLines/>
      </w:pPr>
      <w:r w:rsidRPr="00D27BF1">
        <w:t>b</w:t>
      </w:r>
      <w:r w:rsidR="00A40A08" w:rsidRPr="00D27BF1">
        <w:t>. Difference refers to the hazard ratio. Estimated from a Cox Proportional Hazards Model with covariates of treatment group, geographic region, baseline total endoscopic score (centrally read), baseline nasal obstruction VAS, log(e) baseline blood eosinophil count and number of previous surgeries (1, 2, &gt;2 as ordinal).</w:t>
      </w:r>
    </w:p>
    <w:p w14:paraId="77B13304" w14:textId="77777777" w:rsidR="00A40A08" w:rsidRPr="00D27BF1" w:rsidRDefault="00E905C0" w:rsidP="00A40A08">
      <w:pPr>
        <w:pStyle w:val="TableFooter"/>
        <w:keepNext/>
        <w:keepLines/>
      </w:pPr>
      <w:r w:rsidRPr="00D27BF1">
        <w:t>c</w:t>
      </w:r>
      <w:r w:rsidR="00A40A08" w:rsidRPr="00D27BF1">
        <w:t xml:space="preserve"> There should be 106 non-responders (201 total – 95 responders in 24 weeks) for ITT and 99 non-responders (185 total – 86 responders at 24 weeks) for BEC≥150 cells/µL, it was unclear how missing data was treated.</w:t>
      </w:r>
    </w:p>
    <w:p w14:paraId="63FF08E7" w14:textId="77777777" w:rsidR="00A40A08" w:rsidRPr="00D27BF1" w:rsidRDefault="00E905C0" w:rsidP="00A40A08">
      <w:pPr>
        <w:pStyle w:val="TableFooter"/>
        <w:keepNext/>
        <w:keepLines/>
      </w:pPr>
      <w:r w:rsidRPr="00D27BF1">
        <w:t>d</w:t>
      </w:r>
      <w:r w:rsidR="00A40A08" w:rsidRPr="00D27BF1">
        <w:t>. Courses of systemic steroids separated by &lt;7 days were considered a continuation of the same course.</w:t>
      </w:r>
    </w:p>
    <w:p w14:paraId="4A0567D9" w14:textId="77777777" w:rsidR="00A40A08" w:rsidRPr="00D27BF1" w:rsidRDefault="00E905C0" w:rsidP="00A40A08">
      <w:pPr>
        <w:pStyle w:val="TableFooter"/>
        <w:keepNext/>
        <w:keepLines/>
      </w:pPr>
      <w:r w:rsidRPr="00D27BF1">
        <w:t>e</w:t>
      </w:r>
      <w:r w:rsidR="00A40A08" w:rsidRPr="00D27BF1">
        <w:t>. Difference refers to the odds ratio. Analysis using logistic regression model with covariates of treatment group, geographic region, number of OCS courses for NP in last 12 months (0, 1, &gt;1 as ordinal), baseline total endoscopic score (centrally read), baseline nasal obstruction VAS score and log(e) baseline blood eosinophil count.</w:t>
      </w:r>
    </w:p>
    <w:p w14:paraId="4C6DD92E" w14:textId="77777777" w:rsidR="00A40A08" w:rsidRPr="00D27BF1" w:rsidRDefault="00E905C0" w:rsidP="00A40A08">
      <w:pPr>
        <w:pStyle w:val="TableFooter"/>
        <w:keepNext/>
        <w:keepLines/>
      </w:pPr>
      <w:r w:rsidRPr="00D27BF1">
        <w:t>f</w:t>
      </w:r>
      <w:r w:rsidR="00A40A08" w:rsidRPr="00D27BF1">
        <w:t>. Defined as a participants with a ≥8.9-point improvement (decrease) from baseline in SNOT-22 total score in the absence of surgery/sinuplasty prior to that visit. Difference refers to odds ratio. Analysis performed using a logistic regression model with covariates of treatment group, geographic region, baseline score and log(e) baseline blood eosinophil count. 1 Mepolizumab and 3 Placebo participants with missing baseline score were excluded from the analysis.</w:t>
      </w:r>
    </w:p>
    <w:p w14:paraId="2D31A263" w14:textId="77777777" w:rsidR="00A40A08" w:rsidRPr="00D27BF1" w:rsidRDefault="00E905C0" w:rsidP="00A40A08">
      <w:pPr>
        <w:pStyle w:val="TableFooter"/>
        <w:keepNext/>
        <w:keepLines/>
      </w:pPr>
      <w:r w:rsidRPr="00D27BF1">
        <w:t>g</w:t>
      </w:r>
      <w:r w:rsidR="00A40A08" w:rsidRPr="00D27BF1">
        <w:t>. An asthma exacerbation is defined as worsening of asthma requiring systemic corticosteroids (i.v. or oral steroid) for at least 3 days or a single IM CS dose and/or emergency department visit, or hospitalization. The denominator of percentages is the number of subjects with concurrent asthma.</w:t>
      </w:r>
    </w:p>
    <w:p w14:paraId="642F8049" w14:textId="77777777" w:rsidR="00A40A08" w:rsidRPr="00D27BF1" w:rsidRDefault="00E905C0" w:rsidP="00A40A08">
      <w:pPr>
        <w:pStyle w:val="TableFooter"/>
        <w:keepNext/>
        <w:keepLines/>
      </w:pPr>
      <w:r w:rsidRPr="00D27BF1">
        <w:t>h</w:t>
      </w:r>
      <w:r w:rsidR="00A40A08" w:rsidRPr="00D27BF1">
        <w:t>. Difference refers to rate ratio. Estimated from a negative binomial model with covariates of treatment group, geographic region, log(e) baseline blood eosinophil count and number of exacerbations in the previous year (0, 1, &gt;=2 as ordinal), and with logarithm of time (year) on-study up to Week 52 as an offset variable.</w:t>
      </w:r>
    </w:p>
    <w:p w14:paraId="0D5965F0" w14:textId="77777777" w:rsidR="00E905C0" w:rsidRPr="00D27BF1" w:rsidRDefault="00E905C0" w:rsidP="00E905C0">
      <w:pPr>
        <w:pStyle w:val="TableFooter"/>
        <w:keepNext/>
        <w:keepLines/>
      </w:pPr>
      <w:r w:rsidRPr="00D27BF1">
        <w:rPr>
          <w:szCs w:val="18"/>
        </w:rPr>
        <w:t>Values in bold indicate statistical significant differences, values in italics indicate values extracted during evaluation</w:t>
      </w:r>
    </w:p>
    <w:p w14:paraId="39A84D81" w14:textId="77777777" w:rsidR="00A40A08" w:rsidRPr="00D27BF1" w:rsidRDefault="00A40A08" w:rsidP="00DE531D">
      <w:pPr>
        <w:widowControl/>
      </w:pPr>
    </w:p>
    <w:p w14:paraId="08B212E0" w14:textId="12B04112" w:rsidR="006B2DCB" w:rsidRPr="0057459B" w:rsidRDefault="00897C13" w:rsidP="00B313EF">
      <w:pPr>
        <w:pStyle w:val="ListParagraph"/>
        <w:widowControl/>
        <w:numPr>
          <w:ilvl w:val="1"/>
          <w:numId w:val="2"/>
        </w:numPr>
        <w:rPr>
          <w:rFonts w:cs="Calibri"/>
          <w:snapToGrid/>
          <w:szCs w:val="24"/>
          <w:lang w:eastAsia="en-AU"/>
        </w:rPr>
      </w:pPr>
      <w:r w:rsidRPr="00D27BF1">
        <w:rPr>
          <w:rFonts w:cs="Calibri"/>
          <w:snapToGrid/>
          <w:szCs w:val="24"/>
          <w:lang w:eastAsia="en-AU"/>
        </w:rPr>
        <w:t>In the ITT population, a</w:t>
      </w:r>
      <w:r w:rsidR="006B2DCB" w:rsidRPr="00D27BF1">
        <w:rPr>
          <w:rFonts w:cs="Calibri"/>
          <w:snapToGrid/>
          <w:szCs w:val="24"/>
          <w:lang w:eastAsia="en-AU"/>
        </w:rPr>
        <w:t xml:space="preserve">t the end of the 52-week treatment period, a greater proportion of </w:t>
      </w:r>
      <w:r w:rsidRPr="00D27BF1">
        <w:rPr>
          <w:rFonts w:cs="Calibri"/>
          <w:snapToGrid/>
          <w:szCs w:val="24"/>
          <w:lang w:eastAsia="en-AU"/>
        </w:rPr>
        <w:t xml:space="preserve">patients randomized to </w:t>
      </w:r>
      <w:r w:rsidR="006B2DCB" w:rsidRPr="00D27BF1">
        <w:rPr>
          <w:rFonts w:cs="Calibri"/>
          <w:snapToGrid/>
          <w:szCs w:val="24"/>
          <w:lang w:eastAsia="en-AU"/>
        </w:rPr>
        <w:t xml:space="preserve">mepolizumab </w:t>
      </w:r>
      <w:r w:rsidRPr="00D27BF1">
        <w:rPr>
          <w:rFonts w:cs="Calibri"/>
          <w:snapToGrid/>
          <w:szCs w:val="24"/>
          <w:lang w:eastAsia="en-AU"/>
        </w:rPr>
        <w:t xml:space="preserve">compared to </w:t>
      </w:r>
      <w:r w:rsidR="00B13318" w:rsidRPr="00D27BF1">
        <w:rPr>
          <w:rFonts w:cs="Calibri"/>
          <w:snapToGrid/>
          <w:szCs w:val="24"/>
          <w:lang w:eastAsia="en-AU"/>
        </w:rPr>
        <w:t xml:space="preserve">patients randomized to </w:t>
      </w:r>
      <w:r w:rsidR="006B2DCB" w:rsidRPr="00D27BF1">
        <w:rPr>
          <w:rFonts w:cs="Calibri"/>
          <w:snapToGrid/>
          <w:szCs w:val="24"/>
          <w:lang w:eastAsia="en-AU"/>
        </w:rPr>
        <w:t xml:space="preserve">placebo demonstrated a ≥1-point improvement </w:t>
      </w:r>
      <w:r w:rsidRPr="00D27BF1">
        <w:rPr>
          <w:rFonts w:cs="Calibri"/>
          <w:snapToGrid/>
          <w:szCs w:val="24"/>
          <w:lang w:eastAsia="en-AU"/>
        </w:rPr>
        <w:t xml:space="preserve">from baseline </w:t>
      </w:r>
      <w:r w:rsidR="006B2DCB" w:rsidRPr="00D27BF1">
        <w:rPr>
          <w:rFonts w:cs="Calibri"/>
          <w:snapToGrid/>
          <w:szCs w:val="24"/>
          <w:lang w:eastAsia="en-AU"/>
        </w:rPr>
        <w:t>(responder status, as defined by the submission) in their total ENP score (50%</w:t>
      </w:r>
      <w:r w:rsidR="00CF2E6A">
        <w:rPr>
          <w:rFonts w:cs="Calibri"/>
          <w:snapToGrid/>
          <w:szCs w:val="24"/>
          <w:lang w:eastAsia="en-AU"/>
        </w:rPr>
        <w:t> </w:t>
      </w:r>
      <w:r w:rsidR="006B2DCB" w:rsidRPr="00D27BF1">
        <w:rPr>
          <w:rFonts w:cs="Calibri"/>
          <w:snapToGrid/>
          <w:szCs w:val="24"/>
          <w:lang w:eastAsia="en-AU"/>
        </w:rPr>
        <w:t xml:space="preserve">compared with 28%, respectively). </w:t>
      </w:r>
      <w:r w:rsidR="001F615B" w:rsidRPr="00D27BF1">
        <w:rPr>
          <w:rFonts w:cs="Calibri"/>
          <w:snapToGrid/>
          <w:szCs w:val="24"/>
          <w:lang w:eastAsia="en-AU"/>
        </w:rPr>
        <w:t xml:space="preserve">Though a greater proportion of patients treated with mepolizumab experienced improvement, it was noted that 50% of patients experienced no change or worsening of symptoms and were thus classified as non-responders. </w:t>
      </w:r>
      <w:r w:rsidR="006B2DCB" w:rsidRPr="00D27BF1">
        <w:rPr>
          <w:rFonts w:cs="Calibri"/>
          <w:snapToGrid/>
          <w:szCs w:val="24"/>
          <w:lang w:eastAsia="en-AU"/>
        </w:rPr>
        <w:t>While the median change from baseline to Week 52 total ENP score for patients treated with mepolizumab was -1.0 and met the MCID, 102/206</w:t>
      </w:r>
      <w:r w:rsidR="00CF2E6A">
        <w:rPr>
          <w:rFonts w:cs="Calibri"/>
          <w:snapToGrid/>
          <w:szCs w:val="24"/>
          <w:lang w:eastAsia="en-AU"/>
        </w:rPr>
        <w:t> </w:t>
      </w:r>
      <w:r w:rsidR="006B2DCB" w:rsidRPr="00D27BF1">
        <w:rPr>
          <w:rFonts w:cs="Calibri"/>
          <w:snapToGrid/>
          <w:szCs w:val="24"/>
          <w:lang w:eastAsia="en-AU"/>
        </w:rPr>
        <w:t>patients were non-responders and the median change from baseline was very close to zero or no change (i.e. if two more patients reported no change or worsening the median in the mepolizumab arm would be zero).</w:t>
      </w:r>
      <w:r w:rsidR="009640C1" w:rsidRPr="00D27BF1">
        <w:rPr>
          <w:rFonts w:cs="Calibri"/>
          <w:snapToGrid/>
          <w:szCs w:val="24"/>
          <w:lang w:eastAsia="en-AU"/>
        </w:rPr>
        <w:t xml:space="preserve"> </w:t>
      </w:r>
      <w:r w:rsidR="00B13318" w:rsidRPr="00D27BF1">
        <w:rPr>
          <w:rFonts w:cs="Calibri"/>
          <w:snapToGrid/>
          <w:szCs w:val="24"/>
          <w:lang w:eastAsia="en-AU"/>
        </w:rPr>
        <w:t>It was unclear wh</w:t>
      </w:r>
      <w:r w:rsidR="00770BBC" w:rsidRPr="00D27BF1">
        <w:rPr>
          <w:rFonts w:cs="Calibri"/>
          <w:snapToGrid/>
          <w:szCs w:val="24"/>
          <w:lang w:eastAsia="en-AU"/>
        </w:rPr>
        <w:t>y</w:t>
      </w:r>
      <w:r w:rsidR="00B13318" w:rsidRPr="00D27BF1">
        <w:rPr>
          <w:rFonts w:cs="Calibri"/>
          <w:snapToGrid/>
          <w:szCs w:val="24"/>
          <w:lang w:eastAsia="en-AU"/>
        </w:rPr>
        <w:t xml:space="preserve"> median and not mean results were used. </w:t>
      </w:r>
      <w:r w:rsidR="009640C1" w:rsidRPr="00D27BF1">
        <w:rPr>
          <w:rFonts w:cs="Calibri"/>
          <w:snapToGrid/>
          <w:szCs w:val="24"/>
          <w:lang w:eastAsia="en-AU"/>
        </w:rPr>
        <w:t>Based on the point estimates for mean change from baseline the unadjusted difference in mean change between the two</w:t>
      </w:r>
      <w:r w:rsidR="00CF2E6A">
        <w:rPr>
          <w:rFonts w:cs="Calibri"/>
          <w:snapToGrid/>
          <w:szCs w:val="24"/>
          <w:lang w:eastAsia="en-AU"/>
        </w:rPr>
        <w:t> </w:t>
      </w:r>
      <w:r w:rsidR="009640C1" w:rsidRPr="00D27BF1">
        <w:rPr>
          <w:rFonts w:cs="Calibri"/>
          <w:snapToGrid/>
          <w:szCs w:val="24"/>
          <w:lang w:eastAsia="en-AU"/>
        </w:rPr>
        <w:t>treatment groups was -0.8 (-0.1 in placebo and -0.9 in mepolizumab), which would not meet the proposed MCID of ≥1.0 point change.</w:t>
      </w:r>
      <w:r w:rsidR="00682DB9" w:rsidRPr="00D27BF1">
        <w:rPr>
          <w:rFonts w:cs="Calibri"/>
          <w:snapToGrid/>
          <w:szCs w:val="24"/>
          <w:lang w:eastAsia="en-AU"/>
        </w:rPr>
        <w:t xml:space="preserve"> </w:t>
      </w:r>
      <w:r w:rsidR="00682DB9" w:rsidRPr="0057459B">
        <w:rPr>
          <w:rFonts w:cs="Calibri"/>
          <w:snapToGrid/>
          <w:szCs w:val="24"/>
          <w:lang w:eastAsia="en-AU"/>
        </w:rPr>
        <w:t>The PSCR presented a post hoc analysis of the mean change from baseline in which patients with nasal surgery prior to the visit/time period were assigned the worst possible score and a mixed model repeated measures with covariates of treatment group, geographic region, baseline score and log</w:t>
      </w:r>
      <w:r w:rsidR="00482707" w:rsidRPr="0057459B">
        <w:rPr>
          <w:rFonts w:cs="Calibri"/>
          <w:snapToGrid/>
          <w:szCs w:val="24"/>
          <w:lang w:eastAsia="en-AU"/>
        </w:rPr>
        <w:t>(e)</w:t>
      </w:r>
      <w:r w:rsidR="00682DB9" w:rsidRPr="0057459B">
        <w:rPr>
          <w:rFonts w:cs="Calibri"/>
          <w:snapToGrid/>
          <w:szCs w:val="24"/>
          <w:lang w:eastAsia="en-AU"/>
        </w:rPr>
        <w:t xml:space="preserve"> baseline blood eosinophil count, visit/time period, interaction terms for visit/time period by baseline and visit/time period by treatment was used, resulting in a mean change from baseline at week 52 of 0.98 for the mepolizumab group. Th</w:t>
      </w:r>
      <w:r w:rsidR="00AC545F" w:rsidRPr="0057459B">
        <w:rPr>
          <w:rFonts w:cs="Calibri"/>
          <w:snapToGrid/>
          <w:szCs w:val="24"/>
          <w:lang w:eastAsia="en-AU"/>
        </w:rPr>
        <w:t xml:space="preserve">e ESC considered that while </w:t>
      </w:r>
      <w:r w:rsidR="00682DB9" w:rsidRPr="0057459B">
        <w:rPr>
          <w:rFonts w:cs="Calibri"/>
          <w:snapToGrid/>
          <w:szCs w:val="24"/>
          <w:lang w:eastAsia="en-AU"/>
        </w:rPr>
        <w:t>this was closer to meeting the -1.0 MCID,</w:t>
      </w:r>
      <w:r w:rsidR="00AC545F" w:rsidRPr="0057459B">
        <w:rPr>
          <w:rFonts w:cs="Calibri"/>
          <w:snapToGrid/>
          <w:szCs w:val="24"/>
          <w:lang w:eastAsia="en-AU"/>
        </w:rPr>
        <w:t xml:space="preserve"> </w:t>
      </w:r>
      <w:r w:rsidR="00682DB9" w:rsidRPr="0057459B">
        <w:rPr>
          <w:rFonts w:cs="Calibri"/>
          <w:snapToGrid/>
          <w:szCs w:val="24"/>
          <w:lang w:eastAsia="en-AU"/>
        </w:rPr>
        <w:t xml:space="preserve">assigning the worst possible scores in the sensitivity analysis </w:t>
      </w:r>
      <w:r w:rsidR="00052A78" w:rsidRPr="0057459B">
        <w:rPr>
          <w:rFonts w:cs="Calibri"/>
          <w:snapToGrid/>
          <w:szCs w:val="24"/>
          <w:lang w:eastAsia="en-AU"/>
        </w:rPr>
        <w:t>may</w:t>
      </w:r>
      <w:r w:rsidR="00682DB9" w:rsidRPr="0057459B">
        <w:rPr>
          <w:rFonts w:cs="Calibri"/>
          <w:snapToGrid/>
          <w:szCs w:val="24"/>
          <w:lang w:eastAsia="en-AU"/>
        </w:rPr>
        <w:t xml:space="preserve"> further bias the result in favour of the arm with less missing data (i.e. mepolizumab).</w:t>
      </w:r>
      <w:r w:rsidR="006B7E28" w:rsidRPr="0057459B">
        <w:rPr>
          <w:rFonts w:cs="Calibri"/>
          <w:snapToGrid/>
          <w:szCs w:val="24"/>
          <w:lang w:eastAsia="en-AU"/>
        </w:rPr>
        <w:t xml:space="preserve"> </w:t>
      </w:r>
    </w:p>
    <w:p w14:paraId="328ADA04" w14:textId="77777777" w:rsidR="005B3DFF" w:rsidRPr="00D27BF1" w:rsidRDefault="00897C13" w:rsidP="00B313EF">
      <w:pPr>
        <w:pStyle w:val="ListParagraph"/>
        <w:widowControl/>
        <w:numPr>
          <w:ilvl w:val="1"/>
          <w:numId w:val="2"/>
        </w:numPr>
      </w:pPr>
      <w:r w:rsidRPr="00D27BF1">
        <w:t>In the ITT population, a</w:t>
      </w:r>
      <w:r w:rsidR="005B3DFF" w:rsidRPr="00D27BF1">
        <w:t xml:space="preserve">t the end of the 52-week treatment period, a greater proportion of </w:t>
      </w:r>
      <w:r w:rsidR="00B13318" w:rsidRPr="00D27BF1">
        <w:t xml:space="preserve">patients randomised to </w:t>
      </w:r>
      <w:r w:rsidR="005B3DFF" w:rsidRPr="00D27BF1">
        <w:t xml:space="preserve">mepolizumab </w:t>
      </w:r>
      <w:r w:rsidRPr="00D27BF1">
        <w:t xml:space="preserve">compared to </w:t>
      </w:r>
      <w:r w:rsidR="005B3DFF" w:rsidRPr="00D27BF1">
        <w:t>placebo demonstrated a &gt;3-point improvement from baseline (decrease) in their NO-VAS score (124 patients (60%) compared to 73 patients (36%) respectively).</w:t>
      </w:r>
      <w:r w:rsidR="001F615B" w:rsidRPr="00D27BF1">
        <w:t xml:space="preserve"> </w:t>
      </w:r>
      <w:r w:rsidR="008E00A7" w:rsidRPr="00D27BF1">
        <w:t xml:space="preserve">It appeared that the definition of responder in the assessment of NO-VAS symptom score was nominated </w:t>
      </w:r>
      <w:r w:rsidR="008E00A7" w:rsidRPr="00D27BF1">
        <w:rPr>
          <w:iCs/>
        </w:rPr>
        <w:t>post hoc</w:t>
      </w:r>
      <w:r w:rsidR="008E00A7" w:rsidRPr="00D27BF1">
        <w:t xml:space="preserve"> by the submission based on the advice from their advisory board. This may have introduced bias with regards to the reliability of the NO-VAS responder results and the total responder analysis. </w:t>
      </w:r>
      <w:r w:rsidR="00FA470A" w:rsidRPr="00D27BF1">
        <w:rPr>
          <w:iCs/>
        </w:rPr>
        <w:t xml:space="preserve">The median change from baseline NO-VAS score </w:t>
      </w:r>
      <w:r w:rsidR="001F0483" w:rsidRPr="00D27BF1">
        <w:rPr>
          <w:iCs/>
        </w:rPr>
        <w:t xml:space="preserve">in the mepolizumab arm </w:t>
      </w:r>
      <w:r w:rsidR="00FA470A" w:rsidRPr="00D27BF1">
        <w:rPr>
          <w:iCs/>
        </w:rPr>
        <w:t>was -4.41 (p&lt;0.0001)</w:t>
      </w:r>
      <w:r w:rsidR="001F0483" w:rsidRPr="00D27BF1">
        <w:rPr>
          <w:iCs/>
        </w:rPr>
        <w:t xml:space="preserve">, and </w:t>
      </w:r>
      <w:r w:rsidR="003575BD" w:rsidRPr="00D27BF1">
        <w:rPr>
          <w:iCs/>
        </w:rPr>
        <w:t xml:space="preserve">the point estimate for the </w:t>
      </w:r>
      <w:r w:rsidR="001F0483" w:rsidRPr="00D27BF1">
        <w:rPr>
          <w:iCs/>
        </w:rPr>
        <w:t xml:space="preserve">adjusted </w:t>
      </w:r>
      <w:r w:rsidR="003575BD" w:rsidRPr="00D27BF1">
        <w:rPr>
          <w:iCs/>
        </w:rPr>
        <w:t xml:space="preserve">median </w:t>
      </w:r>
      <w:r w:rsidR="001F0483" w:rsidRPr="00D27BF1">
        <w:rPr>
          <w:iCs/>
        </w:rPr>
        <w:t xml:space="preserve">difference </w:t>
      </w:r>
      <w:r w:rsidR="00313884" w:rsidRPr="00D27BF1">
        <w:rPr>
          <w:iCs/>
        </w:rPr>
        <w:t xml:space="preserve">between treatment arms </w:t>
      </w:r>
      <w:r w:rsidR="003575BD" w:rsidRPr="00D27BF1">
        <w:rPr>
          <w:iCs/>
        </w:rPr>
        <w:t>was -3.14</w:t>
      </w:r>
      <w:r w:rsidR="00D50620" w:rsidRPr="00D27BF1">
        <w:rPr>
          <w:iCs/>
        </w:rPr>
        <w:t>,</w:t>
      </w:r>
      <w:r w:rsidR="003575BD" w:rsidRPr="00D27BF1">
        <w:rPr>
          <w:iCs/>
        </w:rPr>
        <w:t xml:space="preserve"> </w:t>
      </w:r>
      <w:r w:rsidR="00FA470A" w:rsidRPr="00D27BF1">
        <w:rPr>
          <w:iCs/>
        </w:rPr>
        <w:t xml:space="preserve">which met the specified MCID. </w:t>
      </w:r>
      <w:r w:rsidR="00B13318" w:rsidRPr="00D27BF1">
        <w:rPr>
          <w:rFonts w:cs="Calibri"/>
          <w:snapToGrid/>
          <w:szCs w:val="24"/>
          <w:lang w:eastAsia="en-AU"/>
        </w:rPr>
        <w:t>It was unclear wh</w:t>
      </w:r>
      <w:r w:rsidR="00770BBC" w:rsidRPr="00D27BF1">
        <w:rPr>
          <w:rFonts w:cs="Calibri"/>
          <w:snapToGrid/>
          <w:szCs w:val="24"/>
          <w:lang w:eastAsia="en-AU"/>
        </w:rPr>
        <w:t>y</w:t>
      </w:r>
      <w:r w:rsidR="00B13318" w:rsidRPr="00D27BF1">
        <w:rPr>
          <w:rFonts w:cs="Calibri"/>
          <w:snapToGrid/>
          <w:szCs w:val="24"/>
          <w:lang w:eastAsia="en-AU"/>
        </w:rPr>
        <w:t xml:space="preserve"> median and not mean results were used. </w:t>
      </w:r>
      <w:r w:rsidR="00FA470A" w:rsidRPr="00D27BF1">
        <w:t>Based on the point estimates for mean change from baseline the unadjusted difference in mean change between the two treatment groups was -1.7 (-2.5 in placebo and -4.2 in mepolizumab), which would not meet the proposed MCID of ≥3.0 point change.</w:t>
      </w:r>
      <w:r w:rsidR="00973F4C" w:rsidRPr="00D27BF1">
        <w:t xml:space="preserve"> </w:t>
      </w:r>
    </w:p>
    <w:p w14:paraId="13DA9F9A" w14:textId="77777777" w:rsidR="00973F4C" w:rsidRPr="0057459B" w:rsidRDefault="00510CAB" w:rsidP="00792EAB">
      <w:pPr>
        <w:pStyle w:val="ListParagraph"/>
        <w:widowControl/>
        <w:numPr>
          <w:ilvl w:val="1"/>
          <w:numId w:val="2"/>
        </w:numPr>
      </w:pPr>
      <w:bookmarkStart w:id="17" w:name="_Ref80644850"/>
      <w:r w:rsidRPr="00D27BF1">
        <w:t>Overall, patients tended to perform more favourably in the co-primary outcome of median change from baseline in NO-VAS score (subjective, patient assessed) compared to the co-primary outcome of median change from baseline in total ENP score (objective, clinician assessed)</w:t>
      </w:r>
      <w:r w:rsidR="00770BBC" w:rsidRPr="00D27BF1">
        <w:t>, as</w:t>
      </w:r>
      <w:r w:rsidRPr="00D27BF1">
        <w:t xml:space="preserve"> 60% of patients </w:t>
      </w:r>
      <w:r w:rsidR="00B13318" w:rsidRPr="00D27BF1">
        <w:t xml:space="preserve">randomised to </w:t>
      </w:r>
      <w:r w:rsidRPr="00D27BF1">
        <w:t xml:space="preserve">mepolizumab were considered to be responders via improvement in NO-VAS score, </w:t>
      </w:r>
      <w:r w:rsidR="00770BBC" w:rsidRPr="00D27BF1">
        <w:t xml:space="preserve">compared to </w:t>
      </w:r>
      <w:r w:rsidRPr="00D27BF1">
        <w:t>50% for the total ENP score.</w:t>
      </w:r>
      <w:r w:rsidR="00B13318" w:rsidRPr="00D27BF1">
        <w:t xml:space="preserve"> It was estimated during evaluation that only 82/146 (56.2%) </w:t>
      </w:r>
      <w:r w:rsidR="00B22D0C" w:rsidRPr="00D27BF1">
        <w:t xml:space="preserve">of </w:t>
      </w:r>
      <w:r w:rsidR="00B13318" w:rsidRPr="00D27BF1">
        <w:t xml:space="preserve">responders in the mepolizumab arm and </w:t>
      </w:r>
      <w:r w:rsidR="00B22D0C" w:rsidRPr="00D27BF1">
        <w:t>35/95 (36.8%) of responders in the placebo arm reported response to both ENP and NO-VAS</w:t>
      </w:r>
      <w:r w:rsidR="00770BBC" w:rsidRPr="00D27BF1">
        <w:t xml:space="preserve"> suggesting that the correlation between the two measures may not be high</w:t>
      </w:r>
      <w:r w:rsidR="00B22D0C" w:rsidRPr="00D27BF1">
        <w:t>.</w:t>
      </w:r>
      <w:bookmarkEnd w:id="17"/>
      <w:r w:rsidR="00B22D0C" w:rsidRPr="00D27BF1">
        <w:t xml:space="preserve"> </w:t>
      </w:r>
      <w:r w:rsidR="00AC545F" w:rsidRPr="0057459B">
        <w:t xml:space="preserve">The </w:t>
      </w:r>
      <w:r w:rsidR="00973F4C" w:rsidRPr="0057459B">
        <w:t xml:space="preserve">ESC advised that </w:t>
      </w:r>
      <w:r w:rsidR="00792EAB" w:rsidRPr="0057459B">
        <w:t xml:space="preserve">due to the inflammatory component of CRSwNP </w:t>
      </w:r>
      <w:r w:rsidR="00973F4C" w:rsidRPr="0057459B">
        <w:t>symptomatic improvement can occur without a change in the size of NPs.</w:t>
      </w:r>
      <w:r w:rsidR="006B7E28" w:rsidRPr="0057459B">
        <w:t xml:space="preserve"> </w:t>
      </w:r>
    </w:p>
    <w:p w14:paraId="452989BF" w14:textId="77777777" w:rsidR="00510CAB" w:rsidRPr="00D27BF1" w:rsidRDefault="00510CAB" w:rsidP="00B313EF">
      <w:pPr>
        <w:pStyle w:val="ListParagraph"/>
        <w:widowControl/>
        <w:numPr>
          <w:ilvl w:val="1"/>
          <w:numId w:val="2"/>
        </w:numPr>
      </w:pPr>
      <w:r w:rsidRPr="00D27BF1">
        <w:t>The time to first NP surgery was a key secondary endpoint in SYNAPSE. For time to first nasal surgery up to Week 52, the probability of undergoing surgery at any time prior to Week 52 was statistically significantly lower in the mepolizumab group than for participants in the placebo group (hazard ratio: 0.43, 95% CI: 0.25, 0.76; p=0.003).</w:t>
      </w:r>
      <w:r w:rsidRPr="00D27BF1">
        <w:rPr>
          <w:i/>
        </w:rPr>
        <w:t xml:space="preserve"> </w:t>
      </w:r>
      <w:r w:rsidR="00835B5C" w:rsidRPr="00D27BF1">
        <w:rPr>
          <w:iCs/>
        </w:rPr>
        <w:t>Similarly,</w:t>
      </w:r>
      <w:r w:rsidR="00835B5C" w:rsidRPr="00D27BF1">
        <w:rPr>
          <w:i/>
        </w:rPr>
        <w:t xml:space="preserve"> </w:t>
      </w:r>
      <w:r w:rsidR="00835B5C" w:rsidRPr="00D27BF1">
        <w:rPr>
          <w:rFonts w:cs="Calibri"/>
          <w:snapToGrid/>
          <w:szCs w:val="24"/>
          <w:lang w:eastAsia="en-AU"/>
        </w:rPr>
        <w:t xml:space="preserve">a statistically significant reduction in the mepolizumab arm compared to the placebo arm in the odds of requiring systemic corticosteroid treatment was reported (odds ratio: 0.58, 95% CI: 0.36, 0.92; p=0.020) was reported. </w:t>
      </w:r>
      <w:r w:rsidR="00835B5C" w:rsidRPr="00D27BF1">
        <w:t xml:space="preserve">No </w:t>
      </w:r>
      <w:r w:rsidRPr="00D27BF1">
        <w:t>MCID</w:t>
      </w:r>
      <w:r w:rsidR="00835B5C" w:rsidRPr="00D27BF1">
        <w:t>s</w:t>
      </w:r>
      <w:r w:rsidRPr="00D27BF1">
        <w:t xml:space="preserve"> </w:t>
      </w:r>
      <w:r w:rsidR="00835B5C" w:rsidRPr="00D27BF1">
        <w:t xml:space="preserve">were </w:t>
      </w:r>
      <w:r w:rsidRPr="00D27BF1">
        <w:t>nominated by the submission for th</w:t>
      </w:r>
      <w:r w:rsidR="00835B5C" w:rsidRPr="00D27BF1">
        <w:t>ese</w:t>
      </w:r>
      <w:r w:rsidRPr="00D27BF1">
        <w:t xml:space="preserve"> endpoint</w:t>
      </w:r>
      <w:r w:rsidR="00835B5C" w:rsidRPr="00D27BF1">
        <w:t>s</w:t>
      </w:r>
      <w:r w:rsidRPr="00D27BF1">
        <w:t xml:space="preserve"> and it was unclear whether or not th</w:t>
      </w:r>
      <w:r w:rsidR="00835B5C" w:rsidRPr="00D27BF1">
        <w:t>ese</w:t>
      </w:r>
      <w:r w:rsidRPr="00D27BF1">
        <w:t xml:space="preserve"> difference</w:t>
      </w:r>
      <w:r w:rsidR="00835B5C" w:rsidRPr="00D27BF1">
        <w:t>s</w:t>
      </w:r>
      <w:r w:rsidRPr="00D27BF1">
        <w:t xml:space="preserve"> w</w:t>
      </w:r>
      <w:r w:rsidR="00835B5C" w:rsidRPr="00D27BF1">
        <w:t>ere</w:t>
      </w:r>
      <w:r w:rsidRPr="00D27BF1">
        <w:t xml:space="preserve"> clinically meaningful.</w:t>
      </w:r>
      <w:r w:rsidR="00C476E8">
        <w:t xml:space="preserve"> </w:t>
      </w:r>
    </w:p>
    <w:p w14:paraId="65964411" w14:textId="77777777" w:rsidR="008C1644" w:rsidRPr="00D27BF1" w:rsidRDefault="00E5069F" w:rsidP="00F83872">
      <w:pPr>
        <w:pStyle w:val="ListParagraph"/>
        <w:widowControl/>
        <w:numPr>
          <w:ilvl w:val="1"/>
          <w:numId w:val="2"/>
        </w:numPr>
      </w:pPr>
      <w:r w:rsidRPr="00D27BF1">
        <w:t xml:space="preserve">For the secondary endpoint of the change from baseline in SNOT-22 total score at Week 52, the median change from baseline in the mepolizumab </w:t>
      </w:r>
      <w:r w:rsidR="00835B5C" w:rsidRPr="00D27BF1">
        <w:t xml:space="preserve">arm </w:t>
      </w:r>
      <w:r w:rsidRPr="00D27BF1">
        <w:t xml:space="preserve">was -30.0 compared with -14.0 in the placebo </w:t>
      </w:r>
      <w:r w:rsidR="00835B5C" w:rsidRPr="00D27BF1">
        <w:t>arm</w:t>
      </w:r>
      <w:r w:rsidRPr="00D27BF1">
        <w:t>.</w:t>
      </w:r>
      <w:r w:rsidRPr="00D27BF1">
        <w:rPr>
          <w:i/>
        </w:rPr>
        <w:t xml:space="preserve"> </w:t>
      </w:r>
      <w:r w:rsidRPr="00D27BF1">
        <w:t xml:space="preserve">Notably, both treatment arms met the nominated MCID of ≥8.9 points. </w:t>
      </w:r>
      <w:r w:rsidR="008C1644" w:rsidRPr="00D27BF1">
        <w:rPr>
          <w:iCs/>
        </w:rPr>
        <w:t xml:space="preserve">The submission relied on the mapping </w:t>
      </w:r>
      <w:r w:rsidR="007D00E2" w:rsidRPr="00D27BF1">
        <w:rPr>
          <w:iCs/>
        </w:rPr>
        <w:t xml:space="preserve">of </w:t>
      </w:r>
      <w:r w:rsidR="008C1644" w:rsidRPr="00D27BF1">
        <w:rPr>
          <w:iCs/>
        </w:rPr>
        <w:t xml:space="preserve">the SNOT-22 results from responders and non-responders in SYNAPSE to EQ-5D </w:t>
      </w:r>
      <w:r w:rsidR="00EF3942" w:rsidRPr="00D27BF1">
        <w:rPr>
          <w:iCs/>
        </w:rPr>
        <w:t xml:space="preserve">(using Canadian tariffs) </w:t>
      </w:r>
      <w:r w:rsidR="008C1644" w:rsidRPr="00D27BF1">
        <w:rPr>
          <w:iCs/>
        </w:rPr>
        <w:t xml:space="preserve">to derive the utilities applied in the economic model. </w:t>
      </w:r>
      <w:r w:rsidR="009427AB" w:rsidRPr="00D27BF1">
        <w:rPr>
          <w:iCs/>
        </w:rPr>
        <w:t>With regards to the SF-36, the median change from baseline at Week 52 for the physical and mental component summary scores</w:t>
      </w:r>
      <w:r w:rsidR="00C44CD0" w:rsidRPr="00D27BF1">
        <w:rPr>
          <w:iCs/>
        </w:rPr>
        <w:t xml:space="preserve"> were</w:t>
      </w:r>
      <w:r w:rsidR="009427AB" w:rsidRPr="00D27BF1">
        <w:rPr>
          <w:iCs/>
        </w:rPr>
        <w:t xml:space="preserve"> 0.0 for the placebo group. For the mepolizumab group, there was a larger median change from baseline in the physical component summary score (6.8) than the mental component summary score (1.2). </w:t>
      </w:r>
      <w:r w:rsidR="008C1644" w:rsidRPr="00D27BF1">
        <w:t xml:space="preserve">It was unclear why the </w:t>
      </w:r>
      <w:r w:rsidR="00AD2A40" w:rsidRPr="00D27BF1">
        <w:t>SF-36 v2</w:t>
      </w:r>
      <w:r w:rsidR="008C1644" w:rsidRPr="00D27BF1">
        <w:t xml:space="preserve"> was not used by the submission despite this data being collected in </w:t>
      </w:r>
      <w:r w:rsidR="00EF3942" w:rsidRPr="00D27BF1">
        <w:t>SYNAPSE</w:t>
      </w:r>
      <w:r w:rsidR="008C1644" w:rsidRPr="00D27BF1">
        <w:t xml:space="preserve">. </w:t>
      </w:r>
    </w:p>
    <w:p w14:paraId="50BE3EA7" w14:textId="2ABA26E4" w:rsidR="008C1644" w:rsidRPr="00D27BF1" w:rsidRDefault="008C1644" w:rsidP="00B313EF">
      <w:pPr>
        <w:pStyle w:val="ListParagraph"/>
        <w:widowControl/>
        <w:numPr>
          <w:ilvl w:val="1"/>
          <w:numId w:val="2"/>
        </w:numPr>
      </w:pPr>
      <w:r w:rsidRPr="00D27BF1">
        <w:t>The rate of exacerbations in patients with asthma was 67% lower in the mepolizumab group than the placebo group (rate ratio: 0.33, 95% CI: 0.12, 0.95). Overall the results in SYNAPSE regarding mepolizumab and asthma symptoms were consistent with the PB</w:t>
      </w:r>
      <w:r w:rsidR="00822411">
        <w:t>AC</w:t>
      </w:r>
      <w:r w:rsidRPr="00D27BF1">
        <w:t>’s previous opinion that mepolizumab was superior to standard of care in the treatment of severe eosinophilic asthma (Mepolizumab Public Summary Document</w:t>
      </w:r>
      <w:r w:rsidR="00CC494C">
        <w:t xml:space="preserve"> (PSD)</w:t>
      </w:r>
      <w:r w:rsidRPr="00D27BF1">
        <w:t>, March 2016, paragraph 7.7).</w:t>
      </w:r>
    </w:p>
    <w:p w14:paraId="2D767DE3" w14:textId="77777777" w:rsidR="004354EF" w:rsidRPr="00D27BF1" w:rsidRDefault="008E00A7" w:rsidP="00B313EF">
      <w:pPr>
        <w:pStyle w:val="ListParagraph"/>
        <w:widowControl/>
        <w:numPr>
          <w:ilvl w:val="1"/>
          <w:numId w:val="2"/>
        </w:numPr>
      </w:pPr>
      <w:r w:rsidRPr="00D27BF1">
        <w:t>The submission presented a subgroup analysis of the co-primary outcomes based on baseline BEC and claimed that these supported the efficacy of mepolizumab in patients with BEC ≥150 cells/µL, in line with the requested restriction, as the difference in median ENP and NO-VAS between mepolizumab and placebo was higher in patients with elevated baseline BEC of ≥150 cells/µL</w:t>
      </w:r>
      <w:r w:rsidR="009427AB" w:rsidRPr="00D27BF1">
        <w:t xml:space="preserve">. </w:t>
      </w:r>
      <w:r w:rsidRPr="00D27BF1">
        <w:t>Given the mechanism of action of mepolizumab as an interleukin-5 inhibitor, this was biolo</w:t>
      </w:r>
      <w:r w:rsidR="00321068" w:rsidRPr="00D27BF1">
        <w:t xml:space="preserve">gically plausible. </w:t>
      </w:r>
      <w:r w:rsidR="007C17E4" w:rsidRPr="00D27BF1">
        <w:t xml:space="preserve">Only limited results for the BEC </w:t>
      </w:r>
      <w:r w:rsidR="007C17E4" w:rsidRPr="00D27BF1">
        <w:rPr>
          <w:rFonts w:cs="Calibri"/>
        </w:rPr>
        <w:t>≥</w:t>
      </w:r>
      <w:r w:rsidR="007C17E4" w:rsidRPr="00D27BF1">
        <w:t>150 cells/</w:t>
      </w:r>
      <w:r w:rsidR="007C17E4" w:rsidRPr="00D27BF1">
        <w:rPr>
          <w:rFonts w:cs="Calibri"/>
        </w:rPr>
        <w:t>µ</w:t>
      </w:r>
      <w:r w:rsidR="007C17E4" w:rsidRPr="00D27BF1">
        <w:t>L subgroup (and the complement) were reported by the submission and none of them could be independently verified.</w:t>
      </w:r>
    </w:p>
    <w:p w14:paraId="35C8328D" w14:textId="77777777" w:rsidR="00EF3942" w:rsidRPr="00D27BF1" w:rsidRDefault="007C17E4" w:rsidP="007C17E4">
      <w:pPr>
        <w:pStyle w:val="ListParagraph"/>
        <w:widowControl/>
        <w:numPr>
          <w:ilvl w:val="1"/>
          <w:numId w:val="2"/>
        </w:numPr>
        <w:rPr>
          <w:iCs/>
        </w:rPr>
      </w:pPr>
      <w:r w:rsidRPr="00D27BF1">
        <w:rPr>
          <w:iCs/>
        </w:rPr>
        <w:t xml:space="preserve">In patients with baseline </w:t>
      </w:r>
      <w:r w:rsidRPr="00D27BF1">
        <w:t>BEC of ≥150 cells/µL,</w:t>
      </w:r>
      <w:r w:rsidRPr="00D27BF1">
        <w:rPr>
          <w:iCs/>
        </w:rPr>
        <w:t xml:space="preserve"> w</w:t>
      </w:r>
      <w:r w:rsidR="008E00A7" w:rsidRPr="00D27BF1">
        <w:rPr>
          <w:iCs/>
        </w:rPr>
        <w:t>hile the difference in median NO-VAS score at Week 49-52 from baseline (-</w:t>
      </w:r>
      <w:r w:rsidR="009427AB" w:rsidRPr="00D27BF1">
        <w:rPr>
          <w:iCs/>
        </w:rPr>
        <w:t>3.36, 95%CI -4.27, -2.44</w:t>
      </w:r>
      <w:r w:rsidR="008E00A7" w:rsidRPr="00D27BF1">
        <w:rPr>
          <w:iCs/>
        </w:rPr>
        <w:t xml:space="preserve">) met the proposed MCID of </w:t>
      </w:r>
      <w:r w:rsidR="008E00A7" w:rsidRPr="00D27BF1">
        <w:rPr>
          <w:rFonts w:cs="Calibri"/>
          <w:iCs/>
        </w:rPr>
        <w:t>≥</w:t>
      </w:r>
      <w:r w:rsidR="008E00A7" w:rsidRPr="00D27BF1">
        <w:rPr>
          <w:iCs/>
        </w:rPr>
        <w:t>3.0 points of change in the baseline, the difference in median ENP score at Week 52 from baseline (-0.</w:t>
      </w:r>
      <w:r w:rsidR="009427AB" w:rsidRPr="00D27BF1">
        <w:rPr>
          <w:iCs/>
        </w:rPr>
        <w:t>7</w:t>
      </w:r>
      <w:r w:rsidR="008E00A7" w:rsidRPr="00D27BF1">
        <w:rPr>
          <w:iCs/>
        </w:rPr>
        <w:t>5</w:t>
      </w:r>
      <w:r w:rsidR="009427AB" w:rsidRPr="00D27BF1">
        <w:rPr>
          <w:iCs/>
        </w:rPr>
        <w:t>, 95%CI -1.21, -0.29</w:t>
      </w:r>
      <w:r w:rsidR="008E00A7" w:rsidRPr="00D27BF1">
        <w:rPr>
          <w:iCs/>
        </w:rPr>
        <w:t xml:space="preserve">) did not meet the proposed MCID of </w:t>
      </w:r>
      <w:r w:rsidR="008E00A7" w:rsidRPr="00D27BF1">
        <w:rPr>
          <w:rFonts w:cs="Calibri"/>
          <w:iCs/>
        </w:rPr>
        <w:t>≥</w:t>
      </w:r>
      <w:r w:rsidR="008E00A7" w:rsidRPr="00D27BF1">
        <w:rPr>
          <w:iCs/>
        </w:rPr>
        <w:t xml:space="preserve">1.0 point of change. </w:t>
      </w:r>
      <w:r w:rsidR="009427AB" w:rsidRPr="00D27BF1">
        <w:t>Comparatively, the results in the complement subgroup (difference = -0.40, 95%CI -1.78, 0.98 for ENP and difference = -0.39, 95%CI -4.59, 3.81</w:t>
      </w:r>
      <w:r w:rsidR="003F619E" w:rsidRPr="00D27BF1">
        <w:t xml:space="preserve"> for NO-VAS</w:t>
      </w:r>
      <w:r w:rsidR="009427AB" w:rsidRPr="00D27BF1">
        <w:t>) were not significantly differen</w:t>
      </w:r>
      <w:r w:rsidR="003F619E" w:rsidRPr="00D27BF1">
        <w:t>t</w:t>
      </w:r>
      <w:r w:rsidR="009427AB" w:rsidRPr="00D27BF1">
        <w:t xml:space="preserve"> (difference included zero in confidence interval).</w:t>
      </w:r>
    </w:p>
    <w:p w14:paraId="5C4810D4" w14:textId="69CB4B1B" w:rsidR="001C4E2B" w:rsidRPr="00D27BF1" w:rsidRDefault="001C4E2B" w:rsidP="00F83872">
      <w:pPr>
        <w:pStyle w:val="ListParagraph"/>
        <w:widowControl/>
        <w:numPr>
          <w:ilvl w:val="1"/>
          <w:numId w:val="2"/>
        </w:numPr>
      </w:pPr>
      <w:r w:rsidRPr="00D27BF1">
        <w:t xml:space="preserve">It was noted </w:t>
      </w:r>
      <w:r w:rsidR="00EF3942" w:rsidRPr="00D27BF1">
        <w:t xml:space="preserve">that the requested restriction was </w:t>
      </w:r>
      <w:r w:rsidRPr="00D27BF1">
        <w:t xml:space="preserve">limited to </w:t>
      </w:r>
      <w:r w:rsidR="00EF3942" w:rsidRPr="00D27BF1">
        <w:t>patients with a BEC</w:t>
      </w:r>
      <w:r w:rsidR="00E74241">
        <w:t> </w:t>
      </w:r>
      <w:r w:rsidR="00EF3942" w:rsidRPr="00D27BF1">
        <w:t>≥150</w:t>
      </w:r>
      <w:r w:rsidR="00E74241">
        <w:t> </w:t>
      </w:r>
      <w:r w:rsidR="00EF3942" w:rsidRPr="00D27BF1">
        <w:t>cells/µL, a subset of the ITT population in which the trial was neither powered nor designed for</w:t>
      </w:r>
      <w:r w:rsidRPr="00D27BF1">
        <w:t>. However, there may be significant issues with the applicability of this subgroup</w:t>
      </w:r>
      <w:r w:rsidR="00B82348" w:rsidRPr="00D27BF1">
        <w:t xml:space="preserve"> as</w:t>
      </w:r>
      <w:r w:rsidRPr="00D27BF1">
        <w:t>:</w:t>
      </w:r>
    </w:p>
    <w:p w14:paraId="53BA8B67" w14:textId="290022E0" w:rsidR="001C4E2B" w:rsidRPr="00D27BF1" w:rsidRDefault="001C4E2B" w:rsidP="001C4E2B">
      <w:pPr>
        <w:pStyle w:val="ListParagraph"/>
        <w:widowControl/>
        <w:numPr>
          <w:ilvl w:val="0"/>
          <w:numId w:val="8"/>
        </w:numPr>
        <w:ind w:left="993" w:hanging="284"/>
      </w:pPr>
      <w:r w:rsidRPr="00D27BF1">
        <w:t>In SYNAPSE the pre-specified subgroups for BEC were ≤</w:t>
      </w:r>
      <w:r w:rsidR="00111AD6" w:rsidRPr="00D27BF1">
        <w:t>300</w:t>
      </w:r>
      <w:r w:rsidR="00971F7E" w:rsidRPr="00D27BF1">
        <w:t xml:space="preserve"> cells/µL</w:t>
      </w:r>
      <w:r w:rsidRPr="00D27BF1">
        <w:t>; &gt;</w:t>
      </w:r>
      <w:r w:rsidR="00971F7E" w:rsidRPr="00D27BF1">
        <w:t>300</w:t>
      </w:r>
      <w:r w:rsidR="00E74241">
        <w:t> </w:t>
      </w:r>
      <w:r w:rsidRPr="00D27BF1">
        <w:t>to</w:t>
      </w:r>
      <w:r w:rsidR="00E74241">
        <w:t> </w:t>
      </w:r>
      <w:r w:rsidRPr="00D27BF1">
        <w:t>≤</w:t>
      </w:r>
      <w:r w:rsidR="00971F7E" w:rsidRPr="00D27BF1">
        <w:t>500</w:t>
      </w:r>
      <w:r w:rsidR="00E74241">
        <w:t> </w:t>
      </w:r>
      <w:r w:rsidR="00971F7E" w:rsidRPr="00D27BF1">
        <w:t>cells/µL</w:t>
      </w:r>
      <w:r w:rsidRPr="00D27BF1">
        <w:t>; &gt;</w:t>
      </w:r>
      <w:r w:rsidR="00971F7E" w:rsidRPr="00D27BF1">
        <w:t>500</w:t>
      </w:r>
      <w:r w:rsidRPr="00D27BF1">
        <w:t xml:space="preserve"> to ≤</w:t>
      </w:r>
      <w:r w:rsidR="00971F7E" w:rsidRPr="00D27BF1">
        <w:t>700</w:t>
      </w:r>
      <w:r w:rsidRPr="00D27BF1">
        <w:t xml:space="preserve"> </w:t>
      </w:r>
      <w:r w:rsidR="00971F7E" w:rsidRPr="00D27BF1">
        <w:t>cells/µL</w:t>
      </w:r>
      <w:r w:rsidRPr="00D27BF1">
        <w:t xml:space="preserve"> and &gt;</w:t>
      </w:r>
      <w:r w:rsidR="00971F7E" w:rsidRPr="00D27BF1">
        <w:t>700</w:t>
      </w:r>
      <w:r w:rsidRPr="00D27BF1">
        <w:t xml:space="preserve"> </w:t>
      </w:r>
      <w:r w:rsidR="00971F7E" w:rsidRPr="00D27BF1">
        <w:t>cells/µL</w:t>
      </w:r>
      <w:r w:rsidRPr="00D27BF1">
        <w:t>, and the 150</w:t>
      </w:r>
      <w:r w:rsidR="00E74241">
        <w:t> </w:t>
      </w:r>
      <w:r w:rsidRPr="00D27BF1">
        <w:t xml:space="preserve">cells/µL threshold appeared to be a </w:t>
      </w:r>
      <w:r w:rsidRPr="00D27BF1">
        <w:rPr>
          <w:iCs/>
        </w:rPr>
        <w:t>post hoc</w:t>
      </w:r>
      <w:r w:rsidRPr="00D27BF1">
        <w:t xml:space="preserve"> subgroup;</w:t>
      </w:r>
    </w:p>
    <w:p w14:paraId="3682C7F5" w14:textId="77777777" w:rsidR="001C4E2B" w:rsidRPr="00D27BF1" w:rsidRDefault="001C4E2B" w:rsidP="001C4E2B">
      <w:pPr>
        <w:pStyle w:val="ListParagraph"/>
        <w:widowControl/>
        <w:numPr>
          <w:ilvl w:val="0"/>
          <w:numId w:val="8"/>
        </w:numPr>
        <w:ind w:left="993" w:hanging="284"/>
      </w:pPr>
      <w:r w:rsidRPr="00D27BF1">
        <w:t xml:space="preserve">As noted in paragraph </w:t>
      </w:r>
      <w:r w:rsidR="0020510D">
        <w:t>6.14</w:t>
      </w:r>
      <w:r w:rsidRPr="00D27BF1">
        <w:t xml:space="preserve">, subgroups were not formally assessed in SYNAPSE and as such no statistically significance could be concluded for any outcome in the BEC </w:t>
      </w:r>
      <w:r w:rsidRPr="00D27BF1">
        <w:rPr>
          <w:rFonts w:cs="Calibri"/>
        </w:rPr>
        <w:t>≥</w:t>
      </w:r>
      <w:r w:rsidRPr="00D27BF1">
        <w:t>150 cells/</w:t>
      </w:r>
      <w:r w:rsidRPr="00D27BF1">
        <w:rPr>
          <w:rFonts w:cs="Calibri"/>
        </w:rPr>
        <w:t>µ</w:t>
      </w:r>
      <w:r w:rsidRPr="00D27BF1">
        <w:t>L subgroup; and</w:t>
      </w:r>
    </w:p>
    <w:p w14:paraId="523DDE2A" w14:textId="77777777" w:rsidR="001C4E2B" w:rsidRPr="00D27BF1" w:rsidRDefault="001C4E2B" w:rsidP="001C4E2B">
      <w:pPr>
        <w:pStyle w:val="ListParagraph"/>
        <w:widowControl/>
        <w:numPr>
          <w:ilvl w:val="0"/>
          <w:numId w:val="8"/>
        </w:numPr>
        <w:ind w:left="993" w:hanging="284"/>
      </w:pPr>
      <w:r w:rsidRPr="00D27BF1">
        <w:t>The complement subgroup (BEC &lt;150 cells/</w:t>
      </w:r>
      <w:r w:rsidRPr="00D27BF1">
        <w:rPr>
          <w:rFonts w:cs="Calibri"/>
        </w:rPr>
        <w:t>µ</w:t>
      </w:r>
      <w:r w:rsidRPr="00D27BF1">
        <w:t xml:space="preserve">L) was small (only </w:t>
      </w:r>
      <w:r w:rsidR="007C17E4" w:rsidRPr="00D27BF1">
        <w:t xml:space="preserve">20 patients randomised to mepolizumab and 16 patients randomised to placebo </w:t>
      </w:r>
      <w:r w:rsidRPr="00D27BF1">
        <w:t>had BEC &lt;150 cells/</w:t>
      </w:r>
      <w:r w:rsidRPr="00D27BF1">
        <w:rPr>
          <w:rFonts w:cs="Calibri"/>
        </w:rPr>
        <w:t>µ</w:t>
      </w:r>
      <w:r w:rsidRPr="00D27BF1">
        <w:t xml:space="preserve">L) therefore the lack of efficacy of mepolizumab in this subgroup may be due to the lack of sample size. </w:t>
      </w:r>
      <w:r w:rsidR="0049609F" w:rsidRPr="00D27BF1">
        <w:t>While the results in the BEC &lt;150 cells/µL subgroup do not appear to be different between treatment arms (95% confidence interval of difference in medians include</w:t>
      </w:r>
      <w:r w:rsidR="009427AB" w:rsidRPr="00D27BF1">
        <w:t>d zero</w:t>
      </w:r>
      <w:r w:rsidR="0049609F" w:rsidRPr="00D27BF1">
        <w:t xml:space="preserve">), it was noted that the point estimate for change from baseline for both ENP and NO-VAS in the mepolizumab arm was actually higher in the BEC &lt;150 cells/µL subgroup (-1.0 and -6.35 for ENP and NO-VAS, respectively) than in the BEC ≥150 cells/µL subgroup (-0.5 and -4.32 for ENP and NO-VAS, respectively), with a similar proportion of ENP responders (11/20 [55%] for BEC &lt;150 cells/µL and 93/185 [50%] for BEC </w:t>
      </w:r>
      <w:r w:rsidR="0049609F" w:rsidRPr="00D27BF1">
        <w:rPr>
          <w:rFonts w:cs="Calibri"/>
        </w:rPr>
        <w:t>≥</w:t>
      </w:r>
      <w:r w:rsidR="0049609F" w:rsidRPr="00D27BF1">
        <w:t xml:space="preserve">150 cells/µL). NO-VAS responders were not reported for these subgroups. </w:t>
      </w:r>
    </w:p>
    <w:p w14:paraId="2A80DB22" w14:textId="77777777" w:rsidR="00FE70C3" w:rsidRPr="0057459B" w:rsidRDefault="001C4E2B" w:rsidP="001C4E2B">
      <w:pPr>
        <w:pStyle w:val="ListParagraph"/>
        <w:widowControl/>
        <w:rPr>
          <w:iCs/>
          <w:lang w:eastAsia="en-AU"/>
        </w:rPr>
      </w:pPr>
      <w:r w:rsidRPr="00D27BF1">
        <w:t>T</w:t>
      </w:r>
      <w:r w:rsidR="00EF3942" w:rsidRPr="00D27BF1">
        <w:t xml:space="preserve">herefore it was unclear if a BEC of ≥150 cells/µL was clinically meaningful or if the results using this threshold </w:t>
      </w:r>
      <w:r w:rsidR="0049609F" w:rsidRPr="00D27BF1">
        <w:t>sh</w:t>
      </w:r>
      <w:r w:rsidR="00EF3942" w:rsidRPr="00D27BF1">
        <w:t xml:space="preserve">ould be relied upon. </w:t>
      </w:r>
      <w:r w:rsidR="00F6093A" w:rsidRPr="0057459B">
        <w:rPr>
          <w:iCs/>
          <w:lang w:eastAsia="en-AU"/>
        </w:rPr>
        <w:t xml:space="preserve">The PSCR maintained that the nomination of BEC </w:t>
      </w:r>
      <w:r w:rsidR="00F6093A" w:rsidRPr="0057459B">
        <w:rPr>
          <w:rFonts w:cs="Calibri"/>
          <w:iCs/>
          <w:lang w:eastAsia="en-AU"/>
        </w:rPr>
        <w:t>≥</w:t>
      </w:r>
      <w:r w:rsidR="00F6093A" w:rsidRPr="0057459B">
        <w:rPr>
          <w:iCs/>
          <w:lang w:eastAsia="en-AU"/>
        </w:rPr>
        <w:t xml:space="preserve">150 </w:t>
      </w:r>
      <w:r w:rsidR="00111AD6" w:rsidRPr="0057459B">
        <w:rPr>
          <w:iCs/>
          <w:lang w:eastAsia="en-AU"/>
        </w:rPr>
        <w:t>cells/uL wa</w:t>
      </w:r>
      <w:r w:rsidR="00F6093A" w:rsidRPr="0057459B">
        <w:rPr>
          <w:iCs/>
          <w:lang w:eastAsia="en-AU"/>
        </w:rPr>
        <w:t xml:space="preserve">s an appropriate subgroup for the requested restriction and, as these patients made up over 90% of the ITT population, the results presented for the BEC </w:t>
      </w:r>
      <w:r w:rsidR="00F6093A" w:rsidRPr="0057459B">
        <w:rPr>
          <w:rFonts w:ascii="Candara" w:hAnsi="Candara"/>
          <w:iCs/>
          <w:lang w:eastAsia="en-AU"/>
        </w:rPr>
        <w:t>≥</w:t>
      </w:r>
      <w:r w:rsidR="00F6093A" w:rsidRPr="0057459B">
        <w:rPr>
          <w:iCs/>
          <w:lang w:eastAsia="en-AU"/>
        </w:rPr>
        <w:t xml:space="preserve">150 subgroup are applicable and supported by the results in the ITT population. </w:t>
      </w:r>
      <w:r w:rsidR="0021719D" w:rsidRPr="0057459B">
        <w:rPr>
          <w:iCs/>
          <w:lang w:eastAsia="en-AU"/>
        </w:rPr>
        <w:t>In addition, the PSCR argued that the sample of the BEC &lt;</w:t>
      </w:r>
      <w:r w:rsidR="0021719D" w:rsidRPr="0057459B">
        <w:t xml:space="preserve">150 cells/µL </w:t>
      </w:r>
      <w:r w:rsidR="0021719D" w:rsidRPr="0057459B">
        <w:rPr>
          <w:iCs/>
          <w:lang w:eastAsia="en-AU"/>
        </w:rPr>
        <w:t xml:space="preserve">subgroup is too small to generate reliable results. </w:t>
      </w:r>
      <w:r w:rsidR="00D54772" w:rsidRPr="0057459B">
        <w:rPr>
          <w:iCs/>
          <w:lang w:eastAsia="en-AU"/>
        </w:rPr>
        <w:t xml:space="preserve">The ESC agreed with the evaluation that the proposed BEC </w:t>
      </w:r>
      <w:r w:rsidR="00D54772" w:rsidRPr="0057459B">
        <w:t>≥</w:t>
      </w:r>
      <w:r w:rsidR="00D54772" w:rsidRPr="0057459B">
        <w:rPr>
          <w:iCs/>
          <w:lang w:eastAsia="en-AU"/>
        </w:rPr>
        <w:t xml:space="preserve">150 cells/µL threshold appeared to be a post hoc subgroup. The ESC considered the </w:t>
      </w:r>
      <w:r w:rsidR="00D54772" w:rsidRPr="0057459B">
        <w:t>BEC &lt;150 cells/</w:t>
      </w:r>
      <w:r w:rsidR="00D54772" w:rsidRPr="0057459B">
        <w:rPr>
          <w:rFonts w:cs="Calibri"/>
        </w:rPr>
        <w:t>µ</w:t>
      </w:r>
      <w:r w:rsidR="00D54772" w:rsidRPr="0057459B">
        <w:t>L</w:t>
      </w:r>
      <w:r w:rsidR="00D54772" w:rsidRPr="0057459B">
        <w:rPr>
          <w:iCs/>
          <w:lang w:eastAsia="en-AU"/>
        </w:rPr>
        <w:t xml:space="preserve"> complement subgroup also appeared to demonstrate a trend towards increased efficacy for th</w:t>
      </w:r>
      <w:r w:rsidR="0021719D" w:rsidRPr="0057459B">
        <w:rPr>
          <w:iCs/>
          <w:lang w:eastAsia="en-AU"/>
        </w:rPr>
        <w:t>e mepolizumab arm but agreed with the PSCR that</w:t>
      </w:r>
      <w:r w:rsidR="00D54772" w:rsidRPr="0057459B">
        <w:rPr>
          <w:iCs/>
          <w:lang w:eastAsia="en-AU"/>
        </w:rPr>
        <w:t xml:space="preserve"> the sample size was too small to be able to draw meaningful conclusions. </w:t>
      </w:r>
    </w:p>
    <w:p w14:paraId="2C637414" w14:textId="049613DA" w:rsidR="00BF63A3" w:rsidRPr="0057459B" w:rsidRDefault="00971F7E" w:rsidP="001C4E2B">
      <w:pPr>
        <w:pStyle w:val="ListParagraph"/>
        <w:widowControl/>
        <w:numPr>
          <w:ilvl w:val="1"/>
          <w:numId w:val="2"/>
        </w:numPr>
        <w:rPr>
          <w:iCs/>
          <w:lang w:eastAsia="en-AU"/>
        </w:rPr>
      </w:pPr>
      <w:r w:rsidRPr="0057459B">
        <w:rPr>
          <w:iCs/>
          <w:lang w:eastAsia="en-AU"/>
        </w:rPr>
        <w:t xml:space="preserve">The </w:t>
      </w:r>
      <w:r w:rsidR="0021719D" w:rsidRPr="0057459B">
        <w:rPr>
          <w:iCs/>
          <w:lang w:eastAsia="en-AU"/>
        </w:rPr>
        <w:t>ESC noted the PSCR argued that based on physiological grounds and other indications for mepolizumab that a c</w:t>
      </w:r>
      <w:r w:rsidR="0070608B" w:rsidRPr="0057459B">
        <w:rPr>
          <w:iCs/>
          <w:lang w:eastAsia="en-AU"/>
        </w:rPr>
        <w:t>ut-off for BEC was appropriate</w:t>
      </w:r>
      <w:r w:rsidR="0021719D" w:rsidRPr="0057459B">
        <w:rPr>
          <w:iCs/>
          <w:lang w:eastAsia="en-AU"/>
        </w:rPr>
        <w:t xml:space="preserve"> (see paragraph 3.</w:t>
      </w:r>
      <w:r w:rsidR="00BF7C46">
        <w:rPr>
          <w:iCs/>
          <w:lang w:eastAsia="en-AU"/>
        </w:rPr>
        <w:t>8</w:t>
      </w:r>
      <w:r w:rsidR="0021719D" w:rsidRPr="0057459B">
        <w:rPr>
          <w:iCs/>
          <w:lang w:eastAsia="en-AU"/>
        </w:rPr>
        <w:t xml:space="preserve">). The ESC considered that it may be reasonable that a cut-off be present and noted that it is currently set at </w:t>
      </w:r>
      <w:r w:rsidR="0021719D" w:rsidRPr="0057459B">
        <w:t>≥</w:t>
      </w:r>
      <w:r w:rsidR="0021719D" w:rsidRPr="0057459B">
        <w:rPr>
          <w:iCs/>
          <w:lang w:eastAsia="en-AU"/>
        </w:rPr>
        <w:t>300 cells/</w:t>
      </w:r>
      <w:r w:rsidR="0021719D" w:rsidRPr="0057459B">
        <w:t>µL for patients with uncontrolled severe asthma (see paragraph 3</w:t>
      </w:r>
      <w:r w:rsidR="00F17F45" w:rsidRPr="0057459B">
        <w:t>.</w:t>
      </w:r>
      <w:r w:rsidR="00BF7C46">
        <w:t>8</w:t>
      </w:r>
      <w:r w:rsidR="00F17F45" w:rsidRPr="0057459B">
        <w:t xml:space="preserve">). The ESC noted the outcomes </w:t>
      </w:r>
      <w:r w:rsidR="00111AD6" w:rsidRPr="0057459B">
        <w:rPr>
          <w:iCs/>
          <w:lang w:eastAsia="en-AU"/>
        </w:rPr>
        <w:t xml:space="preserve">reported by </w:t>
      </w:r>
      <w:r w:rsidRPr="0057459B">
        <w:rPr>
          <w:iCs/>
          <w:lang w:eastAsia="en-AU"/>
        </w:rPr>
        <w:t xml:space="preserve">the pre-specified </w:t>
      </w:r>
      <w:r w:rsidR="00111AD6" w:rsidRPr="0057459B">
        <w:rPr>
          <w:iCs/>
          <w:lang w:eastAsia="en-AU"/>
        </w:rPr>
        <w:t xml:space="preserve">baseline BEC </w:t>
      </w:r>
      <w:r w:rsidR="00F17F45" w:rsidRPr="0057459B">
        <w:rPr>
          <w:iCs/>
          <w:lang w:eastAsia="en-AU"/>
        </w:rPr>
        <w:t>levels provided in Table 7</w:t>
      </w:r>
      <w:r w:rsidR="00111AD6" w:rsidRPr="0057459B">
        <w:rPr>
          <w:iCs/>
          <w:lang w:eastAsia="en-AU"/>
        </w:rPr>
        <w:t xml:space="preserve">. </w:t>
      </w:r>
      <w:r w:rsidR="00F17F45" w:rsidRPr="0057459B">
        <w:rPr>
          <w:iCs/>
          <w:lang w:eastAsia="en-AU"/>
        </w:rPr>
        <w:t xml:space="preserve">The ESC considered that the median NO-VAS scores at Weeks 49-52 supported a BEC threshold of </w:t>
      </w:r>
      <w:r w:rsidR="00F17F45" w:rsidRPr="0057459B">
        <w:t>≥</w:t>
      </w:r>
      <w:r w:rsidR="00F17F45" w:rsidRPr="0057459B">
        <w:rPr>
          <w:iCs/>
          <w:lang w:eastAsia="en-AU"/>
        </w:rPr>
        <w:t>300 cells/</w:t>
      </w:r>
      <w:r w:rsidR="00F17F45" w:rsidRPr="0057459B">
        <w:t>µL and that in the absence of strong evidence to the contrary it may be reasonable to maintain consistency across CRSwNP and uncontrolled severe asthma indications.</w:t>
      </w:r>
      <w:r w:rsidR="00E61A72">
        <w:t xml:space="preserve"> The pre-PBAC response argued that if alignment with the asthma indication was considered appropriate then the BEC cut-off should be set at </w:t>
      </w:r>
      <w:r w:rsidR="00E61A72" w:rsidRPr="0057459B">
        <w:t>≥</w:t>
      </w:r>
      <w:r w:rsidR="00E61A72" w:rsidRPr="0057459B">
        <w:rPr>
          <w:iCs/>
          <w:lang w:eastAsia="en-AU"/>
        </w:rPr>
        <w:t>300 cells/</w:t>
      </w:r>
      <w:r w:rsidR="00E61A72" w:rsidRPr="0057459B">
        <w:t>µL</w:t>
      </w:r>
      <w:r w:rsidR="00E61A72">
        <w:t xml:space="preserve"> or </w:t>
      </w:r>
      <w:r w:rsidR="00E61A72" w:rsidRPr="0057459B">
        <w:t>≥</w:t>
      </w:r>
      <w:r w:rsidR="00E61A72">
        <w:rPr>
          <w:iCs/>
          <w:lang w:eastAsia="en-AU"/>
        </w:rPr>
        <w:t>150</w:t>
      </w:r>
      <w:r w:rsidR="00E74241">
        <w:rPr>
          <w:iCs/>
          <w:lang w:eastAsia="en-AU"/>
        </w:rPr>
        <w:t> </w:t>
      </w:r>
      <w:r w:rsidR="00E61A72" w:rsidRPr="0057459B">
        <w:rPr>
          <w:iCs/>
          <w:lang w:eastAsia="en-AU"/>
        </w:rPr>
        <w:t>cells/</w:t>
      </w:r>
      <w:r w:rsidR="00E61A72" w:rsidRPr="0057459B">
        <w:t>µL</w:t>
      </w:r>
      <w:r w:rsidR="00E61A72">
        <w:t xml:space="preserve"> for those receiving treatment with OCS in the last 12 months. The pre-PBAC response considered this OCS criterion appropriate as OCS use causes EOS suppression and is consistent with the results from the SYNAPSE study which included a proportion who took OCS. </w:t>
      </w:r>
    </w:p>
    <w:p w14:paraId="7E68FD1A" w14:textId="77777777" w:rsidR="00BF63A3" w:rsidRPr="0057459B" w:rsidRDefault="00BF63A3" w:rsidP="00BF63A3">
      <w:pPr>
        <w:pStyle w:val="ListParagraph"/>
        <w:keepNext/>
        <w:keepLines/>
        <w:spacing w:after="0"/>
        <w:ind w:left="0"/>
        <w:rPr>
          <w:rStyle w:val="CommentReference"/>
          <w:b w:val="0"/>
        </w:rPr>
      </w:pPr>
      <w:r w:rsidRPr="00D27BF1">
        <w:rPr>
          <w:rStyle w:val="CommentReference"/>
        </w:rPr>
        <w:t xml:space="preserve">Table </w:t>
      </w:r>
      <w:r w:rsidR="0020510D">
        <w:rPr>
          <w:rStyle w:val="CommentReference"/>
          <w:noProof/>
        </w:rPr>
        <w:t>7</w:t>
      </w:r>
      <w:r w:rsidRPr="00D27BF1">
        <w:rPr>
          <w:rStyle w:val="CommentReference"/>
        </w:rPr>
        <w:t xml:space="preserve"> </w:t>
      </w:r>
      <w:r w:rsidRPr="0057459B">
        <w:rPr>
          <w:rStyle w:val="CommentReference"/>
        </w:rPr>
        <w:t>Outcomes for subgroups based on baseline blood eosinophil count</w:t>
      </w:r>
    </w:p>
    <w:tbl>
      <w:tblPr>
        <w:tblStyle w:val="TableGrid"/>
        <w:tblW w:w="0" w:type="auto"/>
        <w:tblLook w:val="04A0" w:firstRow="1" w:lastRow="0" w:firstColumn="1" w:lastColumn="0" w:noHBand="0" w:noVBand="1"/>
        <w:tblCaption w:val="Table 7 Outcomes for subgroups based on baseline blood eosinophil count"/>
      </w:tblPr>
      <w:tblGrid>
        <w:gridCol w:w="988"/>
        <w:gridCol w:w="849"/>
        <w:gridCol w:w="1134"/>
        <w:gridCol w:w="1843"/>
        <w:gridCol w:w="1263"/>
        <w:gridCol w:w="1147"/>
        <w:gridCol w:w="1792"/>
      </w:tblGrid>
      <w:tr w:rsidR="00BF63A3" w:rsidRPr="0057459B" w14:paraId="274DA2AC" w14:textId="77777777" w:rsidTr="00AC5AD6">
        <w:trPr>
          <w:tblHeader/>
        </w:trPr>
        <w:tc>
          <w:tcPr>
            <w:tcW w:w="988" w:type="dxa"/>
            <w:vMerge w:val="restart"/>
            <w:shd w:val="clear" w:color="auto" w:fill="auto"/>
          </w:tcPr>
          <w:p w14:paraId="1CC2C67C" w14:textId="77777777" w:rsidR="00BF63A3" w:rsidRPr="0057459B" w:rsidRDefault="00BF63A3" w:rsidP="00485C83">
            <w:pPr>
              <w:pStyle w:val="Tabletext"/>
            </w:pPr>
          </w:p>
        </w:tc>
        <w:tc>
          <w:tcPr>
            <w:tcW w:w="3826" w:type="dxa"/>
            <w:gridSpan w:val="3"/>
            <w:shd w:val="clear" w:color="auto" w:fill="auto"/>
            <w:vAlign w:val="center"/>
          </w:tcPr>
          <w:p w14:paraId="77453638" w14:textId="77777777" w:rsidR="00BF63A3" w:rsidRPr="0057459B" w:rsidRDefault="00BF63A3" w:rsidP="00485C83">
            <w:pPr>
              <w:pStyle w:val="Tabletext"/>
              <w:jc w:val="center"/>
              <w:rPr>
                <w:b/>
              </w:rPr>
            </w:pPr>
            <w:r w:rsidRPr="0057459B">
              <w:rPr>
                <w:b/>
              </w:rPr>
              <w:t>Median total ENP score at Week 52</w:t>
            </w:r>
          </w:p>
        </w:tc>
        <w:tc>
          <w:tcPr>
            <w:tcW w:w="4202" w:type="dxa"/>
            <w:gridSpan w:val="3"/>
            <w:shd w:val="clear" w:color="auto" w:fill="auto"/>
            <w:vAlign w:val="center"/>
          </w:tcPr>
          <w:p w14:paraId="353E04DF" w14:textId="77777777" w:rsidR="00BF63A3" w:rsidRPr="0057459B" w:rsidRDefault="00BF63A3" w:rsidP="00485C83">
            <w:pPr>
              <w:pStyle w:val="Tabletext"/>
              <w:jc w:val="center"/>
              <w:rPr>
                <w:b/>
              </w:rPr>
            </w:pPr>
            <w:r w:rsidRPr="0057459B">
              <w:rPr>
                <w:b/>
              </w:rPr>
              <w:t>Median NO-VAS score at Weeks 49–52</w:t>
            </w:r>
          </w:p>
        </w:tc>
      </w:tr>
      <w:tr w:rsidR="00BF63A3" w:rsidRPr="0057459B" w14:paraId="3844415F" w14:textId="77777777" w:rsidTr="00AC5AD6">
        <w:trPr>
          <w:tblHeader/>
        </w:trPr>
        <w:tc>
          <w:tcPr>
            <w:tcW w:w="988" w:type="dxa"/>
            <w:vMerge/>
            <w:shd w:val="clear" w:color="auto" w:fill="auto"/>
          </w:tcPr>
          <w:p w14:paraId="68667B25" w14:textId="77777777" w:rsidR="00BF63A3" w:rsidRPr="0057459B" w:rsidRDefault="00BF63A3" w:rsidP="00485C83">
            <w:pPr>
              <w:pStyle w:val="Tabletext"/>
            </w:pPr>
          </w:p>
        </w:tc>
        <w:tc>
          <w:tcPr>
            <w:tcW w:w="849" w:type="dxa"/>
            <w:shd w:val="clear" w:color="auto" w:fill="auto"/>
            <w:vAlign w:val="center"/>
          </w:tcPr>
          <w:p w14:paraId="3E8F3267" w14:textId="77777777" w:rsidR="00BF63A3" w:rsidRPr="0057459B" w:rsidRDefault="00BF63A3" w:rsidP="00485C83">
            <w:pPr>
              <w:pStyle w:val="Tabletext"/>
              <w:jc w:val="center"/>
            </w:pPr>
            <w:r w:rsidRPr="0057459B">
              <w:t>Placebo</w:t>
            </w:r>
          </w:p>
        </w:tc>
        <w:tc>
          <w:tcPr>
            <w:tcW w:w="1134" w:type="dxa"/>
            <w:shd w:val="clear" w:color="auto" w:fill="auto"/>
            <w:vAlign w:val="center"/>
          </w:tcPr>
          <w:p w14:paraId="168D6BD8" w14:textId="77777777" w:rsidR="00BF63A3" w:rsidRPr="0057459B" w:rsidRDefault="00BF63A3" w:rsidP="00485C83">
            <w:pPr>
              <w:pStyle w:val="Tabletext"/>
              <w:jc w:val="center"/>
            </w:pPr>
            <w:r w:rsidRPr="0057459B">
              <w:t>MEPO</w:t>
            </w:r>
          </w:p>
        </w:tc>
        <w:tc>
          <w:tcPr>
            <w:tcW w:w="1843" w:type="dxa"/>
            <w:shd w:val="clear" w:color="auto" w:fill="auto"/>
            <w:vAlign w:val="center"/>
          </w:tcPr>
          <w:p w14:paraId="4A6EE974" w14:textId="70731C65" w:rsidR="00BF63A3" w:rsidRPr="0057459B" w:rsidRDefault="00BF63A3" w:rsidP="00485C83">
            <w:pPr>
              <w:pStyle w:val="Tabletext"/>
              <w:jc w:val="center"/>
            </w:pPr>
            <w:r w:rsidRPr="0057459B">
              <w:t>Difference (95% CI)</w:t>
            </w:r>
          </w:p>
        </w:tc>
        <w:tc>
          <w:tcPr>
            <w:tcW w:w="1263" w:type="dxa"/>
            <w:shd w:val="clear" w:color="auto" w:fill="auto"/>
            <w:vAlign w:val="center"/>
          </w:tcPr>
          <w:p w14:paraId="1BFED285" w14:textId="77777777" w:rsidR="00BF63A3" w:rsidRPr="0057459B" w:rsidRDefault="00BF63A3" w:rsidP="00485C83">
            <w:pPr>
              <w:pStyle w:val="Tabletext"/>
              <w:jc w:val="center"/>
            </w:pPr>
            <w:r w:rsidRPr="0057459B">
              <w:t>Placebo</w:t>
            </w:r>
          </w:p>
        </w:tc>
        <w:tc>
          <w:tcPr>
            <w:tcW w:w="1147" w:type="dxa"/>
            <w:shd w:val="clear" w:color="auto" w:fill="auto"/>
            <w:vAlign w:val="center"/>
          </w:tcPr>
          <w:p w14:paraId="19DF07D1" w14:textId="77777777" w:rsidR="00BF63A3" w:rsidRPr="0057459B" w:rsidRDefault="00BF63A3" w:rsidP="00485C83">
            <w:pPr>
              <w:pStyle w:val="Tabletext"/>
              <w:jc w:val="center"/>
            </w:pPr>
            <w:r w:rsidRPr="0057459B">
              <w:t>MEPO</w:t>
            </w:r>
          </w:p>
        </w:tc>
        <w:tc>
          <w:tcPr>
            <w:tcW w:w="1792" w:type="dxa"/>
            <w:shd w:val="clear" w:color="auto" w:fill="auto"/>
            <w:vAlign w:val="center"/>
          </w:tcPr>
          <w:p w14:paraId="1C3BAC0D" w14:textId="0B154E4C" w:rsidR="00BF63A3" w:rsidRPr="0057459B" w:rsidRDefault="00BF63A3" w:rsidP="00485C83">
            <w:pPr>
              <w:pStyle w:val="Tabletext"/>
              <w:jc w:val="center"/>
            </w:pPr>
            <w:r w:rsidRPr="0057459B">
              <w:t>Difference (95% CI)</w:t>
            </w:r>
          </w:p>
        </w:tc>
      </w:tr>
      <w:tr w:rsidR="00BF63A3" w:rsidRPr="0057459B" w14:paraId="060C2070" w14:textId="77777777" w:rsidTr="00485C83">
        <w:tc>
          <w:tcPr>
            <w:tcW w:w="9016" w:type="dxa"/>
            <w:gridSpan w:val="7"/>
            <w:shd w:val="clear" w:color="auto" w:fill="auto"/>
          </w:tcPr>
          <w:p w14:paraId="2D8C9A67" w14:textId="77777777" w:rsidR="00BF63A3" w:rsidRPr="0057459B" w:rsidRDefault="00BF63A3" w:rsidP="00485C83">
            <w:pPr>
              <w:pStyle w:val="Tabletext"/>
              <w:rPr>
                <w:b/>
              </w:rPr>
            </w:pPr>
            <w:r w:rsidRPr="0057459B">
              <w:rPr>
                <w:b/>
              </w:rPr>
              <w:t>Baseline BEC (cells/µL)</w:t>
            </w:r>
          </w:p>
        </w:tc>
      </w:tr>
      <w:tr w:rsidR="00BF63A3" w:rsidRPr="0057459B" w14:paraId="13C45D76" w14:textId="77777777" w:rsidTr="00485C83">
        <w:tc>
          <w:tcPr>
            <w:tcW w:w="988" w:type="dxa"/>
            <w:shd w:val="clear" w:color="auto" w:fill="auto"/>
          </w:tcPr>
          <w:p w14:paraId="1A4512F3" w14:textId="77777777" w:rsidR="00BF63A3" w:rsidRPr="0057459B" w:rsidRDefault="00BF63A3" w:rsidP="00485C83">
            <w:pPr>
              <w:pStyle w:val="Tabletext"/>
              <w:rPr>
                <w:vertAlign w:val="superscript"/>
              </w:rPr>
            </w:pPr>
            <w:r w:rsidRPr="0057459B">
              <w:t>&lt; 300</w:t>
            </w:r>
            <w:r w:rsidRPr="0057459B">
              <w:rPr>
                <w:vertAlign w:val="superscript"/>
              </w:rPr>
              <w:t>a</w:t>
            </w:r>
          </w:p>
        </w:tc>
        <w:tc>
          <w:tcPr>
            <w:tcW w:w="849" w:type="dxa"/>
            <w:shd w:val="clear" w:color="auto" w:fill="auto"/>
          </w:tcPr>
          <w:p w14:paraId="66F4B8D6" w14:textId="77777777" w:rsidR="00BF63A3" w:rsidRPr="0057459B" w:rsidRDefault="00BF63A3" w:rsidP="00485C83">
            <w:pPr>
              <w:pStyle w:val="Tabletext"/>
              <w:jc w:val="center"/>
            </w:pPr>
            <w:r w:rsidRPr="0057459B">
              <w:t>0.0</w:t>
            </w:r>
          </w:p>
        </w:tc>
        <w:tc>
          <w:tcPr>
            <w:tcW w:w="1134" w:type="dxa"/>
            <w:shd w:val="clear" w:color="auto" w:fill="auto"/>
          </w:tcPr>
          <w:p w14:paraId="5563CB4C" w14:textId="77777777" w:rsidR="00BF63A3" w:rsidRPr="0057459B" w:rsidRDefault="00BF63A3" w:rsidP="00485C83">
            <w:pPr>
              <w:pStyle w:val="Tabletext"/>
              <w:jc w:val="center"/>
            </w:pPr>
            <w:r w:rsidRPr="0057459B">
              <w:t>-1.0</w:t>
            </w:r>
          </w:p>
        </w:tc>
        <w:tc>
          <w:tcPr>
            <w:tcW w:w="1843" w:type="dxa"/>
            <w:shd w:val="clear" w:color="auto" w:fill="auto"/>
          </w:tcPr>
          <w:p w14:paraId="707B0F7A" w14:textId="77777777" w:rsidR="00BF63A3" w:rsidRPr="0057459B" w:rsidRDefault="00BF63A3" w:rsidP="00111AD6">
            <w:pPr>
              <w:pStyle w:val="Tabletext"/>
              <w:jc w:val="center"/>
            </w:pPr>
            <w:r w:rsidRPr="0057459B">
              <w:t>-0.80 (-1.43, -0.17)</w:t>
            </w:r>
          </w:p>
        </w:tc>
        <w:tc>
          <w:tcPr>
            <w:tcW w:w="1263" w:type="dxa"/>
            <w:shd w:val="clear" w:color="auto" w:fill="auto"/>
          </w:tcPr>
          <w:p w14:paraId="3C0DB89A" w14:textId="77777777" w:rsidR="00BF63A3" w:rsidRPr="0057459B" w:rsidRDefault="00BF63A3" w:rsidP="00485C83">
            <w:pPr>
              <w:pStyle w:val="Tabletext"/>
              <w:jc w:val="center"/>
            </w:pPr>
            <w:r w:rsidRPr="0057459B">
              <w:t>-2.37</w:t>
            </w:r>
          </w:p>
        </w:tc>
        <w:tc>
          <w:tcPr>
            <w:tcW w:w="1147" w:type="dxa"/>
            <w:shd w:val="clear" w:color="auto" w:fill="auto"/>
          </w:tcPr>
          <w:p w14:paraId="756FBA64" w14:textId="77777777" w:rsidR="00BF63A3" w:rsidRPr="0057459B" w:rsidRDefault="00BF63A3" w:rsidP="00485C83">
            <w:pPr>
              <w:pStyle w:val="Tabletext"/>
              <w:jc w:val="center"/>
            </w:pPr>
            <w:r w:rsidRPr="0057459B">
              <w:t>-4.31</w:t>
            </w:r>
          </w:p>
        </w:tc>
        <w:tc>
          <w:tcPr>
            <w:tcW w:w="1792" w:type="dxa"/>
            <w:shd w:val="clear" w:color="auto" w:fill="auto"/>
          </w:tcPr>
          <w:p w14:paraId="5A4E9559" w14:textId="77777777" w:rsidR="00BF63A3" w:rsidRPr="0057459B" w:rsidRDefault="00BF63A3" w:rsidP="00485C83">
            <w:pPr>
              <w:pStyle w:val="Tabletext"/>
              <w:jc w:val="center"/>
            </w:pPr>
            <w:r w:rsidRPr="0057459B">
              <w:t>-1.88 (-3.89,</w:t>
            </w:r>
            <w:r w:rsidRPr="0057459B">
              <w:rPr>
                <w:lang w:eastAsia="en-AU"/>
              </w:rPr>
              <w:t xml:space="preserve"> 0.13)</w:t>
            </w:r>
          </w:p>
        </w:tc>
      </w:tr>
      <w:tr w:rsidR="00BF63A3" w:rsidRPr="0057459B" w14:paraId="713A2A96" w14:textId="77777777" w:rsidTr="00485C83">
        <w:tc>
          <w:tcPr>
            <w:tcW w:w="988" w:type="dxa"/>
            <w:shd w:val="clear" w:color="auto" w:fill="auto"/>
          </w:tcPr>
          <w:p w14:paraId="6F424172" w14:textId="77777777" w:rsidR="00BF63A3" w:rsidRPr="0057459B" w:rsidRDefault="00BF63A3" w:rsidP="00485C83">
            <w:pPr>
              <w:pStyle w:val="Tabletext"/>
              <w:rPr>
                <w:vertAlign w:val="superscript"/>
              </w:rPr>
            </w:pPr>
            <w:r w:rsidRPr="0057459B">
              <w:t>300-500</w:t>
            </w:r>
            <w:r w:rsidRPr="0057459B">
              <w:rPr>
                <w:vertAlign w:val="superscript"/>
              </w:rPr>
              <w:t>b</w:t>
            </w:r>
          </w:p>
        </w:tc>
        <w:tc>
          <w:tcPr>
            <w:tcW w:w="849" w:type="dxa"/>
            <w:shd w:val="clear" w:color="auto" w:fill="auto"/>
          </w:tcPr>
          <w:p w14:paraId="5BD59A7D" w14:textId="77777777" w:rsidR="00BF63A3" w:rsidRPr="0057459B" w:rsidRDefault="00BF63A3" w:rsidP="00485C83">
            <w:pPr>
              <w:pStyle w:val="Tabletext"/>
              <w:jc w:val="center"/>
            </w:pPr>
            <w:r w:rsidRPr="0057459B">
              <w:t>0.0</w:t>
            </w:r>
          </w:p>
        </w:tc>
        <w:tc>
          <w:tcPr>
            <w:tcW w:w="1134" w:type="dxa"/>
            <w:shd w:val="clear" w:color="auto" w:fill="auto"/>
          </w:tcPr>
          <w:p w14:paraId="2C9492CA" w14:textId="77777777" w:rsidR="00BF63A3" w:rsidRPr="0057459B" w:rsidRDefault="00BF63A3" w:rsidP="00485C83">
            <w:pPr>
              <w:pStyle w:val="Tabletext"/>
              <w:jc w:val="center"/>
            </w:pPr>
            <w:r w:rsidRPr="0057459B">
              <w:t>0.0</w:t>
            </w:r>
          </w:p>
        </w:tc>
        <w:tc>
          <w:tcPr>
            <w:tcW w:w="1843" w:type="dxa"/>
            <w:shd w:val="clear" w:color="auto" w:fill="auto"/>
          </w:tcPr>
          <w:p w14:paraId="5AD02001" w14:textId="77777777" w:rsidR="00BF63A3" w:rsidRPr="0057459B" w:rsidRDefault="00BF63A3" w:rsidP="00111AD6">
            <w:pPr>
              <w:pStyle w:val="Tabletext"/>
              <w:jc w:val="center"/>
            </w:pPr>
            <w:r w:rsidRPr="0057459B">
              <w:t>-0.33 (-1.05, 0.38)</w:t>
            </w:r>
          </w:p>
        </w:tc>
        <w:tc>
          <w:tcPr>
            <w:tcW w:w="1263" w:type="dxa"/>
            <w:shd w:val="clear" w:color="auto" w:fill="auto"/>
          </w:tcPr>
          <w:p w14:paraId="7D68B148" w14:textId="77777777" w:rsidR="00BF63A3" w:rsidRPr="0057459B" w:rsidRDefault="00BF63A3" w:rsidP="00485C83">
            <w:pPr>
              <w:pStyle w:val="Tabletext"/>
              <w:jc w:val="center"/>
            </w:pPr>
            <w:r w:rsidRPr="0057459B">
              <w:t>-1.36</w:t>
            </w:r>
          </w:p>
        </w:tc>
        <w:tc>
          <w:tcPr>
            <w:tcW w:w="1147" w:type="dxa"/>
            <w:shd w:val="clear" w:color="auto" w:fill="auto"/>
          </w:tcPr>
          <w:p w14:paraId="34661F14" w14:textId="77777777" w:rsidR="00BF63A3" w:rsidRPr="0057459B" w:rsidRDefault="00BF63A3" w:rsidP="00485C83">
            <w:pPr>
              <w:pStyle w:val="Tabletext"/>
              <w:jc w:val="center"/>
            </w:pPr>
            <w:r w:rsidRPr="0057459B">
              <w:t>-5.87</w:t>
            </w:r>
          </w:p>
        </w:tc>
        <w:tc>
          <w:tcPr>
            <w:tcW w:w="1792" w:type="dxa"/>
            <w:shd w:val="clear" w:color="auto" w:fill="auto"/>
          </w:tcPr>
          <w:p w14:paraId="4CC308EC" w14:textId="77777777" w:rsidR="00BF63A3" w:rsidRPr="0057459B" w:rsidRDefault="00BF63A3" w:rsidP="00485C83">
            <w:pPr>
              <w:pStyle w:val="Tabletext"/>
              <w:jc w:val="center"/>
            </w:pPr>
            <w:r w:rsidRPr="0057459B">
              <w:t xml:space="preserve">-4.30 (-6.37, </w:t>
            </w:r>
            <w:r w:rsidRPr="0057459B">
              <w:rPr>
                <w:lang w:eastAsia="en-AU"/>
              </w:rPr>
              <w:t>-2.24)</w:t>
            </w:r>
          </w:p>
        </w:tc>
      </w:tr>
      <w:tr w:rsidR="00BF63A3" w:rsidRPr="0057459B" w14:paraId="6DC45C4E" w14:textId="77777777" w:rsidTr="00485C83">
        <w:tc>
          <w:tcPr>
            <w:tcW w:w="988" w:type="dxa"/>
            <w:shd w:val="clear" w:color="auto" w:fill="auto"/>
          </w:tcPr>
          <w:p w14:paraId="5F80A910" w14:textId="77777777" w:rsidR="00BF63A3" w:rsidRPr="0057459B" w:rsidRDefault="00BF63A3" w:rsidP="00485C83">
            <w:pPr>
              <w:pStyle w:val="Tabletext"/>
              <w:rPr>
                <w:vertAlign w:val="superscript"/>
              </w:rPr>
            </w:pPr>
            <w:r w:rsidRPr="0057459B">
              <w:t>500-700</w:t>
            </w:r>
            <w:r w:rsidRPr="0057459B">
              <w:rPr>
                <w:vertAlign w:val="superscript"/>
              </w:rPr>
              <w:t>c</w:t>
            </w:r>
          </w:p>
        </w:tc>
        <w:tc>
          <w:tcPr>
            <w:tcW w:w="849" w:type="dxa"/>
            <w:shd w:val="clear" w:color="auto" w:fill="auto"/>
          </w:tcPr>
          <w:p w14:paraId="65E2AC4B" w14:textId="77777777" w:rsidR="00BF63A3" w:rsidRPr="0057459B" w:rsidRDefault="00BF63A3" w:rsidP="00485C83">
            <w:pPr>
              <w:pStyle w:val="Tabletext"/>
              <w:jc w:val="center"/>
            </w:pPr>
            <w:r w:rsidRPr="0057459B">
              <w:t>1.0</w:t>
            </w:r>
          </w:p>
        </w:tc>
        <w:tc>
          <w:tcPr>
            <w:tcW w:w="1134" w:type="dxa"/>
            <w:shd w:val="clear" w:color="auto" w:fill="auto"/>
          </w:tcPr>
          <w:p w14:paraId="43F89F26" w14:textId="77777777" w:rsidR="00BF63A3" w:rsidRPr="0057459B" w:rsidRDefault="00BF63A3" w:rsidP="00485C83">
            <w:pPr>
              <w:pStyle w:val="Tabletext"/>
              <w:jc w:val="center"/>
            </w:pPr>
            <w:r w:rsidRPr="0057459B">
              <w:t>-1.0</w:t>
            </w:r>
          </w:p>
        </w:tc>
        <w:tc>
          <w:tcPr>
            <w:tcW w:w="1843" w:type="dxa"/>
            <w:shd w:val="clear" w:color="auto" w:fill="auto"/>
          </w:tcPr>
          <w:p w14:paraId="33FE4FD8" w14:textId="77777777" w:rsidR="00BF63A3" w:rsidRPr="0057459B" w:rsidRDefault="00BF63A3" w:rsidP="00111AD6">
            <w:pPr>
              <w:pStyle w:val="Tabletext"/>
              <w:jc w:val="center"/>
            </w:pPr>
            <w:r w:rsidRPr="0057459B">
              <w:t>-2.00 (-3.16, -0.84)</w:t>
            </w:r>
          </w:p>
        </w:tc>
        <w:tc>
          <w:tcPr>
            <w:tcW w:w="1263" w:type="dxa"/>
            <w:shd w:val="clear" w:color="auto" w:fill="auto"/>
          </w:tcPr>
          <w:p w14:paraId="3E49DF8B" w14:textId="77777777" w:rsidR="00BF63A3" w:rsidRPr="0057459B" w:rsidRDefault="00BF63A3" w:rsidP="00485C83">
            <w:pPr>
              <w:pStyle w:val="Tabletext"/>
              <w:jc w:val="center"/>
            </w:pPr>
            <w:r w:rsidRPr="0057459B">
              <w:t>-0.14</w:t>
            </w:r>
          </w:p>
        </w:tc>
        <w:tc>
          <w:tcPr>
            <w:tcW w:w="1147" w:type="dxa"/>
            <w:shd w:val="clear" w:color="auto" w:fill="auto"/>
          </w:tcPr>
          <w:p w14:paraId="3311BBAD" w14:textId="77777777" w:rsidR="00BF63A3" w:rsidRPr="0057459B" w:rsidRDefault="00BF63A3" w:rsidP="00485C83">
            <w:pPr>
              <w:pStyle w:val="Tabletext"/>
              <w:jc w:val="center"/>
            </w:pPr>
            <w:r w:rsidRPr="0057459B">
              <w:t>-3.35</w:t>
            </w:r>
          </w:p>
        </w:tc>
        <w:tc>
          <w:tcPr>
            <w:tcW w:w="1792" w:type="dxa"/>
            <w:shd w:val="clear" w:color="auto" w:fill="auto"/>
          </w:tcPr>
          <w:p w14:paraId="4A59B011" w14:textId="77777777" w:rsidR="00BF63A3" w:rsidRPr="0057459B" w:rsidRDefault="00BF63A3" w:rsidP="00485C83">
            <w:pPr>
              <w:pStyle w:val="Tabletext"/>
              <w:jc w:val="center"/>
            </w:pPr>
            <w:r w:rsidRPr="0057459B">
              <w:t>-3.58 (-5.84,</w:t>
            </w:r>
            <w:r w:rsidRPr="0057459B">
              <w:rPr>
                <w:lang w:eastAsia="en-AU"/>
              </w:rPr>
              <w:t xml:space="preserve"> -1.32)</w:t>
            </w:r>
          </w:p>
        </w:tc>
      </w:tr>
      <w:tr w:rsidR="00BF63A3" w:rsidRPr="0057459B" w14:paraId="77240422" w14:textId="77777777" w:rsidTr="00485C83">
        <w:tc>
          <w:tcPr>
            <w:tcW w:w="988" w:type="dxa"/>
            <w:shd w:val="clear" w:color="auto" w:fill="auto"/>
          </w:tcPr>
          <w:p w14:paraId="21161E44" w14:textId="77777777" w:rsidR="00BF63A3" w:rsidRPr="0057459B" w:rsidRDefault="00BF63A3" w:rsidP="00485C83">
            <w:pPr>
              <w:pStyle w:val="Tabletext"/>
              <w:rPr>
                <w:vertAlign w:val="superscript"/>
              </w:rPr>
            </w:pPr>
            <w:r w:rsidRPr="0057459B">
              <w:t>&gt; 700</w:t>
            </w:r>
            <w:r w:rsidRPr="0057459B">
              <w:rPr>
                <w:vertAlign w:val="superscript"/>
              </w:rPr>
              <w:t>d</w:t>
            </w:r>
          </w:p>
        </w:tc>
        <w:tc>
          <w:tcPr>
            <w:tcW w:w="849" w:type="dxa"/>
            <w:shd w:val="clear" w:color="auto" w:fill="auto"/>
          </w:tcPr>
          <w:p w14:paraId="6893C8FA" w14:textId="77777777" w:rsidR="00BF63A3" w:rsidRPr="0057459B" w:rsidRDefault="00BF63A3" w:rsidP="00485C83">
            <w:pPr>
              <w:pStyle w:val="Tabletext"/>
              <w:jc w:val="center"/>
            </w:pPr>
            <w:r w:rsidRPr="0057459B">
              <w:t>0.0</w:t>
            </w:r>
          </w:p>
        </w:tc>
        <w:tc>
          <w:tcPr>
            <w:tcW w:w="1134" w:type="dxa"/>
            <w:shd w:val="clear" w:color="auto" w:fill="auto"/>
          </w:tcPr>
          <w:p w14:paraId="08921A75" w14:textId="77777777" w:rsidR="00BF63A3" w:rsidRPr="0057459B" w:rsidRDefault="00BF63A3" w:rsidP="00485C83">
            <w:pPr>
              <w:pStyle w:val="Tabletext"/>
              <w:jc w:val="center"/>
            </w:pPr>
            <w:r w:rsidRPr="0057459B">
              <w:t>0.0</w:t>
            </w:r>
          </w:p>
        </w:tc>
        <w:tc>
          <w:tcPr>
            <w:tcW w:w="1843" w:type="dxa"/>
            <w:shd w:val="clear" w:color="auto" w:fill="auto"/>
          </w:tcPr>
          <w:p w14:paraId="680DA2BD" w14:textId="77777777" w:rsidR="00BF63A3" w:rsidRPr="0057459B" w:rsidRDefault="00BF63A3" w:rsidP="00111AD6">
            <w:pPr>
              <w:pStyle w:val="Tabletext"/>
              <w:jc w:val="center"/>
            </w:pPr>
            <w:r w:rsidRPr="0057459B">
              <w:t xml:space="preserve"> 0.00 (-0.68, 0.68)</w:t>
            </w:r>
          </w:p>
        </w:tc>
        <w:tc>
          <w:tcPr>
            <w:tcW w:w="1263" w:type="dxa"/>
            <w:shd w:val="clear" w:color="auto" w:fill="auto"/>
          </w:tcPr>
          <w:p w14:paraId="6E291B40" w14:textId="77777777" w:rsidR="00BF63A3" w:rsidRPr="0057459B" w:rsidRDefault="00BF63A3" w:rsidP="00485C83">
            <w:pPr>
              <w:pStyle w:val="Tabletext"/>
              <w:jc w:val="center"/>
            </w:pPr>
            <w:r w:rsidRPr="0057459B">
              <w:t>0.00</w:t>
            </w:r>
          </w:p>
        </w:tc>
        <w:tc>
          <w:tcPr>
            <w:tcW w:w="1147" w:type="dxa"/>
            <w:shd w:val="clear" w:color="auto" w:fill="auto"/>
          </w:tcPr>
          <w:p w14:paraId="3A076A59" w14:textId="77777777" w:rsidR="00BF63A3" w:rsidRPr="0057459B" w:rsidRDefault="00BF63A3" w:rsidP="00485C83">
            <w:pPr>
              <w:pStyle w:val="Tabletext"/>
              <w:jc w:val="center"/>
            </w:pPr>
            <w:r w:rsidRPr="0057459B">
              <w:t>-4.40</w:t>
            </w:r>
          </w:p>
        </w:tc>
        <w:tc>
          <w:tcPr>
            <w:tcW w:w="1792" w:type="dxa"/>
            <w:shd w:val="clear" w:color="auto" w:fill="auto"/>
          </w:tcPr>
          <w:p w14:paraId="4987BB2A" w14:textId="77777777" w:rsidR="00BF63A3" w:rsidRPr="0057459B" w:rsidRDefault="00BF63A3" w:rsidP="00485C83">
            <w:pPr>
              <w:pStyle w:val="Tabletext"/>
              <w:jc w:val="center"/>
            </w:pPr>
            <w:r w:rsidRPr="0057459B">
              <w:rPr>
                <w:lang w:eastAsia="en-AU"/>
              </w:rPr>
              <w:t>-</w:t>
            </w:r>
            <w:r w:rsidRPr="0057459B">
              <w:t>3.55 (-5.40,</w:t>
            </w:r>
            <w:r w:rsidRPr="0057459B">
              <w:rPr>
                <w:lang w:eastAsia="en-AU"/>
              </w:rPr>
              <w:t xml:space="preserve"> -1.71)</w:t>
            </w:r>
          </w:p>
        </w:tc>
      </w:tr>
    </w:tbl>
    <w:p w14:paraId="3BBF904D" w14:textId="77777777" w:rsidR="00BF63A3" w:rsidRPr="0057459B" w:rsidRDefault="00BF63A3" w:rsidP="00BF63A3">
      <w:pPr>
        <w:pStyle w:val="TableFooter"/>
        <w:keepNext/>
      </w:pPr>
      <w:r w:rsidRPr="0057459B">
        <w:t xml:space="preserve">Source: Table 2.9 pp 389-392 and Table 2.22, </w:t>
      </w:r>
      <w:r w:rsidRPr="0057459B">
        <w:rPr>
          <w:sz w:val="20"/>
          <w:szCs w:val="20"/>
        </w:rPr>
        <w:t>pp480-483 of the Clinical Study Report.</w:t>
      </w:r>
    </w:p>
    <w:p w14:paraId="3F0FAEDE" w14:textId="77777777" w:rsidR="00BF63A3" w:rsidRPr="0057459B" w:rsidRDefault="00BF63A3" w:rsidP="00BF63A3">
      <w:pPr>
        <w:pStyle w:val="TableFooter"/>
        <w:keepNext/>
      </w:pPr>
      <w:r w:rsidRPr="0057459B">
        <w:t>BEC= blood eosinophil count; ENP= endoscopic nasal polyp; MEPO = mepolizumab; NO-VAS= nasal obstruction visual analogue scale; µL= microliter</w:t>
      </w:r>
    </w:p>
    <w:p w14:paraId="57B44CC5" w14:textId="12BE265B" w:rsidR="00BF63A3" w:rsidRPr="0057459B" w:rsidRDefault="00BF63A3" w:rsidP="00BF63A3">
      <w:pPr>
        <w:rPr>
          <w:rFonts w:ascii="Arial Narrow" w:hAnsi="Arial Narrow"/>
          <w:sz w:val="18"/>
        </w:rPr>
      </w:pPr>
      <w:r w:rsidRPr="0057459B">
        <w:rPr>
          <w:rFonts w:ascii="Arial Narrow" w:hAnsi="Arial Narrow"/>
          <w:sz w:val="18"/>
          <w:vertAlign w:val="superscript"/>
        </w:rPr>
        <w:t xml:space="preserve">a </w:t>
      </w:r>
      <w:r w:rsidRPr="0057459B">
        <w:rPr>
          <w:rFonts w:ascii="Arial Narrow" w:hAnsi="Arial Narrow"/>
          <w:sz w:val="18"/>
        </w:rPr>
        <w:t>MEPO n = 69, Placebo n = 66</w:t>
      </w:r>
    </w:p>
    <w:p w14:paraId="3AF1FE67" w14:textId="77777777" w:rsidR="00BF63A3" w:rsidRPr="0057459B" w:rsidRDefault="00BF63A3" w:rsidP="00BF63A3">
      <w:pPr>
        <w:rPr>
          <w:rFonts w:ascii="Arial Narrow" w:hAnsi="Arial Narrow"/>
          <w:sz w:val="18"/>
        </w:rPr>
      </w:pPr>
      <w:r w:rsidRPr="0057459B">
        <w:rPr>
          <w:rFonts w:ascii="Arial Narrow" w:hAnsi="Arial Narrow"/>
          <w:sz w:val="18"/>
          <w:vertAlign w:val="superscript"/>
        </w:rPr>
        <w:t>b</w:t>
      </w:r>
      <w:r w:rsidRPr="0057459B">
        <w:rPr>
          <w:rFonts w:ascii="Arial Narrow" w:hAnsi="Arial Narrow"/>
          <w:sz w:val="18"/>
        </w:rPr>
        <w:t xml:space="preserve"> MEPO n = 60, Placebo n = 59</w:t>
      </w:r>
    </w:p>
    <w:p w14:paraId="70B99147" w14:textId="77777777" w:rsidR="00BF63A3" w:rsidRPr="0057459B" w:rsidRDefault="00BF63A3" w:rsidP="00BF63A3">
      <w:pPr>
        <w:rPr>
          <w:rFonts w:ascii="Arial Narrow" w:hAnsi="Arial Narrow"/>
          <w:sz w:val="18"/>
        </w:rPr>
      </w:pPr>
      <w:r w:rsidRPr="0057459B">
        <w:rPr>
          <w:rFonts w:ascii="Arial Narrow" w:hAnsi="Arial Narrow"/>
          <w:sz w:val="18"/>
          <w:vertAlign w:val="superscript"/>
        </w:rPr>
        <w:t>c</w:t>
      </w:r>
      <w:r w:rsidRPr="0057459B">
        <w:rPr>
          <w:rFonts w:ascii="Arial Narrow" w:hAnsi="Arial Narrow"/>
          <w:sz w:val="18"/>
        </w:rPr>
        <w:t xml:space="preserve"> MEPO n = 28, Placebo n = 26</w:t>
      </w:r>
    </w:p>
    <w:p w14:paraId="1A074529" w14:textId="77777777" w:rsidR="00BF63A3" w:rsidRDefault="00BF63A3" w:rsidP="00BF63A3">
      <w:pPr>
        <w:rPr>
          <w:rFonts w:ascii="Arial Narrow" w:hAnsi="Arial Narrow"/>
          <w:sz w:val="18"/>
        </w:rPr>
      </w:pPr>
      <w:r w:rsidRPr="0057459B">
        <w:rPr>
          <w:rFonts w:ascii="Arial Narrow" w:hAnsi="Arial Narrow"/>
          <w:sz w:val="18"/>
          <w:vertAlign w:val="superscript"/>
        </w:rPr>
        <w:t>d</w:t>
      </w:r>
      <w:r w:rsidRPr="0057459B">
        <w:rPr>
          <w:rFonts w:ascii="Arial Narrow" w:hAnsi="Arial Narrow"/>
          <w:sz w:val="18"/>
        </w:rPr>
        <w:t xml:space="preserve"> MEPO n = 49, Placebo n = 50</w:t>
      </w:r>
    </w:p>
    <w:p w14:paraId="23F4ECD2" w14:textId="77777777" w:rsidR="00C476E8" w:rsidRDefault="00C476E8" w:rsidP="00F2309B">
      <w:pPr>
        <w:pStyle w:val="ListParagraph"/>
        <w:widowControl/>
        <w:rPr>
          <w:rFonts w:ascii="Arial Narrow" w:hAnsi="Arial Narrow"/>
          <w:sz w:val="18"/>
        </w:rPr>
      </w:pPr>
    </w:p>
    <w:p w14:paraId="062DED3D" w14:textId="77777777" w:rsidR="00F2309B" w:rsidRPr="00F2309B" w:rsidRDefault="00F2309B" w:rsidP="00F2309B">
      <w:pPr>
        <w:pStyle w:val="ListParagraph"/>
        <w:widowControl/>
        <w:numPr>
          <w:ilvl w:val="1"/>
          <w:numId w:val="2"/>
        </w:numPr>
      </w:pPr>
      <w:r w:rsidRPr="00F2309B">
        <w:t xml:space="preserve">The PBAC </w:t>
      </w:r>
      <w:r>
        <w:t xml:space="preserve">considered the data presented in Table 8 indicated that the number of previous surgeries was not a treatment effect modifier. </w:t>
      </w:r>
    </w:p>
    <w:p w14:paraId="2AF2F270" w14:textId="77777777" w:rsidR="00F2309B" w:rsidRPr="00C476E8" w:rsidRDefault="00F2309B" w:rsidP="0020510D">
      <w:pPr>
        <w:pStyle w:val="ListParagraph"/>
        <w:keepNext/>
        <w:keepLines/>
        <w:spacing w:after="0"/>
        <w:ind w:left="0"/>
        <w:rPr>
          <w:rFonts w:ascii="Arial Narrow" w:hAnsi="Arial Narrow"/>
          <w:sz w:val="20"/>
          <w:szCs w:val="16"/>
        </w:rPr>
      </w:pPr>
      <w:r w:rsidRPr="00D27BF1">
        <w:rPr>
          <w:rStyle w:val="CommentReference"/>
        </w:rPr>
        <w:t xml:space="preserve">Table </w:t>
      </w:r>
      <w:r w:rsidR="0020510D">
        <w:rPr>
          <w:rStyle w:val="CommentReference"/>
          <w:noProof/>
        </w:rPr>
        <w:t>8</w:t>
      </w:r>
      <w:r w:rsidRPr="00D27BF1">
        <w:rPr>
          <w:rStyle w:val="CommentReference"/>
        </w:rPr>
        <w:t xml:space="preserve"> </w:t>
      </w:r>
      <w:r w:rsidRPr="0057459B">
        <w:rPr>
          <w:rStyle w:val="CommentReference"/>
        </w:rPr>
        <w:t xml:space="preserve">Outcomes for subgroups based on </w:t>
      </w:r>
      <w:r>
        <w:rPr>
          <w:rStyle w:val="CommentReference"/>
        </w:rPr>
        <w:t xml:space="preserve">number of previous surgeries </w:t>
      </w:r>
    </w:p>
    <w:tbl>
      <w:tblPr>
        <w:tblStyle w:val="TableGrid"/>
        <w:tblW w:w="0" w:type="auto"/>
        <w:tblLook w:val="04A0" w:firstRow="1" w:lastRow="0" w:firstColumn="1" w:lastColumn="0" w:noHBand="0" w:noVBand="1"/>
        <w:tblCaption w:val="Table 8 Outcomes for subgroups based on number of previous surgeries "/>
      </w:tblPr>
      <w:tblGrid>
        <w:gridCol w:w="988"/>
        <w:gridCol w:w="849"/>
        <w:gridCol w:w="1134"/>
        <w:gridCol w:w="1843"/>
        <w:gridCol w:w="1263"/>
        <w:gridCol w:w="1147"/>
        <w:gridCol w:w="1792"/>
      </w:tblGrid>
      <w:tr w:rsidR="00F2309B" w:rsidRPr="0057459B" w14:paraId="3C7089A1" w14:textId="77777777" w:rsidTr="00AC5AD6">
        <w:trPr>
          <w:tblHeader/>
        </w:trPr>
        <w:tc>
          <w:tcPr>
            <w:tcW w:w="988" w:type="dxa"/>
            <w:vMerge w:val="restart"/>
            <w:shd w:val="clear" w:color="auto" w:fill="auto"/>
          </w:tcPr>
          <w:p w14:paraId="454B6BC8" w14:textId="77777777" w:rsidR="00F2309B" w:rsidRPr="0057459B" w:rsidRDefault="00F2309B" w:rsidP="0020510D">
            <w:pPr>
              <w:pStyle w:val="Tabletext"/>
              <w:keepNext/>
              <w:keepLines/>
            </w:pPr>
          </w:p>
        </w:tc>
        <w:tc>
          <w:tcPr>
            <w:tcW w:w="3826" w:type="dxa"/>
            <w:gridSpan w:val="3"/>
            <w:shd w:val="clear" w:color="auto" w:fill="auto"/>
            <w:vAlign w:val="center"/>
          </w:tcPr>
          <w:p w14:paraId="7972C13A" w14:textId="77777777" w:rsidR="00F2309B" w:rsidRPr="0057459B" w:rsidRDefault="00F2309B" w:rsidP="0020510D">
            <w:pPr>
              <w:pStyle w:val="Tabletext"/>
              <w:keepNext/>
              <w:keepLines/>
              <w:jc w:val="center"/>
              <w:rPr>
                <w:b/>
              </w:rPr>
            </w:pPr>
            <w:r w:rsidRPr="0057459B">
              <w:rPr>
                <w:b/>
              </w:rPr>
              <w:t>Median total ENP score at Week 52</w:t>
            </w:r>
          </w:p>
        </w:tc>
        <w:tc>
          <w:tcPr>
            <w:tcW w:w="4202" w:type="dxa"/>
            <w:gridSpan w:val="3"/>
            <w:shd w:val="clear" w:color="auto" w:fill="auto"/>
            <w:vAlign w:val="center"/>
          </w:tcPr>
          <w:p w14:paraId="426BCBA6" w14:textId="77777777" w:rsidR="00F2309B" w:rsidRPr="0057459B" w:rsidRDefault="00F2309B" w:rsidP="0020510D">
            <w:pPr>
              <w:pStyle w:val="Tabletext"/>
              <w:keepNext/>
              <w:keepLines/>
              <w:jc w:val="center"/>
              <w:rPr>
                <w:b/>
              </w:rPr>
            </w:pPr>
            <w:r w:rsidRPr="0057459B">
              <w:rPr>
                <w:b/>
              </w:rPr>
              <w:t>Median NO-VAS score at Weeks 49–52</w:t>
            </w:r>
          </w:p>
        </w:tc>
      </w:tr>
      <w:tr w:rsidR="00F2309B" w:rsidRPr="0057459B" w14:paraId="5FB0A837" w14:textId="77777777" w:rsidTr="00AC5AD6">
        <w:trPr>
          <w:tblHeader/>
        </w:trPr>
        <w:tc>
          <w:tcPr>
            <w:tcW w:w="988" w:type="dxa"/>
            <w:vMerge/>
            <w:shd w:val="clear" w:color="auto" w:fill="auto"/>
          </w:tcPr>
          <w:p w14:paraId="445CB5A9" w14:textId="77777777" w:rsidR="00F2309B" w:rsidRPr="0057459B" w:rsidRDefault="00F2309B" w:rsidP="0020510D">
            <w:pPr>
              <w:pStyle w:val="Tabletext"/>
              <w:keepNext/>
              <w:keepLines/>
            </w:pPr>
          </w:p>
        </w:tc>
        <w:tc>
          <w:tcPr>
            <w:tcW w:w="849" w:type="dxa"/>
            <w:shd w:val="clear" w:color="auto" w:fill="auto"/>
            <w:vAlign w:val="center"/>
          </w:tcPr>
          <w:p w14:paraId="33B1FBDF" w14:textId="77777777" w:rsidR="00F2309B" w:rsidRPr="0057459B" w:rsidRDefault="00F2309B" w:rsidP="0020510D">
            <w:pPr>
              <w:pStyle w:val="Tabletext"/>
              <w:keepNext/>
              <w:keepLines/>
              <w:jc w:val="center"/>
            </w:pPr>
            <w:r w:rsidRPr="0057459B">
              <w:t>Placebo</w:t>
            </w:r>
          </w:p>
        </w:tc>
        <w:tc>
          <w:tcPr>
            <w:tcW w:w="1134" w:type="dxa"/>
            <w:shd w:val="clear" w:color="auto" w:fill="auto"/>
            <w:vAlign w:val="center"/>
          </w:tcPr>
          <w:p w14:paraId="4E186DEE" w14:textId="77777777" w:rsidR="00F2309B" w:rsidRPr="0057459B" w:rsidRDefault="00F2309B" w:rsidP="0020510D">
            <w:pPr>
              <w:pStyle w:val="Tabletext"/>
              <w:keepNext/>
              <w:keepLines/>
              <w:jc w:val="center"/>
            </w:pPr>
            <w:r w:rsidRPr="0057459B">
              <w:t>MEPO</w:t>
            </w:r>
          </w:p>
        </w:tc>
        <w:tc>
          <w:tcPr>
            <w:tcW w:w="1843" w:type="dxa"/>
            <w:shd w:val="clear" w:color="auto" w:fill="auto"/>
            <w:vAlign w:val="center"/>
          </w:tcPr>
          <w:p w14:paraId="1A3E2E16" w14:textId="23D23459" w:rsidR="00F2309B" w:rsidRPr="0057459B" w:rsidRDefault="00F2309B" w:rsidP="0020510D">
            <w:pPr>
              <w:pStyle w:val="Tabletext"/>
              <w:keepNext/>
              <w:keepLines/>
              <w:jc w:val="center"/>
            </w:pPr>
            <w:r w:rsidRPr="0057459B">
              <w:t>Difference (95% CI)</w:t>
            </w:r>
          </w:p>
        </w:tc>
        <w:tc>
          <w:tcPr>
            <w:tcW w:w="1263" w:type="dxa"/>
            <w:shd w:val="clear" w:color="auto" w:fill="auto"/>
            <w:vAlign w:val="center"/>
          </w:tcPr>
          <w:p w14:paraId="5E7AC7AD" w14:textId="77777777" w:rsidR="00F2309B" w:rsidRPr="0057459B" w:rsidRDefault="00F2309B" w:rsidP="0020510D">
            <w:pPr>
              <w:pStyle w:val="Tabletext"/>
              <w:keepNext/>
              <w:keepLines/>
              <w:jc w:val="center"/>
            </w:pPr>
            <w:r w:rsidRPr="0057459B">
              <w:t>Placebo</w:t>
            </w:r>
          </w:p>
        </w:tc>
        <w:tc>
          <w:tcPr>
            <w:tcW w:w="1147" w:type="dxa"/>
            <w:shd w:val="clear" w:color="auto" w:fill="auto"/>
            <w:vAlign w:val="center"/>
          </w:tcPr>
          <w:p w14:paraId="274B0ED7" w14:textId="77777777" w:rsidR="00F2309B" w:rsidRPr="0057459B" w:rsidRDefault="00F2309B" w:rsidP="0020510D">
            <w:pPr>
              <w:pStyle w:val="Tabletext"/>
              <w:keepNext/>
              <w:keepLines/>
              <w:jc w:val="center"/>
            </w:pPr>
            <w:r w:rsidRPr="0057459B">
              <w:t>MEPO</w:t>
            </w:r>
          </w:p>
        </w:tc>
        <w:tc>
          <w:tcPr>
            <w:tcW w:w="1792" w:type="dxa"/>
            <w:shd w:val="clear" w:color="auto" w:fill="auto"/>
            <w:vAlign w:val="center"/>
          </w:tcPr>
          <w:p w14:paraId="05852387" w14:textId="522EF227" w:rsidR="00F2309B" w:rsidRPr="0057459B" w:rsidRDefault="00F2309B" w:rsidP="0020510D">
            <w:pPr>
              <w:pStyle w:val="Tabletext"/>
              <w:keepNext/>
              <w:keepLines/>
              <w:jc w:val="center"/>
            </w:pPr>
            <w:r w:rsidRPr="0057459B">
              <w:t>Difference (95% CI)</w:t>
            </w:r>
          </w:p>
        </w:tc>
      </w:tr>
      <w:tr w:rsidR="00F2309B" w:rsidRPr="0057459B" w14:paraId="7ADB975C" w14:textId="77777777" w:rsidTr="00A22F9C">
        <w:tc>
          <w:tcPr>
            <w:tcW w:w="9016" w:type="dxa"/>
            <w:gridSpan w:val="7"/>
            <w:shd w:val="clear" w:color="auto" w:fill="auto"/>
          </w:tcPr>
          <w:p w14:paraId="17322C56" w14:textId="77777777" w:rsidR="00F2309B" w:rsidRPr="0057459B" w:rsidRDefault="00F2309B" w:rsidP="0020510D">
            <w:pPr>
              <w:pStyle w:val="Tabletext"/>
              <w:keepNext/>
              <w:keepLines/>
              <w:rPr>
                <w:b/>
              </w:rPr>
            </w:pPr>
            <w:r>
              <w:rPr>
                <w:b/>
              </w:rPr>
              <w:t xml:space="preserve">Number of previous surgeries </w:t>
            </w:r>
          </w:p>
        </w:tc>
      </w:tr>
      <w:tr w:rsidR="00F2309B" w:rsidRPr="0057459B" w14:paraId="2664F19C" w14:textId="77777777" w:rsidTr="00A22F9C">
        <w:tc>
          <w:tcPr>
            <w:tcW w:w="988" w:type="dxa"/>
            <w:shd w:val="clear" w:color="auto" w:fill="auto"/>
            <w:vAlign w:val="center"/>
          </w:tcPr>
          <w:p w14:paraId="554AA67F" w14:textId="77777777" w:rsidR="00F2309B" w:rsidRPr="00F2309B" w:rsidRDefault="00F2309B" w:rsidP="0020510D">
            <w:pPr>
              <w:pStyle w:val="Tabletext"/>
              <w:keepNext/>
              <w:keepLines/>
              <w:jc w:val="center"/>
              <w:rPr>
                <w:vertAlign w:val="superscript"/>
              </w:rPr>
            </w:pPr>
            <w:r>
              <w:t>1</w:t>
            </w:r>
            <w:r>
              <w:rPr>
                <w:vertAlign w:val="superscript"/>
              </w:rPr>
              <w:t>a</w:t>
            </w:r>
          </w:p>
        </w:tc>
        <w:tc>
          <w:tcPr>
            <w:tcW w:w="849" w:type="dxa"/>
            <w:shd w:val="clear" w:color="auto" w:fill="auto"/>
          </w:tcPr>
          <w:p w14:paraId="2BE23C91" w14:textId="77777777" w:rsidR="00F2309B" w:rsidRPr="0057459B" w:rsidRDefault="00F2309B" w:rsidP="0020510D">
            <w:pPr>
              <w:pStyle w:val="Tabletext"/>
              <w:keepNext/>
              <w:keepLines/>
              <w:jc w:val="center"/>
            </w:pPr>
            <w:r>
              <w:t>0.0</w:t>
            </w:r>
          </w:p>
        </w:tc>
        <w:tc>
          <w:tcPr>
            <w:tcW w:w="1134" w:type="dxa"/>
            <w:shd w:val="clear" w:color="auto" w:fill="auto"/>
          </w:tcPr>
          <w:p w14:paraId="213A45C5" w14:textId="77777777" w:rsidR="00F2309B" w:rsidRPr="0057459B" w:rsidRDefault="00F2309B" w:rsidP="0020510D">
            <w:pPr>
              <w:pStyle w:val="Tabletext"/>
              <w:keepNext/>
              <w:keepLines/>
              <w:jc w:val="center"/>
            </w:pPr>
            <w:r>
              <w:t>-1.0</w:t>
            </w:r>
          </w:p>
        </w:tc>
        <w:tc>
          <w:tcPr>
            <w:tcW w:w="1843" w:type="dxa"/>
            <w:shd w:val="clear" w:color="auto" w:fill="auto"/>
          </w:tcPr>
          <w:p w14:paraId="539347CB" w14:textId="77777777" w:rsidR="00F2309B" w:rsidRPr="0057459B" w:rsidRDefault="00F2309B" w:rsidP="0020510D">
            <w:pPr>
              <w:pStyle w:val="Tabletext"/>
              <w:keepNext/>
              <w:keepLines/>
              <w:jc w:val="center"/>
            </w:pPr>
            <w:r>
              <w:t>-1.00 (-1.51, -0.49)</w:t>
            </w:r>
          </w:p>
        </w:tc>
        <w:tc>
          <w:tcPr>
            <w:tcW w:w="1263" w:type="dxa"/>
            <w:shd w:val="clear" w:color="auto" w:fill="auto"/>
          </w:tcPr>
          <w:p w14:paraId="54361D8C" w14:textId="77777777" w:rsidR="00F2309B" w:rsidRPr="0057459B" w:rsidRDefault="00F2309B" w:rsidP="0020510D">
            <w:pPr>
              <w:pStyle w:val="Tabletext"/>
              <w:keepNext/>
              <w:keepLines/>
              <w:jc w:val="center"/>
            </w:pPr>
            <w:r>
              <w:t>-2.15</w:t>
            </w:r>
          </w:p>
        </w:tc>
        <w:tc>
          <w:tcPr>
            <w:tcW w:w="1147" w:type="dxa"/>
            <w:shd w:val="clear" w:color="auto" w:fill="auto"/>
          </w:tcPr>
          <w:p w14:paraId="3B1865CB" w14:textId="77777777" w:rsidR="00F2309B" w:rsidRPr="0057459B" w:rsidRDefault="00F2309B" w:rsidP="0020510D">
            <w:pPr>
              <w:pStyle w:val="Tabletext"/>
              <w:keepNext/>
              <w:keepLines/>
              <w:jc w:val="center"/>
            </w:pPr>
            <w:r>
              <w:t>-4.47</w:t>
            </w:r>
          </w:p>
        </w:tc>
        <w:tc>
          <w:tcPr>
            <w:tcW w:w="1792" w:type="dxa"/>
            <w:shd w:val="clear" w:color="auto" w:fill="auto"/>
          </w:tcPr>
          <w:p w14:paraId="3205DFBC" w14:textId="77777777" w:rsidR="00F2309B" w:rsidRPr="0057459B" w:rsidRDefault="00F2309B" w:rsidP="0020510D">
            <w:pPr>
              <w:pStyle w:val="Tabletext"/>
              <w:keepNext/>
              <w:keepLines/>
              <w:jc w:val="center"/>
            </w:pPr>
            <w:r>
              <w:t>-2.46 (-3.94, -0.97)</w:t>
            </w:r>
          </w:p>
        </w:tc>
      </w:tr>
      <w:tr w:rsidR="00F2309B" w:rsidRPr="0057459B" w14:paraId="5B842EEB" w14:textId="77777777" w:rsidTr="00A22F9C">
        <w:tc>
          <w:tcPr>
            <w:tcW w:w="988" w:type="dxa"/>
            <w:shd w:val="clear" w:color="auto" w:fill="auto"/>
            <w:vAlign w:val="center"/>
          </w:tcPr>
          <w:p w14:paraId="0995BE00" w14:textId="77777777" w:rsidR="00F2309B" w:rsidRPr="00F2309B" w:rsidRDefault="00F2309B" w:rsidP="0020510D">
            <w:pPr>
              <w:pStyle w:val="Tabletext"/>
              <w:keepNext/>
              <w:keepLines/>
              <w:jc w:val="center"/>
              <w:rPr>
                <w:vertAlign w:val="superscript"/>
              </w:rPr>
            </w:pPr>
            <w:r>
              <w:t>2</w:t>
            </w:r>
            <w:r>
              <w:rPr>
                <w:vertAlign w:val="superscript"/>
              </w:rPr>
              <w:t>b</w:t>
            </w:r>
          </w:p>
        </w:tc>
        <w:tc>
          <w:tcPr>
            <w:tcW w:w="849" w:type="dxa"/>
            <w:shd w:val="clear" w:color="auto" w:fill="auto"/>
          </w:tcPr>
          <w:p w14:paraId="50A6AEAF" w14:textId="77777777" w:rsidR="00F2309B" w:rsidRPr="0057459B" w:rsidRDefault="00F2309B" w:rsidP="0020510D">
            <w:pPr>
              <w:pStyle w:val="Tabletext"/>
              <w:keepNext/>
              <w:keepLines/>
              <w:jc w:val="center"/>
            </w:pPr>
            <w:r>
              <w:t>0.0</w:t>
            </w:r>
          </w:p>
        </w:tc>
        <w:tc>
          <w:tcPr>
            <w:tcW w:w="1134" w:type="dxa"/>
            <w:shd w:val="clear" w:color="auto" w:fill="auto"/>
          </w:tcPr>
          <w:p w14:paraId="2588619E" w14:textId="77777777" w:rsidR="00F2309B" w:rsidRPr="0057459B" w:rsidRDefault="00F2309B" w:rsidP="0020510D">
            <w:pPr>
              <w:pStyle w:val="Tabletext"/>
              <w:keepNext/>
              <w:keepLines/>
              <w:jc w:val="center"/>
            </w:pPr>
            <w:r>
              <w:t>0.0</w:t>
            </w:r>
          </w:p>
        </w:tc>
        <w:tc>
          <w:tcPr>
            <w:tcW w:w="1843" w:type="dxa"/>
            <w:shd w:val="clear" w:color="auto" w:fill="auto"/>
          </w:tcPr>
          <w:p w14:paraId="7C15AF67" w14:textId="77777777" w:rsidR="00F2309B" w:rsidRPr="0057459B" w:rsidRDefault="00F2309B" w:rsidP="0020510D">
            <w:pPr>
              <w:pStyle w:val="Tabletext"/>
              <w:keepNext/>
              <w:keepLines/>
              <w:jc w:val="center"/>
            </w:pPr>
            <w:r>
              <w:t>0.00 (-0.80, 0.80)</w:t>
            </w:r>
          </w:p>
        </w:tc>
        <w:tc>
          <w:tcPr>
            <w:tcW w:w="1263" w:type="dxa"/>
            <w:shd w:val="clear" w:color="auto" w:fill="auto"/>
          </w:tcPr>
          <w:p w14:paraId="66F70DC8" w14:textId="77777777" w:rsidR="00F2309B" w:rsidRPr="0057459B" w:rsidRDefault="00F2309B" w:rsidP="0020510D">
            <w:pPr>
              <w:pStyle w:val="Tabletext"/>
              <w:keepNext/>
              <w:keepLines/>
              <w:jc w:val="center"/>
            </w:pPr>
            <w:r>
              <w:t>-0.75</w:t>
            </w:r>
          </w:p>
        </w:tc>
        <w:tc>
          <w:tcPr>
            <w:tcW w:w="1147" w:type="dxa"/>
            <w:shd w:val="clear" w:color="auto" w:fill="auto"/>
          </w:tcPr>
          <w:p w14:paraId="2ED8AC2A" w14:textId="77777777" w:rsidR="00F2309B" w:rsidRPr="0057459B" w:rsidRDefault="00F2309B" w:rsidP="0020510D">
            <w:pPr>
              <w:pStyle w:val="Tabletext"/>
              <w:keepNext/>
              <w:keepLines/>
              <w:jc w:val="center"/>
            </w:pPr>
            <w:r>
              <w:t>-4.31</w:t>
            </w:r>
          </w:p>
        </w:tc>
        <w:tc>
          <w:tcPr>
            <w:tcW w:w="1792" w:type="dxa"/>
            <w:shd w:val="clear" w:color="auto" w:fill="auto"/>
          </w:tcPr>
          <w:p w14:paraId="4951A06C" w14:textId="77777777" w:rsidR="00F2309B" w:rsidRPr="0057459B" w:rsidRDefault="00F2309B" w:rsidP="0020510D">
            <w:pPr>
              <w:pStyle w:val="Tabletext"/>
              <w:keepNext/>
              <w:keepLines/>
              <w:jc w:val="center"/>
            </w:pPr>
            <w:r>
              <w:t>-0.77 (-3.21, 1.72)</w:t>
            </w:r>
          </w:p>
        </w:tc>
      </w:tr>
      <w:tr w:rsidR="00F2309B" w:rsidRPr="0057459B" w14:paraId="36665267" w14:textId="77777777" w:rsidTr="00A22F9C">
        <w:tc>
          <w:tcPr>
            <w:tcW w:w="988" w:type="dxa"/>
            <w:shd w:val="clear" w:color="auto" w:fill="auto"/>
            <w:vAlign w:val="center"/>
          </w:tcPr>
          <w:p w14:paraId="7908C57C" w14:textId="77777777" w:rsidR="00F2309B" w:rsidRPr="00F2309B" w:rsidRDefault="00F2309B" w:rsidP="0020510D">
            <w:pPr>
              <w:pStyle w:val="Tabletext"/>
              <w:keepNext/>
              <w:keepLines/>
              <w:jc w:val="center"/>
              <w:rPr>
                <w:vertAlign w:val="superscript"/>
              </w:rPr>
            </w:pPr>
            <w:r>
              <w:t>&gt; 2</w:t>
            </w:r>
            <w:r>
              <w:rPr>
                <w:vertAlign w:val="superscript"/>
              </w:rPr>
              <w:t>c</w:t>
            </w:r>
          </w:p>
        </w:tc>
        <w:tc>
          <w:tcPr>
            <w:tcW w:w="849" w:type="dxa"/>
            <w:shd w:val="clear" w:color="auto" w:fill="auto"/>
          </w:tcPr>
          <w:p w14:paraId="608D1743" w14:textId="77777777" w:rsidR="00F2309B" w:rsidRPr="0057459B" w:rsidRDefault="00F2309B" w:rsidP="0020510D">
            <w:pPr>
              <w:pStyle w:val="Tabletext"/>
              <w:keepNext/>
              <w:keepLines/>
              <w:jc w:val="center"/>
            </w:pPr>
            <w:r>
              <w:t>0.0</w:t>
            </w:r>
          </w:p>
        </w:tc>
        <w:tc>
          <w:tcPr>
            <w:tcW w:w="1134" w:type="dxa"/>
            <w:shd w:val="clear" w:color="auto" w:fill="auto"/>
          </w:tcPr>
          <w:p w14:paraId="1FC250DD" w14:textId="77777777" w:rsidR="00F2309B" w:rsidRPr="0057459B" w:rsidRDefault="00F2309B" w:rsidP="0020510D">
            <w:pPr>
              <w:pStyle w:val="Tabletext"/>
              <w:keepNext/>
              <w:keepLines/>
              <w:jc w:val="center"/>
            </w:pPr>
            <w:r>
              <w:t>0.0</w:t>
            </w:r>
          </w:p>
        </w:tc>
        <w:tc>
          <w:tcPr>
            <w:tcW w:w="1843" w:type="dxa"/>
            <w:shd w:val="clear" w:color="auto" w:fill="auto"/>
          </w:tcPr>
          <w:p w14:paraId="7CA4FADC" w14:textId="77777777" w:rsidR="00F2309B" w:rsidRPr="0057459B" w:rsidRDefault="00F2309B" w:rsidP="0020510D">
            <w:pPr>
              <w:pStyle w:val="Tabletext"/>
              <w:keepNext/>
              <w:keepLines/>
              <w:jc w:val="center"/>
            </w:pPr>
            <w:r>
              <w:t>-2.0 (-0.86, 0.46)</w:t>
            </w:r>
          </w:p>
        </w:tc>
        <w:tc>
          <w:tcPr>
            <w:tcW w:w="1263" w:type="dxa"/>
            <w:shd w:val="clear" w:color="auto" w:fill="auto"/>
          </w:tcPr>
          <w:p w14:paraId="6038BC30" w14:textId="77777777" w:rsidR="00F2309B" w:rsidRPr="0057459B" w:rsidRDefault="00F2309B" w:rsidP="0020510D">
            <w:pPr>
              <w:pStyle w:val="Tabletext"/>
              <w:keepNext/>
              <w:keepLines/>
              <w:jc w:val="center"/>
            </w:pPr>
            <w:r>
              <w:t>-0.22</w:t>
            </w:r>
          </w:p>
        </w:tc>
        <w:tc>
          <w:tcPr>
            <w:tcW w:w="1147" w:type="dxa"/>
            <w:shd w:val="clear" w:color="auto" w:fill="auto"/>
          </w:tcPr>
          <w:p w14:paraId="7B98576C" w14:textId="77777777" w:rsidR="00F2309B" w:rsidRPr="0057459B" w:rsidRDefault="00F2309B" w:rsidP="0020510D">
            <w:pPr>
              <w:pStyle w:val="Tabletext"/>
              <w:keepNext/>
              <w:keepLines/>
              <w:jc w:val="center"/>
            </w:pPr>
            <w:r>
              <w:t>-3.49</w:t>
            </w:r>
          </w:p>
        </w:tc>
        <w:tc>
          <w:tcPr>
            <w:tcW w:w="1792" w:type="dxa"/>
            <w:shd w:val="clear" w:color="auto" w:fill="auto"/>
          </w:tcPr>
          <w:p w14:paraId="1E5ED035" w14:textId="77777777" w:rsidR="00F2309B" w:rsidRPr="0057459B" w:rsidRDefault="00F2309B" w:rsidP="0020510D">
            <w:pPr>
              <w:pStyle w:val="Tabletext"/>
              <w:keepNext/>
              <w:keepLines/>
              <w:jc w:val="center"/>
            </w:pPr>
            <w:r>
              <w:t>-3.50 (-4.90, -2.10)</w:t>
            </w:r>
          </w:p>
        </w:tc>
      </w:tr>
    </w:tbl>
    <w:p w14:paraId="0E740865" w14:textId="77777777" w:rsidR="00F2309B" w:rsidRDefault="00F2309B" w:rsidP="0020510D">
      <w:pPr>
        <w:keepNext/>
        <w:keepLines/>
        <w:rPr>
          <w:rFonts w:ascii="Arial Narrow" w:hAnsi="Arial Narrow"/>
          <w:sz w:val="18"/>
        </w:rPr>
      </w:pPr>
      <w:r w:rsidRPr="00C476E8">
        <w:rPr>
          <w:rFonts w:ascii="Arial Narrow" w:hAnsi="Arial Narrow"/>
          <w:sz w:val="18"/>
        </w:rPr>
        <w:t>Source:</w:t>
      </w:r>
      <w:r w:rsidR="00DF4728">
        <w:rPr>
          <w:rFonts w:ascii="Arial Narrow" w:hAnsi="Arial Narrow"/>
          <w:sz w:val="18"/>
        </w:rPr>
        <w:t xml:space="preserve"> Table 25, p 79 and Table 27, p 86 of the Clinical Study Report </w:t>
      </w:r>
    </w:p>
    <w:p w14:paraId="1472CF67" w14:textId="77777777" w:rsidR="00F2309B" w:rsidRDefault="00F2309B" w:rsidP="0020510D">
      <w:pPr>
        <w:keepNext/>
        <w:keepLines/>
        <w:rPr>
          <w:rFonts w:ascii="Arial Narrow" w:hAnsi="Arial Narrow"/>
          <w:sz w:val="18"/>
        </w:rPr>
      </w:pPr>
      <w:r w:rsidRPr="00F2309B">
        <w:rPr>
          <w:rFonts w:ascii="Arial Narrow" w:hAnsi="Arial Narrow"/>
          <w:sz w:val="18"/>
          <w:vertAlign w:val="superscript"/>
        </w:rPr>
        <w:t xml:space="preserve">a </w:t>
      </w:r>
      <w:r>
        <w:rPr>
          <w:rFonts w:ascii="Arial Narrow" w:hAnsi="Arial Narrow"/>
          <w:sz w:val="18"/>
        </w:rPr>
        <w:t>MEPO n = 108, Placebo n = 81</w:t>
      </w:r>
    </w:p>
    <w:p w14:paraId="138B6B8D" w14:textId="77777777" w:rsidR="00F2309B" w:rsidRDefault="00F2309B" w:rsidP="0020510D">
      <w:pPr>
        <w:keepNext/>
        <w:keepLines/>
        <w:rPr>
          <w:rStyle w:val="CommentReference"/>
          <w:b w:val="0"/>
          <w:sz w:val="18"/>
          <w:szCs w:val="22"/>
        </w:rPr>
      </w:pPr>
      <w:r>
        <w:rPr>
          <w:rStyle w:val="CommentReference"/>
          <w:b w:val="0"/>
          <w:sz w:val="18"/>
          <w:szCs w:val="22"/>
          <w:vertAlign w:val="superscript"/>
        </w:rPr>
        <w:t>b</w:t>
      </w:r>
      <w:r>
        <w:rPr>
          <w:rStyle w:val="CommentReference"/>
          <w:b w:val="0"/>
          <w:sz w:val="18"/>
          <w:szCs w:val="22"/>
        </w:rPr>
        <w:t xml:space="preserve"> MEPO n = 47, Placebo n = 47</w:t>
      </w:r>
    </w:p>
    <w:p w14:paraId="66A9BE7C" w14:textId="77777777" w:rsidR="00F2309B" w:rsidRPr="00F2309B" w:rsidRDefault="00F2309B" w:rsidP="0020510D">
      <w:pPr>
        <w:keepNext/>
        <w:keepLines/>
        <w:rPr>
          <w:rFonts w:ascii="Arial Narrow" w:hAnsi="Arial Narrow"/>
          <w:sz w:val="18"/>
        </w:rPr>
      </w:pPr>
      <w:r>
        <w:rPr>
          <w:rStyle w:val="CommentReference"/>
          <w:b w:val="0"/>
          <w:sz w:val="18"/>
          <w:szCs w:val="22"/>
          <w:vertAlign w:val="superscript"/>
        </w:rPr>
        <w:t xml:space="preserve">c </w:t>
      </w:r>
      <w:r>
        <w:rPr>
          <w:rStyle w:val="CommentReference"/>
          <w:b w:val="0"/>
          <w:sz w:val="18"/>
          <w:szCs w:val="22"/>
        </w:rPr>
        <w:t>MEPO n = 51, Placebo n = 73</w:t>
      </w:r>
    </w:p>
    <w:p w14:paraId="18FD9914" w14:textId="77777777" w:rsidR="00F2309B" w:rsidRDefault="00F2309B" w:rsidP="00BF63A3">
      <w:pPr>
        <w:rPr>
          <w:rFonts w:ascii="Arial Narrow" w:hAnsi="Arial Narrow"/>
          <w:sz w:val="18"/>
        </w:rPr>
      </w:pPr>
    </w:p>
    <w:p w14:paraId="53E65BAC" w14:textId="77777777" w:rsidR="00B60939" w:rsidRPr="00D27BF1" w:rsidRDefault="00B60939" w:rsidP="00C9624D">
      <w:pPr>
        <w:pStyle w:val="Heading2"/>
      </w:pPr>
      <w:bookmarkStart w:id="18" w:name="_Toc82528840"/>
      <w:r w:rsidRPr="00D27BF1">
        <w:t>Comparative harms</w:t>
      </w:r>
      <w:bookmarkEnd w:id="18"/>
    </w:p>
    <w:p w14:paraId="0A862DF9" w14:textId="77777777" w:rsidR="00945789" w:rsidRPr="00D27BF1" w:rsidRDefault="0020510D" w:rsidP="00B313EF">
      <w:pPr>
        <w:pStyle w:val="ListParagraph"/>
        <w:widowControl/>
        <w:numPr>
          <w:ilvl w:val="1"/>
          <w:numId w:val="2"/>
        </w:numPr>
        <w:rPr>
          <w:rStyle w:val="CommentReference"/>
          <w:rFonts w:ascii="Calibri" w:hAnsi="Calibri"/>
          <w:b w:val="0"/>
          <w:sz w:val="24"/>
          <w:szCs w:val="22"/>
        </w:rPr>
      </w:pPr>
      <w:r w:rsidRPr="0020510D">
        <w:rPr>
          <w:rStyle w:val="CommentReference"/>
          <w:rFonts w:asciiTheme="minorHAnsi" w:hAnsiTheme="minorHAnsi" w:cstheme="minorHAnsi"/>
          <w:b w:val="0"/>
          <w:sz w:val="24"/>
          <w:szCs w:val="24"/>
        </w:rPr>
        <w:t>Table 9</w:t>
      </w:r>
      <w:r w:rsidR="009A0256" w:rsidRPr="00D27BF1">
        <w:rPr>
          <w:rFonts w:asciiTheme="minorHAnsi" w:hAnsiTheme="minorHAnsi" w:cstheme="minorHAnsi"/>
          <w:b/>
          <w:szCs w:val="24"/>
        </w:rPr>
        <w:t xml:space="preserve"> </w:t>
      </w:r>
      <w:r w:rsidR="001E3383" w:rsidRPr="00D27BF1">
        <w:rPr>
          <w:rFonts w:asciiTheme="minorHAnsi" w:hAnsiTheme="minorHAnsi" w:cstheme="minorHAnsi"/>
          <w:szCs w:val="24"/>
        </w:rPr>
        <w:t xml:space="preserve">presents </w:t>
      </w:r>
      <w:r w:rsidR="00672B6C" w:rsidRPr="00D27BF1">
        <w:rPr>
          <w:rFonts w:asciiTheme="minorHAnsi" w:hAnsiTheme="minorHAnsi" w:cstheme="minorHAnsi"/>
          <w:szCs w:val="24"/>
        </w:rPr>
        <w:t xml:space="preserve">a summary of adverse events (AEs) in SYNAPSE. </w:t>
      </w:r>
    </w:p>
    <w:p w14:paraId="589E683F" w14:textId="77777777" w:rsidR="008D6587" w:rsidRPr="00D27BF1" w:rsidRDefault="009A0256" w:rsidP="00B82348">
      <w:pPr>
        <w:pStyle w:val="ListParagraph"/>
        <w:keepNext/>
        <w:keepLines/>
        <w:spacing w:after="0"/>
        <w:ind w:left="0"/>
        <w:rPr>
          <w:rStyle w:val="CommentReference"/>
          <w:b w:val="0"/>
        </w:rPr>
      </w:pPr>
      <w:bookmarkStart w:id="19" w:name="_Ref80566557"/>
      <w:r w:rsidRPr="00D27BF1">
        <w:rPr>
          <w:rStyle w:val="CommentReference"/>
        </w:rPr>
        <w:t xml:space="preserve">Table </w:t>
      </w:r>
      <w:r w:rsidR="0020510D">
        <w:rPr>
          <w:rStyle w:val="CommentReference"/>
          <w:noProof/>
        </w:rPr>
        <w:t>9</w:t>
      </w:r>
      <w:bookmarkEnd w:id="19"/>
      <w:r w:rsidR="008D6587" w:rsidRPr="00D27BF1">
        <w:rPr>
          <w:rStyle w:val="CommentReference"/>
        </w:rPr>
        <w:t>: Adverse event overview</w:t>
      </w:r>
    </w:p>
    <w:tbl>
      <w:tblPr>
        <w:tblStyle w:val="TableGrid"/>
        <w:tblW w:w="0" w:type="auto"/>
        <w:tblLook w:val="04A0" w:firstRow="1" w:lastRow="0" w:firstColumn="1" w:lastColumn="0" w:noHBand="0" w:noVBand="1"/>
        <w:tblCaption w:val="Table 9: Adverse event overview"/>
      </w:tblPr>
      <w:tblGrid>
        <w:gridCol w:w="2972"/>
        <w:gridCol w:w="1351"/>
        <w:gridCol w:w="1351"/>
        <w:gridCol w:w="1556"/>
        <w:gridCol w:w="1787"/>
      </w:tblGrid>
      <w:tr w:rsidR="008D6587" w:rsidRPr="00D27BF1" w14:paraId="5434A2E8" w14:textId="77777777" w:rsidTr="00AC5AD6">
        <w:trPr>
          <w:tblHeader/>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50121AF8" w14:textId="77777777" w:rsidR="008D6587" w:rsidRPr="00D27BF1" w:rsidRDefault="008D6587" w:rsidP="00B82348">
            <w:pPr>
              <w:pStyle w:val="Tabletext"/>
              <w:keepNext/>
              <w:keepLines/>
            </w:pPr>
          </w:p>
        </w:tc>
        <w:tc>
          <w:tcPr>
            <w:tcW w:w="1351" w:type="dxa"/>
            <w:tcBorders>
              <w:bottom w:val="single" w:sz="4" w:space="0" w:color="auto"/>
            </w:tcBorders>
            <w:shd w:val="clear" w:color="auto" w:fill="auto"/>
          </w:tcPr>
          <w:p w14:paraId="61A16D04" w14:textId="77777777" w:rsidR="008D6587" w:rsidRPr="00D27BF1" w:rsidRDefault="008D6587" w:rsidP="00B82348">
            <w:pPr>
              <w:pStyle w:val="Tabletext"/>
              <w:keepNext/>
              <w:keepLines/>
              <w:jc w:val="center"/>
              <w:rPr>
                <w:rFonts w:eastAsia="Arial"/>
                <w:b/>
              </w:rPr>
            </w:pPr>
            <w:r w:rsidRPr="00D27BF1">
              <w:rPr>
                <w:rFonts w:eastAsia="Arial"/>
                <w:b/>
              </w:rPr>
              <w:t>PLA (N=201)</w:t>
            </w:r>
          </w:p>
        </w:tc>
        <w:tc>
          <w:tcPr>
            <w:tcW w:w="1351" w:type="dxa"/>
            <w:tcBorders>
              <w:bottom w:val="single" w:sz="4" w:space="0" w:color="auto"/>
            </w:tcBorders>
            <w:shd w:val="clear" w:color="auto" w:fill="auto"/>
          </w:tcPr>
          <w:p w14:paraId="08E012E4" w14:textId="77777777" w:rsidR="008D6587" w:rsidRPr="00D27BF1" w:rsidRDefault="008D6587" w:rsidP="00B82348">
            <w:pPr>
              <w:pStyle w:val="Tabletext"/>
              <w:keepNext/>
              <w:keepLines/>
              <w:jc w:val="center"/>
              <w:rPr>
                <w:rFonts w:eastAsia="Arial"/>
                <w:b/>
              </w:rPr>
            </w:pPr>
            <w:r w:rsidRPr="00D27BF1">
              <w:rPr>
                <w:rFonts w:eastAsia="Arial"/>
                <w:b/>
              </w:rPr>
              <w:t>MEPO (N=206)</w:t>
            </w:r>
          </w:p>
        </w:tc>
        <w:tc>
          <w:tcPr>
            <w:tcW w:w="1556" w:type="dxa"/>
          </w:tcPr>
          <w:p w14:paraId="17415F8A" w14:textId="77777777" w:rsidR="008D6587" w:rsidRPr="00D27BF1" w:rsidRDefault="008D6587" w:rsidP="00B82348">
            <w:pPr>
              <w:pStyle w:val="Tabletext"/>
              <w:keepNext/>
              <w:keepLines/>
              <w:jc w:val="center"/>
              <w:rPr>
                <w:b/>
              </w:rPr>
            </w:pPr>
            <w:r w:rsidRPr="00D27BF1">
              <w:rPr>
                <w:b/>
              </w:rPr>
              <w:t>OR (95% CI)</w:t>
            </w:r>
            <w:r w:rsidR="0057459B">
              <w:rPr>
                <w:b/>
              </w:rPr>
              <w:t>*</w:t>
            </w:r>
          </w:p>
        </w:tc>
        <w:tc>
          <w:tcPr>
            <w:tcW w:w="1787" w:type="dxa"/>
          </w:tcPr>
          <w:p w14:paraId="41FAF924" w14:textId="77777777" w:rsidR="008D6587" w:rsidRPr="00D27BF1" w:rsidRDefault="008D6587" w:rsidP="00B82348">
            <w:pPr>
              <w:pStyle w:val="Tabletext"/>
              <w:keepNext/>
              <w:keepLines/>
              <w:jc w:val="center"/>
              <w:rPr>
                <w:b/>
              </w:rPr>
            </w:pPr>
            <w:r w:rsidRPr="00D27BF1">
              <w:rPr>
                <w:b/>
              </w:rPr>
              <w:t>RD (95% CI)</w:t>
            </w:r>
            <w:r w:rsidR="0057459B">
              <w:rPr>
                <w:b/>
              </w:rPr>
              <w:t>*</w:t>
            </w:r>
          </w:p>
        </w:tc>
      </w:tr>
      <w:tr w:rsidR="008D6587" w:rsidRPr="00D27BF1" w14:paraId="66EF6A34" w14:textId="77777777" w:rsidTr="00031FA2">
        <w:tc>
          <w:tcPr>
            <w:tcW w:w="9017" w:type="dxa"/>
            <w:gridSpan w:val="5"/>
            <w:tcBorders>
              <w:top w:val="single" w:sz="4" w:space="0" w:color="auto"/>
              <w:left w:val="single" w:sz="4" w:space="0" w:color="auto"/>
              <w:bottom w:val="single" w:sz="4" w:space="0" w:color="auto"/>
            </w:tcBorders>
            <w:shd w:val="clear" w:color="auto" w:fill="auto"/>
          </w:tcPr>
          <w:p w14:paraId="025A8D67" w14:textId="77777777" w:rsidR="008D6587" w:rsidRPr="00D27BF1" w:rsidRDefault="008D6587" w:rsidP="00B82348">
            <w:pPr>
              <w:pStyle w:val="Tabletext"/>
              <w:keepNext/>
              <w:keepLines/>
              <w:rPr>
                <w:b/>
              </w:rPr>
            </w:pPr>
            <w:r w:rsidRPr="00D27BF1">
              <w:rPr>
                <w:rFonts w:eastAsia="Arial"/>
                <w:b/>
              </w:rPr>
              <w:t xml:space="preserve">On-treatment and post-treatment </w:t>
            </w:r>
            <w:r w:rsidRPr="00D27BF1">
              <w:rPr>
                <w:rFonts w:eastAsia="Arial"/>
                <w:b/>
                <w:vertAlign w:val="superscript"/>
              </w:rPr>
              <w:t>a</w:t>
            </w:r>
            <w:r w:rsidRPr="00D27BF1">
              <w:rPr>
                <w:rFonts w:eastAsia="Arial"/>
                <w:b/>
              </w:rPr>
              <w:t xml:space="preserve"> – AEs </w:t>
            </w:r>
          </w:p>
        </w:tc>
      </w:tr>
      <w:tr w:rsidR="008D6587" w:rsidRPr="00D27BF1" w14:paraId="3533B565" w14:textId="77777777" w:rsidTr="00031FA2">
        <w:tc>
          <w:tcPr>
            <w:tcW w:w="2972" w:type="dxa"/>
            <w:tcBorders>
              <w:top w:val="single" w:sz="4" w:space="0" w:color="auto"/>
              <w:left w:val="single" w:sz="4" w:space="0" w:color="auto"/>
              <w:bottom w:val="single" w:sz="4" w:space="0" w:color="auto"/>
              <w:right w:val="single" w:sz="4" w:space="0" w:color="auto"/>
            </w:tcBorders>
            <w:shd w:val="clear" w:color="auto" w:fill="auto"/>
          </w:tcPr>
          <w:p w14:paraId="09CA392B" w14:textId="77777777" w:rsidR="008D6587" w:rsidRPr="00D27BF1" w:rsidRDefault="008D6587" w:rsidP="00B82348">
            <w:pPr>
              <w:pStyle w:val="Tabletext"/>
              <w:keepNext/>
              <w:keepLines/>
            </w:pPr>
            <w:r w:rsidRPr="00D27BF1">
              <w:t>Any on/post-treatment AE</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2DFFDCCC" w14:textId="77777777" w:rsidR="008D6587" w:rsidRPr="00D27BF1" w:rsidRDefault="008D6587" w:rsidP="00B82348">
            <w:pPr>
              <w:pStyle w:val="Tabletext"/>
              <w:keepNext/>
              <w:keepLines/>
              <w:jc w:val="center"/>
            </w:pPr>
            <w:r w:rsidRPr="00D27BF1">
              <w:t>170 (85)</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4BC63E19" w14:textId="77777777" w:rsidR="008D6587" w:rsidRPr="00D27BF1" w:rsidRDefault="008D6587" w:rsidP="00B82348">
            <w:pPr>
              <w:pStyle w:val="Tabletext"/>
              <w:keepNext/>
              <w:keepLines/>
              <w:jc w:val="center"/>
            </w:pPr>
            <w:r w:rsidRPr="00D27BF1">
              <w:t>169 (82)</w:t>
            </w:r>
          </w:p>
        </w:tc>
        <w:tc>
          <w:tcPr>
            <w:tcW w:w="1556" w:type="dxa"/>
            <w:vAlign w:val="center"/>
          </w:tcPr>
          <w:p w14:paraId="0F492392" w14:textId="77777777" w:rsidR="008D6587" w:rsidRPr="00953A2A" w:rsidRDefault="008D6587" w:rsidP="00B82348">
            <w:pPr>
              <w:pStyle w:val="Tabletext"/>
              <w:keepNext/>
              <w:keepLines/>
              <w:jc w:val="center"/>
            </w:pPr>
            <w:r w:rsidRPr="00953A2A">
              <w:t>0.83 (0.48, 1.45)</w:t>
            </w:r>
          </w:p>
        </w:tc>
        <w:tc>
          <w:tcPr>
            <w:tcW w:w="1787" w:type="dxa"/>
            <w:vAlign w:val="center"/>
          </w:tcPr>
          <w:p w14:paraId="03E64D64" w14:textId="77777777" w:rsidR="008D6587" w:rsidRPr="00953A2A" w:rsidRDefault="008D6587" w:rsidP="00B82348">
            <w:pPr>
              <w:pStyle w:val="Tabletext"/>
              <w:keepNext/>
              <w:keepLines/>
              <w:jc w:val="center"/>
            </w:pPr>
            <w:r w:rsidRPr="00953A2A">
              <w:t>-0.03 (-0.10, 0.05)</w:t>
            </w:r>
          </w:p>
        </w:tc>
      </w:tr>
      <w:tr w:rsidR="008D6587" w:rsidRPr="00D27BF1" w14:paraId="77A9FE50" w14:textId="77777777" w:rsidTr="00031FA2">
        <w:tc>
          <w:tcPr>
            <w:tcW w:w="2972" w:type="dxa"/>
            <w:tcBorders>
              <w:top w:val="single" w:sz="4" w:space="0" w:color="auto"/>
              <w:left w:val="single" w:sz="4" w:space="0" w:color="auto"/>
              <w:bottom w:val="single" w:sz="4" w:space="0" w:color="auto"/>
              <w:right w:val="single" w:sz="4" w:space="0" w:color="auto"/>
            </w:tcBorders>
            <w:shd w:val="clear" w:color="auto" w:fill="auto"/>
          </w:tcPr>
          <w:p w14:paraId="1BC2A2C9" w14:textId="77777777" w:rsidR="008D6587" w:rsidRPr="00D27BF1" w:rsidRDefault="008D6587" w:rsidP="00B82348">
            <w:pPr>
              <w:pStyle w:val="Tabletext"/>
              <w:keepNext/>
              <w:keepLines/>
              <w:ind w:left="113"/>
            </w:pPr>
            <w:r w:rsidRPr="00D27BF1">
              <w:t>AEs related to study treatment</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14EBAA40" w14:textId="77777777" w:rsidR="008D6587" w:rsidRPr="00D27BF1" w:rsidRDefault="008D6587" w:rsidP="00B82348">
            <w:pPr>
              <w:pStyle w:val="Tabletext"/>
              <w:keepNext/>
              <w:keepLines/>
              <w:jc w:val="center"/>
            </w:pPr>
            <w:r w:rsidRPr="00D27BF1">
              <w:t>19 (9)</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2FEF19B1" w14:textId="77777777" w:rsidR="008D6587" w:rsidRPr="00D27BF1" w:rsidRDefault="008D6587" w:rsidP="00B82348">
            <w:pPr>
              <w:pStyle w:val="Tabletext"/>
              <w:keepNext/>
              <w:keepLines/>
              <w:jc w:val="center"/>
            </w:pPr>
            <w:r w:rsidRPr="00D27BF1">
              <w:t>30 (15)</w:t>
            </w:r>
          </w:p>
        </w:tc>
        <w:tc>
          <w:tcPr>
            <w:tcW w:w="1556" w:type="dxa"/>
            <w:vAlign w:val="center"/>
          </w:tcPr>
          <w:p w14:paraId="02B956DF" w14:textId="77777777" w:rsidR="008D6587" w:rsidRPr="00953A2A" w:rsidRDefault="008D6587" w:rsidP="00B82348">
            <w:pPr>
              <w:pStyle w:val="Tabletext"/>
              <w:keepNext/>
              <w:keepLines/>
              <w:jc w:val="center"/>
            </w:pPr>
            <w:r w:rsidRPr="00953A2A">
              <w:t>1.63 (0.85, 3.19)</w:t>
            </w:r>
          </w:p>
        </w:tc>
        <w:tc>
          <w:tcPr>
            <w:tcW w:w="1787" w:type="dxa"/>
            <w:vAlign w:val="center"/>
          </w:tcPr>
          <w:p w14:paraId="1B466C00" w14:textId="77777777" w:rsidR="008D6587" w:rsidRPr="00953A2A" w:rsidRDefault="008D6587" w:rsidP="00B82348">
            <w:pPr>
              <w:pStyle w:val="Tabletext"/>
              <w:keepNext/>
              <w:keepLines/>
              <w:jc w:val="center"/>
            </w:pPr>
            <w:r w:rsidRPr="00953A2A">
              <w:t>0.05 (-0.01, 0.12)</w:t>
            </w:r>
          </w:p>
        </w:tc>
      </w:tr>
      <w:tr w:rsidR="008D6587" w:rsidRPr="00D27BF1" w14:paraId="1BB03D64" w14:textId="77777777" w:rsidTr="00031FA2">
        <w:tc>
          <w:tcPr>
            <w:tcW w:w="2972" w:type="dxa"/>
            <w:tcBorders>
              <w:top w:val="single" w:sz="4" w:space="0" w:color="auto"/>
              <w:left w:val="single" w:sz="4" w:space="0" w:color="auto"/>
              <w:bottom w:val="single" w:sz="4" w:space="0" w:color="auto"/>
              <w:right w:val="single" w:sz="4" w:space="0" w:color="auto"/>
            </w:tcBorders>
            <w:shd w:val="clear" w:color="auto" w:fill="auto"/>
          </w:tcPr>
          <w:p w14:paraId="4F8E2A63" w14:textId="77777777" w:rsidR="008D6587" w:rsidRPr="00D27BF1" w:rsidRDefault="008D6587" w:rsidP="00B82348">
            <w:pPr>
              <w:pStyle w:val="Tabletext"/>
              <w:keepNext/>
              <w:keepLines/>
              <w:ind w:left="113"/>
            </w:pPr>
            <w:r w:rsidRPr="00D27BF1">
              <w:t>AEs leading to permanent discontinuation of study treatment</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1BFD0463" w14:textId="77777777" w:rsidR="008D6587" w:rsidRPr="00D27BF1" w:rsidRDefault="008D6587" w:rsidP="00B82348">
            <w:pPr>
              <w:pStyle w:val="Tabletext"/>
              <w:keepNext/>
              <w:keepLines/>
              <w:jc w:val="center"/>
            </w:pPr>
            <w:r w:rsidRPr="00D27BF1">
              <w:t>4 (2)</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549E1D6F" w14:textId="77777777" w:rsidR="008D6587" w:rsidRPr="00D27BF1" w:rsidRDefault="008D6587" w:rsidP="00B82348">
            <w:pPr>
              <w:pStyle w:val="Tabletext"/>
              <w:keepNext/>
              <w:keepLines/>
              <w:jc w:val="center"/>
            </w:pPr>
            <w:r w:rsidRPr="00D27BF1">
              <w:t>4 (2)</w:t>
            </w:r>
          </w:p>
        </w:tc>
        <w:tc>
          <w:tcPr>
            <w:tcW w:w="1556" w:type="dxa"/>
            <w:vAlign w:val="center"/>
          </w:tcPr>
          <w:p w14:paraId="50DC1280" w14:textId="77777777" w:rsidR="008D6587" w:rsidRPr="00953A2A" w:rsidRDefault="008D6587" w:rsidP="00B82348">
            <w:pPr>
              <w:pStyle w:val="Tabletext"/>
              <w:keepNext/>
              <w:keepLines/>
              <w:jc w:val="center"/>
            </w:pPr>
            <w:r w:rsidRPr="00953A2A">
              <w:t>0.98 (0.18, 5.31)</w:t>
            </w:r>
          </w:p>
        </w:tc>
        <w:tc>
          <w:tcPr>
            <w:tcW w:w="1787" w:type="dxa"/>
            <w:vAlign w:val="center"/>
          </w:tcPr>
          <w:p w14:paraId="25BE96E9" w14:textId="77777777" w:rsidR="008D6587" w:rsidRPr="00953A2A" w:rsidRDefault="008D6587" w:rsidP="00B82348">
            <w:pPr>
              <w:pStyle w:val="Tabletext"/>
              <w:keepNext/>
              <w:keepLines/>
              <w:jc w:val="center"/>
            </w:pPr>
            <w:r w:rsidRPr="00953A2A">
              <w:t>-0.001 (-0.03, 0.03)</w:t>
            </w:r>
          </w:p>
        </w:tc>
      </w:tr>
      <w:tr w:rsidR="008D6587" w:rsidRPr="00D27BF1" w14:paraId="3EF73BDA" w14:textId="77777777" w:rsidTr="00031FA2">
        <w:tc>
          <w:tcPr>
            <w:tcW w:w="2972" w:type="dxa"/>
            <w:tcBorders>
              <w:top w:val="single" w:sz="4" w:space="0" w:color="auto"/>
              <w:left w:val="single" w:sz="4" w:space="0" w:color="auto"/>
              <w:bottom w:val="single" w:sz="4" w:space="0" w:color="auto"/>
              <w:right w:val="single" w:sz="4" w:space="0" w:color="auto"/>
            </w:tcBorders>
            <w:shd w:val="clear" w:color="auto" w:fill="auto"/>
          </w:tcPr>
          <w:p w14:paraId="532FE983" w14:textId="77777777" w:rsidR="008D6587" w:rsidRPr="00D27BF1" w:rsidRDefault="008D6587" w:rsidP="00B82348">
            <w:pPr>
              <w:pStyle w:val="Tabletext"/>
              <w:keepNext/>
              <w:keepLines/>
              <w:ind w:left="113"/>
            </w:pPr>
            <w:r w:rsidRPr="00D27BF1">
              <w:t>AEs leading to withdrawal from the study</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701E2BAA" w14:textId="77777777" w:rsidR="008D6587" w:rsidRPr="00D27BF1" w:rsidRDefault="008D6587" w:rsidP="00B82348">
            <w:pPr>
              <w:pStyle w:val="Tabletext"/>
              <w:keepNext/>
              <w:keepLines/>
              <w:jc w:val="center"/>
            </w:pPr>
            <w:r w:rsidRPr="00D27BF1">
              <w:t>1 (&lt;1)</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507E1A3C" w14:textId="77777777" w:rsidR="008D6587" w:rsidRPr="00D27BF1" w:rsidRDefault="008D6587" w:rsidP="00B82348">
            <w:pPr>
              <w:pStyle w:val="Tabletext"/>
              <w:keepNext/>
              <w:keepLines/>
              <w:jc w:val="center"/>
            </w:pPr>
            <w:r w:rsidRPr="00D27BF1">
              <w:t>0</w:t>
            </w:r>
          </w:p>
        </w:tc>
        <w:tc>
          <w:tcPr>
            <w:tcW w:w="1556" w:type="dxa"/>
            <w:vAlign w:val="center"/>
          </w:tcPr>
          <w:p w14:paraId="10C144D8" w14:textId="77777777" w:rsidR="008D6587" w:rsidRPr="00953A2A" w:rsidRDefault="008D6587" w:rsidP="00B82348">
            <w:pPr>
              <w:pStyle w:val="Tabletext"/>
              <w:keepNext/>
              <w:keepLines/>
              <w:jc w:val="center"/>
            </w:pPr>
            <w:r w:rsidRPr="00953A2A">
              <w:t>0.33 (0.01, 76.96)</w:t>
            </w:r>
          </w:p>
        </w:tc>
        <w:tc>
          <w:tcPr>
            <w:tcW w:w="1787" w:type="dxa"/>
            <w:vAlign w:val="center"/>
          </w:tcPr>
          <w:p w14:paraId="617ACC29" w14:textId="77777777" w:rsidR="008D6587" w:rsidRPr="00953A2A" w:rsidRDefault="008D6587" w:rsidP="00B82348">
            <w:pPr>
              <w:pStyle w:val="Tabletext"/>
              <w:keepNext/>
              <w:keepLines/>
              <w:jc w:val="center"/>
            </w:pPr>
            <w:r w:rsidRPr="00953A2A">
              <w:t>-0.01 (-0.03, 0.01)</w:t>
            </w:r>
          </w:p>
        </w:tc>
      </w:tr>
      <w:tr w:rsidR="008D6587" w:rsidRPr="00D27BF1" w14:paraId="4D2D28E0" w14:textId="77777777" w:rsidTr="00031FA2">
        <w:tc>
          <w:tcPr>
            <w:tcW w:w="2972" w:type="dxa"/>
            <w:tcBorders>
              <w:top w:val="single" w:sz="4" w:space="0" w:color="auto"/>
              <w:left w:val="single" w:sz="4" w:space="0" w:color="auto"/>
              <w:bottom w:val="single" w:sz="4" w:space="0" w:color="auto"/>
              <w:right w:val="single" w:sz="4" w:space="0" w:color="auto"/>
            </w:tcBorders>
            <w:shd w:val="clear" w:color="auto" w:fill="auto"/>
          </w:tcPr>
          <w:p w14:paraId="2DBFF6CF" w14:textId="77777777" w:rsidR="008D6587" w:rsidRPr="00D27BF1" w:rsidRDefault="008D6587" w:rsidP="00B82348">
            <w:pPr>
              <w:pStyle w:val="Tabletext"/>
              <w:keepNext/>
              <w:keepLines/>
              <w:ind w:left="113"/>
            </w:pPr>
            <w:r w:rsidRPr="00D27BF1">
              <w:t>AEs leading to drug interruption/delay</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386C2A28" w14:textId="77777777" w:rsidR="008D6587" w:rsidRPr="00D27BF1" w:rsidRDefault="008D6587" w:rsidP="00B82348">
            <w:pPr>
              <w:pStyle w:val="Tabletext"/>
              <w:keepNext/>
              <w:keepLines/>
              <w:jc w:val="center"/>
            </w:pPr>
            <w:r w:rsidRPr="00D27BF1">
              <w:t>4 (2)</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289A1AE6" w14:textId="77777777" w:rsidR="008D6587" w:rsidRPr="00D27BF1" w:rsidRDefault="008D6587" w:rsidP="00B82348">
            <w:pPr>
              <w:pStyle w:val="Tabletext"/>
              <w:keepNext/>
              <w:keepLines/>
              <w:jc w:val="center"/>
            </w:pPr>
            <w:r w:rsidRPr="00D27BF1">
              <w:t>2 (&lt;1)</w:t>
            </w:r>
          </w:p>
        </w:tc>
        <w:tc>
          <w:tcPr>
            <w:tcW w:w="1556" w:type="dxa"/>
            <w:vAlign w:val="center"/>
          </w:tcPr>
          <w:p w14:paraId="3B069F47" w14:textId="77777777" w:rsidR="008D6587" w:rsidRPr="00953A2A" w:rsidRDefault="008D6587" w:rsidP="00B82348">
            <w:pPr>
              <w:pStyle w:val="Tabletext"/>
              <w:keepNext/>
              <w:keepLines/>
              <w:jc w:val="center"/>
            </w:pPr>
            <w:r w:rsidRPr="00953A2A">
              <w:t>0.48 (0.04, 3.42)</w:t>
            </w:r>
          </w:p>
        </w:tc>
        <w:tc>
          <w:tcPr>
            <w:tcW w:w="1787" w:type="dxa"/>
            <w:vAlign w:val="center"/>
          </w:tcPr>
          <w:p w14:paraId="081949B4" w14:textId="77777777" w:rsidR="008D6587" w:rsidRPr="00953A2A" w:rsidRDefault="008D6587" w:rsidP="00B82348">
            <w:pPr>
              <w:pStyle w:val="Tabletext"/>
              <w:keepNext/>
              <w:keepLines/>
              <w:jc w:val="center"/>
            </w:pPr>
            <w:r w:rsidRPr="00953A2A">
              <w:t>-0.01 (-0.04, 0.02)</w:t>
            </w:r>
          </w:p>
        </w:tc>
      </w:tr>
      <w:tr w:rsidR="008D6587" w:rsidRPr="00D27BF1" w14:paraId="0C5D3465" w14:textId="77777777" w:rsidTr="00031FA2">
        <w:tc>
          <w:tcPr>
            <w:tcW w:w="2972" w:type="dxa"/>
            <w:tcBorders>
              <w:top w:val="single" w:sz="4" w:space="0" w:color="auto"/>
              <w:left w:val="single" w:sz="4" w:space="0" w:color="auto"/>
              <w:bottom w:val="single" w:sz="4" w:space="0" w:color="auto"/>
              <w:right w:val="single" w:sz="4" w:space="0" w:color="auto"/>
            </w:tcBorders>
            <w:shd w:val="clear" w:color="auto" w:fill="auto"/>
          </w:tcPr>
          <w:p w14:paraId="5885F2D7" w14:textId="77777777" w:rsidR="008D6587" w:rsidRPr="00D27BF1" w:rsidRDefault="008D6587" w:rsidP="00B82348">
            <w:pPr>
              <w:pStyle w:val="Tabletext"/>
              <w:keepNext/>
              <w:keepLines/>
            </w:pPr>
            <w:r w:rsidRPr="00D27BF1">
              <w:t>Any on-treatment AE</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25C1F74D" w14:textId="77777777" w:rsidR="008D6587" w:rsidRPr="00D27BF1" w:rsidRDefault="008D6587" w:rsidP="00B82348">
            <w:pPr>
              <w:pStyle w:val="Tabletext"/>
              <w:keepNext/>
              <w:keepLines/>
              <w:jc w:val="center"/>
            </w:pPr>
            <w:r w:rsidRPr="00D27BF1">
              <w:t>168 (84)</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1D390C9B" w14:textId="77777777" w:rsidR="008D6587" w:rsidRPr="00D27BF1" w:rsidRDefault="008D6587" w:rsidP="00B82348">
            <w:pPr>
              <w:pStyle w:val="Tabletext"/>
              <w:keepNext/>
              <w:keepLines/>
              <w:jc w:val="center"/>
            </w:pPr>
            <w:r w:rsidRPr="00D27BF1">
              <w:t>169 (82)</w:t>
            </w:r>
          </w:p>
        </w:tc>
        <w:tc>
          <w:tcPr>
            <w:tcW w:w="1556" w:type="dxa"/>
            <w:vAlign w:val="center"/>
          </w:tcPr>
          <w:p w14:paraId="30A562A9" w14:textId="77777777" w:rsidR="008D6587" w:rsidRPr="00953A2A" w:rsidRDefault="008D6587" w:rsidP="00B82348">
            <w:pPr>
              <w:pStyle w:val="Tabletext"/>
              <w:keepNext/>
              <w:keepLines/>
              <w:jc w:val="center"/>
            </w:pPr>
            <w:r w:rsidRPr="00953A2A">
              <w:t>0.90 (0.52, 1.55)</w:t>
            </w:r>
          </w:p>
        </w:tc>
        <w:tc>
          <w:tcPr>
            <w:tcW w:w="1787" w:type="dxa"/>
            <w:vAlign w:val="center"/>
          </w:tcPr>
          <w:p w14:paraId="53C6CAC1" w14:textId="77777777" w:rsidR="008D6587" w:rsidRPr="00953A2A" w:rsidRDefault="008D6587" w:rsidP="00B82348">
            <w:pPr>
              <w:pStyle w:val="Tabletext"/>
              <w:keepNext/>
              <w:keepLines/>
              <w:jc w:val="center"/>
            </w:pPr>
            <w:r w:rsidRPr="00953A2A">
              <w:t>-0.02 (-0.09, 0.06)</w:t>
            </w:r>
          </w:p>
        </w:tc>
      </w:tr>
      <w:tr w:rsidR="008D6587" w:rsidRPr="00D27BF1" w14:paraId="15E718EB" w14:textId="77777777" w:rsidTr="00031FA2">
        <w:tc>
          <w:tcPr>
            <w:tcW w:w="2972" w:type="dxa"/>
            <w:tcBorders>
              <w:top w:val="single" w:sz="4" w:space="0" w:color="auto"/>
              <w:left w:val="single" w:sz="4" w:space="0" w:color="auto"/>
              <w:bottom w:val="single" w:sz="4" w:space="0" w:color="auto"/>
              <w:right w:val="single" w:sz="4" w:space="0" w:color="auto"/>
            </w:tcBorders>
            <w:shd w:val="clear" w:color="auto" w:fill="auto"/>
          </w:tcPr>
          <w:p w14:paraId="6EAFB7D8" w14:textId="77777777" w:rsidR="008D6587" w:rsidRPr="00D27BF1" w:rsidRDefault="008D6587" w:rsidP="00B82348">
            <w:pPr>
              <w:pStyle w:val="Tabletext"/>
              <w:keepNext/>
              <w:keepLines/>
            </w:pPr>
            <w:r w:rsidRPr="00D27BF1">
              <w:t xml:space="preserve">Any post-treatment </w:t>
            </w:r>
            <w:r w:rsidRPr="00D27BF1">
              <w:rPr>
                <w:vertAlign w:val="superscript"/>
              </w:rPr>
              <w:t>a</w:t>
            </w:r>
            <w:r w:rsidRPr="00D27BF1">
              <w:t xml:space="preserve"> AE</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62CB94D" w14:textId="77777777" w:rsidR="008D6587" w:rsidRPr="00D27BF1" w:rsidRDefault="008D6587" w:rsidP="00B82348">
            <w:pPr>
              <w:pStyle w:val="Tabletext"/>
              <w:keepNext/>
              <w:keepLines/>
              <w:jc w:val="center"/>
            </w:pPr>
            <w:r w:rsidRPr="00D27BF1">
              <w:t>14 (7)</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5CCDA519" w14:textId="77777777" w:rsidR="008D6587" w:rsidRPr="00D27BF1" w:rsidRDefault="008D6587" w:rsidP="00B82348">
            <w:pPr>
              <w:pStyle w:val="Tabletext"/>
              <w:keepNext/>
              <w:keepLines/>
              <w:jc w:val="center"/>
            </w:pPr>
            <w:r w:rsidRPr="00D27BF1">
              <w:t>6 (3)</w:t>
            </w:r>
          </w:p>
        </w:tc>
        <w:tc>
          <w:tcPr>
            <w:tcW w:w="1556" w:type="dxa"/>
          </w:tcPr>
          <w:p w14:paraId="5843A006" w14:textId="77777777" w:rsidR="008D6587" w:rsidRPr="00953A2A" w:rsidRDefault="008D6587" w:rsidP="00B82348">
            <w:pPr>
              <w:pStyle w:val="Tabletext"/>
              <w:keepNext/>
              <w:keepLines/>
              <w:jc w:val="center"/>
            </w:pPr>
            <w:r w:rsidRPr="00953A2A">
              <w:t>0.40 (0.12, 1.14)</w:t>
            </w:r>
          </w:p>
        </w:tc>
        <w:tc>
          <w:tcPr>
            <w:tcW w:w="1787" w:type="dxa"/>
          </w:tcPr>
          <w:p w14:paraId="355EEE42" w14:textId="77777777" w:rsidR="008D6587" w:rsidRPr="00953A2A" w:rsidRDefault="008D6587" w:rsidP="00B82348">
            <w:pPr>
              <w:pStyle w:val="Tabletext"/>
              <w:keepNext/>
              <w:keepLines/>
              <w:jc w:val="center"/>
            </w:pPr>
            <w:r w:rsidRPr="00953A2A">
              <w:t>-0.04 (-0.09, 0.002)</w:t>
            </w:r>
          </w:p>
        </w:tc>
      </w:tr>
      <w:tr w:rsidR="008D6587" w:rsidRPr="00D27BF1" w14:paraId="52CE0A39" w14:textId="77777777" w:rsidTr="00031FA2">
        <w:tc>
          <w:tcPr>
            <w:tcW w:w="9017" w:type="dxa"/>
            <w:gridSpan w:val="5"/>
            <w:tcBorders>
              <w:top w:val="single" w:sz="4" w:space="0" w:color="auto"/>
              <w:left w:val="single" w:sz="4" w:space="0" w:color="auto"/>
              <w:bottom w:val="single" w:sz="4" w:space="0" w:color="auto"/>
            </w:tcBorders>
            <w:shd w:val="clear" w:color="auto" w:fill="auto"/>
          </w:tcPr>
          <w:p w14:paraId="5DB3B906" w14:textId="77777777" w:rsidR="008D6587" w:rsidRPr="00953A2A" w:rsidRDefault="008D6587" w:rsidP="00B82348">
            <w:pPr>
              <w:pStyle w:val="Tabletext"/>
              <w:keepNext/>
              <w:keepLines/>
            </w:pPr>
            <w:r w:rsidRPr="00953A2A">
              <w:rPr>
                <w:rFonts w:eastAsia="Arial"/>
                <w:b/>
              </w:rPr>
              <w:t xml:space="preserve">On-treatment and post-treatment </w:t>
            </w:r>
            <w:r w:rsidRPr="00953A2A">
              <w:rPr>
                <w:rFonts w:eastAsia="Arial"/>
                <w:b/>
                <w:vertAlign w:val="superscript"/>
              </w:rPr>
              <w:t>a</w:t>
            </w:r>
            <w:r w:rsidRPr="00953A2A">
              <w:rPr>
                <w:rFonts w:eastAsia="Arial"/>
                <w:b/>
              </w:rPr>
              <w:t xml:space="preserve"> – SAEs</w:t>
            </w:r>
          </w:p>
        </w:tc>
      </w:tr>
      <w:tr w:rsidR="008D6587" w:rsidRPr="00D27BF1" w14:paraId="708D7171" w14:textId="77777777" w:rsidTr="00031FA2">
        <w:tc>
          <w:tcPr>
            <w:tcW w:w="2972" w:type="dxa"/>
            <w:tcBorders>
              <w:top w:val="single" w:sz="4" w:space="0" w:color="auto"/>
              <w:left w:val="single" w:sz="4" w:space="0" w:color="auto"/>
              <w:bottom w:val="single" w:sz="4" w:space="0" w:color="auto"/>
              <w:right w:val="single" w:sz="4" w:space="0" w:color="auto"/>
            </w:tcBorders>
            <w:shd w:val="clear" w:color="auto" w:fill="auto"/>
          </w:tcPr>
          <w:p w14:paraId="456B0DE4" w14:textId="77777777" w:rsidR="008D6587" w:rsidRPr="00D27BF1" w:rsidRDefault="008D6587" w:rsidP="00B82348">
            <w:pPr>
              <w:pStyle w:val="Tabletext"/>
              <w:keepNext/>
              <w:keepLines/>
            </w:pPr>
            <w:r w:rsidRPr="00D27BF1">
              <w:t>Any on/post-treatment SAE</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3700ADDC" w14:textId="77777777" w:rsidR="008D6587" w:rsidRPr="00D27BF1" w:rsidRDefault="008D6587" w:rsidP="00B82348">
            <w:pPr>
              <w:pStyle w:val="Tabletext"/>
              <w:keepNext/>
              <w:keepLines/>
              <w:jc w:val="center"/>
            </w:pPr>
            <w:r w:rsidRPr="00D27BF1">
              <w:t>14 (7)</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301A9615" w14:textId="77777777" w:rsidR="008D6587" w:rsidRPr="00D27BF1" w:rsidRDefault="008D6587" w:rsidP="00B82348">
            <w:pPr>
              <w:pStyle w:val="Tabletext"/>
              <w:keepNext/>
              <w:keepLines/>
              <w:jc w:val="center"/>
            </w:pPr>
            <w:r w:rsidRPr="00D27BF1">
              <w:t>12 (6)</w:t>
            </w:r>
          </w:p>
        </w:tc>
        <w:tc>
          <w:tcPr>
            <w:tcW w:w="1556" w:type="dxa"/>
            <w:vAlign w:val="center"/>
          </w:tcPr>
          <w:p w14:paraId="06FC7036" w14:textId="77777777" w:rsidR="008D6587" w:rsidRPr="00953A2A" w:rsidRDefault="008D6587" w:rsidP="00B82348">
            <w:pPr>
              <w:pStyle w:val="Tabletext"/>
              <w:keepNext/>
              <w:keepLines/>
              <w:jc w:val="center"/>
            </w:pPr>
            <w:r w:rsidRPr="00953A2A">
              <w:t>0.83 (0.34, 1.98)</w:t>
            </w:r>
          </w:p>
        </w:tc>
        <w:tc>
          <w:tcPr>
            <w:tcW w:w="1787" w:type="dxa"/>
            <w:vAlign w:val="center"/>
          </w:tcPr>
          <w:p w14:paraId="1D696D29" w14:textId="77777777" w:rsidR="008D6587" w:rsidRPr="00953A2A" w:rsidRDefault="008D6587" w:rsidP="00B82348">
            <w:pPr>
              <w:pStyle w:val="Tabletext"/>
              <w:keepNext/>
              <w:keepLines/>
              <w:jc w:val="center"/>
            </w:pPr>
            <w:r w:rsidRPr="00953A2A">
              <w:t>-0.01 (-0.06, 0.04)</w:t>
            </w:r>
          </w:p>
        </w:tc>
      </w:tr>
      <w:tr w:rsidR="008D6587" w:rsidRPr="00D27BF1" w14:paraId="36D7DE55" w14:textId="77777777" w:rsidTr="00031FA2">
        <w:tc>
          <w:tcPr>
            <w:tcW w:w="2972" w:type="dxa"/>
            <w:tcBorders>
              <w:top w:val="single" w:sz="4" w:space="0" w:color="auto"/>
              <w:left w:val="single" w:sz="4" w:space="0" w:color="auto"/>
              <w:bottom w:val="single" w:sz="4" w:space="0" w:color="auto"/>
              <w:right w:val="single" w:sz="4" w:space="0" w:color="auto"/>
            </w:tcBorders>
            <w:shd w:val="clear" w:color="auto" w:fill="auto"/>
          </w:tcPr>
          <w:p w14:paraId="7D45FB0D" w14:textId="77777777" w:rsidR="008D6587" w:rsidRPr="00D27BF1" w:rsidRDefault="008D6587" w:rsidP="00B82348">
            <w:pPr>
              <w:pStyle w:val="Tabletext"/>
              <w:keepNext/>
              <w:keepLines/>
              <w:ind w:left="113"/>
            </w:pPr>
            <w:r w:rsidRPr="00D27BF1">
              <w:t>SAEs related to study treatment</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00BD1D6F" w14:textId="77777777" w:rsidR="008D6587" w:rsidRPr="00D27BF1" w:rsidRDefault="008D6587" w:rsidP="00B82348">
            <w:pPr>
              <w:pStyle w:val="Tabletext"/>
              <w:keepNext/>
              <w:keepLines/>
              <w:jc w:val="center"/>
            </w:pPr>
            <w:r w:rsidRPr="00D27BF1">
              <w:t>1 (&lt;1)</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721EDA9A" w14:textId="77777777" w:rsidR="008D6587" w:rsidRPr="00D27BF1" w:rsidRDefault="008D6587" w:rsidP="00B82348">
            <w:pPr>
              <w:pStyle w:val="Tabletext"/>
              <w:keepNext/>
              <w:keepLines/>
              <w:jc w:val="center"/>
            </w:pPr>
            <w:r w:rsidRPr="00D27BF1">
              <w:t>0</w:t>
            </w:r>
          </w:p>
        </w:tc>
        <w:tc>
          <w:tcPr>
            <w:tcW w:w="1556" w:type="dxa"/>
            <w:vAlign w:val="center"/>
          </w:tcPr>
          <w:p w14:paraId="24B53764" w14:textId="77777777" w:rsidR="008D6587" w:rsidRPr="00953A2A" w:rsidRDefault="008D6587" w:rsidP="00B82348">
            <w:pPr>
              <w:pStyle w:val="Tabletext"/>
              <w:keepNext/>
              <w:keepLines/>
              <w:jc w:val="center"/>
            </w:pPr>
            <w:r w:rsidRPr="00953A2A">
              <w:t>0.33 (0.01, 76.96)</w:t>
            </w:r>
          </w:p>
        </w:tc>
        <w:tc>
          <w:tcPr>
            <w:tcW w:w="1787" w:type="dxa"/>
            <w:vAlign w:val="center"/>
          </w:tcPr>
          <w:p w14:paraId="571AB67E" w14:textId="77777777" w:rsidR="008D6587" w:rsidRPr="00953A2A" w:rsidRDefault="008D6587" w:rsidP="00B82348">
            <w:pPr>
              <w:pStyle w:val="Tabletext"/>
              <w:keepNext/>
              <w:keepLines/>
              <w:jc w:val="center"/>
            </w:pPr>
            <w:r w:rsidRPr="00953A2A">
              <w:t>-0.01 (-0.03, 0.01)</w:t>
            </w:r>
          </w:p>
        </w:tc>
      </w:tr>
      <w:tr w:rsidR="008D6587" w:rsidRPr="00D27BF1" w14:paraId="5C63224F" w14:textId="77777777" w:rsidTr="00031FA2">
        <w:tc>
          <w:tcPr>
            <w:tcW w:w="2972" w:type="dxa"/>
            <w:tcBorders>
              <w:top w:val="single" w:sz="4" w:space="0" w:color="auto"/>
              <w:left w:val="single" w:sz="4" w:space="0" w:color="auto"/>
              <w:bottom w:val="single" w:sz="4" w:space="0" w:color="auto"/>
              <w:right w:val="single" w:sz="4" w:space="0" w:color="auto"/>
            </w:tcBorders>
            <w:shd w:val="clear" w:color="auto" w:fill="auto"/>
          </w:tcPr>
          <w:p w14:paraId="12794590" w14:textId="77777777" w:rsidR="008D6587" w:rsidRPr="00D27BF1" w:rsidRDefault="008D6587" w:rsidP="00B82348">
            <w:pPr>
              <w:pStyle w:val="Tabletext"/>
              <w:keepNext/>
              <w:keepLines/>
              <w:ind w:left="113"/>
            </w:pPr>
            <w:r w:rsidRPr="00D27BF1">
              <w:t>Fatal SAEs</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516E6141" w14:textId="77777777" w:rsidR="008D6587" w:rsidRPr="00D27BF1" w:rsidRDefault="008D6587" w:rsidP="00B82348">
            <w:pPr>
              <w:pStyle w:val="Tabletext"/>
              <w:keepNext/>
              <w:keepLines/>
              <w:jc w:val="center"/>
            </w:pPr>
            <w:r w:rsidRPr="00D27BF1">
              <w:t>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1295E072" w14:textId="77777777" w:rsidR="008D6587" w:rsidRPr="00D27BF1" w:rsidRDefault="008D6587" w:rsidP="00B82348">
            <w:pPr>
              <w:pStyle w:val="Tabletext"/>
              <w:keepNext/>
              <w:keepLines/>
              <w:jc w:val="center"/>
            </w:pPr>
            <w:r w:rsidRPr="00D27BF1">
              <w:t>0</w:t>
            </w:r>
          </w:p>
        </w:tc>
        <w:tc>
          <w:tcPr>
            <w:tcW w:w="1556" w:type="dxa"/>
            <w:vAlign w:val="center"/>
          </w:tcPr>
          <w:p w14:paraId="1AD0231F" w14:textId="77777777" w:rsidR="008D6587" w:rsidRPr="00953A2A" w:rsidRDefault="008D6587" w:rsidP="00B82348">
            <w:pPr>
              <w:pStyle w:val="Tabletext"/>
              <w:keepNext/>
              <w:keepLines/>
              <w:jc w:val="center"/>
            </w:pPr>
            <w:r w:rsidRPr="00953A2A">
              <w:t>NA</w:t>
            </w:r>
          </w:p>
        </w:tc>
        <w:tc>
          <w:tcPr>
            <w:tcW w:w="1787" w:type="dxa"/>
            <w:vAlign w:val="center"/>
          </w:tcPr>
          <w:p w14:paraId="3DE02E75" w14:textId="77777777" w:rsidR="008D6587" w:rsidRPr="00953A2A" w:rsidRDefault="008D6587" w:rsidP="00B82348">
            <w:pPr>
              <w:pStyle w:val="Tabletext"/>
              <w:keepNext/>
              <w:keepLines/>
              <w:jc w:val="center"/>
            </w:pPr>
            <w:r w:rsidRPr="00953A2A">
              <w:t>0.00 (-0.02, 0.02)</w:t>
            </w:r>
          </w:p>
        </w:tc>
      </w:tr>
      <w:tr w:rsidR="008D6587" w:rsidRPr="00D27BF1" w14:paraId="6CC7BD61" w14:textId="77777777" w:rsidTr="00031FA2">
        <w:tc>
          <w:tcPr>
            <w:tcW w:w="2972" w:type="dxa"/>
            <w:tcBorders>
              <w:top w:val="single" w:sz="4" w:space="0" w:color="auto"/>
              <w:left w:val="single" w:sz="4" w:space="0" w:color="auto"/>
              <w:bottom w:val="single" w:sz="4" w:space="0" w:color="auto"/>
              <w:right w:val="single" w:sz="4" w:space="0" w:color="auto"/>
            </w:tcBorders>
            <w:shd w:val="clear" w:color="auto" w:fill="auto"/>
          </w:tcPr>
          <w:p w14:paraId="62280870" w14:textId="77777777" w:rsidR="008D6587" w:rsidRPr="00D27BF1" w:rsidRDefault="008D6587" w:rsidP="00B82348">
            <w:pPr>
              <w:pStyle w:val="Tabletext"/>
              <w:keepNext/>
              <w:keepLines/>
              <w:ind w:left="113"/>
            </w:pPr>
            <w:r w:rsidRPr="00D27BF1">
              <w:t>Fatal SAEs related to study treatment</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34D8A56D" w14:textId="77777777" w:rsidR="008D6587" w:rsidRPr="00D27BF1" w:rsidRDefault="008D6587" w:rsidP="00B82348">
            <w:pPr>
              <w:pStyle w:val="Tabletext"/>
              <w:keepNext/>
              <w:keepLines/>
              <w:jc w:val="center"/>
            </w:pPr>
            <w:r w:rsidRPr="00D27BF1">
              <w:t>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764F2049" w14:textId="77777777" w:rsidR="008D6587" w:rsidRPr="00D27BF1" w:rsidRDefault="008D6587" w:rsidP="00B82348">
            <w:pPr>
              <w:pStyle w:val="Tabletext"/>
              <w:keepNext/>
              <w:keepLines/>
              <w:jc w:val="center"/>
            </w:pPr>
            <w:r w:rsidRPr="00D27BF1">
              <w:t>0</w:t>
            </w:r>
          </w:p>
        </w:tc>
        <w:tc>
          <w:tcPr>
            <w:tcW w:w="1556" w:type="dxa"/>
            <w:vAlign w:val="center"/>
          </w:tcPr>
          <w:p w14:paraId="54967A9E" w14:textId="77777777" w:rsidR="008D6587" w:rsidRPr="00953A2A" w:rsidRDefault="008D6587" w:rsidP="00B82348">
            <w:pPr>
              <w:pStyle w:val="Tabletext"/>
              <w:keepNext/>
              <w:keepLines/>
              <w:jc w:val="center"/>
            </w:pPr>
            <w:r w:rsidRPr="00953A2A">
              <w:t>NA</w:t>
            </w:r>
          </w:p>
        </w:tc>
        <w:tc>
          <w:tcPr>
            <w:tcW w:w="1787" w:type="dxa"/>
            <w:vAlign w:val="center"/>
          </w:tcPr>
          <w:p w14:paraId="2BEAE108" w14:textId="77777777" w:rsidR="008D6587" w:rsidRPr="00953A2A" w:rsidRDefault="008D6587" w:rsidP="00B82348">
            <w:pPr>
              <w:pStyle w:val="Tabletext"/>
              <w:keepNext/>
              <w:keepLines/>
              <w:jc w:val="center"/>
            </w:pPr>
            <w:r w:rsidRPr="00953A2A">
              <w:t>0.00 (-0.02, 0.02)</w:t>
            </w:r>
          </w:p>
        </w:tc>
      </w:tr>
      <w:tr w:rsidR="008D6587" w:rsidRPr="00D27BF1" w14:paraId="55BCE9EE" w14:textId="77777777" w:rsidTr="00031FA2">
        <w:tc>
          <w:tcPr>
            <w:tcW w:w="2972" w:type="dxa"/>
            <w:tcBorders>
              <w:top w:val="single" w:sz="4" w:space="0" w:color="auto"/>
              <w:left w:val="single" w:sz="4" w:space="0" w:color="auto"/>
              <w:bottom w:val="single" w:sz="4" w:space="0" w:color="auto"/>
              <w:right w:val="single" w:sz="4" w:space="0" w:color="auto"/>
            </w:tcBorders>
            <w:shd w:val="clear" w:color="auto" w:fill="auto"/>
          </w:tcPr>
          <w:p w14:paraId="45B92B66" w14:textId="77777777" w:rsidR="008D6587" w:rsidRPr="00D27BF1" w:rsidRDefault="008D6587" w:rsidP="00B82348">
            <w:pPr>
              <w:pStyle w:val="Tabletext"/>
              <w:keepNext/>
              <w:keepLines/>
            </w:pPr>
            <w:r w:rsidRPr="00D27BF1">
              <w:t>Any on-treatment SAE</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BC2B6F4" w14:textId="77777777" w:rsidR="008D6587" w:rsidRPr="00D27BF1" w:rsidRDefault="008D6587" w:rsidP="00B82348">
            <w:pPr>
              <w:pStyle w:val="Tabletext"/>
              <w:keepNext/>
              <w:keepLines/>
              <w:jc w:val="center"/>
            </w:pPr>
            <w:r w:rsidRPr="00D27BF1">
              <w:t>13 (6)</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27F192BF" w14:textId="77777777" w:rsidR="008D6587" w:rsidRPr="00D27BF1" w:rsidRDefault="008D6587" w:rsidP="00B82348">
            <w:pPr>
              <w:pStyle w:val="Tabletext"/>
              <w:keepNext/>
              <w:keepLines/>
              <w:jc w:val="center"/>
            </w:pPr>
            <w:r w:rsidRPr="00D27BF1">
              <w:t>12 (6)</w:t>
            </w:r>
          </w:p>
        </w:tc>
        <w:tc>
          <w:tcPr>
            <w:tcW w:w="1556" w:type="dxa"/>
          </w:tcPr>
          <w:p w14:paraId="799776A2" w14:textId="77777777" w:rsidR="008D6587" w:rsidRPr="00953A2A" w:rsidRDefault="008D6587" w:rsidP="00B82348">
            <w:pPr>
              <w:pStyle w:val="Tabletext"/>
              <w:keepNext/>
              <w:keepLines/>
              <w:jc w:val="center"/>
            </w:pPr>
            <w:r w:rsidRPr="00953A2A">
              <w:t>0.89 (0.36, 2.19)</w:t>
            </w:r>
          </w:p>
        </w:tc>
        <w:tc>
          <w:tcPr>
            <w:tcW w:w="1787" w:type="dxa"/>
          </w:tcPr>
          <w:p w14:paraId="42AF2F78" w14:textId="77777777" w:rsidR="008D6587" w:rsidRPr="00953A2A" w:rsidRDefault="008D6587" w:rsidP="00B82348">
            <w:pPr>
              <w:pStyle w:val="Tabletext"/>
              <w:keepNext/>
              <w:keepLines/>
              <w:jc w:val="center"/>
            </w:pPr>
            <w:r w:rsidRPr="00953A2A">
              <w:t>-0.01 (-0.06, 0.04)</w:t>
            </w:r>
          </w:p>
        </w:tc>
      </w:tr>
      <w:tr w:rsidR="008D6587" w:rsidRPr="00D27BF1" w14:paraId="5B69EE2C" w14:textId="77777777" w:rsidTr="00031FA2">
        <w:tc>
          <w:tcPr>
            <w:tcW w:w="2972" w:type="dxa"/>
            <w:tcBorders>
              <w:top w:val="single" w:sz="4" w:space="0" w:color="auto"/>
              <w:left w:val="single" w:sz="4" w:space="0" w:color="auto"/>
              <w:bottom w:val="single" w:sz="4" w:space="0" w:color="auto"/>
              <w:right w:val="single" w:sz="4" w:space="0" w:color="auto"/>
            </w:tcBorders>
            <w:shd w:val="clear" w:color="auto" w:fill="auto"/>
          </w:tcPr>
          <w:p w14:paraId="4B673969" w14:textId="77777777" w:rsidR="008D6587" w:rsidRPr="00D27BF1" w:rsidRDefault="008D6587" w:rsidP="00B82348">
            <w:pPr>
              <w:pStyle w:val="Tabletext"/>
              <w:keepNext/>
              <w:keepLines/>
            </w:pPr>
            <w:r w:rsidRPr="00D27BF1">
              <w:t xml:space="preserve">Any post-treatment </w:t>
            </w:r>
            <w:r w:rsidRPr="00D27BF1">
              <w:rPr>
                <w:vertAlign w:val="superscript"/>
              </w:rPr>
              <w:t xml:space="preserve">a </w:t>
            </w:r>
            <w:r w:rsidRPr="00D27BF1">
              <w:t>SAE</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521244D7" w14:textId="77777777" w:rsidR="008D6587" w:rsidRPr="00D27BF1" w:rsidRDefault="008D6587" w:rsidP="00B82348">
            <w:pPr>
              <w:pStyle w:val="Tabletext"/>
              <w:keepNext/>
              <w:keepLines/>
              <w:jc w:val="center"/>
            </w:pPr>
            <w:r w:rsidRPr="00D27BF1">
              <w:t>1 (&lt;1)</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21E7C1D3" w14:textId="77777777" w:rsidR="008D6587" w:rsidRPr="00D27BF1" w:rsidRDefault="008D6587" w:rsidP="00B82348">
            <w:pPr>
              <w:pStyle w:val="Tabletext"/>
              <w:keepNext/>
              <w:keepLines/>
              <w:jc w:val="center"/>
            </w:pPr>
            <w:r w:rsidRPr="00D27BF1">
              <w:t>1 (&lt;1)</w:t>
            </w:r>
          </w:p>
        </w:tc>
        <w:tc>
          <w:tcPr>
            <w:tcW w:w="1556" w:type="dxa"/>
          </w:tcPr>
          <w:p w14:paraId="53038DB3" w14:textId="77777777" w:rsidR="008D6587" w:rsidRPr="00953A2A" w:rsidRDefault="008D6587" w:rsidP="00B82348">
            <w:pPr>
              <w:pStyle w:val="Tabletext"/>
              <w:keepNext/>
              <w:keepLines/>
              <w:jc w:val="center"/>
            </w:pPr>
            <w:r w:rsidRPr="00953A2A">
              <w:t>0.98 (0.01, 76.96)</w:t>
            </w:r>
          </w:p>
        </w:tc>
        <w:tc>
          <w:tcPr>
            <w:tcW w:w="1787" w:type="dxa"/>
          </w:tcPr>
          <w:p w14:paraId="4A5FE1E5" w14:textId="77777777" w:rsidR="008D6587" w:rsidRPr="00953A2A" w:rsidRDefault="008D6587" w:rsidP="00B82348">
            <w:pPr>
              <w:pStyle w:val="Tabletext"/>
              <w:keepNext/>
              <w:keepLines/>
              <w:jc w:val="center"/>
            </w:pPr>
            <w:r w:rsidRPr="00953A2A">
              <w:t>-0.0001 (-0.02, 0.02)</w:t>
            </w:r>
          </w:p>
        </w:tc>
      </w:tr>
      <w:tr w:rsidR="008D6587" w:rsidRPr="00D27BF1" w14:paraId="64CF8E30" w14:textId="77777777" w:rsidTr="00031FA2">
        <w:tc>
          <w:tcPr>
            <w:tcW w:w="9017" w:type="dxa"/>
            <w:gridSpan w:val="5"/>
          </w:tcPr>
          <w:p w14:paraId="09E301FA" w14:textId="77777777" w:rsidR="008D6587" w:rsidRPr="00953A2A" w:rsidRDefault="008D6587" w:rsidP="00B82348">
            <w:pPr>
              <w:pStyle w:val="Tabletext"/>
              <w:keepNext/>
              <w:keepLines/>
              <w:rPr>
                <w:b/>
              </w:rPr>
            </w:pPr>
            <w:r w:rsidRPr="00953A2A">
              <w:rPr>
                <w:b/>
              </w:rPr>
              <w:t xml:space="preserve">No treatment follow-up period </w:t>
            </w:r>
            <w:r w:rsidRPr="00953A2A">
              <w:rPr>
                <w:b/>
                <w:vertAlign w:val="superscript"/>
              </w:rPr>
              <w:t>b</w:t>
            </w:r>
          </w:p>
        </w:tc>
      </w:tr>
      <w:tr w:rsidR="008D6587" w:rsidRPr="00D27BF1" w14:paraId="37F60D07" w14:textId="77777777" w:rsidTr="00031FA2">
        <w:tc>
          <w:tcPr>
            <w:tcW w:w="2972" w:type="dxa"/>
            <w:tcBorders>
              <w:top w:val="single" w:sz="4" w:space="0" w:color="auto"/>
              <w:left w:val="single" w:sz="4" w:space="0" w:color="auto"/>
              <w:bottom w:val="single" w:sz="4" w:space="0" w:color="auto"/>
              <w:right w:val="single" w:sz="4" w:space="0" w:color="auto"/>
            </w:tcBorders>
            <w:shd w:val="clear" w:color="auto" w:fill="auto"/>
          </w:tcPr>
          <w:p w14:paraId="098EB463" w14:textId="77777777" w:rsidR="008D6587" w:rsidRPr="00D27BF1" w:rsidRDefault="008D6587" w:rsidP="00B82348">
            <w:pPr>
              <w:pStyle w:val="Tabletext"/>
              <w:keepNext/>
              <w:keepLines/>
            </w:pPr>
            <w:r w:rsidRPr="00D27BF1">
              <w:t>Any AE</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42AAF17D" w14:textId="77777777" w:rsidR="008D6587" w:rsidRPr="00D27BF1" w:rsidRDefault="008D6587" w:rsidP="00B82348">
            <w:pPr>
              <w:pStyle w:val="Tabletext"/>
              <w:keepNext/>
              <w:keepLines/>
              <w:jc w:val="center"/>
            </w:pPr>
            <w:r w:rsidRPr="00D27BF1">
              <w:t>26 (40)</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32FF12BD" w14:textId="77777777" w:rsidR="008D6587" w:rsidRPr="00D27BF1" w:rsidRDefault="008D6587" w:rsidP="00B82348">
            <w:pPr>
              <w:pStyle w:val="Tabletext"/>
              <w:keepNext/>
              <w:keepLines/>
              <w:jc w:val="center"/>
            </w:pPr>
            <w:r w:rsidRPr="00D27BF1">
              <w:t>32 (46)</w:t>
            </w:r>
          </w:p>
        </w:tc>
        <w:tc>
          <w:tcPr>
            <w:tcW w:w="1556" w:type="dxa"/>
          </w:tcPr>
          <w:p w14:paraId="7E7EBDB0" w14:textId="77777777" w:rsidR="008D6587" w:rsidRPr="00953A2A" w:rsidRDefault="008D6587" w:rsidP="00B82348">
            <w:pPr>
              <w:pStyle w:val="Tabletext"/>
              <w:keepNext/>
              <w:keepLines/>
              <w:jc w:val="center"/>
            </w:pPr>
            <w:r w:rsidRPr="00953A2A">
              <w:t>1.30 (0.62, 2.73)</w:t>
            </w:r>
          </w:p>
        </w:tc>
        <w:tc>
          <w:tcPr>
            <w:tcW w:w="1787" w:type="dxa"/>
          </w:tcPr>
          <w:p w14:paraId="5F4011C1" w14:textId="77777777" w:rsidR="008D6587" w:rsidRPr="00953A2A" w:rsidRDefault="008D6587" w:rsidP="00B82348">
            <w:pPr>
              <w:pStyle w:val="Tabletext"/>
              <w:keepNext/>
              <w:keepLines/>
              <w:jc w:val="center"/>
            </w:pPr>
            <w:r w:rsidRPr="00953A2A">
              <w:t>0.06 (-0.10, 0.23)</w:t>
            </w:r>
          </w:p>
        </w:tc>
      </w:tr>
      <w:tr w:rsidR="008D6587" w:rsidRPr="00D27BF1" w14:paraId="74838807" w14:textId="77777777" w:rsidTr="00031FA2">
        <w:tc>
          <w:tcPr>
            <w:tcW w:w="2972" w:type="dxa"/>
            <w:tcBorders>
              <w:top w:val="single" w:sz="4" w:space="0" w:color="auto"/>
              <w:left w:val="single" w:sz="4" w:space="0" w:color="auto"/>
              <w:bottom w:val="single" w:sz="4" w:space="0" w:color="auto"/>
              <w:right w:val="single" w:sz="4" w:space="0" w:color="auto"/>
            </w:tcBorders>
            <w:shd w:val="clear" w:color="auto" w:fill="auto"/>
          </w:tcPr>
          <w:p w14:paraId="755E9F4E" w14:textId="77777777" w:rsidR="008D6587" w:rsidRPr="00D27BF1" w:rsidRDefault="008D6587" w:rsidP="00B82348">
            <w:pPr>
              <w:pStyle w:val="Tabletext"/>
              <w:keepNext/>
              <w:keepLines/>
            </w:pPr>
            <w:r w:rsidRPr="00D27BF1">
              <w:t>Any SAE</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4A126467" w14:textId="77777777" w:rsidR="008D6587" w:rsidRPr="00D27BF1" w:rsidRDefault="008D6587" w:rsidP="00B82348">
            <w:pPr>
              <w:pStyle w:val="Tabletext"/>
              <w:keepNext/>
              <w:keepLines/>
              <w:jc w:val="center"/>
            </w:pPr>
            <w:r w:rsidRPr="00D27BF1">
              <w:t>4 (6)</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3EA2A101" w14:textId="77777777" w:rsidR="008D6587" w:rsidRPr="00D27BF1" w:rsidRDefault="008D6587" w:rsidP="00B82348">
            <w:pPr>
              <w:pStyle w:val="Tabletext"/>
              <w:keepNext/>
              <w:keepLines/>
              <w:jc w:val="center"/>
            </w:pPr>
            <w:r w:rsidRPr="00D27BF1">
              <w:t>2 (3)</w:t>
            </w:r>
          </w:p>
        </w:tc>
        <w:tc>
          <w:tcPr>
            <w:tcW w:w="1556" w:type="dxa"/>
          </w:tcPr>
          <w:p w14:paraId="00077830" w14:textId="77777777" w:rsidR="008D6587" w:rsidRPr="00953A2A" w:rsidRDefault="008D6587" w:rsidP="00B82348">
            <w:pPr>
              <w:pStyle w:val="Tabletext"/>
              <w:keepNext/>
              <w:keepLines/>
              <w:jc w:val="center"/>
            </w:pPr>
            <w:r w:rsidRPr="00953A2A">
              <w:t>0.46 (0.04, 3.32)</w:t>
            </w:r>
          </w:p>
        </w:tc>
        <w:tc>
          <w:tcPr>
            <w:tcW w:w="1787" w:type="dxa"/>
          </w:tcPr>
          <w:p w14:paraId="399A6E3A" w14:textId="77777777" w:rsidR="008D6587" w:rsidRPr="00953A2A" w:rsidRDefault="008D6587" w:rsidP="00B82348">
            <w:pPr>
              <w:pStyle w:val="Tabletext"/>
              <w:keepNext/>
              <w:keepLines/>
              <w:jc w:val="center"/>
            </w:pPr>
            <w:r w:rsidRPr="00953A2A">
              <w:t>-0.03 (-0.12, 0.05)</w:t>
            </w:r>
          </w:p>
        </w:tc>
      </w:tr>
      <w:tr w:rsidR="008D6587" w:rsidRPr="00D27BF1" w14:paraId="39C8F638" w14:textId="77777777" w:rsidTr="00031FA2">
        <w:tc>
          <w:tcPr>
            <w:tcW w:w="2972" w:type="dxa"/>
            <w:tcBorders>
              <w:top w:val="single" w:sz="4" w:space="0" w:color="auto"/>
              <w:left w:val="single" w:sz="4" w:space="0" w:color="auto"/>
              <w:bottom w:val="single" w:sz="4" w:space="0" w:color="auto"/>
              <w:right w:val="single" w:sz="4" w:space="0" w:color="auto"/>
            </w:tcBorders>
            <w:shd w:val="clear" w:color="auto" w:fill="auto"/>
          </w:tcPr>
          <w:p w14:paraId="75065DAA" w14:textId="77777777" w:rsidR="008D6587" w:rsidRPr="00D27BF1" w:rsidRDefault="008D6587" w:rsidP="00B82348">
            <w:pPr>
              <w:pStyle w:val="Tabletext"/>
              <w:keepNext/>
              <w:keepLines/>
            </w:pPr>
            <w:r w:rsidRPr="00D27BF1">
              <w:t>Fatal SAE</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0443CF8" w14:textId="77777777" w:rsidR="008D6587" w:rsidRPr="00D27BF1" w:rsidRDefault="008D6587" w:rsidP="00B82348">
            <w:pPr>
              <w:pStyle w:val="Tabletext"/>
              <w:keepNext/>
              <w:keepLines/>
              <w:jc w:val="center"/>
            </w:pPr>
            <w:r w:rsidRPr="00D27BF1">
              <w:t>1 (2)</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24E3B376" w14:textId="77777777" w:rsidR="008D6587" w:rsidRPr="00D27BF1" w:rsidRDefault="008D6587" w:rsidP="00B82348">
            <w:pPr>
              <w:pStyle w:val="Tabletext"/>
              <w:keepNext/>
              <w:keepLines/>
              <w:jc w:val="center"/>
            </w:pPr>
            <w:r w:rsidRPr="00D27BF1">
              <w:t>0</w:t>
            </w:r>
          </w:p>
        </w:tc>
        <w:tc>
          <w:tcPr>
            <w:tcW w:w="1556" w:type="dxa"/>
          </w:tcPr>
          <w:p w14:paraId="4E6886A4" w14:textId="77777777" w:rsidR="008D6587" w:rsidRPr="00953A2A" w:rsidRDefault="008D6587" w:rsidP="00B82348">
            <w:pPr>
              <w:pStyle w:val="Tabletext"/>
              <w:keepNext/>
              <w:keepLines/>
              <w:jc w:val="center"/>
            </w:pPr>
            <w:r w:rsidRPr="00953A2A">
              <w:t>0.32 (0.01, 75.00)</w:t>
            </w:r>
          </w:p>
        </w:tc>
        <w:tc>
          <w:tcPr>
            <w:tcW w:w="1787" w:type="dxa"/>
          </w:tcPr>
          <w:p w14:paraId="1B021414" w14:textId="77777777" w:rsidR="008D6587" w:rsidRPr="00953A2A" w:rsidRDefault="008D6587" w:rsidP="00B82348">
            <w:pPr>
              <w:pStyle w:val="Tabletext"/>
              <w:keepNext/>
              <w:keepLines/>
              <w:jc w:val="center"/>
            </w:pPr>
            <w:r w:rsidRPr="00953A2A">
              <w:t>-0.02 (-0.08, 0.04)</w:t>
            </w:r>
          </w:p>
        </w:tc>
      </w:tr>
    </w:tbl>
    <w:p w14:paraId="6D9A8999" w14:textId="77777777" w:rsidR="008D6587" w:rsidRPr="00D27BF1" w:rsidRDefault="008D6587" w:rsidP="00B82348">
      <w:pPr>
        <w:pStyle w:val="TableFooter"/>
        <w:keepNext/>
        <w:keepLines/>
      </w:pPr>
      <w:r w:rsidRPr="00D27BF1">
        <w:t>Source: Table 2-45, p94 of the submission.</w:t>
      </w:r>
    </w:p>
    <w:p w14:paraId="5C9DA8D1" w14:textId="77777777" w:rsidR="008D6587" w:rsidRPr="00D27BF1" w:rsidRDefault="008D6587" w:rsidP="00B82348">
      <w:pPr>
        <w:pStyle w:val="TableFooter"/>
        <w:keepNext/>
        <w:keepLines/>
      </w:pPr>
      <w:r w:rsidRPr="00D27BF1">
        <w:t>AE= adverse event; CI= confidence interval; MEPO= mepolizumab; OR= odds ratio; PLA= placebo; RD= risk difference; SAE= serious adverse event</w:t>
      </w:r>
    </w:p>
    <w:p w14:paraId="27624C0B" w14:textId="77777777" w:rsidR="008D6587" w:rsidRPr="00D27BF1" w:rsidRDefault="0057459B" w:rsidP="00B82348">
      <w:pPr>
        <w:pStyle w:val="TableFooter"/>
        <w:keepNext/>
        <w:keepLines/>
      </w:pPr>
      <w:r>
        <w:t>*C</w:t>
      </w:r>
      <w:r w:rsidR="00B82348" w:rsidRPr="00D27BF1">
        <w:t xml:space="preserve">alculated during evaluation </w:t>
      </w:r>
      <w:r w:rsidR="008D6587" w:rsidRPr="00D27BF1">
        <w:t>via StatsDirect (version3.3.3), using the random effects model.</w:t>
      </w:r>
    </w:p>
    <w:p w14:paraId="010C0DFA" w14:textId="77777777" w:rsidR="008D6587" w:rsidRPr="00D27BF1" w:rsidRDefault="008D6587" w:rsidP="00B82348">
      <w:pPr>
        <w:pStyle w:val="TableFooter"/>
        <w:keepNext/>
        <w:keepLines/>
      </w:pPr>
      <w:r w:rsidRPr="00D27BF1">
        <w:t>a. For participants who did not enter the no-treatment follow-up period after Week 52, an event was post-treatment if the start date was more than 28 days after the investigational product stop date. For participants who entered the no-treatment follow-up period after Week 52, an event was post-treatment if the start date was more than 28 days after the investigational product stop date but before the Week 52 visit date.</w:t>
      </w:r>
    </w:p>
    <w:p w14:paraId="4680EA57" w14:textId="77777777" w:rsidR="00B82348" w:rsidRPr="00D27BF1" w:rsidRDefault="008D6587" w:rsidP="00B82348">
      <w:pPr>
        <w:pStyle w:val="TableFooter"/>
        <w:keepNext/>
        <w:keepLines/>
      </w:pPr>
      <w:r w:rsidRPr="00D27BF1">
        <w:t>b. Placebo n=65; mepolizumab n=69. For participants who entered the no-treatment follow-up period only, an event was reported as during the follow-up period if the start date was after the Week 52 visit date.</w:t>
      </w:r>
    </w:p>
    <w:p w14:paraId="5AAAE020" w14:textId="77777777" w:rsidR="00945789" w:rsidRPr="00D27BF1" w:rsidRDefault="00945789" w:rsidP="005A655D">
      <w:pPr>
        <w:rPr>
          <w:rStyle w:val="CommentReference"/>
          <w:b w:val="0"/>
        </w:rPr>
      </w:pPr>
    </w:p>
    <w:p w14:paraId="68650CBB" w14:textId="77777777" w:rsidR="005A655D" w:rsidRPr="00D27BF1" w:rsidRDefault="005A655D" w:rsidP="00B313EF">
      <w:pPr>
        <w:pStyle w:val="ListParagraph"/>
        <w:widowControl/>
        <w:numPr>
          <w:ilvl w:val="1"/>
          <w:numId w:val="2"/>
        </w:numPr>
      </w:pPr>
      <w:r w:rsidRPr="00D27BF1">
        <w:rPr>
          <w:rFonts w:asciiTheme="minorHAnsi" w:hAnsiTheme="minorHAnsi" w:cstheme="minorHAnsi"/>
          <w:szCs w:val="24"/>
        </w:rPr>
        <w:t xml:space="preserve">The most frequently reported on-treatment AEs (≥10% in either treatment group) were nasopharyngitis (25% and 23% of patients in the mepolizumab and placebo groups, respectively), headache (18% and 22%) and sinusitis (5% and 11%). No other AEs were reported for more than 10% of participants in either treatment group. </w:t>
      </w:r>
    </w:p>
    <w:p w14:paraId="07A64B5D" w14:textId="2E1C141F" w:rsidR="005A655D" w:rsidRPr="00D27BF1" w:rsidRDefault="00937BFC" w:rsidP="00B313EF">
      <w:pPr>
        <w:pStyle w:val="ListParagraph"/>
        <w:widowControl/>
        <w:numPr>
          <w:ilvl w:val="1"/>
          <w:numId w:val="2"/>
        </w:numPr>
      </w:pPr>
      <w:r w:rsidRPr="00D27BF1">
        <w:t xml:space="preserve">Results indicated patients treated with mepolizumab had comparable AEs compared to patients treated with placebo. </w:t>
      </w:r>
      <w:r w:rsidRPr="00D27BF1">
        <w:rPr>
          <w:iCs/>
        </w:rPr>
        <w:t>It should be noted that mepolizumab will likely have an inferior safety profile to SoC in the proposed PBS population as Australian patients would not be currently experiencing any injection site reactions related to a</w:t>
      </w:r>
      <w:r w:rsidR="0070007F">
        <w:rPr>
          <w:iCs/>
        </w:rPr>
        <w:t> </w:t>
      </w:r>
      <w:r w:rsidRPr="00D27BF1">
        <w:rPr>
          <w:iCs/>
        </w:rPr>
        <w:t>placebo injection.</w:t>
      </w:r>
      <w:r w:rsidRPr="00D27BF1">
        <w:t xml:space="preserve"> </w:t>
      </w:r>
    </w:p>
    <w:p w14:paraId="11A5D1B4" w14:textId="77777777" w:rsidR="005A655D" w:rsidRPr="00D27BF1" w:rsidRDefault="005A655D" w:rsidP="00B313EF">
      <w:pPr>
        <w:pStyle w:val="ListParagraph"/>
        <w:widowControl/>
        <w:numPr>
          <w:ilvl w:val="1"/>
          <w:numId w:val="2"/>
        </w:numPr>
        <w:rPr>
          <w:rStyle w:val="CommentReference"/>
          <w:rFonts w:ascii="Calibri" w:hAnsi="Calibri"/>
          <w:b w:val="0"/>
          <w:sz w:val="24"/>
          <w:szCs w:val="22"/>
        </w:rPr>
      </w:pPr>
      <w:r w:rsidRPr="00D27BF1">
        <w:rPr>
          <w:rFonts w:asciiTheme="minorHAnsi" w:hAnsiTheme="minorHAnsi" w:cstheme="minorHAnsi"/>
          <w:szCs w:val="24"/>
        </w:rPr>
        <w:t xml:space="preserve">The TGA </w:t>
      </w:r>
      <w:r w:rsidR="002E0037" w:rsidRPr="00D27BF1">
        <w:rPr>
          <w:rFonts w:asciiTheme="minorHAnsi" w:hAnsiTheme="minorHAnsi" w:cstheme="minorHAnsi"/>
          <w:szCs w:val="24"/>
        </w:rPr>
        <w:t>CER</w:t>
      </w:r>
      <w:r w:rsidRPr="00D27BF1">
        <w:rPr>
          <w:rFonts w:asciiTheme="minorHAnsi" w:hAnsiTheme="minorHAnsi" w:cstheme="minorHAnsi"/>
          <w:szCs w:val="24"/>
        </w:rPr>
        <w:t xml:space="preserve"> (p73) evaluated mepolizumab based on two trials (SYNAPSE and NCT01362244, also known as MPP111782). The TGA evaluator concluded that “overall, the safety profile is consistent with that described for the approved indications and no new safety issues were identified.”</w:t>
      </w:r>
    </w:p>
    <w:p w14:paraId="216AB298" w14:textId="77777777" w:rsidR="005D26B4" w:rsidRPr="00D27BF1" w:rsidRDefault="005D26B4" w:rsidP="004151CF">
      <w:pPr>
        <w:pStyle w:val="ListParagraph"/>
        <w:spacing w:after="0"/>
        <w:ind w:left="0"/>
      </w:pPr>
    </w:p>
    <w:p w14:paraId="155240A5" w14:textId="77777777" w:rsidR="007F1017" w:rsidRPr="00D27BF1" w:rsidRDefault="007F1017" w:rsidP="00C9624D">
      <w:pPr>
        <w:pStyle w:val="Heading2"/>
      </w:pPr>
      <w:bookmarkStart w:id="20" w:name="_Toc82528841"/>
      <w:r w:rsidRPr="00D27BF1">
        <w:t>Benefits/harms</w:t>
      </w:r>
      <w:bookmarkEnd w:id="20"/>
    </w:p>
    <w:p w14:paraId="3FD10FD9" w14:textId="77777777" w:rsidR="002C3971" w:rsidRPr="00D27BF1" w:rsidRDefault="00052CBC" w:rsidP="00B313EF">
      <w:pPr>
        <w:pStyle w:val="ListParagraph"/>
        <w:widowControl/>
        <w:numPr>
          <w:ilvl w:val="1"/>
          <w:numId w:val="2"/>
        </w:numPr>
      </w:pPr>
      <w:r w:rsidRPr="00D27BF1">
        <w:rPr>
          <w:rFonts w:asciiTheme="minorHAnsi" w:hAnsiTheme="minorHAnsi" w:cstheme="minorHAnsi"/>
          <w:snapToGrid/>
          <w:szCs w:val="24"/>
          <w:lang w:eastAsia="en-AU"/>
        </w:rPr>
        <w:t>A summary of comparative benefits for mepolizumab versus p</w:t>
      </w:r>
      <w:r w:rsidR="00F53E02" w:rsidRPr="00D27BF1">
        <w:rPr>
          <w:rFonts w:asciiTheme="minorHAnsi" w:hAnsiTheme="minorHAnsi" w:cstheme="minorHAnsi"/>
          <w:snapToGrid/>
          <w:szCs w:val="24"/>
          <w:lang w:eastAsia="en-AU"/>
        </w:rPr>
        <w:t xml:space="preserve">lacebo is presented in </w:t>
      </w:r>
      <w:r w:rsidR="0020510D" w:rsidRPr="0020510D">
        <w:rPr>
          <w:rStyle w:val="CommentReference"/>
          <w:rFonts w:asciiTheme="minorHAnsi" w:hAnsiTheme="minorHAnsi" w:cstheme="minorHAnsi"/>
          <w:b w:val="0"/>
          <w:sz w:val="24"/>
          <w:szCs w:val="24"/>
        </w:rPr>
        <w:t>Table 10</w:t>
      </w:r>
      <w:r w:rsidRPr="00D27BF1">
        <w:rPr>
          <w:rFonts w:cs="Calibri"/>
          <w:snapToGrid/>
          <w:szCs w:val="24"/>
          <w:lang w:eastAsia="en-AU"/>
        </w:rPr>
        <w:t xml:space="preserve">. </w:t>
      </w:r>
      <w:r w:rsidR="006C64B4" w:rsidRPr="00D27BF1">
        <w:t xml:space="preserve">A summary of the comparative harms was </w:t>
      </w:r>
      <w:r w:rsidR="006C64B4" w:rsidRPr="00D27BF1">
        <w:rPr>
          <w:rFonts w:asciiTheme="minorHAnsi" w:hAnsiTheme="minorHAnsi" w:cstheme="minorHAnsi"/>
          <w:snapToGrid/>
          <w:szCs w:val="24"/>
          <w:lang w:eastAsia="en-AU"/>
        </w:rPr>
        <w:t xml:space="preserve">presented in </w:t>
      </w:r>
      <w:r w:rsidR="0020510D" w:rsidRPr="0020510D">
        <w:rPr>
          <w:rFonts w:asciiTheme="minorHAnsi" w:hAnsiTheme="minorHAnsi" w:cstheme="minorHAnsi"/>
          <w:snapToGrid/>
          <w:szCs w:val="24"/>
          <w:lang w:eastAsia="en-AU"/>
        </w:rPr>
        <w:t>Table 9</w:t>
      </w:r>
      <w:r w:rsidR="006C64B4" w:rsidRPr="00D27BF1">
        <w:rPr>
          <w:rFonts w:asciiTheme="minorHAnsi" w:hAnsiTheme="minorHAnsi" w:cstheme="minorHAnsi"/>
          <w:snapToGrid/>
          <w:szCs w:val="24"/>
          <w:lang w:eastAsia="en-AU"/>
        </w:rPr>
        <w:t>.</w:t>
      </w:r>
    </w:p>
    <w:p w14:paraId="5259DEB5" w14:textId="77777777" w:rsidR="008A6F50" w:rsidRPr="00D27BF1" w:rsidRDefault="00F53E02" w:rsidP="008A6F50">
      <w:pPr>
        <w:pStyle w:val="ListParagraph"/>
        <w:keepNext/>
        <w:spacing w:after="0"/>
        <w:ind w:left="0"/>
        <w:rPr>
          <w:rStyle w:val="CommentReference"/>
        </w:rPr>
      </w:pPr>
      <w:bookmarkStart w:id="21" w:name="_Ref80570093"/>
      <w:r w:rsidRPr="00D27BF1">
        <w:rPr>
          <w:rStyle w:val="CommentReference"/>
        </w:rPr>
        <w:t xml:space="preserve">Table </w:t>
      </w:r>
      <w:r w:rsidR="0020510D">
        <w:rPr>
          <w:rStyle w:val="CommentReference"/>
          <w:noProof/>
        </w:rPr>
        <w:t>10</w:t>
      </w:r>
      <w:bookmarkEnd w:id="21"/>
      <w:r w:rsidRPr="00D27BF1">
        <w:rPr>
          <w:rStyle w:val="CommentReference"/>
        </w:rPr>
        <w:t>: Summary of comparative benefits for mepolizumab versus placebo (</w:t>
      </w:r>
      <w:r w:rsidR="008A6F50" w:rsidRPr="00D27BF1">
        <w:rPr>
          <w:rStyle w:val="CommentReference"/>
        </w:rPr>
        <w:t>BEC ≥150 cells/µL</w:t>
      </w:r>
      <w:r w:rsidRPr="00D27BF1">
        <w:rPr>
          <w:rStyle w:val="CommentReference"/>
        </w:rPr>
        <w:t>)</w:t>
      </w:r>
    </w:p>
    <w:tbl>
      <w:tblPr>
        <w:tblW w:w="5000" w:type="pct"/>
        <w:tblLayout w:type="fixed"/>
        <w:tblCellMar>
          <w:left w:w="28" w:type="dxa"/>
          <w:right w:w="28" w:type="dxa"/>
        </w:tblCellMar>
        <w:tblLook w:val="04A0" w:firstRow="1" w:lastRow="0" w:firstColumn="1" w:lastColumn="0" w:noHBand="0" w:noVBand="1"/>
      </w:tblPr>
      <w:tblGrid>
        <w:gridCol w:w="2124"/>
        <w:gridCol w:w="566"/>
        <w:gridCol w:w="712"/>
        <w:gridCol w:w="281"/>
        <w:gridCol w:w="570"/>
        <w:gridCol w:w="283"/>
        <w:gridCol w:w="427"/>
        <w:gridCol w:w="566"/>
        <w:gridCol w:w="568"/>
        <w:gridCol w:w="707"/>
        <w:gridCol w:w="144"/>
        <w:gridCol w:w="1133"/>
        <w:gridCol w:w="936"/>
      </w:tblGrid>
      <w:tr w:rsidR="008A6F50" w:rsidRPr="00D27BF1" w14:paraId="6ABCC1C8" w14:textId="77777777" w:rsidTr="008A6F50">
        <w:trPr>
          <w:trHeight w:val="150"/>
        </w:trPr>
        <w:tc>
          <w:tcPr>
            <w:tcW w:w="11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C1AEA7" w14:textId="77777777" w:rsidR="008A6F50" w:rsidRPr="00D27BF1" w:rsidRDefault="008A6F50" w:rsidP="00F83872">
            <w:pPr>
              <w:rPr>
                <w:rFonts w:ascii="Arial Narrow" w:hAnsi="Arial Narrow"/>
                <w:b/>
                <w:color w:val="000000"/>
                <w:sz w:val="20"/>
                <w:szCs w:val="18"/>
              </w:rPr>
            </w:pPr>
            <w:r w:rsidRPr="00D27BF1">
              <w:rPr>
                <w:rFonts w:ascii="Arial Narrow" w:hAnsi="Arial Narrow"/>
                <w:b/>
                <w:color w:val="000000"/>
                <w:sz w:val="20"/>
                <w:szCs w:val="18"/>
              </w:rPr>
              <w:t>Trial</w:t>
            </w:r>
          </w:p>
        </w:tc>
        <w:tc>
          <w:tcPr>
            <w:tcW w:w="709" w:type="pct"/>
            <w:gridSpan w:val="2"/>
            <w:vMerge w:val="restart"/>
            <w:tcBorders>
              <w:top w:val="single" w:sz="4" w:space="0" w:color="auto"/>
              <w:left w:val="single" w:sz="4" w:space="0" w:color="auto"/>
              <w:bottom w:val="single" w:sz="4" w:space="0" w:color="auto"/>
              <w:right w:val="single" w:sz="4" w:space="0" w:color="auto"/>
            </w:tcBorders>
            <w:vAlign w:val="center"/>
          </w:tcPr>
          <w:p w14:paraId="0D5621E6" w14:textId="77777777" w:rsidR="008A6F50" w:rsidRPr="00D27BF1" w:rsidRDefault="008A6F50" w:rsidP="00F83872">
            <w:pPr>
              <w:jc w:val="center"/>
              <w:rPr>
                <w:rFonts w:ascii="Arial Narrow" w:hAnsi="Arial Narrow"/>
                <w:b/>
                <w:color w:val="000000"/>
                <w:sz w:val="20"/>
                <w:szCs w:val="18"/>
              </w:rPr>
            </w:pPr>
            <w:r w:rsidRPr="00D27BF1">
              <w:rPr>
                <w:rFonts w:ascii="Arial Narrow" w:hAnsi="Arial Narrow"/>
                <w:b/>
                <w:color w:val="000000"/>
                <w:sz w:val="20"/>
                <w:szCs w:val="18"/>
              </w:rPr>
              <w:t>Mepolizumab</w:t>
            </w:r>
          </w:p>
          <w:p w14:paraId="3C5F373E" w14:textId="77777777" w:rsidR="008A6F50" w:rsidRPr="00D27BF1" w:rsidRDefault="008A6F50" w:rsidP="00F83872">
            <w:pPr>
              <w:jc w:val="center"/>
              <w:rPr>
                <w:rFonts w:ascii="Arial Narrow" w:hAnsi="Arial Narrow"/>
                <w:b/>
                <w:color w:val="000000"/>
                <w:sz w:val="20"/>
                <w:szCs w:val="18"/>
              </w:rPr>
            </w:pPr>
            <w:r w:rsidRPr="00D27BF1">
              <w:rPr>
                <w:rFonts w:ascii="Arial Narrow" w:hAnsi="Arial Narrow"/>
                <w:b/>
                <w:color w:val="000000"/>
                <w:sz w:val="20"/>
                <w:szCs w:val="18"/>
              </w:rPr>
              <w:t>n/N</w:t>
            </w:r>
          </w:p>
        </w:tc>
        <w:tc>
          <w:tcPr>
            <w:tcW w:w="629" w:type="pct"/>
            <w:gridSpan w:val="3"/>
            <w:vMerge w:val="restart"/>
            <w:tcBorders>
              <w:top w:val="single" w:sz="4" w:space="0" w:color="auto"/>
              <w:left w:val="single" w:sz="4" w:space="0" w:color="auto"/>
              <w:bottom w:val="single" w:sz="4" w:space="0" w:color="auto"/>
              <w:right w:val="single" w:sz="4" w:space="0" w:color="auto"/>
            </w:tcBorders>
            <w:vAlign w:val="center"/>
          </w:tcPr>
          <w:p w14:paraId="2BD71254" w14:textId="77777777" w:rsidR="008A6F50" w:rsidRPr="00D27BF1" w:rsidRDefault="008A6F50" w:rsidP="00F83872">
            <w:pPr>
              <w:jc w:val="center"/>
              <w:rPr>
                <w:rFonts w:ascii="Arial Narrow" w:hAnsi="Arial Narrow"/>
                <w:b/>
                <w:color w:val="000000"/>
                <w:sz w:val="20"/>
                <w:szCs w:val="18"/>
              </w:rPr>
            </w:pPr>
            <w:r w:rsidRPr="00D27BF1">
              <w:rPr>
                <w:rFonts w:ascii="Arial Narrow" w:hAnsi="Arial Narrow"/>
                <w:b/>
                <w:color w:val="000000"/>
                <w:sz w:val="20"/>
                <w:szCs w:val="18"/>
              </w:rPr>
              <w:t>Placebo (SoC)</w:t>
            </w:r>
          </w:p>
          <w:p w14:paraId="74E6DAF5" w14:textId="77777777" w:rsidR="008A6F50" w:rsidRPr="00D27BF1" w:rsidRDefault="008A6F50" w:rsidP="00F83872">
            <w:pPr>
              <w:jc w:val="center"/>
              <w:rPr>
                <w:rFonts w:ascii="Arial Narrow" w:hAnsi="Arial Narrow"/>
                <w:b/>
                <w:color w:val="000000"/>
                <w:sz w:val="20"/>
                <w:szCs w:val="18"/>
              </w:rPr>
            </w:pPr>
            <w:r w:rsidRPr="00D27BF1">
              <w:rPr>
                <w:rFonts w:ascii="Arial Narrow" w:hAnsi="Arial Narrow"/>
                <w:b/>
                <w:color w:val="000000"/>
                <w:sz w:val="20"/>
                <w:szCs w:val="18"/>
              </w:rPr>
              <w:t>n/N</w:t>
            </w:r>
          </w:p>
        </w:tc>
        <w:tc>
          <w:tcPr>
            <w:tcW w:w="551" w:type="pct"/>
            <w:gridSpan w:val="2"/>
            <w:vMerge w:val="restart"/>
            <w:tcBorders>
              <w:top w:val="single" w:sz="4" w:space="0" w:color="auto"/>
              <w:left w:val="single" w:sz="4" w:space="0" w:color="auto"/>
              <w:bottom w:val="single" w:sz="4" w:space="0" w:color="auto"/>
              <w:right w:val="single" w:sz="4" w:space="0" w:color="auto"/>
            </w:tcBorders>
            <w:vAlign w:val="center"/>
          </w:tcPr>
          <w:p w14:paraId="576ADCEB" w14:textId="77777777" w:rsidR="008A6F50" w:rsidRPr="00D27BF1" w:rsidRDefault="008A6F50" w:rsidP="00F83872">
            <w:pPr>
              <w:jc w:val="center"/>
              <w:rPr>
                <w:rFonts w:ascii="Arial Narrow" w:hAnsi="Arial Narrow"/>
                <w:b/>
                <w:color w:val="000000"/>
                <w:sz w:val="20"/>
                <w:szCs w:val="18"/>
              </w:rPr>
            </w:pPr>
            <w:r w:rsidRPr="00D27BF1">
              <w:rPr>
                <w:rFonts w:ascii="Arial Narrow" w:hAnsi="Arial Narrow"/>
                <w:b/>
                <w:color w:val="000000"/>
                <w:sz w:val="20"/>
                <w:szCs w:val="18"/>
              </w:rPr>
              <w:t>RR</w:t>
            </w:r>
          </w:p>
          <w:p w14:paraId="39A9FD36" w14:textId="77777777" w:rsidR="008A6F50" w:rsidRPr="00D27BF1" w:rsidRDefault="008A6F50" w:rsidP="00F83872">
            <w:pPr>
              <w:jc w:val="center"/>
              <w:rPr>
                <w:rFonts w:ascii="Arial Narrow" w:hAnsi="Arial Narrow"/>
                <w:b/>
                <w:color w:val="000000"/>
                <w:sz w:val="20"/>
                <w:szCs w:val="18"/>
              </w:rPr>
            </w:pPr>
            <w:r w:rsidRPr="00D27BF1">
              <w:rPr>
                <w:rFonts w:ascii="Arial Narrow" w:hAnsi="Arial Narrow"/>
                <w:b/>
                <w:color w:val="000000"/>
                <w:sz w:val="20"/>
                <w:szCs w:val="18"/>
              </w:rPr>
              <w:t>(95% CI)</w:t>
            </w:r>
          </w:p>
        </w:tc>
        <w:tc>
          <w:tcPr>
            <w:tcW w:w="1415" w:type="pct"/>
            <w:gridSpan w:val="4"/>
            <w:tcBorders>
              <w:top w:val="single" w:sz="4" w:space="0" w:color="auto"/>
              <w:left w:val="single" w:sz="4" w:space="0" w:color="auto"/>
              <w:bottom w:val="single" w:sz="4" w:space="0" w:color="auto"/>
              <w:right w:val="single" w:sz="4" w:space="0" w:color="auto"/>
            </w:tcBorders>
            <w:vAlign w:val="center"/>
          </w:tcPr>
          <w:p w14:paraId="4963D24A" w14:textId="77777777" w:rsidR="008A6F50" w:rsidRPr="00D27BF1" w:rsidRDefault="008A6F50" w:rsidP="00F83872">
            <w:pPr>
              <w:jc w:val="center"/>
              <w:rPr>
                <w:rFonts w:ascii="Arial Narrow" w:hAnsi="Arial Narrow"/>
                <w:b/>
                <w:color w:val="000000"/>
                <w:sz w:val="20"/>
                <w:szCs w:val="18"/>
              </w:rPr>
            </w:pPr>
            <w:r w:rsidRPr="00D27BF1">
              <w:rPr>
                <w:rFonts w:ascii="Arial Narrow" w:hAnsi="Arial Narrow"/>
                <w:b/>
                <w:color w:val="000000"/>
                <w:sz w:val="20"/>
                <w:szCs w:val="18"/>
              </w:rPr>
              <w:t xml:space="preserve">Event rate/100 patients* </w:t>
            </w:r>
          </w:p>
        </w:tc>
        <w:tc>
          <w:tcPr>
            <w:tcW w:w="520" w:type="pct"/>
            <w:vMerge w:val="restart"/>
            <w:tcBorders>
              <w:top w:val="single" w:sz="4" w:space="0" w:color="auto"/>
              <w:left w:val="single" w:sz="4" w:space="0" w:color="auto"/>
              <w:bottom w:val="single" w:sz="4" w:space="0" w:color="auto"/>
              <w:right w:val="single" w:sz="4" w:space="0" w:color="auto"/>
            </w:tcBorders>
            <w:vAlign w:val="center"/>
          </w:tcPr>
          <w:p w14:paraId="15873A46" w14:textId="77777777" w:rsidR="008A6F50" w:rsidRPr="00D27BF1" w:rsidRDefault="008A6F50" w:rsidP="00F83872">
            <w:pPr>
              <w:jc w:val="center"/>
              <w:rPr>
                <w:rFonts w:ascii="Arial Narrow" w:hAnsi="Arial Narrow"/>
                <w:b/>
                <w:color w:val="000000"/>
                <w:sz w:val="20"/>
                <w:szCs w:val="18"/>
              </w:rPr>
            </w:pPr>
            <w:r w:rsidRPr="00D27BF1">
              <w:rPr>
                <w:rFonts w:ascii="Arial Narrow" w:hAnsi="Arial Narrow"/>
                <w:b/>
                <w:color w:val="000000"/>
                <w:sz w:val="20"/>
                <w:szCs w:val="18"/>
              </w:rPr>
              <w:t>RD</w:t>
            </w:r>
          </w:p>
          <w:p w14:paraId="7FD35DA7" w14:textId="77777777" w:rsidR="008A6F50" w:rsidRPr="00D27BF1" w:rsidRDefault="008A6F50" w:rsidP="00F83872">
            <w:pPr>
              <w:jc w:val="center"/>
              <w:rPr>
                <w:rFonts w:ascii="Arial Narrow" w:hAnsi="Arial Narrow"/>
                <w:b/>
                <w:color w:val="000000"/>
                <w:sz w:val="20"/>
                <w:szCs w:val="18"/>
              </w:rPr>
            </w:pPr>
            <w:r w:rsidRPr="00D27BF1">
              <w:rPr>
                <w:rFonts w:ascii="Arial Narrow" w:hAnsi="Arial Narrow"/>
                <w:b/>
                <w:color w:val="000000"/>
                <w:sz w:val="20"/>
                <w:szCs w:val="18"/>
              </w:rPr>
              <w:t>(95% CI)</w:t>
            </w:r>
          </w:p>
        </w:tc>
      </w:tr>
      <w:tr w:rsidR="008A6F50" w:rsidRPr="00D27BF1" w14:paraId="03C7B989" w14:textId="77777777" w:rsidTr="008A6F50">
        <w:trPr>
          <w:trHeight w:val="315"/>
        </w:trPr>
        <w:tc>
          <w:tcPr>
            <w:tcW w:w="117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6630812" w14:textId="77777777" w:rsidR="008A6F50" w:rsidRPr="00D27BF1" w:rsidRDefault="008A6F50" w:rsidP="00F83872">
            <w:pPr>
              <w:rPr>
                <w:rFonts w:ascii="Arial Narrow" w:hAnsi="Arial Narrow"/>
                <w:b/>
                <w:color w:val="000000"/>
                <w:sz w:val="20"/>
                <w:szCs w:val="18"/>
              </w:rPr>
            </w:pPr>
          </w:p>
        </w:tc>
        <w:tc>
          <w:tcPr>
            <w:tcW w:w="709" w:type="pct"/>
            <w:gridSpan w:val="2"/>
            <w:vMerge/>
            <w:tcBorders>
              <w:top w:val="single" w:sz="4" w:space="0" w:color="auto"/>
              <w:left w:val="single" w:sz="4" w:space="0" w:color="auto"/>
              <w:bottom w:val="single" w:sz="4" w:space="0" w:color="auto"/>
              <w:right w:val="single" w:sz="4" w:space="0" w:color="auto"/>
            </w:tcBorders>
            <w:vAlign w:val="center"/>
          </w:tcPr>
          <w:p w14:paraId="00398265" w14:textId="77777777" w:rsidR="008A6F50" w:rsidRPr="00D27BF1" w:rsidRDefault="008A6F50" w:rsidP="00F83872">
            <w:pPr>
              <w:jc w:val="center"/>
              <w:rPr>
                <w:rFonts w:ascii="Arial Narrow" w:hAnsi="Arial Narrow"/>
                <w:b/>
                <w:color w:val="000000"/>
                <w:sz w:val="20"/>
                <w:szCs w:val="18"/>
              </w:rPr>
            </w:pPr>
          </w:p>
        </w:tc>
        <w:tc>
          <w:tcPr>
            <w:tcW w:w="629" w:type="pct"/>
            <w:gridSpan w:val="3"/>
            <w:vMerge/>
            <w:tcBorders>
              <w:top w:val="single" w:sz="4" w:space="0" w:color="auto"/>
              <w:left w:val="single" w:sz="4" w:space="0" w:color="auto"/>
              <w:bottom w:val="single" w:sz="4" w:space="0" w:color="auto"/>
              <w:right w:val="single" w:sz="4" w:space="0" w:color="auto"/>
            </w:tcBorders>
            <w:vAlign w:val="center"/>
          </w:tcPr>
          <w:p w14:paraId="394C06BA" w14:textId="77777777" w:rsidR="008A6F50" w:rsidRPr="00D27BF1" w:rsidRDefault="008A6F50" w:rsidP="00F83872">
            <w:pPr>
              <w:jc w:val="center"/>
              <w:rPr>
                <w:rFonts w:ascii="Arial Narrow" w:hAnsi="Arial Narrow"/>
                <w:b/>
                <w:color w:val="000000"/>
                <w:sz w:val="20"/>
                <w:szCs w:val="18"/>
              </w:rPr>
            </w:pPr>
          </w:p>
        </w:tc>
        <w:tc>
          <w:tcPr>
            <w:tcW w:w="551" w:type="pct"/>
            <w:gridSpan w:val="2"/>
            <w:vMerge/>
            <w:tcBorders>
              <w:top w:val="single" w:sz="4" w:space="0" w:color="auto"/>
              <w:left w:val="single" w:sz="4" w:space="0" w:color="auto"/>
              <w:bottom w:val="single" w:sz="4" w:space="0" w:color="auto"/>
              <w:right w:val="single" w:sz="4" w:space="0" w:color="auto"/>
            </w:tcBorders>
            <w:vAlign w:val="center"/>
          </w:tcPr>
          <w:p w14:paraId="34AAE397" w14:textId="77777777" w:rsidR="008A6F50" w:rsidRPr="00D27BF1" w:rsidRDefault="008A6F50" w:rsidP="00F83872">
            <w:pPr>
              <w:jc w:val="center"/>
              <w:rPr>
                <w:rFonts w:ascii="Arial Narrow" w:hAnsi="Arial Narrow"/>
                <w:b/>
                <w:color w:val="000000"/>
                <w:sz w:val="20"/>
                <w:szCs w:val="18"/>
              </w:rPr>
            </w:pPr>
          </w:p>
        </w:tc>
        <w:tc>
          <w:tcPr>
            <w:tcW w:w="707" w:type="pct"/>
            <w:gridSpan w:val="2"/>
            <w:tcBorders>
              <w:top w:val="single" w:sz="4" w:space="0" w:color="auto"/>
              <w:left w:val="single" w:sz="4" w:space="0" w:color="auto"/>
              <w:bottom w:val="single" w:sz="4" w:space="0" w:color="auto"/>
              <w:right w:val="single" w:sz="4" w:space="0" w:color="auto"/>
            </w:tcBorders>
            <w:vAlign w:val="center"/>
          </w:tcPr>
          <w:p w14:paraId="1AE9EDCD" w14:textId="77777777" w:rsidR="008A6F50" w:rsidRPr="00D27BF1" w:rsidRDefault="008A6F50" w:rsidP="00F83872">
            <w:pPr>
              <w:jc w:val="center"/>
              <w:rPr>
                <w:rFonts w:ascii="Arial Narrow" w:hAnsi="Arial Narrow"/>
                <w:b/>
                <w:color w:val="000000"/>
                <w:sz w:val="20"/>
                <w:szCs w:val="18"/>
              </w:rPr>
            </w:pPr>
            <w:r w:rsidRPr="00D27BF1">
              <w:rPr>
                <w:rFonts w:ascii="Arial Narrow" w:hAnsi="Arial Narrow"/>
                <w:b/>
                <w:color w:val="000000"/>
                <w:sz w:val="20"/>
                <w:szCs w:val="18"/>
              </w:rPr>
              <w:t>Mepolizumab</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1B549210" w14:textId="77777777" w:rsidR="008A6F50" w:rsidRPr="00D27BF1" w:rsidRDefault="008A6F50" w:rsidP="00F83872">
            <w:pPr>
              <w:jc w:val="center"/>
              <w:rPr>
                <w:rFonts w:ascii="Arial Narrow" w:hAnsi="Arial Narrow"/>
                <w:b/>
                <w:color w:val="000000"/>
                <w:sz w:val="20"/>
                <w:szCs w:val="18"/>
              </w:rPr>
            </w:pPr>
            <w:r w:rsidRPr="00D27BF1">
              <w:rPr>
                <w:rFonts w:ascii="Arial Narrow" w:hAnsi="Arial Narrow"/>
                <w:b/>
                <w:color w:val="000000"/>
                <w:sz w:val="20"/>
                <w:szCs w:val="18"/>
              </w:rPr>
              <w:t>Placebo (SoC)</w:t>
            </w:r>
          </w:p>
        </w:tc>
        <w:tc>
          <w:tcPr>
            <w:tcW w:w="520" w:type="pct"/>
            <w:vMerge/>
            <w:tcBorders>
              <w:top w:val="single" w:sz="4" w:space="0" w:color="auto"/>
              <w:left w:val="single" w:sz="4" w:space="0" w:color="auto"/>
              <w:bottom w:val="single" w:sz="4" w:space="0" w:color="auto"/>
              <w:right w:val="single" w:sz="4" w:space="0" w:color="auto"/>
            </w:tcBorders>
            <w:vAlign w:val="center"/>
          </w:tcPr>
          <w:p w14:paraId="16743952" w14:textId="77777777" w:rsidR="008A6F50" w:rsidRPr="00D27BF1" w:rsidRDefault="008A6F50" w:rsidP="00F83872">
            <w:pPr>
              <w:jc w:val="center"/>
              <w:rPr>
                <w:rFonts w:ascii="Arial Narrow" w:hAnsi="Arial Narrow"/>
                <w:b/>
                <w:color w:val="000000"/>
                <w:sz w:val="20"/>
                <w:szCs w:val="18"/>
              </w:rPr>
            </w:pPr>
          </w:p>
        </w:tc>
      </w:tr>
      <w:tr w:rsidR="008A6F50" w:rsidRPr="00D27BF1" w14:paraId="59A5D7A8" w14:textId="77777777" w:rsidTr="00F83872">
        <w:tc>
          <w:tcPr>
            <w:tcW w:w="5000" w:type="pct"/>
            <w:gridSpan w:val="13"/>
            <w:tcBorders>
              <w:top w:val="single" w:sz="4" w:space="0" w:color="auto"/>
              <w:left w:val="single" w:sz="4" w:space="0" w:color="auto"/>
              <w:bottom w:val="double" w:sz="4" w:space="0" w:color="auto"/>
              <w:right w:val="single" w:sz="4" w:space="0" w:color="auto"/>
            </w:tcBorders>
            <w:shd w:val="clear" w:color="auto" w:fill="auto"/>
            <w:vAlign w:val="center"/>
          </w:tcPr>
          <w:p w14:paraId="20257FD5" w14:textId="77777777" w:rsidR="008A6F50" w:rsidRPr="00D27BF1" w:rsidRDefault="008A6F50" w:rsidP="00F83872">
            <w:pPr>
              <w:rPr>
                <w:rFonts w:ascii="Arial Narrow" w:hAnsi="Arial Narrow"/>
                <w:b/>
                <w:color w:val="000000"/>
                <w:sz w:val="20"/>
                <w:szCs w:val="18"/>
              </w:rPr>
            </w:pPr>
            <w:r w:rsidRPr="00D27BF1">
              <w:rPr>
                <w:rFonts w:ascii="Arial Narrow" w:hAnsi="Arial Narrow"/>
                <w:b/>
                <w:color w:val="000000"/>
                <w:sz w:val="20"/>
                <w:szCs w:val="18"/>
              </w:rPr>
              <w:t>Benefits</w:t>
            </w:r>
          </w:p>
        </w:tc>
      </w:tr>
      <w:tr w:rsidR="008A6F50" w:rsidRPr="00D27BF1" w14:paraId="5C87CF01" w14:textId="77777777" w:rsidTr="00F83872">
        <w:tc>
          <w:tcPr>
            <w:tcW w:w="5000" w:type="pct"/>
            <w:gridSpan w:val="13"/>
            <w:tcBorders>
              <w:top w:val="double" w:sz="4" w:space="0" w:color="auto"/>
              <w:left w:val="single" w:sz="4" w:space="0" w:color="auto"/>
              <w:bottom w:val="single" w:sz="4" w:space="0" w:color="auto"/>
              <w:right w:val="single" w:sz="4" w:space="0" w:color="auto"/>
            </w:tcBorders>
            <w:shd w:val="clear" w:color="auto" w:fill="auto"/>
            <w:vAlign w:val="center"/>
          </w:tcPr>
          <w:p w14:paraId="4A4F3A99" w14:textId="77777777" w:rsidR="008A6F50" w:rsidRPr="00D27BF1" w:rsidRDefault="009427AB" w:rsidP="00F83872">
            <w:pPr>
              <w:rPr>
                <w:rFonts w:ascii="Arial Narrow" w:hAnsi="Arial Narrow"/>
                <w:b/>
                <w:color w:val="000000"/>
                <w:sz w:val="20"/>
                <w:szCs w:val="18"/>
              </w:rPr>
            </w:pPr>
            <w:r w:rsidRPr="00D27BF1">
              <w:rPr>
                <w:rFonts w:ascii="Arial Narrow" w:hAnsi="Arial Narrow"/>
                <w:b/>
                <w:color w:val="000000"/>
                <w:sz w:val="20"/>
                <w:szCs w:val="18"/>
              </w:rPr>
              <w:t>Any r</w:t>
            </w:r>
            <w:r w:rsidR="008A6F50" w:rsidRPr="00D27BF1">
              <w:rPr>
                <w:rFonts w:ascii="Arial Narrow" w:hAnsi="Arial Narrow"/>
                <w:b/>
                <w:color w:val="000000"/>
                <w:sz w:val="20"/>
                <w:szCs w:val="18"/>
              </w:rPr>
              <w:t>esponder at 52 weeks</w:t>
            </w:r>
          </w:p>
        </w:tc>
      </w:tr>
      <w:tr w:rsidR="008A6F50" w:rsidRPr="00D27BF1" w14:paraId="2F08DB73" w14:textId="77777777" w:rsidTr="008A6F50">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611D47E1" w14:textId="77777777" w:rsidR="008A6F50" w:rsidRPr="00D27BF1" w:rsidRDefault="008A6F50" w:rsidP="00F83872">
            <w:pPr>
              <w:rPr>
                <w:rFonts w:ascii="Arial Narrow" w:hAnsi="Arial Narrow"/>
                <w:color w:val="000000"/>
                <w:sz w:val="20"/>
                <w:szCs w:val="18"/>
              </w:rPr>
            </w:pPr>
            <w:r w:rsidRPr="00D27BF1">
              <w:rPr>
                <w:rFonts w:ascii="Arial Narrow" w:hAnsi="Arial Narrow"/>
                <w:color w:val="000000"/>
                <w:sz w:val="20"/>
                <w:szCs w:val="18"/>
              </w:rPr>
              <w:t>ENP or NO-VAS responder</w:t>
            </w:r>
          </w:p>
        </w:tc>
        <w:tc>
          <w:tcPr>
            <w:tcW w:w="709" w:type="pct"/>
            <w:gridSpan w:val="2"/>
            <w:tcBorders>
              <w:top w:val="single" w:sz="4" w:space="0" w:color="auto"/>
              <w:left w:val="single" w:sz="4" w:space="0" w:color="auto"/>
              <w:bottom w:val="single" w:sz="4" w:space="0" w:color="auto"/>
              <w:right w:val="single" w:sz="4" w:space="0" w:color="auto"/>
            </w:tcBorders>
            <w:vAlign w:val="center"/>
          </w:tcPr>
          <w:p w14:paraId="3B5B7FDE" w14:textId="77777777" w:rsidR="008A6F50" w:rsidRPr="00D27BF1" w:rsidRDefault="008A6F50" w:rsidP="00F83872">
            <w:pPr>
              <w:jc w:val="center"/>
              <w:rPr>
                <w:rFonts w:ascii="Arial Narrow" w:hAnsi="Arial Narrow"/>
                <w:color w:val="000000"/>
                <w:sz w:val="20"/>
                <w:szCs w:val="18"/>
              </w:rPr>
            </w:pPr>
            <w:r w:rsidRPr="00D27BF1">
              <w:rPr>
                <w:rFonts w:ascii="Arial Narrow" w:hAnsi="Arial Narrow"/>
                <w:color w:val="000000"/>
                <w:sz w:val="20"/>
                <w:szCs w:val="18"/>
              </w:rPr>
              <w:t>NR</w:t>
            </w:r>
          </w:p>
        </w:tc>
        <w:tc>
          <w:tcPr>
            <w:tcW w:w="629" w:type="pct"/>
            <w:gridSpan w:val="3"/>
            <w:tcBorders>
              <w:top w:val="single" w:sz="4" w:space="0" w:color="auto"/>
              <w:left w:val="single" w:sz="4" w:space="0" w:color="auto"/>
              <w:bottom w:val="single" w:sz="4" w:space="0" w:color="auto"/>
              <w:right w:val="single" w:sz="4" w:space="0" w:color="auto"/>
            </w:tcBorders>
            <w:vAlign w:val="center"/>
          </w:tcPr>
          <w:p w14:paraId="40454E86" w14:textId="77777777" w:rsidR="008A6F50" w:rsidRPr="00D27BF1" w:rsidRDefault="008A6F50" w:rsidP="00F83872">
            <w:pPr>
              <w:jc w:val="center"/>
              <w:rPr>
                <w:rFonts w:ascii="Arial Narrow" w:hAnsi="Arial Narrow"/>
                <w:color w:val="000000"/>
                <w:sz w:val="20"/>
                <w:szCs w:val="18"/>
              </w:rPr>
            </w:pPr>
            <w:r w:rsidRPr="00D27BF1">
              <w:rPr>
                <w:rFonts w:ascii="Arial Narrow" w:hAnsi="Arial Narrow"/>
                <w:color w:val="000000"/>
                <w:sz w:val="20"/>
                <w:szCs w:val="18"/>
              </w:rPr>
              <w:t>NR</w:t>
            </w:r>
          </w:p>
        </w:tc>
        <w:tc>
          <w:tcPr>
            <w:tcW w:w="551" w:type="pct"/>
            <w:gridSpan w:val="2"/>
            <w:tcBorders>
              <w:top w:val="single" w:sz="4" w:space="0" w:color="auto"/>
              <w:left w:val="single" w:sz="4" w:space="0" w:color="auto"/>
              <w:bottom w:val="single" w:sz="4" w:space="0" w:color="auto"/>
              <w:right w:val="single" w:sz="4" w:space="0" w:color="auto"/>
            </w:tcBorders>
            <w:vAlign w:val="center"/>
          </w:tcPr>
          <w:p w14:paraId="3DE25394" w14:textId="77777777" w:rsidR="008A6F50" w:rsidRPr="00D27BF1" w:rsidRDefault="008A6F50" w:rsidP="00F83872">
            <w:pPr>
              <w:jc w:val="center"/>
              <w:rPr>
                <w:rFonts w:ascii="Arial Narrow" w:hAnsi="Arial Narrow"/>
                <w:color w:val="000000"/>
                <w:sz w:val="20"/>
                <w:szCs w:val="18"/>
              </w:rPr>
            </w:pPr>
            <w:r w:rsidRPr="00D27BF1">
              <w:rPr>
                <w:rFonts w:ascii="Arial Narrow" w:hAnsi="Arial Narrow"/>
                <w:color w:val="000000"/>
                <w:sz w:val="20"/>
                <w:szCs w:val="18"/>
              </w:rPr>
              <w:t>NR</w:t>
            </w:r>
          </w:p>
        </w:tc>
        <w:tc>
          <w:tcPr>
            <w:tcW w:w="707" w:type="pct"/>
            <w:gridSpan w:val="2"/>
            <w:tcBorders>
              <w:top w:val="single" w:sz="4" w:space="0" w:color="auto"/>
              <w:left w:val="single" w:sz="4" w:space="0" w:color="auto"/>
              <w:bottom w:val="single" w:sz="4" w:space="0" w:color="auto"/>
              <w:right w:val="single" w:sz="4" w:space="0" w:color="auto"/>
            </w:tcBorders>
            <w:vAlign w:val="center"/>
          </w:tcPr>
          <w:p w14:paraId="2EAD39FF" w14:textId="77777777" w:rsidR="008A6F50" w:rsidRPr="00D27BF1" w:rsidRDefault="008A6F50" w:rsidP="00F83872">
            <w:pPr>
              <w:jc w:val="center"/>
              <w:rPr>
                <w:rFonts w:ascii="Arial Narrow" w:hAnsi="Arial Narrow"/>
                <w:color w:val="000000"/>
                <w:sz w:val="20"/>
                <w:szCs w:val="18"/>
              </w:rPr>
            </w:pPr>
            <w:r w:rsidRPr="00D27BF1">
              <w:rPr>
                <w:rFonts w:ascii="Arial Narrow" w:hAnsi="Arial Narrow"/>
                <w:color w:val="000000"/>
                <w:sz w:val="20"/>
                <w:szCs w:val="18"/>
              </w:rPr>
              <w:t>60.2</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4696AE53" w14:textId="77777777" w:rsidR="008A6F50" w:rsidRPr="00D27BF1" w:rsidRDefault="008A6F50" w:rsidP="00F83872">
            <w:pPr>
              <w:jc w:val="center"/>
              <w:rPr>
                <w:rFonts w:ascii="Arial Narrow" w:hAnsi="Arial Narrow"/>
                <w:color w:val="000000"/>
                <w:sz w:val="20"/>
                <w:szCs w:val="18"/>
              </w:rPr>
            </w:pPr>
            <w:r w:rsidRPr="00D27BF1">
              <w:rPr>
                <w:rFonts w:ascii="Arial Narrow" w:hAnsi="Arial Narrow"/>
                <w:color w:val="000000"/>
                <w:sz w:val="20"/>
                <w:szCs w:val="18"/>
              </w:rPr>
              <w:t>31.4</w:t>
            </w:r>
          </w:p>
        </w:tc>
        <w:tc>
          <w:tcPr>
            <w:tcW w:w="520" w:type="pct"/>
            <w:tcBorders>
              <w:top w:val="single" w:sz="4" w:space="0" w:color="auto"/>
              <w:left w:val="single" w:sz="4" w:space="0" w:color="auto"/>
              <w:bottom w:val="single" w:sz="4" w:space="0" w:color="auto"/>
              <w:right w:val="single" w:sz="4" w:space="0" w:color="auto"/>
            </w:tcBorders>
            <w:vAlign w:val="center"/>
          </w:tcPr>
          <w:p w14:paraId="1DAA72F5" w14:textId="77777777" w:rsidR="008A6F50" w:rsidRPr="00D27BF1" w:rsidRDefault="008A6F50" w:rsidP="00F83872">
            <w:pPr>
              <w:jc w:val="center"/>
              <w:rPr>
                <w:rFonts w:ascii="Arial Narrow" w:hAnsi="Arial Narrow"/>
                <w:color w:val="000000"/>
                <w:sz w:val="20"/>
                <w:szCs w:val="18"/>
              </w:rPr>
            </w:pPr>
            <w:r w:rsidRPr="00D27BF1">
              <w:rPr>
                <w:rFonts w:ascii="Arial Narrow" w:hAnsi="Arial Narrow"/>
                <w:color w:val="000000"/>
                <w:sz w:val="20"/>
                <w:szCs w:val="18"/>
              </w:rPr>
              <w:t>28.8 (NR)</w:t>
            </w:r>
          </w:p>
        </w:tc>
      </w:tr>
      <w:tr w:rsidR="008A6F50" w:rsidRPr="00D27BF1" w14:paraId="46FBA848" w14:textId="77777777" w:rsidTr="00F83872">
        <w:tc>
          <w:tcPr>
            <w:tcW w:w="5000" w:type="pct"/>
            <w:gridSpan w:val="13"/>
            <w:tcBorders>
              <w:top w:val="double" w:sz="4" w:space="0" w:color="auto"/>
              <w:left w:val="single" w:sz="4" w:space="0" w:color="auto"/>
              <w:bottom w:val="single" w:sz="4" w:space="0" w:color="auto"/>
              <w:right w:val="single" w:sz="4" w:space="0" w:color="auto"/>
            </w:tcBorders>
            <w:shd w:val="clear" w:color="auto" w:fill="auto"/>
            <w:vAlign w:val="center"/>
          </w:tcPr>
          <w:p w14:paraId="01D79855" w14:textId="77777777" w:rsidR="008A6F50" w:rsidRPr="00D27BF1" w:rsidRDefault="008A6F50" w:rsidP="00F83872">
            <w:pPr>
              <w:rPr>
                <w:rFonts w:ascii="Arial Narrow" w:hAnsi="Arial Narrow"/>
                <w:b/>
                <w:color w:val="000000"/>
                <w:sz w:val="20"/>
                <w:szCs w:val="18"/>
              </w:rPr>
            </w:pPr>
            <w:r w:rsidRPr="00D27BF1">
              <w:rPr>
                <w:rFonts w:ascii="Arial Narrow" w:hAnsi="Arial Narrow"/>
                <w:b/>
                <w:color w:val="000000"/>
                <w:sz w:val="20"/>
                <w:szCs w:val="18"/>
              </w:rPr>
              <w:t xml:space="preserve">Median change from baseline </w:t>
            </w:r>
          </w:p>
        </w:tc>
      </w:tr>
      <w:tr w:rsidR="008A6F50" w:rsidRPr="00D27BF1" w14:paraId="0644EF43" w14:textId="77777777" w:rsidTr="008A6F50">
        <w:trPr>
          <w:trHeight w:val="225"/>
        </w:trPr>
        <w:tc>
          <w:tcPr>
            <w:tcW w:w="11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739CDD" w14:textId="77777777" w:rsidR="008A6F50" w:rsidRPr="00D27BF1" w:rsidRDefault="008A6F50" w:rsidP="00F83872">
            <w:pPr>
              <w:rPr>
                <w:rFonts w:ascii="Arial Narrow" w:hAnsi="Arial Narrow"/>
                <w:color w:val="000000"/>
                <w:sz w:val="20"/>
                <w:szCs w:val="18"/>
              </w:rPr>
            </w:pPr>
          </w:p>
        </w:tc>
        <w:tc>
          <w:tcPr>
            <w:tcW w:w="1181" w:type="pct"/>
            <w:gridSpan w:val="4"/>
            <w:tcBorders>
              <w:top w:val="single" w:sz="4" w:space="0" w:color="auto"/>
              <w:left w:val="single" w:sz="4" w:space="0" w:color="auto"/>
              <w:bottom w:val="single" w:sz="4" w:space="0" w:color="auto"/>
              <w:right w:val="single" w:sz="4" w:space="0" w:color="auto"/>
            </w:tcBorders>
            <w:vAlign w:val="center"/>
          </w:tcPr>
          <w:p w14:paraId="5155986F" w14:textId="77777777" w:rsidR="008A6F50" w:rsidRPr="00D27BF1" w:rsidRDefault="008A6F50" w:rsidP="00F83872">
            <w:pPr>
              <w:jc w:val="center"/>
              <w:rPr>
                <w:rFonts w:ascii="Arial Narrow" w:hAnsi="Arial Narrow"/>
                <w:color w:val="000000"/>
                <w:sz w:val="20"/>
                <w:szCs w:val="18"/>
              </w:rPr>
            </w:pPr>
            <w:r w:rsidRPr="00D27BF1">
              <w:rPr>
                <w:rFonts w:ascii="Arial Narrow" w:hAnsi="Arial Narrow"/>
                <w:b/>
                <w:color w:val="000000"/>
                <w:sz w:val="20"/>
                <w:szCs w:val="18"/>
              </w:rPr>
              <w:t>Mepolizumab</w:t>
            </w:r>
          </w:p>
        </w:tc>
        <w:tc>
          <w:tcPr>
            <w:tcW w:w="1494" w:type="pct"/>
            <w:gridSpan w:val="6"/>
            <w:tcBorders>
              <w:top w:val="single" w:sz="4" w:space="0" w:color="auto"/>
              <w:left w:val="single" w:sz="4" w:space="0" w:color="auto"/>
              <w:bottom w:val="single" w:sz="4" w:space="0" w:color="auto"/>
              <w:right w:val="single" w:sz="4" w:space="0" w:color="auto"/>
            </w:tcBorders>
            <w:vAlign w:val="center"/>
          </w:tcPr>
          <w:p w14:paraId="5BC5C578" w14:textId="77777777" w:rsidR="008A6F50" w:rsidRPr="00D27BF1" w:rsidRDefault="008A6F50" w:rsidP="00F83872">
            <w:pPr>
              <w:jc w:val="center"/>
              <w:rPr>
                <w:rFonts w:ascii="Arial Narrow" w:hAnsi="Arial Narrow"/>
                <w:color w:val="000000"/>
                <w:sz w:val="20"/>
                <w:szCs w:val="18"/>
              </w:rPr>
            </w:pPr>
            <w:r w:rsidRPr="00D27BF1">
              <w:rPr>
                <w:rFonts w:ascii="Arial Narrow" w:hAnsi="Arial Narrow"/>
                <w:b/>
                <w:color w:val="000000"/>
                <w:sz w:val="20"/>
                <w:szCs w:val="18"/>
              </w:rPr>
              <w:t>Placebo (SoC)</w:t>
            </w:r>
          </w:p>
        </w:tc>
        <w:tc>
          <w:tcPr>
            <w:tcW w:w="1148" w:type="pct"/>
            <w:gridSpan w:val="2"/>
            <w:vMerge w:val="restart"/>
            <w:tcBorders>
              <w:top w:val="single" w:sz="4" w:space="0" w:color="auto"/>
              <w:left w:val="single" w:sz="4" w:space="0" w:color="auto"/>
              <w:bottom w:val="single" w:sz="4" w:space="0" w:color="auto"/>
              <w:right w:val="single" w:sz="4" w:space="0" w:color="auto"/>
            </w:tcBorders>
            <w:vAlign w:val="center"/>
          </w:tcPr>
          <w:p w14:paraId="4D35830E" w14:textId="77777777" w:rsidR="008A6F50" w:rsidRPr="00D27BF1" w:rsidRDefault="008A6F50" w:rsidP="00F83872">
            <w:pPr>
              <w:jc w:val="center"/>
              <w:rPr>
                <w:rFonts w:ascii="Arial Narrow" w:hAnsi="Arial Narrow"/>
                <w:b/>
                <w:color w:val="000000"/>
                <w:sz w:val="20"/>
                <w:szCs w:val="18"/>
              </w:rPr>
            </w:pPr>
            <w:r w:rsidRPr="00D27BF1">
              <w:rPr>
                <w:rFonts w:ascii="Arial Narrow" w:hAnsi="Arial Narrow"/>
                <w:b/>
                <w:color w:val="000000"/>
                <w:sz w:val="20"/>
                <w:szCs w:val="18"/>
              </w:rPr>
              <w:t>Me</w:t>
            </w:r>
            <w:r w:rsidR="00F26C38" w:rsidRPr="00D27BF1">
              <w:rPr>
                <w:rFonts w:ascii="Arial Narrow" w:hAnsi="Arial Narrow"/>
                <w:b/>
                <w:color w:val="000000"/>
                <w:sz w:val="20"/>
                <w:szCs w:val="18"/>
              </w:rPr>
              <w:t>dian</w:t>
            </w:r>
            <w:r w:rsidRPr="00D27BF1">
              <w:rPr>
                <w:rFonts w:ascii="Arial Narrow" w:hAnsi="Arial Narrow"/>
                <w:b/>
                <w:color w:val="000000"/>
                <w:sz w:val="20"/>
                <w:szCs w:val="18"/>
              </w:rPr>
              <w:t xml:space="preserve"> difference: </w:t>
            </w:r>
          </w:p>
          <w:p w14:paraId="18F19099" w14:textId="77777777" w:rsidR="008A6F50" w:rsidRPr="00D27BF1" w:rsidRDefault="008A6F50" w:rsidP="008A6F50">
            <w:pPr>
              <w:jc w:val="center"/>
              <w:rPr>
                <w:rFonts w:ascii="Arial Narrow" w:hAnsi="Arial Narrow"/>
                <w:b/>
                <w:sz w:val="20"/>
                <w:szCs w:val="18"/>
              </w:rPr>
            </w:pPr>
            <w:r w:rsidRPr="00D27BF1">
              <w:rPr>
                <w:rFonts w:ascii="Arial Narrow" w:hAnsi="Arial Narrow"/>
                <w:b/>
                <w:color w:val="000000"/>
                <w:sz w:val="20"/>
                <w:szCs w:val="18"/>
              </w:rPr>
              <w:t>Mepolizumab vs placebo (SoC) (95% CI)</w:t>
            </w:r>
          </w:p>
        </w:tc>
      </w:tr>
      <w:tr w:rsidR="008A6F50" w:rsidRPr="00D27BF1" w14:paraId="54D125BC" w14:textId="77777777" w:rsidTr="008A6F50">
        <w:trPr>
          <w:trHeight w:val="225"/>
        </w:trPr>
        <w:tc>
          <w:tcPr>
            <w:tcW w:w="117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D9BA13A" w14:textId="77777777" w:rsidR="008A6F50" w:rsidRPr="00D27BF1" w:rsidRDefault="008A6F50" w:rsidP="00F83872">
            <w:pPr>
              <w:rPr>
                <w:rFonts w:ascii="Arial Narrow" w:hAnsi="Arial Narrow"/>
                <w:color w:val="000000"/>
                <w:sz w:val="20"/>
                <w:szCs w:val="18"/>
              </w:rPr>
            </w:pPr>
          </w:p>
        </w:tc>
        <w:tc>
          <w:tcPr>
            <w:tcW w:w="314" w:type="pct"/>
            <w:tcBorders>
              <w:top w:val="single" w:sz="4" w:space="0" w:color="auto"/>
              <w:left w:val="single" w:sz="4" w:space="0" w:color="auto"/>
              <w:bottom w:val="single" w:sz="4" w:space="0" w:color="auto"/>
              <w:right w:val="single" w:sz="4" w:space="0" w:color="auto"/>
            </w:tcBorders>
            <w:vAlign w:val="center"/>
          </w:tcPr>
          <w:p w14:paraId="7684F746" w14:textId="77777777" w:rsidR="008A6F50" w:rsidRPr="00D27BF1" w:rsidRDefault="008A6F50" w:rsidP="00F83872">
            <w:pPr>
              <w:jc w:val="center"/>
              <w:rPr>
                <w:rFonts w:ascii="Arial Narrow" w:hAnsi="Arial Narrow"/>
                <w:b/>
                <w:color w:val="000000"/>
                <w:sz w:val="20"/>
                <w:szCs w:val="18"/>
              </w:rPr>
            </w:pPr>
            <w:r w:rsidRPr="00D27BF1">
              <w:rPr>
                <w:rFonts w:ascii="Arial Narrow" w:hAnsi="Arial Narrow"/>
                <w:b/>
                <w:color w:val="000000"/>
                <w:sz w:val="20"/>
                <w:szCs w:val="18"/>
              </w:rPr>
              <w:t>N</w:t>
            </w:r>
          </w:p>
        </w:tc>
        <w:tc>
          <w:tcPr>
            <w:tcW w:w="551" w:type="pct"/>
            <w:gridSpan w:val="2"/>
            <w:tcBorders>
              <w:top w:val="single" w:sz="4" w:space="0" w:color="auto"/>
              <w:left w:val="single" w:sz="4" w:space="0" w:color="auto"/>
              <w:bottom w:val="single" w:sz="4" w:space="0" w:color="auto"/>
              <w:right w:val="single" w:sz="4" w:space="0" w:color="auto"/>
            </w:tcBorders>
            <w:vAlign w:val="center"/>
          </w:tcPr>
          <w:p w14:paraId="660F2406" w14:textId="77777777" w:rsidR="008A6F50" w:rsidRPr="00D27BF1" w:rsidRDefault="00F26C38" w:rsidP="00F83872">
            <w:pPr>
              <w:jc w:val="center"/>
              <w:rPr>
                <w:rFonts w:ascii="Arial Narrow" w:hAnsi="Arial Narrow"/>
                <w:b/>
                <w:sz w:val="20"/>
                <w:szCs w:val="18"/>
              </w:rPr>
            </w:pPr>
            <w:r w:rsidRPr="00D27BF1">
              <w:rPr>
                <w:rFonts w:ascii="Arial Narrow" w:hAnsi="Arial Narrow"/>
                <w:b/>
                <w:sz w:val="20"/>
                <w:szCs w:val="18"/>
              </w:rPr>
              <w:t xml:space="preserve">Median </w:t>
            </w:r>
            <w:r w:rsidR="008A6F50" w:rsidRPr="00D27BF1">
              <w:rPr>
                <w:rFonts w:ascii="Arial Narrow" w:hAnsi="Arial Narrow"/>
                <w:b/>
                <w:sz w:val="20"/>
                <w:szCs w:val="18"/>
              </w:rPr>
              <w:t xml:space="preserve">∆ baseline </w:t>
            </w:r>
          </w:p>
        </w:tc>
        <w:tc>
          <w:tcPr>
            <w:tcW w:w="315" w:type="pct"/>
            <w:tcBorders>
              <w:top w:val="single" w:sz="4" w:space="0" w:color="auto"/>
              <w:left w:val="single" w:sz="4" w:space="0" w:color="auto"/>
              <w:bottom w:val="single" w:sz="4" w:space="0" w:color="auto"/>
              <w:right w:val="single" w:sz="4" w:space="0" w:color="auto"/>
            </w:tcBorders>
            <w:vAlign w:val="center"/>
          </w:tcPr>
          <w:p w14:paraId="6DE5F416" w14:textId="77777777" w:rsidR="008A6F50" w:rsidRPr="00D27BF1" w:rsidRDefault="008A6F50" w:rsidP="00F83872">
            <w:pPr>
              <w:jc w:val="center"/>
              <w:rPr>
                <w:rFonts w:ascii="Arial Narrow" w:hAnsi="Arial Narrow"/>
                <w:b/>
                <w:sz w:val="20"/>
                <w:szCs w:val="18"/>
              </w:rPr>
            </w:pPr>
            <w:r w:rsidRPr="00D27BF1">
              <w:rPr>
                <w:rFonts w:ascii="Arial Narrow" w:hAnsi="Arial Narrow"/>
                <w:b/>
                <w:sz w:val="20"/>
                <w:szCs w:val="18"/>
              </w:rPr>
              <w:t>SD</w:t>
            </w:r>
          </w:p>
        </w:tc>
        <w:tc>
          <w:tcPr>
            <w:tcW w:w="394" w:type="pct"/>
            <w:gridSpan w:val="2"/>
            <w:tcBorders>
              <w:top w:val="single" w:sz="4" w:space="0" w:color="auto"/>
              <w:left w:val="single" w:sz="4" w:space="0" w:color="auto"/>
              <w:bottom w:val="single" w:sz="4" w:space="0" w:color="auto"/>
              <w:right w:val="single" w:sz="4" w:space="0" w:color="auto"/>
            </w:tcBorders>
            <w:vAlign w:val="center"/>
          </w:tcPr>
          <w:p w14:paraId="29D1DE23" w14:textId="77777777" w:rsidR="008A6F50" w:rsidRPr="00D27BF1" w:rsidRDefault="008A6F50" w:rsidP="00F83872">
            <w:pPr>
              <w:jc w:val="center"/>
              <w:rPr>
                <w:rFonts w:ascii="Arial Narrow" w:hAnsi="Arial Narrow"/>
                <w:b/>
                <w:color w:val="000000"/>
                <w:sz w:val="20"/>
                <w:szCs w:val="18"/>
              </w:rPr>
            </w:pPr>
            <w:r w:rsidRPr="00D27BF1">
              <w:rPr>
                <w:rFonts w:ascii="Arial Narrow" w:hAnsi="Arial Narrow"/>
                <w:b/>
                <w:color w:val="000000"/>
                <w:sz w:val="20"/>
                <w:szCs w:val="18"/>
              </w:rPr>
              <w:t>N</w:t>
            </w:r>
          </w:p>
        </w:tc>
        <w:tc>
          <w:tcPr>
            <w:tcW w:w="629" w:type="pct"/>
            <w:gridSpan w:val="2"/>
            <w:tcBorders>
              <w:top w:val="single" w:sz="4" w:space="0" w:color="auto"/>
              <w:left w:val="single" w:sz="4" w:space="0" w:color="auto"/>
              <w:bottom w:val="single" w:sz="4" w:space="0" w:color="auto"/>
              <w:right w:val="single" w:sz="4" w:space="0" w:color="auto"/>
            </w:tcBorders>
            <w:vAlign w:val="center"/>
          </w:tcPr>
          <w:p w14:paraId="7343BF27" w14:textId="77777777" w:rsidR="008A6F50" w:rsidRPr="00D27BF1" w:rsidRDefault="00F26C38" w:rsidP="00F83872">
            <w:pPr>
              <w:jc w:val="center"/>
              <w:rPr>
                <w:rFonts w:ascii="Arial Narrow" w:hAnsi="Arial Narrow"/>
                <w:b/>
                <w:sz w:val="20"/>
                <w:szCs w:val="18"/>
              </w:rPr>
            </w:pPr>
            <w:r w:rsidRPr="00D27BF1">
              <w:rPr>
                <w:rFonts w:ascii="Arial Narrow" w:hAnsi="Arial Narrow"/>
                <w:b/>
                <w:sz w:val="20"/>
                <w:szCs w:val="18"/>
              </w:rPr>
              <w:t xml:space="preserve">Median </w:t>
            </w:r>
            <w:r w:rsidR="008A6F50" w:rsidRPr="00D27BF1">
              <w:rPr>
                <w:rFonts w:ascii="Arial Narrow" w:hAnsi="Arial Narrow"/>
                <w:b/>
                <w:sz w:val="20"/>
                <w:szCs w:val="18"/>
              </w:rPr>
              <w:t xml:space="preserve">∆ baseline </w:t>
            </w:r>
          </w:p>
        </w:tc>
        <w:tc>
          <w:tcPr>
            <w:tcW w:w="472" w:type="pct"/>
            <w:gridSpan w:val="2"/>
            <w:tcBorders>
              <w:top w:val="single" w:sz="4" w:space="0" w:color="auto"/>
              <w:left w:val="single" w:sz="4" w:space="0" w:color="auto"/>
              <w:bottom w:val="single" w:sz="4" w:space="0" w:color="auto"/>
              <w:right w:val="single" w:sz="4" w:space="0" w:color="auto"/>
            </w:tcBorders>
            <w:vAlign w:val="center"/>
          </w:tcPr>
          <w:p w14:paraId="09091E3A" w14:textId="77777777" w:rsidR="008A6F50" w:rsidRPr="00D27BF1" w:rsidRDefault="008A6F50" w:rsidP="00F83872">
            <w:pPr>
              <w:jc w:val="center"/>
              <w:rPr>
                <w:rFonts w:ascii="Arial Narrow" w:hAnsi="Arial Narrow"/>
                <w:b/>
                <w:sz w:val="20"/>
                <w:szCs w:val="18"/>
              </w:rPr>
            </w:pPr>
            <w:r w:rsidRPr="00D27BF1">
              <w:rPr>
                <w:rFonts w:ascii="Arial Narrow" w:hAnsi="Arial Narrow"/>
                <w:b/>
                <w:sz w:val="20"/>
                <w:szCs w:val="18"/>
              </w:rPr>
              <w:t>SD</w:t>
            </w:r>
          </w:p>
        </w:tc>
        <w:tc>
          <w:tcPr>
            <w:tcW w:w="1148" w:type="pct"/>
            <w:gridSpan w:val="2"/>
            <w:vMerge/>
            <w:tcBorders>
              <w:top w:val="single" w:sz="4" w:space="0" w:color="auto"/>
              <w:left w:val="single" w:sz="4" w:space="0" w:color="auto"/>
              <w:bottom w:val="single" w:sz="4" w:space="0" w:color="auto"/>
              <w:right w:val="single" w:sz="4" w:space="0" w:color="auto"/>
            </w:tcBorders>
            <w:vAlign w:val="center"/>
          </w:tcPr>
          <w:p w14:paraId="3DD94FA4" w14:textId="77777777" w:rsidR="008A6F50" w:rsidRPr="00D27BF1" w:rsidRDefault="008A6F50" w:rsidP="00F83872">
            <w:pPr>
              <w:jc w:val="center"/>
              <w:rPr>
                <w:rFonts w:ascii="Arial Narrow" w:hAnsi="Arial Narrow"/>
                <w:b/>
                <w:sz w:val="20"/>
                <w:szCs w:val="18"/>
              </w:rPr>
            </w:pPr>
          </w:p>
        </w:tc>
      </w:tr>
      <w:tr w:rsidR="008A6F50" w:rsidRPr="00D27BF1" w14:paraId="3D4966AE" w14:textId="77777777" w:rsidTr="008A6F50">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76A1915C" w14:textId="77777777" w:rsidR="008A6F50" w:rsidRPr="00D27BF1" w:rsidRDefault="008A6F50" w:rsidP="00F83872">
            <w:pPr>
              <w:rPr>
                <w:rFonts w:ascii="Arial Narrow" w:hAnsi="Arial Narrow"/>
                <w:color w:val="000000"/>
                <w:sz w:val="20"/>
                <w:szCs w:val="18"/>
              </w:rPr>
            </w:pPr>
            <w:r w:rsidRPr="00D27BF1">
              <w:rPr>
                <w:rFonts w:ascii="Arial Narrow" w:hAnsi="Arial Narrow"/>
                <w:color w:val="000000"/>
                <w:sz w:val="20"/>
                <w:szCs w:val="18"/>
              </w:rPr>
              <w:t xml:space="preserve">ENP </w:t>
            </w:r>
          </w:p>
        </w:tc>
        <w:tc>
          <w:tcPr>
            <w:tcW w:w="314" w:type="pct"/>
            <w:tcBorders>
              <w:top w:val="single" w:sz="4" w:space="0" w:color="auto"/>
              <w:left w:val="single" w:sz="4" w:space="0" w:color="auto"/>
              <w:bottom w:val="single" w:sz="4" w:space="0" w:color="auto"/>
              <w:right w:val="single" w:sz="4" w:space="0" w:color="auto"/>
            </w:tcBorders>
            <w:vAlign w:val="center"/>
          </w:tcPr>
          <w:p w14:paraId="2F525E20" w14:textId="77777777" w:rsidR="008A6F50" w:rsidRPr="00D27BF1" w:rsidRDefault="008A6F50" w:rsidP="00F83872">
            <w:pPr>
              <w:jc w:val="center"/>
              <w:rPr>
                <w:rFonts w:ascii="Arial Narrow" w:hAnsi="Arial Narrow"/>
                <w:color w:val="000000"/>
                <w:sz w:val="20"/>
                <w:szCs w:val="18"/>
              </w:rPr>
            </w:pPr>
            <w:r w:rsidRPr="00D27BF1">
              <w:rPr>
                <w:rFonts w:ascii="Arial Narrow" w:hAnsi="Arial Narrow"/>
                <w:color w:val="000000"/>
                <w:sz w:val="20"/>
                <w:szCs w:val="18"/>
              </w:rPr>
              <w:t>186</w:t>
            </w:r>
          </w:p>
        </w:tc>
        <w:tc>
          <w:tcPr>
            <w:tcW w:w="551" w:type="pct"/>
            <w:gridSpan w:val="2"/>
            <w:tcBorders>
              <w:top w:val="single" w:sz="4" w:space="0" w:color="auto"/>
              <w:left w:val="single" w:sz="4" w:space="0" w:color="auto"/>
              <w:bottom w:val="single" w:sz="4" w:space="0" w:color="auto"/>
              <w:right w:val="single" w:sz="4" w:space="0" w:color="auto"/>
            </w:tcBorders>
            <w:vAlign w:val="center"/>
          </w:tcPr>
          <w:p w14:paraId="05F1B417" w14:textId="77777777" w:rsidR="008A6F50" w:rsidRPr="00D27BF1" w:rsidRDefault="008A6F50" w:rsidP="00F83872">
            <w:pPr>
              <w:jc w:val="center"/>
              <w:rPr>
                <w:rFonts w:ascii="Arial Narrow" w:hAnsi="Arial Narrow"/>
                <w:color w:val="000000"/>
                <w:sz w:val="20"/>
                <w:szCs w:val="18"/>
              </w:rPr>
            </w:pPr>
            <w:r w:rsidRPr="00D27BF1">
              <w:rPr>
                <w:rFonts w:ascii="Arial Narrow" w:hAnsi="Arial Narrow"/>
                <w:color w:val="000000"/>
                <w:sz w:val="20"/>
                <w:szCs w:val="18"/>
              </w:rPr>
              <w:t>-0.5</w:t>
            </w:r>
          </w:p>
        </w:tc>
        <w:tc>
          <w:tcPr>
            <w:tcW w:w="315" w:type="pct"/>
            <w:tcBorders>
              <w:top w:val="single" w:sz="4" w:space="0" w:color="auto"/>
              <w:left w:val="single" w:sz="4" w:space="0" w:color="auto"/>
              <w:bottom w:val="single" w:sz="4" w:space="0" w:color="auto"/>
              <w:right w:val="single" w:sz="4" w:space="0" w:color="auto"/>
            </w:tcBorders>
            <w:vAlign w:val="center"/>
          </w:tcPr>
          <w:p w14:paraId="24968E41" w14:textId="77777777" w:rsidR="008A6F50" w:rsidRPr="00D27BF1" w:rsidRDefault="008A6F50" w:rsidP="00F83872">
            <w:pPr>
              <w:jc w:val="center"/>
              <w:rPr>
                <w:rFonts w:ascii="Arial Narrow" w:hAnsi="Arial Narrow"/>
                <w:color w:val="000000"/>
                <w:sz w:val="20"/>
                <w:szCs w:val="18"/>
              </w:rPr>
            </w:pPr>
            <w:r w:rsidRPr="00D27BF1">
              <w:rPr>
                <w:rFonts w:ascii="Arial Narrow" w:hAnsi="Arial Narrow"/>
                <w:color w:val="000000"/>
                <w:sz w:val="20"/>
                <w:szCs w:val="18"/>
              </w:rPr>
              <w:t>NR</w:t>
            </w:r>
          </w:p>
        </w:tc>
        <w:tc>
          <w:tcPr>
            <w:tcW w:w="394" w:type="pct"/>
            <w:gridSpan w:val="2"/>
            <w:tcBorders>
              <w:top w:val="single" w:sz="4" w:space="0" w:color="auto"/>
              <w:left w:val="single" w:sz="4" w:space="0" w:color="auto"/>
              <w:bottom w:val="single" w:sz="4" w:space="0" w:color="auto"/>
              <w:right w:val="single" w:sz="4" w:space="0" w:color="auto"/>
            </w:tcBorders>
            <w:vAlign w:val="center"/>
          </w:tcPr>
          <w:p w14:paraId="3EDC1A6C" w14:textId="77777777" w:rsidR="008A6F50" w:rsidRPr="00D27BF1" w:rsidRDefault="008A6F50" w:rsidP="00F83872">
            <w:pPr>
              <w:jc w:val="center"/>
              <w:rPr>
                <w:rFonts w:ascii="Arial Narrow" w:hAnsi="Arial Narrow"/>
                <w:color w:val="000000"/>
                <w:sz w:val="20"/>
                <w:szCs w:val="18"/>
              </w:rPr>
            </w:pPr>
            <w:r w:rsidRPr="00D27BF1">
              <w:rPr>
                <w:rFonts w:ascii="Arial Narrow" w:hAnsi="Arial Narrow"/>
                <w:color w:val="000000"/>
                <w:sz w:val="20"/>
                <w:szCs w:val="18"/>
              </w:rPr>
              <w:t>185</w:t>
            </w:r>
          </w:p>
        </w:tc>
        <w:tc>
          <w:tcPr>
            <w:tcW w:w="629" w:type="pct"/>
            <w:gridSpan w:val="2"/>
            <w:tcBorders>
              <w:top w:val="single" w:sz="4" w:space="0" w:color="auto"/>
              <w:left w:val="single" w:sz="4" w:space="0" w:color="auto"/>
              <w:bottom w:val="single" w:sz="4" w:space="0" w:color="auto"/>
              <w:right w:val="single" w:sz="4" w:space="0" w:color="auto"/>
            </w:tcBorders>
            <w:vAlign w:val="center"/>
          </w:tcPr>
          <w:p w14:paraId="1CEE6DAA" w14:textId="77777777" w:rsidR="008A6F50" w:rsidRPr="00D27BF1" w:rsidRDefault="008A6F50" w:rsidP="00F83872">
            <w:pPr>
              <w:jc w:val="center"/>
              <w:rPr>
                <w:rFonts w:ascii="Arial Narrow" w:hAnsi="Arial Narrow"/>
                <w:color w:val="000000"/>
                <w:sz w:val="20"/>
                <w:szCs w:val="18"/>
              </w:rPr>
            </w:pPr>
            <w:r w:rsidRPr="00D27BF1">
              <w:rPr>
                <w:rFonts w:ascii="Arial Narrow" w:hAnsi="Arial Narrow"/>
                <w:color w:val="000000"/>
                <w:sz w:val="20"/>
                <w:szCs w:val="18"/>
              </w:rPr>
              <w:t>0.0</w:t>
            </w:r>
          </w:p>
        </w:tc>
        <w:tc>
          <w:tcPr>
            <w:tcW w:w="472" w:type="pct"/>
            <w:gridSpan w:val="2"/>
            <w:tcBorders>
              <w:top w:val="single" w:sz="4" w:space="0" w:color="auto"/>
              <w:left w:val="single" w:sz="4" w:space="0" w:color="auto"/>
              <w:bottom w:val="single" w:sz="4" w:space="0" w:color="auto"/>
              <w:right w:val="single" w:sz="4" w:space="0" w:color="auto"/>
            </w:tcBorders>
            <w:vAlign w:val="center"/>
          </w:tcPr>
          <w:p w14:paraId="01F1D0BA" w14:textId="77777777" w:rsidR="008A6F50" w:rsidRPr="00D27BF1" w:rsidRDefault="008A6F50" w:rsidP="00F83872">
            <w:pPr>
              <w:jc w:val="center"/>
              <w:rPr>
                <w:rFonts w:ascii="Arial Narrow" w:hAnsi="Arial Narrow"/>
                <w:color w:val="000000"/>
                <w:sz w:val="20"/>
                <w:szCs w:val="18"/>
              </w:rPr>
            </w:pPr>
            <w:r w:rsidRPr="00D27BF1">
              <w:rPr>
                <w:rFonts w:ascii="Arial Narrow" w:hAnsi="Arial Narrow"/>
                <w:color w:val="000000"/>
                <w:sz w:val="20"/>
                <w:szCs w:val="18"/>
              </w:rPr>
              <w:t>NR</w:t>
            </w:r>
          </w:p>
        </w:tc>
        <w:tc>
          <w:tcPr>
            <w:tcW w:w="1148" w:type="pct"/>
            <w:gridSpan w:val="2"/>
            <w:tcBorders>
              <w:top w:val="single" w:sz="4" w:space="0" w:color="auto"/>
              <w:left w:val="single" w:sz="4" w:space="0" w:color="auto"/>
              <w:bottom w:val="single" w:sz="4" w:space="0" w:color="auto"/>
              <w:right w:val="single" w:sz="4" w:space="0" w:color="auto"/>
            </w:tcBorders>
            <w:vAlign w:val="center"/>
          </w:tcPr>
          <w:p w14:paraId="34E12B5D" w14:textId="77777777" w:rsidR="008A6F50" w:rsidRPr="00D27BF1" w:rsidRDefault="008A6F50" w:rsidP="00F83872">
            <w:pPr>
              <w:jc w:val="center"/>
              <w:rPr>
                <w:rFonts w:ascii="Arial Narrow" w:hAnsi="Arial Narrow"/>
                <w:sz w:val="20"/>
                <w:szCs w:val="18"/>
              </w:rPr>
            </w:pPr>
            <w:r w:rsidRPr="00D27BF1">
              <w:rPr>
                <w:rFonts w:ascii="Arial Narrow" w:hAnsi="Arial Narrow"/>
                <w:sz w:val="20"/>
                <w:szCs w:val="18"/>
              </w:rPr>
              <w:t>-0.75 (-1.21, -0.29)</w:t>
            </w:r>
          </w:p>
        </w:tc>
      </w:tr>
      <w:tr w:rsidR="008A6F50" w:rsidRPr="00D27BF1" w14:paraId="5B0D1A51" w14:textId="77777777" w:rsidTr="008A6F50">
        <w:tc>
          <w:tcPr>
            <w:tcW w:w="1177" w:type="pct"/>
            <w:tcBorders>
              <w:top w:val="single" w:sz="4" w:space="0" w:color="auto"/>
              <w:left w:val="single" w:sz="4" w:space="0" w:color="auto"/>
              <w:bottom w:val="double" w:sz="4" w:space="0" w:color="auto"/>
              <w:right w:val="single" w:sz="4" w:space="0" w:color="auto"/>
            </w:tcBorders>
            <w:shd w:val="clear" w:color="auto" w:fill="auto"/>
            <w:vAlign w:val="center"/>
          </w:tcPr>
          <w:p w14:paraId="43F4EE2A" w14:textId="77777777" w:rsidR="008A6F50" w:rsidRPr="00D27BF1" w:rsidRDefault="008A6F50" w:rsidP="00F83872">
            <w:pPr>
              <w:rPr>
                <w:rFonts w:ascii="Arial Narrow" w:hAnsi="Arial Narrow"/>
                <w:color w:val="000000"/>
                <w:sz w:val="20"/>
                <w:szCs w:val="18"/>
              </w:rPr>
            </w:pPr>
            <w:r w:rsidRPr="00D27BF1">
              <w:rPr>
                <w:rFonts w:ascii="Arial Narrow" w:hAnsi="Arial Narrow"/>
                <w:color w:val="000000"/>
                <w:sz w:val="20"/>
                <w:szCs w:val="18"/>
              </w:rPr>
              <w:t>NO-VAS</w:t>
            </w:r>
          </w:p>
        </w:tc>
        <w:tc>
          <w:tcPr>
            <w:tcW w:w="314" w:type="pct"/>
            <w:tcBorders>
              <w:top w:val="single" w:sz="4" w:space="0" w:color="auto"/>
              <w:left w:val="single" w:sz="4" w:space="0" w:color="auto"/>
              <w:bottom w:val="double" w:sz="4" w:space="0" w:color="auto"/>
              <w:right w:val="single" w:sz="4" w:space="0" w:color="auto"/>
            </w:tcBorders>
            <w:vAlign w:val="center"/>
          </w:tcPr>
          <w:p w14:paraId="266189A4" w14:textId="77777777" w:rsidR="008A6F50" w:rsidRPr="00D27BF1" w:rsidRDefault="008A6F50" w:rsidP="00F83872">
            <w:pPr>
              <w:jc w:val="center"/>
              <w:rPr>
                <w:rFonts w:ascii="Arial Narrow" w:hAnsi="Arial Narrow"/>
                <w:color w:val="000000"/>
                <w:sz w:val="20"/>
                <w:szCs w:val="18"/>
              </w:rPr>
            </w:pPr>
            <w:r w:rsidRPr="00D27BF1">
              <w:rPr>
                <w:rFonts w:ascii="Arial Narrow" w:hAnsi="Arial Narrow"/>
                <w:color w:val="000000"/>
                <w:sz w:val="20"/>
                <w:szCs w:val="18"/>
              </w:rPr>
              <w:t>186</w:t>
            </w:r>
          </w:p>
        </w:tc>
        <w:tc>
          <w:tcPr>
            <w:tcW w:w="551" w:type="pct"/>
            <w:gridSpan w:val="2"/>
            <w:tcBorders>
              <w:top w:val="single" w:sz="4" w:space="0" w:color="auto"/>
              <w:left w:val="single" w:sz="4" w:space="0" w:color="auto"/>
              <w:bottom w:val="double" w:sz="4" w:space="0" w:color="auto"/>
              <w:right w:val="single" w:sz="4" w:space="0" w:color="auto"/>
            </w:tcBorders>
            <w:vAlign w:val="center"/>
          </w:tcPr>
          <w:p w14:paraId="06EA1DE4" w14:textId="77777777" w:rsidR="008A6F50" w:rsidRPr="00D27BF1" w:rsidRDefault="008A6F50" w:rsidP="00F83872">
            <w:pPr>
              <w:jc w:val="center"/>
              <w:rPr>
                <w:rFonts w:ascii="Arial Narrow" w:hAnsi="Arial Narrow"/>
                <w:color w:val="000000"/>
                <w:sz w:val="20"/>
                <w:szCs w:val="18"/>
              </w:rPr>
            </w:pPr>
            <w:r w:rsidRPr="00D27BF1">
              <w:rPr>
                <w:rFonts w:ascii="Arial Narrow" w:hAnsi="Arial Narrow"/>
                <w:color w:val="000000"/>
                <w:sz w:val="20"/>
                <w:szCs w:val="18"/>
              </w:rPr>
              <w:t>-4.32</w:t>
            </w:r>
          </w:p>
        </w:tc>
        <w:tc>
          <w:tcPr>
            <w:tcW w:w="315" w:type="pct"/>
            <w:tcBorders>
              <w:top w:val="single" w:sz="4" w:space="0" w:color="auto"/>
              <w:left w:val="single" w:sz="4" w:space="0" w:color="auto"/>
              <w:bottom w:val="double" w:sz="4" w:space="0" w:color="auto"/>
              <w:right w:val="single" w:sz="4" w:space="0" w:color="auto"/>
            </w:tcBorders>
            <w:vAlign w:val="center"/>
          </w:tcPr>
          <w:p w14:paraId="5E8967FA" w14:textId="77777777" w:rsidR="008A6F50" w:rsidRPr="00D27BF1" w:rsidRDefault="008A6F50" w:rsidP="00F83872">
            <w:pPr>
              <w:jc w:val="center"/>
              <w:rPr>
                <w:rFonts w:ascii="Arial Narrow" w:hAnsi="Arial Narrow"/>
                <w:color w:val="000000"/>
                <w:sz w:val="20"/>
                <w:szCs w:val="18"/>
              </w:rPr>
            </w:pPr>
            <w:r w:rsidRPr="00D27BF1">
              <w:rPr>
                <w:rFonts w:ascii="Arial Narrow" w:hAnsi="Arial Narrow"/>
                <w:color w:val="000000"/>
                <w:sz w:val="20"/>
                <w:szCs w:val="18"/>
              </w:rPr>
              <w:t>NR</w:t>
            </w:r>
          </w:p>
        </w:tc>
        <w:tc>
          <w:tcPr>
            <w:tcW w:w="394" w:type="pct"/>
            <w:gridSpan w:val="2"/>
            <w:tcBorders>
              <w:top w:val="single" w:sz="4" w:space="0" w:color="auto"/>
              <w:left w:val="single" w:sz="4" w:space="0" w:color="auto"/>
              <w:bottom w:val="double" w:sz="4" w:space="0" w:color="auto"/>
              <w:right w:val="single" w:sz="4" w:space="0" w:color="auto"/>
            </w:tcBorders>
            <w:vAlign w:val="center"/>
          </w:tcPr>
          <w:p w14:paraId="5866CBD8" w14:textId="77777777" w:rsidR="008A6F50" w:rsidRPr="00D27BF1" w:rsidRDefault="008A6F50" w:rsidP="00F83872">
            <w:pPr>
              <w:jc w:val="center"/>
              <w:rPr>
                <w:rFonts w:ascii="Arial Narrow" w:hAnsi="Arial Narrow"/>
                <w:color w:val="000000"/>
                <w:sz w:val="20"/>
                <w:szCs w:val="18"/>
              </w:rPr>
            </w:pPr>
            <w:r w:rsidRPr="00D27BF1">
              <w:rPr>
                <w:rFonts w:ascii="Arial Narrow" w:hAnsi="Arial Narrow"/>
                <w:color w:val="000000"/>
                <w:sz w:val="20"/>
                <w:szCs w:val="18"/>
              </w:rPr>
              <w:t>185</w:t>
            </w:r>
          </w:p>
        </w:tc>
        <w:tc>
          <w:tcPr>
            <w:tcW w:w="629" w:type="pct"/>
            <w:gridSpan w:val="2"/>
            <w:tcBorders>
              <w:top w:val="single" w:sz="4" w:space="0" w:color="auto"/>
              <w:left w:val="single" w:sz="4" w:space="0" w:color="auto"/>
              <w:bottom w:val="double" w:sz="4" w:space="0" w:color="auto"/>
              <w:right w:val="single" w:sz="4" w:space="0" w:color="auto"/>
            </w:tcBorders>
            <w:vAlign w:val="center"/>
          </w:tcPr>
          <w:p w14:paraId="7AA6F821" w14:textId="77777777" w:rsidR="008A6F50" w:rsidRPr="00D27BF1" w:rsidRDefault="008A6F50" w:rsidP="00F83872">
            <w:pPr>
              <w:jc w:val="center"/>
              <w:rPr>
                <w:rFonts w:ascii="Arial Narrow" w:hAnsi="Arial Narrow"/>
                <w:color w:val="000000"/>
                <w:sz w:val="20"/>
                <w:szCs w:val="18"/>
              </w:rPr>
            </w:pPr>
            <w:r w:rsidRPr="00D27BF1">
              <w:rPr>
                <w:rFonts w:ascii="Arial Narrow" w:hAnsi="Arial Narrow"/>
                <w:color w:val="000000"/>
                <w:sz w:val="20"/>
                <w:szCs w:val="18"/>
              </w:rPr>
              <w:t>-0.75</w:t>
            </w:r>
          </w:p>
        </w:tc>
        <w:tc>
          <w:tcPr>
            <w:tcW w:w="472" w:type="pct"/>
            <w:gridSpan w:val="2"/>
            <w:tcBorders>
              <w:top w:val="single" w:sz="4" w:space="0" w:color="auto"/>
              <w:left w:val="single" w:sz="4" w:space="0" w:color="auto"/>
              <w:bottom w:val="double" w:sz="4" w:space="0" w:color="auto"/>
              <w:right w:val="single" w:sz="4" w:space="0" w:color="auto"/>
            </w:tcBorders>
            <w:vAlign w:val="center"/>
          </w:tcPr>
          <w:p w14:paraId="728A01F2" w14:textId="77777777" w:rsidR="008A6F50" w:rsidRPr="00D27BF1" w:rsidRDefault="008A6F50" w:rsidP="00F83872">
            <w:pPr>
              <w:jc w:val="center"/>
              <w:rPr>
                <w:rFonts w:ascii="Arial Narrow" w:hAnsi="Arial Narrow"/>
                <w:color w:val="000000"/>
                <w:sz w:val="20"/>
                <w:szCs w:val="18"/>
              </w:rPr>
            </w:pPr>
            <w:r w:rsidRPr="00D27BF1">
              <w:rPr>
                <w:rFonts w:ascii="Arial Narrow" w:hAnsi="Arial Narrow"/>
                <w:color w:val="000000"/>
                <w:sz w:val="20"/>
                <w:szCs w:val="18"/>
              </w:rPr>
              <w:t>NR</w:t>
            </w:r>
          </w:p>
        </w:tc>
        <w:tc>
          <w:tcPr>
            <w:tcW w:w="1148" w:type="pct"/>
            <w:gridSpan w:val="2"/>
            <w:tcBorders>
              <w:top w:val="single" w:sz="4" w:space="0" w:color="auto"/>
              <w:left w:val="single" w:sz="4" w:space="0" w:color="auto"/>
              <w:bottom w:val="double" w:sz="4" w:space="0" w:color="auto"/>
              <w:right w:val="single" w:sz="4" w:space="0" w:color="auto"/>
            </w:tcBorders>
            <w:vAlign w:val="center"/>
          </w:tcPr>
          <w:p w14:paraId="337999C6" w14:textId="77777777" w:rsidR="008A6F50" w:rsidRPr="00D27BF1" w:rsidRDefault="008A6F50" w:rsidP="00F83872">
            <w:pPr>
              <w:jc w:val="center"/>
              <w:rPr>
                <w:rFonts w:ascii="Arial Narrow" w:hAnsi="Arial Narrow"/>
                <w:sz w:val="20"/>
                <w:szCs w:val="18"/>
              </w:rPr>
            </w:pPr>
            <w:r w:rsidRPr="00D27BF1">
              <w:rPr>
                <w:rFonts w:ascii="Arial Narrow" w:hAnsi="Arial Narrow"/>
                <w:sz w:val="20"/>
                <w:szCs w:val="18"/>
              </w:rPr>
              <w:t>-3.36 (-4.27, -2.44)</w:t>
            </w:r>
          </w:p>
        </w:tc>
      </w:tr>
    </w:tbl>
    <w:p w14:paraId="20B78A04" w14:textId="77777777" w:rsidR="008A6F50" w:rsidRPr="00D27BF1" w:rsidRDefault="008A6F50" w:rsidP="008A6F50">
      <w:pPr>
        <w:pStyle w:val="TableFooter"/>
      </w:pPr>
      <w:r w:rsidRPr="00D27BF1">
        <w:t>ENP = Endoscopic Nasal Polyp score; NO-VAS = Nasal Obstruction Visual Analogue Scale; RD = risk difference; SoC = standard of care</w:t>
      </w:r>
    </w:p>
    <w:p w14:paraId="3C368735" w14:textId="77777777" w:rsidR="008A6F50" w:rsidRPr="00D27BF1" w:rsidRDefault="008A6F50" w:rsidP="008A6F50">
      <w:pPr>
        <w:pStyle w:val="TableFooter"/>
        <w:keepNext/>
        <w:keepLines/>
      </w:pPr>
      <w:r w:rsidRPr="00D27BF1">
        <w:t>Source: Figure 2-12 p74 and figure 2-14, p76 of the resubmission, Cells D12:E12, ‘Calculations’ sheet, Attachment 5-Mepolizumab CEM.xlsm</w:t>
      </w:r>
    </w:p>
    <w:p w14:paraId="12EDC83C" w14:textId="77777777" w:rsidR="00052CBC" w:rsidRPr="00D27BF1" w:rsidRDefault="00052CBC" w:rsidP="00052CBC">
      <w:pPr>
        <w:widowControl/>
      </w:pPr>
    </w:p>
    <w:p w14:paraId="47276051" w14:textId="77777777" w:rsidR="002E0037" w:rsidRPr="00D27BF1" w:rsidRDefault="00255A5B" w:rsidP="002E0037">
      <w:pPr>
        <w:pStyle w:val="ListParagraph"/>
        <w:widowControl/>
        <w:numPr>
          <w:ilvl w:val="1"/>
          <w:numId w:val="2"/>
        </w:numPr>
        <w:spacing w:after="0"/>
      </w:pPr>
      <w:r w:rsidRPr="00D27BF1">
        <w:rPr>
          <w:rFonts w:cs="Calibri"/>
          <w:snapToGrid/>
          <w:szCs w:val="24"/>
          <w:lang w:eastAsia="en-AU"/>
        </w:rPr>
        <w:t>On the basis of direct evidence presented by the submission</w:t>
      </w:r>
      <w:r w:rsidR="002E0037" w:rsidRPr="00D27BF1">
        <w:rPr>
          <w:rFonts w:cs="Calibri"/>
          <w:snapToGrid/>
          <w:szCs w:val="24"/>
          <w:lang w:eastAsia="en-AU"/>
        </w:rPr>
        <w:t xml:space="preserve">, </w:t>
      </w:r>
      <w:r w:rsidR="002E0037" w:rsidRPr="00D27BF1">
        <w:rPr>
          <w:rFonts w:cs="Calibri"/>
          <w:snapToGrid/>
          <w:lang w:eastAsia="en-AU"/>
        </w:rPr>
        <w:t>f</w:t>
      </w:r>
      <w:r w:rsidRPr="00D27BF1">
        <w:t>or</w:t>
      </w:r>
      <w:r w:rsidRPr="00D27BF1">
        <w:rPr>
          <w:rFonts w:cs="Calibri"/>
          <w:snapToGrid/>
          <w:lang w:eastAsia="en-AU"/>
        </w:rPr>
        <w:t xml:space="preserve"> every 100 patients </w:t>
      </w:r>
      <w:r w:rsidR="008A6F50" w:rsidRPr="00D27BF1">
        <w:rPr>
          <w:rFonts w:cs="Calibri"/>
          <w:snapToGrid/>
          <w:lang w:eastAsia="en-AU"/>
        </w:rPr>
        <w:t xml:space="preserve">with BEC ≥150 cells/µL </w:t>
      </w:r>
      <w:r w:rsidRPr="00D27BF1">
        <w:rPr>
          <w:rFonts w:cs="Calibri"/>
          <w:snapToGrid/>
          <w:lang w:eastAsia="en-AU"/>
        </w:rPr>
        <w:t>treated with mepolizumab in comparison to placebo and over a treatment duration of 52 weeks</w:t>
      </w:r>
      <w:r w:rsidR="002E0037" w:rsidRPr="00D27BF1">
        <w:rPr>
          <w:rFonts w:cs="Calibri"/>
          <w:snapToGrid/>
          <w:lang w:eastAsia="en-AU"/>
        </w:rPr>
        <w:t>:</w:t>
      </w:r>
    </w:p>
    <w:p w14:paraId="4CA6D7F2" w14:textId="77777777" w:rsidR="00255A5B" w:rsidRPr="00D27BF1" w:rsidRDefault="008A6F50" w:rsidP="002E0037">
      <w:pPr>
        <w:pStyle w:val="Bulletpoints"/>
      </w:pPr>
      <w:r w:rsidRPr="00D27BF1">
        <w:t>a</w:t>
      </w:r>
      <w:r w:rsidR="00255A5B" w:rsidRPr="00D27BF1">
        <w:t xml:space="preserve">pproximately </w:t>
      </w:r>
      <w:r w:rsidR="00A8320F" w:rsidRPr="00D27BF1">
        <w:t>2</w:t>
      </w:r>
      <w:r w:rsidRPr="00D27BF1">
        <w:t>9</w:t>
      </w:r>
      <w:r w:rsidR="00A8320F" w:rsidRPr="00D27BF1">
        <w:t xml:space="preserve"> more patients will be a responder</w:t>
      </w:r>
      <w:r w:rsidRPr="00D27BF1">
        <w:t xml:space="preserve"> based on ENP (≥1.0 point improvement from baseline) and/or NO-VAS (≥3.0 point improvement from baseline);</w:t>
      </w:r>
    </w:p>
    <w:p w14:paraId="37B7348F" w14:textId="77777777" w:rsidR="0083620F" w:rsidRPr="00D27BF1" w:rsidRDefault="00AF147C" w:rsidP="0083620F">
      <w:pPr>
        <w:pStyle w:val="Bulletpoints"/>
        <w:numPr>
          <w:ilvl w:val="0"/>
          <w:numId w:val="0"/>
        </w:numPr>
        <w:ind w:left="720"/>
      </w:pPr>
      <w:r w:rsidRPr="00D27BF1">
        <w:t>On the basis of direct</w:t>
      </w:r>
      <w:r w:rsidR="0083620F" w:rsidRPr="00D27BF1">
        <w:t xml:space="preserve"> evidence presented by the submission, the comparison of mepolizumab and placebo resulted in:</w:t>
      </w:r>
    </w:p>
    <w:p w14:paraId="0A681D08" w14:textId="77777777" w:rsidR="0083620F" w:rsidRPr="00D27BF1" w:rsidRDefault="0083620F" w:rsidP="00255A5B">
      <w:pPr>
        <w:pStyle w:val="Bulletpoints"/>
      </w:pPr>
      <w:r w:rsidRPr="00D27BF1">
        <w:t>a</w:t>
      </w:r>
      <w:r w:rsidR="008A6F50" w:rsidRPr="00D27BF1">
        <w:t>pproximately a 0.75</w:t>
      </w:r>
      <w:r w:rsidR="009427AB" w:rsidRPr="00D27BF1">
        <w:t>-</w:t>
      </w:r>
      <w:r w:rsidR="008A6F50" w:rsidRPr="00D27BF1">
        <w:t xml:space="preserve">point reduction in ENP score over 52 weeks of follow-up. It was considered that a reduction of </w:t>
      </w:r>
      <w:r w:rsidR="008A6F50" w:rsidRPr="00D27BF1">
        <w:rPr>
          <w:rFonts w:cs="Calibri"/>
        </w:rPr>
        <w:t>≥</w:t>
      </w:r>
      <w:r w:rsidR="008A6F50" w:rsidRPr="00D27BF1">
        <w:t>1.0 point was clinically significant; and</w:t>
      </w:r>
    </w:p>
    <w:p w14:paraId="572E6F88" w14:textId="77777777" w:rsidR="008A6F50" w:rsidRPr="00D27BF1" w:rsidRDefault="0083620F" w:rsidP="0083620F">
      <w:pPr>
        <w:pStyle w:val="Bulletpoints"/>
        <w:spacing w:after="240"/>
        <w:ind w:left="1077" w:hanging="357"/>
        <w:rPr>
          <w:rFonts w:asciiTheme="minorHAnsi" w:hAnsiTheme="minorHAnsi" w:cstheme="minorHAnsi"/>
        </w:rPr>
      </w:pPr>
      <w:r w:rsidRPr="00D27BF1">
        <w:t>a</w:t>
      </w:r>
      <w:r w:rsidR="008A6F50" w:rsidRPr="00D27BF1">
        <w:t>pproximately a 3.36</w:t>
      </w:r>
      <w:r w:rsidR="009427AB" w:rsidRPr="00D27BF1">
        <w:t>-</w:t>
      </w:r>
      <w:r w:rsidR="008A6F50" w:rsidRPr="00D27BF1">
        <w:t xml:space="preserve">point reduction in NO-VAS score over 52 weeks of follow-up. It was </w:t>
      </w:r>
      <w:r w:rsidR="008A6F50" w:rsidRPr="00D27BF1">
        <w:rPr>
          <w:rFonts w:asciiTheme="minorHAnsi" w:hAnsiTheme="minorHAnsi" w:cstheme="minorHAnsi"/>
        </w:rPr>
        <w:t>considered that a reduction of ≥3.0 point was clinically significant.</w:t>
      </w:r>
    </w:p>
    <w:p w14:paraId="2B799404" w14:textId="77777777" w:rsidR="00B60939" w:rsidRPr="00D27BF1" w:rsidRDefault="00A8320F" w:rsidP="0083620F">
      <w:pPr>
        <w:pStyle w:val="ListParagraph"/>
        <w:widowControl/>
        <w:numPr>
          <w:ilvl w:val="1"/>
          <w:numId w:val="2"/>
        </w:numPr>
        <w:rPr>
          <w:rFonts w:asciiTheme="minorHAnsi" w:hAnsiTheme="minorHAnsi" w:cstheme="minorHAnsi"/>
          <w:szCs w:val="24"/>
        </w:rPr>
      </w:pPr>
      <w:r w:rsidRPr="00D27BF1">
        <w:rPr>
          <w:rFonts w:asciiTheme="minorHAnsi" w:hAnsiTheme="minorHAnsi" w:cstheme="minorHAnsi"/>
          <w:szCs w:val="24"/>
        </w:rPr>
        <w:t>A comparison of harms for mepolizumab versus placebo</w:t>
      </w:r>
      <w:r w:rsidR="008A6F50" w:rsidRPr="00D27BF1">
        <w:rPr>
          <w:rFonts w:asciiTheme="minorHAnsi" w:hAnsiTheme="minorHAnsi" w:cstheme="minorHAnsi"/>
          <w:szCs w:val="24"/>
        </w:rPr>
        <w:t xml:space="preserve"> in SYNPASE </w:t>
      </w:r>
      <w:r w:rsidRPr="00D27BF1">
        <w:rPr>
          <w:rFonts w:asciiTheme="minorHAnsi" w:hAnsiTheme="minorHAnsi" w:cstheme="minorHAnsi"/>
          <w:szCs w:val="24"/>
        </w:rPr>
        <w:t>has not been</w:t>
      </w:r>
      <w:r w:rsidR="006C64B4" w:rsidRPr="00D27BF1">
        <w:rPr>
          <w:rFonts w:asciiTheme="minorHAnsi" w:hAnsiTheme="minorHAnsi" w:cstheme="minorHAnsi"/>
          <w:szCs w:val="24"/>
        </w:rPr>
        <w:t xml:space="preserve"> described </w:t>
      </w:r>
      <w:r w:rsidRPr="00D27BF1">
        <w:rPr>
          <w:rFonts w:asciiTheme="minorHAnsi" w:hAnsiTheme="minorHAnsi" w:cstheme="minorHAnsi"/>
          <w:szCs w:val="24"/>
        </w:rPr>
        <w:t>given comparable safety.</w:t>
      </w:r>
      <w:r w:rsidR="008A6F50" w:rsidRPr="00D27BF1">
        <w:rPr>
          <w:rFonts w:asciiTheme="minorHAnsi" w:hAnsiTheme="minorHAnsi" w:cstheme="minorHAnsi"/>
          <w:szCs w:val="24"/>
        </w:rPr>
        <w:t xml:space="preserve"> </w:t>
      </w:r>
    </w:p>
    <w:p w14:paraId="72302E99" w14:textId="77777777" w:rsidR="00B60939" w:rsidRPr="00D27BF1" w:rsidRDefault="00B60939" w:rsidP="00C9624D">
      <w:pPr>
        <w:pStyle w:val="Heading2"/>
      </w:pPr>
      <w:bookmarkStart w:id="22" w:name="_Toc82528842"/>
      <w:r w:rsidRPr="00D27BF1">
        <w:t>Clinical claim</w:t>
      </w:r>
      <w:bookmarkEnd w:id="22"/>
    </w:p>
    <w:p w14:paraId="568F5A98" w14:textId="77777777" w:rsidR="00C73D49" w:rsidRPr="00D27BF1" w:rsidRDefault="002929F2" w:rsidP="00B313EF">
      <w:pPr>
        <w:pStyle w:val="ListParagraph"/>
        <w:widowControl/>
        <w:numPr>
          <w:ilvl w:val="1"/>
          <w:numId w:val="2"/>
        </w:numPr>
        <w:spacing w:after="0"/>
      </w:pPr>
      <w:r w:rsidRPr="00D27BF1">
        <w:t xml:space="preserve">The submission described mepolizumab (in addition to SoC) as superior in terms of effectiveness compared with placebo (in addition to SoC) in </w:t>
      </w:r>
      <w:r w:rsidR="00C73D49" w:rsidRPr="00D27BF1">
        <w:t xml:space="preserve">patients with CRSwNP and a BEC </w:t>
      </w:r>
      <w:r w:rsidR="00C73D49" w:rsidRPr="00D27BF1">
        <w:rPr>
          <w:rFonts w:cs="Calibri"/>
        </w:rPr>
        <w:t>≥</w:t>
      </w:r>
      <w:r w:rsidRPr="00D27BF1">
        <w:t>150 cells/µL. The therapeutic conclusion was based on the results of SYNAPSE with both co-primary outcomes having met the nominated MCIDs and all primary and secondary endpoints achieved statistical significance at the two-sided 5% level adjusted for multiplicity in the ITT population. The submission claimed that the efficacy of me</w:t>
      </w:r>
      <w:r w:rsidR="00C73D49" w:rsidRPr="00D27BF1">
        <w:t xml:space="preserve">polizumab </w:t>
      </w:r>
      <w:r w:rsidRPr="00D27BF1">
        <w:t>was higher in patients with elevat</w:t>
      </w:r>
      <w:r w:rsidR="00C73D49" w:rsidRPr="00D27BF1">
        <w:t xml:space="preserve">ed baseline BEC of </w:t>
      </w:r>
      <w:r w:rsidR="00C73D49" w:rsidRPr="00D27BF1">
        <w:rPr>
          <w:rFonts w:cs="Calibri"/>
        </w:rPr>
        <w:t>≥</w:t>
      </w:r>
      <w:r w:rsidRPr="00D27BF1">
        <w:t>150 cells/µL. However, this claim may not be adequately supported because:</w:t>
      </w:r>
    </w:p>
    <w:p w14:paraId="54935049" w14:textId="77777777" w:rsidR="002929F2" w:rsidRPr="00D27BF1" w:rsidRDefault="00C73D49" w:rsidP="00C73D49">
      <w:pPr>
        <w:pStyle w:val="Bulletpoints"/>
      </w:pPr>
      <w:r w:rsidRPr="00D27BF1">
        <w:t xml:space="preserve">The threshold for BEC of </w:t>
      </w:r>
      <w:r w:rsidRPr="00D27BF1">
        <w:rPr>
          <w:rFonts w:cs="Calibri"/>
        </w:rPr>
        <w:t>≥</w:t>
      </w:r>
      <w:r w:rsidR="002929F2" w:rsidRPr="00D27BF1">
        <w:t xml:space="preserve">150 cells/µL appeared to have been nominated </w:t>
      </w:r>
      <w:r w:rsidR="002929F2" w:rsidRPr="00D27BF1">
        <w:rPr>
          <w:iCs/>
        </w:rPr>
        <w:t>post hoc</w:t>
      </w:r>
      <w:r w:rsidR="002929F2" w:rsidRPr="00D27BF1">
        <w:t xml:space="preserve"> and was not part of the formal statistical assessment, and the difference in median </w:t>
      </w:r>
      <w:r w:rsidRPr="00D27BF1">
        <w:t xml:space="preserve">ENP score from baseline in the </w:t>
      </w:r>
      <w:r w:rsidRPr="00D27BF1">
        <w:rPr>
          <w:rFonts w:cs="Calibri"/>
        </w:rPr>
        <w:t>≥</w:t>
      </w:r>
      <w:r w:rsidR="002929F2" w:rsidRPr="00D27BF1">
        <w:t>150 cell/µL subgroup (-0.75, 95%CI -1.21, -0.29) did</w:t>
      </w:r>
      <w:r w:rsidRPr="00D27BF1">
        <w:t xml:space="preserve"> not meet the proposed MCID of </w:t>
      </w:r>
      <w:r w:rsidRPr="00D27BF1">
        <w:rPr>
          <w:rFonts w:cs="Calibri"/>
        </w:rPr>
        <w:t>≥</w:t>
      </w:r>
      <w:r w:rsidR="002929F2" w:rsidRPr="00D27BF1">
        <w:t xml:space="preserve">1.0 point of change. The complementary subgroup (BEC &lt;150 cells/µL) also had a very small number of patients (36 out of a total of 407 patients had BEC &lt;150 cells/µL) and therefore the results from the complement subgroup was likely biased towards the null and was unlikely to show any difference between treatments. Further, no test for subgroup interactions was conducted. As such, it was unclear that a BEC </w:t>
      </w:r>
      <w:r w:rsidRPr="00D27BF1">
        <w:rPr>
          <w:rFonts w:cs="Calibri"/>
        </w:rPr>
        <w:t>≥</w:t>
      </w:r>
      <w:r w:rsidR="002929F2" w:rsidRPr="00D27BF1">
        <w:t>150 cells/µL was an appropriate clinical threshold</w:t>
      </w:r>
      <w:r w:rsidR="0030025F" w:rsidRPr="00D27BF1">
        <w:t xml:space="preserve">. </w:t>
      </w:r>
      <w:r w:rsidR="0030025F" w:rsidRPr="0057459B">
        <w:t>The ESC noted the PSCR argued that based on physiological grounds and other indications for mepolizumab that a c</w:t>
      </w:r>
      <w:r w:rsidR="0070608B" w:rsidRPr="0057459B">
        <w:t>ut-off for BEC is appropriate</w:t>
      </w:r>
      <w:r w:rsidR="0030025F" w:rsidRPr="0057459B">
        <w:t xml:space="preserve"> (see paragraph 3.9). The ESC considered that a BEC threshold of ≥300 cells/µL, which is consistent with the listing of mepolizumab for uncontrolled severe asthma, may be appropriate (see paragraph 6.2</w:t>
      </w:r>
      <w:r w:rsidR="003436AD">
        <w:t>5</w:t>
      </w:r>
      <w:r w:rsidR="0030025F" w:rsidRPr="0057459B">
        <w:t>)</w:t>
      </w:r>
      <w:r w:rsidR="002929F2" w:rsidRPr="0057459B">
        <w:t xml:space="preserve">; </w:t>
      </w:r>
      <w:r w:rsidR="002929F2" w:rsidRPr="00D27BF1">
        <w:t>and</w:t>
      </w:r>
    </w:p>
    <w:p w14:paraId="327BDCE8" w14:textId="186BF0DB" w:rsidR="002929F2" w:rsidRPr="00D27BF1" w:rsidRDefault="002929F2" w:rsidP="00306E2E">
      <w:pPr>
        <w:pStyle w:val="Bulletpoints"/>
        <w:spacing w:after="240"/>
        <w:rPr>
          <w:i/>
        </w:rPr>
      </w:pPr>
      <w:r w:rsidRPr="00D27BF1">
        <w:t>In the ITT population, while the unadjusted median change from baseline to Week 52 total ENP score for patients treated with mepolizumab (median difference -1.0, P&lt;0.001) met the pro</w:t>
      </w:r>
      <w:r w:rsidR="00C73D49" w:rsidRPr="00D27BF1">
        <w:t xml:space="preserve">posed MCID of </w:t>
      </w:r>
      <w:r w:rsidR="00C73D49" w:rsidRPr="00D27BF1">
        <w:rPr>
          <w:rFonts w:cs="Calibri"/>
        </w:rPr>
        <w:t>≥</w:t>
      </w:r>
      <w:r w:rsidRPr="00D27BF1">
        <w:t xml:space="preserve">1.0 point of change, 102/206 (49.5%) of patients experienced no change or worsening of symptoms. Therefore, the observed median change from baseline was in actuality very close to </w:t>
      </w:r>
      <w:r w:rsidR="00DB6FC0" w:rsidRPr="00D27BF1">
        <w:t>zero</w:t>
      </w:r>
      <w:r w:rsidRPr="00D27BF1">
        <w:t>. The adjusted difference in median ENP (Quantile regression with covariates of treatment group, geographic region, baseline score and log(e) baseline blood eosinophil count ) was -0.73 (95%CI -1.11, -0.34) which did not meet the proposed MCID. Using the point estimates for the mean (rather than median) change from baseline in ENP score, the difference was -0.8 points which also did not meet the MCID.</w:t>
      </w:r>
      <w:r w:rsidR="009427AB" w:rsidRPr="00D27BF1">
        <w:t xml:space="preserve"> Similarly, the </w:t>
      </w:r>
      <w:r w:rsidR="007A35AB" w:rsidRPr="00D27BF1">
        <w:t xml:space="preserve">point estimate of the </w:t>
      </w:r>
      <w:r w:rsidR="009427AB" w:rsidRPr="00D27BF1">
        <w:t xml:space="preserve">mean (rather than median) change from baseline in NO-VAS score </w:t>
      </w:r>
      <w:r w:rsidR="007A35AB" w:rsidRPr="00D27BF1">
        <w:t xml:space="preserve">(-1.7) also did not meet the MCID of </w:t>
      </w:r>
      <w:r w:rsidR="007A35AB" w:rsidRPr="00D27BF1">
        <w:rPr>
          <w:rFonts w:cs="Calibri"/>
        </w:rPr>
        <w:t>≥</w:t>
      </w:r>
      <w:r w:rsidR="007A35AB" w:rsidRPr="00D27BF1">
        <w:t>3.0 points.</w:t>
      </w:r>
      <w:r w:rsidR="006B7E28" w:rsidRPr="00D27BF1">
        <w:t xml:space="preserve"> </w:t>
      </w:r>
      <w:r w:rsidR="00F773DC" w:rsidRPr="0057459B">
        <w:t>The PSCR noted</w:t>
      </w:r>
      <w:r w:rsidR="006B7E28" w:rsidRPr="0057459B">
        <w:t xml:space="preserve"> that the SYNAPSE trial </w:t>
      </w:r>
      <w:r w:rsidR="00F773DC" w:rsidRPr="0057459B">
        <w:t xml:space="preserve">reported </w:t>
      </w:r>
      <w:r w:rsidR="006B7E28" w:rsidRPr="0057459B">
        <w:t>a statistically significant 57% reduction for the mepolizumab treated group compared to placebo in the risk of h</w:t>
      </w:r>
      <w:r w:rsidR="00F773DC" w:rsidRPr="0057459B">
        <w:t xml:space="preserve">aving surgery, significant improvements in overall VAS symptom scores and a </w:t>
      </w:r>
      <w:r w:rsidR="006B7E28" w:rsidRPr="0057459B">
        <w:t>clinically significant improvement in HRQoL</w:t>
      </w:r>
      <w:r w:rsidR="00F773DC" w:rsidRPr="0057459B">
        <w:t xml:space="preserve">. </w:t>
      </w:r>
      <w:r w:rsidR="006B7E28" w:rsidRPr="0057459B">
        <w:t>The</w:t>
      </w:r>
      <w:r w:rsidR="00F773DC" w:rsidRPr="0057459B">
        <w:t xml:space="preserve"> PSCR argued that the</w:t>
      </w:r>
      <w:r w:rsidR="006B7E28" w:rsidRPr="0057459B">
        <w:t>se are considered as clinically significant improvements</w:t>
      </w:r>
      <w:r w:rsidR="00A57C4B" w:rsidRPr="0057459B">
        <w:t xml:space="preserve"> and</w:t>
      </w:r>
      <w:r w:rsidR="006B7E28" w:rsidRPr="0057459B">
        <w:t xml:space="preserve"> important benefit</w:t>
      </w:r>
      <w:r w:rsidR="00A57C4B" w:rsidRPr="0057459B">
        <w:t>s</w:t>
      </w:r>
      <w:r w:rsidR="006B7E28" w:rsidRPr="0057459B">
        <w:t xml:space="preserve"> to patients.</w:t>
      </w:r>
      <w:r w:rsidR="00A03A69" w:rsidRPr="0057459B">
        <w:t xml:space="preserve"> The ESC </w:t>
      </w:r>
      <w:r w:rsidR="00C268D3" w:rsidRPr="0057459B">
        <w:t>acknowledged the concerns raised by the evaluation that the</w:t>
      </w:r>
      <w:r w:rsidR="00A03A69" w:rsidRPr="0057459B">
        <w:t xml:space="preserve"> claim of superior effectiveness may not be adequately supported by the data provided in the submission but considered</w:t>
      </w:r>
      <w:r w:rsidR="00C268D3" w:rsidRPr="0057459B">
        <w:t xml:space="preserve"> that overall </w:t>
      </w:r>
      <w:r w:rsidR="00A03A69" w:rsidRPr="0057459B">
        <w:t>it was likely that mepolizumab was more effective than placebo.</w:t>
      </w:r>
    </w:p>
    <w:p w14:paraId="54D688B2" w14:textId="77777777" w:rsidR="00151527" w:rsidRPr="00151527" w:rsidRDefault="002929F2" w:rsidP="00497225">
      <w:pPr>
        <w:pStyle w:val="ListParagraph"/>
        <w:widowControl/>
        <w:numPr>
          <w:ilvl w:val="1"/>
          <w:numId w:val="2"/>
        </w:numPr>
        <w:rPr>
          <w:i/>
        </w:rPr>
      </w:pPr>
      <w:r w:rsidRPr="00D27BF1">
        <w:t xml:space="preserve">With regard to safety, the submission claimed mepolizumab was comparable to SoC. This may not be reasonable. Given that current SoC does not include any subcutaneous injections, unlike in SYNAPSE which included placebo injections, there would be no injection site reactions associated with the comparator in the proposed PBS population currently treated with SoC. However, the overall safety of mepolizumab </w:t>
      </w:r>
      <w:r w:rsidR="00313884" w:rsidRPr="00D27BF1">
        <w:t xml:space="preserve">in SYNAPSE </w:t>
      </w:r>
      <w:r w:rsidRPr="00D27BF1">
        <w:t>was consistent with the known safety profile</w:t>
      </w:r>
      <w:r w:rsidR="00AE3DFD" w:rsidRPr="00D27BF1">
        <w:t xml:space="preserve"> of the </w:t>
      </w:r>
      <w:r w:rsidR="000526A1" w:rsidRPr="00D27BF1">
        <w:t>product, which has been marketed since 2016,</w:t>
      </w:r>
      <w:r w:rsidR="00AE3DFD" w:rsidRPr="00D27BF1">
        <w:t xml:space="preserve"> and its use in approved indications of severe eosinophilic asthma and eosinophilic granulomatosis with polyangiitis (EGPA).</w:t>
      </w:r>
      <w:r w:rsidRPr="00D27BF1">
        <w:t xml:space="preserve"> </w:t>
      </w:r>
      <w:r w:rsidR="00AE3DFD" w:rsidRPr="00D27BF1">
        <w:t>T</w:t>
      </w:r>
      <w:r w:rsidRPr="00D27BF1">
        <w:t>he TGA noted (TGA</w:t>
      </w:r>
      <w:r w:rsidR="00F70352" w:rsidRPr="00D27BF1">
        <w:t xml:space="preserve"> </w:t>
      </w:r>
      <w:r w:rsidR="00B92043" w:rsidRPr="00D27BF1">
        <w:t>CER</w:t>
      </w:r>
      <w:r w:rsidR="00F70352" w:rsidRPr="00D27BF1">
        <w:t>, p74</w:t>
      </w:r>
      <w:r w:rsidRPr="00D27BF1">
        <w:t>) that “overall, the safety profile is consistent with that described for the approved indications and no new safety issues were identified.”</w:t>
      </w:r>
      <w:r w:rsidR="008D2466" w:rsidRPr="00D27BF1">
        <w:t xml:space="preserve"> </w:t>
      </w:r>
      <w:r w:rsidR="00497225" w:rsidRPr="0057459B">
        <w:t xml:space="preserve">The ESC acknowledged that in practice there would be no injections for SoC but noted that data showed that injection site </w:t>
      </w:r>
      <w:r w:rsidR="006D5EBE" w:rsidRPr="0057459B">
        <w:t xml:space="preserve">reaction </w:t>
      </w:r>
      <w:r w:rsidR="0070608B" w:rsidRPr="0057459B">
        <w:t>events were</w:t>
      </w:r>
      <w:r w:rsidR="00497225" w:rsidRPr="0057459B">
        <w:t xml:space="preserve"> not significant in either group in SYNAPSE. </w:t>
      </w:r>
      <w:r w:rsidR="008D2466" w:rsidRPr="0057459B">
        <w:t xml:space="preserve">The ESC </w:t>
      </w:r>
      <w:r w:rsidR="00497225" w:rsidRPr="0057459B">
        <w:t>considered the claim of comparable safety was likely reasonable.</w:t>
      </w:r>
    </w:p>
    <w:p w14:paraId="4546FB64" w14:textId="2A759E3C" w:rsidR="00151527" w:rsidRPr="00CE42B4" w:rsidRDefault="00151527" w:rsidP="00151527">
      <w:pPr>
        <w:numPr>
          <w:ilvl w:val="1"/>
          <w:numId w:val="2"/>
        </w:numPr>
        <w:spacing w:after="120"/>
        <w:rPr>
          <w:rFonts w:asciiTheme="minorHAnsi" w:hAnsiTheme="minorHAnsi"/>
          <w:szCs w:val="20"/>
        </w:rPr>
      </w:pPr>
      <w:bookmarkStart w:id="23" w:name="_Hlk76376200"/>
      <w:r w:rsidRPr="00CE42B4">
        <w:rPr>
          <w:rFonts w:asciiTheme="minorHAnsi" w:hAnsiTheme="minorHAnsi"/>
          <w:iCs/>
          <w:lang w:eastAsia="en-AU"/>
        </w:rPr>
        <w:t>The</w:t>
      </w:r>
      <w:r w:rsidRPr="00CE42B4">
        <w:rPr>
          <w:rFonts w:asciiTheme="minorHAnsi" w:hAnsiTheme="minorHAnsi"/>
          <w:szCs w:val="20"/>
        </w:rPr>
        <w:t xml:space="preserve"> PBAC considered that the</w:t>
      </w:r>
      <w:r w:rsidR="0030278B">
        <w:rPr>
          <w:rFonts w:asciiTheme="minorHAnsi" w:hAnsiTheme="minorHAnsi"/>
          <w:szCs w:val="20"/>
        </w:rPr>
        <w:t xml:space="preserve"> claim of </w:t>
      </w:r>
      <w:r w:rsidRPr="00CE42B4">
        <w:rPr>
          <w:rFonts w:asciiTheme="minorHAnsi" w:hAnsiTheme="minorHAnsi"/>
          <w:szCs w:val="20"/>
        </w:rPr>
        <w:t>superior comparative effectiveness was reasonable</w:t>
      </w:r>
      <w:r w:rsidR="0048716D">
        <w:rPr>
          <w:rFonts w:asciiTheme="minorHAnsi" w:hAnsiTheme="minorHAnsi"/>
          <w:szCs w:val="20"/>
        </w:rPr>
        <w:t xml:space="preserve"> </w:t>
      </w:r>
      <w:r w:rsidR="0048716D" w:rsidRPr="00D27BF1">
        <w:t>patients with CRSwNP</w:t>
      </w:r>
      <w:r w:rsidRPr="00CE42B4">
        <w:rPr>
          <w:rFonts w:asciiTheme="minorHAnsi" w:hAnsiTheme="minorHAnsi"/>
          <w:szCs w:val="20"/>
        </w:rPr>
        <w:t>.</w:t>
      </w:r>
      <w:r w:rsidR="00D275AF">
        <w:rPr>
          <w:rFonts w:asciiTheme="minorHAnsi" w:hAnsiTheme="minorHAnsi"/>
          <w:szCs w:val="20"/>
        </w:rPr>
        <w:t xml:space="preserve"> </w:t>
      </w:r>
      <w:r w:rsidR="00D275AF">
        <w:t>However, the PBAC considered the BEC</w:t>
      </w:r>
      <w:r w:rsidR="00D275AF" w:rsidRPr="00D27BF1">
        <w:t xml:space="preserve"> </w:t>
      </w:r>
      <w:r w:rsidR="00D275AF">
        <w:t xml:space="preserve">threshold for access to mepolizumab should be increased from </w:t>
      </w:r>
      <w:r w:rsidR="00D275AF" w:rsidRPr="00D27BF1">
        <w:rPr>
          <w:rFonts w:cs="Calibri"/>
        </w:rPr>
        <w:t>≥</w:t>
      </w:r>
      <w:r w:rsidR="00D275AF">
        <w:t>15</w:t>
      </w:r>
      <w:r w:rsidR="00D275AF" w:rsidRPr="00D27BF1">
        <w:t>0 cells/µL</w:t>
      </w:r>
      <w:r w:rsidR="00D275AF">
        <w:t xml:space="preserve"> to</w:t>
      </w:r>
      <w:r w:rsidR="00D275AF" w:rsidRPr="00D27BF1">
        <w:t xml:space="preserve"> </w:t>
      </w:r>
      <w:r w:rsidR="00D275AF" w:rsidRPr="00D27BF1">
        <w:rPr>
          <w:rFonts w:cs="Calibri"/>
        </w:rPr>
        <w:t>≥</w:t>
      </w:r>
      <w:r w:rsidR="00D275AF">
        <w:t>30</w:t>
      </w:r>
      <w:r w:rsidR="00D275AF" w:rsidRPr="00D27BF1">
        <w:t>0 cells/µL</w:t>
      </w:r>
      <w:r w:rsidR="00D275AF" w:rsidRPr="00CE42B4">
        <w:rPr>
          <w:rFonts w:asciiTheme="minorHAnsi" w:hAnsiTheme="minorHAnsi"/>
          <w:szCs w:val="20"/>
        </w:rPr>
        <w:t>.</w:t>
      </w:r>
    </w:p>
    <w:p w14:paraId="4F27064A" w14:textId="3BB31018" w:rsidR="002929F2" w:rsidRPr="00151527" w:rsidRDefault="00151527" w:rsidP="00151527">
      <w:pPr>
        <w:numPr>
          <w:ilvl w:val="1"/>
          <w:numId w:val="2"/>
        </w:numPr>
        <w:spacing w:after="120"/>
        <w:rPr>
          <w:rFonts w:asciiTheme="minorHAnsi" w:hAnsiTheme="minorHAnsi"/>
          <w:szCs w:val="20"/>
        </w:rPr>
      </w:pPr>
      <w:r w:rsidRPr="00CE42B4">
        <w:rPr>
          <w:rFonts w:asciiTheme="minorHAnsi" w:hAnsiTheme="minorHAnsi"/>
          <w:szCs w:val="20"/>
        </w:rPr>
        <w:t>The PBAC consid</w:t>
      </w:r>
      <w:r w:rsidR="0030278B">
        <w:rPr>
          <w:rFonts w:asciiTheme="minorHAnsi" w:hAnsiTheme="minorHAnsi"/>
          <w:szCs w:val="20"/>
        </w:rPr>
        <w:t xml:space="preserve">ered that the claim of </w:t>
      </w:r>
      <w:r w:rsidRPr="00CE42B4">
        <w:rPr>
          <w:rFonts w:asciiTheme="minorHAnsi" w:hAnsiTheme="minorHAnsi"/>
          <w:szCs w:val="20"/>
        </w:rPr>
        <w:t>n</w:t>
      </w:r>
      <w:r w:rsidR="0030278B">
        <w:rPr>
          <w:rFonts w:asciiTheme="minorHAnsi" w:hAnsiTheme="minorHAnsi"/>
          <w:szCs w:val="20"/>
        </w:rPr>
        <w:t>on-inferior</w:t>
      </w:r>
      <w:r w:rsidRPr="00CE42B4">
        <w:rPr>
          <w:rFonts w:asciiTheme="minorHAnsi" w:hAnsiTheme="minorHAnsi"/>
          <w:szCs w:val="20"/>
        </w:rPr>
        <w:t xml:space="preserve"> safety was </w:t>
      </w:r>
      <w:r w:rsidR="0030278B">
        <w:rPr>
          <w:rFonts w:asciiTheme="minorHAnsi" w:hAnsiTheme="minorHAnsi"/>
          <w:szCs w:val="20"/>
        </w:rPr>
        <w:t>reasonable</w:t>
      </w:r>
      <w:r w:rsidRPr="00CE42B4">
        <w:rPr>
          <w:rFonts w:asciiTheme="minorHAnsi" w:hAnsiTheme="minorHAnsi"/>
          <w:szCs w:val="20"/>
        </w:rPr>
        <w:t>.</w:t>
      </w:r>
      <w:bookmarkEnd w:id="23"/>
    </w:p>
    <w:p w14:paraId="2729325B" w14:textId="77777777" w:rsidR="00B60939" w:rsidRPr="00D27BF1" w:rsidRDefault="00B60939" w:rsidP="00497225">
      <w:pPr>
        <w:pStyle w:val="Heading2"/>
        <w:keepNext/>
        <w:keepLines/>
      </w:pPr>
      <w:bookmarkStart w:id="24" w:name="_Toc82528843"/>
      <w:r w:rsidRPr="00D27BF1">
        <w:t>Economic analysis</w:t>
      </w:r>
      <w:bookmarkEnd w:id="24"/>
      <w:r w:rsidR="00491B3A" w:rsidRPr="00D27BF1">
        <w:t xml:space="preserve"> </w:t>
      </w:r>
    </w:p>
    <w:p w14:paraId="55E3A07B" w14:textId="77777777" w:rsidR="008A1C0C" w:rsidRPr="00D27BF1" w:rsidRDefault="008A1C0C" w:rsidP="00497225">
      <w:pPr>
        <w:pStyle w:val="ListParagraph"/>
        <w:keepNext/>
        <w:keepLines/>
        <w:widowControl/>
        <w:numPr>
          <w:ilvl w:val="1"/>
          <w:numId w:val="2"/>
        </w:numPr>
      </w:pPr>
      <w:r w:rsidRPr="00D27BF1">
        <w:rPr>
          <w:rFonts w:cs="Calibri"/>
          <w:snapToGrid/>
          <w:szCs w:val="24"/>
          <w:lang w:eastAsia="en-AU"/>
        </w:rPr>
        <w:t xml:space="preserve">The submission presented a modelled economic evaluation based on the SYNAPSE trial. The type of economic evaluation presented was a cost-utility </w:t>
      </w:r>
      <w:r w:rsidR="00BE0CFB" w:rsidRPr="00D27BF1">
        <w:rPr>
          <w:rFonts w:cs="Calibri"/>
          <w:snapToGrid/>
          <w:szCs w:val="24"/>
          <w:lang w:eastAsia="en-AU"/>
        </w:rPr>
        <w:t>Markov model incorporating a cohort expected value analysis</w:t>
      </w:r>
      <w:r w:rsidRPr="00D27BF1">
        <w:rPr>
          <w:rFonts w:cs="Calibri"/>
          <w:snapToGrid/>
          <w:szCs w:val="24"/>
          <w:lang w:eastAsia="en-AU"/>
        </w:rPr>
        <w:t xml:space="preserve">. The base case analysis incorporated the subpopulation of patients who had a BEC ≥150 cells/µL at baseline (90% and 92% of patients in the SYNAPSE mepolizumab and SoC arms, respectively), consistent with the proposed restriction. A scenario analysis was also presented where the ITT population (irrespective of BEC) from SYNAPSE was modelled. </w:t>
      </w:r>
      <w:r w:rsidR="00C820F8" w:rsidRPr="00D27BF1">
        <w:rPr>
          <w:rFonts w:cs="Calibri"/>
          <w:iCs/>
          <w:snapToGrid/>
          <w:szCs w:val="24"/>
          <w:lang w:eastAsia="en-AU"/>
        </w:rPr>
        <w:t xml:space="preserve">A trial based cost per responder analysis based on the results of SYNPASE was also conducted during the evaluation. </w:t>
      </w:r>
    </w:p>
    <w:p w14:paraId="1890726A" w14:textId="77777777" w:rsidR="002F0257" w:rsidRPr="00D27BF1" w:rsidRDefault="002F0257" w:rsidP="00B313EF">
      <w:pPr>
        <w:pStyle w:val="ListParagraph"/>
        <w:widowControl/>
        <w:numPr>
          <w:ilvl w:val="1"/>
          <w:numId w:val="2"/>
        </w:numPr>
      </w:pPr>
      <w:r w:rsidRPr="00D27BF1">
        <w:t xml:space="preserve">It was noted that </w:t>
      </w:r>
      <w:r w:rsidR="00EA4766" w:rsidRPr="00D27BF1">
        <w:t>t</w:t>
      </w:r>
      <w:r w:rsidRPr="00D27BF1">
        <w:t>here were several translational issues which were not considered nor adjusted for by the submission that could affect the efficacy of mepolizumab in the proposed PBS population and the results of the economic evaluation. In particular, the requested restriction allow</w:t>
      </w:r>
      <w:r w:rsidR="00C820F8" w:rsidRPr="00D27BF1">
        <w:t>ed</w:t>
      </w:r>
      <w:r w:rsidRPr="00D27BF1">
        <w:t xml:space="preserve"> access for patients who </w:t>
      </w:r>
      <w:r w:rsidR="00C820F8" w:rsidRPr="00D27BF1">
        <w:t xml:space="preserve">were </w:t>
      </w:r>
      <w:r w:rsidRPr="00D27BF1">
        <w:t xml:space="preserve">deemed unsuitable for surgery and patients who </w:t>
      </w:r>
      <w:r w:rsidR="00C820F8" w:rsidRPr="00D27BF1">
        <w:t xml:space="preserve">were </w:t>
      </w:r>
      <w:r w:rsidRPr="00D27BF1">
        <w:t>contraindicated or intolerant to INCS. Th</w:t>
      </w:r>
      <w:r w:rsidR="00C820F8" w:rsidRPr="00D27BF1">
        <w:t>e</w:t>
      </w:r>
      <w:r w:rsidRPr="00D27BF1">
        <w:t>s</w:t>
      </w:r>
      <w:r w:rsidR="00C820F8" w:rsidRPr="00D27BF1">
        <w:t>e</w:t>
      </w:r>
      <w:r w:rsidRPr="00D27BF1">
        <w:t xml:space="preserve"> represented potential applicability issue</w:t>
      </w:r>
      <w:r w:rsidR="00C820F8" w:rsidRPr="00D27BF1">
        <w:t>s</w:t>
      </w:r>
      <w:r w:rsidRPr="00D27BF1">
        <w:t xml:space="preserve"> given these are not consistent with the trial criteria (and economic model), and the efficacy (and cost-effectiveness) of mepolizumab for th</w:t>
      </w:r>
      <w:r w:rsidR="00C820F8" w:rsidRPr="00D27BF1">
        <w:t xml:space="preserve">ese patients </w:t>
      </w:r>
      <w:r w:rsidRPr="00D27BF1">
        <w:t xml:space="preserve">was unknown. The proportion </w:t>
      </w:r>
      <w:r w:rsidR="007975C8" w:rsidRPr="00D27BF1">
        <w:t xml:space="preserve">of patients </w:t>
      </w:r>
      <w:r w:rsidRPr="00D27BF1">
        <w:t xml:space="preserve">with co-morbid asthma and gender may also be different between the trial setting and Australian setting, and these were identified as potential treatment effect modifiers in SYNAPSE. </w:t>
      </w:r>
    </w:p>
    <w:p w14:paraId="78821D47" w14:textId="62F67F0D" w:rsidR="00E03AD2" w:rsidRPr="00D27BF1" w:rsidRDefault="0020510D" w:rsidP="00B313EF">
      <w:pPr>
        <w:pStyle w:val="ListParagraph"/>
        <w:widowControl/>
        <w:numPr>
          <w:ilvl w:val="1"/>
          <w:numId w:val="2"/>
        </w:numPr>
      </w:pPr>
      <w:r w:rsidRPr="0020510D">
        <w:rPr>
          <w:rStyle w:val="CommentReference"/>
          <w:rFonts w:asciiTheme="minorHAnsi" w:hAnsiTheme="minorHAnsi" w:cstheme="minorHAnsi"/>
          <w:b w:val="0"/>
          <w:sz w:val="24"/>
          <w:szCs w:val="24"/>
        </w:rPr>
        <w:t>Table 11</w:t>
      </w:r>
      <w:r w:rsidR="00E03AD2" w:rsidRPr="00D27BF1">
        <w:t xml:space="preserve"> presents </w:t>
      </w:r>
      <w:r w:rsidR="003052D2" w:rsidRPr="00D27BF1">
        <w:t xml:space="preserve">a </w:t>
      </w:r>
      <w:r w:rsidR="00E03AD2" w:rsidRPr="00D27BF1">
        <w:t>summary of the model structure used in the economic evaluation presented in the submission</w:t>
      </w:r>
      <w:r w:rsidR="003052D2" w:rsidRPr="00D27BF1">
        <w:t>.</w:t>
      </w:r>
    </w:p>
    <w:p w14:paraId="32AA25A7" w14:textId="77777777" w:rsidR="00275C5A" w:rsidRPr="00D27BF1" w:rsidRDefault="006E47D5" w:rsidP="00AD3CFE">
      <w:pPr>
        <w:pStyle w:val="ListParagraph"/>
        <w:keepNext/>
        <w:spacing w:after="0"/>
        <w:ind w:left="0"/>
        <w:rPr>
          <w:rStyle w:val="CommentReference"/>
        </w:rPr>
      </w:pPr>
      <w:bookmarkStart w:id="25" w:name="_Ref80575966"/>
      <w:r w:rsidRPr="00D27BF1">
        <w:rPr>
          <w:rStyle w:val="CommentReference"/>
        </w:rPr>
        <w:t xml:space="preserve">Table </w:t>
      </w:r>
      <w:r w:rsidR="0020510D">
        <w:rPr>
          <w:rStyle w:val="CommentReference"/>
          <w:noProof/>
        </w:rPr>
        <w:t>11</w:t>
      </w:r>
      <w:bookmarkEnd w:id="25"/>
      <w:r w:rsidRPr="00D27BF1">
        <w:rPr>
          <w:rStyle w:val="CommentReference"/>
        </w:rPr>
        <w:t xml:space="preserve">: </w:t>
      </w:r>
      <w:r w:rsidR="00275C5A" w:rsidRPr="00D27BF1">
        <w:rPr>
          <w:rStyle w:val="CommentReference"/>
        </w:rPr>
        <w:t>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29"/>
        <w:gridCol w:w="3944"/>
        <w:gridCol w:w="3944"/>
      </w:tblGrid>
      <w:tr w:rsidR="002F0257" w:rsidRPr="00D27BF1" w14:paraId="767781EB" w14:textId="77777777" w:rsidTr="00B37D2F">
        <w:trPr>
          <w:tblHeader/>
        </w:trPr>
        <w:tc>
          <w:tcPr>
            <w:tcW w:w="626" w:type="pct"/>
            <w:shd w:val="clear" w:color="auto" w:fill="auto"/>
            <w:vAlign w:val="center"/>
          </w:tcPr>
          <w:p w14:paraId="4473510F" w14:textId="77777777" w:rsidR="002F0257" w:rsidRPr="00D27BF1" w:rsidRDefault="002F0257" w:rsidP="00AD3CFE">
            <w:pPr>
              <w:pStyle w:val="Tabletext"/>
              <w:keepNext/>
              <w:rPr>
                <w:b/>
              </w:rPr>
            </w:pPr>
            <w:r w:rsidRPr="00D27BF1">
              <w:rPr>
                <w:b/>
              </w:rPr>
              <w:t>Component</w:t>
            </w:r>
          </w:p>
        </w:tc>
        <w:tc>
          <w:tcPr>
            <w:tcW w:w="2187" w:type="pct"/>
            <w:shd w:val="clear" w:color="auto" w:fill="auto"/>
            <w:vAlign w:val="center"/>
          </w:tcPr>
          <w:p w14:paraId="16F97AAD" w14:textId="77777777" w:rsidR="002F0257" w:rsidRPr="00D27BF1" w:rsidRDefault="002F0257" w:rsidP="00AD3CFE">
            <w:pPr>
              <w:pStyle w:val="Tabletext"/>
              <w:keepNext/>
              <w:jc w:val="center"/>
              <w:rPr>
                <w:b/>
              </w:rPr>
            </w:pPr>
            <w:r w:rsidRPr="00D27BF1">
              <w:rPr>
                <w:b/>
              </w:rPr>
              <w:t>Summary</w:t>
            </w:r>
          </w:p>
        </w:tc>
        <w:tc>
          <w:tcPr>
            <w:tcW w:w="2187" w:type="pct"/>
          </w:tcPr>
          <w:p w14:paraId="7BE40A99" w14:textId="77777777" w:rsidR="002F0257" w:rsidRPr="00D27BF1" w:rsidRDefault="00E03AD2" w:rsidP="00AD3CFE">
            <w:pPr>
              <w:pStyle w:val="Tabletext"/>
              <w:keepNext/>
              <w:jc w:val="center"/>
              <w:rPr>
                <w:b/>
              </w:rPr>
            </w:pPr>
            <w:r w:rsidRPr="00D27BF1">
              <w:rPr>
                <w:b/>
              </w:rPr>
              <w:t>Evaluation comments</w:t>
            </w:r>
          </w:p>
        </w:tc>
      </w:tr>
      <w:tr w:rsidR="00E03AD2" w:rsidRPr="00D27BF1" w14:paraId="530DF7D4" w14:textId="77777777" w:rsidTr="00B37D2F">
        <w:tc>
          <w:tcPr>
            <w:tcW w:w="626" w:type="pct"/>
            <w:shd w:val="clear" w:color="auto" w:fill="auto"/>
            <w:vAlign w:val="center"/>
          </w:tcPr>
          <w:p w14:paraId="61C01BC4" w14:textId="77777777" w:rsidR="00E03AD2" w:rsidRPr="00D27BF1" w:rsidRDefault="00E03AD2" w:rsidP="00AD3CFE">
            <w:pPr>
              <w:pStyle w:val="Tabletext"/>
              <w:keepNext/>
            </w:pPr>
            <w:r w:rsidRPr="00D27BF1">
              <w:t>Time horizon</w:t>
            </w:r>
          </w:p>
        </w:tc>
        <w:tc>
          <w:tcPr>
            <w:tcW w:w="2187" w:type="pct"/>
            <w:vAlign w:val="center"/>
          </w:tcPr>
          <w:p w14:paraId="21F610BC" w14:textId="77777777" w:rsidR="00E03AD2" w:rsidRPr="00D27BF1" w:rsidRDefault="00E03AD2" w:rsidP="00AD3CFE">
            <w:pPr>
              <w:pStyle w:val="Tabletext"/>
              <w:keepNext/>
            </w:pPr>
            <w:r w:rsidRPr="00D27BF1">
              <w:t>30 years in the model base case vs 52 weeks in the SYNAPSE trial.</w:t>
            </w:r>
          </w:p>
        </w:tc>
        <w:tc>
          <w:tcPr>
            <w:tcW w:w="2187" w:type="pct"/>
            <w:vAlign w:val="center"/>
          </w:tcPr>
          <w:p w14:paraId="77ECD0AA" w14:textId="77777777" w:rsidR="00E03AD2" w:rsidRPr="00D27BF1" w:rsidRDefault="00E03AD2" w:rsidP="00AD3CFE">
            <w:pPr>
              <w:pStyle w:val="Tabletext"/>
              <w:keepNext/>
            </w:pPr>
            <w:r w:rsidRPr="00D27BF1">
              <w:t xml:space="preserve">Possibly optimistic. </w:t>
            </w:r>
            <w:r w:rsidR="0097343A" w:rsidRPr="00D27BF1">
              <w:t xml:space="preserve">See </w:t>
            </w:r>
            <w:r w:rsidR="0097343A" w:rsidRPr="006E218D">
              <w:t xml:space="preserve">paragraph </w:t>
            </w:r>
            <w:r w:rsidR="0020510D">
              <w:t>6.41</w:t>
            </w:r>
            <w:r w:rsidR="0097343A" w:rsidRPr="006E218D">
              <w:t>.</w:t>
            </w:r>
            <w:r w:rsidRPr="00D27BF1">
              <w:t xml:space="preserve"> </w:t>
            </w:r>
          </w:p>
        </w:tc>
      </w:tr>
      <w:tr w:rsidR="004150C1" w:rsidRPr="00D27BF1" w14:paraId="1DCD2371" w14:textId="77777777" w:rsidTr="00B37D2F">
        <w:tc>
          <w:tcPr>
            <w:tcW w:w="626" w:type="pct"/>
            <w:shd w:val="clear" w:color="auto" w:fill="auto"/>
            <w:vAlign w:val="center"/>
          </w:tcPr>
          <w:p w14:paraId="59E95369" w14:textId="77777777" w:rsidR="004150C1" w:rsidRPr="00D27BF1" w:rsidRDefault="004150C1" w:rsidP="00AD3CFE">
            <w:pPr>
              <w:pStyle w:val="Tabletext"/>
              <w:keepNext/>
            </w:pPr>
            <w:r w:rsidRPr="00D27BF1">
              <w:t>Outcomes</w:t>
            </w:r>
          </w:p>
        </w:tc>
        <w:tc>
          <w:tcPr>
            <w:tcW w:w="2187" w:type="pct"/>
            <w:vAlign w:val="center"/>
          </w:tcPr>
          <w:p w14:paraId="6731C35A" w14:textId="77777777" w:rsidR="004150C1" w:rsidRPr="00D27BF1" w:rsidRDefault="004150C1" w:rsidP="00AD3CFE">
            <w:pPr>
              <w:pStyle w:val="Tabletext"/>
              <w:keepNext/>
            </w:pPr>
            <w:r w:rsidRPr="00D27BF1">
              <w:t>Life years, quality-adjusted life years, number of surgeries, weeks waiting for surgery, number of asthma exacerbations</w:t>
            </w:r>
          </w:p>
        </w:tc>
        <w:tc>
          <w:tcPr>
            <w:tcW w:w="2187" w:type="pct"/>
            <w:vAlign w:val="center"/>
          </w:tcPr>
          <w:p w14:paraId="7B203639" w14:textId="77777777" w:rsidR="004150C1" w:rsidRPr="00D27BF1" w:rsidRDefault="004150C1" w:rsidP="00AD3CFE">
            <w:pPr>
              <w:pStyle w:val="Tabletext"/>
              <w:keepNext/>
            </w:pPr>
            <w:r w:rsidRPr="00D27BF1">
              <w:t>Appropriate</w:t>
            </w:r>
          </w:p>
        </w:tc>
      </w:tr>
      <w:tr w:rsidR="004150C1" w:rsidRPr="00D27BF1" w14:paraId="6D0E8949" w14:textId="77777777" w:rsidTr="00B37D2F">
        <w:tc>
          <w:tcPr>
            <w:tcW w:w="626" w:type="pct"/>
            <w:shd w:val="clear" w:color="auto" w:fill="auto"/>
            <w:vAlign w:val="center"/>
          </w:tcPr>
          <w:p w14:paraId="61D56DE8" w14:textId="77777777" w:rsidR="004150C1" w:rsidRPr="00D27BF1" w:rsidRDefault="004150C1" w:rsidP="004150C1">
            <w:pPr>
              <w:pStyle w:val="Tabletext"/>
            </w:pPr>
            <w:r w:rsidRPr="00D27BF1">
              <w:t>Health states</w:t>
            </w:r>
          </w:p>
        </w:tc>
        <w:tc>
          <w:tcPr>
            <w:tcW w:w="2187" w:type="pct"/>
            <w:vAlign w:val="center"/>
          </w:tcPr>
          <w:p w14:paraId="53E63E8A" w14:textId="77777777" w:rsidR="004150C1" w:rsidRPr="00D27BF1" w:rsidRDefault="004150C1" w:rsidP="004150C1">
            <w:pPr>
              <w:pStyle w:val="Tabletext"/>
              <w:keepNext/>
              <w:keepLines/>
            </w:pPr>
            <w:r w:rsidRPr="00D27BF1">
              <w:t>Seven health states, including:</w:t>
            </w:r>
          </w:p>
          <w:p w14:paraId="42FA0521" w14:textId="77777777" w:rsidR="004150C1" w:rsidRPr="00D27BF1" w:rsidRDefault="004150C1" w:rsidP="004150C1">
            <w:pPr>
              <w:pStyle w:val="Tabletext"/>
              <w:keepNext/>
              <w:keepLines/>
              <w:rPr>
                <w:iCs/>
              </w:rPr>
            </w:pPr>
            <w:r w:rsidRPr="00D27BF1">
              <w:rPr>
                <w:iCs/>
              </w:rPr>
              <w:t xml:space="preserve">-“In trial” - corresponding to first six cycles of treatment </w:t>
            </w:r>
          </w:p>
          <w:p w14:paraId="0CA3AA65" w14:textId="77777777" w:rsidR="004150C1" w:rsidRPr="00D27BF1" w:rsidRDefault="004150C1" w:rsidP="004150C1">
            <w:pPr>
              <w:pStyle w:val="Tabletext"/>
              <w:keepNext/>
              <w:keepLines/>
            </w:pPr>
            <w:r w:rsidRPr="00D27BF1">
              <w:t>- Response: responds to initial treatment with mepolizumab or SoC;</w:t>
            </w:r>
          </w:p>
          <w:p w14:paraId="7DCC8B47" w14:textId="77777777" w:rsidR="004150C1" w:rsidRPr="00D27BF1" w:rsidRDefault="004150C1" w:rsidP="004150C1">
            <w:pPr>
              <w:pStyle w:val="Tabletext"/>
              <w:keepNext/>
              <w:keepLines/>
            </w:pPr>
            <w:r w:rsidRPr="00D27BF1">
              <w:t>- Non-response: does not respond to initial treatment with mepolizumab or SoC;</w:t>
            </w:r>
          </w:p>
          <w:p w14:paraId="2B08118A" w14:textId="77777777" w:rsidR="004150C1" w:rsidRPr="00D27BF1" w:rsidRDefault="004150C1" w:rsidP="004150C1">
            <w:pPr>
              <w:pStyle w:val="Tabletext"/>
              <w:keepNext/>
              <w:keepLines/>
            </w:pPr>
            <w:r w:rsidRPr="00D27BF1">
              <w:t>- Response post-NP surgery: patients who respond to surgery;</w:t>
            </w:r>
          </w:p>
          <w:p w14:paraId="6F95A097" w14:textId="77777777" w:rsidR="004150C1" w:rsidRPr="00D27BF1" w:rsidRDefault="004150C1" w:rsidP="004150C1">
            <w:pPr>
              <w:pStyle w:val="Tabletext"/>
              <w:keepNext/>
              <w:keepLines/>
              <w:rPr>
                <w:iCs/>
              </w:rPr>
            </w:pPr>
            <w:r w:rsidRPr="00D27BF1">
              <w:t>- Recurrence post-NP surgery: patients who responded to surgery but subsequently show recurrence of CRSwNP;</w:t>
            </w:r>
            <w:r w:rsidR="003F331E" w:rsidRPr="00D27BF1">
              <w:t xml:space="preserve"> </w:t>
            </w:r>
            <w:r w:rsidR="003F331E" w:rsidRPr="00D27BF1">
              <w:rPr>
                <w:iCs/>
              </w:rPr>
              <w:t>combined with</w:t>
            </w:r>
          </w:p>
          <w:p w14:paraId="5A3EA94E" w14:textId="77777777" w:rsidR="004150C1" w:rsidRPr="00D27BF1" w:rsidRDefault="004150C1" w:rsidP="004150C1">
            <w:pPr>
              <w:pStyle w:val="Tabletext"/>
              <w:keepNext/>
              <w:keepLines/>
            </w:pPr>
            <w:r w:rsidRPr="00D27BF1">
              <w:t>- Non-response post-NP surgery: patients who d</w:t>
            </w:r>
            <w:r w:rsidR="00B049DF">
              <w:t xml:space="preserve">o not respond to surgery (base </w:t>
            </w:r>
            <w:r w:rsidRPr="00D27BF1">
              <w:t>case assumes 100% of patients respond to surgery); and</w:t>
            </w:r>
          </w:p>
          <w:p w14:paraId="30F1F745" w14:textId="77777777" w:rsidR="004150C1" w:rsidRPr="00D27BF1" w:rsidRDefault="004150C1" w:rsidP="004150C1">
            <w:pPr>
              <w:pStyle w:val="Tabletext"/>
            </w:pPr>
            <w:r w:rsidRPr="00D27BF1">
              <w:t>- Death.</w:t>
            </w:r>
          </w:p>
        </w:tc>
        <w:tc>
          <w:tcPr>
            <w:tcW w:w="2187" w:type="pct"/>
            <w:vAlign w:val="center"/>
          </w:tcPr>
          <w:p w14:paraId="4DA7D50D" w14:textId="77777777" w:rsidR="004150C1" w:rsidRPr="00D27BF1" w:rsidRDefault="004150C1" w:rsidP="004150C1">
            <w:pPr>
              <w:pStyle w:val="Tabletext"/>
              <w:keepNext/>
              <w:keepLines/>
            </w:pPr>
            <w:r w:rsidRPr="00D27BF1">
              <w:t xml:space="preserve">Health states in the economic model were inconsistent with the health states described in the submission. </w:t>
            </w:r>
          </w:p>
          <w:p w14:paraId="3AA53C66" w14:textId="77777777" w:rsidR="004150C1" w:rsidRPr="00D27BF1" w:rsidRDefault="004150C1" w:rsidP="004150C1">
            <w:pPr>
              <w:pStyle w:val="Tabletext"/>
              <w:keepNext/>
              <w:keepLines/>
            </w:pPr>
          </w:p>
          <w:p w14:paraId="700AE560" w14:textId="77777777" w:rsidR="004150C1" w:rsidRPr="00D27BF1" w:rsidRDefault="00EE0DA0" w:rsidP="00B37D2F">
            <w:pPr>
              <w:pStyle w:val="Tabletext"/>
              <w:keepNext/>
              <w:keepLines/>
            </w:pPr>
            <w:r w:rsidRPr="00D27BF1">
              <w:t xml:space="preserve">The economic model ultimately consisted of </w:t>
            </w:r>
            <w:r w:rsidR="004150C1" w:rsidRPr="00D27BF1">
              <w:t>six health states: in trial; responder; non-responder (including waiting for surgery); effective surgery; recurrence or failed surgery (including waiting for additional surgery); and dead.</w:t>
            </w:r>
          </w:p>
        </w:tc>
      </w:tr>
      <w:tr w:rsidR="004150C1" w:rsidRPr="00D27BF1" w14:paraId="2A68D3FC" w14:textId="77777777" w:rsidTr="00B37D2F">
        <w:tc>
          <w:tcPr>
            <w:tcW w:w="626" w:type="pct"/>
            <w:shd w:val="clear" w:color="auto" w:fill="auto"/>
            <w:vAlign w:val="center"/>
          </w:tcPr>
          <w:p w14:paraId="61B5A7A2" w14:textId="77777777" w:rsidR="004150C1" w:rsidRPr="00D27BF1" w:rsidRDefault="004150C1" w:rsidP="004150C1">
            <w:pPr>
              <w:pStyle w:val="Tabletext"/>
            </w:pPr>
            <w:r w:rsidRPr="00D27BF1">
              <w:t>Cycle length</w:t>
            </w:r>
          </w:p>
        </w:tc>
        <w:tc>
          <w:tcPr>
            <w:tcW w:w="2187" w:type="pct"/>
            <w:vAlign w:val="center"/>
          </w:tcPr>
          <w:p w14:paraId="10ECE445" w14:textId="77777777" w:rsidR="004150C1" w:rsidRPr="00D27BF1" w:rsidRDefault="004150C1" w:rsidP="004150C1">
            <w:pPr>
              <w:pStyle w:val="Tabletext"/>
            </w:pPr>
            <w:r w:rsidRPr="00D27BF1">
              <w:t>4 weeks</w:t>
            </w:r>
          </w:p>
        </w:tc>
        <w:tc>
          <w:tcPr>
            <w:tcW w:w="2187" w:type="pct"/>
            <w:vAlign w:val="center"/>
          </w:tcPr>
          <w:p w14:paraId="6AFDEC8D" w14:textId="77777777" w:rsidR="004150C1" w:rsidRPr="00D27BF1" w:rsidRDefault="004150C1" w:rsidP="004150C1">
            <w:pPr>
              <w:pStyle w:val="Tabletext"/>
            </w:pPr>
            <w:r w:rsidRPr="00D27BF1">
              <w:t>Reasonable. This was aligned to the dosing regimen of mepolizumab (once every 4 weeks).</w:t>
            </w:r>
          </w:p>
        </w:tc>
      </w:tr>
      <w:tr w:rsidR="00F87E96" w:rsidRPr="00D27BF1" w14:paraId="31A7B025" w14:textId="77777777" w:rsidTr="00B37D2F">
        <w:tc>
          <w:tcPr>
            <w:tcW w:w="626" w:type="pct"/>
            <w:shd w:val="clear" w:color="auto" w:fill="auto"/>
            <w:vAlign w:val="center"/>
          </w:tcPr>
          <w:p w14:paraId="129940A5" w14:textId="77777777" w:rsidR="00F87E96" w:rsidRPr="00D27BF1" w:rsidRDefault="00F87E96" w:rsidP="00F87E96">
            <w:pPr>
              <w:pStyle w:val="Tabletext"/>
            </w:pPr>
            <w:r w:rsidRPr="00D27BF1">
              <w:t>Methods used to generate results</w:t>
            </w:r>
          </w:p>
        </w:tc>
        <w:tc>
          <w:tcPr>
            <w:tcW w:w="2187" w:type="pct"/>
            <w:shd w:val="clear" w:color="auto" w:fill="auto"/>
            <w:vAlign w:val="center"/>
          </w:tcPr>
          <w:p w14:paraId="1C51A21B" w14:textId="76A4150E" w:rsidR="00F87E96" w:rsidRPr="00D27BF1" w:rsidRDefault="007A35AB" w:rsidP="00F87E96">
            <w:pPr>
              <w:pStyle w:val="Tabletext"/>
            </w:pPr>
            <w:r w:rsidRPr="00D27BF1">
              <w:t xml:space="preserve">Between </w:t>
            </w:r>
            <w:r w:rsidR="00F87E96" w:rsidRPr="00D27BF1">
              <w:t>0-52 weeks</w:t>
            </w:r>
            <w:r w:rsidRPr="00D27BF1">
              <w:t>,</w:t>
            </w:r>
            <w:r w:rsidR="00F87E96" w:rsidRPr="00D27BF1">
              <w:t xml:space="preserve"> </w:t>
            </w:r>
            <w:r w:rsidRPr="00D27BF1">
              <w:t>t</w:t>
            </w:r>
            <w:r w:rsidR="005D5412" w:rsidRPr="00D27BF1">
              <w:t xml:space="preserve">ransition probabilities were based on SYNAPSE trial data for estimating the transitions between response, non-response, and </w:t>
            </w:r>
            <w:r w:rsidR="006023E7" w:rsidRPr="00D27BF1">
              <w:t xml:space="preserve">surgery within the trial period. Patients who received surgery were considered treatment non-responders and were assumed to discontinue treatment and transition to the post-surgery health state. </w:t>
            </w:r>
            <w:r w:rsidR="00B0527E" w:rsidRPr="00D27BF1">
              <w:t xml:space="preserve">After </w:t>
            </w:r>
            <w:r w:rsidR="00F87E96" w:rsidRPr="00D27BF1">
              <w:t>52 weeks</w:t>
            </w:r>
            <w:r w:rsidR="006C5D9F" w:rsidRPr="00D27BF1">
              <w:t xml:space="preserve"> (i.e. from week 56)</w:t>
            </w:r>
            <w:r w:rsidRPr="00D27BF1">
              <w:t xml:space="preserve">, </w:t>
            </w:r>
            <w:r w:rsidR="00F87E96" w:rsidRPr="00D27BF1">
              <w:t xml:space="preserve">extrapolation of SYNAPSE trial data </w:t>
            </w:r>
            <w:r w:rsidRPr="00D27BF1">
              <w:t xml:space="preserve">was applied </w:t>
            </w:r>
            <w:r w:rsidR="00F87E96" w:rsidRPr="00D27BF1">
              <w:t>until the time horizon of 30 years</w:t>
            </w:r>
            <w:r w:rsidR="00DD3432" w:rsidRPr="00D27BF1">
              <w:t xml:space="preserve"> where</w:t>
            </w:r>
            <w:r w:rsidR="00F87E96" w:rsidRPr="00D27BF1">
              <w:t xml:space="preserve"> patients who were responders to treatment at Week 52 </w:t>
            </w:r>
            <w:r w:rsidR="00DD3432" w:rsidRPr="00D27BF1">
              <w:t xml:space="preserve">were assumed to </w:t>
            </w:r>
            <w:r w:rsidR="00F87E96" w:rsidRPr="00D27BF1">
              <w:t xml:space="preserve">maintain their response to treatment with no loss of efficacy. </w:t>
            </w:r>
          </w:p>
          <w:p w14:paraId="02C4A713" w14:textId="77777777" w:rsidR="00BC5005" w:rsidRPr="00D27BF1" w:rsidRDefault="00BC5005" w:rsidP="00F87E96">
            <w:pPr>
              <w:pStyle w:val="Tabletext"/>
            </w:pPr>
          </w:p>
          <w:p w14:paraId="4D4A3F65" w14:textId="77777777" w:rsidR="00AC2834" w:rsidRPr="00D27BF1" w:rsidRDefault="006023E7" w:rsidP="00F87E96">
            <w:pPr>
              <w:pStyle w:val="Tabletext"/>
            </w:pPr>
            <w:r w:rsidRPr="00D27BF1">
              <w:t>The model accounted for all-cause mortality among the cohort by applying life table data for the Australian population, stratified by age and sex.</w:t>
            </w:r>
          </w:p>
          <w:p w14:paraId="346EE813" w14:textId="77777777" w:rsidR="006023E7" w:rsidRPr="00D27BF1" w:rsidRDefault="006023E7" w:rsidP="00F87E96">
            <w:pPr>
              <w:pStyle w:val="Tabletext"/>
            </w:pPr>
          </w:p>
          <w:p w14:paraId="1DC9FE57" w14:textId="77777777" w:rsidR="00AC2834" w:rsidRPr="00D27BF1" w:rsidRDefault="005D5412" w:rsidP="00F87E96">
            <w:pPr>
              <w:pStyle w:val="Tabletext"/>
            </w:pPr>
            <w:r w:rsidRPr="00D27BF1">
              <w:t>The proportion of patients treated with mepolizumab (or SoC) was assumed to be the same as the proportion of responders</w:t>
            </w:r>
            <w:r w:rsidR="00D72C1C" w:rsidRPr="00D27BF1">
              <w:t xml:space="preserve"> in the SYNAPSE trial</w:t>
            </w:r>
            <w:r w:rsidRPr="00D27BF1">
              <w:t xml:space="preserve">. </w:t>
            </w:r>
            <w:r w:rsidR="00AC2834" w:rsidRPr="00D27BF1">
              <w:t>Ongoing CRSwNP-related costs for patients who were ‘responders’ differed by treatment arm</w:t>
            </w:r>
            <w:r w:rsidR="000677B7" w:rsidRPr="00D27BF1">
              <w:t xml:space="preserve"> with monitoring costs applied to mepolizumab arm</w:t>
            </w:r>
            <w:r w:rsidR="00AC2834" w:rsidRPr="00D27BF1">
              <w:t>, but were the same for ‘non-responders’ across both treatment arms. These were assigned depending on the proportion of patients in each health state.</w:t>
            </w:r>
            <w:r w:rsidR="007A35AB" w:rsidRPr="00D27BF1">
              <w:t xml:space="preserve"> SoC was assumed to have no drug acquisition costs as INCS are not PBS listed. </w:t>
            </w:r>
          </w:p>
          <w:p w14:paraId="692F167C" w14:textId="77777777" w:rsidR="00F87E96" w:rsidRPr="00D27BF1" w:rsidRDefault="00F87E96" w:rsidP="00F87E96">
            <w:pPr>
              <w:pStyle w:val="Tabletext"/>
            </w:pPr>
          </w:p>
          <w:p w14:paraId="4E7E8CCE" w14:textId="77777777" w:rsidR="00F87E96" w:rsidRPr="00D27BF1" w:rsidRDefault="00F87E96" w:rsidP="001F39BF">
            <w:pPr>
              <w:pStyle w:val="Tabletext"/>
            </w:pPr>
            <w:r w:rsidRPr="00D27BF1">
              <w:t xml:space="preserve">Utilities were assigned depending on the proportion of patients in each health state and also varied by the cycle. </w:t>
            </w:r>
            <w:r w:rsidR="001F39BF" w:rsidRPr="00D27BF1">
              <w:t xml:space="preserve">See paragraph </w:t>
            </w:r>
            <w:r w:rsidR="0020510D">
              <w:t>6.45</w:t>
            </w:r>
            <w:r w:rsidR="001F39BF" w:rsidRPr="00D27BF1">
              <w:t>.</w:t>
            </w:r>
          </w:p>
        </w:tc>
        <w:tc>
          <w:tcPr>
            <w:tcW w:w="2187" w:type="pct"/>
          </w:tcPr>
          <w:p w14:paraId="67EC9B0B" w14:textId="77777777" w:rsidR="00BD7EB2" w:rsidRPr="00D27BF1" w:rsidRDefault="006023E7" w:rsidP="00F87E96">
            <w:pPr>
              <w:pStyle w:val="Tabletext"/>
            </w:pPr>
            <w:r w:rsidRPr="00D27BF1">
              <w:t>T</w:t>
            </w:r>
            <w:r w:rsidR="00F87E96" w:rsidRPr="00D27BF1">
              <w:t xml:space="preserve">he extrapolation </w:t>
            </w:r>
            <w:r w:rsidR="00DD0BBE" w:rsidRPr="00D27BF1">
              <w:t xml:space="preserve">assumptions </w:t>
            </w:r>
            <w:r w:rsidRPr="00D27BF1">
              <w:t xml:space="preserve">may not be reasonable. </w:t>
            </w:r>
            <w:r w:rsidR="00DD3432" w:rsidRPr="00D27BF1">
              <w:t>See paragrap</w:t>
            </w:r>
            <w:r w:rsidR="00B704C4" w:rsidRPr="00D27BF1">
              <w:t xml:space="preserve">h </w:t>
            </w:r>
            <w:r w:rsidR="0020510D">
              <w:t>6.43</w:t>
            </w:r>
            <w:r w:rsidR="00DD3432" w:rsidRPr="00D27BF1">
              <w:t>.</w:t>
            </w:r>
          </w:p>
          <w:p w14:paraId="7B04D786" w14:textId="77777777" w:rsidR="005F35CF" w:rsidRPr="00D27BF1" w:rsidRDefault="005F35CF" w:rsidP="00F87E96">
            <w:pPr>
              <w:pStyle w:val="Tabletext"/>
            </w:pPr>
          </w:p>
          <w:p w14:paraId="03CD2A6B" w14:textId="77777777" w:rsidR="007A35AB" w:rsidRPr="00D27BF1" w:rsidRDefault="005F35CF" w:rsidP="00F87E96">
            <w:pPr>
              <w:pStyle w:val="Tabletext"/>
            </w:pPr>
            <w:r w:rsidRPr="00D27BF1">
              <w:t xml:space="preserve">Mepolizumab drug costs were based on patients remaining ‘on treatment’ in the ‘responder’ health state at each cycle. However, in </w:t>
            </w:r>
            <w:r w:rsidR="007A35AB" w:rsidRPr="00D27BF1">
              <w:t>clinical practice</w:t>
            </w:r>
            <w:r w:rsidRPr="00D27BF1">
              <w:t>, patients would not be assessed every four weeks and would remain on treatment until the next response assessment</w:t>
            </w:r>
            <w:r w:rsidR="007A35AB" w:rsidRPr="00D27BF1">
              <w:t xml:space="preserve"> (every 24 weeks)</w:t>
            </w:r>
            <w:r w:rsidRPr="00D27BF1">
              <w:t xml:space="preserve">. The utilisation of mepolizumab was therefore likely underestimated by the submission which favoured mepolizumab. </w:t>
            </w:r>
          </w:p>
          <w:p w14:paraId="70E0EC5D" w14:textId="77777777" w:rsidR="007A35AB" w:rsidRPr="00D27BF1" w:rsidRDefault="007A35AB" w:rsidP="00F87E96">
            <w:pPr>
              <w:pStyle w:val="Tabletext"/>
            </w:pPr>
          </w:p>
          <w:p w14:paraId="7FD88D0A" w14:textId="77777777" w:rsidR="005D5412" w:rsidRPr="00D27BF1" w:rsidRDefault="005F35CF" w:rsidP="005F35CF">
            <w:pPr>
              <w:pStyle w:val="Tabletext"/>
            </w:pPr>
            <w:r w:rsidRPr="00D27BF1">
              <w:t>Health state costs were assumed to be zero in the model base case, under the assumption that known CRSwNP-related health resource utilisation and costs were modelled explicitly through asthma exacerbations, OCS use, and antibiotic use.</w:t>
            </w:r>
          </w:p>
        </w:tc>
      </w:tr>
      <w:tr w:rsidR="005D5412" w:rsidRPr="00D27BF1" w14:paraId="4183C06D" w14:textId="77777777" w:rsidTr="00B37D2F">
        <w:tc>
          <w:tcPr>
            <w:tcW w:w="626" w:type="pct"/>
            <w:shd w:val="clear" w:color="auto" w:fill="auto"/>
            <w:vAlign w:val="center"/>
          </w:tcPr>
          <w:p w14:paraId="091D4A7F" w14:textId="77777777" w:rsidR="005D5412" w:rsidRPr="00D27BF1" w:rsidRDefault="005D5412" w:rsidP="00F87E96">
            <w:pPr>
              <w:pStyle w:val="Tabletext"/>
            </w:pPr>
            <w:r w:rsidRPr="00D27BF1">
              <w:t xml:space="preserve">Utilities </w:t>
            </w:r>
          </w:p>
        </w:tc>
        <w:tc>
          <w:tcPr>
            <w:tcW w:w="2187" w:type="pct"/>
            <w:shd w:val="clear" w:color="auto" w:fill="auto"/>
            <w:vAlign w:val="center"/>
          </w:tcPr>
          <w:p w14:paraId="43BF8F73" w14:textId="77777777" w:rsidR="005D5412" w:rsidRPr="00D27BF1" w:rsidRDefault="006023E7" w:rsidP="00F87E96">
            <w:pPr>
              <w:pStyle w:val="Tabletext"/>
            </w:pPr>
            <w:r w:rsidRPr="00D27BF1">
              <w:t>Utility scores used in the economic model were derived by mapping the SNOT-22 scores to the EQ-5D-3L instrument</w:t>
            </w:r>
            <w:r w:rsidR="00000FAE" w:rsidRPr="00D27BF1">
              <w:t>.</w:t>
            </w:r>
          </w:p>
          <w:p w14:paraId="26EF1A27" w14:textId="77777777" w:rsidR="00C84D0B" w:rsidRPr="00D27BF1" w:rsidRDefault="00C84D0B" w:rsidP="00F87E96">
            <w:pPr>
              <w:pStyle w:val="Tabletext"/>
            </w:pPr>
          </w:p>
          <w:p w14:paraId="3DCB08CF" w14:textId="77777777" w:rsidR="00C84D0B" w:rsidRPr="00D27BF1" w:rsidRDefault="00C84D0B" w:rsidP="00C84D0B">
            <w:pPr>
              <w:pStyle w:val="Tabletext"/>
            </w:pPr>
            <w:r w:rsidRPr="00D27BF1">
              <w:t>All patients entered the model with baseline utility based on the pooled trial population at the start of the trial (0.534). Between Week 0 and Week 24, utilities were modelled by least squares mean change from baseline (CFB) by treatment arm at each assessment timepoint (i.e., each 4-week cycle).</w:t>
            </w:r>
            <w:r w:rsidR="005F35CF" w:rsidRPr="00D27BF1">
              <w:t xml:space="preserve"> A</w:t>
            </w:r>
            <w:r w:rsidRPr="00D27BF1">
              <w:t xml:space="preserve">t Week 24, response was measured, and patients were classified as responders and non-responders. Starting at Week 24, utilities for responders were modelled as CFB by treatment arms that were directly observed in SYNAPSE. Non-responders in the mepolizumab arm were assumed to discontinue mepolizumab and have the same utility as the SoC non-responder arm. </w:t>
            </w:r>
          </w:p>
          <w:p w14:paraId="311DC158" w14:textId="77777777" w:rsidR="008A611D" w:rsidRPr="00D27BF1" w:rsidRDefault="008A611D" w:rsidP="00C84D0B">
            <w:pPr>
              <w:pStyle w:val="Tabletext"/>
            </w:pPr>
          </w:p>
          <w:p w14:paraId="5D8F2622" w14:textId="77777777" w:rsidR="006023E7" w:rsidRPr="00D27BF1" w:rsidRDefault="00C84D0B" w:rsidP="00F87E96">
            <w:pPr>
              <w:pStyle w:val="Tabletext"/>
            </w:pPr>
            <w:r w:rsidRPr="00D27BF1">
              <w:t xml:space="preserve">The responder utility from Week 52 </w:t>
            </w:r>
            <w:r w:rsidR="007A35AB" w:rsidRPr="00D27BF1">
              <w:t xml:space="preserve">onwards </w:t>
            </w:r>
            <w:r w:rsidRPr="00D27BF1">
              <w:t>was based on responders at Week 52 who were also responders at Week 24 for each arm</w:t>
            </w:r>
            <w:r w:rsidR="007A35AB" w:rsidRPr="00D27BF1">
              <w:t xml:space="preserve"> (mepolizumab arm: 0.742, SoC arm: 0.704)</w:t>
            </w:r>
            <w:r w:rsidRPr="00D27BF1">
              <w:t xml:space="preserve">. Non-responders from Week 52 for both the SoC and mepolizumab arms are based on the utility of non-responders at Week 52 in the SoC arm. </w:t>
            </w:r>
          </w:p>
        </w:tc>
        <w:tc>
          <w:tcPr>
            <w:tcW w:w="2187" w:type="pct"/>
          </w:tcPr>
          <w:p w14:paraId="57B6C609" w14:textId="77777777" w:rsidR="005D5412" w:rsidRPr="00D27BF1" w:rsidRDefault="004C2398" w:rsidP="004C2398">
            <w:pPr>
              <w:pStyle w:val="Tabletext"/>
            </w:pPr>
            <w:r w:rsidRPr="00D27BF1">
              <w:t xml:space="preserve">It was unclear why SF-36 v2 outcomes were not used by the submission </w:t>
            </w:r>
            <w:r w:rsidR="004C602D" w:rsidRPr="00D27BF1">
              <w:t xml:space="preserve">to calculate SF-6D utilities </w:t>
            </w:r>
            <w:r w:rsidRPr="00D27BF1">
              <w:t xml:space="preserve">despite this data being collected in SYNAPSE. </w:t>
            </w:r>
            <w:r w:rsidR="00BC4E40" w:rsidRPr="00D27BF1">
              <w:t xml:space="preserve">See paragraph </w:t>
            </w:r>
            <w:r w:rsidR="0020510D">
              <w:t>6.44</w:t>
            </w:r>
            <w:r w:rsidR="002564DB" w:rsidRPr="00D27BF1">
              <w:t>.</w:t>
            </w:r>
          </w:p>
          <w:p w14:paraId="19D81F63" w14:textId="77777777" w:rsidR="00C84D0B" w:rsidRPr="00D27BF1" w:rsidRDefault="00C84D0B" w:rsidP="004C2398">
            <w:pPr>
              <w:pStyle w:val="Tabletext"/>
            </w:pPr>
          </w:p>
          <w:p w14:paraId="1338E3D2" w14:textId="77777777" w:rsidR="00614026" w:rsidRPr="00D27BF1" w:rsidRDefault="00C84D0B" w:rsidP="004C2398">
            <w:pPr>
              <w:pStyle w:val="Tabletext"/>
            </w:pPr>
            <w:r w:rsidRPr="00D27BF1">
              <w:t>Using different utilities for different timepoints in the first 52 weeks of treatment may not be justified and was likely unnecessarily complicated. Further, differences between treatment arms may not be justified as the confidence intervals reported may not be reliable as the utility analysis was an unplanned analysis in an unplanned subgroup (BEC</w:t>
            </w:r>
            <w:r w:rsidRPr="00D27BF1">
              <w:rPr>
                <w:rFonts w:cs="Calibri"/>
              </w:rPr>
              <w:t>≥</w:t>
            </w:r>
            <w:r w:rsidRPr="00D27BF1">
              <w:t>150 cells/</w:t>
            </w:r>
            <w:r w:rsidRPr="00D27BF1">
              <w:rPr>
                <w:rFonts w:cs="Calibri"/>
              </w:rPr>
              <w:t>µ</w:t>
            </w:r>
            <w:r w:rsidRPr="00D27BF1">
              <w:t xml:space="preserve">L) and was not adjusted for multiplicity (with a comparison made every four weeks). </w:t>
            </w:r>
          </w:p>
          <w:p w14:paraId="0888B460" w14:textId="77777777" w:rsidR="00614026" w:rsidRPr="00D27BF1" w:rsidRDefault="00614026" w:rsidP="004C2398">
            <w:pPr>
              <w:pStyle w:val="Tabletext"/>
            </w:pPr>
          </w:p>
          <w:p w14:paraId="7F7C8C7B" w14:textId="77777777" w:rsidR="00614026" w:rsidRPr="00D27BF1" w:rsidRDefault="00614026" w:rsidP="004C2398">
            <w:pPr>
              <w:pStyle w:val="Tabletext"/>
            </w:pPr>
            <w:r w:rsidRPr="00D27BF1">
              <w:t xml:space="preserve">It was noted that a higher proportion of patients underwent surgery, experienced asthma exacerbations and OCS use in the SoC arm compared to the mepolizumab arm. </w:t>
            </w:r>
            <w:r w:rsidR="00000FAE" w:rsidRPr="00D27BF1">
              <w:t xml:space="preserve">See paragraph </w:t>
            </w:r>
            <w:r w:rsidR="0020510D">
              <w:t>6.45</w:t>
            </w:r>
            <w:r w:rsidR="002564DB" w:rsidRPr="00D27BF1">
              <w:t xml:space="preserve">. </w:t>
            </w:r>
          </w:p>
          <w:p w14:paraId="68264111" w14:textId="77777777" w:rsidR="00614026" w:rsidRPr="00D27BF1" w:rsidRDefault="00614026" w:rsidP="004C2398">
            <w:pPr>
              <w:pStyle w:val="Tabletext"/>
            </w:pPr>
          </w:p>
          <w:p w14:paraId="1E9B2915" w14:textId="77777777" w:rsidR="004C2398" w:rsidRPr="00D27BF1" w:rsidRDefault="00614026" w:rsidP="004C2398">
            <w:pPr>
              <w:pStyle w:val="Tabletext"/>
              <w:rPr>
                <w:i/>
              </w:rPr>
            </w:pPr>
            <w:r w:rsidRPr="00D27BF1">
              <w:t>Overall t</w:t>
            </w:r>
            <w:r w:rsidR="00C84D0B" w:rsidRPr="00D27BF1">
              <w:t>he submission’s method risked overestimating the benefits of mepolizumab compared to a more conservative approach of</w:t>
            </w:r>
            <w:r w:rsidR="00C84D0B" w:rsidRPr="00D27BF1">
              <w:rPr>
                <w:i/>
              </w:rPr>
              <w:t xml:space="preserve"> </w:t>
            </w:r>
            <w:r w:rsidR="00C84D0B" w:rsidRPr="00D27BF1">
              <w:t>applying an overall utility for responders (across both treatment arms)</w:t>
            </w:r>
            <w:r w:rsidR="008A611D" w:rsidRPr="00D27BF1">
              <w:t>.</w:t>
            </w:r>
            <w:r w:rsidR="008A611D" w:rsidRPr="00D27BF1">
              <w:rPr>
                <w:i/>
              </w:rPr>
              <w:t xml:space="preserve"> </w:t>
            </w:r>
          </w:p>
        </w:tc>
      </w:tr>
    </w:tbl>
    <w:p w14:paraId="7679FF78" w14:textId="77777777" w:rsidR="003052D2" w:rsidRPr="00D27BF1" w:rsidRDefault="003052D2" w:rsidP="003052D2">
      <w:pPr>
        <w:pStyle w:val="TableFooter"/>
        <w:keepNext/>
        <w:keepLines/>
      </w:pPr>
      <w:r w:rsidRPr="00D27BF1">
        <w:t xml:space="preserve">Source: Table 3-1, p108 of the submission, and compiled during the evaluation. </w:t>
      </w:r>
    </w:p>
    <w:p w14:paraId="414A91AF" w14:textId="77777777" w:rsidR="003052D2" w:rsidRPr="00D27BF1" w:rsidRDefault="003052D2" w:rsidP="003052D2">
      <w:pPr>
        <w:pStyle w:val="TableFooter"/>
        <w:keepNext/>
        <w:keepLines/>
        <w:rPr>
          <w:sz w:val="20"/>
        </w:rPr>
      </w:pPr>
      <w:r w:rsidRPr="00D27BF1">
        <w:t>BEC= blood eosinophil count; CRSwNP= chronic rhinosinusitis with nasal polyps;</w:t>
      </w:r>
      <w:r w:rsidR="0096399C" w:rsidRPr="00D27BF1">
        <w:t xml:space="preserve"> EQ-5D-3L= European quality of life five dimension three levels;</w:t>
      </w:r>
      <w:r w:rsidRPr="00D27BF1">
        <w:t xml:space="preserve"> ICER= </w:t>
      </w:r>
      <w:r w:rsidR="0039334C" w:rsidRPr="00D27BF1">
        <w:t>incremental cost effectiveness ratio</w:t>
      </w:r>
      <w:r w:rsidRPr="00D27BF1">
        <w:t xml:space="preserve">; NP= nasal polyps; OCS= oral corticosteroids; </w:t>
      </w:r>
      <w:r w:rsidR="004D15CC" w:rsidRPr="00D27BF1">
        <w:t xml:space="preserve">PBS= pharmaceutical benefits scheme; </w:t>
      </w:r>
      <w:r w:rsidRPr="00D27BF1">
        <w:t xml:space="preserve">SoC= standard of care; </w:t>
      </w:r>
      <w:r w:rsidR="00B80EE4" w:rsidRPr="00D27BF1">
        <w:t>SF-36=</w:t>
      </w:r>
      <w:r w:rsidR="001C668F" w:rsidRPr="00D27BF1">
        <w:t xml:space="preserve"> 36-item short form health survey;</w:t>
      </w:r>
      <w:r w:rsidR="00B80EE4" w:rsidRPr="00D27BF1">
        <w:t xml:space="preserve"> </w:t>
      </w:r>
      <w:r w:rsidRPr="00D27BF1">
        <w:t>SNOT-22= Sino-nasal outcomes test (22 items)</w:t>
      </w:r>
      <w:r w:rsidR="00B80EE4" w:rsidRPr="00D27BF1">
        <w:t>; v2= version 2</w:t>
      </w:r>
    </w:p>
    <w:p w14:paraId="64C3C069" w14:textId="77777777" w:rsidR="00275C5A" w:rsidRPr="00D27BF1" w:rsidRDefault="00275C5A" w:rsidP="0023209F"/>
    <w:p w14:paraId="44B9742E" w14:textId="665BD8F2" w:rsidR="000526A1" w:rsidRPr="00D27BF1" w:rsidRDefault="002E0F60" w:rsidP="00B313EF">
      <w:pPr>
        <w:pStyle w:val="ListParagraph"/>
        <w:widowControl/>
        <w:numPr>
          <w:ilvl w:val="1"/>
          <w:numId w:val="2"/>
        </w:numPr>
      </w:pPr>
      <w:bookmarkStart w:id="26" w:name="_Ref82084815"/>
      <w:r w:rsidRPr="00D27BF1">
        <w:t>Though CRSwNP is a lifelong chronic condition, t</w:t>
      </w:r>
      <w:r w:rsidR="00A57F0B" w:rsidRPr="00D27BF1">
        <w:t xml:space="preserve">he chosen time horizon of 30 years may be considered optimistic given SYNAPSE trial data was limited to 52 weeks. It was noted that in the submission for mepolizumab for the treatment of severe eosinophilic asthma in which a lifetime horizon was presented, the PBAC (Mepolizumab </w:t>
      </w:r>
      <w:r w:rsidR="00CC494C">
        <w:t>PSD</w:t>
      </w:r>
      <w:r w:rsidR="00A57F0B" w:rsidRPr="00D27BF1">
        <w:t>, March 2016, paragraph 6.44) previously considered that the results of the economic model may be unreliable in part due to the extrapolation of trial data (Week 16 to 32) to the life duration of the model.</w:t>
      </w:r>
      <w:bookmarkEnd w:id="26"/>
      <w:r w:rsidRPr="00D27BF1">
        <w:t xml:space="preserve"> </w:t>
      </w:r>
      <w:r w:rsidR="00330592" w:rsidRPr="0057459B">
        <w:t>The ESC considered a</w:t>
      </w:r>
      <w:r w:rsidRPr="0057459B">
        <w:t xml:space="preserve"> shorter time horizon </w:t>
      </w:r>
      <w:r w:rsidR="00330592" w:rsidRPr="0057459B">
        <w:t>of 5 years</w:t>
      </w:r>
      <w:r w:rsidRPr="0057459B">
        <w:t xml:space="preserve"> may be more appropriate given the t</w:t>
      </w:r>
      <w:r w:rsidRPr="00D27BF1">
        <w:t>rial data available.</w:t>
      </w:r>
      <w:r w:rsidR="002272E2">
        <w:t xml:space="preserve"> The pre-PBAC response stated that treatment with SoC with or without add-on mepolizumab is expected to be required indefinitely for this population. Further, the pre-PBAC response argued that the time horizon of 30 years is consistent with the SYNAPSE patient mean age of 48 years and with the typical onset of CRSwNP occurring in middle-age.</w:t>
      </w:r>
    </w:p>
    <w:p w14:paraId="19AAE21A" w14:textId="77777777" w:rsidR="00BD7EB2" w:rsidRPr="00D27BF1" w:rsidRDefault="00BD7EB2" w:rsidP="00BD7EB2">
      <w:pPr>
        <w:pStyle w:val="ListParagraph"/>
        <w:widowControl/>
        <w:numPr>
          <w:ilvl w:val="1"/>
          <w:numId w:val="2"/>
        </w:numPr>
      </w:pPr>
      <w:bookmarkStart w:id="27" w:name="_Ref82092893"/>
      <w:r w:rsidRPr="00D27BF1">
        <w:t xml:space="preserve">The approach used for the transition probabilities </w:t>
      </w:r>
      <w:r w:rsidR="00170461" w:rsidRPr="00D27BF1">
        <w:t xml:space="preserve">in the economic model </w:t>
      </w:r>
      <w:r w:rsidRPr="00D27BF1">
        <w:t>was reasonable, though inconsistent with the requested restriction which does not preclude mepolizumab treatment to patients who choose to undergo surgery whilst on treatment and does not prevent patients from re-trialling mepolizumab if they fail to respond previously. The potential for these scenarios was not considered in the economic model presented by the submission which may underestimate usage of mepolizumab with an unknown effect on the ICER.</w:t>
      </w:r>
    </w:p>
    <w:p w14:paraId="4BB0CDAC" w14:textId="77777777" w:rsidR="00A57F0B" w:rsidRPr="0057459B" w:rsidRDefault="003235A1" w:rsidP="003235A1">
      <w:pPr>
        <w:pStyle w:val="ListParagraph"/>
        <w:widowControl/>
        <w:numPr>
          <w:ilvl w:val="1"/>
          <w:numId w:val="2"/>
        </w:numPr>
        <w:rPr>
          <w:iCs/>
        </w:rPr>
      </w:pPr>
      <w:bookmarkStart w:id="28" w:name="_Ref82104260"/>
      <w:r w:rsidRPr="00D27BF1">
        <w:t>Extrapolation of patient outcomes was performed from cycle 15/Week 56 (given the end of the SYNAPSE trial was at Week 52) to the end of the modelled time horizon of 30 years. The economic model assumed that patients who were responders to treatment at Week 52 would continue to maintain their response to treatment with no loss of ef</w:t>
      </w:r>
      <w:r w:rsidR="002836CF" w:rsidRPr="00D27BF1">
        <w:t>ficacy, while non-responders</w:t>
      </w:r>
      <w:r w:rsidRPr="00D27BF1">
        <w:t xml:space="preserve"> could progress to requiring surgery each cycle, and patients who had already received a surgery could progress to recurrence post-surgery in each cycle. </w:t>
      </w:r>
      <w:r w:rsidR="002319C5" w:rsidRPr="00D27BF1">
        <w:rPr>
          <w:iCs/>
        </w:rPr>
        <w:t>However,</w:t>
      </w:r>
      <w:r w:rsidR="002319C5" w:rsidRPr="00D27BF1">
        <w:t xml:space="preserve"> </w:t>
      </w:r>
      <w:r w:rsidR="002319C5" w:rsidRPr="00D27BF1">
        <w:rPr>
          <w:iCs/>
        </w:rPr>
        <w:t>the assumption that responders at Week 52 will remain in the responder health state (unless they die) for up to 30 years may not have been appropriate and was likely optimistic and favoured mepolizumab.</w:t>
      </w:r>
      <w:bookmarkEnd w:id="27"/>
      <w:bookmarkEnd w:id="28"/>
      <w:r w:rsidR="00950416" w:rsidRPr="00D27BF1">
        <w:rPr>
          <w:iCs/>
        </w:rPr>
        <w:t xml:space="preserve"> </w:t>
      </w:r>
      <w:r w:rsidR="00950416" w:rsidRPr="0057459B">
        <w:rPr>
          <w:iCs/>
        </w:rPr>
        <w:t xml:space="preserve">The PSCR argued that a sustained and progressive response to mepolizumab treatment in ENP score and NO-VAS was observed in the 52-week SYNAPSE trial, as well as no observed plateauing or waning of treatment benefit. </w:t>
      </w:r>
      <w:r w:rsidR="00CD6C9F">
        <w:rPr>
          <w:iCs/>
        </w:rPr>
        <w:t xml:space="preserve">The PSCR </w:t>
      </w:r>
      <w:r w:rsidR="00220CA9" w:rsidRPr="0057459B">
        <w:rPr>
          <w:iCs/>
        </w:rPr>
        <w:t xml:space="preserve">stated that any analysis considering loss of response should apply this to both treatment arms. </w:t>
      </w:r>
      <w:r w:rsidR="00B411F5" w:rsidRPr="0057459B">
        <w:rPr>
          <w:iCs/>
        </w:rPr>
        <w:t>The ESC agreed with the evaluation that the assumption of a sustained response may not be appropriate given that a reduction in response was observed in SYNAPSE (</w:t>
      </w:r>
      <w:r w:rsidR="00950416" w:rsidRPr="0057459B">
        <w:rPr>
          <w:iCs/>
        </w:rPr>
        <w:t>only 125/144 (86.8%) of patients who achieved response at week 24 maintained response at week 52</w:t>
      </w:r>
      <w:r w:rsidR="00B411F5" w:rsidRPr="0057459B">
        <w:rPr>
          <w:iCs/>
        </w:rPr>
        <w:t xml:space="preserve">, see </w:t>
      </w:r>
      <w:r w:rsidR="00B411F5" w:rsidRPr="002272E2">
        <w:rPr>
          <w:iCs/>
        </w:rPr>
        <w:t>Table 5</w:t>
      </w:r>
      <w:r w:rsidR="00B411F5" w:rsidRPr="0057459B">
        <w:rPr>
          <w:iCs/>
        </w:rPr>
        <w:t>)</w:t>
      </w:r>
      <w:r w:rsidR="00950416" w:rsidRPr="0057459B">
        <w:rPr>
          <w:iCs/>
        </w:rPr>
        <w:t>.</w:t>
      </w:r>
      <w:r w:rsidR="00220CA9" w:rsidRPr="0057459B">
        <w:rPr>
          <w:iCs/>
        </w:rPr>
        <w:t xml:space="preserve"> </w:t>
      </w:r>
    </w:p>
    <w:p w14:paraId="58CF0B3C" w14:textId="63B0F2A4" w:rsidR="002319C5" w:rsidRPr="00D27BF1" w:rsidRDefault="001E2278" w:rsidP="003235A1">
      <w:pPr>
        <w:pStyle w:val="ListParagraph"/>
        <w:widowControl/>
        <w:numPr>
          <w:ilvl w:val="1"/>
          <w:numId w:val="2"/>
        </w:numPr>
      </w:pPr>
      <w:bookmarkStart w:id="29" w:name="_Ref82094208"/>
      <w:r w:rsidRPr="00D27BF1">
        <w:t xml:space="preserve">Utility scores used in the economic model were derived by mapping the SNOT-22 scores to the EQ-5D-3L instrument using an established mapping algorithm (Crump 2017) </w:t>
      </w:r>
      <w:r w:rsidR="00202E21" w:rsidRPr="00D27BF1">
        <w:t xml:space="preserve">and </w:t>
      </w:r>
      <w:r w:rsidR="00517B3F" w:rsidRPr="00D27BF1">
        <w:t xml:space="preserve">the </w:t>
      </w:r>
      <w:r w:rsidR="00202E21" w:rsidRPr="00D27BF1">
        <w:t>Canadian value set</w:t>
      </w:r>
      <w:r w:rsidRPr="00D27BF1">
        <w:t>. It was noted that the adjusted R</w:t>
      </w:r>
      <w:r w:rsidRPr="00D27BF1">
        <w:rPr>
          <w:vertAlign w:val="superscript"/>
        </w:rPr>
        <w:t>2</w:t>
      </w:r>
      <w:r w:rsidR="00BC4E40" w:rsidRPr="00D27BF1">
        <w:t xml:space="preserve"> observed for</w:t>
      </w:r>
      <w:r w:rsidR="00202E21" w:rsidRPr="00D27BF1">
        <w:t xml:space="preserve"> </w:t>
      </w:r>
      <w:r w:rsidR="00517B3F" w:rsidRPr="00D27BF1">
        <w:t xml:space="preserve">Crump’s </w:t>
      </w:r>
      <w:r w:rsidR="00202E21" w:rsidRPr="00D27BF1">
        <w:t xml:space="preserve">model used </w:t>
      </w:r>
      <w:r w:rsidRPr="00D27BF1">
        <w:t>only explained 34% of the variance in the model, though Crump 2017 argued that these findings were consistent with models mapping condition-specific measures onto utility values generated from a generic measure. Crump’s analysis was also based on 232 patients with CRS on the waitlist for bilateral endoscopic sinus surgery, with a median baseli</w:t>
      </w:r>
      <w:r w:rsidR="00202E21" w:rsidRPr="00D27BF1">
        <w:t>ne SNOT-22 global score of 42.0</w:t>
      </w:r>
      <w:r w:rsidR="0070007F">
        <w:t> </w:t>
      </w:r>
      <w:r w:rsidRPr="00D27BF1">
        <w:t>(compared to CRSwNP patients enrolled in SYNAPSE who appeared to have more severe disease with a median SNOT-22 global score of 64.0 at baseline). This may introduce some uncertainty into the applicability of Crump 2017 to the current submission.</w:t>
      </w:r>
      <w:r w:rsidR="00202E21" w:rsidRPr="00D27BF1">
        <w:t xml:space="preserve"> It was unclear why SF-36 v2 outcomes were not used by the submission despite this data being collected in SYNAPSE. </w:t>
      </w:r>
      <w:r w:rsidR="00BC4E40" w:rsidRPr="00D27BF1">
        <w:t>The SF-36 may be particularly useful given it is possible to convert SF-36 to SF-</w:t>
      </w:r>
      <w:r w:rsidR="004C602D" w:rsidRPr="00D27BF1">
        <w:t>6D</w:t>
      </w:r>
      <w:r w:rsidR="00BC4E40" w:rsidRPr="00D27BF1">
        <w:t xml:space="preserve"> Australian value set</w:t>
      </w:r>
      <w:r w:rsidR="00BC4E40" w:rsidRPr="00D27BF1">
        <w:rPr>
          <w:rStyle w:val="FootnoteReference"/>
        </w:rPr>
        <w:footnoteReference w:id="3"/>
      </w:r>
      <w:r w:rsidR="00BC4E40" w:rsidRPr="00D27BF1">
        <w:t xml:space="preserve"> as opposed to Canadian values used in the submission. </w:t>
      </w:r>
      <w:r w:rsidR="00202E21" w:rsidRPr="00D27BF1">
        <w:t>It was unclear how the utilities derived from SF-36 would have differed to the utilities derived from SNOT-22 used in the economic model.</w:t>
      </w:r>
      <w:bookmarkEnd w:id="29"/>
      <w:r w:rsidR="007327F1" w:rsidRPr="00D27BF1">
        <w:t xml:space="preserve"> </w:t>
      </w:r>
      <w:r w:rsidR="007327F1" w:rsidRPr="0057459B">
        <w:t xml:space="preserve">The PSCR </w:t>
      </w:r>
      <w:r w:rsidR="00873630" w:rsidRPr="0057459B">
        <w:t xml:space="preserve">argued the </w:t>
      </w:r>
      <w:r w:rsidR="007327F1" w:rsidRPr="0057459B">
        <w:t>benefit of estimating utility weights with the SNOT-22 measure compared to a</w:t>
      </w:r>
      <w:r w:rsidR="00873630" w:rsidRPr="0057459B">
        <w:t xml:space="preserve"> generic measure such as SF-36 wa</w:t>
      </w:r>
      <w:r w:rsidR="007327F1" w:rsidRPr="0057459B">
        <w:t>s an improved sensitivity to changes in disease-specific symptoms that are directly relevant to the disease states and patient HRQoL</w:t>
      </w:r>
      <w:r w:rsidR="00873630" w:rsidRPr="0057459B">
        <w:t xml:space="preserve">. The ESC disagreed with the PSCR and considered that any potential benefits in terms of sensitivity to changes in disease-specific symptoms with the use of SNOT-22 would likely be lost once utility scores are mapped to the EQ-5D-3L instrument. The ESC considered that use of the trial SF-36 v2 outcomes which can be converted to </w:t>
      </w:r>
      <w:r w:rsidR="00080128" w:rsidRPr="0057459B">
        <w:t xml:space="preserve">an </w:t>
      </w:r>
      <w:r w:rsidR="00873630" w:rsidRPr="0057459B">
        <w:t>SF-</w:t>
      </w:r>
      <w:r w:rsidR="004C602D" w:rsidRPr="0057459B">
        <w:t>6D</w:t>
      </w:r>
      <w:r w:rsidR="00873630" w:rsidRPr="0057459B">
        <w:t xml:space="preserve"> Australian value set</w:t>
      </w:r>
      <w:r w:rsidR="00080128" w:rsidRPr="0057459B">
        <w:t xml:space="preserve"> would be preferable.</w:t>
      </w:r>
    </w:p>
    <w:p w14:paraId="19EEEF24" w14:textId="50121F10" w:rsidR="00202E21" w:rsidRPr="0057459B" w:rsidRDefault="00202E21" w:rsidP="003235A1">
      <w:pPr>
        <w:pStyle w:val="ListParagraph"/>
        <w:widowControl/>
        <w:numPr>
          <w:ilvl w:val="1"/>
          <w:numId w:val="2"/>
        </w:numPr>
      </w:pPr>
      <w:bookmarkStart w:id="30" w:name="_Ref82094485"/>
      <w:r w:rsidRPr="00D27BF1">
        <w:t>Different utilities for patients in the ‘in trial’ and ‘responder’ health state were applied via treatment arm</w:t>
      </w:r>
      <w:r w:rsidR="004B18CD" w:rsidRPr="00D27BF1">
        <w:t xml:space="preserve"> in the economic model</w:t>
      </w:r>
      <w:r w:rsidR="00BD7EB2" w:rsidRPr="00D27BF1">
        <w:t>, with higher utility in the mepolizumab arm than the SoC arm</w:t>
      </w:r>
      <w:r w:rsidRPr="00D27BF1">
        <w:t xml:space="preserve">. </w:t>
      </w:r>
      <w:r w:rsidR="00BD7EB2" w:rsidRPr="00D27BF1">
        <w:t>However, utilities for ‘non-responders’, ‘effective surgery’, and ‘recurrence post-surgery’ (and ‘failed surgery) were the same across both arms. Disutilities associated with CRSwNP-related</w:t>
      </w:r>
      <w:r w:rsidR="00B118BC" w:rsidRPr="00D27BF1">
        <w:t xml:space="preserve"> events</w:t>
      </w:r>
      <w:r w:rsidR="00BD7EB2" w:rsidRPr="00D27BF1">
        <w:t xml:space="preserve"> were considered in the economic model. </w:t>
      </w:r>
      <w:r w:rsidRPr="00D27BF1">
        <w:t>It was noted that a higher proportion of patients underwent surgery, experienced asthma exacerbations and OCS use in the SoC arm compared to the mepolizumab arm. Hence, at least part of the differential utility observed via treatment arm may have been attributable to this difference. The submission’s further application of disutilities associated with these events may lead to potential double counting</w:t>
      </w:r>
      <w:r w:rsidR="00A67089" w:rsidRPr="00D27BF1">
        <w:t>, favouring mepolizumab.</w:t>
      </w:r>
      <w:bookmarkEnd w:id="30"/>
      <w:r w:rsidR="00752E8F" w:rsidRPr="00D27BF1">
        <w:t xml:space="preserve"> </w:t>
      </w:r>
      <w:r w:rsidR="00CB6248" w:rsidRPr="0057459B">
        <w:t xml:space="preserve">The PSCR presented new information regarding the SNOT-22 scores by responder status in the ITT population and claimed that patients receiving treatment with mepolizumab saw improvement in their SNOT-22 total score relative to SoC in SYNAPSE, and hence, responders in the mepolizumab arm of the model included an improved utility compared to SoC. </w:t>
      </w:r>
      <w:r w:rsidR="00B87F20" w:rsidRPr="0057459B">
        <w:t xml:space="preserve">The ESC noted the additional information was not evaluated. </w:t>
      </w:r>
      <w:r w:rsidR="009F72BD" w:rsidRPr="0057459B">
        <w:t xml:space="preserve">The ESC noted that the differential utility applied for the responder health state depending on the treatment arm was a key driver of the economic model. </w:t>
      </w:r>
      <w:r w:rsidR="00431F53" w:rsidRPr="0057459B">
        <w:t xml:space="preserve">The ESC also noted </w:t>
      </w:r>
      <w:r w:rsidR="006F73CA" w:rsidRPr="0057459B">
        <w:t xml:space="preserve">the utility value applied for individuals undergoing effective surgery differed from values applied for responders to either mepolizumab or SoC. The ESC considered that differences between treatment arms may not be justified as it was not clear if these three utility values </w:t>
      </w:r>
      <w:r w:rsidR="00A17F80" w:rsidRPr="0057459B">
        <w:t>were truly different</w:t>
      </w:r>
      <w:r w:rsidR="006F73CA" w:rsidRPr="0057459B">
        <w:t>.</w:t>
      </w:r>
      <w:r w:rsidR="00080128" w:rsidRPr="0057459B">
        <w:t xml:space="preserve"> The ESC considered that the application of the same utility values for responders to mepolizumab, SoC or surgery would be appropriate.</w:t>
      </w:r>
    </w:p>
    <w:p w14:paraId="7E58F298" w14:textId="77777777" w:rsidR="00275C5A" w:rsidRPr="00D27BF1" w:rsidRDefault="0020510D" w:rsidP="00B313EF">
      <w:pPr>
        <w:pStyle w:val="ListParagraph"/>
        <w:widowControl/>
        <w:numPr>
          <w:ilvl w:val="1"/>
          <w:numId w:val="2"/>
        </w:numPr>
      </w:pPr>
      <w:r w:rsidRPr="0020510D">
        <w:rPr>
          <w:rStyle w:val="CommentReference"/>
          <w:rFonts w:asciiTheme="minorHAnsi" w:hAnsiTheme="minorHAnsi" w:cstheme="minorHAnsi"/>
          <w:b w:val="0"/>
          <w:sz w:val="24"/>
          <w:szCs w:val="24"/>
        </w:rPr>
        <w:t>Table 12</w:t>
      </w:r>
      <w:r w:rsidR="004D15CC" w:rsidRPr="00D27BF1">
        <w:rPr>
          <w:rFonts w:asciiTheme="minorHAnsi" w:hAnsiTheme="minorHAnsi" w:cstheme="minorHAnsi"/>
          <w:szCs w:val="24"/>
        </w:rPr>
        <w:t xml:space="preserve"> summarises</w:t>
      </w:r>
      <w:r w:rsidR="004D15CC" w:rsidRPr="00D27BF1">
        <w:t xml:space="preserve"> the key drivers of the economic model. </w:t>
      </w:r>
    </w:p>
    <w:p w14:paraId="355FAC1A" w14:textId="77777777" w:rsidR="00D110BD" w:rsidRPr="00D27BF1" w:rsidRDefault="004D15CC" w:rsidP="004D15CC">
      <w:pPr>
        <w:keepNext/>
        <w:widowControl/>
        <w:rPr>
          <w:rStyle w:val="CommentReference"/>
        </w:rPr>
      </w:pPr>
      <w:bookmarkStart w:id="31" w:name="_Ref80576340"/>
      <w:r w:rsidRPr="00D27BF1">
        <w:rPr>
          <w:rStyle w:val="CommentReference"/>
        </w:rPr>
        <w:t xml:space="preserve">Table </w:t>
      </w:r>
      <w:r w:rsidR="0020510D">
        <w:rPr>
          <w:rStyle w:val="CommentReference"/>
          <w:noProof/>
        </w:rPr>
        <w:t>12</w:t>
      </w:r>
      <w:bookmarkEnd w:id="31"/>
      <w:r w:rsidR="00D110BD" w:rsidRPr="00D27BF1">
        <w:rPr>
          <w:rStyle w:val="CommentReference"/>
        </w:rPr>
        <w:t>: Key drivers of the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5"/>
        <w:gridCol w:w="4950"/>
        <w:gridCol w:w="3102"/>
      </w:tblGrid>
      <w:tr w:rsidR="00537182" w:rsidRPr="00D27BF1" w14:paraId="60BAE0AB" w14:textId="77777777" w:rsidTr="00AD3CFE">
        <w:trPr>
          <w:tblHeader/>
        </w:trPr>
        <w:tc>
          <w:tcPr>
            <w:tcW w:w="0" w:type="auto"/>
            <w:shd w:val="clear" w:color="auto" w:fill="auto"/>
            <w:vAlign w:val="center"/>
          </w:tcPr>
          <w:p w14:paraId="325A3717" w14:textId="77777777" w:rsidR="00D110BD" w:rsidRPr="00D27BF1" w:rsidRDefault="00D110BD" w:rsidP="00AD3CFE">
            <w:pPr>
              <w:pStyle w:val="Tabletext"/>
              <w:keepNext/>
              <w:rPr>
                <w:b/>
              </w:rPr>
            </w:pPr>
            <w:r w:rsidRPr="00D27BF1">
              <w:rPr>
                <w:b/>
              </w:rPr>
              <w:t>Description</w:t>
            </w:r>
          </w:p>
        </w:tc>
        <w:tc>
          <w:tcPr>
            <w:tcW w:w="0" w:type="auto"/>
            <w:shd w:val="clear" w:color="auto" w:fill="auto"/>
            <w:vAlign w:val="center"/>
          </w:tcPr>
          <w:p w14:paraId="4A00386F" w14:textId="77777777" w:rsidR="00D110BD" w:rsidRPr="00D27BF1" w:rsidRDefault="00D110BD" w:rsidP="00AD3CFE">
            <w:pPr>
              <w:pStyle w:val="Tabletext"/>
              <w:keepNext/>
              <w:jc w:val="center"/>
              <w:rPr>
                <w:b/>
              </w:rPr>
            </w:pPr>
            <w:r w:rsidRPr="00D27BF1">
              <w:rPr>
                <w:b/>
              </w:rPr>
              <w:t>Method/Value</w:t>
            </w:r>
          </w:p>
        </w:tc>
        <w:tc>
          <w:tcPr>
            <w:tcW w:w="0" w:type="auto"/>
            <w:shd w:val="clear" w:color="auto" w:fill="auto"/>
            <w:vAlign w:val="center"/>
          </w:tcPr>
          <w:p w14:paraId="0581D451" w14:textId="77777777" w:rsidR="00D110BD" w:rsidRPr="00D27BF1" w:rsidRDefault="00D110BD" w:rsidP="00AD3CFE">
            <w:pPr>
              <w:pStyle w:val="Tabletext"/>
              <w:keepNext/>
              <w:jc w:val="center"/>
              <w:rPr>
                <w:b/>
              </w:rPr>
            </w:pPr>
            <w:r w:rsidRPr="00D27BF1">
              <w:rPr>
                <w:b/>
              </w:rPr>
              <w:t>Impact</w:t>
            </w:r>
          </w:p>
        </w:tc>
      </w:tr>
      <w:tr w:rsidR="0024163B" w:rsidRPr="00D27BF1" w14:paraId="3DBA7D71" w14:textId="77777777" w:rsidTr="00AD3CFE">
        <w:tc>
          <w:tcPr>
            <w:tcW w:w="0" w:type="auto"/>
            <w:shd w:val="clear" w:color="auto" w:fill="auto"/>
            <w:vAlign w:val="center"/>
          </w:tcPr>
          <w:p w14:paraId="7C49F7A1" w14:textId="77777777" w:rsidR="0024163B" w:rsidRPr="00D27BF1" w:rsidRDefault="00A66CDB" w:rsidP="00AD3CFE">
            <w:pPr>
              <w:pStyle w:val="Tabletext"/>
              <w:keepNext/>
            </w:pPr>
            <w:r w:rsidRPr="00D27BF1">
              <w:t>Utilities</w:t>
            </w:r>
          </w:p>
        </w:tc>
        <w:tc>
          <w:tcPr>
            <w:tcW w:w="0" w:type="auto"/>
            <w:shd w:val="clear" w:color="auto" w:fill="auto"/>
            <w:vAlign w:val="center"/>
          </w:tcPr>
          <w:p w14:paraId="3CADD0D4" w14:textId="12F6348B" w:rsidR="0024163B" w:rsidRPr="00D27BF1" w:rsidRDefault="0024163B" w:rsidP="00AD3CFE">
            <w:pPr>
              <w:pStyle w:val="Tabletext"/>
              <w:keepNext/>
            </w:pPr>
            <w:r w:rsidRPr="00D27BF1">
              <w:t>Values for model health states taken from SYNAPSE by mapping the SNOT-22 scores to the EQ-5D-3L instrument using an established mapping algorithm (Crum</w:t>
            </w:r>
            <w:r w:rsidR="0039334C" w:rsidRPr="00D27BF1">
              <w:t>p 2017) and Canadian value set.</w:t>
            </w:r>
            <w:r w:rsidRPr="00D27BF1">
              <w:t xml:space="preserve"> </w:t>
            </w:r>
            <w:r w:rsidR="00DC33C0" w:rsidRPr="00D27BF1">
              <w:t>Differential utility applied for the responder health state depending on treatment arm and disutilities associated with CRSwNP-related events were further applied.</w:t>
            </w:r>
          </w:p>
        </w:tc>
        <w:tc>
          <w:tcPr>
            <w:tcW w:w="0" w:type="auto"/>
            <w:shd w:val="clear" w:color="auto" w:fill="auto"/>
            <w:vAlign w:val="center"/>
          </w:tcPr>
          <w:p w14:paraId="733119DF" w14:textId="77777777" w:rsidR="0024163B" w:rsidRPr="00D27BF1" w:rsidRDefault="0024163B" w:rsidP="00AD3CFE">
            <w:pPr>
              <w:pStyle w:val="Tabletext"/>
              <w:keepNext/>
            </w:pPr>
            <w:r w:rsidRPr="00D27BF1">
              <w:t xml:space="preserve">High, favours </w:t>
            </w:r>
            <w:r w:rsidR="00DC33C0" w:rsidRPr="00D27BF1">
              <w:t xml:space="preserve">mepolizumab. Assuming no differential utility </w:t>
            </w:r>
            <w:r w:rsidR="007A35AB" w:rsidRPr="00D27BF1">
              <w:t xml:space="preserve">(i.e. 0.704 for responders and 0.566 for non-responders from week 52 onwards) </w:t>
            </w:r>
            <w:r w:rsidR="00DC33C0" w:rsidRPr="00D27BF1">
              <w:t>between treatment arms increased the ICER by 51.9%.</w:t>
            </w:r>
          </w:p>
        </w:tc>
      </w:tr>
      <w:tr w:rsidR="00614026" w:rsidRPr="00D27BF1" w14:paraId="6AE69C5A" w14:textId="77777777" w:rsidTr="00AD3CFE">
        <w:tc>
          <w:tcPr>
            <w:tcW w:w="0" w:type="auto"/>
            <w:shd w:val="clear" w:color="auto" w:fill="auto"/>
            <w:vAlign w:val="center"/>
          </w:tcPr>
          <w:p w14:paraId="366B3497" w14:textId="77777777" w:rsidR="00614026" w:rsidRPr="00D27BF1" w:rsidRDefault="00614026" w:rsidP="00AD3CFE">
            <w:pPr>
              <w:pStyle w:val="Tabletext"/>
              <w:keepNext/>
            </w:pPr>
            <w:r w:rsidRPr="00D27BF1">
              <w:t>Efficacy</w:t>
            </w:r>
          </w:p>
        </w:tc>
        <w:tc>
          <w:tcPr>
            <w:tcW w:w="0" w:type="auto"/>
            <w:shd w:val="clear" w:color="auto" w:fill="auto"/>
            <w:vAlign w:val="center"/>
          </w:tcPr>
          <w:p w14:paraId="49CD44D8" w14:textId="77777777" w:rsidR="00614026" w:rsidRPr="00D27BF1" w:rsidRDefault="00614026" w:rsidP="00AD3CFE">
            <w:pPr>
              <w:pStyle w:val="Tabletext"/>
              <w:keepNext/>
            </w:pPr>
            <w:r w:rsidRPr="00D27BF1">
              <w:t xml:space="preserve">Relied on point estimate of all ENP and/or NO-VAS responders in BEC ≥150 cells/µL in SYNPASE. </w:t>
            </w:r>
          </w:p>
        </w:tc>
        <w:tc>
          <w:tcPr>
            <w:tcW w:w="0" w:type="auto"/>
            <w:shd w:val="clear" w:color="auto" w:fill="auto"/>
            <w:vAlign w:val="center"/>
          </w:tcPr>
          <w:p w14:paraId="62D6F0F4" w14:textId="77777777" w:rsidR="00614026" w:rsidRPr="00D27BF1" w:rsidRDefault="00614026" w:rsidP="00AD3CFE">
            <w:pPr>
              <w:pStyle w:val="Tabletext"/>
              <w:keepNext/>
            </w:pPr>
            <w:r w:rsidRPr="00D27BF1">
              <w:t>Moderate. Using lower 95% for mepolizumab and upper 95% for SoC increased ICER by 22.96%</w:t>
            </w:r>
          </w:p>
        </w:tc>
      </w:tr>
      <w:tr w:rsidR="0024163B" w:rsidRPr="00D27BF1" w14:paraId="579B5C61" w14:textId="77777777" w:rsidTr="00AD3CFE">
        <w:tc>
          <w:tcPr>
            <w:tcW w:w="0" w:type="auto"/>
            <w:shd w:val="clear" w:color="auto" w:fill="auto"/>
            <w:vAlign w:val="center"/>
          </w:tcPr>
          <w:p w14:paraId="2C090F20" w14:textId="77777777" w:rsidR="0024163B" w:rsidRPr="00D27BF1" w:rsidRDefault="0024163B" w:rsidP="00AD3CFE">
            <w:pPr>
              <w:pStyle w:val="Tabletext"/>
              <w:keepNext/>
            </w:pPr>
            <w:r w:rsidRPr="00D27BF1">
              <w:t>Time horizon</w:t>
            </w:r>
          </w:p>
        </w:tc>
        <w:tc>
          <w:tcPr>
            <w:tcW w:w="0" w:type="auto"/>
            <w:shd w:val="clear" w:color="auto" w:fill="auto"/>
            <w:vAlign w:val="center"/>
          </w:tcPr>
          <w:p w14:paraId="7295FDC9" w14:textId="77777777" w:rsidR="0024163B" w:rsidRPr="00D27BF1" w:rsidRDefault="00A66CDB" w:rsidP="00AD3CFE">
            <w:pPr>
              <w:pStyle w:val="Tabletext"/>
              <w:keepNext/>
            </w:pPr>
            <w:r w:rsidRPr="00D27BF1">
              <w:t>Base case time horizon was 30 years, but a shorter time horizon of (e.g. 5 years) may be more appropriate given the trial data available (52 weeks).</w:t>
            </w:r>
          </w:p>
        </w:tc>
        <w:tc>
          <w:tcPr>
            <w:tcW w:w="0" w:type="auto"/>
            <w:shd w:val="clear" w:color="auto" w:fill="auto"/>
            <w:vAlign w:val="center"/>
          </w:tcPr>
          <w:p w14:paraId="7F360CF0" w14:textId="77777777" w:rsidR="0024163B" w:rsidRPr="00D27BF1" w:rsidRDefault="00A66CDB" w:rsidP="00AD3CFE">
            <w:pPr>
              <w:pStyle w:val="Tabletext"/>
              <w:keepNext/>
            </w:pPr>
            <w:r w:rsidRPr="00D27BF1">
              <w:t>Moder</w:t>
            </w:r>
            <w:r w:rsidR="0079037D" w:rsidRPr="00D27BF1">
              <w:t>ate, favoured mepolizumab</w:t>
            </w:r>
            <w:r w:rsidRPr="00D27BF1">
              <w:t>. Changing time horizon to 5 years increased the ICER by 17.1%.</w:t>
            </w:r>
          </w:p>
        </w:tc>
      </w:tr>
    </w:tbl>
    <w:p w14:paraId="7E33E58D" w14:textId="77777777" w:rsidR="00D110BD" w:rsidRPr="00D27BF1" w:rsidRDefault="0039334C" w:rsidP="00AD3CFE">
      <w:pPr>
        <w:pStyle w:val="TableFooter"/>
        <w:keepNext/>
      </w:pPr>
      <w:r w:rsidRPr="00D27BF1">
        <w:t>Source: Compiled during evaluation.</w:t>
      </w:r>
    </w:p>
    <w:p w14:paraId="27FA5D24" w14:textId="77777777" w:rsidR="009D792E" w:rsidRPr="00D27BF1" w:rsidRDefault="0096399C" w:rsidP="005B6BFB">
      <w:pPr>
        <w:pStyle w:val="TableFooter"/>
      </w:pPr>
      <w:r w:rsidRPr="00D27BF1">
        <w:t xml:space="preserve">CRSwNP= chronic rhinosinusitis with nasal polyps; </w:t>
      </w:r>
      <w:r w:rsidR="00614026" w:rsidRPr="00D27BF1">
        <w:t xml:space="preserve">ENP= endoscopic nasal polyp; </w:t>
      </w:r>
      <w:r w:rsidRPr="00D27BF1">
        <w:t xml:space="preserve">EQ-5D-3L= European quality of life five dimension three levels; </w:t>
      </w:r>
      <w:r w:rsidR="0039334C" w:rsidRPr="00D27BF1">
        <w:t xml:space="preserve">ICER= incremental cost effectiveness ratio; </w:t>
      </w:r>
      <w:r w:rsidR="00614026" w:rsidRPr="00D27BF1">
        <w:t xml:space="preserve">NO-VAS= nasal obstruction visual analogue scale; </w:t>
      </w:r>
      <w:r w:rsidR="005B6BFB" w:rsidRPr="00D27BF1">
        <w:t>SNOT-22= Sino-nasal outcomes test (22 items)</w:t>
      </w:r>
    </w:p>
    <w:p w14:paraId="4AD3FEED" w14:textId="77777777" w:rsidR="005B6BFB" w:rsidRPr="00D27BF1" w:rsidRDefault="005B6BFB" w:rsidP="005B6BFB"/>
    <w:p w14:paraId="41E7A390" w14:textId="77777777" w:rsidR="00552AD3" w:rsidRPr="00D27BF1" w:rsidRDefault="001C3FF2" w:rsidP="00B313EF">
      <w:pPr>
        <w:pStyle w:val="ListParagraph"/>
        <w:widowControl/>
        <w:numPr>
          <w:ilvl w:val="1"/>
          <w:numId w:val="2"/>
        </w:numPr>
      </w:pPr>
      <w:r>
        <w:rPr>
          <w:iCs/>
        </w:rPr>
        <w:t>T</w:t>
      </w:r>
      <w:r w:rsidR="00D90AB0" w:rsidRPr="00D27BF1">
        <w:rPr>
          <w:iCs/>
        </w:rPr>
        <w:t xml:space="preserve">he cost of NP surgery may have been overestimated by the submission. </w:t>
      </w:r>
      <w:r w:rsidR="005D60AD" w:rsidRPr="00D27BF1">
        <w:rPr>
          <w:iCs/>
        </w:rPr>
        <w:t xml:space="preserve">The submission assumed the cost of each surgery was $9,600.43 based on AR-DRG codes. Comparatively, the submission’s advisory board </w:t>
      </w:r>
      <w:r w:rsidR="005D60AD" w:rsidRPr="00D27BF1">
        <w:t xml:space="preserve">reported the following MBS items as routinely used for NP surgery: 41716 fee: $307.70; 41737 fee: $502.85; 41752 fee: $307.70; and 41668 fee: $228.85. Using the multiple operation rule and assuming all MBS items were claimed, the cost of surgery would be $790.84 based on the advisory board’s opinion, which was substantially less than the estimated surgical costs assumed in the model. However, surgery costs did not have a large impact on the ICER in the submission’s model – assuming a cost of $790.84 for surgery increased ICER by only 5.85%, but should still be considered a source of uncertainty in the model. </w:t>
      </w:r>
      <w:r w:rsidR="00552AD3" w:rsidRPr="00D27BF1">
        <w:t xml:space="preserve">The model also estimated more surgeries in the SoC arm (1.528, undiscounted) compared to the mepolizumab arm (0.860, undiscounted) suggesting that mepolizumab may replace surgery in SoC even though the submission did not consider surgery as part of the comparator. </w:t>
      </w:r>
    </w:p>
    <w:p w14:paraId="6E7AA081" w14:textId="77777777" w:rsidR="00D90AB0" w:rsidRPr="00D27BF1" w:rsidRDefault="00552AD3" w:rsidP="00B313EF">
      <w:pPr>
        <w:pStyle w:val="ListParagraph"/>
        <w:widowControl/>
        <w:numPr>
          <w:ilvl w:val="1"/>
          <w:numId w:val="2"/>
        </w:numPr>
      </w:pPr>
      <w:r w:rsidRPr="00D27BF1">
        <w:t>It was unclear whether the inclusion of asthma outcomes in the economic model was appropriate, as the requested restriction was for treatment of CRSwNP.</w:t>
      </w:r>
      <w:r w:rsidR="005D60AD" w:rsidRPr="00D27BF1">
        <w:t xml:space="preserve"> </w:t>
      </w:r>
      <w:r w:rsidRPr="00D27BF1">
        <w:t xml:space="preserve">However the inclusion of asthma outcomes had minimum effect on the ICER (exclusion of asthma outcome increased the ICER by &lt;1%). </w:t>
      </w:r>
    </w:p>
    <w:p w14:paraId="716C62DB" w14:textId="630BED6A" w:rsidR="00275C5A" w:rsidRPr="00D27BF1" w:rsidRDefault="0020510D" w:rsidP="006C2840">
      <w:pPr>
        <w:pStyle w:val="ListParagraph"/>
        <w:widowControl/>
        <w:numPr>
          <w:ilvl w:val="1"/>
          <w:numId w:val="2"/>
        </w:numPr>
      </w:pPr>
      <w:r w:rsidRPr="0020510D">
        <w:rPr>
          <w:rStyle w:val="CommentReference"/>
          <w:rFonts w:asciiTheme="minorHAnsi" w:hAnsiTheme="minorHAnsi" w:cstheme="minorHAnsi"/>
          <w:b w:val="0"/>
          <w:sz w:val="24"/>
          <w:szCs w:val="24"/>
        </w:rPr>
        <w:t>Table 13</w:t>
      </w:r>
      <w:r w:rsidR="004D15CC" w:rsidRPr="00D27BF1">
        <w:t xml:space="preserve"> summarises the results of the economic </w:t>
      </w:r>
      <w:r w:rsidR="006202BB" w:rsidRPr="00D27BF1">
        <w:t>evaluation</w:t>
      </w:r>
      <w:r w:rsidR="004D15CC" w:rsidRPr="00D27BF1">
        <w:t xml:space="preserve"> presented in the submission.</w:t>
      </w:r>
      <w:r w:rsidR="006C2840" w:rsidRPr="00D27BF1">
        <w:t xml:space="preserve"> A cost per responder analysis for the within </w:t>
      </w:r>
      <w:r w:rsidR="00690B1D" w:rsidRPr="00D27BF1">
        <w:t>trial period (52 weeks) was</w:t>
      </w:r>
      <w:r w:rsidR="006C2840" w:rsidRPr="00D27BF1">
        <w:t xml:space="preserve"> conducted during the evaluation.</w:t>
      </w:r>
    </w:p>
    <w:p w14:paraId="66195E46" w14:textId="77777777" w:rsidR="00203DAA" w:rsidRPr="00D27BF1" w:rsidRDefault="004D15CC" w:rsidP="00614026">
      <w:pPr>
        <w:keepNext/>
        <w:keepLines/>
        <w:widowControl/>
        <w:rPr>
          <w:rStyle w:val="CommentReference"/>
        </w:rPr>
      </w:pPr>
      <w:bookmarkStart w:id="32" w:name="_Ref80576396"/>
      <w:r w:rsidRPr="00D27BF1">
        <w:rPr>
          <w:rStyle w:val="CommentReference"/>
        </w:rPr>
        <w:t xml:space="preserve">Table </w:t>
      </w:r>
      <w:r w:rsidR="0020510D">
        <w:rPr>
          <w:rStyle w:val="CommentReference"/>
          <w:noProof/>
        </w:rPr>
        <w:t>13</w:t>
      </w:r>
      <w:bookmarkEnd w:id="32"/>
      <w:r w:rsidR="005A373D" w:rsidRPr="00D27BF1">
        <w:rPr>
          <w:rStyle w:val="CommentReference"/>
        </w:rPr>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30"/>
        <w:gridCol w:w="2426"/>
        <w:gridCol w:w="2272"/>
        <w:gridCol w:w="1589"/>
      </w:tblGrid>
      <w:tr w:rsidR="00203DAA" w:rsidRPr="00D27BF1" w14:paraId="4ADB6C65" w14:textId="77777777" w:rsidTr="00987D0E">
        <w:trPr>
          <w:tblHeader/>
        </w:trPr>
        <w:tc>
          <w:tcPr>
            <w:tcW w:w="1514" w:type="pct"/>
            <w:vAlign w:val="center"/>
          </w:tcPr>
          <w:p w14:paraId="764280DD" w14:textId="77777777" w:rsidR="00203DAA" w:rsidRPr="00D27BF1" w:rsidRDefault="00203DAA" w:rsidP="00614026">
            <w:pPr>
              <w:pStyle w:val="Tabletext"/>
              <w:keepNext/>
              <w:keepLines/>
              <w:rPr>
                <w:b/>
              </w:rPr>
            </w:pPr>
            <w:r w:rsidRPr="00D27BF1">
              <w:rPr>
                <w:b/>
              </w:rPr>
              <w:t>Step and component</w:t>
            </w:r>
          </w:p>
        </w:tc>
        <w:tc>
          <w:tcPr>
            <w:tcW w:w="1345" w:type="pct"/>
            <w:vAlign w:val="center"/>
          </w:tcPr>
          <w:p w14:paraId="70568B87" w14:textId="77777777" w:rsidR="00203DAA" w:rsidRPr="00D27BF1" w:rsidRDefault="00203DAA" w:rsidP="00614026">
            <w:pPr>
              <w:pStyle w:val="Tabletext"/>
              <w:keepNext/>
              <w:keepLines/>
              <w:jc w:val="center"/>
              <w:rPr>
                <w:b/>
              </w:rPr>
            </w:pPr>
            <w:r w:rsidRPr="00D27BF1">
              <w:rPr>
                <w:b/>
              </w:rPr>
              <w:t>Mepolizumab</w:t>
            </w:r>
          </w:p>
        </w:tc>
        <w:tc>
          <w:tcPr>
            <w:tcW w:w="1260" w:type="pct"/>
            <w:vAlign w:val="center"/>
          </w:tcPr>
          <w:p w14:paraId="4333B3F4" w14:textId="77777777" w:rsidR="00203DAA" w:rsidRPr="00D27BF1" w:rsidRDefault="00203DAA" w:rsidP="00614026">
            <w:pPr>
              <w:pStyle w:val="Tabletext"/>
              <w:keepNext/>
              <w:keepLines/>
              <w:jc w:val="center"/>
              <w:rPr>
                <w:b/>
              </w:rPr>
            </w:pPr>
            <w:r w:rsidRPr="00D27BF1">
              <w:rPr>
                <w:b/>
              </w:rPr>
              <w:t>Standard of care</w:t>
            </w:r>
          </w:p>
        </w:tc>
        <w:tc>
          <w:tcPr>
            <w:tcW w:w="881" w:type="pct"/>
            <w:vAlign w:val="center"/>
          </w:tcPr>
          <w:p w14:paraId="318B5F80" w14:textId="77777777" w:rsidR="00203DAA" w:rsidRPr="00D27BF1" w:rsidRDefault="00203DAA" w:rsidP="00614026">
            <w:pPr>
              <w:pStyle w:val="Tabletext"/>
              <w:keepNext/>
              <w:keepLines/>
              <w:jc w:val="center"/>
              <w:rPr>
                <w:b/>
              </w:rPr>
            </w:pPr>
            <w:r w:rsidRPr="00D27BF1">
              <w:rPr>
                <w:b/>
              </w:rPr>
              <w:t>Increment</w:t>
            </w:r>
          </w:p>
        </w:tc>
      </w:tr>
      <w:tr w:rsidR="00203DAA" w:rsidRPr="00D27BF1" w14:paraId="73645A56" w14:textId="77777777" w:rsidTr="00987D0E">
        <w:tc>
          <w:tcPr>
            <w:tcW w:w="5000" w:type="pct"/>
            <w:gridSpan w:val="4"/>
            <w:vAlign w:val="center"/>
          </w:tcPr>
          <w:p w14:paraId="5EDA2FB0" w14:textId="77777777" w:rsidR="00203DAA" w:rsidRPr="00D27BF1" w:rsidRDefault="00203DAA" w:rsidP="00614026">
            <w:pPr>
              <w:pStyle w:val="Tabletext"/>
              <w:keepNext/>
              <w:keepLines/>
              <w:rPr>
                <w:b/>
                <w:snapToGrid w:val="0"/>
              </w:rPr>
            </w:pPr>
            <w:r w:rsidRPr="00D27BF1">
              <w:rPr>
                <w:b/>
                <w:snapToGrid w:val="0"/>
              </w:rPr>
              <w:t>Trial-based (52 weeks) costs and outcomes (responders)</w:t>
            </w:r>
          </w:p>
        </w:tc>
      </w:tr>
      <w:tr w:rsidR="00203DAA" w:rsidRPr="00D27BF1" w14:paraId="31BB3565" w14:textId="77777777" w:rsidTr="00987D0E">
        <w:tc>
          <w:tcPr>
            <w:tcW w:w="1514" w:type="pct"/>
            <w:vAlign w:val="center"/>
          </w:tcPr>
          <w:p w14:paraId="6BEA888E" w14:textId="77777777" w:rsidR="00203DAA" w:rsidRPr="00D27BF1" w:rsidRDefault="00203DAA" w:rsidP="00614026">
            <w:pPr>
              <w:pStyle w:val="Tabletext"/>
              <w:keepNext/>
              <w:keepLines/>
              <w:rPr>
                <w:rFonts w:ascii="Times" w:hAnsi="Times"/>
              </w:rPr>
            </w:pPr>
            <w:r w:rsidRPr="00D27BF1">
              <w:t>Costs</w:t>
            </w:r>
            <w:r w:rsidR="002D539F">
              <w:t xml:space="preserve"> ($)</w:t>
            </w:r>
          </w:p>
        </w:tc>
        <w:tc>
          <w:tcPr>
            <w:tcW w:w="1345" w:type="pct"/>
            <w:vAlign w:val="center"/>
          </w:tcPr>
          <w:p w14:paraId="1F859E68" w14:textId="77777777" w:rsidR="00203DAA" w:rsidRPr="00DD78A9" w:rsidRDefault="00DD78A9" w:rsidP="00614026">
            <w:pPr>
              <w:pStyle w:val="Tabletext"/>
              <w:keepNext/>
              <w:keepLines/>
              <w:jc w:val="center"/>
              <w:rPr>
                <w:rFonts w:ascii="Times" w:hAnsi="Times"/>
                <w:iCs/>
                <w:highlight w:val="black"/>
              </w:rPr>
            </w:pPr>
            <w:r>
              <w:rPr>
                <w:iCs/>
                <w:noProof/>
                <w:color w:val="000000"/>
                <w:highlight w:val="black"/>
              </w:rPr>
              <w:t>''''''''''''''''</w:t>
            </w:r>
          </w:p>
        </w:tc>
        <w:tc>
          <w:tcPr>
            <w:tcW w:w="1260" w:type="pct"/>
            <w:vAlign w:val="center"/>
          </w:tcPr>
          <w:p w14:paraId="641AC822" w14:textId="77777777" w:rsidR="00203DAA" w:rsidRPr="00D27BF1" w:rsidRDefault="00203DAA" w:rsidP="00614026">
            <w:pPr>
              <w:pStyle w:val="Tabletext"/>
              <w:keepNext/>
              <w:keepLines/>
              <w:jc w:val="center"/>
              <w:rPr>
                <w:rFonts w:ascii="Times" w:hAnsi="Times"/>
                <w:iCs/>
              </w:rPr>
            </w:pPr>
            <w:r w:rsidRPr="00D27BF1">
              <w:rPr>
                <w:iCs/>
              </w:rPr>
              <w:t>$1,792</w:t>
            </w:r>
          </w:p>
        </w:tc>
        <w:tc>
          <w:tcPr>
            <w:tcW w:w="881" w:type="pct"/>
            <w:vAlign w:val="center"/>
          </w:tcPr>
          <w:p w14:paraId="727C9DB6" w14:textId="77777777" w:rsidR="00203DAA" w:rsidRPr="00DD78A9" w:rsidRDefault="00DD78A9" w:rsidP="00614026">
            <w:pPr>
              <w:pStyle w:val="Tabletext"/>
              <w:keepNext/>
              <w:keepLines/>
              <w:jc w:val="center"/>
              <w:rPr>
                <w:rFonts w:ascii="Times" w:hAnsi="Times"/>
                <w:iCs/>
                <w:highlight w:val="black"/>
              </w:rPr>
            </w:pPr>
            <w:r>
              <w:rPr>
                <w:iCs/>
                <w:noProof/>
                <w:color w:val="000000"/>
                <w:highlight w:val="black"/>
              </w:rPr>
              <w:t>''''''''''''''''</w:t>
            </w:r>
          </w:p>
        </w:tc>
      </w:tr>
      <w:tr w:rsidR="00203DAA" w:rsidRPr="00D27BF1" w14:paraId="5E2B05A8" w14:textId="77777777" w:rsidTr="00987D0E">
        <w:tc>
          <w:tcPr>
            <w:tcW w:w="1514" w:type="pct"/>
            <w:vAlign w:val="center"/>
          </w:tcPr>
          <w:p w14:paraId="75FC3B48" w14:textId="77777777" w:rsidR="00203DAA" w:rsidRPr="00D27BF1" w:rsidRDefault="00203DAA" w:rsidP="00614026">
            <w:pPr>
              <w:pStyle w:val="Tabletext"/>
              <w:keepNext/>
              <w:keepLines/>
              <w:rPr>
                <w:rFonts w:ascii="Times" w:hAnsi="Times"/>
              </w:rPr>
            </w:pPr>
            <w:r w:rsidRPr="00D27BF1">
              <w:t>Response rate</w:t>
            </w:r>
          </w:p>
        </w:tc>
        <w:tc>
          <w:tcPr>
            <w:tcW w:w="1345" w:type="pct"/>
            <w:vAlign w:val="center"/>
          </w:tcPr>
          <w:p w14:paraId="687B1FF5" w14:textId="77777777" w:rsidR="00203DAA" w:rsidRPr="00D27BF1" w:rsidRDefault="00203DAA" w:rsidP="00614026">
            <w:pPr>
              <w:pStyle w:val="Tabletext"/>
              <w:keepNext/>
              <w:keepLines/>
              <w:jc w:val="center"/>
              <w:rPr>
                <w:rFonts w:ascii="Times" w:hAnsi="Times"/>
                <w:iCs/>
              </w:rPr>
            </w:pPr>
            <w:r w:rsidRPr="00D27BF1">
              <w:rPr>
                <w:iCs/>
              </w:rPr>
              <w:t>0.602</w:t>
            </w:r>
          </w:p>
        </w:tc>
        <w:tc>
          <w:tcPr>
            <w:tcW w:w="1260" w:type="pct"/>
            <w:vAlign w:val="center"/>
          </w:tcPr>
          <w:p w14:paraId="5685DBEF" w14:textId="77777777" w:rsidR="00203DAA" w:rsidRPr="00D27BF1" w:rsidRDefault="00203DAA" w:rsidP="00614026">
            <w:pPr>
              <w:pStyle w:val="Tabletext"/>
              <w:keepNext/>
              <w:keepLines/>
              <w:jc w:val="center"/>
              <w:rPr>
                <w:rFonts w:ascii="Times" w:hAnsi="Times"/>
                <w:iCs/>
              </w:rPr>
            </w:pPr>
            <w:r w:rsidRPr="00D27BF1">
              <w:rPr>
                <w:iCs/>
              </w:rPr>
              <w:t>0.314</w:t>
            </w:r>
          </w:p>
        </w:tc>
        <w:tc>
          <w:tcPr>
            <w:tcW w:w="881" w:type="pct"/>
            <w:vAlign w:val="center"/>
          </w:tcPr>
          <w:p w14:paraId="6853492C" w14:textId="77777777" w:rsidR="00203DAA" w:rsidRPr="00D27BF1" w:rsidRDefault="00203DAA" w:rsidP="00614026">
            <w:pPr>
              <w:pStyle w:val="Tabletext"/>
              <w:keepNext/>
              <w:keepLines/>
              <w:jc w:val="center"/>
              <w:rPr>
                <w:iCs/>
              </w:rPr>
            </w:pPr>
            <w:r w:rsidRPr="00D27BF1">
              <w:rPr>
                <w:iCs/>
              </w:rPr>
              <w:t>0.289</w:t>
            </w:r>
          </w:p>
        </w:tc>
      </w:tr>
      <w:tr w:rsidR="00203DAA" w:rsidRPr="00D27BF1" w14:paraId="1EC7EDDF" w14:textId="77777777" w:rsidTr="00987D0E">
        <w:tc>
          <w:tcPr>
            <w:tcW w:w="4119" w:type="pct"/>
            <w:gridSpan w:val="3"/>
            <w:vAlign w:val="center"/>
          </w:tcPr>
          <w:p w14:paraId="3384F4B8" w14:textId="77777777" w:rsidR="00203DAA" w:rsidRPr="00D27BF1" w:rsidRDefault="00203DAA" w:rsidP="00614026">
            <w:pPr>
              <w:pStyle w:val="Tabletext"/>
              <w:keepNext/>
              <w:keepLines/>
              <w:rPr>
                <w:rFonts w:ascii="Times" w:hAnsi="Times"/>
                <w:snapToGrid w:val="0"/>
              </w:rPr>
            </w:pPr>
            <w:r w:rsidRPr="00D27BF1">
              <w:t>Incremental cost/extra responder gained</w:t>
            </w:r>
          </w:p>
        </w:tc>
        <w:tc>
          <w:tcPr>
            <w:tcW w:w="881" w:type="pct"/>
            <w:vAlign w:val="center"/>
          </w:tcPr>
          <w:p w14:paraId="0EAD05E5" w14:textId="77777777" w:rsidR="00203DAA" w:rsidRPr="00D27BF1" w:rsidRDefault="00DD78A9" w:rsidP="00690B1D">
            <w:pPr>
              <w:pStyle w:val="Tabletext"/>
              <w:keepNext/>
              <w:keepLines/>
              <w:jc w:val="center"/>
              <w:rPr>
                <w:rFonts w:ascii="Times" w:hAnsi="Times"/>
                <w:iCs/>
              </w:rPr>
            </w:pPr>
            <w:r>
              <w:rPr>
                <w:iCs/>
                <w:noProof/>
                <w:color w:val="000000"/>
                <w:highlight w:val="black"/>
              </w:rPr>
              <w:t>''''''''''''''''''</w:t>
            </w:r>
            <w:r w:rsidR="002D539F">
              <w:rPr>
                <w:vertAlign w:val="superscript"/>
              </w:rPr>
              <w:t>1</w:t>
            </w:r>
          </w:p>
        </w:tc>
      </w:tr>
      <w:tr w:rsidR="00203DAA" w:rsidRPr="00D27BF1" w14:paraId="6DE729D1" w14:textId="77777777" w:rsidTr="00987D0E">
        <w:tc>
          <w:tcPr>
            <w:tcW w:w="5000" w:type="pct"/>
            <w:gridSpan w:val="4"/>
            <w:vAlign w:val="center"/>
          </w:tcPr>
          <w:p w14:paraId="76FD4905" w14:textId="77777777" w:rsidR="00203DAA" w:rsidRPr="00D27BF1" w:rsidRDefault="00203DAA" w:rsidP="00614026">
            <w:pPr>
              <w:pStyle w:val="Tabletext"/>
              <w:keepNext/>
              <w:keepLines/>
              <w:rPr>
                <w:b/>
                <w:snapToGrid w:val="0"/>
              </w:rPr>
            </w:pPr>
            <w:r w:rsidRPr="00D27BF1">
              <w:rPr>
                <w:b/>
              </w:rPr>
              <w:t>Time horizon extended to 30 years (QALYs)</w:t>
            </w:r>
          </w:p>
        </w:tc>
      </w:tr>
      <w:tr w:rsidR="00203DAA" w:rsidRPr="00D27BF1" w14:paraId="7BD7F7CC" w14:textId="77777777" w:rsidTr="00987D0E">
        <w:tc>
          <w:tcPr>
            <w:tcW w:w="1514" w:type="pct"/>
            <w:vAlign w:val="center"/>
          </w:tcPr>
          <w:p w14:paraId="583C316F" w14:textId="77777777" w:rsidR="00203DAA" w:rsidRPr="00D27BF1" w:rsidRDefault="00203DAA" w:rsidP="00614026">
            <w:pPr>
              <w:pStyle w:val="Tabletext"/>
              <w:keepNext/>
              <w:keepLines/>
              <w:rPr>
                <w:rFonts w:ascii="Times" w:hAnsi="Times"/>
              </w:rPr>
            </w:pPr>
            <w:r w:rsidRPr="00D27BF1">
              <w:t>Costs</w:t>
            </w:r>
            <w:r w:rsidR="002D539F">
              <w:t xml:space="preserve"> ($)</w:t>
            </w:r>
          </w:p>
        </w:tc>
        <w:tc>
          <w:tcPr>
            <w:tcW w:w="1345" w:type="pct"/>
            <w:vAlign w:val="center"/>
          </w:tcPr>
          <w:p w14:paraId="18414891" w14:textId="77777777" w:rsidR="00203DAA" w:rsidRPr="00DD78A9" w:rsidRDefault="00DD78A9" w:rsidP="00614026">
            <w:pPr>
              <w:pStyle w:val="Tabletext"/>
              <w:keepNext/>
              <w:keepLines/>
              <w:jc w:val="center"/>
              <w:rPr>
                <w:rFonts w:ascii="Times" w:hAnsi="Times"/>
                <w:highlight w:val="black"/>
              </w:rPr>
            </w:pPr>
            <w:r>
              <w:rPr>
                <w:noProof/>
                <w:color w:val="000000"/>
                <w:highlight w:val="black"/>
              </w:rPr>
              <w:t>''''''''''''''''''</w:t>
            </w:r>
          </w:p>
        </w:tc>
        <w:tc>
          <w:tcPr>
            <w:tcW w:w="1260" w:type="pct"/>
            <w:vAlign w:val="center"/>
          </w:tcPr>
          <w:p w14:paraId="1B89A2F8" w14:textId="77777777" w:rsidR="00203DAA" w:rsidRPr="00D27BF1" w:rsidRDefault="00203DAA" w:rsidP="00614026">
            <w:pPr>
              <w:pStyle w:val="Tabletext"/>
              <w:keepNext/>
              <w:keepLines/>
              <w:jc w:val="center"/>
              <w:rPr>
                <w:rFonts w:ascii="Times" w:hAnsi="Times"/>
              </w:rPr>
            </w:pPr>
            <w:r w:rsidRPr="00D27BF1">
              <w:t>$9,714</w:t>
            </w:r>
          </w:p>
        </w:tc>
        <w:tc>
          <w:tcPr>
            <w:tcW w:w="881" w:type="pct"/>
            <w:vAlign w:val="center"/>
          </w:tcPr>
          <w:p w14:paraId="0A3DB1BB" w14:textId="77777777" w:rsidR="00203DAA" w:rsidRPr="00DD78A9" w:rsidRDefault="00DD78A9" w:rsidP="00614026">
            <w:pPr>
              <w:pStyle w:val="Tabletext"/>
              <w:keepNext/>
              <w:keepLines/>
              <w:jc w:val="center"/>
              <w:rPr>
                <w:rFonts w:ascii="Times" w:hAnsi="Times"/>
                <w:highlight w:val="black"/>
              </w:rPr>
            </w:pPr>
            <w:r>
              <w:rPr>
                <w:noProof/>
                <w:color w:val="000000"/>
                <w:highlight w:val="black"/>
              </w:rPr>
              <w:t>''''''''''''''''''''</w:t>
            </w:r>
          </w:p>
        </w:tc>
      </w:tr>
      <w:tr w:rsidR="00203DAA" w:rsidRPr="00D27BF1" w14:paraId="0AD459A9" w14:textId="77777777" w:rsidTr="00987D0E">
        <w:tc>
          <w:tcPr>
            <w:tcW w:w="1514" w:type="pct"/>
            <w:vAlign w:val="center"/>
          </w:tcPr>
          <w:p w14:paraId="274A3509" w14:textId="77777777" w:rsidR="00203DAA" w:rsidRPr="00D27BF1" w:rsidRDefault="00203DAA" w:rsidP="00614026">
            <w:pPr>
              <w:pStyle w:val="Tabletext"/>
              <w:keepNext/>
              <w:keepLines/>
              <w:rPr>
                <w:rFonts w:ascii="Times" w:hAnsi="Times"/>
              </w:rPr>
            </w:pPr>
            <w:r w:rsidRPr="00D27BF1">
              <w:t>QALYs</w:t>
            </w:r>
          </w:p>
        </w:tc>
        <w:tc>
          <w:tcPr>
            <w:tcW w:w="1345" w:type="pct"/>
            <w:vAlign w:val="center"/>
          </w:tcPr>
          <w:p w14:paraId="64E171B5" w14:textId="77777777" w:rsidR="00203DAA" w:rsidRPr="00D27BF1" w:rsidRDefault="00203DAA" w:rsidP="00614026">
            <w:pPr>
              <w:pStyle w:val="Tabletext"/>
              <w:keepNext/>
              <w:keepLines/>
              <w:jc w:val="center"/>
              <w:rPr>
                <w:rFonts w:ascii="Times" w:hAnsi="Times"/>
              </w:rPr>
            </w:pPr>
            <w:r w:rsidRPr="00D27BF1">
              <w:t>9.692</w:t>
            </w:r>
          </w:p>
        </w:tc>
        <w:tc>
          <w:tcPr>
            <w:tcW w:w="1260" w:type="pct"/>
            <w:vAlign w:val="center"/>
          </w:tcPr>
          <w:p w14:paraId="37D42BFC" w14:textId="77777777" w:rsidR="00203DAA" w:rsidRPr="00D27BF1" w:rsidRDefault="00203DAA" w:rsidP="00614026">
            <w:pPr>
              <w:pStyle w:val="Tabletext"/>
              <w:keepNext/>
              <w:keepLines/>
              <w:jc w:val="center"/>
              <w:rPr>
                <w:rFonts w:ascii="Times" w:hAnsi="Times"/>
              </w:rPr>
            </w:pPr>
            <w:r w:rsidRPr="00D27BF1">
              <w:t>8.876</w:t>
            </w:r>
          </w:p>
        </w:tc>
        <w:tc>
          <w:tcPr>
            <w:tcW w:w="881" w:type="pct"/>
            <w:vAlign w:val="center"/>
          </w:tcPr>
          <w:p w14:paraId="61A8265B" w14:textId="77777777" w:rsidR="00203DAA" w:rsidRPr="00D27BF1" w:rsidRDefault="00203DAA" w:rsidP="00614026">
            <w:pPr>
              <w:pStyle w:val="Tabletext"/>
              <w:keepNext/>
              <w:keepLines/>
              <w:jc w:val="center"/>
            </w:pPr>
            <w:r w:rsidRPr="00D27BF1">
              <w:t>0.905</w:t>
            </w:r>
          </w:p>
        </w:tc>
      </w:tr>
      <w:tr w:rsidR="00203DAA" w:rsidRPr="00D27BF1" w14:paraId="74221A09" w14:textId="77777777" w:rsidTr="00987D0E">
        <w:tc>
          <w:tcPr>
            <w:tcW w:w="4119" w:type="pct"/>
            <w:gridSpan w:val="3"/>
            <w:vAlign w:val="center"/>
          </w:tcPr>
          <w:p w14:paraId="0F8071C1" w14:textId="77777777" w:rsidR="00203DAA" w:rsidRPr="00D27BF1" w:rsidRDefault="00203DAA" w:rsidP="00614026">
            <w:pPr>
              <w:pStyle w:val="Tabletext"/>
              <w:keepNext/>
              <w:keepLines/>
              <w:rPr>
                <w:rFonts w:ascii="Times" w:hAnsi="Times"/>
                <w:b/>
              </w:rPr>
            </w:pPr>
            <w:r w:rsidRPr="00D27BF1">
              <w:rPr>
                <w:b/>
              </w:rPr>
              <w:t>Incremental cost/extra QALYs gained (base case)</w:t>
            </w:r>
          </w:p>
        </w:tc>
        <w:tc>
          <w:tcPr>
            <w:tcW w:w="881" w:type="pct"/>
            <w:vAlign w:val="center"/>
          </w:tcPr>
          <w:p w14:paraId="4D98A5EB" w14:textId="77777777" w:rsidR="00203DAA" w:rsidRPr="00D27BF1" w:rsidRDefault="00DD78A9" w:rsidP="00614026">
            <w:pPr>
              <w:pStyle w:val="Tabletext"/>
              <w:keepNext/>
              <w:keepLines/>
              <w:jc w:val="center"/>
              <w:rPr>
                <w:rFonts w:ascii="Times" w:hAnsi="Times"/>
                <w:b/>
              </w:rPr>
            </w:pPr>
            <w:r>
              <w:rPr>
                <w:b/>
                <w:noProof/>
                <w:color w:val="000000"/>
                <w:highlight w:val="black"/>
              </w:rPr>
              <w:t>'''''''''''''''''</w:t>
            </w:r>
            <w:r w:rsidR="002D539F">
              <w:rPr>
                <w:vertAlign w:val="superscript"/>
              </w:rPr>
              <w:t>2</w:t>
            </w:r>
          </w:p>
        </w:tc>
      </w:tr>
    </w:tbl>
    <w:p w14:paraId="5B4DBA29" w14:textId="77777777" w:rsidR="00203DAA" w:rsidRPr="00D27BF1" w:rsidRDefault="00203DAA" w:rsidP="00614026">
      <w:pPr>
        <w:pStyle w:val="TableFooter"/>
        <w:keepNext/>
        <w:keepLines/>
      </w:pPr>
      <w:r w:rsidRPr="00D27BF1">
        <w:t>Source: Table 3-35, p149 of the submission, Attachment 5- Mepolizumab CEM.xlsm.</w:t>
      </w:r>
    </w:p>
    <w:p w14:paraId="4FEBB081" w14:textId="77777777" w:rsidR="00203DAA" w:rsidRPr="00D27BF1" w:rsidRDefault="00203DAA" w:rsidP="00614026">
      <w:pPr>
        <w:pStyle w:val="TableFooter"/>
        <w:keepNext/>
        <w:keepLines/>
      </w:pPr>
      <w:r w:rsidRPr="00D27BF1">
        <w:t>QALY= quality-adjusted life year</w:t>
      </w:r>
    </w:p>
    <w:p w14:paraId="1FDF1723" w14:textId="77777777" w:rsidR="00203DAA" w:rsidRDefault="00203DAA" w:rsidP="00614026">
      <w:pPr>
        <w:pStyle w:val="TableFooter"/>
        <w:keepNext/>
        <w:keepLines/>
      </w:pPr>
      <w:r w:rsidRPr="00D27BF1">
        <w:t xml:space="preserve">Text in italics indicate values calculated during evaluation. </w:t>
      </w:r>
    </w:p>
    <w:p w14:paraId="4C875E20" w14:textId="77777777" w:rsidR="002D539F" w:rsidRPr="002D539F" w:rsidRDefault="002D539F" w:rsidP="00614026">
      <w:pPr>
        <w:pStyle w:val="TableFooter"/>
        <w:keepNext/>
        <w:keepLines/>
        <w:rPr>
          <w:i/>
        </w:rPr>
      </w:pPr>
      <w:r w:rsidRPr="002D539F">
        <w:rPr>
          <w:i/>
        </w:rPr>
        <w:t>The redacted values correspond to the following ranges:</w:t>
      </w:r>
    </w:p>
    <w:p w14:paraId="0032C540" w14:textId="77777777" w:rsidR="002D539F" w:rsidRPr="002D539F" w:rsidRDefault="002D539F" w:rsidP="00614026">
      <w:pPr>
        <w:pStyle w:val="TableFooter"/>
        <w:keepNext/>
        <w:keepLines/>
        <w:rPr>
          <w:i/>
        </w:rPr>
      </w:pPr>
      <w:r w:rsidRPr="002D539F">
        <w:rPr>
          <w:i/>
          <w:vertAlign w:val="superscript"/>
        </w:rPr>
        <w:t>1</w:t>
      </w:r>
      <w:r w:rsidRPr="002D539F">
        <w:rPr>
          <w:i/>
        </w:rPr>
        <w:t xml:space="preserve"> $15,000 to &lt; $25,000</w:t>
      </w:r>
    </w:p>
    <w:p w14:paraId="36C5D0A3" w14:textId="77777777" w:rsidR="002D539F" w:rsidRPr="002D539F" w:rsidRDefault="002D539F" w:rsidP="00614026">
      <w:pPr>
        <w:pStyle w:val="TableFooter"/>
        <w:keepNext/>
        <w:keepLines/>
        <w:rPr>
          <w:i/>
          <w:sz w:val="20"/>
        </w:rPr>
      </w:pPr>
      <w:r w:rsidRPr="002D539F">
        <w:rPr>
          <w:i/>
          <w:vertAlign w:val="superscript"/>
        </w:rPr>
        <w:t>2</w:t>
      </w:r>
      <w:r w:rsidRPr="002D539F">
        <w:rPr>
          <w:i/>
        </w:rPr>
        <w:t xml:space="preserve"> $55,000 to &lt; $75,000</w:t>
      </w:r>
    </w:p>
    <w:p w14:paraId="5DE1D362" w14:textId="77777777" w:rsidR="00D110BD" w:rsidRPr="00D27BF1" w:rsidRDefault="00D110BD" w:rsidP="00E723BA"/>
    <w:p w14:paraId="3B773A7B" w14:textId="77777777" w:rsidR="00614026" w:rsidRPr="00D27BF1" w:rsidRDefault="00C274B7" w:rsidP="00B313EF">
      <w:pPr>
        <w:pStyle w:val="ListParagraph"/>
        <w:widowControl/>
        <w:numPr>
          <w:ilvl w:val="1"/>
          <w:numId w:val="2"/>
        </w:numPr>
        <w:rPr>
          <w:rFonts w:asciiTheme="minorHAnsi" w:hAnsiTheme="minorHAnsi" w:cstheme="minorHAnsi"/>
          <w:szCs w:val="24"/>
        </w:rPr>
      </w:pPr>
      <w:r w:rsidRPr="00D27BF1">
        <w:rPr>
          <w:rFonts w:asciiTheme="minorHAnsi" w:hAnsiTheme="minorHAnsi" w:cstheme="minorHAnsi"/>
          <w:szCs w:val="24"/>
        </w:rPr>
        <w:t xml:space="preserve">The majority of the incremental cost was the cost of mepolizumab (105% of incremental cost) with the largest offset from the cost of surgery assumed (-6.4% of incremental cost). </w:t>
      </w:r>
      <w:r w:rsidR="00614026" w:rsidRPr="00D27BF1">
        <w:rPr>
          <w:rFonts w:asciiTheme="minorHAnsi" w:hAnsiTheme="minorHAnsi" w:cstheme="minorHAnsi"/>
          <w:szCs w:val="24"/>
        </w:rPr>
        <w:t>There was a minor difference in the life years between the two treatment arms due to the assumption of potential death from surgery, and with more patients in the SoC arm having surgery, the overall life years in the SoC arm was (very slightly) lower compared to the mepolizumab arm despite the submission’s statement that mepolizumab has no effect on mortality.</w:t>
      </w:r>
    </w:p>
    <w:p w14:paraId="680B5F64" w14:textId="5677B7ED" w:rsidR="004A1B07" w:rsidRPr="004A1B07" w:rsidRDefault="00203DAA" w:rsidP="004A1B07">
      <w:pPr>
        <w:pStyle w:val="ListParagraph"/>
        <w:widowControl/>
        <w:numPr>
          <w:ilvl w:val="1"/>
          <w:numId w:val="2"/>
        </w:numPr>
        <w:rPr>
          <w:rFonts w:asciiTheme="minorHAnsi" w:hAnsiTheme="minorHAnsi" w:cstheme="minorHAnsi"/>
          <w:szCs w:val="24"/>
        </w:rPr>
      </w:pPr>
      <w:r w:rsidRPr="00D27BF1">
        <w:rPr>
          <w:rFonts w:asciiTheme="minorHAnsi" w:hAnsiTheme="minorHAnsi" w:cstheme="minorHAnsi"/>
          <w:szCs w:val="24"/>
        </w:rPr>
        <w:t>Univariate sensitivity analyses performed by the submission, and univariate and multivariate sensitivity analyses conducted during the evaluation are summarised in</w:t>
      </w:r>
      <w:r w:rsidR="00F64F79" w:rsidRPr="00D27BF1">
        <w:rPr>
          <w:rFonts w:asciiTheme="minorHAnsi" w:hAnsiTheme="minorHAnsi" w:cstheme="minorHAnsi"/>
          <w:szCs w:val="24"/>
        </w:rPr>
        <w:t xml:space="preserve"> </w:t>
      </w:r>
      <w:r w:rsidR="0020510D" w:rsidRPr="0020510D">
        <w:rPr>
          <w:rStyle w:val="CommentReference"/>
          <w:rFonts w:asciiTheme="minorHAnsi" w:hAnsiTheme="minorHAnsi" w:cstheme="minorHAnsi"/>
          <w:b w:val="0"/>
          <w:sz w:val="24"/>
          <w:szCs w:val="24"/>
        </w:rPr>
        <w:t>Table 14</w:t>
      </w:r>
      <w:r w:rsidR="00F64F79" w:rsidRPr="00D27BF1">
        <w:rPr>
          <w:rFonts w:asciiTheme="minorHAnsi" w:hAnsiTheme="minorHAnsi" w:cstheme="minorHAnsi"/>
          <w:szCs w:val="24"/>
        </w:rPr>
        <w:t xml:space="preserve">. </w:t>
      </w:r>
      <w:r w:rsidR="00B2614A">
        <w:rPr>
          <w:rFonts w:asciiTheme="minorHAnsi" w:hAnsiTheme="minorHAnsi" w:cstheme="minorHAnsi"/>
          <w:szCs w:val="24"/>
        </w:rPr>
        <w:t xml:space="preserve">The PBAC noted that Table 14 had been updated to address an error in the percentage of patients reported to lose response </w:t>
      </w:r>
      <w:r w:rsidR="004A1B07">
        <w:rPr>
          <w:rFonts w:asciiTheme="minorHAnsi" w:hAnsiTheme="minorHAnsi" w:cstheme="minorHAnsi"/>
          <w:szCs w:val="24"/>
        </w:rPr>
        <w:t>to treatment as identified by the pre-PBAC response.</w:t>
      </w:r>
    </w:p>
    <w:p w14:paraId="17576FF3" w14:textId="77777777" w:rsidR="00203DAA" w:rsidRDefault="00F64F79" w:rsidP="00EE02E1">
      <w:pPr>
        <w:keepNext/>
        <w:keepLines/>
        <w:widowControl/>
        <w:rPr>
          <w:rStyle w:val="CommentReference"/>
        </w:rPr>
      </w:pPr>
      <w:bookmarkStart w:id="33" w:name="_Ref80578120"/>
      <w:r w:rsidRPr="004A1B07">
        <w:rPr>
          <w:rStyle w:val="CommentReference"/>
        </w:rPr>
        <w:t xml:space="preserve">Table </w:t>
      </w:r>
      <w:r w:rsidR="0020510D">
        <w:rPr>
          <w:rStyle w:val="CommentReference"/>
          <w:noProof/>
        </w:rPr>
        <w:t>14</w:t>
      </w:r>
      <w:bookmarkEnd w:id="33"/>
      <w:r w:rsidRPr="004A1B07">
        <w:rPr>
          <w:rStyle w:val="CommentReference"/>
        </w:rPr>
        <w:t xml:space="preserve">: </w:t>
      </w:r>
      <w:r w:rsidR="00203DAA" w:rsidRPr="004A1B07">
        <w:rPr>
          <w:rStyle w:val="CommentReference"/>
        </w:rPr>
        <w:t>Results of sensitivity analyses</w:t>
      </w:r>
    </w:p>
    <w:tbl>
      <w:tblPr>
        <w:tblW w:w="90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62" w:type="dxa"/>
          <w:right w:w="62" w:type="dxa"/>
        </w:tblCellMar>
        <w:tblLook w:val="04A0" w:firstRow="1" w:lastRow="0" w:firstColumn="1" w:lastColumn="0" w:noHBand="0" w:noVBand="1"/>
      </w:tblPr>
      <w:tblGrid>
        <w:gridCol w:w="1270"/>
        <w:gridCol w:w="1559"/>
        <w:gridCol w:w="1985"/>
        <w:gridCol w:w="1133"/>
        <w:gridCol w:w="1133"/>
        <w:gridCol w:w="992"/>
        <w:gridCol w:w="995"/>
      </w:tblGrid>
      <w:tr w:rsidR="004A1B07" w:rsidRPr="00D27BF1" w14:paraId="640CBD19" w14:textId="77777777" w:rsidTr="00A22F9C">
        <w:trPr>
          <w:tblHeader/>
        </w:trPr>
        <w:tc>
          <w:tcPr>
            <w:tcW w:w="737" w:type="dxa"/>
            <w:tcBorders>
              <w:bottom w:val="single" w:sz="2" w:space="0" w:color="auto"/>
            </w:tcBorders>
            <w:vAlign w:val="center"/>
          </w:tcPr>
          <w:p w14:paraId="106E70FB" w14:textId="77777777" w:rsidR="004A1B07" w:rsidRPr="00D27BF1" w:rsidRDefault="004A1B07" w:rsidP="00A22F9C">
            <w:pPr>
              <w:pStyle w:val="Tabletext"/>
              <w:keepNext/>
              <w:keepLines/>
              <w:tabs>
                <w:tab w:val="left" w:pos="142"/>
              </w:tabs>
              <w:rPr>
                <w:b/>
              </w:rPr>
            </w:pPr>
            <w:r w:rsidRPr="00D27BF1">
              <w:rPr>
                <w:b/>
              </w:rPr>
              <w:t>Variable</w:t>
            </w:r>
          </w:p>
        </w:tc>
        <w:tc>
          <w:tcPr>
            <w:tcW w:w="904" w:type="dxa"/>
            <w:tcBorders>
              <w:bottom w:val="single" w:sz="2" w:space="0" w:color="auto"/>
            </w:tcBorders>
          </w:tcPr>
          <w:p w14:paraId="77F10D65" w14:textId="77777777" w:rsidR="004A1B07" w:rsidRPr="00D27BF1" w:rsidRDefault="004A1B07" w:rsidP="00A22F9C">
            <w:pPr>
              <w:pStyle w:val="Tabletext"/>
              <w:keepNext/>
              <w:keepLines/>
              <w:tabs>
                <w:tab w:val="left" w:pos="142"/>
              </w:tabs>
              <w:rPr>
                <w:b/>
              </w:rPr>
            </w:pPr>
            <w:r w:rsidRPr="00D27BF1">
              <w:rPr>
                <w:b/>
              </w:rPr>
              <w:t>Base case</w:t>
            </w:r>
          </w:p>
        </w:tc>
        <w:tc>
          <w:tcPr>
            <w:tcW w:w="1151" w:type="dxa"/>
            <w:tcBorders>
              <w:bottom w:val="single" w:sz="2" w:space="0" w:color="auto"/>
            </w:tcBorders>
          </w:tcPr>
          <w:p w14:paraId="759BCF14" w14:textId="77777777" w:rsidR="004A1B07" w:rsidRPr="00D27BF1" w:rsidRDefault="004A1B07" w:rsidP="00A22F9C">
            <w:pPr>
              <w:pStyle w:val="Tabletext"/>
              <w:keepNext/>
              <w:keepLines/>
              <w:tabs>
                <w:tab w:val="left" w:pos="142"/>
              </w:tabs>
              <w:rPr>
                <w:b/>
              </w:rPr>
            </w:pPr>
            <w:r w:rsidRPr="00D27BF1">
              <w:rPr>
                <w:b/>
              </w:rPr>
              <w:t>Scenario</w:t>
            </w:r>
          </w:p>
        </w:tc>
        <w:tc>
          <w:tcPr>
            <w:tcW w:w="657" w:type="dxa"/>
            <w:tcBorders>
              <w:bottom w:val="single" w:sz="2" w:space="0" w:color="auto"/>
            </w:tcBorders>
          </w:tcPr>
          <w:p w14:paraId="756427FA" w14:textId="77777777" w:rsidR="004A1B07" w:rsidRPr="00D27BF1" w:rsidRDefault="004A1B07" w:rsidP="00A22F9C">
            <w:pPr>
              <w:pStyle w:val="Tabletext"/>
              <w:keepNext/>
              <w:keepLines/>
              <w:jc w:val="center"/>
              <w:rPr>
                <w:b/>
              </w:rPr>
            </w:pPr>
            <w:r w:rsidRPr="00D27BF1">
              <w:rPr>
                <w:b/>
              </w:rPr>
              <w:t>Increment cost</w:t>
            </w:r>
            <w:r w:rsidR="00F2261F">
              <w:rPr>
                <w:b/>
              </w:rPr>
              <w:t xml:space="preserve"> ($)</w:t>
            </w:r>
          </w:p>
        </w:tc>
        <w:tc>
          <w:tcPr>
            <w:tcW w:w="657" w:type="dxa"/>
            <w:tcBorders>
              <w:bottom w:val="single" w:sz="2" w:space="0" w:color="auto"/>
            </w:tcBorders>
          </w:tcPr>
          <w:p w14:paraId="1E5E8973" w14:textId="77777777" w:rsidR="004A1B07" w:rsidRPr="00D27BF1" w:rsidRDefault="004A1B07" w:rsidP="00A22F9C">
            <w:pPr>
              <w:pStyle w:val="Tabletext"/>
              <w:keepNext/>
              <w:keepLines/>
              <w:jc w:val="center"/>
              <w:rPr>
                <w:b/>
              </w:rPr>
            </w:pPr>
            <w:r w:rsidRPr="00D27BF1">
              <w:rPr>
                <w:b/>
              </w:rPr>
              <w:t>Increment QALY</w:t>
            </w:r>
          </w:p>
        </w:tc>
        <w:tc>
          <w:tcPr>
            <w:tcW w:w="575" w:type="dxa"/>
            <w:tcBorders>
              <w:bottom w:val="single" w:sz="2" w:space="0" w:color="auto"/>
            </w:tcBorders>
          </w:tcPr>
          <w:p w14:paraId="2BCBBC59" w14:textId="77777777" w:rsidR="004A1B07" w:rsidRPr="00D27BF1" w:rsidRDefault="004A1B07" w:rsidP="00A22F9C">
            <w:pPr>
              <w:pStyle w:val="Tabletext"/>
              <w:keepNext/>
              <w:keepLines/>
              <w:jc w:val="center"/>
              <w:rPr>
                <w:b/>
              </w:rPr>
            </w:pPr>
            <w:r w:rsidRPr="00D27BF1">
              <w:rPr>
                <w:b/>
              </w:rPr>
              <w:t>ICER</w:t>
            </w:r>
          </w:p>
        </w:tc>
        <w:tc>
          <w:tcPr>
            <w:tcW w:w="575" w:type="dxa"/>
            <w:tcBorders>
              <w:bottom w:val="single" w:sz="2" w:space="0" w:color="auto"/>
            </w:tcBorders>
          </w:tcPr>
          <w:p w14:paraId="42056551" w14:textId="77777777" w:rsidR="004A1B07" w:rsidRPr="00D27BF1" w:rsidRDefault="004A1B07" w:rsidP="00A22F9C">
            <w:pPr>
              <w:pStyle w:val="Tabletext"/>
              <w:keepNext/>
              <w:keepLines/>
              <w:jc w:val="center"/>
              <w:rPr>
                <w:b/>
              </w:rPr>
            </w:pPr>
            <w:r w:rsidRPr="00D27BF1">
              <w:rPr>
                <w:b/>
              </w:rPr>
              <w:t>percent change</w:t>
            </w:r>
          </w:p>
        </w:tc>
      </w:tr>
      <w:tr w:rsidR="004A1B07" w:rsidRPr="00D27BF1" w14:paraId="2A07EB78" w14:textId="77777777" w:rsidTr="00A22F9C">
        <w:tc>
          <w:tcPr>
            <w:tcW w:w="2792" w:type="dxa"/>
            <w:gridSpan w:val="3"/>
            <w:tcBorders>
              <w:top w:val="single" w:sz="2" w:space="0" w:color="auto"/>
              <w:left w:val="single" w:sz="2" w:space="0" w:color="auto"/>
              <w:bottom w:val="single" w:sz="2" w:space="0" w:color="auto"/>
              <w:right w:val="single" w:sz="2" w:space="0" w:color="auto"/>
            </w:tcBorders>
            <w:vAlign w:val="center"/>
          </w:tcPr>
          <w:p w14:paraId="57BF5EC4" w14:textId="77777777" w:rsidR="004A1B07" w:rsidRPr="00D27BF1" w:rsidRDefault="004A1B07" w:rsidP="00A22F9C">
            <w:pPr>
              <w:pStyle w:val="Tabletext"/>
              <w:keepNext/>
              <w:keepLines/>
              <w:tabs>
                <w:tab w:val="left" w:pos="142"/>
              </w:tabs>
              <w:rPr>
                <w:b/>
              </w:rPr>
            </w:pPr>
            <w:r w:rsidRPr="00D27BF1">
              <w:rPr>
                <w:b/>
              </w:rPr>
              <w:t>Base case</w:t>
            </w:r>
          </w:p>
        </w:tc>
        <w:tc>
          <w:tcPr>
            <w:tcW w:w="657" w:type="dxa"/>
            <w:tcBorders>
              <w:top w:val="single" w:sz="2" w:space="0" w:color="auto"/>
              <w:left w:val="single" w:sz="2" w:space="0" w:color="auto"/>
              <w:bottom w:val="single" w:sz="2" w:space="0" w:color="auto"/>
              <w:right w:val="single" w:sz="2" w:space="0" w:color="auto"/>
            </w:tcBorders>
          </w:tcPr>
          <w:p w14:paraId="63A37A9D" w14:textId="77777777" w:rsidR="004A1B07" w:rsidRPr="00DD78A9" w:rsidRDefault="00DD78A9" w:rsidP="00A22F9C">
            <w:pPr>
              <w:pStyle w:val="Tabletext"/>
              <w:keepNext/>
              <w:keepLines/>
              <w:jc w:val="center"/>
              <w:rPr>
                <w:b/>
                <w:highlight w:val="black"/>
              </w:rPr>
            </w:pPr>
            <w:r>
              <w:rPr>
                <w:b/>
                <w:noProof/>
                <w:color w:val="000000"/>
                <w:highlight w:val="black"/>
              </w:rPr>
              <w:t>''''''''''''''''</w:t>
            </w:r>
          </w:p>
        </w:tc>
        <w:tc>
          <w:tcPr>
            <w:tcW w:w="657" w:type="dxa"/>
            <w:tcBorders>
              <w:top w:val="single" w:sz="2" w:space="0" w:color="auto"/>
              <w:left w:val="single" w:sz="2" w:space="0" w:color="auto"/>
              <w:bottom w:val="single" w:sz="2" w:space="0" w:color="auto"/>
              <w:right w:val="single" w:sz="2" w:space="0" w:color="auto"/>
            </w:tcBorders>
          </w:tcPr>
          <w:p w14:paraId="11A3CB14" w14:textId="77777777" w:rsidR="004A1B07" w:rsidRPr="00D27BF1" w:rsidRDefault="004A1B07" w:rsidP="00A22F9C">
            <w:pPr>
              <w:pStyle w:val="Tabletext"/>
              <w:keepNext/>
              <w:keepLines/>
              <w:jc w:val="center"/>
              <w:rPr>
                <w:b/>
              </w:rPr>
            </w:pPr>
            <w:r w:rsidRPr="00D27BF1">
              <w:rPr>
                <w:b/>
              </w:rPr>
              <w:t>0.905</w:t>
            </w:r>
          </w:p>
        </w:tc>
        <w:tc>
          <w:tcPr>
            <w:tcW w:w="575" w:type="dxa"/>
            <w:tcBorders>
              <w:top w:val="single" w:sz="2" w:space="0" w:color="auto"/>
              <w:left w:val="single" w:sz="2" w:space="0" w:color="auto"/>
              <w:bottom w:val="single" w:sz="2" w:space="0" w:color="auto"/>
              <w:right w:val="single" w:sz="2" w:space="0" w:color="auto"/>
            </w:tcBorders>
          </w:tcPr>
          <w:p w14:paraId="53B28346" w14:textId="77777777" w:rsidR="004A1B07" w:rsidRPr="00D27BF1" w:rsidRDefault="00DD78A9" w:rsidP="00A22F9C">
            <w:pPr>
              <w:pStyle w:val="Tabletext"/>
              <w:keepNext/>
              <w:keepLines/>
              <w:jc w:val="center"/>
              <w:rPr>
                <w:b/>
              </w:rPr>
            </w:pPr>
            <w:r>
              <w:rPr>
                <w:b/>
                <w:noProof/>
                <w:color w:val="000000"/>
                <w:highlight w:val="black"/>
              </w:rPr>
              <w:t>'''''''''''''''</w:t>
            </w:r>
            <w:r w:rsidR="00F2261F">
              <w:rPr>
                <w:vertAlign w:val="superscript"/>
              </w:rPr>
              <w:t>1</w:t>
            </w:r>
          </w:p>
        </w:tc>
        <w:tc>
          <w:tcPr>
            <w:tcW w:w="575" w:type="dxa"/>
            <w:tcBorders>
              <w:top w:val="single" w:sz="2" w:space="0" w:color="auto"/>
              <w:left w:val="single" w:sz="2" w:space="0" w:color="auto"/>
              <w:bottom w:val="single" w:sz="2" w:space="0" w:color="auto"/>
              <w:right w:val="single" w:sz="2" w:space="0" w:color="auto"/>
            </w:tcBorders>
          </w:tcPr>
          <w:p w14:paraId="0262F970" w14:textId="77777777" w:rsidR="004A1B07" w:rsidRPr="00D27BF1" w:rsidRDefault="004A1B07" w:rsidP="00A22F9C">
            <w:pPr>
              <w:pStyle w:val="Tabletext"/>
              <w:keepNext/>
              <w:keepLines/>
              <w:jc w:val="center"/>
              <w:rPr>
                <w:b/>
              </w:rPr>
            </w:pPr>
            <w:r w:rsidRPr="00D27BF1">
              <w:rPr>
                <w:b/>
              </w:rPr>
              <w:t>-</w:t>
            </w:r>
          </w:p>
        </w:tc>
      </w:tr>
      <w:tr w:rsidR="004A1B07" w:rsidRPr="00D27BF1" w14:paraId="368B902A" w14:textId="77777777" w:rsidTr="00A22F9C">
        <w:tc>
          <w:tcPr>
            <w:tcW w:w="5258" w:type="dxa"/>
            <w:gridSpan w:val="7"/>
            <w:tcBorders>
              <w:top w:val="single" w:sz="2" w:space="0" w:color="auto"/>
              <w:left w:val="single" w:sz="2" w:space="0" w:color="auto"/>
              <w:right w:val="single" w:sz="2" w:space="0" w:color="auto"/>
            </w:tcBorders>
            <w:vAlign w:val="center"/>
          </w:tcPr>
          <w:p w14:paraId="0CE133C4" w14:textId="77777777" w:rsidR="004A1B07" w:rsidRPr="00D27BF1" w:rsidRDefault="004A1B07" w:rsidP="00A22F9C">
            <w:pPr>
              <w:pStyle w:val="Tabletext"/>
              <w:keepNext/>
              <w:keepLines/>
              <w:rPr>
                <w:b/>
                <w:highlight w:val="yellow"/>
              </w:rPr>
            </w:pPr>
            <w:r w:rsidRPr="00D27BF1">
              <w:rPr>
                <w:b/>
              </w:rPr>
              <w:t>Univariate analyses</w:t>
            </w:r>
          </w:p>
        </w:tc>
      </w:tr>
      <w:tr w:rsidR="004A1B07" w:rsidRPr="00D27BF1" w14:paraId="6EE93A87" w14:textId="77777777" w:rsidTr="00A22F9C">
        <w:tc>
          <w:tcPr>
            <w:tcW w:w="737" w:type="dxa"/>
            <w:vMerge w:val="restart"/>
            <w:tcBorders>
              <w:top w:val="single" w:sz="2" w:space="0" w:color="auto"/>
              <w:left w:val="single" w:sz="2" w:space="0" w:color="auto"/>
              <w:right w:val="single" w:sz="2" w:space="0" w:color="auto"/>
            </w:tcBorders>
            <w:vAlign w:val="center"/>
          </w:tcPr>
          <w:p w14:paraId="23266A4F" w14:textId="77777777" w:rsidR="004A1B07" w:rsidRPr="00D27BF1" w:rsidRDefault="004A1B07" w:rsidP="00A22F9C">
            <w:pPr>
              <w:pStyle w:val="Tabletext"/>
              <w:keepNext/>
              <w:keepLines/>
              <w:tabs>
                <w:tab w:val="left" w:pos="142"/>
              </w:tabs>
            </w:pPr>
            <w:r w:rsidRPr="00D27BF1">
              <w:t>Time horizon</w:t>
            </w:r>
          </w:p>
        </w:tc>
        <w:tc>
          <w:tcPr>
            <w:tcW w:w="904" w:type="dxa"/>
            <w:vMerge w:val="restart"/>
            <w:tcBorders>
              <w:top w:val="single" w:sz="2" w:space="0" w:color="auto"/>
              <w:left w:val="single" w:sz="2" w:space="0" w:color="auto"/>
              <w:right w:val="single" w:sz="2" w:space="0" w:color="auto"/>
            </w:tcBorders>
            <w:vAlign w:val="center"/>
          </w:tcPr>
          <w:p w14:paraId="13C92461" w14:textId="77777777" w:rsidR="004A1B07" w:rsidRPr="00D27BF1" w:rsidRDefault="004A1B07" w:rsidP="00A22F9C">
            <w:pPr>
              <w:pStyle w:val="Tabletext"/>
              <w:keepNext/>
              <w:keepLines/>
              <w:tabs>
                <w:tab w:val="left" w:pos="142"/>
              </w:tabs>
            </w:pPr>
            <w:r w:rsidRPr="00D27BF1">
              <w:t>30 years</w:t>
            </w:r>
          </w:p>
        </w:tc>
        <w:tc>
          <w:tcPr>
            <w:tcW w:w="1151" w:type="dxa"/>
            <w:tcBorders>
              <w:top w:val="single" w:sz="2" w:space="0" w:color="auto"/>
              <w:left w:val="single" w:sz="2" w:space="0" w:color="auto"/>
              <w:bottom w:val="single" w:sz="2" w:space="0" w:color="auto"/>
              <w:right w:val="single" w:sz="2" w:space="0" w:color="auto"/>
            </w:tcBorders>
            <w:vAlign w:val="center"/>
          </w:tcPr>
          <w:p w14:paraId="26856240" w14:textId="77777777" w:rsidR="004A1B07" w:rsidRPr="00D27BF1" w:rsidRDefault="004A1B07" w:rsidP="00A22F9C">
            <w:pPr>
              <w:pStyle w:val="Tabletext"/>
              <w:keepNext/>
              <w:keepLines/>
              <w:tabs>
                <w:tab w:val="left" w:pos="142"/>
              </w:tabs>
            </w:pPr>
            <w:r w:rsidRPr="00D27BF1">
              <w:t>Within trial (52 weeks)*</w:t>
            </w:r>
          </w:p>
        </w:tc>
        <w:tc>
          <w:tcPr>
            <w:tcW w:w="657" w:type="dxa"/>
            <w:tcBorders>
              <w:top w:val="single" w:sz="2" w:space="0" w:color="auto"/>
              <w:left w:val="single" w:sz="2" w:space="0" w:color="auto"/>
              <w:bottom w:val="single" w:sz="2" w:space="0" w:color="auto"/>
              <w:right w:val="single" w:sz="2" w:space="0" w:color="auto"/>
            </w:tcBorders>
            <w:vAlign w:val="center"/>
          </w:tcPr>
          <w:p w14:paraId="6616EFE3" w14:textId="77777777" w:rsidR="004A1B07" w:rsidRPr="00DD78A9" w:rsidRDefault="00DD78A9" w:rsidP="00A22F9C">
            <w:pPr>
              <w:pStyle w:val="Tabletext"/>
              <w:keepNext/>
              <w:keepLines/>
              <w:jc w:val="center"/>
              <w:rPr>
                <w:highlight w:val="black"/>
              </w:rPr>
            </w:pPr>
            <w:r>
              <w:rPr>
                <w:noProof/>
                <w:color w:val="000000"/>
                <w:highlight w:val="black"/>
              </w:rPr>
              <w:t>''''''''''''''''</w:t>
            </w:r>
          </w:p>
        </w:tc>
        <w:tc>
          <w:tcPr>
            <w:tcW w:w="657" w:type="dxa"/>
            <w:tcBorders>
              <w:top w:val="single" w:sz="2" w:space="0" w:color="auto"/>
              <w:left w:val="single" w:sz="2" w:space="0" w:color="auto"/>
              <w:bottom w:val="single" w:sz="2" w:space="0" w:color="auto"/>
              <w:right w:val="single" w:sz="2" w:space="0" w:color="auto"/>
            </w:tcBorders>
            <w:vAlign w:val="center"/>
          </w:tcPr>
          <w:p w14:paraId="18FDD1FA" w14:textId="77777777" w:rsidR="004A1B07" w:rsidRPr="00D27BF1" w:rsidRDefault="004A1B07" w:rsidP="00A22F9C">
            <w:pPr>
              <w:pStyle w:val="Tabletext"/>
              <w:keepNext/>
              <w:keepLines/>
              <w:jc w:val="center"/>
            </w:pPr>
            <w:r w:rsidRPr="00D27BF1">
              <w:t>0.037</w:t>
            </w:r>
          </w:p>
        </w:tc>
        <w:tc>
          <w:tcPr>
            <w:tcW w:w="575" w:type="dxa"/>
            <w:tcBorders>
              <w:top w:val="single" w:sz="2" w:space="0" w:color="auto"/>
              <w:left w:val="single" w:sz="2" w:space="0" w:color="auto"/>
              <w:bottom w:val="single" w:sz="2" w:space="0" w:color="auto"/>
              <w:right w:val="single" w:sz="2" w:space="0" w:color="auto"/>
            </w:tcBorders>
            <w:vAlign w:val="center"/>
          </w:tcPr>
          <w:p w14:paraId="5C6D169F" w14:textId="77777777" w:rsidR="004A1B07" w:rsidRPr="00DD78A9" w:rsidRDefault="00DD78A9" w:rsidP="00A22F9C">
            <w:pPr>
              <w:pStyle w:val="Tabletext"/>
              <w:keepNext/>
              <w:keepLines/>
              <w:jc w:val="center"/>
            </w:pPr>
            <w:r>
              <w:rPr>
                <w:noProof/>
                <w:color w:val="000000"/>
                <w:highlight w:val="black"/>
              </w:rPr>
              <w:t>''''''''''''''''''''''</w:t>
            </w:r>
            <w:r w:rsidR="00F2261F">
              <w:rPr>
                <w:vertAlign w:val="superscript"/>
              </w:rPr>
              <w:t>2</w:t>
            </w:r>
          </w:p>
        </w:tc>
        <w:tc>
          <w:tcPr>
            <w:tcW w:w="575" w:type="dxa"/>
            <w:tcBorders>
              <w:top w:val="single" w:sz="2" w:space="0" w:color="auto"/>
              <w:left w:val="single" w:sz="2" w:space="0" w:color="auto"/>
              <w:bottom w:val="single" w:sz="2" w:space="0" w:color="auto"/>
              <w:right w:val="single" w:sz="2" w:space="0" w:color="auto"/>
            </w:tcBorders>
            <w:shd w:val="clear" w:color="auto" w:fill="auto"/>
            <w:vAlign w:val="center"/>
          </w:tcPr>
          <w:p w14:paraId="6009B172" w14:textId="77777777" w:rsidR="004A1B07" w:rsidRPr="00D27BF1" w:rsidRDefault="004A1B07" w:rsidP="00A22F9C">
            <w:pPr>
              <w:pStyle w:val="Tabletext"/>
              <w:keepNext/>
              <w:keepLines/>
              <w:jc w:val="center"/>
            </w:pPr>
            <w:r w:rsidRPr="00D27BF1">
              <w:t>+107.4%</w:t>
            </w:r>
          </w:p>
        </w:tc>
      </w:tr>
      <w:tr w:rsidR="004A1B07" w:rsidRPr="00D27BF1" w14:paraId="23274AD9" w14:textId="77777777" w:rsidTr="00A22F9C">
        <w:tc>
          <w:tcPr>
            <w:tcW w:w="737" w:type="dxa"/>
            <w:vMerge/>
            <w:tcBorders>
              <w:left w:val="single" w:sz="2" w:space="0" w:color="auto"/>
              <w:right w:val="single" w:sz="2" w:space="0" w:color="auto"/>
            </w:tcBorders>
            <w:vAlign w:val="center"/>
          </w:tcPr>
          <w:p w14:paraId="04773E43" w14:textId="77777777" w:rsidR="004A1B07" w:rsidRPr="00D27BF1" w:rsidRDefault="004A1B07" w:rsidP="00A22F9C">
            <w:pPr>
              <w:pStyle w:val="Tabletext"/>
              <w:keepNext/>
              <w:keepLines/>
              <w:tabs>
                <w:tab w:val="left" w:pos="142"/>
              </w:tabs>
            </w:pPr>
          </w:p>
        </w:tc>
        <w:tc>
          <w:tcPr>
            <w:tcW w:w="904" w:type="dxa"/>
            <w:vMerge/>
            <w:tcBorders>
              <w:left w:val="single" w:sz="2" w:space="0" w:color="auto"/>
              <w:right w:val="single" w:sz="2" w:space="0" w:color="auto"/>
            </w:tcBorders>
            <w:vAlign w:val="center"/>
          </w:tcPr>
          <w:p w14:paraId="6D9C557F" w14:textId="77777777" w:rsidR="004A1B07" w:rsidRPr="00D27BF1" w:rsidRDefault="004A1B07" w:rsidP="00A22F9C">
            <w:pPr>
              <w:pStyle w:val="Tabletext"/>
              <w:keepNext/>
              <w:keepLines/>
              <w:tabs>
                <w:tab w:val="left" w:pos="142"/>
              </w:tabs>
            </w:pPr>
          </w:p>
        </w:tc>
        <w:tc>
          <w:tcPr>
            <w:tcW w:w="1151" w:type="dxa"/>
            <w:tcBorders>
              <w:top w:val="single" w:sz="2" w:space="0" w:color="auto"/>
              <w:left w:val="single" w:sz="2" w:space="0" w:color="auto"/>
              <w:bottom w:val="single" w:sz="2" w:space="0" w:color="auto"/>
              <w:right w:val="single" w:sz="2" w:space="0" w:color="auto"/>
            </w:tcBorders>
            <w:vAlign w:val="center"/>
          </w:tcPr>
          <w:p w14:paraId="2188DC14" w14:textId="77777777" w:rsidR="004A1B07" w:rsidRPr="00D27BF1" w:rsidRDefault="004A1B07" w:rsidP="00A22F9C">
            <w:pPr>
              <w:pStyle w:val="Tabletext"/>
              <w:keepNext/>
              <w:keepLines/>
              <w:tabs>
                <w:tab w:val="left" w:pos="142"/>
              </w:tabs>
            </w:pPr>
            <w:r w:rsidRPr="00D27BF1">
              <w:t>5 years*</w:t>
            </w:r>
          </w:p>
        </w:tc>
        <w:tc>
          <w:tcPr>
            <w:tcW w:w="657" w:type="dxa"/>
            <w:tcBorders>
              <w:top w:val="single" w:sz="2" w:space="0" w:color="auto"/>
              <w:left w:val="single" w:sz="2" w:space="0" w:color="auto"/>
              <w:bottom w:val="single" w:sz="2" w:space="0" w:color="auto"/>
              <w:right w:val="single" w:sz="2" w:space="0" w:color="auto"/>
            </w:tcBorders>
            <w:vAlign w:val="center"/>
          </w:tcPr>
          <w:p w14:paraId="1A6FB752" w14:textId="77777777" w:rsidR="004A1B07" w:rsidRPr="00DD78A9" w:rsidRDefault="00DD78A9" w:rsidP="00A22F9C">
            <w:pPr>
              <w:pStyle w:val="Tabletext"/>
              <w:keepNext/>
              <w:keepLines/>
              <w:jc w:val="center"/>
              <w:rPr>
                <w:highlight w:val="black"/>
              </w:rPr>
            </w:pPr>
            <w:r>
              <w:rPr>
                <w:noProof/>
                <w:color w:val="000000"/>
                <w:highlight w:val="black"/>
              </w:rPr>
              <w:t>''''''''''''''''''</w:t>
            </w:r>
          </w:p>
        </w:tc>
        <w:tc>
          <w:tcPr>
            <w:tcW w:w="657" w:type="dxa"/>
            <w:tcBorders>
              <w:top w:val="single" w:sz="2" w:space="0" w:color="auto"/>
              <w:left w:val="single" w:sz="2" w:space="0" w:color="auto"/>
              <w:bottom w:val="single" w:sz="2" w:space="0" w:color="auto"/>
              <w:right w:val="single" w:sz="2" w:space="0" w:color="auto"/>
            </w:tcBorders>
            <w:vAlign w:val="center"/>
          </w:tcPr>
          <w:p w14:paraId="4AD88647" w14:textId="77777777" w:rsidR="004A1B07" w:rsidRPr="00D27BF1" w:rsidRDefault="004A1B07" w:rsidP="00A22F9C">
            <w:pPr>
              <w:pStyle w:val="Tabletext"/>
              <w:keepNext/>
              <w:keepLines/>
              <w:jc w:val="center"/>
            </w:pPr>
            <w:r w:rsidRPr="00D27BF1">
              <w:t>0.243</w:t>
            </w:r>
          </w:p>
        </w:tc>
        <w:tc>
          <w:tcPr>
            <w:tcW w:w="575" w:type="dxa"/>
            <w:tcBorders>
              <w:top w:val="single" w:sz="2" w:space="0" w:color="auto"/>
              <w:left w:val="single" w:sz="2" w:space="0" w:color="auto"/>
              <w:bottom w:val="single" w:sz="2" w:space="0" w:color="auto"/>
              <w:right w:val="single" w:sz="2" w:space="0" w:color="auto"/>
            </w:tcBorders>
            <w:vAlign w:val="center"/>
          </w:tcPr>
          <w:p w14:paraId="6FA42230" w14:textId="77777777" w:rsidR="004A1B07" w:rsidRPr="00DD78A9" w:rsidRDefault="00DD78A9" w:rsidP="00A22F9C">
            <w:pPr>
              <w:pStyle w:val="Tabletext"/>
              <w:keepNext/>
              <w:keepLines/>
              <w:jc w:val="center"/>
            </w:pPr>
            <w:r>
              <w:rPr>
                <w:noProof/>
                <w:color w:val="000000"/>
                <w:highlight w:val="black"/>
              </w:rPr>
              <w:t>''''''''''''''''''</w:t>
            </w:r>
            <w:r w:rsidR="00F2261F">
              <w:rPr>
                <w:vertAlign w:val="superscript"/>
              </w:rPr>
              <w:t>3</w:t>
            </w:r>
          </w:p>
        </w:tc>
        <w:tc>
          <w:tcPr>
            <w:tcW w:w="575" w:type="dxa"/>
            <w:tcBorders>
              <w:top w:val="single" w:sz="2" w:space="0" w:color="auto"/>
              <w:left w:val="single" w:sz="2" w:space="0" w:color="auto"/>
              <w:bottom w:val="single" w:sz="2" w:space="0" w:color="auto"/>
              <w:right w:val="single" w:sz="2" w:space="0" w:color="auto"/>
            </w:tcBorders>
            <w:shd w:val="clear" w:color="auto" w:fill="auto"/>
            <w:vAlign w:val="center"/>
          </w:tcPr>
          <w:p w14:paraId="06C087D3" w14:textId="77777777" w:rsidR="004A1B07" w:rsidRPr="00D27BF1" w:rsidRDefault="004A1B07" w:rsidP="00A22F9C">
            <w:pPr>
              <w:pStyle w:val="Tabletext"/>
              <w:keepNext/>
              <w:keepLines/>
              <w:jc w:val="center"/>
            </w:pPr>
            <w:r w:rsidRPr="00D27BF1">
              <w:t>+17.1%</w:t>
            </w:r>
          </w:p>
        </w:tc>
      </w:tr>
      <w:tr w:rsidR="004A1B07" w:rsidRPr="00D27BF1" w14:paraId="6AA03786" w14:textId="77777777" w:rsidTr="00A22F9C">
        <w:tc>
          <w:tcPr>
            <w:tcW w:w="737" w:type="dxa"/>
            <w:vMerge w:val="restart"/>
            <w:tcBorders>
              <w:top w:val="single" w:sz="2" w:space="0" w:color="auto"/>
              <w:left w:val="single" w:sz="2" w:space="0" w:color="auto"/>
              <w:right w:val="single" w:sz="2" w:space="0" w:color="auto"/>
            </w:tcBorders>
            <w:vAlign w:val="center"/>
          </w:tcPr>
          <w:p w14:paraId="356F2C37" w14:textId="77777777" w:rsidR="004A1B07" w:rsidRPr="00D27BF1" w:rsidRDefault="004A1B07" w:rsidP="00A22F9C">
            <w:pPr>
              <w:pStyle w:val="Tabletext"/>
              <w:keepNext/>
              <w:keepLines/>
              <w:tabs>
                <w:tab w:val="left" w:pos="142"/>
              </w:tabs>
            </w:pPr>
            <w:r w:rsidRPr="00D27BF1">
              <w:t>Discount rate</w:t>
            </w:r>
          </w:p>
        </w:tc>
        <w:tc>
          <w:tcPr>
            <w:tcW w:w="904" w:type="dxa"/>
            <w:vMerge w:val="restart"/>
            <w:tcBorders>
              <w:top w:val="single" w:sz="2" w:space="0" w:color="auto"/>
              <w:left w:val="single" w:sz="2" w:space="0" w:color="auto"/>
              <w:right w:val="single" w:sz="2" w:space="0" w:color="auto"/>
            </w:tcBorders>
            <w:vAlign w:val="center"/>
          </w:tcPr>
          <w:p w14:paraId="05001B77" w14:textId="77777777" w:rsidR="004A1B07" w:rsidRPr="00D27BF1" w:rsidRDefault="004A1B07" w:rsidP="00A22F9C">
            <w:pPr>
              <w:pStyle w:val="Tabletext"/>
              <w:keepNext/>
              <w:keepLines/>
              <w:tabs>
                <w:tab w:val="left" w:pos="142"/>
              </w:tabs>
            </w:pPr>
            <w:r w:rsidRPr="00D27BF1">
              <w:t>5% costs and effects</w:t>
            </w:r>
          </w:p>
        </w:tc>
        <w:tc>
          <w:tcPr>
            <w:tcW w:w="1151" w:type="dxa"/>
            <w:tcBorders>
              <w:top w:val="single" w:sz="2" w:space="0" w:color="auto"/>
              <w:left w:val="single" w:sz="2" w:space="0" w:color="auto"/>
              <w:bottom w:val="single" w:sz="2" w:space="0" w:color="auto"/>
              <w:right w:val="single" w:sz="2" w:space="0" w:color="auto"/>
            </w:tcBorders>
            <w:vAlign w:val="center"/>
          </w:tcPr>
          <w:p w14:paraId="702A63C4" w14:textId="77777777" w:rsidR="004A1B07" w:rsidRPr="00D27BF1" w:rsidRDefault="004A1B07" w:rsidP="00A22F9C">
            <w:pPr>
              <w:pStyle w:val="Tabletext"/>
              <w:keepNext/>
              <w:keepLines/>
              <w:tabs>
                <w:tab w:val="left" w:pos="142"/>
              </w:tabs>
            </w:pPr>
            <w:r w:rsidRPr="00D27BF1">
              <w:t>0%</w:t>
            </w:r>
          </w:p>
        </w:tc>
        <w:tc>
          <w:tcPr>
            <w:tcW w:w="657" w:type="dxa"/>
            <w:tcBorders>
              <w:top w:val="single" w:sz="2" w:space="0" w:color="auto"/>
              <w:left w:val="single" w:sz="2" w:space="0" w:color="auto"/>
              <w:bottom w:val="single" w:sz="2" w:space="0" w:color="auto"/>
              <w:right w:val="single" w:sz="2" w:space="0" w:color="auto"/>
            </w:tcBorders>
            <w:vAlign w:val="center"/>
          </w:tcPr>
          <w:p w14:paraId="2542579B" w14:textId="77777777" w:rsidR="004A1B07" w:rsidRPr="00DD78A9" w:rsidRDefault="00DD78A9" w:rsidP="00A22F9C">
            <w:pPr>
              <w:pStyle w:val="Tabletext"/>
              <w:keepNext/>
              <w:keepLines/>
              <w:jc w:val="center"/>
              <w:rPr>
                <w:highlight w:val="black"/>
              </w:rPr>
            </w:pPr>
            <w:r>
              <w:rPr>
                <w:noProof/>
                <w:color w:val="000000"/>
                <w:highlight w:val="black"/>
              </w:rPr>
              <w:t>'''''''''''''''''''''</w:t>
            </w:r>
          </w:p>
        </w:tc>
        <w:tc>
          <w:tcPr>
            <w:tcW w:w="657" w:type="dxa"/>
            <w:tcBorders>
              <w:top w:val="single" w:sz="2" w:space="0" w:color="auto"/>
              <w:left w:val="single" w:sz="2" w:space="0" w:color="auto"/>
              <w:bottom w:val="single" w:sz="2" w:space="0" w:color="auto"/>
              <w:right w:val="single" w:sz="2" w:space="0" w:color="auto"/>
            </w:tcBorders>
            <w:vAlign w:val="center"/>
          </w:tcPr>
          <w:p w14:paraId="7D27A375" w14:textId="77777777" w:rsidR="004A1B07" w:rsidRPr="00D27BF1" w:rsidRDefault="004A1B07" w:rsidP="00A22F9C">
            <w:pPr>
              <w:pStyle w:val="Tabletext"/>
              <w:keepNext/>
              <w:keepLines/>
              <w:jc w:val="center"/>
            </w:pPr>
            <w:r w:rsidRPr="00D27BF1">
              <w:t>1.781</w:t>
            </w:r>
          </w:p>
        </w:tc>
        <w:tc>
          <w:tcPr>
            <w:tcW w:w="575" w:type="dxa"/>
            <w:tcBorders>
              <w:top w:val="single" w:sz="2" w:space="0" w:color="auto"/>
              <w:left w:val="single" w:sz="2" w:space="0" w:color="auto"/>
              <w:bottom w:val="single" w:sz="2" w:space="0" w:color="auto"/>
              <w:right w:val="single" w:sz="2" w:space="0" w:color="auto"/>
            </w:tcBorders>
            <w:vAlign w:val="center"/>
          </w:tcPr>
          <w:p w14:paraId="74B6AAA6" w14:textId="77777777" w:rsidR="004A1B07" w:rsidRPr="00DD78A9" w:rsidRDefault="00DD78A9" w:rsidP="00A22F9C">
            <w:pPr>
              <w:pStyle w:val="Tabletext"/>
              <w:keepNext/>
              <w:keepLines/>
              <w:jc w:val="center"/>
            </w:pPr>
            <w:r>
              <w:rPr>
                <w:noProof/>
                <w:color w:val="000000"/>
                <w:highlight w:val="black"/>
              </w:rPr>
              <w:t>'''''''''''''''''</w:t>
            </w:r>
            <w:r w:rsidR="00F2261F">
              <w:rPr>
                <w:vertAlign w:val="superscript"/>
              </w:rPr>
              <w:t>1</w:t>
            </w:r>
          </w:p>
        </w:tc>
        <w:tc>
          <w:tcPr>
            <w:tcW w:w="575" w:type="dxa"/>
            <w:tcBorders>
              <w:top w:val="single" w:sz="2" w:space="0" w:color="auto"/>
              <w:left w:val="single" w:sz="2" w:space="0" w:color="auto"/>
              <w:bottom w:val="single" w:sz="2" w:space="0" w:color="auto"/>
              <w:right w:val="single" w:sz="2" w:space="0" w:color="auto"/>
            </w:tcBorders>
            <w:vAlign w:val="center"/>
          </w:tcPr>
          <w:p w14:paraId="1EBD98EB" w14:textId="77777777" w:rsidR="004A1B07" w:rsidRPr="00D27BF1" w:rsidRDefault="004A1B07" w:rsidP="00A22F9C">
            <w:pPr>
              <w:pStyle w:val="Tabletext"/>
              <w:keepNext/>
              <w:keepLines/>
              <w:jc w:val="center"/>
            </w:pPr>
            <w:r w:rsidRPr="00D27BF1">
              <w:t>-3.4%</w:t>
            </w:r>
          </w:p>
        </w:tc>
      </w:tr>
      <w:tr w:rsidR="004A1B07" w:rsidRPr="00D27BF1" w14:paraId="460CD760" w14:textId="77777777" w:rsidTr="00A22F9C">
        <w:tc>
          <w:tcPr>
            <w:tcW w:w="737" w:type="dxa"/>
            <w:vMerge/>
            <w:tcBorders>
              <w:left w:val="single" w:sz="2" w:space="0" w:color="auto"/>
              <w:bottom w:val="single" w:sz="2" w:space="0" w:color="auto"/>
              <w:right w:val="single" w:sz="2" w:space="0" w:color="auto"/>
            </w:tcBorders>
          </w:tcPr>
          <w:p w14:paraId="1F7F0CD0" w14:textId="77777777" w:rsidR="004A1B07" w:rsidRPr="00D27BF1" w:rsidRDefault="004A1B07" w:rsidP="00A22F9C">
            <w:pPr>
              <w:pStyle w:val="Tabletext"/>
              <w:keepNext/>
              <w:keepLines/>
              <w:tabs>
                <w:tab w:val="left" w:pos="142"/>
              </w:tabs>
            </w:pPr>
          </w:p>
        </w:tc>
        <w:tc>
          <w:tcPr>
            <w:tcW w:w="904" w:type="dxa"/>
            <w:vMerge/>
            <w:tcBorders>
              <w:left w:val="single" w:sz="2" w:space="0" w:color="auto"/>
              <w:bottom w:val="single" w:sz="2" w:space="0" w:color="auto"/>
              <w:right w:val="single" w:sz="2" w:space="0" w:color="auto"/>
            </w:tcBorders>
            <w:vAlign w:val="center"/>
          </w:tcPr>
          <w:p w14:paraId="681B4813" w14:textId="77777777" w:rsidR="004A1B07" w:rsidRPr="00D27BF1" w:rsidRDefault="004A1B07" w:rsidP="00A22F9C">
            <w:pPr>
              <w:pStyle w:val="Tabletext"/>
              <w:keepNext/>
              <w:keepLines/>
              <w:tabs>
                <w:tab w:val="left" w:pos="142"/>
              </w:tabs>
            </w:pPr>
          </w:p>
        </w:tc>
        <w:tc>
          <w:tcPr>
            <w:tcW w:w="1151" w:type="dxa"/>
            <w:tcBorders>
              <w:top w:val="single" w:sz="2" w:space="0" w:color="auto"/>
              <w:left w:val="single" w:sz="2" w:space="0" w:color="auto"/>
              <w:bottom w:val="single" w:sz="2" w:space="0" w:color="auto"/>
              <w:right w:val="single" w:sz="2" w:space="0" w:color="auto"/>
            </w:tcBorders>
            <w:vAlign w:val="center"/>
          </w:tcPr>
          <w:p w14:paraId="79A8E9CC" w14:textId="77777777" w:rsidR="004A1B07" w:rsidRPr="00D27BF1" w:rsidRDefault="004A1B07" w:rsidP="00A22F9C">
            <w:pPr>
              <w:pStyle w:val="Tabletext"/>
              <w:keepNext/>
              <w:keepLines/>
              <w:tabs>
                <w:tab w:val="left" w:pos="142"/>
              </w:tabs>
            </w:pPr>
            <w:r w:rsidRPr="00D27BF1">
              <w:t>3.5%</w:t>
            </w:r>
          </w:p>
        </w:tc>
        <w:tc>
          <w:tcPr>
            <w:tcW w:w="657" w:type="dxa"/>
            <w:tcBorders>
              <w:top w:val="single" w:sz="2" w:space="0" w:color="auto"/>
              <w:left w:val="single" w:sz="2" w:space="0" w:color="auto"/>
              <w:bottom w:val="single" w:sz="2" w:space="0" w:color="auto"/>
              <w:right w:val="single" w:sz="2" w:space="0" w:color="auto"/>
            </w:tcBorders>
            <w:vAlign w:val="center"/>
          </w:tcPr>
          <w:p w14:paraId="601E42B3" w14:textId="77777777" w:rsidR="004A1B07" w:rsidRPr="00DD78A9" w:rsidRDefault="00DD78A9" w:rsidP="00A22F9C">
            <w:pPr>
              <w:pStyle w:val="Tabletext"/>
              <w:keepNext/>
              <w:keepLines/>
              <w:jc w:val="center"/>
              <w:rPr>
                <w:highlight w:val="black"/>
              </w:rPr>
            </w:pPr>
            <w:r>
              <w:rPr>
                <w:noProof/>
                <w:color w:val="000000"/>
                <w:highlight w:val="black"/>
              </w:rPr>
              <w:t>'''''''''''''''''''</w:t>
            </w:r>
          </w:p>
        </w:tc>
        <w:tc>
          <w:tcPr>
            <w:tcW w:w="657" w:type="dxa"/>
            <w:tcBorders>
              <w:top w:val="single" w:sz="2" w:space="0" w:color="auto"/>
              <w:left w:val="single" w:sz="2" w:space="0" w:color="auto"/>
              <w:bottom w:val="single" w:sz="2" w:space="0" w:color="auto"/>
              <w:right w:val="single" w:sz="2" w:space="0" w:color="auto"/>
            </w:tcBorders>
            <w:vAlign w:val="center"/>
          </w:tcPr>
          <w:p w14:paraId="03F1B628" w14:textId="77777777" w:rsidR="004A1B07" w:rsidRPr="00D27BF1" w:rsidRDefault="004A1B07" w:rsidP="00A22F9C">
            <w:pPr>
              <w:pStyle w:val="Tabletext"/>
              <w:keepNext/>
              <w:keepLines/>
              <w:jc w:val="center"/>
            </w:pPr>
            <w:r w:rsidRPr="00D27BF1">
              <w:t>1.093</w:t>
            </w:r>
          </w:p>
        </w:tc>
        <w:tc>
          <w:tcPr>
            <w:tcW w:w="575" w:type="dxa"/>
            <w:tcBorders>
              <w:top w:val="single" w:sz="2" w:space="0" w:color="auto"/>
              <w:left w:val="single" w:sz="2" w:space="0" w:color="auto"/>
              <w:bottom w:val="single" w:sz="2" w:space="0" w:color="auto"/>
              <w:right w:val="single" w:sz="2" w:space="0" w:color="auto"/>
            </w:tcBorders>
            <w:vAlign w:val="center"/>
          </w:tcPr>
          <w:p w14:paraId="6AE5C9EF" w14:textId="77777777" w:rsidR="004A1B07" w:rsidRPr="00DD78A9" w:rsidRDefault="00DD78A9" w:rsidP="00A22F9C">
            <w:pPr>
              <w:pStyle w:val="Tabletext"/>
              <w:keepNext/>
              <w:keepLines/>
              <w:jc w:val="center"/>
            </w:pPr>
            <w:r>
              <w:rPr>
                <w:noProof/>
                <w:color w:val="000000"/>
                <w:highlight w:val="black"/>
              </w:rPr>
              <w:t>'''''''''''''''''</w:t>
            </w:r>
            <w:r w:rsidR="00F2261F">
              <w:rPr>
                <w:vertAlign w:val="superscript"/>
              </w:rPr>
              <w:t>1</w:t>
            </w:r>
          </w:p>
        </w:tc>
        <w:tc>
          <w:tcPr>
            <w:tcW w:w="575" w:type="dxa"/>
            <w:tcBorders>
              <w:top w:val="single" w:sz="2" w:space="0" w:color="auto"/>
              <w:left w:val="single" w:sz="2" w:space="0" w:color="auto"/>
              <w:bottom w:val="single" w:sz="2" w:space="0" w:color="auto"/>
              <w:right w:val="single" w:sz="2" w:space="0" w:color="auto"/>
            </w:tcBorders>
            <w:vAlign w:val="center"/>
          </w:tcPr>
          <w:p w14:paraId="0C80D8E1" w14:textId="77777777" w:rsidR="004A1B07" w:rsidRPr="00D27BF1" w:rsidRDefault="004A1B07" w:rsidP="00A22F9C">
            <w:pPr>
              <w:pStyle w:val="Tabletext"/>
              <w:keepNext/>
              <w:keepLines/>
              <w:jc w:val="center"/>
            </w:pPr>
            <w:r w:rsidRPr="00D27BF1">
              <w:t>-1.1%</w:t>
            </w:r>
          </w:p>
        </w:tc>
      </w:tr>
      <w:tr w:rsidR="004A1B07" w:rsidRPr="00D27BF1" w14:paraId="420B80DD" w14:textId="77777777" w:rsidTr="00A22F9C">
        <w:tc>
          <w:tcPr>
            <w:tcW w:w="737" w:type="dxa"/>
            <w:tcBorders>
              <w:top w:val="single" w:sz="2" w:space="0" w:color="auto"/>
              <w:left w:val="single" w:sz="2" w:space="0" w:color="auto"/>
              <w:bottom w:val="single" w:sz="2" w:space="0" w:color="auto"/>
              <w:right w:val="single" w:sz="2" w:space="0" w:color="auto"/>
            </w:tcBorders>
            <w:vAlign w:val="center"/>
          </w:tcPr>
          <w:p w14:paraId="75AF5B15" w14:textId="77777777" w:rsidR="004A1B07" w:rsidRPr="00D27BF1" w:rsidRDefault="004A1B07" w:rsidP="00A22F9C">
            <w:pPr>
              <w:pStyle w:val="Tabletext"/>
              <w:keepNext/>
              <w:keepLines/>
              <w:tabs>
                <w:tab w:val="left" w:pos="142"/>
              </w:tabs>
            </w:pPr>
            <w:r w:rsidRPr="00D27BF1">
              <w:t>Population</w:t>
            </w:r>
          </w:p>
        </w:tc>
        <w:tc>
          <w:tcPr>
            <w:tcW w:w="904" w:type="dxa"/>
            <w:tcBorders>
              <w:top w:val="single" w:sz="2" w:space="0" w:color="auto"/>
              <w:left w:val="single" w:sz="2" w:space="0" w:color="auto"/>
              <w:bottom w:val="single" w:sz="2" w:space="0" w:color="auto"/>
              <w:right w:val="single" w:sz="2" w:space="0" w:color="auto"/>
            </w:tcBorders>
            <w:vAlign w:val="center"/>
          </w:tcPr>
          <w:p w14:paraId="63463355" w14:textId="77777777" w:rsidR="004A1B07" w:rsidRPr="00D27BF1" w:rsidRDefault="004A1B07" w:rsidP="00A22F9C">
            <w:pPr>
              <w:pStyle w:val="Tabletext"/>
              <w:keepNext/>
              <w:keepLines/>
              <w:tabs>
                <w:tab w:val="left" w:pos="142"/>
              </w:tabs>
            </w:pPr>
            <w:r w:rsidRPr="00D27BF1">
              <w:t>Baseline BEC ≥150 cells/µL</w:t>
            </w:r>
          </w:p>
        </w:tc>
        <w:tc>
          <w:tcPr>
            <w:tcW w:w="1151" w:type="dxa"/>
            <w:tcBorders>
              <w:top w:val="single" w:sz="2" w:space="0" w:color="auto"/>
              <w:left w:val="single" w:sz="2" w:space="0" w:color="auto"/>
              <w:bottom w:val="single" w:sz="2" w:space="0" w:color="auto"/>
              <w:right w:val="single" w:sz="2" w:space="0" w:color="auto"/>
            </w:tcBorders>
            <w:vAlign w:val="center"/>
          </w:tcPr>
          <w:p w14:paraId="172C23B7" w14:textId="77777777" w:rsidR="004A1B07" w:rsidRPr="00D27BF1" w:rsidRDefault="004A1B07" w:rsidP="00A22F9C">
            <w:pPr>
              <w:pStyle w:val="Tabletext"/>
              <w:keepNext/>
              <w:keepLines/>
              <w:tabs>
                <w:tab w:val="left" w:pos="142"/>
              </w:tabs>
            </w:pPr>
            <w:r w:rsidRPr="00D27BF1">
              <w:t>ITT population</w:t>
            </w:r>
          </w:p>
        </w:tc>
        <w:tc>
          <w:tcPr>
            <w:tcW w:w="657" w:type="dxa"/>
            <w:tcBorders>
              <w:top w:val="single" w:sz="2" w:space="0" w:color="auto"/>
              <w:left w:val="single" w:sz="2" w:space="0" w:color="auto"/>
              <w:bottom w:val="single" w:sz="2" w:space="0" w:color="auto"/>
              <w:right w:val="single" w:sz="2" w:space="0" w:color="auto"/>
            </w:tcBorders>
            <w:vAlign w:val="center"/>
          </w:tcPr>
          <w:p w14:paraId="1362E32C" w14:textId="77777777" w:rsidR="004A1B07" w:rsidRPr="00DD78A9" w:rsidRDefault="00DD78A9" w:rsidP="00A22F9C">
            <w:pPr>
              <w:pStyle w:val="Tabletext"/>
              <w:keepNext/>
              <w:keepLines/>
              <w:jc w:val="center"/>
              <w:rPr>
                <w:highlight w:val="black"/>
              </w:rPr>
            </w:pPr>
            <w:r>
              <w:rPr>
                <w:noProof/>
                <w:color w:val="000000"/>
                <w:highlight w:val="black"/>
              </w:rPr>
              <w:t>'''''''''''''''''</w:t>
            </w:r>
          </w:p>
        </w:tc>
        <w:tc>
          <w:tcPr>
            <w:tcW w:w="657" w:type="dxa"/>
            <w:tcBorders>
              <w:top w:val="single" w:sz="2" w:space="0" w:color="auto"/>
              <w:left w:val="single" w:sz="2" w:space="0" w:color="auto"/>
              <w:bottom w:val="single" w:sz="2" w:space="0" w:color="auto"/>
              <w:right w:val="single" w:sz="2" w:space="0" w:color="auto"/>
            </w:tcBorders>
            <w:vAlign w:val="center"/>
          </w:tcPr>
          <w:p w14:paraId="53B1D198" w14:textId="77777777" w:rsidR="004A1B07" w:rsidRPr="00D27BF1" w:rsidRDefault="004A1B07" w:rsidP="00A22F9C">
            <w:pPr>
              <w:pStyle w:val="Tabletext"/>
              <w:keepNext/>
              <w:keepLines/>
              <w:jc w:val="center"/>
            </w:pPr>
            <w:r w:rsidRPr="00D27BF1">
              <w:t>0.817</w:t>
            </w:r>
          </w:p>
        </w:tc>
        <w:tc>
          <w:tcPr>
            <w:tcW w:w="575" w:type="dxa"/>
            <w:tcBorders>
              <w:top w:val="single" w:sz="2" w:space="0" w:color="auto"/>
              <w:left w:val="single" w:sz="2" w:space="0" w:color="auto"/>
              <w:bottom w:val="single" w:sz="2" w:space="0" w:color="auto"/>
              <w:right w:val="single" w:sz="2" w:space="0" w:color="auto"/>
            </w:tcBorders>
            <w:vAlign w:val="center"/>
          </w:tcPr>
          <w:p w14:paraId="67C2A06A" w14:textId="77777777" w:rsidR="004A1B07" w:rsidRPr="00DD78A9" w:rsidRDefault="00DD78A9" w:rsidP="00A22F9C">
            <w:pPr>
              <w:pStyle w:val="Tabletext"/>
              <w:keepNext/>
              <w:keepLines/>
              <w:jc w:val="center"/>
            </w:pPr>
            <w:r>
              <w:rPr>
                <w:noProof/>
                <w:color w:val="000000"/>
                <w:highlight w:val="black"/>
              </w:rPr>
              <w:t>'''''''''''''''''''''</w:t>
            </w:r>
            <w:r w:rsidR="00F2261F">
              <w:rPr>
                <w:vertAlign w:val="superscript"/>
              </w:rPr>
              <w:t>1</w:t>
            </w:r>
          </w:p>
        </w:tc>
        <w:tc>
          <w:tcPr>
            <w:tcW w:w="575" w:type="dxa"/>
            <w:tcBorders>
              <w:top w:val="single" w:sz="2" w:space="0" w:color="auto"/>
              <w:left w:val="single" w:sz="2" w:space="0" w:color="auto"/>
              <w:bottom w:val="single" w:sz="2" w:space="0" w:color="auto"/>
              <w:right w:val="single" w:sz="2" w:space="0" w:color="auto"/>
            </w:tcBorders>
            <w:vAlign w:val="center"/>
          </w:tcPr>
          <w:p w14:paraId="3090E770" w14:textId="77777777" w:rsidR="004A1B07" w:rsidRPr="00D27BF1" w:rsidRDefault="004A1B07" w:rsidP="00A22F9C">
            <w:pPr>
              <w:pStyle w:val="Tabletext"/>
              <w:keepNext/>
              <w:keepLines/>
              <w:jc w:val="center"/>
            </w:pPr>
            <w:r w:rsidRPr="00D27BF1">
              <w:t>+11.8%</w:t>
            </w:r>
          </w:p>
        </w:tc>
      </w:tr>
      <w:tr w:rsidR="004A1B07" w:rsidRPr="00D27BF1" w14:paraId="774B9A30" w14:textId="77777777" w:rsidTr="00A22F9C">
        <w:tc>
          <w:tcPr>
            <w:tcW w:w="737" w:type="dxa"/>
            <w:vMerge w:val="restart"/>
            <w:tcBorders>
              <w:top w:val="single" w:sz="2" w:space="0" w:color="auto"/>
              <w:left w:val="single" w:sz="2" w:space="0" w:color="auto"/>
              <w:right w:val="single" w:sz="2" w:space="0" w:color="auto"/>
            </w:tcBorders>
            <w:vAlign w:val="center"/>
          </w:tcPr>
          <w:p w14:paraId="4E5B7B92" w14:textId="77777777" w:rsidR="004A1B07" w:rsidRPr="00D27BF1" w:rsidRDefault="004A1B07" w:rsidP="00A22F9C">
            <w:pPr>
              <w:pStyle w:val="Tabletext"/>
              <w:keepNext/>
              <w:keepLines/>
              <w:tabs>
                <w:tab w:val="left" w:pos="142"/>
              </w:tabs>
              <w:rPr>
                <w:iCs/>
              </w:rPr>
            </w:pPr>
            <w:r w:rsidRPr="00D27BF1">
              <w:rPr>
                <w:iCs/>
              </w:rPr>
              <w:t>Response rate at Week 24 and at Week 52</w:t>
            </w:r>
          </w:p>
        </w:tc>
        <w:tc>
          <w:tcPr>
            <w:tcW w:w="904" w:type="dxa"/>
            <w:vMerge w:val="restart"/>
            <w:tcBorders>
              <w:top w:val="single" w:sz="2" w:space="0" w:color="auto"/>
              <w:left w:val="single" w:sz="2" w:space="0" w:color="auto"/>
              <w:right w:val="single" w:sz="2" w:space="0" w:color="auto"/>
            </w:tcBorders>
            <w:vAlign w:val="center"/>
          </w:tcPr>
          <w:p w14:paraId="26A06F5A" w14:textId="77777777" w:rsidR="004A1B07" w:rsidRPr="00D27BF1" w:rsidRDefault="004A1B07" w:rsidP="00A22F9C">
            <w:pPr>
              <w:pStyle w:val="Tabletext"/>
              <w:keepNext/>
              <w:keepLines/>
              <w:tabs>
                <w:tab w:val="left" w:pos="142"/>
              </w:tabs>
              <w:rPr>
                <w:iCs/>
              </w:rPr>
            </w:pPr>
            <w:r w:rsidRPr="00D27BF1">
              <w:rPr>
                <w:iCs/>
              </w:rPr>
              <w:t>Mepolizumab – Week 24: 69.4%; Week 52: 60.2%</w:t>
            </w:r>
          </w:p>
          <w:p w14:paraId="73DC84F7" w14:textId="77777777" w:rsidR="004A1B07" w:rsidRPr="00D27BF1" w:rsidRDefault="004A1B07" w:rsidP="00A22F9C">
            <w:pPr>
              <w:pStyle w:val="Tabletext"/>
              <w:keepNext/>
              <w:keepLines/>
              <w:tabs>
                <w:tab w:val="left" w:pos="142"/>
              </w:tabs>
              <w:rPr>
                <w:iCs/>
              </w:rPr>
            </w:pPr>
            <w:r w:rsidRPr="00D27BF1">
              <w:rPr>
                <w:iCs/>
              </w:rPr>
              <w:t>SoC – Week 24: 46.5%; Week 52: 31.4%</w:t>
            </w:r>
          </w:p>
        </w:tc>
        <w:tc>
          <w:tcPr>
            <w:tcW w:w="1151" w:type="dxa"/>
            <w:tcBorders>
              <w:top w:val="single" w:sz="2" w:space="0" w:color="auto"/>
              <w:left w:val="single" w:sz="2" w:space="0" w:color="auto"/>
              <w:bottom w:val="single" w:sz="2" w:space="0" w:color="auto"/>
              <w:right w:val="single" w:sz="2" w:space="0" w:color="auto"/>
            </w:tcBorders>
            <w:vAlign w:val="center"/>
          </w:tcPr>
          <w:p w14:paraId="6DE5FD8D" w14:textId="77777777" w:rsidR="004A1B07" w:rsidRPr="00D27BF1" w:rsidRDefault="004A1B07" w:rsidP="00A22F9C">
            <w:pPr>
              <w:pStyle w:val="Tabletext"/>
              <w:keepNext/>
              <w:keepLines/>
              <w:tabs>
                <w:tab w:val="left" w:pos="142"/>
              </w:tabs>
            </w:pPr>
            <w:r w:rsidRPr="00D27BF1">
              <w:t>Use upper 95% CI for both*</w:t>
            </w:r>
          </w:p>
        </w:tc>
        <w:tc>
          <w:tcPr>
            <w:tcW w:w="657" w:type="dxa"/>
            <w:tcBorders>
              <w:top w:val="single" w:sz="2" w:space="0" w:color="auto"/>
              <w:left w:val="single" w:sz="2" w:space="0" w:color="auto"/>
              <w:bottom w:val="single" w:sz="2" w:space="0" w:color="auto"/>
              <w:right w:val="single" w:sz="2" w:space="0" w:color="auto"/>
            </w:tcBorders>
            <w:vAlign w:val="center"/>
          </w:tcPr>
          <w:p w14:paraId="2B3CF3F3" w14:textId="77777777" w:rsidR="004A1B07" w:rsidRPr="00DD78A9" w:rsidRDefault="00DD78A9" w:rsidP="00A22F9C">
            <w:pPr>
              <w:pStyle w:val="Tabletext"/>
              <w:keepNext/>
              <w:keepLines/>
              <w:jc w:val="center"/>
              <w:rPr>
                <w:highlight w:val="black"/>
              </w:rPr>
            </w:pPr>
            <w:r>
              <w:rPr>
                <w:noProof/>
                <w:color w:val="000000"/>
                <w:highlight w:val="black"/>
              </w:rPr>
              <w:t>'''''''''''''''''''''</w:t>
            </w:r>
          </w:p>
        </w:tc>
        <w:tc>
          <w:tcPr>
            <w:tcW w:w="657" w:type="dxa"/>
            <w:tcBorders>
              <w:top w:val="single" w:sz="2" w:space="0" w:color="auto"/>
              <w:left w:val="single" w:sz="2" w:space="0" w:color="auto"/>
              <w:bottom w:val="single" w:sz="2" w:space="0" w:color="auto"/>
              <w:right w:val="single" w:sz="2" w:space="0" w:color="auto"/>
            </w:tcBorders>
            <w:vAlign w:val="center"/>
          </w:tcPr>
          <w:p w14:paraId="5C677024" w14:textId="77777777" w:rsidR="004A1B07" w:rsidRPr="00D27BF1" w:rsidRDefault="004A1B07" w:rsidP="00A22F9C">
            <w:pPr>
              <w:pStyle w:val="Tabletext"/>
              <w:keepNext/>
              <w:keepLines/>
              <w:jc w:val="center"/>
            </w:pPr>
            <w:r w:rsidRPr="00D27BF1">
              <w:t>0.936</w:t>
            </w:r>
          </w:p>
        </w:tc>
        <w:tc>
          <w:tcPr>
            <w:tcW w:w="575" w:type="dxa"/>
            <w:tcBorders>
              <w:top w:val="single" w:sz="2" w:space="0" w:color="auto"/>
              <w:left w:val="single" w:sz="2" w:space="0" w:color="auto"/>
              <w:bottom w:val="single" w:sz="2" w:space="0" w:color="auto"/>
              <w:right w:val="single" w:sz="2" w:space="0" w:color="auto"/>
            </w:tcBorders>
            <w:vAlign w:val="center"/>
          </w:tcPr>
          <w:p w14:paraId="0745FE22" w14:textId="77777777" w:rsidR="004A1B07" w:rsidRPr="00DD78A9" w:rsidRDefault="00DD78A9" w:rsidP="00A22F9C">
            <w:pPr>
              <w:pStyle w:val="Tabletext"/>
              <w:keepNext/>
              <w:keepLines/>
              <w:jc w:val="center"/>
            </w:pPr>
            <w:r>
              <w:rPr>
                <w:noProof/>
                <w:color w:val="000000"/>
                <w:highlight w:val="black"/>
              </w:rPr>
              <w:t>''''''''''''''''''</w:t>
            </w:r>
            <w:r w:rsidR="00F2261F">
              <w:rPr>
                <w:vertAlign w:val="superscript"/>
              </w:rPr>
              <w:t>1</w:t>
            </w:r>
          </w:p>
        </w:tc>
        <w:tc>
          <w:tcPr>
            <w:tcW w:w="575" w:type="dxa"/>
            <w:tcBorders>
              <w:top w:val="single" w:sz="2" w:space="0" w:color="auto"/>
              <w:left w:val="single" w:sz="2" w:space="0" w:color="auto"/>
              <w:bottom w:val="single" w:sz="2" w:space="0" w:color="auto"/>
              <w:right w:val="single" w:sz="2" w:space="0" w:color="auto"/>
            </w:tcBorders>
            <w:vAlign w:val="center"/>
          </w:tcPr>
          <w:p w14:paraId="233304CB" w14:textId="77777777" w:rsidR="004A1B07" w:rsidRPr="00D27BF1" w:rsidRDefault="004A1B07" w:rsidP="00A22F9C">
            <w:pPr>
              <w:pStyle w:val="Tabletext"/>
              <w:keepNext/>
              <w:keepLines/>
              <w:jc w:val="center"/>
            </w:pPr>
            <w:r w:rsidRPr="00D27BF1">
              <w:t>+4.87%</w:t>
            </w:r>
          </w:p>
        </w:tc>
      </w:tr>
      <w:tr w:rsidR="004A1B07" w:rsidRPr="00D27BF1" w14:paraId="26BBFED4" w14:textId="77777777" w:rsidTr="00A22F9C">
        <w:tc>
          <w:tcPr>
            <w:tcW w:w="737" w:type="dxa"/>
            <w:vMerge/>
            <w:tcBorders>
              <w:left w:val="single" w:sz="2" w:space="0" w:color="auto"/>
              <w:right w:val="single" w:sz="2" w:space="0" w:color="auto"/>
            </w:tcBorders>
            <w:vAlign w:val="center"/>
          </w:tcPr>
          <w:p w14:paraId="2A67175A" w14:textId="77777777" w:rsidR="004A1B07" w:rsidRPr="00D27BF1" w:rsidRDefault="004A1B07" w:rsidP="00A22F9C">
            <w:pPr>
              <w:pStyle w:val="Tabletext"/>
              <w:keepNext/>
              <w:keepLines/>
              <w:tabs>
                <w:tab w:val="left" w:pos="142"/>
              </w:tabs>
              <w:rPr>
                <w:i/>
              </w:rPr>
            </w:pPr>
          </w:p>
        </w:tc>
        <w:tc>
          <w:tcPr>
            <w:tcW w:w="904" w:type="dxa"/>
            <w:vMerge/>
            <w:tcBorders>
              <w:left w:val="single" w:sz="2" w:space="0" w:color="auto"/>
              <w:right w:val="single" w:sz="2" w:space="0" w:color="auto"/>
            </w:tcBorders>
            <w:vAlign w:val="center"/>
          </w:tcPr>
          <w:p w14:paraId="4FF7B189" w14:textId="77777777" w:rsidR="004A1B07" w:rsidRPr="00D27BF1" w:rsidRDefault="004A1B07" w:rsidP="00A22F9C">
            <w:pPr>
              <w:pStyle w:val="Tabletext"/>
              <w:keepNext/>
              <w:keepLines/>
              <w:tabs>
                <w:tab w:val="left" w:pos="142"/>
              </w:tabs>
              <w:rPr>
                <w:i/>
              </w:rPr>
            </w:pPr>
          </w:p>
        </w:tc>
        <w:tc>
          <w:tcPr>
            <w:tcW w:w="1151" w:type="dxa"/>
            <w:tcBorders>
              <w:top w:val="single" w:sz="2" w:space="0" w:color="auto"/>
              <w:left w:val="single" w:sz="2" w:space="0" w:color="auto"/>
              <w:bottom w:val="single" w:sz="2" w:space="0" w:color="auto"/>
              <w:right w:val="single" w:sz="2" w:space="0" w:color="auto"/>
            </w:tcBorders>
            <w:vAlign w:val="center"/>
          </w:tcPr>
          <w:p w14:paraId="6C62A670" w14:textId="77777777" w:rsidR="004A1B07" w:rsidRPr="00D27BF1" w:rsidRDefault="004A1B07" w:rsidP="00A22F9C">
            <w:pPr>
              <w:pStyle w:val="Tabletext"/>
              <w:keepNext/>
              <w:keepLines/>
              <w:tabs>
                <w:tab w:val="left" w:pos="142"/>
              </w:tabs>
            </w:pPr>
            <w:r w:rsidRPr="00D27BF1">
              <w:t>Use lower 95% CI for both*</w:t>
            </w:r>
          </w:p>
        </w:tc>
        <w:tc>
          <w:tcPr>
            <w:tcW w:w="657" w:type="dxa"/>
            <w:tcBorders>
              <w:top w:val="single" w:sz="2" w:space="0" w:color="auto"/>
              <w:left w:val="single" w:sz="2" w:space="0" w:color="auto"/>
              <w:bottom w:val="single" w:sz="2" w:space="0" w:color="auto"/>
              <w:right w:val="single" w:sz="2" w:space="0" w:color="auto"/>
            </w:tcBorders>
            <w:vAlign w:val="center"/>
          </w:tcPr>
          <w:p w14:paraId="1F981671" w14:textId="77777777" w:rsidR="004A1B07" w:rsidRPr="00DD78A9" w:rsidRDefault="00DD78A9" w:rsidP="00A22F9C">
            <w:pPr>
              <w:pStyle w:val="Tabletext"/>
              <w:keepNext/>
              <w:keepLines/>
              <w:jc w:val="center"/>
              <w:rPr>
                <w:highlight w:val="black"/>
              </w:rPr>
            </w:pPr>
            <w:r>
              <w:rPr>
                <w:noProof/>
                <w:color w:val="000000"/>
                <w:highlight w:val="black"/>
              </w:rPr>
              <w:t>''''''''''''''''''</w:t>
            </w:r>
          </w:p>
        </w:tc>
        <w:tc>
          <w:tcPr>
            <w:tcW w:w="657" w:type="dxa"/>
            <w:tcBorders>
              <w:top w:val="single" w:sz="2" w:space="0" w:color="auto"/>
              <w:left w:val="single" w:sz="2" w:space="0" w:color="auto"/>
              <w:bottom w:val="single" w:sz="2" w:space="0" w:color="auto"/>
              <w:right w:val="single" w:sz="2" w:space="0" w:color="auto"/>
            </w:tcBorders>
            <w:vAlign w:val="center"/>
          </w:tcPr>
          <w:p w14:paraId="28A1BB5A" w14:textId="77777777" w:rsidR="004A1B07" w:rsidRPr="00D27BF1" w:rsidRDefault="004A1B07" w:rsidP="00A22F9C">
            <w:pPr>
              <w:pStyle w:val="Tabletext"/>
              <w:keepNext/>
              <w:keepLines/>
              <w:jc w:val="center"/>
            </w:pPr>
            <w:r w:rsidRPr="00D27BF1">
              <w:t>0.873</w:t>
            </w:r>
          </w:p>
        </w:tc>
        <w:tc>
          <w:tcPr>
            <w:tcW w:w="575" w:type="dxa"/>
            <w:tcBorders>
              <w:top w:val="single" w:sz="2" w:space="0" w:color="auto"/>
              <w:left w:val="single" w:sz="2" w:space="0" w:color="auto"/>
              <w:bottom w:val="single" w:sz="2" w:space="0" w:color="auto"/>
              <w:right w:val="single" w:sz="2" w:space="0" w:color="auto"/>
            </w:tcBorders>
            <w:vAlign w:val="center"/>
          </w:tcPr>
          <w:p w14:paraId="5F9D3E6A" w14:textId="77777777" w:rsidR="004A1B07" w:rsidRPr="00DD78A9" w:rsidRDefault="00DD78A9" w:rsidP="00A22F9C">
            <w:pPr>
              <w:pStyle w:val="Tabletext"/>
              <w:keepNext/>
              <w:keepLines/>
              <w:jc w:val="center"/>
            </w:pPr>
            <w:r>
              <w:rPr>
                <w:noProof/>
                <w:color w:val="000000"/>
                <w:highlight w:val="black"/>
              </w:rPr>
              <w:t>'''''''''''''''''</w:t>
            </w:r>
            <w:r w:rsidR="00F2261F">
              <w:rPr>
                <w:vertAlign w:val="superscript"/>
              </w:rPr>
              <w:t>1</w:t>
            </w:r>
          </w:p>
        </w:tc>
        <w:tc>
          <w:tcPr>
            <w:tcW w:w="575" w:type="dxa"/>
            <w:tcBorders>
              <w:top w:val="single" w:sz="2" w:space="0" w:color="auto"/>
              <w:left w:val="single" w:sz="2" w:space="0" w:color="auto"/>
              <w:bottom w:val="single" w:sz="2" w:space="0" w:color="auto"/>
              <w:right w:val="single" w:sz="2" w:space="0" w:color="auto"/>
            </w:tcBorders>
            <w:vAlign w:val="center"/>
          </w:tcPr>
          <w:p w14:paraId="2E7056BB" w14:textId="77777777" w:rsidR="004A1B07" w:rsidRPr="00D27BF1" w:rsidRDefault="004A1B07" w:rsidP="00A22F9C">
            <w:pPr>
              <w:pStyle w:val="Tabletext"/>
              <w:keepNext/>
              <w:keepLines/>
              <w:jc w:val="center"/>
            </w:pPr>
            <w:r w:rsidRPr="00D27BF1">
              <w:t>-4.61%</w:t>
            </w:r>
          </w:p>
        </w:tc>
      </w:tr>
      <w:tr w:rsidR="004A1B07" w:rsidRPr="00D27BF1" w14:paraId="096FD386" w14:textId="77777777" w:rsidTr="00A22F9C">
        <w:trPr>
          <w:trHeight w:val="37"/>
        </w:trPr>
        <w:tc>
          <w:tcPr>
            <w:tcW w:w="737" w:type="dxa"/>
            <w:vMerge/>
            <w:tcBorders>
              <w:left w:val="single" w:sz="2" w:space="0" w:color="auto"/>
              <w:bottom w:val="single" w:sz="2" w:space="0" w:color="auto"/>
              <w:right w:val="single" w:sz="2" w:space="0" w:color="auto"/>
            </w:tcBorders>
            <w:vAlign w:val="center"/>
          </w:tcPr>
          <w:p w14:paraId="152BDC04" w14:textId="77777777" w:rsidR="004A1B07" w:rsidRPr="00D27BF1" w:rsidRDefault="004A1B07" w:rsidP="00A22F9C">
            <w:pPr>
              <w:pStyle w:val="Tabletext"/>
              <w:keepNext/>
              <w:keepLines/>
              <w:tabs>
                <w:tab w:val="left" w:pos="142"/>
              </w:tabs>
              <w:rPr>
                <w:i/>
              </w:rPr>
            </w:pPr>
          </w:p>
        </w:tc>
        <w:tc>
          <w:tcPr>
            <w:tcW w:w="904" w:type="dxa"/>
            <w:vMerge/>
            <w:tcBorders>
              <w:left w:val="single" w:sz="2" w:space="0" w:color="auto"/>
              <w:bottom w:val="single" w:sz="2" w:space="0" w:color="auto"/>
              <w:right w:val="single" w:sz="2" w:space="0" w:color="auto"/>
            </w:tcBorders>
            <w:vAlign w:val="center"/>
          </w:tcPr>
          <w:p w14:paraId="4EA4467E" w14:textId="77777777" w:rsidR="004A1B07" w:rsidRPr="00D27BF1" w:rsidRDefault="004A1B07" w:rsidP="00A22F9C">
            <w:pPr>
              <w:pStyle w:val="Tabletext"/>
              <w:keepNext/>
              <w:keepLines/>
              <w:tabs>
                <w:tab w:val="left" w:pos="142"/>
              </w:tabs>
              <w:rPr>
                <w:i/>
              </w:rPr>
            </w:pPr>
          </w:p>
        </w:tc>
        <w:tc>
          <w:tcPr>
            <w:tcW w:w="1151" w:type="dxa"/>
            <w:tcBorders>
              <w:top w:val="single" w:sz="2" w:space="0" w:color="auto"/>
              <w:left w:val="single" w:sz="2" w:space="0" w:color="auto"/>
              <w:bottom w:val="single" w:sz="2" w:space="0" w:color="auto"/>
              <w:right w:val="single" w:sz="2" w:space="0" w:color="auto"/>
            </w:tcBorders>
            <w:vAlign w:val="center"/>
          </w:tcPr>
          <w:p w14:paraId="0F311CBA" w14:textId="77777777" w:rsidR="004A1B07" w:rsidRPr="00D27BF1" w:rsidRDefault="004A1B07" w:rsidP="00A22F9C">
            <w:pPr>
              <w:pStyle w:val="Tabletext"/>
              <w:keepNext/>
              <w:keepLines/>
              <w:tabs>
                <w:tab w:val="left" w:pos="142"/>
              </w:tabs>
            </w:pPr>
            <w:r w:rsidRPr="00D27BF1">
              <w:t>Use lower 95% for mepolizumab and upper 95% for SoC*</w:t>
            </w:r>
          </w:p>
        </w:tc>
        <w:tc>
          <w:tcPr>
            <w:tcW w:w="657" w:type="dxa"/>
            <w:tcBorders>
              <w:top w:val="single" w:sz="2" w:space="0" w:color="auto"/>
              <w:left w:val="single" w:sz="2" w:space="0" w:color="auto"/>
              <w:bottom w:val="single" w:sz="2" w:space="0" w:color="auto"/>
              <w:right w:val="single" w:sz="2" w:space="0" w:color="auto"/>
            </w:tcBorders>
            <w:vAlign w:val="center"/>
          </w:tcPr>
          <w:p w14:paraId="6A27D3F3" w14:textId="77777777" w:rsidR="004A1B07" w:rsidRPr="00DD78A9" w:rsidRDefault="00DD78A9" w:rsidP="00A22F9C">
            <w:pPr>
              <w:pStyle w:val="Tabletext"/>
              <w:keepNext/>
              <w:keepLines/>
              <w:jc w:val="center"/>
              <w:rPr>
                <w:highlight w:val="black"/>
              </w:rPr>
            </w:pPr>
            <w:r>
              <w:rPr>
                <w:noProof/>
                <w:color w:val="000000"/>
                <w:highlight w:val="black"/>
              </w:rPr>
              <w:t>''''''''''''''''''</w:t>
            </w:r>
          </w:p>
        </w:tc>
        <w:tc>
          <w:tcPr>
            <w:tcW w:w="657" w:type="dxa"/>
            <w:tcBorders>
              <w:top w:val="single" w:sz="2" w:space="0" w:color="auto"/>
              <w:left w:val="single" w:sz="2" w:space="0" w:color="auto"/>
              <w:bottom w:val="single" w:sz="2" w:space="0" w:color="auto"/>
              <w:right w:val="single" w:sz="2" w:space="0" w:color="auto"/>
            </w:tcBorders>
            <w:vAlign w:val="center"/>
          </w:tcPr>
          <w:p w14:paraId="14FAFCF4" w14:textId="77777777" w:rsidR="004A1B07" w:rsidRPr="00D27BF1" w:rsidRDefault="004A1B07" w:rsidP="00A22F9C">
            <w:pPr>
              <w:pStyle w:val="Tabletext"/>
              <w:keepNext/>
              <w:keepLines/>
              <w:jc w:val="center"/>
            </w:pPr>
            <w:r w:rsidRPr="00D27BF1">
              <w:t>0.690</w:t>
            </w:r>
          </w:p>
        </w:tc>
        <w:tc>
          <w:tcPr>
            <w:tcW w:w="575" w:type="dxa"/>
            <w:tcBorders>
              <w:top w:val="single" w:sz="2" w:space="0" w:color="auto"/>
              <w:left w:val="single" w:sz="2" w:space="0" w:color="auto"/>
              <w:bottom w:val="single" w:sz="2" w:space="0" w:color="auto"/>
              <w:right w:val="single" w:sz="2" w:space="0" w:color="auto"/>
            </w:tcBorders>
            <w:vAlign w:val="center"/>
          </w:tcPr>
          <w:p w14:paraId="7BC6D0CA" w14:textId="77777777" w:rsidR="004A1B07" w:rsidRPr="00DD78A9" w:rsidRDefault="00DD78A9" w:rsidP="00A22F9C">
            <w:pPr>
              <w:pStyle w:val="Tabletext"/>
              <w:keepNext/>
              <w:keepLines/>
              <w:jc w:val="center"/>
            </w:pPr>
            <w:r>
              <w:rPr>
                <w:noProof/>
                <w:color w:val="000000"/>
                <w:highlight w:val="black"/>
              </w:rPr>
              <w:t>'''''''''''''''''</w:t>
            </w:r>
            <w:r w:rsidR="00F2261F">
              <w:rPr>
                <w:vertAlign w:val="superscript"/>
              </w:rPr>
              <w:t>3</w:t>
            </w:r>
          </w:p>
        </w:tc>
        <w:tc>
          <w:tcPr>
            <w:tcW w:w="575" w:type="dxa"/>
            <w:tcBorders>
              <w:top w:val="single" w:sz="2" w:space="0" w:color="auto"/>
              <w:left w:val="single" w:sz="2" w:space="0" w:color="auto"/>
              <w:bottom w:val="single" w:sz="2" w:space="0" w:color="auto"/>
              <w:right w:val="single" w:sz="2" w:space="0" w:color="auto"/>
            </w:tcBorders>
            <w:vAlign w:val="center"/>
          </w:tcPr>
          <w:p w14:paraId="1544BF69" w14:textId="77777777" w:rsidR="004A1B07" w:rsidRPr="00D27BF1" w:rsidRDefault="004A1B07" w:rsidP="00A22F9C">
            <w:pPr>
              <w:pStyle w:val="Tabletext"/>
              <w:keepNext/>
              <w:keepLines/>
              <w:jc w:val="center"/>
            </w:pPr>
            <w:r w:rsidRPr="00D27BF1">
              <w:t>+22.96%</w:t>
            </w:r>
          </w:p>
        </w:tc>
      </w:tr>
      <w:tr w:rsidR="004A1B07" w:rsidRPr="00D27BF1" w14:paraId="55B627FE" w14:textId="77777777" w:rsidTr="00A22F9C">
        <w:tc>
          <w:tcPr>
            <w:tcW w:w="737" w:type="dxa"/>
            <w:tcBorders>
              <w:top w:val="single" w:sz="2" w:space="0" w:color="auto"/>
              <w:left w:val="single" w:sz="2" w:space="0" w:color="auto"/>
              <w:bottom w:val="single" w:sz="2" w:space="0" w:color="auto"/>
              <w:right w:val="single" w:sz="2" w:space="0" w:color="auto"/>
            </w:tcBorders>
            <w:vAlign w:val="center"/>
          </w:tcPr>
          <w:p w14:paraId="22126DE2" w14:textId="77777777" w:rsidR="004A1B07" w:rsidRPr="00D27BF1" w:rsidRDefault="004A1B07" w:rsidP="00A22F9C">
            <w:pPr>
              <w:pStyle w:val="Tabletext"/>
              <w:tabs>
                <w:tab w:val="left" w:pos="142"/>
              </w:tabs>
              <w:rPr>
                <w:iCs/>
              </w:rPr>
            </w:pPr>
            <w:r w:rsidRPr="00D27BF1">
              <w:rPr>
                <w:iCs/>
              </w:rPr>
              <w:t>Loss of effect after 52 weeks</w:t>
            </w:r>
          </w:p>
        </w:tc>
        <w:tc>
          <w:tcPr>
            <w:tcW w:w="904" w:type="dxa"/>
            <w:tcBorders>
              <w:top w:val="single" w:sz="2" w:space="0" w:color="auto"/>
              <w:left w:val="single" w:sz="2" w:space="0" w:color="auto"/>
              <w:bottom w:val="single" w:sz="2" w:space="0" w:color="auto"/>
              <w:right w:val="single" w:sz="2" w:space="0" w:color="auto"/>
            </w:tcBorders>
            <w:vAlign w:val="center"/>
          </w:tcPr>
          <w:p w14:paraId="380E4567" w14:textId="77777777" w:rsidR="004A1B07" w:rsidRPr="00D27BF1" w:rsidRDefault="004A1B07" w:rsidP="00A22F9C">
            <w:pPr>
              <w:pStyle w:val="Tabletext"/>
              <w:tabs>
                <w:tab w:val="left" w:pos="142"/>
              </w:tabs>
              <w:rPr>
                <w:iCs/>
              </w:rPr>
            </w:pPr>
            <w:r w:rsidRPr="00D27BF1">
              <w:rPr>
                <w:iCs/>
              </w:rPr>
              <w:t>Assume 0% loss of response</w:t>
            </w:r>
          </w:p>
        </w:tc>
        <w:tc>
          <w:tcPr>
            <w:tcW w:w="1151" w:type="dxa"/>
            <w:tcBorders>
              <w:top w:val="single" w:sz="2" w:space="0" w:color="auto"/>
              <w:left w:val="single" w:sz="2" w:space="0" w:color="auto"/>
              <w:bottom w:val="single" w:sz="2" w:space="0" w:color="auto"/>
              <w:right w:val="single" w:sz="2" w:space="0" w:color="auto"/>
            </w:tcBorders>
            <w:vAlign w:val="center"/>
          </w:tcPr>
          <w:p w14:paraId="16895324" w14:textId="77777777" w:rsidR="004A1B07" w:rsidRPr="00D27BF1" w:rsidRDefault="004A1B07" w:rsidP="00A22F9C">
            <w:pPr>
              <w:pStyle w:val="Tabletext"/>
              <w:tabs>
                <w:tab w:val="left" w:pos="142"/>
              </w:tabs>
              <w:rPr>
                <w:iCs/>
              </w:rPr>
            </w:pPr>
            <w:r w:rsidRPr="00D27BF1">
              <w:rPr>
                <w:iCs/>
              </w:rPr>
              <w:t>Assume 2</w:t>
            </w:r>
            <w:r>
              <w:rPr>
                <w:iCs/>
              </w:rPr>
              <w:t>4</w:t>
            </w:r>
            <w:r w:rsidRPr="00D27BF1">
              <w:rPr>
                <w:iCs/>
              </w:rPr>
              <w:t>.</w:t>
            </w:r>
            <w:r>
              <w:rPr>
                <w:iCs/>
              </w:rPr>
              <w:t>6</w:t>
            </w:r>
            <w:r w:rsidRPr="00D27BF1">
              <w:rPr>
                <w:iCs/>
              </w:rPr>
              <w:t>%</w:t>
            </w:r>
            <w:r w:rsidRPr="004A1B07">
              <w:rPr>
                <w:iCs/>
                <w:vertAlign w:val="superscript"/>
              </w:rPr>
              <w:t>†</w:t>
            </w:r>
            <w:r w:rsidRPr="00D27BF1">
              <w:rPr>
                <w:iCs/>
              </w:rPr>
              <w:t xml:space="preserve"> loss of response (corresponds to 13.2% loss of response from Week 24 to 52 in SYNAPSE)*</w:t>
            </w:r>
          </w:p>
        </w:tc>
        <w:tc>
          <w:tcPr>
            <w:tcW w:w="657" w:type="dxa"/>
            <w:tcBorders>
              <w:top w:val="single" w:sz="2" w:space="0" w:color="auto"/>
              <w:left w:val="single" w:sz="2" w:space="0" w:color="auto"/>
              <w:bottom w:val="single" w:sz="2" w:space="0" w:color="auto"/>
              <w:right w:val="single" w:sz="2" w:space="0" w:color="auto"/>
            </w:tcBorders>
            <w:vAlign w:val="center"/>
          </w:tcPr>
          <w:p w14:paraId="2D4753F0" w14:textId="77777777" w:rsidR="004A1B07" w:rsidRPr="00DD78A9" w:rsidRDefault="00DD78A9" w:rsidP="00A22F9C">
            <w:pPr>
              <w:pStyle w:val="Tabletext"/>
              <w:jc w:val="center"/>
              <w:rPr>
                <w:highlight w:val="black"/>
              </w:rPr>
            </w:pPr>
            <w:r>
              <w:rPr>
                <w:noProof/>
                <w:color w:val="000000"/>
                <w:highlight w:val="black"/>
              </w:rPr>
              <w:t>'''''''''''''''''</w:t>
            </w:r>
          </w:p>
        </w:tc>
        <w:tc>
          <w:tcPr>
            <w:tcW w:w="657" w:type="dxa"/>
            <w:tcBorders>
              <w:top w:val="single" w:sz="2" w:space="0" w:color="auto"/>
              <w:left w:val="single" w:sz="2" w:space="0" w:color="auto"/>
              <w:bottom w:val="single" w:sz="2" w:space="0" w:color="auto"/>
              <w:right w:val="single" w:sz="2" w:space="0" w:color="auto"/>
            </w:tcBorders>
            <w:vAlign w:val="center"/>
          </w:tcPr>
          <w:p w14:paraId="246BD915" w14:textId="77777777" w:rsidR="004A1B07" w:rsidRPr="00D27BF1" w:rsidRDefault="004A1B07" w:rsidP="00A22F9C">
            <w:pPr>
              <w:pStyle w:val="Tabletext"/>
              <w:jc w:val="center"/>
            </w:pPr>
            <w:r w:rsidRPr="00D27BF1">
              <w:t>0.2</w:t>
            </w:r>
            <w:r>
              <w:t>19</w:t>
            </w:r>
          </w:p>
        </w:tc>
        <w:tc>
          <w:tcPr>
            <w:tcW w:w="575" w:type="dxa"/>
            <w:tcBorders>
              <w:top w:val="single" w:sz="2" w:space="0" w:color="auto"/>
              <w:left w:val="single" w:sz="2" w:space="0" w:color="auto"/>
              <w:bottom w:val="single" w:sz="2" w:space="0" w:color="auto"/>
              <w:right w:val="single" w:sz="2" w:space="0" w:color="auto"/>
            </w:tcBorders>
            <w:vAlign w:val="center"/>
          </w:tcPr>
          <w:p w14:paraId="5873CBA0" w14:textId="77777777" w:rsidR="004A1B07" w:rsidRPr="00DD78A9" w:rsidRDefault="00DD78A9" w:rsidP="00A22F9C">
            <w:pPr>
              <w:pStyle w:val="Tabletext"/>
              <w:jc w:val="center"/>
            </w:pPr>
            <w:r>
              <w:rPr>
                <w:noProof/>
                <w:color w:val="000000"/>
                <w:highlight w:val="black"/>
              </w:rPr>
              <w:t>''''''''''''''''''''</w:t>
            </w:r>
            <w:r w:rsidR="00F2261F">
              <w:rPr>
                <w:vertAlign w:val="superscript"/>
              </w:rPr>
              <w:t>1</w:t>
            </w:r>
          </w:p>
        </w:tc>
        <w:tc>
          <w:tcPr>
            <w:tcW w:w="575" w:type="dxa"/>
            <w:tcBorders>
              <w:top w:val="single" w:sz="2" w:space="0" w:color="auto"/>
              <w:left w:val="single" w:sz="2" w:space="0" w:color="auto"/>
              <w:bottom w:val="single" w:sz="2" w:space="0" w:color="auto"/>
              <w:right w:val="single" w:sz="2" w:space="0" w:color="auto"/>
            </w:tcBorders>
            <w:vAlign w:val="center"/>
          </w:tcPr>
          <w:p w14:paraId="6D57A086" w14:textId="77777777" w:rsidR="004A1B07" w:rsidRPr="00D27BF1" w:rsidRDefault="004A1B07" w:rsidP="00A22F9C">
            <w:pPr>
              <w:pStyle w:val="Tabletext"/>
              <w:jc w:val="center"/>
            </w:pPr>
            <w:r w:rsidRPr="00D27BF1">
              <w:t>+1</w:t>
            </w:r>
            <w:r>
              <w:t>2</w:t>
            </w:r>
            <w:r w:rsidRPr="00D27BF1">
              <w:t>.</w:t>
            </w:r>
            <w:r>
              <w:t>68</w:t>
            </w:r>
            <w:r w:rsidRPr="00D27BF1">
              <w:t>%</w:t>
            </w:r>
          </w:p>
        </w:tc>
      </w:tr>
      <w:tr w:rsidR="004A1B07" w:rsidRPr="00D27BF1" w14:paraId="4618D59F" w14:textId="77777777" w:rsidTr="00A22F9C">
        <w:tc>
          <w:tcPr>
            <w:tcW w:w="737" w:type="dxa"/>
            <w:tcBorders>
              <w:top w:val="single" w:sz="2" w:space="0" w:color="auto"/>
              <w:left w:val="single" w:sz="2" w:space="0" w:color="auto"/>
              <w:bottom w:val="single" w:sz="2" w:space="0" w:color="auto"/>
              <w:right w:val="single" w:sz="2" w:space="0" w:color="auto"/>
            </w:tcBorders>
            <w:vAlign w:val="center"/>
          </w:tcPr>
          <w:p w14:paraId="48292A18" w14:textId="77777777" w:rsidR="004A1B07" w:rsidRPr="004A1B07" w:rsidRDefault="004A1B07" w:rsidP="00A22F9C">
            <w:pPr>
              <w:pStyle w:val="Tabletext"/>
              <w:tabs>
                <w:tab w:val="left" w:pos="142"/>
              </w:tabs>
            </w:pPr>
            <w:r w:rsidRPr="004A1B07">
              <w:t>Utility</w:t>
            </w:r>
          </w:p>
        </w:tc>
        <w:tc>
          <w:tcPr>
            <w:tcW w:w="904" w:type="dxa"/>
            <w:tcBorders>
              <w:top w:val="single" w:sz="2" w:space="0" w:color="auto"/>
              <w:left w:val="single" w:sz="2" w:space="0" w:color="auto"/>
              <w:bottom w:val="single" w:sz="2" w:space="0" w:color="auto"/>
              <w:right w:val="single" w:sz="2" w:space="0" w:color="auto"/>
            </w:tcBorders>
            <w:vAlign w:val="center"/>
          </w:tcPr>
          <w:p w14:paraId="6E40A6FE" w14:textId="77777777" w:rsidR="004A1B07" w:rsidRPr="004A1B07" w:rsidRDefault="004A1B07" w:rsidP="00A22F9C">
            <w:pPr>
              <w:pStyle w:val="Tabletext"/>
              <w:tabs>
                <w:tab w:val="left" w:pos="142"/>
              </w:tabs>
            </w:pPr>
            <w:r w:rsidRPr="004A1B07">
              <w:t>Differed by responder status and treatment arm</w:t>
            </w:r>
          </w:p>
        </w:tc>
        <w:tc>
          <w:tcPr>
            <w:tcW w:w="1151" w:type="dxa"/>
            <w:tcBorders>
              <w:top w:val="single" w:sz="2" w:space="0" w:color="auto"/>
              <w:left w:val="single" w:sz="2" w:space="0" w:color="auto"/>
              <w:bottom w:val="single" w:sz="2" w:space="0" w:color="auto"/>
              <w:right w:val="single" w:sz="2" w:space="0" w:color="auto"/>
            </w:tcBorders>
            <w:vAlign w:val="center"/>
          </w:tcPr>
          <w:p w14:paraId="41535B07" w14:textId="77777777" w:rsidR="004A1B07" w:rsidRPr="004A1B07" w:rsidRDefault="004A1B07" w:rsidP="00A22F9C">
            <w:pPr>
              <w:pStyle w:val="Tabletext"/>
              <w:tabs>
                <w:tab w:val="left" w:pos="142"/>
              </w:tabs>
            </w:pPr>
            <w:r w:rsidRPr="004A1B07">
              <w:t>SoC responder utility applied to both arms from Week 52*</w:t>
            </w:r>
          </w:p>
        </w:tc>
        <w:tc>
          <w:tcPr>
            <w:tcW w:w="657" w:type="dxa"/>
            <w:tcBorders>
              <w:top w:val="single" w:sz="2" w:space="0" w:color="auto"/>
              <w:left w:val="single" w:sz="2" w:space="0" w:color="auto"/>
              <w:bottom w:val="single" w:sz="2" w:space="0" w:color="auto"/>
              <w:right w:val="single" w:sz="2" w:space="0" w:color="auto"/>
            </w:tcBorders>
            <w:vAlign w:val="center"/>
          </w:tcPr>
          <w:p w14:paraId="35D80604" w14:textId="77777777" w:rsidR="004A1B07" w:rsidRPr="00DD78A9" w:rsidRDefault="00DD78A9" w:rsidP="00A22F9C">
            <w:pPr>
              <w:pStyle w:val="Tabletext"/>
              <w:jc w:val="center"/>
              <w:rPr>
                <w:highlight w:val="black"/>
              </w:rPr>
            </w:pPr>
            <w:r>
              <w:rPr>
                <w:noProof/>
                <w:color w:val="000000"/>
                <w:highlight w:val="black"/>
              </w:rPr>
              <w:t>''''''''''''''''''</w:t>
            </w:r>
          </w:p>
        </w:tc>
        <w:tc>
          <w:tcPr>
            <w:tcW w:w="657" w:type="dxa"/>
            <w:tcBorders>
              <w:top w:val="single" w:sz="2" w:space="0" w:color="auto"/>
              <w:left w:val="single" w:sz="2" w:space="0" w:color="auto"/>
              <w:bottom w:val="single" w:sz="2" w:space="0" w:color="auto"/>
              <w:right w:val="single" w:sz="2" w:space="0" w:color="auto"/>
            </w:tcBorders>
            <w:vAlign w:val="center"/>
          </w:tcPr>
          <w:p w14:paraId="3B6BA590" w14:textId="77777777" w:rsidR="004A1B07" w:rsidRPr="004A1B07" w:rsidRDefault="004A1B07" w:rsidP="00A22F9C">
            <w:pPr>
              <w:pStyle w:val="Tabletext"/>
              <w:jc w:val="center"/>
            </w:pPr>
            <w:r w:rsidRPr="004A1B07">
              <w:t>0.596</w:t>
            </w:r>
          </w:p>
        </w:tc>
        <w:tc>
          <w:tcPr>
            <w:tcW w:w="575" w:type="dxa"/>
            <w:tcBorders>
              <w:top w:val="single" w:sz="2" w:space="0" w:color="auto"/>
              <w:left w:val="single" w:sz="2" w:space="0" w:color="auto"/>
              <w:bottom w:val="single" w:sz="2" w:space="0" w:color="auto"/>
              <w:right w:val="single" w:sz="2" w:space="0" w:color="auto"/>
            </w:tcBorders>
            <w:vAlign w:val="center"/>
          </w:tcPr>
          <w:p w14:paraId="2BBB648C" w14:textId="77777777" w:rsidR="004A1B07" w:rsidRPr="00DD78A9" w:rsidRDefault="00DD78A9" w:rsidP="00A22F9C">
            <w:pPr>
              <w:pStyle w:val="Tabletext"/>
              <w:jc w:val="center"/>
            </w:pPr>
            <w:r>
              <w:rPr>
                <w:noProof/>
                <w:color w:val="000000"/>
                <w:highlight w:val="black"/>
              </w:rPr>
              <w:t>''''''''''''''''''</w:t>
            </w:r>
            <w:r w:rsidR="00F2261F">
              <w:rPr>
                <w:vertAlign w:val="superscript"/>
              </w:rPr>
              <w:t>4</w:t>
            </w:r>
          </w:p>
        </w:tc>
        <w:tc>
          <w:tcPr>
            <w:tcW w:w="575" w:type="dxa"/>
            <w:tcBorders>
              <w:top w:val="single" w:sz="2" w:space="0" w:color="auto"/>
              <w:left w:val="single" w:sz="2" w:space="0" w:color="auto"/>
              <w:bottom w:val="single" w:sz="2" w:space="0" w:color="auto"/>
              <w:right w:val="single" w:sz="2" w:space="0" w:color="auto"/>
            </w:tcBorders>
            <w:vAlign w:val="center"/>
          </w:tcPr>
          <w:p w14:paraId="4F0D2387" w14:textId="77777777" w:rsidR="004A1B07" w:rsidRPr="004A1B07" w:rsidRDefault="004A1B07" w:rsidP="00A22F9C">
            <w:pPr>
              <w:pStyle w:val="Tabletext"/>
              <w:jc w:val="center"/>
            </w:pPr>
            <w:r w:rsidRPr="004A1B07">
              <w:t>+51.9%</w:t>
            </w:r>
          </w:p>
        </w:tc>
      </w:tr>
      <w:tr w:rsidR="004A1B07" w:rsidRPr="00D27BF1" w14:paraId="0E685F47" w14:textId="77777777" w:rsidTr="00A22F9C">
        <w:tc>
          <w:tcPr>
            <w:tcW w:w="737" w:type="dxa"/>
            <w:tcBorders>
              <w:top w:val="single" w:sz="2" w:space="0" w:color="auto"/>
              <w:left w:val="single" w:sz="2" w:space="0" w:color="auto"/>
              <w:bottom w:val="single" w:sz="2" w:space="0" w:color="auto"/>
              <w:right w:val="single" w:sz="2" w:space="0" w:color="auto"/>
            </w:tcBorders>
          </w:tcPr>
          <w:p w14:paraId="41C81DF6" w14:textId="77777777" w:rsidR="004A1B07" w:rsidRPr="004A1B07" w:rsidRDefault="004A1B07" w:rsidP="00A22F9C">
            <w:pPr>
              <w:pStyle w:val="Tabletext"/>
              <w:tabs>
                <w:tab w:val="left" w:pos="142"/>
              </w:tabs>
            </w:pPr>
            <w:r w:rsidRPr="004A1B07">
              <w:t>Utility</w:t>
            </w:r>
          </w:p>
        </w:tc>
        <w:tc>
          <w:tcPr>
            <w:tcW w:w="904" w:type="dxa"/>
            <w:tcBorders>
              <w:top w:val="single" w:sz="2" w:space="0" w:color="auto"/>
              <w:left w:val="single" w:sz="2" w:space="0" w:color="auto"/>
              <w:bottom w:val="single" w:sz="2" w:space="0" w:color="auto"/>
              <w:right w:val="single" w:sz="2" w:space="0" w:color="auto"/>
            </w:tcBorders>
          </w:tcPr>
          <w:p w14:paraId="3532411B" w14:textId="77777777" w:rsidR="004A1B07" w:rsidRPr="004A1B07" w:rsidRDefault="004A1B07" w:rsidP="00A22F9C">
            <w:pPr>
              <w:pStyle w:val="Tabletext"/>
              <w:tabs>
                <w:tab w:val="left" w:pos="142"/>
              </w:tabs>
            </w:pPr>
            <w:r w:rsidRPr="004A1B07">
              <w:t xml:space="preserve">Differed by responder status and treatment arm, and effective surgery differed from responder </w:t>
            </w:r>
          </w:p>
        </w:tc>
        <w:tc>
          <w:tcPr>
            <w:tcW w:w="1151" w:type="dxa"/>
            <w:tcBorders>
              <w:top w:val="single" w:sz="2" w:space="0" w:color="auto"/>
              <w:left w:val="single" w:sz="2" w:space="0" w:color="auto"/>
              <w:bottom w:val="single" w:sz="2" w:space="0" w:color="auto"/>
              <w:right w:val="single" w:sz="2" w:space="0" w:color="auto"/>
            </w:tcBorders>
          </w:tcPr>
          <w:p w14:paraId="63F8815F" w14:textId="77777777" w:rsidR="004A1B07" w:rsidRPr="004A1B07" w:rsidRDefault="004A1B07" w:rsidP="00A22F9C">
            <w:pPr>
              <w:pStyle w:val="Tabletext"/>
              <w:tabs>
                <w:tab w:val="left" w:pos="142"/>
              </w:tabs>
            </w:pPr>
            <w:r w:rsidRPr="004A1B07">
              <w:t xml:space="preserve">SoC responder utility applied to both arms from Week 52, and applied to those who had effective surgery </w:t>
            </w:r>
          </w:p>
        </w:tc>
        <w:tc>
          <w:tcPr>
            <w:tcW w:w="657" w:type="dxa"/>
            <w:tcBorders>
              <w:top w:val="single" w:sz="2" w:space="0" w:color="auto"/>
              <w:left w:val="single" w:sz="2" w:space="0" w:color="auto"/>
              <w:bottom w:val="single" w:sz="2" w:space="0" w:color="auto"/>
              <w:right w:val="single" w:sz="2" w:space="0" w:color="auto"/>
            </w:tcBorders>
          </w:tcPr>
          <w:p w14:paraId="4F880E2D" w14:textId="77777777" w:rsidR="004A1B07" w:rsidRPr="00DD78A9" w:rsidRDefault="00DD78A9" w:rsidP="00A22F9C">
            <w:pPr>
              <w:pStyle w:val="Tabletext"/>
              <w:jc w:val="center"/>
              <w:rPr>
                <w:highlight w:val="black"/>
              </w:rPr>
            </w:pPr>
            <w:r>
              <w:rPr>
                <w:noProof/>
                <w:color w:val="000000"/>
                <w:highlight w:val="black"/>
              </w:rPr>
              <w:t>''''''''''''''''''''</w:t>
            </w:r>
          </w:p>
        </w:tc>
        <w:tc>
          <w:tcPr>
            <w:tcW w:w="657" w:type="dxa"/>
            <w:tcBorders>
              <w:top w:val="single" w:sz="2" w:space="0" w:color="auto"/>
              <w:left w:val="single" w:sz="2" w:space="0" w:color="auto"/>
              <w:bottom w:val="single" w:sz="2" w:space="0" w:color="auto"/>
              <w:right w:val="single" w:sz="2" w:space="0" w:color="auto"/>
            </w:tcBorders>
          </w:tcPr>
          <w:p w14:paraId="3194A712" w14:textId="77777777" w:rsidR="004A1B07" w:rsidRPr="004A1B07" w:rsidRDefault="004A1B07" w:rsidP="00A22F9C">
            <w:pPr>
              <w:pStyle w:val="Tabletext"/>
              <w:jc w:val="center"/>
            </w:pPr>
            <w:r w:rsidRPr="004A1B07">
              <w:t>0.535</w:t>
            </w:r>
          </w:p>
        </w:tc>
        <w:tc>
          <w:tcPr>
            <w:tcW w:w="575" w:type="dxa"/>
            <w:tcBorders>
              <w:top w:val="single" w:sz="2" w:space="0" w:color="auto"/>
              <w:left w:val="single" w:sz="2" w:space="0" w:color="auto"/>
              <w:bottom w:val="single" w:sz="2" w:space="0" w:color="auto"/>
              <w:right w:val="single" w:sz="2" w:space="0" w:color="auto"/>
            </w:tcBorders>
          </w:tcPr>
          <w:p w14:paraId="2EDA2566" w14:textId="77777777" w:rsidR="004A1B07" w:rsidRPr="00DD78A9" w:rsidRDefault="00DD78A9" w:rsidP="00A22F9C">
            <w:pPr>
              <w:pStyle w:val="Tabletext"/>
              <w:jc w:val="center"/>
            </w:pPr>
            <w:r>
              <w:rPr>
                <w:noProof/>
                <w:color w:val="000000"/>
                <w:highlight w:val="black"/>
              </w:rPr>
              <w:t>'''''''''''''''''''''''</w:t>
            </w:r>
            <w:r w:rsidR="00F2261F">
              <w:rPr>
                <w:vertAlign w:val="superscript"/>
              </w:rPr>
              <w:t>4</w:t>
            </w:r>
          </w:p>
        </w:tc>
        <w:tc>
          <w:tcPr>
            <w:tcW w:w="575" w:type="dxa"/>
            <w:tcBorders>
              <w:top w:val="single" w:sz="2" w:space="0" w:color="auto"/>
              <w:left w:val="single" w:sz="2" w:space="0" w:color="auto"/>
              <w:bottom w:val="single" w:sz="2" w:space="0" w:color="auto"/>
              <w:right w:val="single" w:sz="2" w:space="0" w:color="auto"/>
            </w:tcBorders>
          </w:tcPr>
          <w:p w14:paraId="01D974F4" w14:textId="77777777" w:rsidR="004A1B07" w:rsidRPr="004A1B07" w:rsidRDefault="004A1B07" w:rsidP="00A22F9C">
            <w:pPr>
              <w:pStyle w:val="Tabletext"/>
              <w:jc w:val="center"/>
            </w:pPr>
            <w:r w:rsidRPr="004A1B07">
              <w:t>+69.1%</w:t>
            </w:r>
          </w:p>
        </w:tc>
      </w:tr>
      <w:tr w:rsidR="004A1B07" w:rsidRPr="00D27BF1" w14:paraId="583FB811" w14:textId="77777777" w:rsidTr="00A22F9C">
        <w:tc>
          <w:tcPr>
            <w:tcW w:w="737" w:type="dxa"/>
            <w:tcBorders>
              <w:top w:val="single" w:sz="2" w:space="0" w:color="auto"/>
              <w:left w:val="single" w:sz="2" w:space="0" w:color="auto"/>
              <w:bottom w:val="single" w:sz="2" w:space="0" w:color="auto"/>
              <w:right w:val="single" w:sz="2" w:space="0" w:color="auto"/>
            </w:tcBorders>
          </w:tcPr>
          <w:p w14:paraId="551BE7D5" w14:textId="77777777" w:rsidR="004A1B07" w:rsidRPr="004A1B07" w:rsidRDefault="004A1B07" w:rsidP="00A22F9C">
            <w:pPr>
              <w:pStyle w:val="Tabletext"/>
              <w:tabs>
                <w:tab w:val="left" w:pos="142"/>
              </w:tabs>
            </w:pPr>
            <w:r w:rsidRPr="004A1B07">
              <w:t>Blood eosinophil count</w:t>
            </w:r>
          </w:p>
        </w:tc>
        <w:tc>
          <w:tcPr>
            <w:tcW w:w="904" w:type="dxa"/>
            <w:tcBorders>
              <w:top w:val="single" w:sz="2" w:space="0" w:color="auto"/>
              <w:left w:val="single" w:sz="2" w:space="0" w:color="auto"/>
              <w:bottom w:val="single" w:sz="2" w:space="0" w:color="auto"/>
              <w:right w:val="single" w:sz="2" w:space="0" w:color="auto"/>
            </w:tcBorders>
          </w:tcPr>
          <w:p w14:paraId="2A99BA56" w14:textId="77777777" w:rsidR="004A1B07" w:rsidRPr="004A1B07" w:rsidRDefault="004A1B07" w:rsidP="00A22F9C">
            <w:pPr>
              <w:pStyle w:val="Tabletext"/>
              <w:tabs>
                <w:tab w:val="left" w:pos="142"/>
              </w:tabs>
            </w:pPr>
            <w:r w:rsidRPr="004A1B07">
              <w:t>≥150 cells/µL</w:t>
            </w:r>
          </w:p>
        </w:tc>
        <w:tc>
          <w:tcPr>
            <w:tcW w:w="1151" w:type="dxa"/>
            <w:tcBorders>
              <w:top w:val="single" w:sz="2" w:space="0" w:color="auto"/>
              <w:left w:val="single" w:sz="2" w:space="0" w:color="auto"/>
              <w:bottom w:val="single" w:sz="2" w:space="0" w:color="auto"/>
              <w:right w:val="single" w:sz="2" w:space="0" w:color="auto"/>
            </w:tcBorders>
          </w:tcPr>
          <w:p w14:paraId="668E348E" w14:textId="77777777" w:rsidR="004A1B07" w:rsidRPr="004A1B07" w:rsidRDefault="004A1B07" w:rsidP="00A22F9C">
            <w:pPr>
              <w:pStyle w:val="Tabletext"/>
              <w:tabs>
                <w:tab w:val="left" w:pos="142"/>
              </w:tabs>
            </w:pPr>
            <w:r w:rsidRPr="004A1B07">
              <w:t>≥300 cells/µL</w:t>
            </w:r>
          </w:p>
        </w:tc>
        <w:tc>
          <w:tcPr>
            <w:tcW w:w="2466" w:type="dxa"/>
            <w:gridSpan w:val="4"/>
            <w:tcBorders>
              <w:top w:val="single" w:sz="2" w:space="0" w:color="auto"/>
              <w:left w:val="single" w:sz="2" w:space="0" w:color="auto"/>
              <w:bottom w:val="single" w:sz="2" w:space="0" w:color="auto"/>
              <w:right w:val="single" w:sz="2" w:space="0" w:color="auto"/>
            </w:tcBorders>
          </w:tcPr>
          <w:p w14:paraId="78831814" w14:textId="77777777" w:rsidR="004A1B07" w:rsidRPr="004A1B07" w:rsidRDefault="004A1B07" w:rsidP="00A22F9C">
            <w:pPr>
              <w:pStyle w:val="Tabletext"/>
              <w:jc w:val="center"/>
            </w:pPr>
            <w:r w:rsidRPr="004A1B07">
              <w:t>Unable to be explored due to lack of data (e.g. transition probabilities such as response rates and probability of surgery, and utilities were not available for a blood eosinophil count threshold of ≥300 cells/µL)</w:t>
            </w:r>
          </w:p>
        </w:tc>
      </w:tr>
      <w:tr w:rsidR="004A1B07" w:rsidRPr="00D27BF1" w14:paraId="570D6116" w14:textId="77777777" w:rsidTr="00A22F9C">
        <w:tc>
          <w:tcPr>
            <w:tcW w:w="5258" w:type="dxa"/>
            <w:gridSpan w:val="7"/>
            <w:tcBorders>
              <w:top w:val="single" w:sz="2" w:space="0" w:color="auto"/>
              <w:left w:val="single" w:sz="2" w:space="0" w:color="auto"/>
              <w:bottom w:val="single" w:sz="2" w:space="0" w:color="auto"/>
              <w:right w:val="single" w:sz="2" w:space="0" w:color="auto"/>
            </w:tcBorders>
            <w:vAlign w:val="center"/>
          </w:tcPr>
          <w:p w14:paraId="1F85474F" w14:textId="77777777" w:rsidR="004A1B07" w:rsidRPr="004A1B07" w:rsidRDefault="004A1B07" w:rsidP="00A22F9C">
            <w:pPr>
              <w:pStyle w:val="Tabletext"/>
              <w:rPr>
                <w:b/>
              </w:rPr>
            </w:pPr>
            <w:r w:rsidRPr="004A1B07">
              <w:rPr>
                <w:b/>
              </w:rPr>
              <w:t>Multivariate analyses</w:t>
            </w:r>
          </w:p>
        </w:tc>
      </w:tr>
      <w:tr w:rsidR="004A1B07" w:rsidRPr="00D27BF1" w14:paraId="2543DEF3" w14:textId="77777777" w:rsidTr="00A22F9C">
        <w:tc>
          <w:tcPr>
            <w:tcW w:w="737" w:type="dxa"/>
            <w:tcBorders>
              <w:top w:val="single" w:sz="2" w:space="0" w:color="auto"/>
              <w:left w:val="single" w:sz="2" w:space="0" w:color="auto"/>
              <w:bottom w:val="single" w:sz="2" w:space="0" w:color="auto"/>
              <w:right w:val="single" w:sz="2" w:space="0" w:color="auto"/>
            </w:tcBorders>
            <w:vAlign w:val="center"/>
          </w:tcPr>
          <w:p w14:paraId="37527C75" w14:textId="77777777" w:rsidR="004A1B07" w:rsidRPr="004A1B07" w:rsidRDefault="004A1B07" w:rsidP="00A22F9C">
            <w:pPr>
              <w:pStyle w:val="Tabletext"/>
              <w:tabs>
                <w:tab w:val="left" w:pos="142"/>
              </w:tabs>
            </w:pPr>
            <w:r w:rsidRPr="004A1B07">
              <w:t>Time horizon and loss of effect after 52 weeks</w:t>
            </w:r>
          </w:p>
        </w:tc>
        <w:tc>
          <w:tcPr>
            <w:tcW w:w="904" w:type="dxa"/>
            <w:tcBorders>
              <w:top w:val="single" w:sz="2" w:space="0" w:color="auto"/>
              <w:left w:val="single" w:sz="2" w:space="0" w:color="auto"/>
              <w:bottom w:val="single" w:sz="2" w:space="0" w:color="auto"/>
              <w:right w:val="single" w:sz="2" w:space="0" w:color="auto"/>
            </w:tcBorders>
            <w:vAlign w:val="center"/>
          </w:tcPr>
          <w:p w14:paraId="727D6AD2" w14:textId="77777777" w:rsidR="004A1B07" w:rsidRPr="004A1B07" w:rsidRDefault="004A1B07" w:rsidP="00A22F9C">
            <w:pPr>
              <w:pStyle w:val="Tabletext"/>
              <w:tabs>
                <w:tab w:val="left" w:pos="142"/>
              </w:tabs>
            </w:pPr>
            <w:r w:rsidRPr="004A1B07">
              <w:t>Time horizon of 30 years and assume 0% loss of response</w:t>
            </w:r>
          </w:p>
        </w:tc>
        <w:tc>
          <w:tcPr>
            <w:tcW w:w="1151" w:type="dxa"/>
            <w:tcBorders>
              <w:top w:val="single" w:sz="2" w:space="0" w:color="auto"/>
              <w:left w:val="single" w:sz="2" w:space="0" w:color="auto"/>
              <w:bottom w:val="single" w:sz="2" w:space="0" w:color="auto"/>
              <w:right w:val="single" w:sz="2" w:space="0" w:color="auto"/>
            </w:tcBorders>
            <w:vAlign w:val="center"/>
          </w:tcPr>
          <w:p w14:paraId="5077DDB8" w14:textId="77777777" w:rsidR="004A1B07" w:rsidRPr="004A1B07" w:rsidRDefault="004A1B07" w:rsidP="00A22F9C">
            <w:pPr>
              <w:pStyle w:val="Tabletext"/>
              <w:tabs>
                <w:tab w:val="left" w:pos="142"/>
              </w:tabs>
            </w:pPr>
            <w:r w:rsidRPr="004A1B07">
              <w:t>Time horizon of 5 years and</w:t>
            </w:r>
            <w:r w:rsidRPr="004A1B07">
              <w:rPr>
                <w:iCs/>
              </w:rPr>
              <w:t xml:space="preserve"> assume 24.6%</w:t>
            </w:r>
            <w:r w:rsidRPr="004A1B07">
              <w:rPr>
                <w:iCs/>
                <w:vertAlign w:val="superscript"/>
              </w:rPr>
              <w:t>†</w:t>
            </w:r>
            <w:r w:rsidRPr="004A1B07">
              <w:rPr>
                <w:iCs/>
              </w:rPr>
              <w:t xml:space="preserve"> loss of response*</w:t>
            </w:r>
          </w:p>
        </w:tc>
        <w:tc>
          <w:tcPr>
            <w:tcW w:w="657" w:type="dxa"/>
            <w:tcBorders>
              <w:top w:val="single" w:sz="2" w:space="0" w:color="auto"/>
              <w:left w:val="single" w:sz="2" w:space="0" w:color="auto"/>
              <w:bottom w:val="single" w:sz="2" w:space="0" w:color="auto"/>
              <w:right w:val="single" w:sz="2" w:space="0" w:color="auto"/>
            </w:tcBorders>
            <w:vAlign w:val="center"/>
          </w:tcPr>
          <w:p w14:paraId="2181B72F" w14:textId="77777777" w:rsidR="004A1B07" w:rsidRPr="00DD78A9" w:rsidRDefault="00DD78A9" w:rsidP="00A22F9C">
            <w:pPr>
              <w:pStyle w:val="Tabletext"/>
              <w:jc w:val="center"/>
              <w:rPr>
                <w:highlight w:val="black"/>
              </w:rPr>
            </w:pPr>
            <w:r>
              <w:rPr>
                <w:noProof/>
                <w:color w:val="000000"/>
                <w:highlight w:val="black"/>
              </w:rPr>
              <w:t>''''''''''''''''''</w:t>
            </w:r>
          </w:p>
        </w:tc>
        <w:tc>
          <w:tcPr>
            <w:tcW w:w="657" w:type="dxa"/>
            <w:tcBorders>
              <w:top w:val="single" w:sz="2" w:space="0" w:color="auto"/>
              <w:left w:val="single" w:sz="2" w:space="0" w:color="auto"/>
              <w:bottom w:val="single" w:sz="2" w:space="0" w:color="auto"/>
              <w:right w:val="single" w:sz="2" w:space="0" w:color="auto"/>
            </w:tcBorders>
            <w:vAlign w:val="center"/>
          </w:tcPr>
          <w:p w14:paraId="085D49AA" w14:textId="77777777" w:rsidR="004A1B07" w:rsidRPr="004A1B07" w:rsidRDefault="004A1B07" w:rsidP="00A22F9C">
            <w:pPr>
              <w:pStyle w:val="Tabletext"/>
              <w:jc w:val="center"/>
            </w:pPr>
            <w:r w:rsidRPr="004A1B07">
              <w:t>0.158</w:t>
            </w:r>
          </w:p>
        </w:tc>
        <w:tc>
          <w:tcPr>
            <w:tcW w:w="575" w:type="dxa"/>
            <w:tcBorders>
              <w:top w:val="single" w:sz="2" w:space="0" w:color="auto"/>
              <w:left w:val="single" w:sz="2" w:space="0" w:color="auto"/>
              <w:bottom w:val="single" w:sz="2" w:space="0" w:color="auto"/>
              <w:right w:val="single" w:sz="2" w:space="0" w:color="auto"/>
            </w:tcBorders>
            <w:vAlign w:val="center"/>
          </w:tcPr>
          <w:p w14:paraId="7DDFAC16" w14:textId="77777777" w:rsidR="004A1B07" w:rsidRPr="00DD78A9" w:rsidRDefault="00DD78A9" w:rsidP="00A22F9C">
            <w:pPr>
              <w:pStyle w:val="Tabletext"/>
              <w:jc w:val="center"/>
            </w:pPr>
            <w:r>
              <w:rPr>
                <w:noProof/>
                <w:color w:val="000000"/>
                <w:highlight w:val="black"/>
              </w:rPr>
              <w:t>''''''''''''''''''</w:t>
            </w:r>
            <w:r w:rsidR="00F2261F">
              <w:rPr>
                <w:vertAlign w:val="superscript"/>
              </w:rPr>
              <w:t>3</w:t>
            </w:r>
          </w:p>
        </w:tc>
        <w:tc>
          <w:tcPr>
            <w:tcW w:w="575" w:type="dxa"/>
            <w:tcBorders>
              <w:top w:val="single" w:sz="2" w:space="0" w:color="auto"/>
              <w:left w:val="single" w:sz="2" w:space="0" w:color="auto"/>
              <w:bottom w:val="single" w:sz="2" w:space="0" w:color="auto"/>
              <w:right w:val="single" w:sz="2" w:space="0" w:color="auto"/>
            </w:tcBorders>
            <w:vAlign w:val="center"/>
          </w:tcPr>
          <w:p w14:paraId="08D9C414" w14:textId="77777777" w:rsidR="004A1B07" w:rsidRPr="004A1B07" w:rsidRDefault="004A1B07" w:rsidP="00A22F9C">
            <w:pPr>
              <w:pStyle w:val="Tabletext"/>
              <w:jc w:val="center"/>
            </w:pPr>
            <w:r w:rsidRPr="004A1B07">
              <w:t>+28.2%</w:t>
            </w:r>
          </w:p>
        </w:tc>
      </w:tr>
      <w:tr w:rsidR="004A1B07" w:rsidRPr="00D27BF1" w14:paraId="7CBFD6F0" w14:textId="77777777" w:rsidTr="00A22F9C">
        <w:tc>
          <w:tcPr>
            <w:tcW w:w="737" w:type="dxa"/>
            <w:tcBorders>
              <w:top w:val="single" w:sz="2" w:space="0" w:color="auto"/>
              <w:left w:val="single" w:sz="2" w:space="0" w:color="auto"/>
              <w:bottom w:val="single" w:sz="2" w:space="0" w:color="auto"/>
              <w:right w:val="single" w:sz="2" w:space="0" w:color="auto"/>
            </w:tcBorders>
            <w:vAlign w:val="center"/>
          </w:tcPr>
          <w:p w14:paraId="37CCE625" w14:textId="77777777" w:rsidR="004A1B07" w:rsidRPr="004A1B07" w:rsidRDefault="004A1B07" w:rsidP="00A22F9C">
            <w:pPr>
              <w:pStyle w:val="Tabletext"/>
              <w:tabs>
                <w:tab w:val="left" w:pos="142"/>
              </w:tabs>
            </w:pPr>
            <w:r w:rsidRPr="004A1B07">
              <w:t>Time horizon and utility</w:t>
            </w:r>
          </w:p>
        </w:tc>
        <w:tc>
          <w:tcPr>
            <w:tcW w:w="904" w:type="dxa"/>
            <w:tcBorders>
              <w:top w:val="single" w:sz="2" w:space="0" w:color="auto"/>
              <w:left w:val="single" w:sz="2" w:space="0" w:color="auto"/>
              <w:bottom w:val="single" w:sz="2" w:space="0" w:color="auto"/>
              <w:right w:val="single" w:sz="2" w:space="0" w:color="auto"/>
            </w:tcBorders>
            <w:vAlign w:val="center"/>
          </w:tcPr>
          <w:p w14:paraId="4AA5F96D" w14:textId="77777777" w:rsidR="004A1B07" w:rsidRPr="004A1B07" w:rsidRDefault="004A1B07" w:rsidP="00A22F9C">
            <w:pPr>
              <w:pStyle w:val="Tabletext"/>
              <w:tabs>
                <w:tab w:val="left" w:pos="142"/>
              </w:tabs>
            </w:pPr>
            <w:r w:rsidRPr="004A1B07">
              <w:t>Time horizon of 30 years and utility differed by responder status and treatment arm</w:t>
            </w:r>
          </w:p>
        </w:tc>
        <w:tc>
          <w:tcPr>
            <w:tcW w:w="1151" w:type="dxa"/>
            <w:tcBorders>
              <w:top w:val="single" w:sz="2" w:space="0" w:color="auto"/>
              <w:left w:val="single" w:sz="2" w:space="0" w:color="auto"/>
              <w:bottom w:val="single" w:sz="2" w:space="0" w:color="auto"/>
              <w:right w:val="single" w:sz="2" w:space="0" w:color="auto"/>
            </w:tcBorders>
            <w:vAlign w:val="center"/>
          </w:tcPr>
          <w:p w14:paraId="5C5E9839" w14:textId="77777777" w:rsidR="004A1B07" w:rsidRPr="004A1B07" w:rsidRDefault="004A1B07" w:rsidP="00A22F9C">
            <w:pPr>
              <w:pStyle w:val="Tabletext"/>
              <w:tabs>
                <w:tab w:val="left" w:pos="142"/>
              </w:tabs>
            </w:pPr>
            <w:r w:rsidRPr="004A1B07">
              <w:t>Time horizon of 5 years and SoC responder utility applied to both arms from Week 52*</w:t>
            </w:r>
          </w:p>
        </w:tc>
        <w:tc>
          <w:tcPr>
            <w:tcW w:w="657" w:type="dxa"/>
            <w:tcBorders>
              <w:top w:val="single" w:sz="2" w:space="0" w:color="auto"/>
              <w:left w:val="single" w:sz="2" w:space="0" w:color="auto"/>
              <w:bottom w:val="single" w:sz="2" w:space="0" w:color="auto"/>
              <w:right w:val="single" w:sz="2" w:space="0" w:color="auto"/>
            </w:tcBorders>
            <w:vAlign w:val="center"/>
          </w:tcPr>
          <w:p w14:paraId="3402A371" w14:textId="77777777" w:rsidR="004A1B07" w:rsidRPr="00DD78A9" w:rsidRDefault="00DD78A9" w:rsidP="00A22F9C">
            <w:pPr>
              <w:pStyle w:val="Tabletext"/>
              <w:jc w:val="center"/>
              <w:rPr>
                <w:highlight w:val="black"/>
              </w:rPr>
            </w:pPr>
            <w:r>
              <w:rPr>
                <w:noProof/>
                <w:color w:val="000000"/>
                <w:highlight w:val="black"/>
              </w:rPr>
              <w:t>'''''''''''''''''''</w:t>
            </w:r>
          </w:p>
        </w:tc>
        <w:tc>
          <w:tcPr>
            <w:tcW w:w="657" w:type="dxa"/>
            <w:tcBorders>
              <w:top w:val="single" w:sz="2" w:space="0" w:color="auto"/>
              <w:left w:val="single" w:sz="2" w:space="0" w:color="auto"/>
              <w:bottom w:val="single" w:sz="2" w:space="0" w:color="auto"/>
              <w:right w:val="single" w:sz="2" w:space="0" w:color="auto"/>
            </w:tcBorders>
            <w:vAlign w:val="center"/>
          </w:tcPr>
          <w:p w14:paraId="6444ECA2" w14:textId="77777777" w:rsidR="004A1B07" w:rsidRPr="004A1B07" w:rsidRDefault="004A1B07" w:rsidP="00A22F9C">
            <w:pPr>
              <w:pStyle w:val="Tabletext"/>
              <w:jc w:val="center"/>
            </w:pPr>
            <w:r w:rsidRPr="004A1B07">
              <w:t>0.164</w:t>
            </w:r>
          </w:p>
        </w:tc>
        <w:tc>
          <w:tcPr>
            <w:tcW w:w="575" w:type="dxa"/>
            <w:tcBorders>
              <w:top w:val="single" w:sz="2" w:space="0" w:color="auto"/>
              <w:left w:val="single" w:sz="2" w:space="0" w:color="auto"/>
              <w:bottom w:val="single" w:sz="2" w:space="0" w:color="auto"/>
              <w:right w:val="single" w:sz="2" w:space="0" w:color="auto"/>
            </w:tcBorders>
            <w:vAlign w:val="center"/>
          </w:tcPr>
          <w:p w14:paraId="4336E0BD" w14:textId="77777777" w:rsidR="004A1B07" w:rsidRPr="00DD78A9" w:rsidRDefault="00DD78A9" w:rsidP="00A22F9C">
            <w:pPr>
              <w:pStyle w:val="Tabletext"/>
              <w:jc w:val="center"/>
            </w:pPr>
            <w:r>
              <w:rPr>
                <w:noProof/>
                <w:color w:val="000000"/>
                <w:highlight w:val="black"/>
              </w:rPr>
              <w:t>''''''''''''''''''''''''</w:t>
            </w:r>
            <w:r w:rsidR="00F2261F">
              <w:rPr>
                <w:vertAlign w:val="superscript"/>
              </w:rPr>
              <w:t>4</w:t>
            </w:r>
          </w:p>
        </w:tc>
        <w:tc>
          <w:tcPr>
            <w:tcW w:w="575" w:type="dxa"/>
            <w:tcBorders>
              <w:top w:val="single" w:sz="2" w:space="0" w:color="auto"/>
              <w:left w:val="single" w:sz="2" w:space="0" w:color="auto"/>
              <w:bottom w:val="single" w:sz="2" w:space="0" w:color="auto"/>
              <w:right w:val="single" w:sz="2" w:space="0" w:color="auto"/>
            </w:tcBorders>
            <w:vAlign w:val="center"/>
          </w:tcPr>
          <w:p w14:paraId="2B587CFE" w14:textId="77777777" w:rsidR="004A1B07" w:rsidRPr="004A1B07" w:rsidRDefault="004A1B07" w:rsidP="00A22F9C">
            <w:pPr>
              <w:pStyle w:val="Tabletext"/>
              <w:jc w:val="center"/>
            </w:pPr>
            <w:r w:rsidRPr="004A1B07">
              <w:t>+73.9%</w:t>
            </w:r>
          </w:p>
        </w:tc>
      </w:tr>
      <w:tr w:rsidR="004A1B07" w:rsidRPr="00D27BF1" w14:paraId="59F7C7D0" w14:textId="77777777" w:rsidTr="00A22F9C">
        <w:tc>
          <w:tcPr>
            <w:tcW w:w="737" w:type="dxa"/>
            <w:tcBorders>
              <w:top w:val="single" w:sz="2" w:space="0" w:color="auto"/>
              <w:left w:val="single" w:sz="2" w:space="0" w:color="auto"/>
              <w:bottom w:val="single" w:sz="2" w:space="0" w:color="auto"/>
              <w:right w:val="single" w:sz="2" w:space="0" w:color="auto"/>
            </w:tcBorders>
          </w:tcPr>
          <w:p w14:paraId="66A5BE01" w14:textId="77777777" w:rsidR="004A1B07" w:rsidRPr="004A1B07" w:rsidRDefault="004A1B07" w:rsidP="00A22F9C">
            <w:pPr>
              <w:pStyle w:val="Tabletext"/>
              <w:tabs>
                <w:tab w:val="left" w:pos="142"/>
              </w:tabs>
            </w:pPr>
            <w:r w:rsidRPr="004A1B07">
              <w:t>Time horizon and utility</w:t>
            </w:r>
          </w:p>
        </w:tc>
        <w:tc>
          <w:tcPr>
            <w:tcW w:w="904" w:type="dxa"/>
            <w:tcBorders>
              <w:top w:val="single" w:sz="2" w:space="0" w:color="auto"/>
              <w:left w:val="single" w:sz="2" w:space="0" w:color="auto"/>
              <w:bottom w:val="single" w:sz="2" w:space="0" w:color="auto"/>
              <w:right w:val="single" w:sz="2" w:space="0" w:color="auto"/>
            </w:tcBorders>
          </w:tcPr>
          <w:p w14:paraId="7F772046" w14:textId="77777777" w:rsidR="004A1B07" w:rsidRPr="004A1B07" w:rsidRDefault="004A1B07" w:rsidP="00A22F9C">
            <w:pPr>
              <w:pStyle w:val="Tabletext"/>
              <w:tabs>
                <w:tab w:val="left" w:pos="142"/>
              </w:tabs>
            </w:pPr>
            <w:r w:rsidRPr="004A1B07">
              <w:t>Time horizon of 30 years and utility differed by responder status and treatment arm, and effective surgery differed from responder</w:t>
            </w:r>
          </w:p>
        </w:tc>
        <w:tc>
          <w:tcPr>
            <w:tcW w:w="1151" w:type="dxa"/>
            <w:tcBorders>
              <w:top w:val="single" w:sz="2" w:space="0" w:color="auto"/>
              <w:left w:val="single" w:sz="2" w:space="0" w:color="auto"/>
              <w:bottom w:val="single" w:sz="2" w:space="0" w:color="auto"/>
              <w:right w:val="single" w:sz="2" w:space="0" w:color="auto"/>
            </w:tcBorders>
          </w:tcPr>
          <w:p w14:paraId="181E1D8F" w14:textId="77777777" w:rsidR="004A1B07" w:rsidRPr="004A1B07" w:rsidRDefault="004A1B07" w:rsidP="00A22F9C">
            <w:pPr>
              <w:pStyle w:val="Tabletext"/>
              <w:tabs>
                <w:tab w:val="left" w:pos="142"/>
              </w:tabs>
            </w:pPr>
            <w:r w:rsidRPr="004A1B07">
              <w:t>Time horizon of 5 years and SoC responder utility applied to both arms from Week 52, and applied to those who had effective surgery</w:t>
            </w:r>
          </w:p>
        </w:tc>
        <w:tc>
          <w:tcPr>
            <w:tcW w:w="657" w:type="dxa"/>
            <w:tcBorders>
              <w:top w:val="single" w:sz="2" w:space="0" w:color="auto"/>
              <w:left w:val="single" w:sz="2" w:space="0" w:color="auto"/>
              <w:bottom w:val="single" w:sz="2" w:space="0" w:color="auto"/>
              <w:right w:val="single" w:sz="2" w:space="0" w:color="auto"/>
            </w:tcBorders>
          </w:tcPr>
          <w:p w14:paraId="5660C1CD" w14:textId="77777777" w:rsidR="004A1B07" w:rsidRPr="00DD78A9" w:rsidRDefault="00DD78A9" w:rsidP="00A22F9C">
            <w:pPr>
              <w:pStyle w:val="Tabletext"/>
              <w:jc w:val="center"/>
              <w:rPr>
                <w:highlight w:val="black"/>
              </w:rPr>
            </w:pPr>
            <w:r>
              <w:rPr>
                <w:noProof/>
                <w:color w:val="000000"/>
                <w:highlight w:val="black"/>
              </w:rPr>
              <w:t>''''''''''''''''''''</w:t>
            </w:r>
          </w:p>
        </w:tc>
        <w:tc>
          <w:tcPr>
            <w:tcW w:w="657" w:type="dxa"/>
            <w:tcBorders>
              <w:top w:val="single" w:sz="2" w:space="0" w:color="auto"/>
              <w:left w:val="single" w:sz="2" w:space="0" w:color="auto"/>
              <w:bottom w:val="single" w:sz="2" w:space="0" w:color="auto"/>
              <w:right w:val="single" w:sz="2" w:space="0" w:color="auto"/>
            </w:tcBorders>
          </w:tcPr>
          <w:p w14:paraId="58F7C0EB" w14:textId="77777777" w:rsidR="004A1B07" w:rsidRPr="004A1B07" w:rsidRDefault="004A1B07" w:rsidP="00A22F9C">
            <w:pPr>
              <w:pStyle w:val="Tabletext"/>
              <w:jc w:val="center"/>
            </w:pPr>
            <w:r w:rsidRPr="004A1B07">
              <w:t>0.143</w:t>
            </w:r>
          </w:p>
        </w:tc>
        <w:tc>
          <w:tcPr>
            <w:tcW w:w="575" w:type="dxa"/>
            <w:tcBorders>
              <w:top w:val="single" w:sz="2" w:space="0" w:color="auto"/>
              <w:left w:val="single" w:sz="2" w:space="0" w:color="auto"/>
              <w:bottom w:val="single" w:sz="2" w:space="0" w:color="auto"/>
              <w:right w:val="single" w:sz="2" w:space="0" w:color="auto"/>
            </w:tcBorders>
          </w:tcPr>
          <w:p w14:paraId="33B0E358" w14:textId="77777777" w:rsidR="004A1B07" w:rsidRPr="00DD78A9" w:rsidRDefault="00DD78A9" w:rsidP="00A22F9C">
            <w:pPr>
              <w:pStyle w:val="Tabletext"/>
              <w:jc w:val="center"/>
            </w:pPr>
            <w:r>
              <w:rPr>
                <w:noProof/>
                <w:color w:val="000000"/>
                <w:highlight w:val="black"/>
              </w:rPr>
              <w:t>''''''''''''''''''''</w:t>
            </w:r>
            <w:r w:rsidR="00F2261F">
              <w:rPr>
                <w:vertAlign w:val="superscript"/>
              </w:rPr>
              <w:t>2</w:t>
            </w:r>
          </w:p>
        </w:tc>
        <w:tc>
          <w:tcPr>
            <w:tcW w:w="575" w:type="dxa"/>
            <w:tcBorders>
              <w:top w:val="single" w:sz="2" w:space="0" w:color="auto"/>
              <w:left w:val="single" w:sz="2" w:space="0" w:color="auto"/>
              <w:bottom w:val="single" w:sz="2" w:space="0" w:color="auto"/>
              <w:right w:val="single" w:sz="2" w:space="0" w:color="auto"/>
            </w:tcBorders>
          </w:tcPr>
          <w:p w14:paraId="240E76FF" w14:textId="77777777" w:rsidR="004A1B07" w:rsidRPr="004A1B07" w:rsidRDefault="004A1B07" w:rsidP="00A22F9C">
            <w:pPr>
              <w:pStyle w:val="Tabletext"/>
              <w:jc w:val="center"/>
            </w:pPr>
            <w:r w:rsidRPr="004A1B07">
              <w:t>+99.7%</w:t>
            </w:r>
          </w:p>
        </w:tc>
      </w:tr>
      <w:tr w:rsidR="004A1B07" w:rsidRPr="00D27BF1" w14:paraId="38EC39B7" w14:textId="77777777" w:rsidTr="00A22F9C">
        <w:tc>
          <w:tcPr>
            <w:tcW w:w="737" w:type="dxa"/>
            <w:tcBorders>
              <w:top w:val="single" w:sz="2" w:space="0" w:color="auto"/>
              <w:left w:val="single" w:sz="2" w:space="0" w:color="auto"/>
              <w:bottom w:val="single" w:sz="2" w:space="0" w:color="auto"/>
              <w:right w:val="single" w:sz="2" w:space="0" w:color="auto"/>
            </w:tcBorders>
            <w:vAlign w:val="center"/>
          </w:tcPr>
          <w:p w14:paraId="11B952BA" w14:textId="77777777" w:rsidR="004A1B07" w:rsidRPr="004A1B07" w:rsidRDefault="004A1B07" w:rsidP="00A22F9C">
            <w:pPr>
              <w:pStyle w:val="Tabletext"/>
              <w:tabs>
                <w:tab w:val="left" w:pos="142"/>
              </w:tabs>
            </w:pPr>
            <w:r w:rsidRPr="004A1B07">
              <w:t>Time horizon, loss of effect after 52 weeks and utility</w:t>
            </w:r>
          </w:p>
        </w:tc>
        <w:tc>
          <w:tcPr>
            <w:tcW w:w="904" w:type="dxa"/>
            <w:tcBorders>
              <w:top w:val="single" w:sz="2" w:space="0" w:color="auto"/>
              <w:left w:val="single" w:sz="2" w:space="0" w:color="auto"/>
              <w:bottom w:val="single" w:sz="2" w:space="0" w:color="auto"/>
              <w:right w:val="single" w:sz="2" w:space="0" w:color="auto"/>
            </w:tcBorders>
            <w:vAlign w:val="center"/>
          </w:tcPr>
          <w:p w14:paraId="0DA76D16" w14:textId="77777777" w:rsidR="004A1B07" w:rsidRPr="004A1B07" w:rsidRDefault="004A1B07" w:rsidP="00A22F9C">
            <w:pPr>
              <w:pStyle w:val="Tabletext"/>
              <w:tabs>
                <w:tab w:val="left" w:pos="142"/>
              </w:tabs>
            </w:pPr>
            <w:r w:rsidRPr="004A1B07">
              <w:t>Time horizon of 30 years, assume 0% loss of response and utility differed by responder status and treatment arm</w:t>
            </w:r>
          </w:p>
        </w:tc>
        <w:tc>
          <w:tcPr>
            <w:tcW w:w="1151" w:type="dxa"/>
            <w:tcBorders>
              <w:top w:val="single" w:sz="2" w:space="0" w:color="auto"/>
              <w:left w:val="single" w:sz="2" w:space="0" w:color="auto"/>
              <w:bottom w:val="single" w:sz="2" w:space="0" w:color="auto"/>
              <w:right w:val="single" w:sz="2" w:space="0" w:color="auto"/>
            </w:tcBorders>
            <w:vAlign w:val="center"/>
          </w:tcPr>
          <w:p w14:paraId="6B108B5A" w14:textId="77777777" w:rsidR="004A1B07" w:rsidRPr="004A1B07" w:rsidRDefault="004A1B07" w:rsidP="00A22F9C">
            <w:pPr>
              <w:pStyle w:val="Tabletext"/>
              <w:tabs>
                <w:tab w:val="left" w:pos="142"/>
              </w:tabs>
            </w:pPr>
            <w:r w:rsidRPr="004A1B07">
              <w:t xml:space="preserve">Time horizon of 5 years, </w:t>
            </w:r>
            <w:r w:rsidRPr="004A1B07">
              <w:rPr>
                <w:iCs/>
              </w:rPr>
              <w:t>assume 24.6%</w:t>
            </w:r>
            <w:r w:rsidRPr="004A1B07">
              <w:rPr>
                <w:iCs/>
                <w:vertAlign w:val="superscript"/>
              </w:rPr>
              <w:t>†</w:t>
            </w:r>
            <w:r w:rsidRPr="004A1B07">
              <w:rPr>
                <w:iCs/>
              </w:rPr>
              <w:t xml:space="preserve"> loss of response</w:t>
            </w:r>
            <w:r w:rsidRPr="004A1B07">
              <w:t xml:space="preserve"> and SoC responder utility applied to both arms from Week 52*</w:t>
            </w:r>
          </w:p>
        </w:tc>
        <w:tc>
          <w:tcPr>
            <w:tcW w:w="657" w:type="dxa"/>
            <w:tcBorders>
              <w:top w:val="single" w:sz="2" w:space="0" w:color="auto"/>
              <w:left w:val="single" w:sz="2" w:space="0" w:color="auto"/>
              <w:bottom w:val="single" w:sz="2" w:space="0" w:color="auto"/>
              <w:right w:val="single" w:sz="2" w:space="0" w:color="auto"/>
            </w:tcBorders>
            <w:vAlign w:val="center"/>
          </w:tcPr>
          <w:p w14:paraId="74BEFBE5" w14:textId="77777777" w:rsidR="004A1B07" w:rsidRPr="00DD78A9" w:rsidRDefault="00DD78A9" w:rsidP="00A22F9C">
            <w:pPr>
              <w:pStyle w:val="Tabletext"/>
              <w:jc w:val="center"/>
              <w:rPr>
                <w:highlight w:val="black"/>
              </w:rPr>
            </w:pPr>
            <w:r>
              <w:rPr>
                <w:noProof/>
                <w:color w:val="000000"/>
                <w:highlight w:val="black"/>
              </w:rPr>
              <w:t>''''''''''''''''''''</w:t>
            </w:r>
          </w:p>
        </w:tc>
        <w:tc>
          <w:tcPr>
            <w:tcW w:w="657" w:type="dxa"/>
            <w:tcBorders>
              <w:top w:val="single" w:sz="2" w:space="0" w:color="auto"/>
              <w:left w:val="single" w:sz="2" w:space="0" w:color="auto"/>
              <w:bottom w:val="single" w:sz="2" w:space="0" w:color="auto"/>
              <w:right w:val="single" w:sz="2" w:space="0" w:color="auto"/>
            </w:tcBorders>
            <w:vAlign w:val="center"/>
          </w:tcPr>
          <w:p w14:paraId="5DD2784D" w14:textId="77777777" w:rsidR="004A1B07" w:rsidRPr="004A1B07" w:rsidRDefault="004A1B07" w:rsidP="00A22F9C">
            <w:pPr>
              <w:pStyle w:val="Tabletext"/>
              <w:jc w:val="center"/>
            </w:pPr>
            <w:r w:rsidRPr="004A1B07">
              <w:t>0.109</w:t>
            </w:r>
          </w:p>
        </w:tc>
        <w:tc>
          <w:tcPr>
            <w:tcW w:w="575" w:type="dxa"/>
            <w:tcBorders>
              <w:top w:val="single" w:sz="2" w:space="0" w:color="auto"/>
              <w:left w:val="single" w:sz="2" w:space="0" w:color="auto"/>
              <w:bottom w:val="single" w:sz="2" w:space="0" w:color="auto"/>
              <w:right w:val="single" w:sz="2" w:space="0" w:color="auto"/>
            </w:tcBorders>
            <w:vAlign w:val="center"/>
          </w:tcPr>
          <w:p w14:paraId="6E5E0267" w14:textId="77777777" w:rsidR="004A1B07" w:rsidRPr="00DD78A9" w:rsidRDefault="00DD78A9" w:rsidP="00A22F9C">
            <w:pPr>
              <w:pStyle w:val="Tabletext"/>
              <w:jc w:val="center"/>
            </w:pPr>
            <w:r>
              <w:rPr>
                <w:noProof/>
                <w:color w:val="000000"/>
                <w:highlight w:val="black"/>
              </w:rPr>
              <w:t>'''''''''''''''''''''</w:t>
            </w:r>
            <w:r w:rsidR="00F2261F">
              <w:rPr>
                <w:vertAlign w:val="superscript"/>
              </w:rPr>
              <w:t>2</w:t>
            </w:r>
          </w:p>
        </w:tc>
        <w:tc>
          <w:tcPr>
            <w:tcW w:w="575" w:type="dxa"/>
            <w:tcBorders>
              <w:top w:val="single" w:sz="2" w:space="0" w:color="auto"/>
              <w:left w:val="single" w:sz="2" w:space="0" w:color="auto"/>
              <w:bottom w:val="single" w:sz="2" w:space="0" w:color="auto"/>
              <w:right w:val="single" w:sz="2" w:space="0" w:color="auto"/>
            </w:tcBorders>
            <w:vAlign w:val="center"/>
          </w:tcPr>
          <w:p w14:paraId="278F20DB" w14:textId="77777777" w:rsidR="004A1B07" w:rsidRPr="004A1B07" w:rsidRDefault="004A1B07" w:rsidP="00A22F9C">
            <w:pPr>
              <w:pStyle w:val="Tabletext"/>
              <w:jc w:val="center"/>
            </w:pPr>
            <w:r w:rsidRPr="004A1B07">
              <w:t>+85.3%</w:t>
            </w:r>
          </w:p>
        </w:tc>
      </w:tr>
      <w:tr w:rsidR="004A1B07" w:rsidRPr="00D27BF1" w14:paraId="3868773B" w14:textId="77777777" w:rsidTr="00A22F9C">
        <w:tc>
          <w:tcPr>
            <w:tcW w:w="737" w:type="dxa"/>
            <w:tcBorders>
              <w:top w:val="single" w:sz="2" w:space="0" w:color="auto"/>
              <w:left w:val="single" w:sz="2" w:space="0" w:color="auto"/>
              <w:bottom w:val="single" w:sz="2" w:space="0" w:color="auto"/>
              <w:right w:val="single" w:sz="2" w:space="0" w:color="auto"/>
            </w:tcBorders>
          </w:tcPr>
          <w:p w14:paraId="596EF83F" w14:textId="77777777" w:rsidR="004A1B07" w:rsidRPr="004A1B07" w:rsidRDefault="004A1B07" w:rsidP="00A22F9C">
            <w:pPr>
              <w:pStyle w:val="Tabletext"/>
              <w:tabs>
                <w:tab w:val="left" w:pos="142"/>
              </w:tabs>
            </w:pPr>
            <w:r w:rsidRPr="004A1B07">
              <w:t>Time horizon, loss of effect after 52 weeks and utility</w:t>
            </w:r>
          </w:p>
        </w:tc>
        <w:tc>
          <w:tcPr>
            <w:tcW w:w="904" w:type="dxa"/>
            <w:tcBorders>
              <w:top w:val="single" w:sz="2" w:space="0" w:color="auto"/>
              <w:left w:val="single" w:sz="2" w:space="0" w:color="auto"/>
              <w:bottom w:val="single" w:sz="2" w:space="0" w:color="auto"/>
              <w:right w:val="single" w:sz="2" w:space="0" w:color="auto"/>
            </w:tcBorders>
          </w:tcPr>
          <w:p w14:paraId="11366FC4" w14:textId="77777777" w:rsidR="004A1B07" w:rsidRPr="004A1B07" w:rsidRDefault="004A1B07" w:rsidP="00A22F9C">
            <w:pPr>
              <w:pStyle w:val="Tabletext"/>
              <w:tabs>
                <w:tab w:val="left" w:pos="142"/>
              </w:tabs>
            </w:pPr>
            <w:r w:rsidRPr="004A1B07">
              <w:t>Time horizon of 30 years, assume 0% loss of response and utility differed by responder status and treatment arm, and effective surgery differed from responder</w:t>
            </w:r>
          </w:p>
        </w:tc>
        <w:tc>
          <w:tcPr>
            <w:tcW w:w="1151" w:type="dxa"/>
            <w:tcBorders>
              <w:top w:val="single" w:sz="2" w:space="0" w:color="auto"/>
              <w:left w:val="single" w:sz="2" w:space="0" w:color="auto"/>
              <w:bottom w:val="single" w:sz="2" w:space="0" w:color="auto"/>
              <w:right w:val="single" w:sz="2" w:space="0" w:color="auto"/>
            </w:tcBorders>
          </w:tcPr>
          <w:p w14:paraId="706A74BD" w14:textId="77777777" w:rsidR="004A1B07" w:rsidRPr="004A1B07" w:rsidRDefault="004A1B07" w:rsidP="00A22F9C">
            <w:pPr>
              <w:pStyle w:val="Tabletext"/>
              <w:tabs>
                <w:tab w:val="left" w:pos="142"/>
              </w:tabs>
            </w:pPr>
            <w:r w:rsidRPr="004A1B07">
              <w:t>Time horizon of 5 years, assume 24.6%</w:t>
            </w:r>
            <w:r w:rsidRPr="004A1B07">
              <w:rPr>
                <w:iCs/>
                <w:vertAlign w:val="superscript"/>
              </w:rPr>
              <w:t>†</w:t>
            </w:r>
            <w:r w:rsidRPr="004A1B07">
              <w:t xml:space="preserve"> loss of response and SoC responder utility applied to both arms from Week 52, and applied to those who had effective surgery</w:t>
            </w:r>
          </w:p>
        </w:tc>
        <w:tc>
          <w:tcPr>
            <w:tcW w:w="657" w:type="dxa"/>
            <w:tcBorders>
              <w:top w:val="single" w:sz="2" w:space="0" w:color="auto"/>
              <w:left w:val="single" w:sz="2" w:space="0" w:color="auto"/>
              <w:bottom w:val="single" w:sz="2" w:space="0" w:color="auto"/>
              <w:right w:val="single" w:sz="2" w:space="0" w:color="auto"/>
            </w:tcBorders>
          </w:tcPr>
          <w:p w14:paraId="3F0D5BE3" w14:textId="77777777" w:rsidR="004A1B07" w:rsidRPr="00DD78A9" w:rsidRDefault="00DD78A9" w:rsidP="00A22F9C">
            <w:pPr>
              <w:pStyle w:val="Tabletext"/>
              <w:jc w:val="center"/>
              <w:rPr>
                <w:highlight w:val="black"/>
              </w:rPr>
            </w:pPr>
            <w:r>
              <w:rPr>
                <w:noProof/>
                <w:color w:val="000000"/>
                <w:highlight w:val="black"/>
              </w:rPr>
              <w:t>''''''''''''''''''</w:t>
            </w:r>
          </w:p>
        </w:tc>
        <w:tc>
          <w:tcPr>
            <w:tcW w:w="657" w:type="dxa"/>
            <w:tcBorders>
              <w:top w:val="single" w:sz="2" w:space="0" w:color="auto"/>
              <w:left w:val="single" w:sz="2" w:space="0" w:color="auto"/>
              <w:bottom w:val="single" w:sz="2" w:space="0" w:color="auto"/>
              <w:right w:val="single" w:sz="2" w:space="0" w:color="auto"/>
            </w:tcBorders>
          </w:tcPr>
          <w:p w14:paraId="7E8AFC96" w14:textId="77777777" w:rsidR="004A1B07" w:rsidRPr="004A1B07" w:rsidRDefault="004A1B07" w:rsidP="00A22F9C">
            <w:pPr>
              <w:pStyle w:val="Tabletext"/>
              <w:jc w:val="center"/>
            </w:pPr>
            <w:r w:rsidRPr="004A1B07">
              <w:t>0.090</w:t>
            </w:r>
          </w:p>
        </w:tc>
        <w:tc>
          <w:tcPr>
            <w:tcW w:w="575" w:type="dxa"/>
            <w:tcBorders>
              <w:top w:val="single" w:sz="2" w:space="0" w:color="auto"/>
              <w:left w:val="single" w:sz="2" w:space="0" w:color="auto"/>
              <w:bottom w:val="single" w:sz="2" w:space="0" w:color="auto"/>
              <w:right w:val="single" w:sz="2" w:space="0" w:color="auto"/>
            </w:tcBorders>
          </w:tcPr>
          <w:p w14:paraId="350900A0" w14:textId="77777777" w:rsidR="004A1B07" w:rsidRPr="00DD78A9" w:rsidRDefault="00DD78A9" w:rsidP="00A22F9C">
            <w:pPr>
              <w:pStyle w:val="Tabletext"/>
              <w:jc w:val="center"/>
            </w:pPr>
            <w:r>
              <w:rPr>
                <w:noProof/>
                <w:color w:val="000000"/>
                <w:highlight w:val="black"/>
              </w:rPr>
              <w:t>'''''''''''''''''''''</w:t>
            </w:r>
            <w:r w:rsidR="00F2261F">
              <w:rPr>
                <w:vertAlign w:val="superscript"/>
              </w:rPr>
              <w:t>5</w:t>
            </w:r>
          </w:p>
        </w:tc>
        <w:tc>
          <w:tcPr>
            <w:tcW w:w="575" w:type="dxa"/>
            <w:tcBorders>
              <w:top w:val="single" w:sz="2" w:space="0" w:color="auto"/>
              <w:left w:val="single" w:sz="2" w:space="0" w:color="auto"/>
              <w:bottom w:val="single" w:sz="2" w:space="0" w:color="auto"/>
              <w:right w:val="single" w:sz="2" w:space="0" w:color="auto"/>
            </w:tcBorders>
          </w:tcPr>
          <w:p w14:paraId="3569D6F6" w14:textId="77777777" w:rsidR="004A1B07" w:rsidRPr="004A1B07" w:rsidRDefault="004A1B07" w:rsidP="00A22F9C">
            <w:pPr>
              <w:pStyle w:val="Tabletext"/>
              <w:jc w:val="center"/>
            </w:pPr>
            <w:r w:rsidRPr="004A1B07">
              <w:t>+125.2%</w:t>
            </w:r>
          </w:p>
        </w:tc>
      </w:tr>
    </w:tbl>
    <w:p w14:paraId="1AB2E070" w14:textId="77777777" w:rsidR="00203DAA" w:rsidRPr="00D27BF1" w:rsidRDefault="00203DAA" w:rsidP="00C274B7">
      <w:pPr>
        <w:pStyle w:val="TableFooter"/>
        <w:keepNext/>
        <w:keepLines/>
      </w:pPr>
      <w:r w:rsidRPr="00D27BF1">
        <w:t>Source: Tables 3-37 &amp; 3-38, pp151-152 of the submission.</w:t>
      </w:r>
    </w:p>
    <w:p w14:paraId="5B58DF89" w14:textId="77777777" w:rsidR="00203DAA" w:rsidRPr="00D27BF1" w:rsidRDefault="00203DAA" w:rsidP="00C274B7">
      <w:pPr>
        <w:pStyle w:val="TableFooter"/>
        <w:keepNext/>
        <w:keepLines/>
      </w:pPr>
      <w:r w:rsidRPr="00D27BF1">
        <w:t xml:space="preserve">BEC= blood eosinophil count; ICER= incremental cost effectiveness ratio; ITT= intent-to-treat; QALY= quality-adjusted life years; </w:t>
      </w:r>
      <w:r w:rsidR="007A1047" w:rsidRPr="00D27BF1">
        <w:br/>
      </w:r>
      <w:r w:rsidRPr="00D27BF1">
        <w:t xml:space="preserve">SoC= standard of care </w:t>
      </w:r>
    </w:p>
    <w:p w14:paraId="7B84631B" w14:textId="77777777" w:rsidR="007A35AB" w:rsidRDefault="007A1047" w:rsidP="007418E1">
      <w:pPr>
        <w:pStyle w:val="TableFooter"/>
        <w:keepLines/>
      </w:pPr>
      <w:r w:rsidRPr="00D27BF1">
        <w:t>*I</w:t>
      </w:r>
      <w:r w:rsidR="007A35AB" w:rsidRPr="00D27BF1">
        <w:t>ndicate sensitivity analyses conducted during evaluation</w:t>
      </w:r>
    </w:p>
    <w:p w14:paraId="20DB08EF" w14:textId="709893F9" w:rsidR="004A1DD5" w:rsidRDefault="004A1B07" w:rsidP="007418E1">
      <w:pPr>
        <w:pStyle w:val="TableFooter"/>
        <w:keepLines/>
      </w:pPr>
      <w:r w:rsidRPr="004A1DD5">
        <w:t>†The pre-PBAC response correctly identified that the proportion of patients who would lose</w:t>
      </w:r>
      <w:r w:rsidR="00D05E2C" w:rsidRPr="004A1DD5">
        <w:t xml:space="preserve"> response to treatment annually</w:t>
      </w:r>
      <w:r w:rsidRPr="004A1DD5">
        <w:t xml:space="preserve"> should be 24.6% instead of 21.5%. </w:t>
      </w:r>
      <w:r w:rsidR="00D05E2C" w:rsidRPr="004A1DD5">
        <w:t>Table 14 has been updated with the correct proportion.</w:t>
      </w:r>
      <w:r w:rsidR="00D05E2C">
        <w:t xml:space="preserve"> </w:t>
      </w:r>
    </w:p>
    <w:p w14:paraId="0DF271B3" w14:textId="77777777" w:rsidR="00F2261F" w:rsidRPr="00F2261F" w:rsidRDefault="00F2261F" w:rsidP="007418E1">
      <w:pPr>
        <w:pStyle w:val="TableFooter"/>
        <w:keepLines/>
        <w:rPr>
          <w:i/>
        </w:rPr>
      </w:pPr>
      <w:r w:rsidRPr="00F2261F">
        <w:rPr>
          <w:i/>
        </w:rPr>
        <w:t>The redacted values correspond to the following ranges:</w:t>
      </w:r>
    </w:p>
    <w:p w14:paraId="29008E56" w14:textId="77777777" w:rsidR="00F2261F" w:rsidRPr="00F2261F" w:rsidRDefault="00F2261F" w:rsidP="007418E1">
      <w:pPr>
        <w:pStyle w:val="TableFooter"/>
        <w:keepLines/>
        <w:rPr>
          <w:i/>
        </w:rPr>
      </w:pPr>
      <w:r w:rsidRPr="00F2261F">
        <w:rPr>
          <w:i/>
          <w:vertAlign w:val="superscript"/>
        </w:rPr>
        <w:t>1</w:t>
      </w:r>
      <w:r w:rsidRPr="00F2261F">
        <w:rPr>
          <w:i/>
        </w:rPr>
        <w:t xml:space="preserve"> $55,000 to &lt; $75,000</w:t>
      </w:r>
    </w:p>
    <w:p w14:paraId="15613676" w14:textId="77777777" w:rsidR="00F2261F" w:rsidRPr="00F2261F" w:rsidRDefault="00F2261F" w:rsidP="007418E1">
      <w:pPr>
        <w:pStyle w:val="TableFooter"/>
        <w:keepLines/>
        <w:rPr>
          <w:i/>
        </w:rPr>
      </w:pPr>
      <w:r w:rsidRPr="00F2261F">
        <w:rPr>
          <w:i/>
          <w:vertAlign w:val="superscript"/>
        </w:rPr>
        <w:t>2</w:t>
      </w:r>
      <w:r w:rsidRPr="00F2261F">
        <w:rPr>
          <w:i/>
        </w:rPr>
        <w:t xml:space="preserve"> $115,000 to &lt; $135,000</w:t>
      </w:r>
    </w:p>
    <w:p w14:paraId="4D730FB4" w14:textId="77777777" w:rsidR="00F2261F" w:rsidRPr="00F2261F" w:rsidRDefault="00F2261F" w:rsidP="007418E1">
      <w:pPr>
        <w:pStyle w:val="TableFooter"/>
        <w:keepLines/>
        <w:rPr>
          <w:i/>
        </w:rPr>
      </w:pPr>
      <w:r w:rsidRPr="00F2261F">
        <w:rPr>
          <w:i/>
          <w:vertAlign w:val="superscript"/>
        </w:rPr>
        <w:t>3</w:t>
      </w:r>
      <w:r w:rsidRPr="00F2261F">
        <w:rPr>
          <w:i/>
        </w:rPr>
        <w:t xml:space="preserve"> $75,000 to &lt; $95,000</w:t>
      </w:r>
    </w:p>
    <w:p w14:paraId="522E4721" w14:textId="77777777" w:rsidR="00F2261F" w:rsidRPr="00F2261F" w:rsidRDefault="00F2261F" w:rsidP="007418E1">
      <w:pPr>
        <w:pStyle w:val="TableFooter"/>
        <w:keepLines/>
        <w:rPr>
          <w:i/>
        </w:rPr>
      </w:pPr>
      <w:r w:rsidRPr="00F2261F">
        <w:rPr>
          <w:i/>
          <w:vertAlign w:val="superscript"/>
        </w:rPr>
        <w:t>4</w:t>
      </w:r>
      <w:r w:rsidRPr="00F2261F">
        <w:rPr>
          <w:i/>
        </w:rPr>
        <w:t xml:space="preserve"> $95,000 to &lt; $115,000</w:t>
      </w:r>
    </w:p>
    <w:p w14:paraId="546B958D" w14:textId="77777777" w:rsidR="00F2261F" w:rsidRPr="00F2261F" w:rsidRDefault="00F2261F" w:rsidP="007418E1">
      <w:pPr>
        <w:pStyle w:val="TableFooter"/>
        <w:keepLines/>
        <w:rPr>
          <w:i/>
        </w:rPr>
      </w:pPr>
      <w:r w:rsidRPr="00F2261F">
        <w:rPr>
          <w:i/>
          <w:vertAlign w:val="superscript"/>
        </w:rPr>
        <w:t>5</w:t>
      </w:r>
      <w:r w:rsidRPr="00F2261F">
        <w:rPr>
          <w:i/>
        </w:rPr>
        <w:t xml:space="preserve"> $135,000 to &lt; $155,000</w:t>
      </w:r>
    </w:p>
    <w:p w14:paraId="3E5536E3" w14:textId="77777777" w:rsidR="00203DAA" w:rsidRPr="00D27BF1" w:rsidRDefault="00203DAA" w:rsidP="00203DAA">
      <w:pPr>
        <w:widowControl/>
      </w:pPr>
    </w:p>
    <w:p w14:paraId="6627752F" w14:textId="77777777" w:rsidR="009F4EA7" w:rsidRPr="00D27BF1" w:rsidRDefault="009F4EA7" w:rsidP="00B313EF">
      <w:pPr>
        <w:pStyle w:val="ListParagraph"/>
        <w:widowControl/>
        <w:numPr>
          <w:ilvl w:val="1"/>
          <w:numId w:val="2"/>
        </w:numPr>
      </w:pPr>
      <w:r w:rsidRPr="0057459B">
        <w:t xml:space="preserve">The </w:t>
      </w:r>
      <w:r w:rsidR="00F6610D" w:rsidRPr="0057459B">
        <w:t xml:space="preserve">ESC noted the </w:t>
      </w:r>
      <w:r w:rsidRPr="0057459B">
        <w:t>assumption of differential utility based on treatment arm and the extrapolation to a 30-year time horizon from ‘within trial’ in the base case had the largest potential impacts on the ICER. Multivariate sensitivity analyses combining two scenarios assuming the same utilities across treatment arms and a five-year time horizon increased the estimated ICER by 73.9%. This, combined with the loss of treatment effect further increased the estimated ICER by 8</w:t>
      </w:r>
      <w:r w:rsidR="00D05E2C">
        <w:t>5</w:t>
      </w:r>
      <w:r w:rsidRPr="0057459B">
        <w:t>.</w:t>
      </w:r>
      <w:r w:rsidR="00D05E2C">
        <w:t>3</w:t>
      </w:r>
      <w:r w:rsidRPr="0057459B">
        <w:t xml:space="preserve">%. Overall, the </w:t>
      </w:r>
      <w:r w:rsidR="00F6610D" w:rsidRPr="0057459B">
        <w:t xml:space="preserve">ESC considered the </w:t>
      </w:r>
      <w:r w:rsidRPr="0057459B">
        <w:t>base case ICER was likely underestimated based on the use of optimistic inputs (differential utility) and assumptions (extrapolation to 30</w:t>
      </w:r>
      <w:r w:rsidRPr="00D27BF1">
        <w:t xml:space="preserve"> years with no loss of effect) which favoured mepolizumab. </w:t>
      </w:r>
    </w:p>
    <w:p w14:paraId="12C77A4C" w14:textId="77777777" w:rsidR="00F6610D" w:rsidRPr="0057459B" w:rsidRDefault="00F6610D" w:rsidP="00F6610D">
      <w:pPr>
        <w:pStyle w:val="ListParagraph"/>
        <w:widowControl/>
        <w:numPr>
          <w:ilvl w:val="1"/>
          <w:numId w:val="2"/>
        </w:numPr>
        <w:rPr>
          <w:iCs/>
        </w:rPr>
      </w:pPr>
      <w:r w:rsidRPr="0057459B">
        <w:rPr>
          <w:iCs/>
        </w:rPr>
        <w:t>The ESC noted that as SF-36</w:t>
      </w:r>
      <w:r w:rsidR="004C602D" w:rsidRPr="0057459B">
        <w:rPr>
          <w:iCs/>
        </w:rPr>
        <w:t>/SF-6D</w:t>
      </w:r>
      <w:r w:rsidRPr="0057459B">
        <w:rPr>
          <w:iCs/>
        </w:rPr>
        <w:t xml:space="preserve"> utilities via responder status were not available in the Clinical Study Report nor provided by the submission, the impact of these could not be explored in the sensitivity analysis.</w:t>
      </w:r>
    </w:p>
    <w:p w14:paraId="09AB7082" w14:textId="77777777" w:rsidR="00EE02E1" w:rsidRPr="0057459B" w:rsidRDefault="00F6610D" w:rsidP="00B313EF">
      <w:pPr>
        <w:pStyle w:val="ListParagraph"/>
        <w:widowControl/>
        <w:numPr>
          <w:ilvl w:val="1"/>
          <w:numId w:val="2"/>
        </w:numPr>
      </w:pPr>
      <w:r w:rsidRPr="0057459B">
        <w:rPr>
          <w:iCs/>
        </w:rPr>
        <w:t>The ESC considered that a respecified base case incorporating the following amendments was required to address concerns identified:</w:t>
      </w:r>
    </w:p>
    <w:p w14:paraId="1107D5DD" w14:textId="45F169A1" w:rsidR="003C16B1" w:rsidRPr="0057459B" w:rsidRDefault="003C16B1" w:rsidP="00F6610D">
      <w:pPr>
        <w:pStyle w:val="Bulletpoints"/>
      </w:pPr>
      <w:r w:rsidRPr="0057459B">
        <w:t>a 5 year time horizon</w:t>
      </w:r>
    </w:p>
    <w:p w14:paraId="74A44052" w14:textId="596E1C41" w:rsidR="003C16B1" w:rsidRPr="0057459B" w:rsidRDefault="003C16B1" w:rsidP="00F6610D">
      <w:pPr>
        <w:pStyle w:val="Bulletpoints"/>
      </w:pPr>
      <w:r w:rsidRPr="0057459B">
        <w:t>an assumption of 2</w:t>
      </w:r>
      <w:r w:rsidR="009B318D">
        <w:t>4.6</w:t>
      </w:r>
      <w:r w:rsidRPr="0057459B">
        <w:t>% loss of response</w:t>
      </w:r>
    </w:p>
    <w:p w14:paraId="5C447D1A" w14:textId="77777777" w:rsidR="00F6610D" w:rsidRPr="0057459B" w:rsidRDefault="003C16B1" w:rsidP="00F6610D">
      <w:pPr>
        <w:pStyle w:val="Bulletpoints"/>
      </w:pPr>
      <w:r w:rsidRPr="0057459B">
        <w:t>the SoC responder utility applied to both arms from Week 52, and applied to those who had effective surgery.</w:t>
      </w:r>
    </w:p>
    <w:p w14:paraId="4A803D44" w14:textId="77777777" w:rsidR="003C16B1" w:rsidRPr="0057459B" w:rsidRDefault="003C16B1" w:rsidP="003C16B1">
      <w:pPr>
        <w:pStyle w:val="Bulletpoints"/>
        <w:numPr>
          <w:ilvl w:val="0"/>
          <w:numId w:val="0"/>
        </w:numPr>
        <w:ind w:left="720"/>
      </w:pPr>
      <w:r w:rsidRPr="0057459B">
        <w:t>The ESC noted that incorporating the above amendments increased the ICER from $</w:t>
      </w:r>
      <w:r w:rsidR="000315C3">
        <w:t>55,000 to &lt; $75,000</w:t>
      </w:r>
      <w:r w:rsidRPr="0057459B">
        <w:t>/QALY to $</w:t>
      </w:r>
      <w:r w:rsidR="000315C3">
        <w:t>135,000 to &lt; $155,000</w:t>
      </w:r>
      <w:r w:rsidRPr="0057459B">
        <w:t>/QALY.</w:t>
      </w:r>
    </w:p>
    <w:p w14:paraId="34BB25FB" w14:textId="77777777" w:rsidR="003C16B1" w:rsidRPr="00D27BF1" w:rsidRDefault="003C16B1" w:rsidP="003C16B1">
      <w:pPr>
        <w:pStyle w:val="Bulletpoints"/>
        <w:numPr>
          <w:ilvl w:val="0"/>
          <w:numId w:val="0"/>
        </w:numPr>
        <w:ind w:left="720"/>
      </w:pPr>
    </w:p>
    <w:p w14:paraId="0AACE494" w14:textId="77777777" w:rsidR="00C25D9C" w:rsidRPr="00D27BF1" w:rsidRDefault="00B677A9" w:rsidP="00C9624D">
      <w:pPr>
        <w:pStyle w:val="Heading2"/>
      </w:pPr>
      <w:bookmarkStart w:id="34" w:name="_Toc82528844"/>
      <w:r w:rsidRPr="00D27BF1">
        <w:t>Drug cost/patient/</w:t>
      </w:r>
      <w:r w:rsidR="00C25D9C" w:rsidRPr="00D27BF1">
        <w:t>year</w:t>
      </w:r>
      <w:bookmarkEnd w:id="34"/>
    </w:p>
    <w:p w14:paraId="48B6209D" w14:textId="77777777" w:rsidR="00B677A9" w:rsidRPr="00D27BF1" w:rsidRDefault="0076131A" w:rsidP="00B313EF">
      <w:pPr>
        <w:pStyle w:val="ListParagraph"/>
        <w:widowControl/>
        <w:numPr>
          <w:ilvl w:val="1"/>
          <w:numId w:val="2"/>
        </w:numPr>
        <w:spacing w:after="120"/>
        <w:rPr>
          <w:rFonts w:cs="Calibri"/>
          <w:snapToGrid/>
          <w:szCs w:val="24"/>
          <w:lang w:eastAsia="en-AU"/>
        </w:rPr>
      </w:pPr>
      <w:r w:rsidRPr="00D27BF1">
        <w:t xml:space="preserve">Drug acquisition costs of mepolizumab are summarised in </w:t>
      </w:r>
      <w:r w:rsidR="0020510D" w:rsidRPr="0020510D">
        <w:t>Table 15</w:t>
      </w:r>
      <w:r w:rsidRPr="00D27BF1">
        <w:t xml:space="preserve">. </w:t>
      </w:r>
    </w:p>
    <w:p w14:paraId="0E0E0A65" w14:textId="77777777" w:rsidR="00F07B7E" w:rsidRPr="00D27BF1" w:rsidRDefault="00C72BB5" w:rsidP="00C72BB5">
      <w:pPr>
        <w:keepNext/>
        <w:widowControl/>
        <w:rPr>
          <w:rStyle w:val="CommentReference"/>
        </w:rPr>
      </w:pPr>
      <w:bookmarkStart w:id="35" w:name="_Ref80579610"/>
      <w:r w:rsidRPr="00D27BF1">
        <w:rPr>
          <w:rStyle w:val="CommentReference"/>
        </w:rPr>
        <w:t xml:space="preserve">Table </w:t>
      </w:r>
      <w:r w:rsidR="0020510D">
        <w:rPr>
          <w:rStyle w:val="CommentReference"/>
          <w:noProof/>
        </w:rPr>
        <w:t>15</w:t>
      </w:r>
      <w:bookmarkEnd w:id="35"/>
      <w:r w:rsidR="00F07B7E" w:rsidRPr="00D27BF1">
        <w:rPr>
          <w:rStyle w:val="CommentReference"/>
        </w:rPr>
        <w:t xml:space="preserve">: Drug cost per patient for </w:t>
      </w:r>
      <w:r w:rsidR="00424A5F" w:rsidRPr="00D27BF1">
        <w:rPr>
          <w:rStyle w:val="CommentReference"/>
        </w:rPr>
        <w:t>mepolizumab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69"/>
        <w:gridCol w:w="2516"/>
        <w:gridCol w:w="2516"/>
        <w:gridCol w:w="2516"/>
      </w:tblGrid>
      <w:tr w:rsidR="00424A5F" w:rsidRPr="00D27BF1" w14:paraId="0BF5555F" w14:textId="77777777" w:rsidTr="00424A5F">
        <w:trPr>
          <w:jc w:val="center"/>
        </w:trPr>
        <w:tc>
          <w:tcPr>
            <w:tcW w:w="815" w:type="pct"/>
            <w:shd w:val="clear" w:color="auto" w:fill="auto"/>
            <w:vAlign w:val="center"/>
          </w:tcPr>
          <w:p w14:paraId="4BB1729F" w14:textId="77777777" w:rsidR="00424A5F" w:rsidRPr="0057459B" w:rsidRDefault="00424A5F" w:rsidP="00796939">
            <w:pPr>
              <w:keepNext/>
              <w:widowControl/>
              <w:jc w:val="left"/>
              <w:rPr>
                <w:rFonts w:ascii="Arial Narrow" w:hAnsi="Arial Narrow"/>
                <w:b/>
                <w:sz w:val="20"/>
              </w:rPr>
            </w:pPr>
          </w:p>
        </w:tc>
        <w:tc>
          <w:tcPr>
            <w:tcW w:w="1395" w:type="pct"/>
            <w:shd w:val="clear" w:color="auto" w:fill="auto"/>
            <w:vAlign w:val="center"/>
          </w:tcPr>
          <w:p w14:paraId="718724DC" w14:textId="77777777" w:rsidR="00424A5F" w:rsidRPr="0057459B" w:rsidRDefault="00424A5F" w:rsidP="00796939">
            <w:pPr>
              <w:keepNext/>
              <w:widowControl/>
              <w:jc w:val="center"/>
              <w:rPr>
                <w:rFonts w:ascii="Arial Narrow" w:hAnsi="Arial Narrow"/>
                <w:b/>
                <w:sz w:val="20"/>
              </w:rPr>
            </w:pPr>
            <w:r w:rsidRPr="0057459B">
              <w:rPr>
                <w:rFonts w:ascii="Arial Narrow" w:hAnsi="Arial Narrow"/>
                <w:b/>
                <w:sz w:val="20"/>
              </w:rPr>
              <w:t>Trial dose and duration</w:t>
            </w:r>
          </w:p>
        </w:tc>
        <w:tc>
          <w:tcPr>
            <w:tcW w:w="1395" w:type="pct"/>
            <w:shd w:val="clear" w:color="auto" w:fill="auto"/>
            <w:vAlign w:val="center"/>
          </w:tcPr>
          <w:p w14:paraId="689E09B9" w14:textId="77777777" w:rsidR="00424A5F" w:rsidRPr="0057459B" w:rsidRDefault="00424A5F" w:rsidP="00796939">
            <w:pPr>
              <w:keepNext/>
              <w:widowControl/>
              <w:jc w:val="center"/>
              <w:rPr>
                <w:rFonts w:ascii="Arial Narrow" w:hAnsi="Arial Narrow"/>
                <w:b/>
                <w:sz w:val="20"/>
              </w:rPr>
            </w:pPr>
            <w:r w:rsidRPr="0057459B">
              <w:rPr>
                <w:rFonts w:ascii="Arial Narrow" w:hAnsi="Arial Narrow"/>
                <w:b/>
                <w:sz w:val="20"/>
              </w:rPr>
              <w:t>Model</w:t>
            </w:r>
          </w:p>
        </w:tc>
        <w:tc>
          <w:tcPr>
            <w:tcW w:w="1395" w:type="pct"/>
            <w:shd w:val="clear" w:color="auto" w:fill="auto"/>
            <w:vAlign w:val="center"/>
          </w:tcPr>
          <w:p w14:paraId="11E7FD83" w14:textId="77777777" w:rsidR="00424A5F" w:rsidRPr="0057459B" w:rsidRDefault="00424A5F" w:rsidP="00796939">
            <w:pPr>
              <w:keepNext/>
              <w:widowControl/>
              <w:jc w:val="center"/>
              <w:rPr>
                <w:rFonts w:ascii="Arial Narrow" w:hAnsi="Arial Narrow"/>
                <w:b/>
                <w:sz w:val="20"/>
              </w:rPr>
            </w:pPr>
            <w:r w:rsidRPr="0057459B">
              <w:rPr>
                <w:rFonts w:ascii="Arial Narrow" w:hAnsi="Arial Narrow"/>
                <w:b/>
                <w:sz w:val="20"/>
              </w:rPr>
              <w:t>Financial estimates</w:t>
            </w:r>
          </w:p>
        </w:tc>
      </w:tr>
      <w:tr w:rsidR="00424A5F" w:rsidRPr="00D27BF1" w14:paraId="7DC42EA4" w14:textId="77777777" w:rsidTr="00424A5F">
        <w:trPr>
          <w:jc w:val="center"/>
        </w:trPr>
        <w:tc>
          <w:tcPr>
            <w:tcW w:w="815" w:type="pct"/>
            <w:shd w:val="clear" w:color="auto" w:fill="auto"/>
            <w:vAlign w:val="center"/>
          </w:tcPr>
          <w:p w14:paraId="5DD8DBA0" w14:textId="77777777" w:rsidR="00424A5F" w:rsidRPr="0057459B" w:rsidRDefault="00424A5F" w:rsidP="00CE2E94">
            <w:pPr>
              <w:keepNext/>
              <w:widowControl/>
              <w:jc w:val="left"/>
              <w:rPr>
                <w:rFonts w:ascii="Arial Narrow" w:hAnsi="Arial Narrow"/>
                <w:sz w:val="20"/>
              </w:rPr>
            </w:pPr>
            <w:r w:rsidRPr="0057459B">
              <w:rPr>
                <w:rFonts w:ascii="Arial Narrow" w:hAnsi="Arial Narrow"/>
                <w:sz w:val="20"/>
              </w:rPr>
              <w:t>Mean dose</w:t>
            </w:r>
          </w:p>
        </w:tc>
        <w:tc>
          <w:tcPr>
            <w:tcW w:w="1395" w:type="pct"/>
            <w:shd w:val="clear" w:color="auto" w:fill="auto"/>
            <w:vAlign w:val="center"/>
          </w:tcPr>
          <w:p w14:paraId="636E7937" w14:textId="77777777" w:rsidR="00424A5F" w:rsidRPr="0057459B" w:rsidRDefault="00424A5F" w:rsidP="00CE2E94">
            <w:pPr>
              <w:keepNext/>
              <w:widowControl/>
              <w:jc w:val="center"/>
              <w:rPr>
                <w:rFonts w:ascii="Arial Narrow" w:hAnsi="Arial Narrow"/>
                <w:sz w:val="20"/>
              </w:rPr>
            </w:pPr>
            <w:r w:rsidRPr="0057459B">
              <w:rPr>
                <w:rFonts w:ascii="Arial Narrow" w:hAnsi="Arial Narrow"/>
                <w:sz w:val="20"/>
              </w:rPr>
              <w:t>100mg Q4W</w:t>
            </w:r>
          </w:p>
        </w:tc>
        <w:tc>
          <w:tcPr>
            <w:tcW w:w="1395" w:type="pct"/>
            <w:shd w:val="clear" w:color="auto" w:fill="auto"/>
            <w:vAlign w:val="center"/>
          </w:tcPr>
          <w:p w14:paraId="202D28FF" w14:textId="77777777" w:rsidR="00424A5F" w:rsidRPr="0057459B" w:rsidRDefault="00424A5F" w:rsidP="00CE2E94">
            <w:pPr>
              <w:keepNext/>
              <w:widowControl/>
              <w:jc w:val="center"/>
              <w:rPr>
                <w:rFonts w:ascii="Arial Narrow" w:hAnsi="Arial Narrow"/>
                <w:sz w:val="20"/>
              </w:rPr>
            </w:pPr>
            <w:r w:rsidRPr="0057459B">
              <w:rPr>
                <w:rFonts w:ascii="Arial Narrow" w:hAnsi="Arial Narrow"/>
                <w:sz w:val="20"/>
              </w:rPr>
              <w:t>100mg Q4W</w:t>
            </w:r>
          </w:p>
        </w:tc>
        <w:tc>
          <w:tcPr>
            <w:tcW w:w="1395" w:type="pct"/>
            <w:shd w:val="clear" w:color="auto" w:fill="auto"/>
            <w:vAlign w:val="center"/>
          </w:tcPr>
          <w:p w14:paraId="7F8A7555" w14:textId="77777777" w:rsidR="00424A5F" w:rsidRPr="0057459B" w:rsidRDefault="00424A5F" w:rsidP="00CE2E94">
            <w:pPr>
              <w:keepNext/>
              <w:widowControl/>
              <w:jc w:val="center"/>
              <w:rPr>
                <w:rFonts w:ascii="Arial Narrow" w:hAnsi="Arial Narrow"/>
                <w:sz w:val="20"/>
              </w:rPr>
            </w:pPr>
            <w:r w:rsidRPr="0057459B">
              <w:rPr>
                <w:rFonts w:ascii="Arial Narrow" w:hAnsi="Arial Narrow"/>
                <w:sz w:val="20"/>
              </w:rPr>
              <w:t>100mg Q4W</w:t>
            </w:r>
          </w:p>
        </w:tc>
      </w:tr>
      <w:tr w:rsidR="00424A5F" w:rsidRPr="00D27BF1" w14:paraId="388A2B4B" w14:textId="77777777" w:rsidTr="00424A5F">
        <w:trPr>
          <w:jc w:val="center"/>
        </w:trPr>
        <w:tc>
          <w:tcPr>
            <w:tcW w:w="815" w:type="pct"/>
            <w:shd w:val="clear" w:color="auto" w:fill="auto"/>
            <w:vAlign w:val="center"/>
          </w:tcPr>
          <w:p w14:paraId="6A3E5804" w14:textId="77777777" w:rsidR="00424A5F" w:rsidRPr="0057459B" w:rsidRDefault="00424A5F" w:rsidP="00CE2E94">
            <w:pPr>
              <w:keepNext/>
              <w:widowControl/>
              <w:jc w:val="left"/>
              <w:rPr>
                <w:rFonts w:ascii="Arial Narrow" w:hAnsi="Arial Narrow"/>
                <w:sz w:val="20"/>
              </w:rPr>
            </w:pPr>
            <w:r w:rsidRPr="0057459B">
              <w:rPr>
                <w:rFonts w:ascii="Arial Narrow" w:hAnsi="Arial Narrow"/>
                <w:sz w:val="20"/>
              </w:rPr>
              <w:t>Mean duration</w:t>
            </w:r>
          </w:p>
        </w:tc>
        <w:tc>
          <w:tcPr>
            <w:tcW w:w="1395" w:type="pct"/>
            <w:shd w:val="clear" w:color="auto" w:fill="auto"/>
            <w:vAlign w:val="center"/>
          </w:tcPr>
          <w:p w14:paraId="74C376D4" w14:textId="77777777" w:rsidR="00424A5F" w:rsidRPr="0057459B" w:rsidRDefault="0076131A" w:rsidP="00CE2E94">
            <w:pPr>
              <w:keepNext/>
              <w:widowControl/>
              <w:jc w:val="center"/>
              <w:rPr>
                <w:rFonts w:ascii="Arial Narrow" w:hAnsi="Arial Narrow"/>
                <w:sz w:val="20"/>
              </w:rPr>
            </w:pPr>
            <w:r w:rsidRPr="0057459B">
              <w:rPr>
                <w:rFonts w:ascii="Arial Narrow" w:hAnsi="Arial Narrow"/>
                <w:sz w:val="20"/>
              </w:rPr>
              <w:t>11.3 months</w:t>
            </w:r>
          </w:p>
        </w:tc>
        <w:tc>
          <w:tcPr>
            <w:tcW w:w="1395" w:type="pct"/>
            <w:shd w:val="clear" w:color="auto" w:fill="auto"/>
            <w:vAlign w:val="center"/>
          </w:tcPr>
          <w:p w14:paraId="09B29A01" w14:textId="77777777" w:rsidR="00424A5F" w:rsidRPr="0057459B" w:rsidRDefault="00424A5F" w:rsidP="00CE2E94">
            <w:pPr>
              <w:keepNext/>
              <w:widowControl/>
              <w:jc w:val="center"/>
              <w:rPr>
                <w:rFonts w:ascii="Arial Narrow" w:hAnsi="Arial Narrow"/>
                <w:sz w:val="20"/>
              </w:rPr>
            </w:pPr>
            <w:r w:rsidRPr="0057459B">
              <w:rPr>
                <w:rFonts w:ascii="Arial Narrow" w:hAnsi="Arial Narrow"/>
                <w:sz w:val="20"/>
              </w:rPr>
              <w:t>16.90 years</w:t>
            </w:r>
          </w:p>
        </w:tc>
        <w:tc>
          <w:tcPr>
            <w:tcW w:w="1395" w:type="pct"/>
            <w:shd w:val="clear" w:color="auto" w:fill="auto"/>
            <w:vAlign w:val="center"/>
          </w:tcPr>
          <w:p w14:paraId="23CADCED" w14:textId="77777777" w:rsidR="00424A5F" w:rsidRPr="0057459B" w:rsidRDefault="00D90AB0" w:rsidP="00CE2E94">
            <w:pPr>
              <w:keepNext/>
              <w:widowControl/>
              <w:jc w:val="center"/>
              <w:rPr>
                <w:rFonts w:ascii="Arial Narrow" w:hAnsi="Arial Narrow"/>
                <w:sz w:val="20"/>
              </w:rPr>
            </w:pPr>
            <w:r w:rsidRPr="0057459B">
              <w:rPr>
                <w:rFonts w:ascii="Arial Narrow" w:hAnsi="Arial Narrow"/>
                <w:sz w:val="20"/>
              </w:rPr>
              <w:t>Lifelong</w:t>
            </w:r>
          </w:p>
        </w:tc>
      </w:tr>
      <w:tr w:rsidR="00424A5F" w:rsidRPr="00D27BF1" w14:paraId="4970A354" w14:textId="77777777" w:rsidTr="00424A5F">
        <w:trPr>
          <w:jc w:val="center"/>
        </w:trPr>
        <w:tc>
          <w:tcPr>
            <w:tcW w:w="815" w:type="pct"/>
            <w:shd w:val="clear" w:color="auto" w:fill="auto"/>
            <w:vAlign w:val="center"/>
          </w:tcPr>
          <w:p w14:paraId="27ABA2C1" w14:textId="77777777" w:rsidR="00424A5F" w:rsidRPr="0057459B" w:rsidRDefault="00424A5F" w:rsidP="00CE2E94">
            <w:pPr>
              <w:keepNext/>
              <w:widowControl/>
              <w:jc w:val="left"/>
              <w:rPr>
                <w:rFonts w:ascii="Arial Narrow" w:hAnsi="Arial Narrow"/>
                <w:sz w:val="20"/>
              </w:rPr>
            </w:pPr>
            <w:r w:rsidRPr="0057459B">
              <w:rPr>
                <w:rFonts w:ascii="Arial Narrow" w:hAnsi="Arial Narrow"/>
                <w:sz w:val="20"/>
              </w:rPr>
              <w:t>Cost/patient/year</w:t>
            </w:r>
            <w:r w:rsidR="000315C3">
              <w:rPr>
                <w:rFonts w:ascii="Arial Narrow" w:hAnsi="Arial Narrow"/>
                <w:sz w:val="20"/>
              </w:rPr>
              <w:t xml:space="preserve"> ($)</w:t>
            </w:r>
          </w:p>
        </w:tc>
        <w:tc>
          <w:tcPr>
            <w:tcW w:w="1395" w:type="pct"/>
            <w:shd w:val="clear" w:color="auto" w:fill="auto"/>
            <w:vAlign w:val="center"/>
          </w:tcPr>
          <w:p w14:paraId="7E8F9D07" w14:textId="77777777" w:rsidR="00424A5F" w:rsidRPr="0057459B" w:rsidRDefault="00DD78A9" w:rsidP="00CE2E94">
            <w:pPr>
              <w:keepNext/>
              <w:widowControl/>
              <w:jc w:val="center"/>
              <w:rPr>
                <w:rFonts w:ascii="Arial Narrow" w:hAnsi="Arial Narrow"/>
                <w:sz w:val="20"/>
                <w:vertAlign w:val="superscript"/>
              </w:rPr>
            </w:pPr>
            <w:r>
              <w:rPr>
                <w:rFonts w:ascii="Arial Narrow" w:hAnsi="Arial Narrow"/>
                <w:noProof/>
                <w:color w:val="000000"/>
                <w:sz w:val="20"/>
                <w:highlight w:val="black"/>
              </w:rPr>
              <w:t>''''''''''''''''''</w:t>
            </w:r>
            <w:r w:rsidR="00D90AB0" w:rsidRPr="0057459B">
              <w:rPr>
                <w:rFonts w:ascii="Arial Narrow" w:hAnsi="Arial Narrow"/>
                <w:sz w:val="20"/>
                <w:vertAlign w:val="superscript"/>
              </w:rPr>
              <w:t>a</w:t>
            </w:r>
          </w:p>
        </w:tc>
        <w:tc>
          <w:tcPr>
            <w:tcW w:w="1395" w:type="pct"/>
            <w:shd w:val="clear" w:color="auto" w:fill="auto"/>
            <w:vAlign w:val="center"/>
          </w:tcPr>
          <w:p w14:paraId="66880A5B" w14:textId="77777777" w:rsidR="00424A5F" w:rsidRPr="00DD78A9" w:rsidRDefault="00DD78A9" w:rsidP="00CE2E94">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395" w:type="pct"/>
            <w:shd w:val="clear" w:color="auto" w:fill="auto"/>
            <w:vAlign w:val="center"/>
          </w:tcPr>
          <w:p w14:paraId="0C0225CB" w14:textId="77777777" w:rsidR="00424A5F" w:rsidRPr="0057459B" w:rsidRDefault="00DD78A9" w:rsidP="00CE2E94">
            <w:pPr>
              <w:keepNext/>
              <w:widowControl/>
              <w:jc w:val="center"/>
              <w:rPr>
                <w:rFonts w:ascii="Arial Narrow" w:hAnsi="Arial Narrow"/>
                <w:sz w:val="20"/>
                <w:vertAlign w:val="superscript"/>
              </w:rPr>
            </w:pPr>
            <w:r>
              <w:rPr>
                <w:rFonts w:ascii="Arial Narrow" w:hAnsi="Arial Narrow"/>
                <w:noProof/>
                <w:color w:val="000000"/>
                <w:sz w:val="20"/>
                <w:highlight w:val="black"/>
              </w:rPr>
              <w:t>'''''''''''''''''</w:t>
            </w:r>
            <w:r w:rsidR="00D90AB0" w:rsidRPr="0057459B">
              <w:rPr>
                <w:rFonts w:ascii="Arial Narrow" w:hAnsi="Arial Narrow"/>
                <w:sz w:val="20"/>
                <w:vertAlign w:val="superscript"/>
              </w:rPr>
              <w:t>b</w:t>
            </w:r>
          </w:p>
        </w:tc>
      </w:tr>
    </w:tbl>
    <w:p w14:paraId="0136AB68" w14:textId="77777777" w:rsidR="00F07B7E" w:rsidRPr="00D27BF1" w:rsidRDefault="0076131A" w:rsidP="00F07B7E">
      <w:pPr>
        <w:pStyle w:val="TableFooter"/>
        <w:widowControl/>
      </w:pPr>
      <w:r w:rsidRPr="00D27BF1">
        <w:t xml:space="preserve">Source: </w:t>
      </w:r>
      <w:r w:rsidR="00F07B7E" w:rsidRPr="00D27BF1">
        <w:t>Table</w:t>
      </w:r>
      <w:r w:rsidRPr="00D27BF1">
        <w:t xml:space="preserve"> 21, p 70 of the Clinical Study Report and Attachment 5- Mepolizumab CEM.xlsm.</w:t>
      </w:r>
    </w:p>
    <w:p w14:paraId="295A58C0" w14:textId="77777777" w:rsidR="00D90AB0" w:rsidRPr="00D27BF1" w:rsidRDefault="00D90AB0" w:rsidP="00F07B7E">
      <w:pPr>
        <w:pStyle w:val="TableFooter"/>
        <w:widowControl/>
      </w:pPr>
      <w:r w:rsidRPr="00D27BF1">
        <w:rPr>
          <w:vertAlign w:val="superscript"/>
        </w:rPr>
        <w:t>a</w:t>
      </w:r>
      <w:r w:rsidRPr="00D27BF1">
        <w:t xml:space="preserve"> estimated as (365.25 days ÷ 12 months) × (11.3 months ÷ 28 days) × $</w:t>
      </w:r>
      <w:r w:rsidR="00DD78A9">
        <w:rPr>
          <w:noProof/>
          <w:color w:val="000000"/>
          <w:highlight w:val="black"/>
        </w:rPr>
        <w:t>'''''''''''''''''</w:t>
      </w:r>
      <w:r w:rsidRPr="00D27BF1">
        <w:t>/dose</w:t>
      </w:r>
    </w:p>
    <w:p w14:paraId="0A0B786C" w14:textId="77777777" w:rsidR="00D90AB0" w:rsidRPr="00D27BF1" w:rsidRDefault="00D90AB0" w:rsidP="00F07B7E">
      <w:pPr>
        <w:pStyle w:val="TableFooter"/>
        <w:widowControl/>
      </w:pPr>
      <w:r w:rsidRPr="00D27BF1">
        <w:rPr>
          <w:vertAlign w:val="superscript"/>
        </w:rPr>
        <w:t>b</w:t>
      </w:r>
      <w:r w:rsidRPr="00D27BF1">
        <w:t xml:space="preserve"> estimated as 12.22 doses (94% compliance of 13 doses per 52 weeks) × $</w:t>
      </w:r>
      <w:r w:rsidR="00DD78A9">
        <w:rPr>
          <w:noProof/>
          <w:color w:val="000000"/>
          <w:highlight w:val="black"/>
        </w:rPr>
        <w:t>''''''''''''''''''</w:t>
      </w:r>
      <w:r w:rsidRPr="00D27BF1">
        <w:t>/dose (weighted private/public)</w:t>
      </w:r>
    </w:p>
    <w:p w14:paraId="75178ED3" w14:textId="77777777" w:rsidR="00F07B7E" w:rsidRPr="00D27BF1" w:rsidRDefault="00F07B7E" w:rsidP="00C7058D">
      <w:pPr>
        <w:keepNext/>
        <w:widowControl/>
      </w:pPr>
    </w:p>
    <w:p w14:paraId="23CF3711" w14:textId="77777777" w:rsidR="00B60939" w:rsidRPr="00D27BF1" w:rsidRDefault="00B60939" w:rsidP="001E0FFB">
      <w:pPr>
        <w:pStyle w:val="Heading2"/>
        <w:keepNext/>
        <w:keepLines/>
      </w:pPr>
      <w:bookmarkStart w:id="36" w:name="_Toc82528845"/>
      <w:r w:rsidRPr="00D27BF1">
        <w:t>Estimated PBS usage &amp; financial implications</w:t>
      </w:r>
      <w:bookmarkEnd w:id="36"/>
    </w:p>
    <w:p w14:paraId="59113F67" w14:textId="2D26E593" w:rsidR="00151527" w:rsidRPr="00894575" w:rsidRDefault="00151527" w:rsidP="001E0FFB">
      <w:pPr>
        <w:pStyle w:val="ListParagraph"/>
        <w:keepNext/>
        <w:keepLines/>
        <w:widowControl/>
        <w:numPr>
          <w:ilvl w:val="1"/>
          <w:numId w:val="2"/>
        </w:numPr>
      </w:pPr>
      <w:r w:rsidRPr="00894575">
        <w:t xml:space="preserve">This submission </w:t>
      </w:r>
      <w:r>
        <w:t>was</w:t>
      </w:r>
      <w:r w:rsidRPr="00894575">
        <w:t xml:space="preserve"> considered by DUSC.</w:t>
      </w:r>
    </w:p>
    <w:p w14:paraId="05BA38B3" w14:textId="77777777" w:rsidR="00151527" w:rsidRPr="00894575" w:rsidRDefault="00151527" w:rsidP="00151527">
      <w:pPr>
        <w:pStyle w:val="ListParagraph"/>
        <w:widowControl/>
        <w:numPr>
          <w:ilvl w:val="1"/>
          <w:numId w:val="2"/>
        </w:numPr>
      </w:pPr>
      <w:r w:rsidRPr="00894575">
        <w:t xml:space="preserve">The submission used an epidemiological approach to estimate the utilisation and financial impact of listing </w:t>
      </w:r>
      <w:r>
        <w:t>mepolizumab on the PBS for CRSwNP</w:t>
      </w:r>
      <w:r w:rsidRPr="00894575">
        <w:t xml:space="preserve">. A summary of the key assumptions used to calculate the financial estimates is presented in </w:t>
      </w:r>
      <w:r w:rsidR="0020510D" w:rsidRPr="0020510D">
        <w:t>Table 16</w:t>
      </w:r>
      <w:r w:rsidRPr="00C73041">
        <w:rPr>
          <w:b/>
        </w:rPr>
        <w:t>.</w:t>
      </w:r>
    </w:p>
    <w:p w14:paraId="541DDC2E" w14:textId="77777777" w:rsidR="00151527" w:rsidRPr="00894575" w:rsidRDefault="00151527" w:rsidP="00151527">
      <w:pPr>
        <w:keepNext/>
        <w:widowControl/>
        <w:rPr>
          <w:rStyle w:val="CommentReference"/>
        </w:rPr>
      </w:pPr>
      <w:bookmarkStart w:id="37" w:name="_Ref80580046"/>
      <w:r w:rsidRPr="00894575">
        <w:rPr>
          <w:rStyle w:val="CommentReference"/>
        </w:rPr>
        <w:t xml:space="preserve">Table </w:t>
      </w:r>
      <w:r w:rsidR="0020510D">
        <w:rPr>
          <w:rStyle w:val="CommentReference"/>
          <w:noProof/>
        </w:rPr>
        <w:t>16</w:t>
      </w:r>
      <w:bookmarkEnd w:id="37"/>
      <w:r w:rsidRPr="00894575">
        <w:rPr>
          <w:rStyle w:val="CommentReference"/>
        </w:rPr>
        <w:t>: Data sources and parameter values applied in the utilisation and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3839"/>
        <w:gridCol w:w="3611"/>
      </w:tblGrid>
      <w:tr w:rsidR="00151527" w:rsidRPr="00894575" w14:paraId="2C62C894" w14:textId="77777777" w:rsidTr="00015CFB">
        <w:trPr>
          <w:tblHeader/>
        </w:trPr>
        <w:tc>
          <w:tcPr>
            <w:tcW w:w="1812" w:type="dxa"/>
            <w:tcBorders>
              <w:top w:val="single" w:sz="4" w:space="0" w:color="auto"/>
              <w:left w:val="single" w:sz="4" w:space="0" w:color="auto"/>
              <w:bottom w:val="single" w:sz="4" w:space="0" w:color="auto"/>
              <w:right w:val="single" w:sz="4" w:space="0" w:color="auto"/>
            </w:tcBorders>
            <w:vAlign w:val="center"/>
            <w:hideMark/>
          </w:tcPr>
          <w:p w14:paraId="1894B08C" w14:textId="77777777" w:rsidR="00151527" w:rsidRPr="00894575" w:rsidRDefault="00151527" w:rsidP="008E1A65">
            <w:pPr>
              <w:pStyle w:val="Tabletext"/>
            </w:pPr>
            <w:r w:rsidRPr="00894575">
              <w:rPr>
                <w:b/>
              </w:rPr>
              <w:t>Data</w:t>
            </w:r>
          </w:p>
        </w:tc>
        <w:tc>
          <w:tcPr>
            <w:tcW w:w="2578" w:type="dxa"/>
            <w:tcBorders>
              <w:top w:val="single" w:sz="4" w:space="0" w:color="auto"/>
              <w:left w:val="single" w:sz="4" w:space="0" w:color="auto"/>
              <w:bottom w:val="single" w:sz="4" w:space="0" w:color="auto"/>
              <w:right w:val="single" w:sz="4" w:space="0" w:color="auto"/>
            </w:tcBorders>
            <w:vAlign w:val="center"/>
            <w:hideMark/>
          </w:tcPr>
          <w:p w14:paraId="1B45AA8D" w14:textId="77777777" w:rsidR="00151527" w:rsidRPr="00894575" w:rsidRDefault="00151527" w:rsidP="008E1A65">
            <w:pPr>
              <w:pStyle w:val="Tabletext"/>
              <w:jc w:val="center"/>
              <w:rPr>
                <w:b/>
              </w:rPr>
            </w:pPr>
            <w:r w:rsidRPr="00894575">
              <w:rPr>
                <w:b/>
              </w:rPr>
              <w:t>Value and Source</w:t>
            </w:r>
          </w:p>
        </w:tc>
        <w:tc>
          <w:tcPr>
            <w:tcW w:w="4790" w:type="dxa"/>
            <w:tcBorders>
              <w:top w:val="single" w:sz="4" w:space="0" w:color="auto"/>
              <w:left w:val="single" w:sz="4" w:space="0" w:color="auto"/>
              <w:bottom w:val="single" w:sz="4" w:space="0" w:color="auto"/>
              <w:right w:val="single" w:sz="4" w:space="0" w:color="auto"/>
            </w:tcBorders>
            <w:vAlign w:val="center"/>
            <w:hideMark/>
          </w:tcPr>
          <w:p w14:paraId="5AACA5D5" w14:textId="77777777" w:rsidR="00151527" w:rsidRPr="00894575" w:rsidRDefault="00151527" w:rsidP="008E1A65">
            <w:pPr>
              <w:pStyle w:val="Tabletext"/>
              <w:jc w:val="center"/>
              <w:rPr>
                <w:b/>
              </w:rPr>
            </w:pPr>
            <w:r w:rsidRPr="00894575">
              <w:rPr>
                <w:b/>
              </w:rPr>
              <w:t>Comment</w:t>
            </w:r>
          </w:p>
        </w:tc>
      </w:tr>
      <w:tr w:rsidR="00151527" w:rsidRPr="00894575" w14:paraId="25084E0F" w14:textId="77777777" w:rsidTr="008E1A65">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64B59454" w14:textId="77777777" w:rsidR="00151527" w:rsidRPr="00894575" w:rsidRDefault="00151527" w:rsidP="008E1A65">
            <w:pPr>
              <w:pStyle w:val="Tabletext"/>
              <w:rPr>
                <w:b/>
              </w:rPr>
            </w:pPr>
            <w:r w:rsidRPr="00894575">
              <w:rPr>
                <w:b/>
              </w:rPr>
              <w:t>Eligible population</w:t>
            </w:r>
          </w:p>
        </w:tc>
      </w:tr>
      <w:tr w:rsidR="00151527" w:rsidRPr="00894575" w14:paraId="5E44E629" w14:textId="77777777" w:rsidTr="00015CFB">
        <w:tc>
          <w:tcPr>
            <w:tcW w:w="1812" w:type="dxa"/>
            <w:tcBorders>
              <w:top w:val="single" w:sz="4" w:space="0" w:color="auto"/>
              <w:left w:val="single" w:sz="4" w:space="0" w:color="auto"/>
              <w:bottom w:val="single" w:sz="4" w:space="0" w:color="auto"/>
              <w:right w:val="single" w:sz="4" w:space="0" w:color="auto"/>
            </w:tcBorders>
            <w:vAlign w:val="center"/>
            <w:hideMark/>
          </w:tcPr>
          <w:p w14:paraId="4AA74C5F" w14:textId="77777777" w:rsidR="00151527" w:rsidRPr="00894575" w:rsidRDefault="00151527" w:rsidP="008E1A65">
            <w:pPr>
              <w:pStyle w:val="Tabletext"/>
            </w:pPr>
            <w:r w:rsidRPr="00894575">
              <w:t xml:space="preserve">Prevalence of CRSwNP </w:t>
            </w:r>
          </w:p>
        </w:tc>
        <w:tc>
          <w:tcPr>
            <w:tcW w:w="2578" w:type="dxa"/>
            <w:tcBorders>
              <w:top w:val="single" w:sz="4" w:space="0" w:color="auto"/>
              <w:left w:val="single" w:sz="4" w:space="0" w:color="auto"/>
              <w:bottom w:val="single" w:sz="4" w:space="0" w:color="auto"/>
              <w:right w:val="single" w:sz="4" w:space="0" w:color="auto"/>
            </w:tcBorders>
            <w:vAlign w:val="center"/>
            <w:hideMark/>
          </w:tcPr>
          <w:p w14:paraId="0F29B7D3" w14:textId="77777777" w:rsidR="00151527" w:rsidRPr="00894575" w:rsidRDefault="00151527" w:rsidP="008E1A65">
            <w:pPr>
              <w:pStyle w:val="Tabletext"/>
            </w:pPr>
            <w:r w:rsidRPr="00894575">
              <w:t>10% have CRS and of these 30% have CRSwNP</w:t>
            </w:r>
          </w:p>
          <w:p w14:paraId="4E7DCEED" w14:textId="77777777" w:rsidR="00151527" w:rsidRPr="00894575" w:rsidRDefault="00151527" w:rsidP="008E1A65">
            <w:pPr>
              <w:pStyle w:val="Tabletext"/>
            </w:pPr>
            <w:r w:rsidRPr="00894575">
              <w:t>Source: National Health Survey 2014-2015 and Australian Public Assessment Report for Omalizumab (TGA 2021).</w:t>
            </w:r>
          </w:p>
        </w:tc>
        <w:tc>
          <w:tcPr>
            <w:tcW w:w="4790" w:type="dxa"/>
            <w:tcBorders>
              <w:top w:val="single" w:sz="4" w:space="0" w:color="auto"/>
              <w:left w:val="single" w:sz="4" w:space="0" w:color="auto"/>
              <w:bottom w:val="single" w:sz="4" w:space="0" w:color="auto"/>
              <w:right w:val="single" w:sz="4" w:space="0" w:color="auto"/>
            </w:tcBorders>
            <w:vAlign w:val="center"/>
          </w:tcPr>
          <w:p w14:paraId="4B78398E" w14:textId="48420607" w:rsidR="00151527" w:rsidRPr="00151527" w:rsidRDefault="00151527" w:rsidP="004E5946">
            <w:pPr>
              <w:pStyle w:val="Tabletext"/>
            </w:pPr>
            <w:r w:rsidRPr="00151527">
              <w:t xml:space="preserve">It was noted that the prevalence of ‘chronic sinusitis’ in 2017-2018 remained the same as the 2014-2015 estimates. Incident patients were assumed to be part of the prevalent population. </w:t>
            </w:r>
            <w:r w:rsidR="00015CFB">
              <w:t xml:space="preserve">DUSC considered the submission </w:t>
            </w:r>
            <w:r w:rsidR="00870DD6">
              <w:t xml:space="preserve">substantially </w:t>
            </w:r>
            <w:r w:rsidR="00015CFB">
              <w:t>overestimated disease prevalence of CRS and</w:t>
            </w:r>
            <w:r w:rsidR="00870DD6">
              <w:t xml:space="preserve"> overestimated</w:t>
            </w:r>
            <w:r w:rsidR="00015CFB">
              <w:t xml:space="preserve"> the percentage who have CRSwNP. </w:t>
            </w:r>
          </w:p>
        </w:tc>
      </w:tr>
      <w:tr w:rsidR="00151527" w:rsidRPr="00894575" w14:paraId="7F876644" w14:textId="77777777" w:rsidTr="00015CFB">
        <w:tc>
          <w:tcPr>
            <w:tcW w:w="1812" w:type="dxa"/>
            <w:tcBorders>
              <w:top w:val="single" w:sz="4" w:space="0" w:color="auto"/>
              <w:left w:val="single" w:sz="4" w:space="0" w:color="auto"/>
              <w:bottom w:val="single" w:sz="4" w:space="0" w:color="auto"/>
              <w:right w:val="single" w:sz="4" w:space="0" w:color="auto"/>
            </w:tcBorders>
            <w:vAlign w:val="center"/>
            <w:hideMark/>
          </w:tcPr>
          <w:p w14:paraId="143E8A1D" w14:textId="77777777" w:rsidR="00151527" w:rsidRPr="00894575" w:rsidRDefault="00151527" w:rsidP="008E1A65">
            <w:pPr>
              <w:pStyle w:val="Tabletext"/>
            </w:pPr>
            <w:r w:rsidRPr="00894575">
              <w:t>Proportion with baseline BEC ≥150 cells/µL</w:t>
            </w:r>
          </w:p>
        </w:tc>
        <w:tc>
          <w:tcPr>
            <w:tcW w:w="2578" w:type="dxa"/>
            <w:tcBorders>
              <w:top w:val="single" w:sz="4" w:space="0" w:color="auto"/>
              <w:left w:val="single" w:sz="4" w:space="0" w:color="auto"/>
              <w:bottom w:val="single" w:sz="4" w:space="0" w:color="auto"/>
              <w:right w:val="single" w:sz="4" w:space="0" w:color="auto"/>
            </w:tcBorders>
            <w:vAlign w:val="center"/>
            <w:hideMark/>
          </w:tcPr>
          <w:p w14:paraId="3E453E7F" w14:textId="77777777" w:rsidR="00151527" w:rsidRPr="00894575" w:rsidRDefault="00151527" w:rsidP="008E1A65">
            <w:pPr>
              <w:pStyle w:val="Tabletext"/>
            </w:pPr>
            <w:r w:rsidRPr="00894575">
              <w:t>91%</w:t>
            </w:r>
          </w:p>
          <w:p w14:paraId="017B5E50" w14:textId="77777777" w:rsidR="00151527" w:rsidRPr="00894575" w:rsidRDefault="00151527" w:rsidP="008E1A65">
            <w:pPr>
              <w:pStyle w:val="Tabletext"/>
            </w:pPr>
            <w:r w:rsidRPr="00894575">
              <w:t>Source: SYNAPSE trial</w:t>
            </w:r>
          </w:p>
        </w:tc>
        <w:tc>
          <w:tcPr>
            <w:tcW w:w="4790" w:type="dxa"/>
            <w:tcBorders>
              <w:top w:val="single" w:sz="4" w:space="0" w:color="auto"/>
              <w:left w:val="single" w:sz="4" w:space="0" w:color="auto"/>
              <w:bottom w:val="single" w:sz="4" w:space="0" w:color="auto"/>
              <w:right w:val="single" w:sz="4" w:space="0" w:color="auto"/>
            </w:tcBorders>
            <w:vAlign w:val="center"/>
            <w:hideMark/>
          </w:tcPr>
          <w:p w14:paraId="74DDE42C" w14:textId="77777777" w:rsidR="00151527" w:rsidRPr="00151527" w:rsidRDefault="004E5946" w:rsidP="008E1A65">
            <w:pPr>
              <w:pStyle w:val="Tabletext"/>
            </w:pPr>
            <w:r>
              <w:t>A</w:t>
            </w:r>
            <w:r w:rsidR="00151527" w:rsidRPr="004E5946">
              <w:t>ligned to requested restriction.</w:t>
            </w:r>
          </w:p>
        </w:tc>
      </w:tr>
      <w:tr w:rsidR="00151527" w:rsidRPr="00894575" w14:paraId="424D96DD" w14:textId="77777777" w:rsidTr="00015CFB">
        <w:tc>
          <w:tcPr>
            <w:tcW w:w="1812" w:type="dxa"/>
            <w:tcBorders>
              <w:top w:val="single" w:sz="4" w:space="0" w:color="auto"/>
              <w:left w:val="single" w:sz="4" w:space="0" w:color="auto"/>
              <w:bottom w:val="single" w:sz="4" w:space="0" w:color="auto"/>
              <w:right w:val="single" w:sz="4" w:space="0" w:color="auto"/>
            </w:tcBorders>
            <w:vAlign w:val="center"/>
            <w:hideMark/>
          </w:tcPr>
          <w:p w14:paraId="086B34DE" w14:textId="77777777" w:rsidR="00151527" w:rsidRPr="00894575" w:rsidRDefault="00151527" w:rsidP="008E1A65">
            <w:pPr>
              <w:pStyle w:val="Tabletext"/>
            </w:pPr>
            <w:r w:rsidRPr="00894575">
              <w:t>Proportion who see a specialist</w:t>
            </w:r>
          </w:p>
        </w:tc>
        <w:tc>
          <w:tcPr>
            <w:tcW w:w="2578" w:type="dxa"/>
            <w:tcBorders>
              <w:top w:val="single" w:sz="4" w:space="0" w:color="auto"/>
              <w:left w:val="single" w:sz="4" w:space="0" w:color="auto"/>
              <w:bottom w:val="single" w:sz="4" w:space="0" w:color="auto"/>
              <w:right w:val="single" w:sz="4" w:space="0" w:color="auto"/>
            </w:tcBorders>
            <w:vAlign w:val="center"/>
            <w:hideMark/>
          </w:tcPr>
          <w:p w14:paraId="13D7ED5C" w14:textId="77777777" w:rsidR="00151527" w:rsidRPr="00894575" w:rsidRDefault="00151527" w:rsidP="008E1A65">
            <w:pPr>
              <w:pStyle w:val="Tabletext"/>
            </w:pPr>
            <w:r w:rsidRPr="00894575">
              <w:t>35%</w:t>
            </w:r>
          </w:p>
          <w:p w14:paraId="5DB9AB8D" w14:textId="77777777" w:rsidR="00151527" w:rsidRPr="00894575" w:rsidRDefault="00151527" w:rsidP="008E1A65">
            <w:pPr>
              <w:pStyle w:val="Tabletext"/>
            </w:pPr>
            <w:r w:rsidRPr="00894575">
              <w:t>Source: Sponsor internal estimates based on local market research</w:t>
            </w:r>
          </w:p>
        </w:tc>
        <w:tc>
          <w:tcPr>
            <w:tcW w:w="4790" w:type="dxa"/>
            <w:tcBorders>
              <w:top w:val="single" w:sz="4" w:space="0" w:color="auto"/>
              <w:left w:val="single" w:sz="4" w:space="0" w:color="auto"/>
              <w:bottom w:val="single" w:sz="4" w:space="0" w:color="auto"/>
              <w:right w:val="single" w:sz="4" w:space="0" w:color="auto"/>
            </w:tcBorders>
            <w:vAlign w:val="center"/>
          </w:tcPr>
          <w:p w14:paraId="36F724DA" w14:textId="77777777" w:rsidR="00151527" w:rsidRPr="00151527" w:rsidRDefault="00151527" w:rsidP="008E1A65">
            <w:pPr>
              <w:pStyle w:val="Tabletext"/>
            </w:pPr>
            <w:r w:rsidRPr="00151527">
              <w:t>Possible source of double counting and underestimate of eligible patients.</w:t>
            </w:r>
          </w:p>
        </w:tc>
      </w:tr>
      <w:tr w:rsidR="00151527" w:rsidRPr="00894575" w14:paraId="551DAA33" w14:textId="77777777" w:rsidTr="00015CFB">
        <w:tc>
          <w:tcPr>
            <w:tcW w:w="1812" w:type="dxa"/>
            <w:tcBorders>
              <w:top w:val="single" w:sz="4" w:space="0" w:color="auto"/>
              <w:left w:val="single" w:sz="4" w:space="0" w:color="auto"/>
              <w:bottom w:val="single" w:sz="4" w:space="0" w:color="auto"/>
              <w:right w:val="single" w:sz="4" w:space="0" w:color="auto"/>
            </w:tcBorders>
            <w:vAlign w:val="center"/>
            <w:hideMark/>
          </w:tcPr>
          <w:p w14:paraId="35A163B1" w14:textId="77777777" w:rsidR="00151527" w:rsidRPr="00894575" w:rsidRDefault="00151527" w:rsidP="008E1A65">
            <w:pPr>
              <w:pStyle w:val="Tabletext"/>
            </w:pPr>
            <w:r w:rsidRPr="00894575">
              <w:t>Proportion requiring (first) NP surgery</w:t>
            </w:r>
          </w:p>
        </w:tc>
        <w:tc>
          <w:tcPr>
            <w:tcW w:w="2578" w:type="dxa"/>
            <w:tcBorders>
              <w:top w:val="single" w:sz="4" w:space="0" w:color="auto"/>
              <w:left w:val="single" w:sz="4" w:space="0" w:color="auto"/>
              <w:bottom w:val="single" w:sz="4" w:space="0" w:color="auto"/>
              <w:right w:val="single" w:sz="4" w:space="0" w:color="auto"/>
            </w:tcBorders>
            <w:vAlign w:val="center"/>
            <w:hideMark/>
          </w:tcPr>
          <w:p w14:paraId="0B7A5B1D" w14:textId="77777777" w:rsidR="00151527" w:rsidRPr="00894575" w:rsidRDefault="00151527" w:rsidP="008E1A65">
            <w:pPr>
              <w:pStyle w:val="Tabletext"/>
            </w:pPr>
            <w:r w:rsidRPr="00894575">
              <w:t>61%</w:t>
            </w:r>
          </w:p>
          <w:p w14:paraId="70062AE5" w14:textId="77777777" w:rsidR="00151527" w:rsidRPr="00894575" w:rsidRDefault="00151527" w:rsidP="004E5946">
            <w:pPr>
              <w:pStyle w:val="Tabletext"/>
              <w:rPr>
                <w:i/>
              </w:rPr>
            </w:pPr>
            <w:r w:rsidRPr="00894575">
              <w:t xml:space="preserve">Source: Advisory board feedback (n=7), based on question “what proportion of CRSwNP patients require nasal polyp surgery during the course of their disease?” </w:t>
            </w:r>
            <w:r w:rsidRPr="00151527">
              <w:t>A large variance in responses (range: 30-100%) was noted, with the mean of 61% used.</w:t>
            </w:r>
          </w:p>
        </w:tc>
        <w:tc>
          <w:tcPr>
            <w:tcW w:w="4790" w:type="dxa"/>
            <w:tcBorders>
              <w:top w:val="single" w:sz="4" w:space="0" w:color="auto"/>
              <w:left w:val="single" w:sz="4" w:space="0" w:color="auto"/>
              <w:bottom w:val="single" w:sz="4" w:space="0" w:color="auto"/>
              <w:right w:val="single" w:sz="4" w:space="0" w:color="auto"/>
            </w:tcBorders>
            <w:vAlign w:val="center"/>
          </w:tcPr>
          <w:p w14:paraId="37A87858" w14:textId="77777777" w:rsidR="00151527" w:rsidRPr="00151527" w:rsidRDefault="00151527" w:rsidP="008E1A65">
            <w:pPr>
              <w:pStyle w:val="Tabletext"/>
            </w:pPr>
            <w:r w:rsidRPr="00151527">
              <w:t>Given that response was not limited to patients seen by specialists but CRSwNP patients in general, there may be potential double counting with proportion of patients who see specialists. This value used was consistent with the observed percentage of patients who had undergone surgery in five Western countries which ranged from 43-84%</w:t>
            </w:r>
            <w:r w:rsidRPr="00151527">
              <w:rPr>
                <w:rStyle w:val="FootnoteReference"/>
              </w:rPr>
              <w:footnoteReference w:id="4"/>
            </w:r>
            <w:r w:rsidRPr="00151527">
              <w:t>.</w:t>
            </w:r>
          </w:p>
        </w:tc>
      </w:tr>
      <w:tr w:rsidR="00151527" w:rsidRPr="00894575" w14:paraId="277C65EA" w14:textId="77777777" w:rsidTr="00015CFB">
        <w:tc>
          <w:tcPr>
            <w:tcW w:w="1812" w:type="dxa"/>
            <w:tcBorders>
              <w:top w:val="single" w:sz="4" w:space="0" w:color="auto"/>
              <w:left w:val="single" w:sz="4" w:space="0" w:color="auto"/>
              <w:bottom w:val="single" w:sz="4" w:space="0" w:color="auto"/>
              <w:right w:val="single" w:sz="4" w:space="0" w:color="auto"/>
            </w:tcBorders>
            <w:vAlign w:val="center"/>
            <w:hideMark/>
          </w:tcPr>
          <w:p w14:paraId="6E174562" w14:textId="77777777" w:rsidR="00151527" w:rsidRPr="00894575" w:rsidRDefault="00151527" w:rsidP="008E1A65">
            <w:pPr>
              <w:pStyle w:val="Tabletext"/>
            </w:pPr>
            <w:r w:rsidRPr="00894575">
              <w:t>Proportion suitable/unsuitable for surgery</w:t>
            </w:r>
          </w:p>
        </w:tc>
        <w:tc>
          <w:tcPr>
            <w:tcW w:w="2578" w:type="dxa"/>
            <w:tcBorders>
              <w:top w:val="single" w:sz="4" w:space="0" w:color="auto"/>
              <w:left w:val="single" w:sz="4" w:space="0" w:color="auto"/>
              <w:bottom w:val="single" w:sz="4" w:space="0" w:color="auto"/>
              <w:right w:val="single" w:sz="4" w:space="0" w:color="auto"/>
            </w:tcBorders>
            <w:vAlign w:val="center"/>
            <w:hideMark/>
          </w:tcPr>
          <w:p w14:paraId="0DCDBF29" w14:textId="77777777" w:rsidR="00151527" w:rsidRPr="00894575" w:rsidRDefault="00151527" w:rsidP="008E1A65">
            <w:pPr>
              <w:pStyle w:val="Tabletext"/>
            </w:pPr>
            <w:r w:rsidRPr="00894575">
              <w:t>Suitable: 93%</w:t>
            </w:r>
          </w:p>
          <w:p w14:paraId="292B336E" w14:textId="77777777" w:rsidR="00151527" w:rsidRPr="00894575" w:rsidRDefault="00151527" w:rsidP="008E1A65">
            <w:pPr>
              <w:pStyle w:val="Tabletext"/>
            </w:pPr>
            <w:r w:rsidRPr="00894575">
              <w:t>Unsuitable: 7%</w:t>
            </w:r>
          </w:p>
          <w:p w14:paraId="7960CAE4" w14:textId="77777777" w:rsidR="00151527" w:rsidRPr="00894575" w:rsidRDefault="00151527" w:rsidP="008E1A65">
            <w:pPr>
              <w:pStyle w:val="Tabletext"/>
            </w:pPr>
            <w:r w:rsidRPr="00894575">
              <w:t>Source: Advisory board feedback (n=7), “… what proportion of CRSwNP patients are unsuitable for surgery?”</w:t>
            </w:r>
          </w:p>
          <w:p w14:paraId="1154750E" w14:textId="77777777" w:rsidR="00151527" w:rsidRPr="00894575" w:rsidRDefault="00151527" w:rsidP="008E1A65">
            <w:pPr>
              <w:pStyle w:val="Tabletext"/>
              <w:rPr>
                <w:i/>
              </w:rPr>
            </w:pPr>
          </w:p>
          <w:p w14:paraId="701B6709" w14:textId="77777777" w:rsidR="00151527" w:rsidRPr="00151527" w:rsidRDefault="00151527" w:rsidP="008E1A65">
            <w:pPr>
              <w:pStyle w:val="Tabletext"/>
            </w:pPr>
            <w:r w:rsidRPr="00151527">
              <w:t xml:space="preserve">The definition of ‘unsuitable’ was unclear. ‘Patient preference’ and ‘access’ were reasons provided for unsuitability by an advisory board member, whereas such reasons may not be adequately justified. </w:t>
            </w:r>
          </w:p>
        </w:tc>
        <w:tc>
          <w:tcPr>
            <w:tcW w:w="4790" w:type="dxa"/>
            <w:tcBorders>
              <w:top w:val="single" w:sz="4" w:space="0" w:color="auto"/>
              <w:left w:val="single" w:sz="4" w:space="0" w:color="auto"/>
              <w:bottom w:val="single" w:sz="4" w:space="0" w:color="auto"/>
              <w:right w:val="single" w:sz="4" w:space="0" w:color="auto"/>
            </w:tcBorders>
            <w:vAlign w:val="center"/>
          </w:tcPr>
          <w:p w14:paraId="664CB303" w14:textId="77777777" w:rsidR="00151527" w:rsidRPr="00151527" w:rsidRDefault="00151527" w:rsidP="00015CFB">
            <w:pPr>
              <w:pStyle w:val="Tabletext"/>
            </w:pPr>
            <w:r w:rsidRPr="00151527">
              <w:t xml:space="preserve">The submission implicitly assumed that all patients suitable for surgery would undergo the surgery (100% uptake rate of surgery). </w:t>
            </w:r>
          </w:p>
        </w:tc>
      </w:tr>
      <w:tr w:rsidR="00151527" w:rsidRPr="00894575" w14:paraId="12BB29E4" w14:textId="77777777" w:rsidTr="00015CFB">
        <w:tc>
          <w:tcPr>
            <w:tcW w:w="1812" w:type="dxa"/>
            <w:tcBorders>
              <w:top w:val="single" w:sz="4" w:space="0" w:color="auto"/>
              <w:left w:val="single" w:sz="4" w:space="0" w:color="auto"/>
              <w:bottom w:val="single" w:sz="4" w:space="0" w:color="auto"/>
              <w:right w:val="single" w:sz="4" w:space="0" w:color="auto"/>
            </w:tcBorders>
            <w:vAlign w:val="center"/>
            <w:hideMark/>
          </w:tcPr>
          <w:p w14:paraId="6A5E8418" w14:textId="77777777" w:rsidR="00151527" w:rsidRPr="00894575" w:rsidRDefault="00151527" w:rsidP="008E1A65">
            <w:pPr>
              <w:pStyle w:val="Tabletext"/>
            </w:pPr>
            <w:r w:rsidRPr="00894575">
              <w:t>Proportion who experience NP regrowth post-surgical removal</w:t>
            </w:r>
          </w:p>
        </w:tc>
        <w:tc>
          <w:tcPr>
            <w:tcW w:w="2578" w:type="dxa"/>
            <w:tcBorders>
              <w:top w:val="single" w:sz="4" w:space="0" w:color="auto"/>
              <w:left w:val="single" w:sz="4" w:space="0" w:color="auto"/>
              <w:bottom w:val="single" w:sz="4" w:space="0" w:color="auto"/>
              <w:right w:val="single" w:sz="4" w:space="0" w:color="auto"/>
            </w:tcBorders>
            <w:vAlign w:val="center"/>
            <w:hideMark/>
          </w:tcPr>
          <w:p w14:paraId="46FE6E80" w14:textId="77777777" w:rsidR="00151527" w:rsidRPr="00894575" w:rsidRDefault="00151527" w:rsidP="008E1A65">
            <w:pPr>
              <w:pStyle w:val="Tabletext"/>
            </w:pPr>
            <w:r w:rsidRPr="00894575">
              <w:t>61%</w:t>
            </w:r>
          </w:p>
          <w:p w14:paraId="29E1FFEA" w14:textId="77777777" w:rsidR="00151527" w:rsidRPr="00894575" w:rsidRDefault="00151527" w:rsidP="008E1A65">
            <w:pPr>
              <w:pStyle w:val="Tabletext"/>
            </w:pPr>
            <w:r w:rsidRPr="00894575">
              <w:t>Source: Advisory board feedback (n=7) “What proportion of CRSwNP patients require more than one nasal polyp surgery?”</w:t>
            </w:r>
          </w:p>
        </w:tc>
        <w:tc>
          <w:tcPr>
            <w:tcW w:w="4790" w:type="dxa"/>
            <w:tcBorders>
              <w:top w:val="single" w:sz="4" w:space="0" w:color="auto"/>
              <w:left w:val="single" w:sz="4" w:space="0" w:color="auto"/>
              <w:bottom w:val="single" w:sz="4" w:space="0" w:color="auto"/>
              <w:right w:val="single" w:sz="4" w:space="0" w:color="auto"/>
            </w:tcBorders>
            <w:vAlign w:val="center"/>
          </w:tcPr>
          <w:p w14:paraId="5E237E8F" w14:textId="77777777" w:rsidR="00151527" w:rsidRPr="00151527" w:rsidRDefault="00151527" w:rsidP="008E1A65">
            <w:pPr>
              <w:pStyle w:val="Tabletext"/>
            </w:pPr>
            <w:r w:rsidRPr="00151527">
              <w:t xml:space="preserve">Along with proportion of patients with prior surgery who have a high level of symptoms was used as a proxy for the requested initiation criteria. Possible source of double counting and underestimate of eligible patients. </w:t>
            </w:r>
          </w:p>
        </w:tc>
      </w:tr>
      <w:tr w:rsidR="00151527" w:rsidRPr="00894575" w14:paraId="68A30681" w14:textId="77777777" w:rsidTr="00015CFB">
        <w:tc>
          <w:tcPr>
            <w:tcW w:w="1812" w:type="dxa"/>
            <w:tcBorders>
              <w:top w:val="single" w:sz="4" w:space="0" w:color="auto"/>
              <w:left w:val="single" w:sz="4" w:space="0" w:color="auto"/>
              <w:bottom w:val="single" w:sz="4" w:space="0" w:color="auto"/>
              <w:right w:val="single" w:sz="4" w:space="0" w:color="auto"/>
            </w:tcBorders>
            <w:vAlign w:val="center"/>
            <w:hideMark/>
          </w:tcPr>
          <w:p w14:paraId="3142BF8F" w14:textId="77777777" w:rsidR="00151527" w:rsidRPr="00894575" w:rsidRDefault="00151527" w:rsidP="008E1A65">
            <w:pPr>
              <w:pStyle w:val="Tabletext"/>
            </w:pPr>
            <w:r w:rsidRPr="00894575">
              <w:t>Proportion with prior surgery who have a high level of symptoms</w:t>
            </w:r>
          </w:p>
        </w:tc>
        <w:tc>
          <w:tcPr>
            <w:tcW w:w="2578" w:type="dxa"/>
            <w:tcBorders>
              <w:top w:val="single" w:sz="4" w:space="0" w:color="auto"/>
              <w:left w:val="single" w:sz="4" w:space="0" w:color="auto"/>
              <w:bottom w:val="single" w:sz="4" w:space="0" w:color="auto"/>
              <w:right w:val="single" w:sz="4" w:space="0" w:color="auto"/>
            </w:tcBorders>
            <w:vAlign w:val="center"/>
            <w:hideMark/>
          </w:tcPr>
          <w:p w14:paraId="68BB9F79" w14:textId="77777777" w:rsidR="00151527" w:rsidRPr="00894575" w:rsidRDefault="00151527" w:rsidP="008E1A65">
            <w:pPr>
              <w:pStyle w:val="Tabletext"/>
            </w:pPr>
            <w:r w:rsidRPr="00894575">
              <w:t>45%</w:t>
            </w:r>
          </w:p>
          <w:p w14:paraId="00E1CC96" w14:textId="77777777" w:rsidR="00151527" w:rsidRPr="00894575" w:rsidRDefault="00151527" w:rsidP="008E1A65">
            <w:pPr>
              <w:pStyle w:val="Tabletext"/>
            </w:pPr>
            <w:r w:rsidRPr="00894575">
              <w:t xml:space="preserve">Source: Adelphi real world 2021 (p18), based on US sample of patients with 1+ surgeries (n=181). </w:t>
            </w:r>
          </w:p>
          <w:p w14:paraId="717251FC" w14:textId="77777777" w:rsidR="00151527" w:rsidRPr="00151527" w:rsidRDefault="00151527" w:rsidP="008E1A65">
            <w:pPr>
              <w:pStyle w:val="Tabletext"/>
            </w:pPr>
            <w:r w:rsidRPr="00151527">
              <w:t xml:space="preserve">Based on physician-perceived ‘high’ level of symptoms, which was not clearly defined in the submission. </w:t>
            </w:r>
          </w:p>
        </w:tc>
        <w:tc>
          <w:tcPr>
            <w:tcW w:w="4790" w:type="dxa"/>
            <w:tcBorders>
              <w:top w:val="single" w:sz="4" w:space="0" w:color="auto"/>
              <w:left w:val="single" w:sz="4" w:space="0" w:color="auto"/>
              <w:bottom w:val="single" w:sz="4" w:space="0" w:color="auto"/>
              <w:right w:val="single" w:sz="4" w:space="0" w:color="auto"/>
            </w:tcBorders>
            <w:vAlign w:val="center"/>
          </w:tcPr>
          <w:p w14:paraId="49C012EE" w14:textId="77777777" w:rsidR="00151527" w:rsidRPr="00151527" w:rsidRDefault="00151527" w:rsidP="008E1A65">
            <w:pPr>
              <w:pStyle w:val="Tabletext"/>
            </w:pPr>
            <w:r w:rsidRPr="00151527">
              <w:t xml:space="preserve">Along with the proportion who experience NP regrowth post-surgery, was used as a proxy for the requested initiation criteria. It was unclear how this response by clinicians aligned with the initiation criteria, but was likely more closely aligned to the requested restriction criteria compared to the ‘proportion who experience NP regrowth post-surgical removal’. Possible source of double counting and underestimate of eligible patients. </w:t>
            </w:r>
          </w:p>
        </w:tc>
      </w:tr>
      <w:tr w:rsidR="00151527" w:rsidRPr="00894575" w14:paraId="29F316C8" w14:textId="77777777" w:rsidTr="00015CFB">
        <w:tc>
          <w:tcPr>
            <w:tcW w:w="1812" w:type="dxa"/>
            <w:tcBorders>
              <w:top w:val="single" w:sz="4" w:space="0" w:color="auto"/>
              <w:left w:val="single" w:sz="4" w:space="0" w:color="auto"/>
              <w:bottom w:val="single" w:sz="4" w:space="0" w:color="auto"/>
              <w:right w:val="single" w:sz="4" w:space="0" w:color="auto"/>
            </w:tcBorders>
            <w:vAlign w:val="center"/>
            <w:hideMark/>
          </w:tcPr>
          <w:p w14:paraId="513D7F18" w14:textId="77777777" w:rsidR="00151527" w:rsidRPr="00894575" w:rsidRDefault="00151527" w:rsidP="008E1A65">
            <w:pPr>
              <w:pStyle w:val="Tabletext"/>
            </w:pPr>
            <w:r w:rsidRPr="00894575">
              <w:t xml:space="preserve">Grandfathered patients </w:t>
            </w:r>
          </w:p>
        </w:tc>
        <w:tc>
          <w:tcPr>
            <w:tcW w:w="2578" w:type="dxa"/>
            <w:tcBorders>
              <w:top w:val="single" w:sz="4" w:space="0" w:color="auto"/>
              <w:left w:val="single" w:sz="4" w:space="0" w:color="auto"/>
              <w:bottom w:val="single" w:sz="4" w:space="0" w:color="auto"/>
              <w:right w:val="single" w:sz="4" w:space="0" w:color="auto"/>
            </w:tcBorders>
            <w:vAlign w:val="center"/>
            <w:hideMark/>
          </w:tcPr>
          <w:p w14:paraId="3F419BB4" w14:textId="77777777" w:rsidR="00151527" w:rsidRPr="00894575" w:rsidRDefault="00151527" w:rsidP="008E1A65">
            <w:pPr>
              <w:pStyle w:val="Tabletext"/>
            </w:pPr>
            <w:r w:rsidRPr="00894575">
              <w:t>Yr 1: 90</w:t>
            </w:r>
          </w:p>
          <w:p w14:paraId="52FF1604" w14:textId="77777777" w:rsidR="00151527" w:rsidRPr="00894575" w:rsidRDefault="00151527" w:rsidP="008E1A65">
            <w:pPr>
              <w:pStyle w:val="Tabletext"/>
            </w:pPr>
            <w:r w:rsidRPr="00894575">
              <w:t>Yr 2: 90</w:t>
            </w:r>
          </w:p>
          <w:p w14:paraId="1EFC7830" w14:textId="77777777" w:rsidR="00151527" w:rsidRPr="00894575" w:rsidRDefault="00151527" w:rsidP="008E1A65">
            <w:pPr>
              <w:pStyle w:val="Tabletext"/>
            </w:pPr>
            <w:r w:rsidRPr="00894575">
              <w:t>Yr 3: 90</w:t>
            </w:r>
          </w:p>
          <w:p w14:paraId="569B9005" w14:textId="77777777" w:rsidR="00151527" w:rsidRPr="00894575" w:rsidRDefault="00151527" w:rsidP="008E1A65">
            <w:pPr>
              <w:pStyle w:val="Tabletext"/>
            </w:pPr>
            <w:r w:rsidRPr="00894575">
              <w:t>Yr 4: 90</w:t>
            </w:r>
          </w:p>
          <w:p w14:paraId="28F0EDB4" w14:textId="77777777" w:rsidR="00151527" w:rsidRPr="00894575" w:rsidRDefault="00151527" w:rsidP="008E1A65">
            <w:pPr>
              <w:pStyle w:val="Tabletext"/>
            </w:pPr>
            <w:r w:rsidRPr="00894575">
              <w:t>Yr 5: 90</w:t>
            </w:r>
          </w:p>
          <w:p w14:paraId="3DDBDCB8" w14:textId="77777777" w:rsidR="00151527" w:rsidRPr="00894575" w:rsidRDefault="00151527" w:rsidP="008E1A65">
            <w:pPr>
              <w:pStyle w:val="Tabletext"/>
            </w:pPr>
            <w:r w:rsidRPr="00894575">
              <w:t>Yr 6: 90</w:t>
            </w:r>
          </w:p>
          <w:p w14:paraId="36AF5FE0" w14:textId="77777777" w:rsidR="00151527" w:rsidRPr="00894575" w:rsidRDefault="00151527" w:rsidP="008E1A65">
            <w:pPr>
              <w:pStyle w:val="Tabletext"/>
            </w:pPr>
            <w:r w:rsidRPr="00894575">
              <w:t xml:space="preserve">Source: Anticipated by the submission (p158). </w:t>
            </w:r>
          </w:p>
        </w:tc>
        <w:tc>
          <w:tcPr>
            <w:tcW w:w="4790" w:type="dxa"/>
            <w:tcBorders>
              <w:top w:val="single" w:sz="4" w:space="0" w:color="auto"/>
              <w:left w:val="single" w:sz="4" w:space="0" w:color="auto"/>
              <w:bottom w:val="single" w:sz="4" w:space="0" w:color="auto"/>
              <w:right w:val="single" w:sz="4" w:space="0" w:color="auto"/>
            </w:tcBorders>
            <w:vAlign w:val="center"/>
            <w:hideMark/>
          </w:tcPr>
          <w:p w14:paraId="00FDF6D6" w14:textId="77777777" w:rsidR="00151527" w:rsidRPr="00151527" w:rsidRDefault="00151527" w:rsidP="00993730">
            <w:pPr>
              <w:pStyle w:val="Tabletext"/>
            </w:pPr>
            <w:r w:rsidRPr="00151527">
              <w:t xml:space="preserve">No details regarding patient familiarisation program or current patient numbers. </w:t>
            </w:r>
            <w:r w:rsidR="00993730" w:rsidRPr="00151527">
              <w:rPr>
                <w:iCs/>
              </w:rPr>
              <w:t xml:space="preserve">The inclusion of grandfathered patients may not be appropriate given a prevalence based approach was used to estimate the number of eligible patients by the submission and there may be an element of double counting. However, it was noted that the number of grandfathered patients (90) was relatively small and represented 90 out of 39,536 eligible patients (30,887 + 8,469 eligible and ineligible for surgery; see </w:t>
            </w:r>
            <w:r w:rsidR="0020510D" w:rsidRPr="0020510D">
              <w:rPr>
                <w:iCs/>
              </w:rPr>
              <w:t>Table 17</w:t>
            </w:r>
            <w:r w:rsidR="00993730" w:rsidRPr="00151527">
              <w:rPr>
                <w:iCs/>
              </w:rPr>
              <w:t xml:space="preserve">) in Year 1 overall. </w:t>
            </w:r>
          </w:p>
        </w:tc>
      </w:tr>
      <w:tr w:rsidR="00151527" w:rsidRPr="00894575" w14:paraId="23DAED7F" w14:textId="77777777" w:rsidTr="008E1A65">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6DBDC27B" w14:textId="77777777" w:rsidR="00151527" w:rsidRPr="00894575" w:rsidRDefault="00151527" w:rsidP="008E1A65">
            <w:pPr>
              <w:pStyle w:val="Tabletext"/>
              <w:rPr>
                <w:b/>
              </w:rPr>
            </w:pPr>
            <w:r w:rsidRPr="00894575">
              <w:rPr>
                <w:b/>
              </w:rPr>
              <w:t>Treatment utilisation</w:t>
            </w:r>
          </w:p>
        </w:tc>
      </w:tr>
      <w:tr w:rsidR="00151527" w:rsidRPr="00894575" w14:paraId="48E3DD88" w14:textId="77777777" w:rsidTr="00015CFB">
        <w:tc>
          <w:tcPr>
            <w:tcW w:w="1812" w:type="dxa"/>
            <w:tcBorders>
              <w:top w:val="single" w:sz="4" w:space="0" w:color="auto"/>
              <w:left w:val="single" w:sz="4" w:space="0" w:color="auto"/>
              <w:bottom w:val="single" w:sz="4" w:space="0" w:color="auto"/>
              <w:right w:val="single" w:sz="4" w:space="0" w:color="auto"/>
            </w:tcBorders>
            <w:vAlign w:val="center"/>
            <w:hideMark/>
          </w:tcPr>
          <w:p w14:paraId="20D5E64C" w14:textId="77777777" w:rsidR="00151527" w:rsidRPr="00894575" w:rsidRDefault="00151527" w:rsidP="008E1A65">
            <w:pPr>
              <w:pStyle w:val="Tabletext"/>
            </w:pPr>
            <w:r w:rsidRPr="00894575">
              <w:t>Uptake rate for initial patients</w:t>
            </w:r>
          </w:p>
        </w:tc>
        <w:tc>
          <w:tcPr>
            <w:tcW w:w="2578" w:type="dxa"/>
            <w:tcBorders>
              <w:top w:val="single" w:sz="4" w:space="0" w:color="auto"/>
              <w:left w:val="single" w:sz="4" w:space="0" w:color="auto"/>
              <w:bottom w:val="single" w:sz="4" w:space="0" w:color="auto"/>
              <w:right w:val="single" w:sz="4" w:space="0" w:color="auto"/>
            </w:tcBorders>
            <w:vAlign w:val="center"/>
            <w:hideMark/>
          </w:tcPr>
          <w:p w14:paraId="48F0BE30" w14:textId="77777777" w:rsidR="00151527" w:rsidRPr="00894575" w:rsidRDefault="00151527" w:rsidP="008E1A65">
            <w:pPr>
              <w:pStyle w:val="Tabletext"/>
            </w:pPr>
            <w:r w:rsidRPr="00894575">
              <w:t>Yr 1: 5.00%</w:t>
            </w:r>
          </w:p>
          <w:p w14:paraId="56BD0357" w14:textId="77777777" w:rsidR="00151527" w:rsidRPr="00894575" w:rsidRDefault="00151527" w:rsidP="008E1A65">
            <w:pPr>
              <w:pStyle w:val="Tabletext"/>
            </w:pPr>
            <w:r w:rsidRPr="00894575">
              <w:t>Yr 2: 4.50%</w:t>
            </w:r>
          </w:p>
          <w:p w14:paraId="2C35FA85" w14:textId="77777777" w:rsidR="00151527" w:rsidRPr="00894575" w:rsidRDefault="00151527" w:rsidP="008E1A65">
            <w:pPr>
              <w:pStyle w:val="Tabletext"/>
            </w:pPr>
            <w:r w:rsidRPr="00894575">
              <w:t>Yr 3: 4.00%</w:t>
            </w:r>
          </w:p>
          <w:p w14:paraId="2DD898F5" w14:textId="77777777" w:rsidR="00151527" w:rsidRPr="00894575" w:rsidRDefault="00151527" w:rsidP="008E1A65">
            <w:pPr>
              <w:pStyle w:val="Tabletext"/>
            </w:pPr>
            <w:r w:rsidRPr="00894575">
              <w:t>Yr 4: 3.50%</w:t>
            </w:r>
          </w:p>
          <w:p w14:paraId="6970C445" w14:textId="77777777" w:rsidR="00151527" w:rsidRPr="00894575" w:rsidRDefault="00151527" w:rsidP="008E1A65">
            <w:pPr>
              <w:pStyle w:val="Tabletext"/>
            </w:pPr>
            <w:r w:rsidRPr="00894575">
              <w:t>Yr 5: 3.50%</w:t>
            </w:r>
          </w:p>
          <w:p w14:paraId="26268008" w14:textId="77777777" w:rsidR="00151527" w:rsidRPr="00894575" w:rsidRDefault="00151527" w:rsidP="008E1A65">
            <w:pPr>
              <w:pStyle w:val="Tabletext"/>
            </w:pPr>
            <w:r w:rsidRPr="00894575">
              <w:t>Yr 6: 3.50%</w:t>
            </w:r>
          </w:p>
          <w:p w14:paraId="2E0A7B23" w14:textId="77777777" w:rsidR="00151527" w:rsidRPr="00894575" w:rsidRDefault="00151527" w:rsidP="00015CFB">
            <w:pPr>
              <w:pStyle w:val="Tabletext"/>
            </w:pPr>
            <w:r w:rsidRPr="00894575">
              <w:t>Source: Uptake rates deemed reasonable by the PBAC for dupilumab for atopic dermatitis (November 2020)</w:t>
            </w:r>
            <w:r w:rsidR="00015CFB">
              <w:t>.</w:t>
            </w:r>
          </w:p>
        </w:tc>
        <w:tc>
          <w:tcPr>
            <w:tcW w:w="4790" w:type="dxa"/>
            <w:tcBorders>
              <w:top w:val="single" w:sz="4" w:space="0" w:color="auto"/>
              <w:left w:val="single" w:sz="4" w:space="0" w:color="auto"/>
              <w:bottom w:val="single" w:sz="4" w:space="0" w:color="auto"/>
              <w:right w:val="single" w:sz="4" w:space="0" w:color="auto"/>
            </w:tcBorders>
            <w:vAlign w:val="center"/>
          </w:tcPr>
          <w:p w14:paraId="6322CB73" w14:textId="77777777" w:rsidR="00151527" w:rsidRPr="00151527" w:rsidRDefault="00151527" w:rsidP="008E1A65">
            <w:pPr>
              <w:pStyle w:val="Tabletext"/>
            </w:pPr>
            <w:r w:rsidRPr="00151527">
              <w:t xml:space="preserve">Potentially underestimated. </w:t>
            </w:r>
            <w:r w:rsidR="00015CFB">
              <w:t>T</w:t>
            </w:r>
            <w:r w:rsidRPr="00151527">
              <w:t>he uptake rate for patients unsuitable for surgery should be high (100%) given patients deemed suitable for surgery were assumed to have a 100% uptake rate for surgery and given there exist no alternative line of therapy available to those unsuitable for surgery who have an inadequate response.</w:t>
            </w:r>
          </w:p>
        </w:tc>
      </w:tr>
      <w:tr w:rsidR="00151527" w:rsidRPr="00894575" w14:paraId="734174F1" w14:textId="77777777" w:rsidTr="00015CFB">
        <w:tc>
          <w:tcPr>
            <w:tcW w:w="1812" w:type="dxa"/>
            <w:tcBorders>
              <w:top w:val="single" w:sz="4" w:space="0" w:color="auto"/>
              <w:left w:val="single" w:sz="4" w:space="0" w:color="auto"/>
              <w:bottom w:val="single" w:sz="4" w:space="0" w:color="auto"/>
              <w:right w:val="single" w:sz="4" w:space="0" w:color="auto"/>
            </w:tcBorders>
            <w:vAlign w:val="center"/>
            <w:hideMark/>
          </w:tcPr>
          <w:p w14:paraId="68B693AE" w14:textId="77777777" w:rsidR="00151527" w:rsidRPr="00894575" w:rsidRDefault="00151527" w:rsidP="008E1A65">
            <w:pPr>
              <w:pStyle w:val="Tabletext"/>
            </w:pPr>
            <w:r w:rsidRPr="00894575">
              <w:t xml:space="preserve">Uptake rate for continuing patients </w:t>
            </w:r>
          </w:p>
        </w:tc>
        <w:tc>
          <w:tcPr>
            <w:tcW w:w="2578" w:type="dxa"/>
            <w:tcBorders>
              <w:top w:val="single" w:sz="4" w:space="0" w:color="auto"/>
              <w:left w:val="single" w:sz="4" w:space="0" w:color="auto"/>
              <w:bottom w:val="single" w:sz="4" w:space="0" w:color="auto"/>
              <w:right w:val="single" w:sz="4" w:space="0" w:color="auto"/>
            </w:tcBorders>
            <w:vAlign w:val="center"/>
            <w:hideMark/>
          </w:tcPr>
          <w:p w14:paraId="3F4C5BEB" w14:textId="77777777" w:rsidR="00151527" w:rsidRPr="00894575" w:rsidRDefault="00151527" w:rsidP="008E1A65">
            <w:pPr>
              <w:pStyle w:val="Tabletext"/>
            </w:pPr>
            <w:r w:rsidRPr="00894575">
              <w:t>Yr 1: 3.50%</w:t>
            </w:r>
          </w:p>
          <w:p w14:paraId="6F6F1AD0" w14:textId="77777777" w:rsidR="00151527" w:rsidRPr="00894575" w:rsidRDefault="00151527" w:rsidP="008E1A65">
            <w:pPr>
              <w:pStyle w:val="Tabletext"/>
            </w:pPr>
            <w:r w:rsidRPr="00894575">
              <w:t>Yr 2: 3.15%</w:t>
            </w:r>
          </w:p>
          <w:p w14:paraId="1464929A" w14:textId="77777777" w:rsidR="00151527" w:rsidRPr="00894575" w:rsidRDefault="00151527" w:rsidP="008E1A65">
            <w:pPr>
              <w:pStyle w:val="Tabletext"/>
            </w:pPr>
            <w:r w:rsidRPr="00894575">
              <w:t>Yr 3: 2.80%</w:t>
            </w:r>
          </w:p>
          <w:p w14:paraId="7158ED4B" w14:textId="77777777" w:rsidR="00151527" w:rsidRPr="00894575" w:rsidRDefault="00151527" w:rsidP="008E1A65">
            <w:pPr>
              <w:pStyle w:val="Tabletext"/>
            </w:pPr>
            <w:r w:rsidRPr="00894575">
              <w:t>Yr 4: 2.45%</w:t>
            </w:r>
          </w:p>
          <w:p w14:paraId="7B943DCB" w14:textId="77777777" w:rsidR="00151527" w:rsidRPr="00894575" w:rsidRDefault="00151527" w:rsidP="008E1A65">
            <w:pPr>
              <w:pStyle w:val="Tabletext"/>
            </w:pPr>
            <w:r w:rsidRPr="00894575">
              <w:t>Yr 5: 2.45%</w:t>
            </w:r>
          </w:p>
          <w:p w14:paraId="01139627" w14:textId="77777777" w:rsidR="00151527" w:rsidRPr="00894575" w:rsidRDefault="00151527" w:rsidP="008E1A65">
            <w:pPr>
              <w:pStyle w:val="Tabletext"/>
            </w:pPr>
            <w:r w:rsidRPr="00894575">
              <w:t>Yr 6: 2.45%</w:t>
            </w:r>
          </w:p>
          <w:p w14:paraId="6773FDF4" w14:textId="77777777" w:rsidR="00151527" w:rsidRPr="00894575" w:rsidRDefault="00151527" w:rsidP="008E1A65">
            <w:pPr>
              <w:pStyle w:val="Tabletext"/>
            </w:pPr>
            <w:r w:rsidRPr="00894575">
              <w:t xml:space="preserve">Source: Calculated by applying a 70% responder rate based on patients responding </w:t>
            </w:r>
            <w:r w:rsidR="00B049DF">
              <w:t xml:space="preserve">at the 24-week mark in the base </w:t>
            </w:r>
            <w:r w:rsidRPr="00894575">
              <w:t xml:space="preserve">case economic model for the given year. </w:t>
            </w:r>
          </w:p>
        </w:tc>
        <w:tc>
          <w:tcPr>
            <w:tcW w:w="4790" w:type="dxa"/>
            <w:tcBorders>
              <w:top w:val="single" w:sz="4" w:space="0" w:color="auto"/>
              <w:left w:val="single" w:sz="4" w:space="0" w:color="auto"/>
              <w:bottom w:val="single" w:sz="4" w:space="0" w:color="auto"/>
              <w:right w:val="single" w:sz="4" w:space="0" w:color="auto"/>
            </w:tcBorders>
            <w:vAlign w:val="center"/>
          </w:tcPr>
          <w:p w14:paraId="67E264CA" w14:textId="77777777" w:rsidR="00151527" w:rsidRPr="00151527" w:rsidRDefault="00151527" w:rsidP="008E1A65">
            <w:pPr>
              <w:pStyle w:val="Tabletext"/>
            </w:pPr>
            <w:r w:rsidRPr="00151527">
              <w:t xml:space="preserve">Inconsistent with economic model as did not consider patients who may have a loss of response at week 52 or have surgery while being treated with mepolizumab. </w:t>
            </w:r>
          </w:p>
        </w:tc>
      </w:tr>
      <w:tr w:rsidR="00151527" w:rsidRPr="00894575" w14:paraId="5309FB16" w14:textId="77777777" w:rsidTr="00015CFB">
        <w:tc>
          <w:tcPr>
            <w:tcW w:w="1812" w:type="dxa"/>
            <w:tcBorders>
              <w:top w:val="single" w:sz="4" w:space="0" w:color="auto"/>
              <w:left w:val="single" w:sz="4" w:space="0" w:color="auto"/>
              <w:bottom w:val="single" w:sz="4" w:space="0" w:color="auto"/>
              <w:right w:val="single" w:sz="4" w:space="0" w:color="auto"/>
            </w:tcBorders>
            <w:vAlign w:val="center"/>
            <w:hideMark/>
          </w:tcPr>
          <w:p w14:paraId="31304068" w14:textId="77777777" w:rsidR="00151527" w:rsidRPr="00894575" w:rsidRDefault="00151527" w:rsidP="008E1A65">
            <w:pPr>
              <w:pStyle w:val="Tabletext"/>
            </w:pPr>
            <w:r w:rsidRPr="00894575">
              <w:t>Dosing and duration for mepolizumab assumed</w:t>
            </w:r>
          </w:p>
        </w:tc>
        <w:tc>
          <w:tcPr>
            <w:tcW w:w="2578" w:type="dxa"/>
            <w:tcBorders>
              <w:top w:val="single" w:sz="4" w:space="0" w:color="auto"/>
              <w:left w:val="single" w:sz="4" w:space="0" w:color="auto"/>
              <w:bottom w:val="single" w:sz="4" w:space="0" w:color="auto"/>
              <w:right w:val="single" w:sz="4" w:space="0" w:color="auto"/>
            </w:tcBorders>
            <w:vAlign w:val="center"/>
          </w:tcPr>
          <w:p w14:paraId="23239D31" w14:textId="77777777" w:rsidR="00151527" w:rsidRPr="00894575" w:rsidRDefault="00151527" w:rsidP="008E1A65">
            <w:pPr>
              <w:pStyle w:val="Tabletext"/>
            </w:pPr>
            <w:r w:rsidRPr="00894575">
              <w:t>Compliance: 94%</w:t>
            </w:r>
          </w:p>
          <w:p w14:paraId="28521840" w14:textId="77777777" w:rsidR="00151527" w:rsidRPr="00894575" w:rsidRDefault="00151527" w:rsidP="008E1A65">
            <w:pPr>
              <w:pStyle w:val="Tabletext"/>
            </w:pPr>
            <w:r w:rsidRPr="00894575">
              <w:t>Source: SYNAPSE trial</w:t>
            </w:r>
          </w:p>
          <w:p w14:paraId="7079129C" w14:textId="77777777" w:rsidR="00151527" w:rsidRPr="00894575" w:rsidRDefault="00151527" w:rsidP="008E1A65">
            <w:pPr>
              <w:pStyle w:val="Tabletext"/>
            </w:pPr>
          </w:p>
          <w:p w14:paraId="6FCBCFD3" w14:textId="77777777" w:rsidR="00151527" w:rsidRPr="00894575" w:rsidRDefault="00151527" w:rsidP="008E1A65">
            <w:pPr>
              <w:pStyle w:val="Tabletext"/>
            </w:pPr>
            <w:r w:rsidRPr="00894575">
              <w:t>Dosing and duration used by the submission:</w:t>
            </w:r>
          </w:p>
          <w:tbl>
            <w:tblPr>
              <w:tblStyle w:val="TableGrid"/>
              <w:tblW w:w="0" w:type="auto"/>
              <w:tblLook w:val="04A0" w:firstRow="1" w:lastRow="0" w:firstColumn="1" w:lastColumn="0" w:noHBand="0" w:noVBand="1"/>
              <w:tblCaption w:val="Dosing and duration used by the submission:"/>
            </w:tblPr>
            <w:tblGrid>
              <w:gridCol w:w="922"/>
              <w:gridCol w:w="823"/>
              <w:gridCol w:w="971"/>
              <w:gridCol w:w="897"/>
            </w:tblGrid>
            <w:tr w:rsidR="00151527" w:rsidRPr="00894575" w14:paraId="0880F5FD" w14:textId="77777777" w:rsidTr="00AC5AD6">
              <w:trPr>
                <w:tblHeader/>
              </w:trPr>
              <w:tc>
                <w:tcPr>
                  <w:tcW w:w="1001" w:type="dxa"/>
                  <w:tcBorders>
                    <w:top w:val="single" w:sz="4" w:space="0" w:color="auto"/>
                    <w:left w:val="single" w:sz="4" w:space="0" w:color="auto"/>
                    <w:bottom w:val="single" w:sz="4" w:space="0" w:color="auto"/>
                    <w:right w:val="single" w:sz="4" w:space="0" w:color="auto"/>
                  </w:tcBorders>
                </w:tcPr>
                <w:p w14:paraId="78F0B3E1" w14:textId="77777777" w:rsidR="00151527" w:rsidRPr="00894575" w:rsidRDefault="00151527" w:rsidP="008E1A65">
                  <w:pPr>
                    <w:pStyle w:val="Tabletext"/>
                    <w:rPr>
                      <w:b/>
                      <w:sz w:val="18"/>
                      <w:szCs w:val="18"/>
                    </w:rPr>
                  </w:pPr>
                </w:p>
              </w:tc>
              <w:tc>
                <w:tcPr>
                  <w:tcW w:w="836" w:type="dxa"/>
                  <w:tcBorders>
                    <w:top w:val="single" w:sz="4" w:space="0" w:color="auto"/>
                    <w:left w:val="single" w:sz="4" w:space="0" w:color="auto"/>
                    <w:bottom w:val="single" w:sz="4" w:space="0" w:color="auto"/>
                    <w:right w:val="single" w:sz="4" w:space="0" w:color="auto"/>
                  </w:tcBorders>
                  <w:hideMark/>
                </w:tcPr>
                <w:p w14:paraId="4531C409" w14:textId="77777777" w:rsidR="00151527" w:rsidRPr="00894575" w:rsidRDefault="00151527" w:rsidP="008E1A65">
                  <w:pPr>
                    <w:pStyle w:val="Tabletext"/>
                    <w:rPr>
                      <w:b/>
                      <w:sz w:val="18"/>
                      <w:szCs w:val="18"/>
                    </w:rPr>
                  </w:pPr>
                  <w:r w:rsidRPr="00894575">
                    <w:rPr>
                      <w:b/>
                      <w:sz w:val="18"/>
                      <w:szCs w:val="18"/>
                    </w:rPr>
                    <w:t>Duration</w:t>
                  </w:r>
                </w:p>
              </w:tc>
              <w:tc>
                <w:tcPr>
                  <w:tcW w:w="1000" w:type="dxa"/>
                  <w:tcBorders>
                    <w:top w:val="single" w:sz="4" w:space="0" w:color="auto"/>
                    <w:left w:val="single" w:sz="4" w:space="0" w:color="auto"/>
                    <w:bottom w:val="single" w:sz="4" w:space="0" w:color="auto"/>
                    <w:right w:val="single" w:sz="4" w:space="0" w:color="auto"/>
                  </w:tcBorders>
                  <w:hideMark/>
                </w:tcPr>
                <w:p w14:paraId="213A6C81" w14:textId="77777777" w:rsidR="00151527" w:rsidRPr="00894575" w:rsidRDefault="00151527" w:rsidP="008E1A65">
                  <w:pPr>
                    <w:pStyle w:val="Tabletext"/>
                    <w:rPr>
                      <w:b/>
                      <w:sz w:val="18"/>
                      <w:szCs w:val="18"/>
                    </w:rPr>
                  </w:pPr>
                  <w:r w:rsidRPr="00894575">
                    <w:rPr>
                      <w:b/>
                      <w:sz w:val="18"/>
                      <w:szCs w:val="18"/>
                    </w:rPr>
                    <w:t>Doses/mth</w:t>
                  </w:r>
                </w:p>
              </w:tc>
              <w:tc>
                <w:tcPr>
                  <w:tcW w:w="900" w:type="dxa"/>
                  <w:tcBorders>
                    <w:top w:val="single" w:sz="4" w:space="0" w:color="auto"/>
                    <w:left w:val="single" w:sz="4" w:space="0" w:color="auto"/>
                    <w:bottom w:val="single" w:sz="4" w:space="0" w:color="auto"/>
                    <w:right w:val="single" w:sz="4" w:space="0" w:color="auto"/>
                  </w:tcBorders>
                  <w:hideMark/>
                </w:tcPr>
                <w:p w14:paraId="59616588" w14:textId="77777777" w:rsidR="00151527" w:rsidRPr="00894575" w:rsidRDefault="00151527" w:rsidP="008E1A65">
                  <w:pPr>
                    <w:pStyle w:val="Tabletext"/>
                    <w:rPr>
                      <w:b/>
                      <w:sz w:val="18"/>
                      <w:szCs w:val="18"/>
                    </w:rPr>
                  </w:pPr>
                  <w:r w:rsidRPr="00894575">
                    <w:rPr>
                      <w:b/>
                      <w:sz w:val="18"/>
                      <w:szCs w:val="18"/>
                    </w:rPr>
                    <w:t>Scripts/yr</w:t>
                  </w:r>
                </w:p>
              </w:tc>
            </w:tr>
            <w:tr w:rsidR="00151527" w:rsidRPr="00894575" w14:paraId="3FF4E92B" w14:textId="77777777" w:rsidTr="008E1A65">
              <w:tc>
                <w:tcPr>
                  <w:tcW w:w="1001" w:type="dxa"/>
                  <w:tcBorders>
                    <w:top w:val="single" w:sz="4" w:space="0" w:color="auto"/>
                    <w:left w:val="single" w:sz="4" w:space="0" w:color="auto"/>
                    <w:bottom w:val="single" w:sz="4" w:space="0" w:color="auto"/>
                    <w:right w:val="single" w:sz="4" w:space="0" w:color="auto"/>
                  </w:tcBorders>
                  <w:hideMark/>
                </w:tcPr>
                <w:p w14:paraId="5669ADBF" w14:textId="77777777" w:rsidR="00151527" w:rsidRPr="00894575" w:rsidRDefault="00151527" w:rsidP="008E1A65">
                  <w:pPr>
                    <w:pStyle w:val="Tabletext"/>
                    <w:rPr>
                      <w:sz w:val="18"/>
                      <w:szCs w:val="18"/>
                    </w:rPr>
                  </w:pPr>
                  <w:r w:rsidRPr="00894575">
                    <w:rPr>
                      <w:sz w:val="18"/>
                      <w:szCs w:val="18"/>
                    </w:rPr>
                    <w:t>Initiating</w:t>
                  </w:r>
                </w:p>
              </w:tc>
              <w:tc>
                <w:tcPr>
                  <w:tcW w:w="836" w:type="dxa"/>
                  <w:tcBorders>
                    <w:top w:val="single" w:sz="4" w:space="0" w:color="auto"/>
                    <w:left w:val="single" w:sz="4" w:space="0" w:color="auto"/>
                    <w:bottom w:val="single" w:sz="4" w:space="0" w:color="auto"/>
                    <w:right w:val="single" w:sz="4" w:space="0" w:color="auto"/>
                  </w:tcBorders>
                  <w:hideMark/>
                </w:tcPr>
                <w:p w14:paraId="2F3B5320" w14:textId="77777777" w:rsidR="00151527" w:rsidRPr="00894575" w:rsidRDefault="00151527" w:rsidP="008E1A65">
                  <w:pPr>
                    <w:pStyle w:val="Tabletext"/>
                    <w:rPr>
                      <w:sz w:val="18"/>
                      <w:szCs w:val="18"/>
                    </w:rPr>
                  </w:pPr>
                  <w:r w:rsidRPr="00894575">
                    <w:rPr>
                      <w:sz w:val="18"/>
                      <w:szCs w:val="18"/>
                    </w:rPr>
                    <w:t>3 mths</w:t>
                  </w:r>
                </w:p>
              </w:tc>
              <w:tc>
                <w:tcPr>
                  <w:tcW w:w="1000" w:type="dxa"/>
                  <w:tcBorders>
                    <w:top w:val="single" w:sz="4" w:space="0" w:color="auto"/>
                    <w:left w:val="single" w:sz="4" w:space="0" w:color="auto"/>
                    <w:bottom w:val="single" w:sz="4" w:space="0" w:color="auto"/>
                    <w:right w:val="single" w:sz="4" w:space="0" w:color="auto"/>
                  </w:tcBorders>
                  <w:hideMark/>
                </w:tcPr>
                <w:p w14:paraId="11F0CB32" w14:textId="77777777" w:rsidR="00151527" w:rsidRPr="00894575" w:rsidRDefault="00151527" w:rsidP="008E1A65">
                  <w:pPr>
                    <w:pStyle w:val="Tabletext"/>
                    <w:rPr>
                      <w:sz w:val="18"/>
                      <w:szCs w:val="18"/>
                    </w:rPr>
                  </w:pPr>
                  <w:r w:rsidRPr="00894575">
                    <w:rPr>
                      <w:sz w:val="18"/>
                      <w:szCs w:val="18"/>
                    </w:rPr>
                    <w:t>1.09</w:t>
                  </w:r>
                </w:p>
              </w:tc>
              <w:tc>
                <w:tcPr>
                  <w:tcW w:w="900" w:type="dxa"/>
                  <w:tcBorders>
                    <w:top w:val="single" w:sz="4" w:space="0" w:color="auto"/>
                    <w:left w:val="single" w:sz="4" w:space="0" w:color="auto"/>
                    <w:bottom w:val="single" w:sz="4" w:space="0" w:color="auto"/>
                    <w:right w:val="single" w:sz="4" w:space="0" w:color="auto"/>
                  </w:tcBorders>
                  <w:hideMark/>
                </w:tcPr>
                <w:p w14:paraId="5DAFE519" w14:textId="77777777" w:rsidR="00151527" w:rsidRPr="00894575" w:rsidRDefault="00151527" w:rsidP="008E1A65">
                  <w:pPr>
                    <w:pStyle w:val="Tabletext"/>
                    <w:rPr>
                      <w:sz w:val="18"/>
                      <w:szCs w:val="18"/>
                    </w:rPr>
                  </w:pPr>
                  <w:r w:rsidRPr="00894575">
                    <w:rPr>
                      <w:sz w:val="18"/>
                      <w:szCs w:val="18"/>
                    </w:rPr>
                    <w:t>3.07</w:t>
                  </w:r>
                </w:p>
              </w:tc>
            </w:tr>
            <w:tr w:rsidR="00151527" w:rsidRPr="00894575" w14:paraId="703F3079" w14:textId="77777777" w:rsidTr="008E1A65">
              <w:tc>
                <w:tcPr>
                  <w:tcW w:w="1001" w:type="dxa"/>
                  <w:tcBorders>
                    <w:top w:val="single" w:sz="4" w:space="0" w:color="auto"/>
                    <w:left w:val="single" w:sz="4" w:space="0" w:color="auto"/>
                    <w:bottom w:val="single" w:sz="4" w:space="0" w:color="auto"/>
                    <w:right w:val="single" w:sz="4" w:space="0" w:color="auto"/>
                  </w:tcBorders>
                  <w:hideMark/>
                </w:tcPr>
                <w:p w14:paraId="31A1DE7B" w14:textId="77777777" w:rsidR="00151527" w:rsidRPr="00894575" w:rsidRDefault="00151527" w:rsidP="008E1A65">
                  <w:pPr>
                    <w:pStyle w:val="Tabletext"/>
                    <w:rPr>
                      <w:sz w:val="18"/>
                      <w:szCs w:val="18"/>
                    </w:rPr>
                  </w:pPr>
                  <w:r w:rsidRPr="00894575">
                    <w:rPr>
                      <w:sz w:val="18"/>
                      <w:szCs w:val="18"/>
                    </w:rPr>
                    <w:t>Continuing (1</w:t>
                  </w:r>
                  <w:r w:rsidRPr="00894575">
                    <w:rPr>
                      <w:sz w:val="18"/>
                      <w:szCs w:val="18"/>
                      <w:vertAlign w:val="superscript"/>
                    </w:rPr>
                    <w:t>st</w:t>
                  </w:r>
                  <w:r w:rsidRPr="00894575">
                    <w:rPr>
                      <w:sz w:val="18"/>
                      <w:szCs w:val="18"/>
                    </w:rPr>
                    <w:t xml:space="preserve"> year)</w:t>
                  </w:r>
                </w:p>
              </w:tc>
              <w:tc>
                <w:tcPr>
                  <w:tcW w:w="836" w:type="dxa"/>
                  <w:tcBorders>
                    <w:top w:val="single" w:sz="4" w:space="0" w:color="auto"/>
                    <w:left w:val="single" w:sz="4" w:space="0" w:color="auto"/>
                    <w:bottom w:val="single" w:sz="4" w:space="0" w:color="auto"/>
                    <w:right w:val="single" w:sz="4" w:space="0" w:color="auto"/>
                  </w:tcBorders>
                  <w:hideMark/>
                </w:tcPr>
                <w:p w14:paraId="29E0CF94" w14:textId="77777777" w:rsidR="00151527" w:rsidRPr="00894575" w:rsidRDefault="00151527" w:rsidP="008E1A65">
                  <w:pPr>
                    <w:pStyle w:val="Tabletext"/>
                    <w:rPr>
                      <w:sz w:val="18"/>
                      <w:szCs w:val="18"/>
                    </w:rPr>
                  </w:pPr>
                  <w:r w:rsidRPr="00894575">
                    <w:rPr>
                      <w:sz w:val="18"/>
                      <w:szCs w:val="18"/>
                    </w:rPr>
                    <w:t>3 mths</w:t>
                  </w:r>
                </w:p>
              </w:tc>
              <w:tc>
                <w:tcPr>
                  <w:tcW w:w="1000" w:type="dxa"/>
                  <w:tcBorders>
                    <w:top w:val="single" w:sz="4" w:space="0" w:color="auto"/>
                    <w:left w:val="single" w:sz="4" w:space="0" w:color="auto"/>
                    <w:bottom w:val="single" w:sz="4" w:space="0" w:color="auto"/>
                    <w:right w:val="single" w:sz="4" w:space="0" w:color="auto"/>
                  </w:tcBorders>
                  <w:hideMark/>
                </w:tcPr>
                <w:p w14:paraId="308831C4" w14:textId="77777777" w:rsidR="00151527" w:rsidRPr="00894575" w:rsidRDefault="00151527" w:rsidP="008E1A65">
                  <w:pPr>
                    <w:pStyle w:val="Tabletext"/>
                    <w:rPr>
                      <w:sz w:val="18"/>
                      <w:szCs w:val="18"/>
                    </w:rPr>
                  </w:pPr>
                  <w:r w:rsidRPr="00894575">
                    <w:rPr>
                      <w:sz w:val="18"/>
                      <w:szCs w:val="18"/>
                    </w:rPr>
                    <w:t>1.09</w:t>
                  </w:r>
                </w:p>
              </w:tc>
              <w:tc>
                <w:tcPr>
                  <w:tcW w:w="900" w:type="dxa"/>
                  <w:tcBorders>
                    <w:top w:val="single" w:sz="4" w:space="0" w:color="auto"/>
                    <w:left w:val="single" w:sz="4" w:space="0" w:color="auto"/>
                    <w:bottom w:val="single" w:sz="4" w:space="0" w:color="auto"/>
                    <w:right w:val="single" w:sz="4" w:space="0" w:color="auto"/>
                  </w:tcBorders>
                  <w:hideMark/>
                </w:tcPr>
                <w:p w14:paraId="73E9ED3D" w14:textId="77777777" w:rsidR="00151527" w:rsidRPr="00894575" w:rsidRDefault="00151527" w:rsidP="008E1A65">
                  <w:pPr>
                    <w:pStyle w:val="Tabletext"/>
                    <w:rPr>
                      <w:sz w:val="18"/>
                      <w:szCs w:val="18"/>
                    </w:rPr>
                  </w:pPr>
                  <w:r w:rsidRPr="00894575">
                    <w:rPr>
                      <w:sz w:val="18"/>
                      <w:szCs w:val="18"/>
                    </w:rPr>
                    <w:t>3.07</w:t>
                  </w:r>
                </w:p>
              </w:tc>
            </w:tr>
            <w:tr w:rsidR="00151527" w:rsidRPr="00894575" w14:paraId="706643C3" w14:textId="77777777" w:rsidTr="008E1A65">
              <w:tc>
                <w:tcPr>
                  <w:tcW w:w="1001" w:type="dxa"/>
                  <w:tcBorders>
                    <w:top w:val="single" w:sz="4" w:space="0" w:color="auto"/>
                    <w:left w:val="single" w:sz="4" w:space="0" w:color="auto"/>
                    <w:bottom w:val="single" w:sz="4" w:space="0" w:color="auto"/>
                    <w:right w:val="single" w:sz="4" w:space="0" w:color="auto"/>
                  </w:tcBorders>
                  <w:hideMark/>
                </w:tcPr>
                <w:p w14:paraId="433380C7" w14:textId="77777777" w:rsidR="00151527" w:rsidRPr="00894575" w:rsidRDefault="00151527" w:rsidP="008E1A65">
                  <w:pPr>
                    <w:pStyle w:val="Tabletext"/>
                    <w:rPr>
                      <w:sz w:val="18"/>
                      <w:szCs w:val="18"/>
                    </w:rPr>
                  </w:pPr>
                  <w:r w:rsidRPr="00894575">
                    <w:rPr>
                      <w:sz w:val="18"/>
                      <w:szCs w:val="18"/>
                    </w:rPr>
                    <w:t>Continuing</w:t>
                  </w:r>
                </w:p>
              </w:tc>
              <w:tc>
                <w:tcPr>
                  <w:tcW w:w="836" w:type="dxa"/>
                  <w:tcBorders>
                    <w:top w:val="single" w:sz="4" w:space="0" w:color="auto"/>
                    <w:left w:val="single" w:sz="4" w:space="0" w:color="auto"/>
                    <w:bottom w:val="single" w:sz="4" w:space="0" w:color="auto"/>
                    <w:right w:val="single" w:sz="4" w:space="0" w:color="auto"/>
                  </w:tcBorders>
                  <w:hideMark/>
                </w:tcPr>
                <w:p w14:paraId="29E01EA6" w14:textId="77777777" w:rsidR="00151527" w:rsidRPr="00894575" w:rsidRDefault="00151527" w:rsidP="008E1A65">
                  <w:pPr>
                    <w:pStyle w:val="Tabletext"/>
                    <w:rPr>
                      <w:sz w:val="18"/>
                      <w:szCs w:val="18"/>
                    </w:rPr>
                  </w:pPr>
                  <w:r w:rsidRPr="00894575">
                    <w:rPr>
                      <w:sz w:val="18"/>
                      <w:szCs w:val="18"/>
                    </w:rPr>
                    <w:t>12 mths</w:t>
                  </w:r>
                </w:p>
              </w:tc>
              <w:tc>
                <w:tcPr>
                  <w:tcW w:w="1000" w:type="dxa"/>
                  <w:tcBorders>
                    <w:top w:val="single" w:sz="4" w:space="0" w:color="auto"/>
                    <w:left w:val="single" w:sz="4" w:space="0" w:color="auto"/>
                    <w:bottom w:val="single" w:sz="4" w:space="0" w:color="auto"/>
                    <w:right w:val="single" w:sz="4" w:space="0" w:color="auto"/>
                  </w:tcBorders>
                  <w:hideMark/>
                </w:tcPr>
                <w:p w14:paraId="16047D4E" w14:textId="77777777" w:rsidR="00151527" w:rsidRPr="00894575" w:rsidRDefault="00151527" w:rsidP="008E1A65">
                  <w:pPr>
                    <w:pStyle w:val="Tabletext"/>
                    <w:rPr>
                      <w:sz w:val="18"/>
                      <w:szCs w:val="18"/>
                    </w:rPr>
                  </w:pPr>
                  <w:r w:rsidRPr="00894575">
                    <w:rPr>
                      <w:sz w:val="18"/>
                      <w:szCs w:val="18"/>
                    </w:rPr>
                    <w:t>1.09</w:t>
                  </w:r>
                </w:p>
              </w:tc>
              <w:tc>
                <w:tcPr>
                  <w:tcW w:w="900" w:type="dxa"/>
                  <w:tcBorders>
                    <w:top w:val="single" w:sz="4" w:space="0" w:color="auto"/>
                    <w:left w:val="single" w:sz="4" w:space="0" w:color="auto"/>
                    <w:bottom w:val="single" w:sz="4" w:space="0" w:color="auto"/>
                    <w:right w:val="single" w:sz="4" w:space="0" w:color="auto"/>
                  </w:tcBorders>
                  <w:hideMark/>
                </w:tcPr>
                <w:p w14:paraId="4547D940" w14:textId="77777777" w:rsidR="00151527" w:rsidRPr="00894575" w:rsidRDefault="00151527" w:rsidP="008E1A65">
                  <w:pPr>
                    <w:pStyle w:val="Tabletext"/>
                    <w:rPr>
                      <w:sz w:val="18"/>
                      <w:szCs w:val="18"/>
                    </w:rPr>
                  </w:pPr>
                  <w:r w:rsidRPr="00894575">
                    <w:rPr>
                      <w:sz w:val="18"/>
                      <w:szCs w:val="18"/>
                    </w:rPr>
                    <w:t>12.26</w:t>
                  </w:r>
                </w:p>
              </w:tc>
            </w:tr>
          </w:tbl>
          <w:p w14:paraId="1E42960A" w14:textId="77777777" w:rsidR="00151527" w:rsidRPr="00894575" w:rsidRDefault="00151527" w:rsidP="008E1A65">
            <w:pPr>
              <w:pStyle w:val="Tabletext"/>
            </w:pPr>
            <w:r w:rsidRPr="00894575">
              <w:t xml:space="preserve">Population split: 78% surgical and 22% ineligible surgical patients. </w:t>
            </w:r>
          </w:p>
          <w:p w14:paraId="7B82BD65" w14:textId="77777777" w:rsidR="00151527" w:rsidRPr="00894575" w:rsidRDefault="00151527" w:rsidP="008E1A65">
            <w:pPr>
              <w:pStyle w:val="Tabletext"/>
            </w:pPr>
          </w:p>
          <w:p w14:paraId="61A8BBA2" w14:textId="77777777" w:rsidR="00151527" w:rsidRPr="00151527" w:rsidRDefault="00151527" w:rsidP="008E1A65">
            <w:pPr>
              <w:pStyle w:val="Tabletext"/>
            </w:pPr>
            <w:r w:rsidRPr="00151527">
              <w:t>The dosing, duration and population split used in the submission’s financial model were inaccurate. These were rectified during the evaluation. The table below contain revised values, in line with the requested restriction:</w:t>
            </w:r>
          </w:p>
          <w:tbl>
            <w:tblPr>
              <w:tblStyle w:val="TableGrid"/>
              <w:tblW w:w="0" w:type="auto"/>
              <w:tblLook w:val="04A0" w:firstRow="1" w:lastRow="0" w:firstColumn="1" w:lastColumn="0" w:noHBand="0" w:noVBand="1"/>
              <w:tblCaption w:val="The table below contain revised values, in line with the requested restriction:"/>
            </w:tblPr>
            <w:tblGrid>
              <w:gridCol w:w="952"/>
              <w:gridCol w:w="828"/>
              <w:gridCol w:w="935"/>
              <w:gridCol w:w="898"/>
            </w:tblGrid>
            <w:tr w:rsidR="00151527" w:rsidRPr="00151527" w14:paraId="2595DC0D" w14:textId="77777777" w:rsidTr="00AC5AD6">
              <w:trPr>
                <w:tblHeader/>
              </w:trPr>
              <w:tc>
                <w:tcPr>
                  <w:tcW w:w="1001" w:type="dxa"/>
                  <w:tcBorders>
                    <w:top w:val="single" w:sz="4" w:space="0" w:color="auto"/>
                    <w:left w:val="single" w:sz="4" w:space="0" w:color="auto"/>
                    <w:bottom w:val="single" w:sz="4" w:space="0" w:color="auto"/>
                    <w:right w:val="single" w:sz="4" w:space="0" w:color="auto"/>
                  </w:tcBorders>
                </w:tcPr>
                <w:p w14:paraId="21331E14" w14:textId="77777777" w:rsidR="00151527" w:rsidRPr="00151527" w:rsidRDefault="00151527" w:rsidP="008E1A65">
                  <w:pPr>
                    <w:pStyle w:val="Tabletext"/>
                    <w:rPr>
                      <w:b/>
                      <w:sz w:val="18"/>
                      <w:szCs w:val="18"/>
                    </w:rPr>
                  </w:pPr>
                </w:p>
              </w:tc>
              <w:tc>
                <w:tcPr>
                  <w:tcW w:w="836" w:type="dxa"/>
                  <w:tcBorders>
                    <w:top w:val="single" w:sz="4" w:space="0" w:color="auto"/>
                    <w:left w:val="single" w:sz="4" w:space="0" w:color="auto"/>
                    <w:bottom w:val="single" w:sz="4" w:space="0" w:color="auto"/>
                    <w:right w:val="single" w:sz="4" w:space="0" w:color="auto"/>
                  </w:tcBorders>
                  <w:hideMark/>
                </w:tcPr>
                <w:p w14:paraId="4115B224" w14:textId="77777777" w:rsidR="00151527" w:rsidRPr="00151527" w:rsidRDefault="00151527" w:rsidP="008E1A65">
                  <w:pPr>
                    <w:pStyle w:val="Tabletext"/>
                    <w:rPr>
                      <w:b/>
                      <w:sz w:val="18"/>
                      <w:szCs w:val="18"/>
                    </w:rPr>
                  </w:pPr>
                  <w:r w:rsidRPr="00151527">
                    <w:rPr>
                      <w:b/>
                      <w:sz w:val="18"/>
                      <w:szCs w:val="18"/>
                    </w:rPr>
                    <w:t>Duration</w:t>
                  </w:r>
                </w:p>
              </w:tc>
              <w:tc>
                <w:tcPr>
                  <w:tcW w:w="1000" w:type="dxa"/>
                  <w:tcBorders>
                    <w:top w:val="single" w:sz="4" w:space="0" w:color="auto"/>
                    <w:left w:val="single" w:sz="4" w:space="0" w:color="auto"/>
                    <w:bottom w:val="single" w:sz="4" w:space="0" w:color="auto"/>
                    <w:right w:val="single" w:sz="4" w:space="0" w:color="auto"/>
                  </w:tcBorders>
                  <w:hideMark/>
                </w:tcPr>
                <w:p w14:paraId="785FF6DA" w14:textId="77777777" w:rsidR="00151527" w:rsidRPr="00151527" w:rsidRDefault="00151527" w:rsidP="008E1A65">
                  <w:pPr>
                    <w:pStyle w:val="Tabletext"/>
                    <w:rPr>
                      <w:b/>
                      <w:sz w:val="18"/>
                      <w:szCs w:val="18"/>
                    </w:rPr>
                  </w:pPr>
                  <w:r w:rsidRPr="00151527">
                    <w:rPr>
                      <w:b/>
                      <w:sz w:val="18"/>
                      <w:szCs w:val="18"/>
                    </w:rPr>
                    <w:t>Doses/wk</w:t>
                  </w:r>
                </w:p>
              </w:tc>
              <w:tc>
                <w:tcPr>
                  <w:tcW w:w="900" w:type="dxa"/>
                  <w:tcBorders>
                    <w:top w:val="single" w:sz="4" w:space="0" w:color="auto"/>
                    <w:left w:val="single" w:sz="4" w:space="0" w:color="auto"/>
                    <w:bottom w:val="single" w:sz="4" w:space="0" w:color="auto"/>
                    <w:right w:val="single" w:sz="4" w:space="0" w:color="auto"/>
                  </w:tcBorders>
                  <w:hideMark/>
                </w:tcPr>
                <w:p w14:paraId="148DF8FE" w14:textId="77777777" w:rsidR="00151527" w:rsidRPr="00151527" w:rsidRDefault="00151527" w:rsidP="008E1A65">
                  <w:pPr>
                    <w:pStyle w:val="Tabletext"/>
                    <w:rPr>
                      <w:b/>
                      <w:sz w:val="18"/>
                      <w:szCs w:val="18"/>
                    </w:rPr>
                  </w:pPr>
                  <w:r w:rsidRPr="00151527">
                    <w:rPr>
                      <w:b/>
                      <w:sz w:val="18"/>
                      <w:szCs w:val="18"/>
                    </w:rPr>
                    <w:t>Scripts/yr</w:t>
                  </w:r>
                </w:p>
              </w:tc>
            </w:tr>
            <w:tr w:rsidR="00151527" w:rsidRPr="00151527" w14:paraId="764A3D97" w14:textId="77777777" w:rsidTr="008E1A65">
              <w:tc>
                <w:tcPr>
                  <w:tcW w:w="1001" w:type="dxa"/>
                  <w:tcBorders>
                    <w:top w:val="single" w:sz="4" w:space="0" w:color="auto"/>
                    <w:left w:val="single" w:sz="4" w:space="0" w:color="auto"/>
                    <w:bottom w:val="single" w:sz="4" w:space="0" w:color="auto"/>
                    <w:right w:val="single" w:sz="4" w:space="0" w:color="auto"/>
                  </w:tcBorders>
                  <w:hideMark/>
                </w:tcPr>
                <w:p w14:paraId="0127A5E9" w14:textId="77777777" w:rsidR="00151527" w:rsidRPr="00151527" w:rsidRDefault="00151527" w:rsidP="008E1A65">
                  <w:pPr>
                    <w:pStyle w:val="Tabletext"/>
                    <w:rPr>
                      <w:sz w:val="18"/>
                      <w:szCs w:val="18"/>
                    </w:rPr>
                  </w:pPr>
                  <w:r w:rsidRPr="00151527">
                    <w:rPr>
                      <w:sz w:val="18"/>
                      <w:szCs w:val="18"/>
                    </w:rPr>
                    <w:t>Initiating</w:t>
                  </w:r>
                </w:p>
              </w:tc>
              <w:tc>
                <w:tcPr>
                  <w:tcW w:w="836" w:type="dxa"/>
                  <w:tcBorders>
                    <w:top w:val="single" w:sz="4" w:space="0" w:color="auto"/>
                    <w:left w:val="single" w:sz="4" w:space="0" w:color="auto"/>
                    <w:bottom w:val="single" w:sz="4" w:space="0" w:color="auto"/>
                    <w:right w:val="single" w:sz="4" w:space="0" w:color="auto"/>
                  </w:tcBorders>
                  <w:hideMark/>
                </w:tcPr>
                <w:p w14:paraId="69147E2F" w14:textId="77777777" w:rsidR="00151527" w:rsidRPr="00151527" w:rsidRDefault="00151527" w:rsidP="008E1A65">
                  <w:pPr>
                    <w:pStyle w:val="Tabletext"/>
                    <w:rPr>
                      <w:sz w:val="18"/>
                      <w:szCs w:val="18"/>
                    </w:rPr>
                  </w:pPr>
                  <w:r w:rsidRPr="00151527">
                    <w:rPr>
                      <w:sz w:val="18"/>
                      <w:szCs w:val="18"/>
                    </w:rPr>
                    <w:t>24 wks</w:t>
                  </w:r>
                </w:p>
              </w:tc>
              <w:tc>
                <w:tcPr>
                  <w:tcW w:w="1000" w:type="dxa"/>
                  <w:tcBorders>
                    <w:top w:val="single" w:sz="4" w:space="0" w:color="auto"/>
                    <w:left w:val="single" w:sz="4" w:space="0" w:color="auto"/>
                    <w:bottom w:val="single" w:sz="4" w:space="0" w:color="auto"/>
                    <w:right w:val="single" w:sz="4" w:space="0" w:color="auto"/>
                  </w:tcBorders>
                  <w:hideMark/>
                </w:tcPr>
                <w:p w14:paraId="5239C729" w14:textId="77777777" w:rsidR="00151527" w:rsidRPr="00151527" w:rsidRDefault="00151527" w:rsidP="008E1A65">
                  <w:pPr>
                    <w:pStyle w:val="Tabletext"/>
                    <w:rPr>
                      <w:sz w:val="18"/>
                      <w:szCs w:val="18"/>
                    </w:rPr>
                  </w:pPr>
                  <w:r w:rsidRPr="00151527">
                    <w:rPr>
                      <w:sz w:val="18"/>
                      <w:szCs w:val="18"/>
                    </w:rPr>
                    <w:t>0.25</w:t>
                  </w:r>
                </w:p>
              </w:tc>
              <w:tc>
                <w:tcPr>
                  <w:tcW w:w="900" w:type="dxa"/>
                  <w:tcBorders>
                    <w:top w:val="single" w:sz="4" w:space="0" w:color="auto"/>
                    <w:left w:val="single" w:sz="4" w:space="0" w:color="auto"/>
                    <w:bottom w:val="single" w:sz="4" w:space="0" w:color="auto"/>
                    <w:right w:val="single" w:sz="4" w:space="0" w:color="auto"/>
                  </w:tcBorders>
                  <w:hideMark/>
                </w:tcPr>
                <w:p w14:paraId="0D9A5F64" w14:textId="77777777" w:rsidR="00151527" w:rsidRPr="00151527" w:rsidRDefault="00151527" w:rsidP="008E1A65">
                  <w:pPr>
                    <w:pStyle w:val="Tabletext"/>
                    <w:rPr>
                      <w:sz w:val="18"/>
                      <w:szCs w:val="18"/>
                    </w:rPr>
                  </w:pPr>
                  <w:r w:rsidRPr="00151527">
                    <w:rPr>
                      <w:sz w:val="18"/>
                      <w:szCs w:val="18"/>
                    </w:rPr>
                    <w:t>5.64</w:t>
                  </w:r>
                </w:p>
              </w:tc>
            </w:tr>
            <w:tr w:rsidR="00151527" w:rsidRPr="00151527" w14:paraId="73844863" w14:textId="77777777" w:rsidTr="008E1A65">
              <w:tc>
                <w:tcPr>
                  <w:tcW w:w="1001" w:type="dxa"/>
                  <w:tcBorders>
                    <w:top w:val="single" w:sz="4" w:space="0" w:color="auto"/>
                    <w:left w:val="single" w:sz="4" w:space="0" w:color="auto"/>
                    <w:bottom w:val="single" w:sz="4" w:space="0" w:color="auto"/>
                    <w:right w:val="single" w:sz="4" w:space="0" w:color="auto"/>
                  </w:tcBorders>
                  <w:hideMark/>
                </w:tcPr>
                <w:p w14:paraId="1929C7E3" w14:textId="77777777" w:rsidR="00151527" w:rsidRPr="00151527" w:rsidRDefault="00151527" w:rsidP="008E1A65">
                  <w:pPr>
                    <w:pStyle w:val="Tabletext"/>
                    <w:rPr>
                      <w:sz w:val="18"/>
                      <w:szCs w:val="18"/>
                    </w:rPr>
                  </w:pPr>
                  <w:r w:rsidRPr="00151527">
                    <w:rPr>
                      <w:sz w:val="18"/>
                      <w:szCs w:val="18"/>
                    </w:rPr>
                    <w:t>Continuing (1</w:t>
                  </w:r>
                  <w:r w:rsidRPr="00151527">
                    <w:rPr>
                      <w:sz w:val="18"/>
                      <w:szCs w:val="18"/>
                      <w:vertAlign w:val="superscript"/>
                    </w:rPr>
                    <w:t>st</w:t>
                  </w:r>
                  <w:r w:rsidRPr="00151527">
                    <w:rPr>
                      <w:sz w:val="18"/>
                      <w:szCs w:val="18"/>
                    </w:rPr>
                    <w:t xml:space="preserve"> year)</w:t>
                  </w:r>
                </w:p>
              </w:tc>
              <w:tc>
                <w:tcPr>
                  <w:tcW w:w="836" w:type="dxa"/>
                  <w:tcBorders>
                    <w:top w:val="single" w:sz="4" w:space="0" w:color="auto"/>
                    <w:left w:val="single" w:sz="4" w:space="0" w:color="auto"/>
                    <w:bottom w:val="single" w:sz="4" w:space="0" w:color="auto"/>
                    <w:right w:val="single" w:sz="4" w:space="0" w:color="auto"/>
                  </w:tcBorders>
                  <w:hideMark/>
                </w:tcPr>
                <w:p w14:paraId="72E61705" w14:textId="77777777" w:rsidR="00151527" w:rsidRPr="00151527" w:rsidRDefault="00151527" w:rsidP="008E1A65">
                  <w:pPr>
                    <w:pStyle w:val="Tabletext"/>
                    <w:rPr>
                      <w:sz w:val="18"/>
                      <w:szCs w:val="18"/>
                    </w:rPr>
                  </w:pPr>
                  <w:r w:rsidRPr="00151527">
                    <w:rPr>
                      <w:sz w:val="18"/>
                      <w:szCs w:val="18"/>
                    </w:rPr>
                    <w:t>28 wks</w:t>
                  </w:r>
                </w:p>
              </w:tc>
              <w:tc>
                <w:tcPr>
                  <w:tcW w:w="1000" w:type="dxa"/>
                  <w:tcBorders>
                    <w:top w:val="single" w:sz="4" w:space="0" w:color="auto"/>
                    <w:left w:val="single" w:sz="4" w:space="0" w:color="auto"/>
                    <w:bottom w:val="single" w:sz="4" w:space="0" w:color="auto"/>
                    <w:right w:val="single" w:sz="4" w:space="0" w:color="auto"/>
                  </w:tcBorders>
                  <w:hideMark/>
                </w:tcPr>
                <w:p w14:paraId="000E0691" w14:textId="77777777" w:rsidR="00151527" w:rsidRPr="00151527" w:rsidRDefault="00151527" w:rsidP="008E1A65">
                  <w:pPr>
                    <w:pStyle w:val="Tabletext"/>
                    <w:rPr>
                      <w:sz w:val="18"/>
                      <w:szCs w:val="18"/>
                    </w:rPr>
                  </w:pPr>
                  <w:r w:rsidRPr="00151527">
                    <w:rPr>
                      <w:sz w:val="18"/>
                      <w:szCs w:val="18"/>
                    </w:rPr>
                    <w:t>0.25</w:t>
                  </w:r>
                </w:p>
              </w:tc>
              <w:tc>
                <w:tcPr>
                  <w:tcW w:w="900" w:type="dxa"/>
                  <w:tcBorders>
                    <w:top w:val="single" w:sz="4" w:space="0" w:color="auto"/>
                    <w:left w:val="single" w:sz="4" w:space="0" w:color="auto"/>
                    <w:bottom w:val="single" w:sz="4" w:space="0" w:color="auto"/>
                    <w:right w:val="single" w:sz="4" w:space="0" w:color="auto"/>
                  </w:tcBorders>
                  <w:hideMark/>
                </w:tcPr>
                <w:p w14:paraId="351EA3F2" w14:textId="77777777" w:rsidR="00151527" w:rsidRPr="00151527" w:rsidRDefault="00151527" w:rsidP="008E1A65">
                  <w:pPr>
                    <w:pStyle w:val="Tabletext"/>
                    <w:rPr>
                      <w:sz w:val="18"/>
                      <w:szCs w:val="18"/>
                    </w:rPr>
                  </w:pPr>
                  <w:r w:rsidRPr="00151527">
                    <w:rPr>
                      <w:sz w:val="18"/>
                      <w:szCs w:val="18"/>
                    </w:rPr>
                    <w:t>5.64</w:t>
                  </w:r>
                </w:p>
              </w:tc>
            </w:tr>
            <w:tr w:rsidR="00151527" w:rsidRPr="00151527" w14:paraId="2906757B" w14:textId="77777777" w:rsidTr="008E1A65">
              <w:tc>
                <w:tcPr>
                  <w:tcW w:w="1001" w:type="dxa"/>
                  <w:tcBorders>
                    <w:top w:val="single" w:sz="4" w:space="0" w:color="auto"/>
                    <w:left w:val="single" w:sz="4" w:space="0" w:color="auto"/>
                    <w:bottom w:val="single" w:sz="4" w:space="0" w:color="auto"/>
                    <w:right w:val="single" w:sz="4" w:space="0" w:color="auto"/>
                  </w:tcBorders>
                  <w:hideMark/>
                </w:tcPr>
                <w:p w14:paraId="34DA04C3" w14:textId="77777777" w:rsidR="00151527" w:rsidRPr="00151527" w:rsidRDefault="00151527" w:rsidP="008E1A65">
                  <w:pPr>
                    <w:pStyle w:val="Tabletext"/>
                    <w:rPr>
                      <w:sz w:val="18"/>
                      <w:szCs w:val="18"/>
                    </w:rPr>
                  </w:pPr>
                  <w:r w:rsidRPr="00151527">
                    <w:rPr>
                      <w:sz w:val="18"/>
                      <w:szCs w:val="18"/>
                    </w:rPr>
                    <w:t>Continuing</w:t>
                  </w:r>
                </w:p>
              </w:tc>
              <w:tc>
                <w:tcPr>
                  <w:tcW w:w="836" w:type="dxa"/>
                  <w:tcBorders>
                    <w:top w:val="single" w:sz="4" w:space="0" w:color="auto"/>
                    <w:left w:val="single" w:sz="4" w:space="0" w:color="auto"/>
                    <w:bottom w:val="single" w:sz="4" w:space="0" w:color="auto"/>
                    <w:right w:val="single" w:sz="4" w:space="0" w:color="auto"/>
                  </w:tcBorders>
                  <w:hideMark/>
                </w:tcPr>
                <w:p w14:paraId="2AF57DFD" w14:textId="77777777" w:rsidR="00151527" w:rsidRPr="00151527" w:rsidRDefault="00151527" w:rsidP="008E1A65">
                  <w:pPr>
                    <w:pStyle w:val="Tabletext"/>
                    <w:rPr>
                      <w:sz w:val="18"/>
                      <w:szCs w:val="18"/>
                    </w:rPr>
                  </w:pPr>
                  <w:r w:rsidRPr="00151527">
                    <w:rPr>
                      <w:sz w:val="18"/>
                      <w:szCs w:val="18"/>
                    </w:rPr>
                    <w:t>52 wks</w:t>
                  </w:r>
                </w:p>
              </w:tc>
              <w:tc>
                <w:tcPr>
                  <w:tcW w:w="1000" w:type="dxa"/>
                  <w:tcBorders>
                    <w:top w:val="single" w:sz="4" w:space="0" w:color="auto"/>
                    <w:left w:val="single" w:sz="4" w:space="0" w:color="auto"/>
                    <w:bottom w:val="single" w:sz="4" w:space="0" w:color="auto"/>
                    <w:right w:val="single" w:sz="4" w:space="0" w:color="auto"/>
                  </w:tcBorders>
                  <w:hideMark/>
                </w:tcPr>
                <w:p w14:paraId="26EF21E3" w14:textId="77777777" w:rsidR="00151527" w:rsidRPr="00151527" w:rsidRDefault="00151527" w:rsidP="008E1A65">
                  <w:pPr>
                    <w:pStyle w:val="Tabletext"/>
                    <w:rPr>
                      <w:sz w:val="18"/>
                      <w:szCs w:val="18"/>
                    </w:rPr>
                  </w:pPr>
                  <w:r w:rsidRPr="00151527">
                    <w:rPr>
                      <w:sz w:val="18"/>
                      <w:szCs w:val="18"/>
                    </w:rPr>
                    <w:t>0.25</w:t>
                  </w:r>
                </w:p>
              </w:tc>
              <w:tc>
                <w:tcPr>
                  <w:tcW w:w="900" w:type="dxa"/>
                  <w:tcBorders>
                    <w:top w:val="single" w:sz="4" w:space="0" w:color="auto"/>
                    <w:left w:val="single" w:sz="4" w:space="0" w:color="auto"/>
                    <w:bottom w:val="single" w:sz="4" w:space="0" w:color="auto"/>
                    <w:right w:val="single" w:sz="4" w:space="0" w:color="auto"/>
                  </w:tcBorders>
                  <w:hideMark/>
                </w:tcPr>
                <w:p w14:paraId="3EF3C62D" w14:textId="77777777" w:rsidR="00151527" w:rsidRPr="00151527" w:rsidRDefault="00151527" w:rsidP="008E1A65">
                  <w:pPr>
                    <w:pStyle w:val="Tabletext"/>
                    <w:rPr>
                      <w:sz w:val="18"/>
                      <w:szCs w:val="18"/>
                    </w:rPr>
                  </w:pPr>
                  <w:r w:rsidRPr="00151527">
                    <w:rPr>
                      <w:sz w:val="18"/>
                      <w:szCs w:val="18"/>
                    </w:rPr>
                    <w:t>12.26</w:t>
                  </w:r>
                </w:p>
              </w:tc>
            </w:tr>
          </w:tbl>
          <w:p w14:paraId="77D5ADF2" w14:textId="77777777" w:rsidR="00151527" w:rsidRPr="00894575" w:rsidRDefault="00151527" w:rsidP="008E1A65">
            <w:pPr>
              <w:pStyle w:val="Tabletext"/>
              <w:rPr>
                <w:i/>
              </w:rPr>
            </w:pPr>
            <w:r w:rsidRPr="00151527">
              <w:t>Population split of 100% should be used given the number of patients were already grouped appropriately.</w:t>
            </w:r>
            <w:r w:rsidRPr="00894575">
              <w:rPr>
                <w:i/>
              </w:rPr>
              <w:t xml:space="preserve"> </w:t>
            </w:r>
          </w:p>
        </w:tc>
        <w:tc>
          <w:tcPr>
            <w:tcW w:w="4790" w:type="dxa"/>
            <w:tcBorders>
              <w:top w:val="single" w:sz="4" w:space="0" w:color="auto"/>
              <w:left w:val="single" w:sz="4" w:space="0" w:color="auto"/>
              <w:bottom w:val="single" w:sz="4" w:space="0" w:color="auto"/>
              <w:right w:val="single" w:sz="4" w:space="0" w:color="auto"/>
            </w:tcBorders>
            <w:vAlign w:val="center"/>
          </w:tcPr>
          <w:p w14:paraId="5B7F1AF1" w14:textId="77777777" w:rsidR="00151527" w:rsidRPr="00151527" w:rsidRDefault="00151527" w:rsidP="008E1A65">
            <w:pPr>
              <w:pStyle w:val="Tabletext"/>
            </w:pPr>
            <w:r w:rsidRPr="00151527">
              <w:t>The compliance rate used was inconsistent with the economic model which did not appear to consider compliance (i.e. 100% compliance assumed).</w:t>
            </w:r>
          </w:p>
          <w:p w14:paraId="36397D79" w14:textId="77777777" w:rsidR="00151527" w:rsidRPr="00151527" w:rsidRDefault="00151527" w:rsidP="008E1A65">
            <w:pPr>
              <w:pStyle w:val="Tabletext"/>
            </w:pPr>
          </w:p>
          <w:p w14:paraId="568F5057" w14:textId="77777777" w:rsidR="00151527" w:rsidRPr="00151527" w:rsidRDefault="00151527" w:rsidP="008E1A65">
            <w:pPr>
              <w:pStyle w:val="Tabletext"/>
            </w:pPr>
            <w:r w:rsidRPr="00151527">
              <w:t>The submission claimed the treatment duration for initiating patients was 6 months (even though 3 months was applied in the financial model) and 72 months for continuing patients. The treatment duration for initiating patients was inconsistent with the requested restriction for initial patients which would be sufficient for 24 weeks (24/52=0.46 years). It appeared the duration of treatment of 6 years for continuing patients was aligned to the lifelong treatment of mepolizumab.</w:t>
            </w:r>
          </w:p>
        </w:tc>
      </w:tr>
      <w:tr w:rsidR="00151527" w:rsidRPr="00894575" w14:paraId="3A16FE22" w14:textId="77777777" w:rsidTr="00015CFB">
        <w:tc>
          <w:tcPr>
            <w:tcW w:w="1812" w:type="dxa"/>
            <w:tcBorders>
              <w:top w:val="single" w:sz="4" w:space="0" w:color="auto"/>
              <w:left w:val="single" w:sz="4" w:space="0" w:color="auto"/>
              <w:bottom w:val="single" w:sz="4" w:space="0" w:color="auto"/>
              <w:right w:val="single" w:sz="4" w:space="0" w:color="auto"/>
            </w:tcBorders>
            <w:vAlign w:val="center"/>
            <w:hideMark/>
          </w:tcPr>
          <w:p w14:paraId="40F260E5" w14:textId="77777777" w:rsidR="00151527" w:rsidRPr="00894575" w:rsidRDefault="00151527" w:rsidP="008E1A65">
            <w:pPr>
              <w:pStyle w:val="Tabletext"/>
            </w:pPr>
            <w:r w:rsidRPr="00894575">
              <w:t>Setting – public/private split</w:t>
            </w:r>
          </w:p>
        </w:tc>
        <w:tc>
          <w:tcPr>
            <w:tcW w:w="2578" w:type="dxa"/>
            <w:tcBorders>
              <w:top w:val="single" w:sz="4" w:space="0" w:color="auto"/>
              <w:left w:val="single" w:sz="4" w:space="0" w:color="auto"/>
              <w:bottom w:val="single" w:sz="4" w:space="0" w:color="auto"/>
              <w:right w:val="single" w:sz="4" w:space="0" w:color="auto"/>
            </w:tcBorders>
            <w:vAlign w:val="center"/>
            <w:hideMark/>
          </w:tcPr>
          <w:p w14:paraId="2D7C0C3B" w14:textId="77777777" w:rsidR="00151527" w:rsidRPr="00894575" w:rsidRDefault="00151527" w:rsidP="008E1A65">
            <w:pPr>
              <w:pStyle w:val="Tabletext"/>
            </w:pPr>
            <w:r w:rsidRPr="00894575">
              <w:t>Public: 69.63%</w:t>
            </w:r>
          </w:p>
          <w:p w14:paraId="0AEE0183" w14:textId="77777777" w:rsidR="00151527" w:rsidRPr="00894575" w:rsidRDefault="00151527" w:rsidP="008E1A65">
            <w:pPr>
              <w:pStyle w:val="Tabletext"/>
            </w:pPr>
            <w:r w:rsidRPr="00894575">
              <w:t>Private: 30.37%</w:t>
            </w:r>
          </w:p>
          <w:p w14:paraId="67BCBC67" w14:textId="77777777" w:rsidR="00151527" w:rsidRPr="00894575" w:rsidRDefault="00151527" w:rsidP="008E1A65">
            <w:pPr>
              <w:pStyle w:val="Tabletext"/>
            </w:pPr>
            <w:r w:rsidRPr="00894575">
              <w:t xml:space="preserve">Source: PBS dispensing data for mepolizumab item codes for severe eosinophilic asthma dispensed over the 12-month period from Jan 2020-Dec 2020. </w:t>
            </w:r>
          </w:p>
        </w:tc>
        <w:tc>
          <w:tcPr>
            <w:tcW w:w="4790" w:type="dxa"/>
            <w:tcBorders>
              <w:top w:val="single" w:sz="4" w:space="0" w:color="auto"/>
              <w:left w:val="single" w:sz="4" w:space="0" w:color="auto"/>
              <w:bottom w:val="single" w:sz="4" w:space="0" w:color="auto"/>
              <w:right w:val="single" w:sz="4" w:space="0" w:color="auto"/>
            </w:tcBorders>
            <w:vAlign w:val="center"/>
            <w:hideMark/>
          </w:tcPr>
          <w:p w14:paraId="4E94B600" w14:textId="77777777" w:rsidR="00151527" w:rsidRPr="00151527" w:rsidRDefault="00151527" w:rsidP="008E1A65">
            <w:pPr>
              <w:pStyle w:val="Tabletext"/>
            </w:pPr>
            <w:r w:rsidRPr="00151527">
              <w:t>Reasonable. It appeared 2 item codes used (12073K and 12030E) were no longer on the current PBS schedule.</w:t>
            </w:r>
          </w:p>
        </w:tc>
      </w:tr>
    </w:tbl>
    <w:p w14:paraId="1F2039EB" w14:textId="77777777" w:rsidR="00151527" w:rsidRPr="00894575" w:rsidRDefault="00151527" w:rsidP="00151527">
      <w:pPr>
        <w:pStyle w:val="TableFooter"/>
      </w:pPr>
      <w:r w:rsidRPr="00894575">
        <w:t>Source: Tables 4-2, 4-4, 4-6, 4-8, 4-14 &amp; 4-15, pp 156,157,159,160, 163 &amp;164 of the submission.</w:t>
      </w:r>
    </w:p>
    <w:p w14:paraId="325A9E80" w14:textId="77777777" w:rsidR="00151527" w:rsidRPr="00894575" w:rsidRDefault="00151527" w:rsidP="00151527">
      <w:pPr>
        <w:pStyle w:val="TableFooter"/>
        <w:rPr>
          <w:sz w:val="20"/>
        </w:rPr>
      </w:pPr>
      <w:r w:rsidRPr="00894575">
        <w:t>BEC= blood eosinophil count; CT= computed tomography; NP= nasal polyps; ENP= endoscopic nasal polyp; NO-VAS= nasal obstruction-visual analogue scale; MBS= Medicare benefits schedule; PBS= pharmaceutical benefits scheme; SoC= standard of care.</w:t>
      </w:r>
    </w:p>
    <w:p w14:paraId="597F5BD5" w14:textId="77777777" w:rsidR="00151527" w:rsidRPr="00894575" w:rsidRDefault="00151527" w:rsidP="00151527">
      <w:pPr>
        <w:widowControl/>
      </w:pPr>
    </w:p>
    <w:p w14:paraId="05F2D13A" w14:textId="361FDAB9" w:rsidR="00151527" w:rsidRPr="00151527" w:rsidRDefault="00151527" w:rsidP="00993730">
      <w:pPr>
        <w:pStyle w:val="ListParagraph"/>
        <w:widowControl/>
        <w:numPr>
          <w:ilvl w:val="1"/>
          <w:numId w:val="2"/>
        </w:numPr>
        <w:rPr>
          <w:iCs/>
        </w:rPr>
      </w:pPr>
      <w:r w:rsidRPr="00151527">
        <w:rPr>
          <w:iCs/>
        </w:rPr>
        <w:t>The financial model did not account for patients who may have had surgery whilst on mepolizumab treatment. This was inconsistent with the economic model, where those who received surgery were regarded as non-responders and removed from mepolizumab treatment. The financial model also assumed that the 70% response rate at Week 24 was maintained throughout the treatment duration by all patients and did not consider the potential loss of response at Week 52 (87% of responders at Week 24 maintained response at Week 52 in SYNAPSE) which was applied in the economic model (where maintenance of response was assumed from Week</w:t>
      </w:r>
      <w:r w:rsidR="00755ABF">
        <w:rPr>
          <w:iCs/>
        </w:rPr>
        <w:t> </w:t>
      </w:r>
      <w:r w:rsidRPr="00151527">
        <w:rPr>
          <w:iCs/>
        </w:rPr>
        <w:t>52</w:t>
      </w:r>
      <w:r w:rsidR="00755ABF">
        <w:rPr>
          <w:iCs/>
        </w:rPr>
        <w:t> </w:t>
      </w:r>
      <w:r w:rsidRPr="00151527">
        <w:rPr>
          <w:iCs/>
        </w:rPr>
        <w:t>onwards). This may have led to an overestimation of the number of patients in the financial model.</w:t>
      </w:r>
    </w:p>
    <w:p w14:paraId="4F513F30" w14:textId="77777777" w:rsidR="00151527" w:rsidRPr="00151527" w:rsidRDefault="00151527" w:rsidP="00151527">
      <w:pPr>
        <w:pStyle w:val="ListParagraph"/>
        <w:widowControl/>
        <w:numPr>
          <w:ilvl w:val="1"/>
          <w:numId w:val="2"/>
        </w:numPr>
      </w:pPr>
      <w:bookmarkStart w:id="38" w:name="_Ref82169932"/>
      <w:r w:rsidRPr="00151527">
        <w:t>The submission’s use of i) the proportion of patients with CRSwNP who would see a specialist (35%) along with proportion who require NP surgery (61%) and ii) proportion who experience NP regrowth post-surgical removal (61%) as well as proportion with prior surgery who have a high level of symptoms (45%) to estimate eligible patients likely included some double counting which resulted in an underestimate of the number of eligible patients. Further, an incorrect number of scripts was used by the submission in their calculation of mepolizumab scripts required (3.07 scripts per year used in the submission compared to 6.07 scripts per year required). This led to an underestimation of mepolizumab scripts and an underestimation of the resulting costs. This error was rectified during the evaluation.</w:t>
      </w:r>
      <w:bookmarkEnd w:id="38"/>
    </w:p>
    <w:p w14:paraId="7AF1F936" w14:textId="77777777" w:rsidR="00151527" w:rsidRPr="00894575" w:rsidRDefault="00151527" w:rsidP="00151527">
      <w:pPr>
        <w:pStyle w:val="ListParagraph"/>
        <w:widowControl/>
        <w:numPr>
          <w:ilvl w:val="1"/>
          <w:numId w:val="2"/>
        </w:numPr>
      </w:pPr>
      <w:r w:rsidRPr="00FD3325">
        <w:t>The estimated financial impact of PBS listing mepolizumab</w:t>
      </w:r>
      <w:r w:rsidRPr="00894575">
        <w:t xml:space="preserve"> is summarised in </w:t>
      </w:r>
      <w:r w:rsidR="0020510D" w:rsidRPr="0020510D">
        <w:t>Table 17</w:t>
      </w:r>
      <w:r w:rsidRPr="00894575">
        <w:t>.</w:t>
      </w:r>
    </w:p>
    <w:p w14:paraId="2FF29896" w14:textId="77777777" w:rsidR="00151527" w:rsidRPr="00894575" w:rsidRDefault="00151527" w:rsidP="00151527">
      <w:pPr>
        <w:keepNext/>
        <w:keepLines/>
        <w:widowControl/>
        <w:rPr>
          <w:rFonts w:ascii="Arial Narrow" w:hAnsi="Arial Narrow"/>
          <w:b/>
          <w:sz w:val="20"/>
          <w:szCs w:val="16"/>
        </w:rPr>
      </w:pPr>
      <w:bookmarkStart w:id="39" w:name="_Ref80580454"/>
      <w:r w:rsidRPr="00894575">
        <w:rPr>
          <w:rStyle w:val="CommentReference"/>
        </w:rPr>
        <w:t xml:space="preserve">Table </w:t>
      </w:r>
      <w:r w:rsidR="0020510D">
        <w:rPr>
          <w:rStyle w:val="CommentReference"/>
          <w:noProof/>
        </w:rPr>
        <w:t>17</w:t>
      </w:r>
      <w:bookmarkEnd w:id="39"/>
      <w:r w:rsidRPr="00894575">
        <w:rPr>
          <w:rStyle w:val="CommentReference"/>
        </w:rPr>
        <w:t xml:space="preserve">: Estimated use and financial implications of the proposed mepolizumab listing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2"/>
        <w:gridCol w:w="1134"/>
        <w:gridCol w:w="1308"/>
        <w:gridCol w:w="1239"/>
        <w:gridCol w:w="1171"/>
        <w:gridCol w:w="1243"/>
        <w:gridCol w:w="1276"/>
      </w:tblGrid>
      <w:tr w:rsidR="00151527" w:rsidRPr="00894575" w14:paraId="106172C2" w14:textId="77777777" w:rsidTr="00C51BC1">
        <w:trPr>
          <w:tblHeader/>
        </w:trPr>
        <w:tc>
          <w:tcPr>
            <w:tcW w:w="2122" w:type="dxa"/>
            <w:tcBorders>
              <w:top w:val="single" w:sz="4" w:space="0" w:color="auto"/>
              <w:left w:val="single" w:sz="4" w:space="0" w:color="auto"/>
              <w:bottom w:val="single" w:sz="4" w:space="0" w:color="auto"/>
              <w:right w:val="single" w:sz="4" w:space="0" w:color="auto"/>
            </w:tcBorders>
            <w:vAlign w:val="center"/>
          </w:tcPr>
          <w:p w14:paraId="08D471A9" w14:textId="77777777" w:rsidR="00151527" w:rsidRPr="00894575" w:rsidRDefault="00151527" w:rsidP="008E1A65">
            <w:pPr>
              <w:pStyle w:val="Tabletext"/>
              <w:keepNext/>
              <w:keepLines/>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9191897" w14:textId="77777777" w:rsidR="00151527" w:rsidRPr="00894575" w:rsidRDefault="00151527" w:rsidP="008E1A65">
            <w:pPr>
              <w:pStyle w:val="Tabletext"/>
              <w:keepNext/>
              <w:keepLines/>
              <w:jc w:val="center"/>
              <w:rPr>
                <w:b/>
              </w:rPr>
            </w:pPr>
            <w:r w:rsidRPr="00894575">
              <w:rPr>
                <w:b/>
              </w:rPr>
              <w:t>Year 1</w:t>
            </w:r>
          </w:p>
        </w:tc>
        <w:tc>
          <w:tcPr>
            <w:tcW w:w="1308" w:type="dxa"/>
            <w:tcBorders>
              <w:top w:val="single" w:sz="4" w:space="0" w:color="auto"/>
              <w:left w:val="single" w:sz="4" w:space="0" w:color="auto"/>
              <w:bottom w:val="single" w:sz="4" w:space="0" w:color="auto"/>
              <w:right w:val="single" w:sz="4" w:space="0" w:color="auto"/>
            </w:tcBorders>
            <w:vAlign w:val="center"/>
            <w:hideMark/>
          </w:tcPr>
          <w:p w14:paraId="32D13B8A" w14:textId="77777777" w:rsidR="00151527" w:rsidRPr="00894575" w:rsidRDefault="00151527" w:rsidP="008E1A65">
            <w:pPr>
              <w:pStyle w:val="Tabletext"/>
              <w:keepNext/>
              <w:keepLines/>
              <w:jc w:val="center"/>
              <w:rPr>
                <w:b/>
              </w:rPr>
            </w:pPr>
            <w:r w:rsidRPr="00894575">
              <w:rPr>
                <w:b/>
              </w:rPr>
              <w:t>Year 2</w:t>
            </w:r>
          </w:p>
        </w:tc>
        <w:tc>
          <w:tcPr>
            <w:tcW w:w="1239" w:type="dxa"/>
            <w:tcBorders>
              <w:top w:val="single" w:sz="4" w:space="0" w:color="auto"/>
              <w:left w:val="single" w:sz="4" w:space="0" w:color="auto"/>
              <w:bottom w:val="single" w:sz="4" w:space="0" w:color="auto"/>
              <w:right w:val="single" w:sz="4" w:space="0" w:color="auto"/>
            </w:tcBorders>
            <w:vAlign w:val="center"/>
            <w:hideMark/>
          </w:tcPr>
          <w:p w14:paraId="1FE5D914" w14:textId="77777777" w:rsidR="00151527" w:rsidRPr="00894575" w:rsidRDefault="00151527" w:rsidP="008E1A65">
            <w:pPr>
              <w:pStyle w:val="Tabletext"/>
              <w:keepNext/>
              <w:keepLines/>
              <w:jc w:val="center"/>
              <w:rPr>
                <w:b/>
              </w:rPr>
            </w:pPr>
            <w:r w:rsidRPr="00894575">
              <w:rPr>
                <w:b/>
              </w:rPr>
              <w:t>Year 3</w:t>
            </w:r>
          </w:p>
        </w:tc>
        <w:tc>
          <w:tcPr>
            <w:tcW w:w="1171" w:type="dxa"/>
            <w:tcBorders>
              <w:top w:val="single" w:sz="4" w:space="0" w:color="auto"/>
              <w:left w:val="single" w:sz="4" w:space="0" w:color="auto"/>
              <w:bottom w:val="single" w:sz="4" w:space="0" w:color="auto"/>
              <w:right w:val="single" w:sz="4" w:space="0" w:color="auto"/>
            </w:tcBorders>
            <w:vAlign w:val="center"/>
            <w:hideMark/>
          </w:tcPr>
          <w:p w14:paraId="4FC593BB" w14:textId="77777777" w:rsidR="00151527" w:rsidRPr="00894575" w:rsidRDefault="00151527" w:rsidP="008E1A65">
            <w:pPr>
              <w:pStyle w:val="Tabletext"/>
              <w:keepNext/>
              <w:keepLines/>
              <w:jc w:val="center"/>
              <w:rPr>
                <w:b/>
              </w:rPr>
            </w:pPr>
            <w:r w:rsidRPr="00894575">
              <w:rPr>
                <w:b/>
              </w:rPr>
              <w:t>Year 4</w:t>
            </w:r>
          </w:p>
        </w:tc>
        <w:tc>
          <w:tcPr>
            <w:tcW w:w="1243" w:type="dxa"/>
            <w:tcBorders>
              <w:top w:val="single" w:sz="4" w:space="0" w:color="auto"/>
              <w:left w:val="single" w:sz="4" w:space="0" w:color="auto"/>
              <w:bottom w:val="single" w:sz="4" w:space="0" w:color="auto"/>
              <w:right w:val="single" w:sz="4" w:space="0" w:color="auto"/>
            </w:tcBorders>
            <w:vAlign w:val="center"/>
            <w:hideMark/>
          </w:tcPr>
          <w:p w14:paraId="69C14100" w14:textId="77777777" w:rsidR="00151527" w:rsidRPr="00894575" w:rsidRDefault="00151527" w:rsidP="008E1A65">
            <w:pPr>
              <w:pStyle w:val="Tabletext"/>
              <w:keepNext/>
              <w:keepLines/>
              <w:jc w:val="center"/>
              <w:rPr>
                <w:b/>
              </w:rPr>
            </w:pPr>
            <w:r w:rsidRPr="00894575">
              <w:rPr>
                <w:b/>
              </w:rPr>
              <w:t>Year 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E79590" w14:textId="77777777" w:rsidR="00151527" w:rsidRPr="00894575" w:rsidRDefault="00151527" w:rsidP="008E1A65">
            <w:pPr>
              <w:pStyle w:val="Tabletext"/>
              <w:keepNext/>
              <w:keepLines/>
              <w:jc w:val="center"/>
              <w:rPr>
                <w:b/>
              </w:rPr>
            </w:pPr>
            <w:r w:rsidRPr="00894575">
              <w:rPr>
                <w:b/>
              </w:rPr>
              <w:t>Year 6</w:t>
            </w:r>
          </w:p>
        </w:tc>
      </w:tr>
      <w:tr w:rsidR="00151527" w:rsidRPr="00894575" w14:paraId="78357E92" w14:textId="77777777" w:rsidTr="00C51BC1">
        <w:tc>
          <w:tcPr>
            <w:tcW w:w="2122" w:type="dxa"/>
            <w:tcBorders>
              <w:top w:val="single" w:sz="4" w:space="0" w:color="auto"/>
              <w:left w:val="single" w:sz="4" w:space="0" w:color="auto"/>
              <w:bottom w:val="single" w:sz="4" w:space="0" w:color="auto"/>
              <w:right w:val="single" w:sz="4" w:space="0" w:color="auto"/>
            </w:tcBorders>
            <w:vAlign w:val="center"/>
            <w:hideMark/>
          </w:tcPr>
          <w:p w14:paraId="057C2DDC" w14:textId="77777777" w:rsidR="00151527" w:rsidRPr="00894575" w:rsidRDefault="00151527" w:rsidP="008E1A65">
            <w:pPr>
              <w:pStyle w:val="Tabletext"/>
              <w:keepNext/>
              <w:keepLines/>
            </w:pPr>
            <w:r w:rsidRPr="00894575">
              <w:t>Australian pop ≥18 years of age</w:t>
            </w:r>
          </w:p>
        </w:tc>
        <w:tc>
          <w:tcPr>
            <w:tcW w:w="1134" w:type="dxa"/>
            <w:tcBorders>
              <w:top w:val="single" w:sz="4" w:space="0" w:color="auto"/>
              <w:left w:val="single" w:sz="4" w:space="0" w:color="auto"/>
              <w:bottom w:val="single" w:sz="4" w:space="0" w:color="auto"/>
              <w:right w:val="single" w:sz="4" w:space="0" w:color="auto"/>
            </w:tcBorders>
            <w:hideMark/>
          </w:tcPr>
          <w:p w14:paraId="07F7F8F0" w14:textId="77777777" w:rsidR="00151527" w:rsidRPr="00DD78A9" w:rsidRDefault="00DD78A9" w:rsidP="008E1A65">
            <w:pPr>
              <w:pStyle w:val="Tabletext"/>
              <w:keepNext/>
              <w:keepLines/>
              <w:jc w:val="center"/>
            </w:pPr>
            <w:r>
              <w:rPr>
                <w:noProof/>
                <w:color w:val="000000"/>
                <w:highlight w:val="black"/>
              </w:rPr>
              <w:t>''''''''''''''''''''''''''</w:t>
            </w:r>
            <w:r w:rsidR="00264BA6">
              <w:rPr>
                <w:vertAlign w:val="superscript"/>
              </w:rPr>
              <w:t>1</w:t>
            </w:r>
          </w:p>
        </w:tc>
        <w:tc>
          <w:tcPr>
            <w:tcW w:w="1308" w:type="dxa"/>
            <w:tcBorders>
              <w:top w:val="single" w:sz="4" w:space="0" w:color="auto"/>
              <w:left w:val="single" w:sz="4" w:space="0" w:color="auto"/>
              <w:bottom w:val="single" w:sz="4" w:space="0" w:color="auto"/>
              <w:right w:val="single" w:sz="4" w:space="0" w:color="auto"/>
            </w:tcBorders>
            <w:hideMark/>
          </w:tcPr>
          <w:p w14:paraId="4F15C283" w14:textId="77777777" w:rsidR="00151527" w:rsidRPr="00DD78A9" w:rsidRDefault="00DD78A9" w:rsidP="008E1A65">
            <w:pPr>
              <w:pStyle w:val="Tabletext"/>
              <w:keepNext/>
              <w:keepLines/>
              <w:jc w:val="center"/>
            </w:pPr>
            <w:r>
              <w:rPr>
                <w:noProof/>
                <w:color w:val="000000"/>
                <w:highlight w:val="black"/>
              </w:rPr>
              <w:t>''''''''''''''''''''''''</w:t>
            </w:r>
            <w:r w:rsidR="00264BA6">
              <w:rPr>
                <w:vertAlign w:val="superscript"/>
              </w:rPr>
              <w:t>1</w:t>
            </w:r>
          </w:p>
        </w:tc>
        <w:tc>
          <w:tcPr>
            <w:tcW w:w="1239" w:type="dxa"/>
            <w:tcBorders>
              <w:top w:val="single" w:sz="4" w:space="0" w:color="auto"/>
              <w:left w:val="single" w:sz="4" w:space="0" w:color="auto"/>
              <w:bottom w:val="single" w:sz="4" w:space="0" w:color="auto"/>
              <w:right w:val="single" w:sz="4" w:space="0" w:color="auto"/>
            </w:tcBorders>
            <w:hideMark/>
          </w:tcPr>
          <w:p w14:paraId="10D405B1" w14:textId="77777777" w:rsidR="00151527" w:rsidRPr="00DD78A9" w:rsidRDefault="00DD78A9" w:rsidP="008E1A65">
            <w:pPr>
              <w:pStyle w:val="Tabletext"/>
              <w:keepNext/>
              <w:keepLines/>
              <w:jc w:val="center"/>
            </w:pPr>
            <w:r>
              <w:rPr>
                <w:noProof/>
                <w:color w:val="000000"/>
                <w:highlight w:val="black"/>
              </w:rPr>
              <w:t>'''''''''''''''''''''''''</w:t>
            </w:r>
            <w:r w:rsidR="00264BA6">
              <w:rPr>
                <w:vertAlign w:val="superscript"/>
              </w:rPr>
              <w:t>1</w:t>
            </w:r>
          </w:p>
        </w:tc>
        <w:tc>
          <w:tcPr>
            <w:tcW w:w="1171" w:type="dxa"/>
            <w:tcBorders>
              <w:top w:val="single" w:sz="4" w:space="0" w:color="auto"/>
              <w:left w:val="single" w:sz="4" w:space="0" w:color="auto"/>
              <w:bottom w:val="single" w:sz="4" w:space="0" w:color="auto"/>
              <w:right w:val="single" w:sz="4" w:space="0" w:color="auto"/>
            </w:tcBorders>
            <w:hideMark/>
          </w:tcPr>
          <w:p w14:paraId="30EB1292" w14:textId="77777777" w:rsidR="00151527" w:rsidRPr="00DD78A9" w:rsidRDefault="00DD78A9" w:rsidP="008E1A65">
            <w:pPr>
              <w:pStyle w:val="Tabletext"/>
              <w:keepNext/>
              <w:keepLines/>
              <w:jc w:val="center"/>
            </w:pPr>
            <w:r>
              <w:rPr>
                <w:noProof/>
                <w:color w:val="000000"/>
                <w:highlight w:val="black"/>
              </w:rPr>
              <w:t>'''''''''''''''''''''''''''''</w:t>
            </w:r>
            <w:r w:rsidR="00264BA6">
              <w:rPr>
                <w:vertAlign w:val="superscript"/>
              </w:rPr>
              <w:t>1</w:t>
            </w:r>
          </w:p>
        </w:tc>
        <w:tc>
          <w:tcPr>
            <w:tcW w:w="1243" w:type="dxa"/>
            <w:tcBorders>
              <w:top w:val="single" w:sz="4" w:space="0" w:color="auto"/>
              <w:left w:val="single" w:sz="4" w:space="0" w:color="auto"/>
              <w:bottom w:val="single" w:sz="4" w:space="0" w:color="auto"/>
              <w:right w:val="single" w:sz="4" w:space="0" w:color="auto"/>
            </w:tcBorders>
            <w:hideMark/>
          </w:tcPr>
          <w:p w14:paraId="45343884" w14:textId="77777777" w:rsidR="00151527" w:rsidRPr="00DD78A9" w:rsidRDefault="00DD78A9" w:rsidP="008E1A65">
            <w:pPr>
              <w:pStyle w:val="Tabletext"/>
              <w:keepNext/>
              <w:keepLines/>
              <w:jc w:val="center"/>
            </w:pPr>
            <w:r>
              <w:rPr>
                <w:noProof/>
                <w:color w:val="000000"/>
                <w:highlight w:val="black"/>
              </w:rPr>
              <w:t>'''''''''''''''''''''''''</w:t>
            </w:r>
            <w:r w:rsidR="00264BA6">
              <w:rPr>
                <w:vertAlign w:val="superscript"/>
              </w:rPr>
              <w:t>1</w:t>
            </w:r>
          </w:p>
        </w:tc>
        <w:tc>
          <w:tcPr>
            <w:tcW w:w="1276" w:type="dxa"/>
            <w:tcBorders>
              <w:top w:val="single" w:sz="4" w:space="0" w:color="auto"/>
              <w:left w:val="single" w:sz="4" w:space="0" w:color="auto"/>
              <w:bottom w:val="single" w:sz="4" w:space="0" w:color="auto"/>
              <w:right w:val="single" w:sz="4" w:space="0" w:color="auto"/>
            </w:tcBorders>
            <w:hideMark/>
          </w:tcPr>
          <w:p w14:paraId="7F68F2BF" w14:textId="77777777" w:rsidR="00151527" w:rsidRPr="00DD78A9" w:rsidRDefault="00DD78A9" w:rsidP="008E1A65">
            <w:pPr>
              <w:pStyle w:val="Tabletext"/>
              <w:keepNext/>
              <w:keepLines/>
              <w:jc w:val="center"/>
            </w:pPr>
            <w:r>
              <w:rPr>
                <w:noProof/>
                <w:color w:val="000000"/>
                <w:highlight w:val="black"/>
              </w:rPr>
              <w:t>''''''''''''''''''''''''''</w:t>
            </w:r>
            <w:r w:rsidR="00264BA6">
              <w:rPr>
                <w:vertAlign w:val="superscript"/>
              </w:rPr>
              <w:t>1</w:t>
            </w:r>
          </w:p>
        </w:tc>
      </w:tr>
      <w:tr w:rsidR="00151527" w:rsidRPr="00894575" w14:paraId="50098043" w14:textId="77777777" w:rsidTr="00C51BC1">
        <w:tc>
          <w:tcPr>
            <w:tcW w:w="2122" w:type="dxa"/>
            <w:tcBorders>
              <w:top w:val="single" w:sz="4" w:space="0" w:color="auto"/>
              <w:left w:val="single" w:sz="4" w:space="0" w:color="auto"/>
              <w:bottom w:val="single" w:sz="4" w:space="0" w:color="auto"/>
              <w:right w:val="single" w:sz="4" w:space="0" w:color="auto"/>
            </w:tcBorders>
            <w:vAlign w:val="center"/>
            <w:hideMark/>
          </w:tcPr>
          <w:p w14:paraId="3745AA8A" w14:textId="77777777" w:rsidR="00151527" w:rsidRPr="00894575" w:rsidRDefault="00151527" w:rsidP="008E1A65">
            <w:pPr>
              <w:pStyle w:val="Tabletext"/>
              <w:keepNext/>
              <w:keepLines/>
            </w:pPr>
            <w:r w:rsidRPr="00894575">
              <w:t>Prevalence of CRS ≥18 years of age (10%)</w:t>
            </w:r>
          </w:p>
        </w:tc>
        <w:tc>
          <w:tcPr>
            <w:tcW w:w="1134" w:type="dxa"/>
            <w:tcBorders>
              <w:top w:val="single" w:sz="4" w:space="0" w:color="auto"/>
              <w:left w:val="single" w:sz="4" w:space="0" w:color="auto"/>
              <w:bottom w:val="single" w:sz="4" w:space="0" w:color="auto"/>
              <w:right w:val="single" w:sz="4" w:space="0" w:color="auto"/>
            </w:tcBorders>
            <w:hideMark/>
          </w:tcPr>
          <w:p w14:paraId="06AC4195" w14:textId="77777777" w:rsidR="00151527" w:rsidRPr="00DD78A9" w:rsidRDefault="00DD78A9" w:rsidP="008E1A65">
            <w:pPr>
              <w:pStyle w:val="Tabletext"/>
              <w:keepNext/>
              <w:keepLines/>
              <w:jc w:val="center"/>
            </w:pPr>
            <w:r>
              <w:rPr>
                <w:noProof/>
                <w:color w:val="000000"/>
                <w:highlight w:val="black"/>
              </w:rPr>
              <w:t>''''''''''''''''''''''</w:t>
            </w:r>
            <w:r w:rsidR="00264BA6">
              <w:rPr>
                <w:vertAlign w:val="superscript"/>
              </w:rPr>
              <w:t>2</w:t>
            </w:r>
          </w:p>
        </w:tc>
        <w:tc>
          <w:tcPr>
            <w:tcW w:w="1308" w:type="dxa"/>
            <w:tcBorders>
              <w:top w:val="single" w:sz="4" w:space="0" w:color="auto"/>
              <w:left w:val="single" w:sz="4" w:space="0" w:color="auto"/>
              <w:bottom w:val="single" w:sz="4" w:space="0" w:color="auto"/>
              <w:right w:val="single" w:sz="4" w:space="0" w:color="auto"/>
            </w:tcBorders>
            <w:hideMark/>
          </w:tcPr>
          <w:p w14:paraId="195CB59E" w14:textId="77777777" w:rsidR="00151527" w:rsidRPr="00DD78A9" w:rsidRDefault="00DD78A9" w:rsidP="008E1A65">
            <w:pPr>
              <w:pStyle w:val="Tabletext"/>
              <w:keepNext/>
              <w:keepLines/>
              <w:jc w:val="center"/>
            </w:pPr>
            <w:r>
              <w:rPr>
                <w:noProof/>
                <w:color w:val="000000"/>
                <w:highlight w:val="black"/>
              </w:rPr>
              <w:t>'''''''''''''''''''''''</w:t>
            </w:r>
            <w:r w:rsidR="00264BA6">
              <w:rPr>
                <w:vertAlign w:val="superscript"/>
              </w:rPr>
              <w:t>2</w:t>
            </w:r>
          </w:p>
        </w:tc>
        <w:tc>
          <w:tcPr>
            <w:tcW w:w="1239" w:type="dxa"/>
            <w:tcBorders>
              <w:top w:val="single" w:sz="4" w:space="0" w:color="auto"/>
              <w:left w:val="single" w:sz="4" w:space="0" w:color="auto"/>
              <w:bottom w:val="single" w:sz="4" w:space="0" w:color="auto"/>
              <w:right w:val="single" w:sz="4" w:space="0" w:color="auto"/>
            </w:tcBorders>
            <w:hideMark/>
          </w:tcPr>
          <w:p w14:paraId="14B022A0" w14:textId="77777777" w:rsidR="00151527" w:rsidRPr="00DD78A9" w:rsidRDefault="00DD78A9" w:rsidP="008E1A65">
            <w:pPr>
              <w:pStyle w:val="Tabletext"/>
              <w:keepNext/>
              <w:keepLines/>
              <w:jc w:val="center"/>
            </w:pPr>
            <w:r>
              <w:rPr>
                <w:noProof/>
                <w:color w:val="000000"/>
                <w:highlight w:val="black"/>
              </w:rPr>
              <w:t>''''''''''''''''''''''</w:t>
            </w:r>
            <w:r w:rsidR="00264BA6">
              <w:rPr>
                <w:vertAlign w:val="superscript"/>
              </w:rPr>
              <w:t>2</w:t>
            </w:r>
          </w:p>
        </w:tc>
        <w:tc>
          <w:tcPr>
            <w:tcW w:w="1171" w:type="dxa"/>
            <w:tcBorders>
              <w:top w:val="single" w:sz="4" w:space="0" w:color="auto"/>
              <w:left w:val="single" w:sz="4" w:space="0" w:color="auto"/>
              <w:bottom w:val="single" w:sz="4" w:space="0" w:color="auto"/>
              <w:right w:val="single" w:sz="4" w:space="0" w:color="auto"/>
            </w:tcBorders>
            <w:hideMark/>
          </w:tcPr>
          <w:p w14:paraId="442D1EC1" w14:textId="77777777" w:rsidR="00151527" w:rsidRPr="00DD78A9" w:rsidRDefault="00DD78A9" w:rsidP="008E1A65">
            <w:pPr>
              <w:pStyle w:val="Tabletext"/>
              <w:keepNext/>
              <w:keepLines/>
              <w:jc w:val="center"/>
            </w:pPr>
            <w:r>
              <w:rPr>
                <w:noProof/>
                <w:color w:val="000000"/>
                <w:highlight w:val="black"/>
              </w:rPr>
              <w:t>'''''''''''''''''''''''</w:t>
            </w:r>
            <w:r w:rsidR="00264BA6">
              <w:rPr>
                <w:vertAlign w:val="superscript"/>
              </w:rPr>
              <w:t>2</w:t>
            </w:r>
          </w:p>
        </w:tc>
        <w:tc>
          <w:tcPr>
            <w:tcW w:w="1243" w:type="dxa"/>
            <w:tcBorders>
              <w:top w:val="single" w:sz="4" w:space="0" w:color="auto"/>
              <w:left w:val="single" w:sz="4" w:space="0" w:color="auto"/>
              <w:bottom w:val="single" w:sz="4" w:space="0" w:color="auto"/>
              <w:right w:val="single" w:sz="4" w:space="0" w:color="auto"/>
            </w:tcBorders>
            <w:hideMark/>
          </w:tcPr>
          <w:p w14:paraId="1201A8A9" w14:textId="77777777" w:rsidR="00151527" w:rsidRPr="00DD78A9" w:rsidRDefault="00DD78A9" w:rsidP="008E1A65">
            <w:pPr>
              <w:pStyle w:val="Tabletext"/>
              <w:keepNext/>
              <w:keepLines/>
              <w:jc w:val="center"/>
            </w:pPr>
            <w:r>
              <w:rPr>
                <w:noProof/>
                <w:color w:val="000000"/>
                <w:highlight w:val="black"/>
              </w:rPr>
              <w:t>'''''''''''''''''''''</w:t>
            </w:r>
            <w:r w:rsidR="00264BA6">
              <w:rPr>
                <w:vertAlign w:val="superscript"/>
              </w:rPr>
              <w:t>2</w:t>
            </w:r>
          </w:p>
        </w:tc>
        <w:tc>
          <w:tcPr>
            <w:tcW w:w="1276" w:type="dxa"/>
            <w:tcBorders>
              <w:top w:val="single" w:sz="4" w:space="0" w:color="auto"/>
              <w:left w:val="single" w:sz="4" w:space="0" w:color="auto"/>
              <w:bottom w:val="single" w:sz="4" w:space="0" w:color="auto"/>
              <w:right w:val="single" w:sz="4" w:space="0" w:color="auto"/>
            </w:tcBorders>
            <w:hideMark/>
          </w:tcPr>
          <w:p w14:paraId="64B00700" w14:textId="77777777" w:rsidR="00151527" w:rsidRPr="00DD78A9" w:rsidRDefault="00DD78A9" w:rsidP="008E1A65">
            <w:pPr>
              <w:pStyle w:val="Tabletext"/>
              <w:keepNext/>
              <w:keepLines/>
              <w:jc w:val="center"/>
            </w:pPr>
            <w:r>
              <w:rPr>
                <w:noProof/>
                <w:color w:val="000000"/>
                <w:highlight w:val="black"/>
              </w:rPr>
              <w:t>''''''''''''''''''''''</w:t>
            </w:r>
            <w:r w:rsidR="00264BA6">
              <w:rPr>
                <w:vertAlign w:val="superscript"/>
              </w:rPr>
              <w:t>2</w:t>
            </w:r>
          </w:p>
        </w:tc>
      </w:tr>
      <w:tr w:rsidR="00151527" w:rsidRPr="00894575" w14:paraId="1D9B0184" w14:textId="77777777" w:rsidTr="00C51BC1">
        <w:tc>
          <w:tcPr>
            <w:tcW w:w="2122" w:type="dxa"/>
            <w:tcBorders>
              <w:top w:val="single" w:sz="4" w:space="0" w:color="auto"/>
              <w:left w:val="single" w:sz="4" w:space="0" w:color="auto"/>
              <w:bottom w:val="single" w:sz="4" w:space="0" w:color="auto"/>
              <w:right w:val="single" w:sz="4" w:space="0" w:color="auto"/>
            </w:tcBorders>
            <w:vAlign w:val="center"/>
            <w:hideMark/>
          </w:tcPr>
          <w:p w14:paraId="178A6E72" w14:textId="77777777" w:rsidR="00151527" w:rsidRPr="00894575" w:rsidRDefault="00151527" w:rsidP="008E1A65">
            <w:pPr>
              <w:pStyle w:val="Tabletext"/>
              <w:keepNext/>
              <w:keepLines/>
            </w:pPr>
            <w:r w:rsidRPr="00894575">
              <w:t>Proportion with CRSwNP (30%)</w:t>
            </w:r>
          </w:p>
        </w:tc>
        <w:tc>
          <w:tcPr>
            <w:tcW w:w="1134" w:type="dxa"/>
            <w:tcBorders>
              <w:top w:val="single" w:sz="4" w:space="0" w:color="auto"/>
              <w:left w:val="single" w:sz="4" w:space="0" w:color="auto"/>
              <w:bottom w:val="single" w:sz="4" w:space="0" w:color="auto"/>
              <w:right w:val="single" w:sz="4" w:space="0" w:color="auto"/>
            </w:tcBorders>
            <w:hideMark/>
          </w:tcPr>
          <w:p w14:paraId="34BBD8AB"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3</w:t>
            </w:r>
          </w:p>
        </w:tc>
        <w:tc>
          <w:tcPr>
            <w:tcW w:w="1308" w:type="dxa"/>
            <w:tcBorders>
              <w:top w:val="single" w:sz="4" w:space="0" w:color="auto"/>
              <w:left w:val="single" w:sz="4" w:space="0" w:color="auto"/>
              <w:bottom w:val="single" w:sz="4" w:space="0" w:color="auto"/>
              <w:right w:val="single" w:sz="4" w:space="0" w:color="auto"/>
            </w:tcBorders>
            <w:hideMark/>
          </w:tcPr>
          <w:p w14:paraId="2573D604"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3</w:t>
            </w:r>
          </w:p>
        </w:tc>
        <w:tc>
          <w:tcPr>
            <w:tcW w:w="1239" w:type="dxa"/>
            <w:tcBorders>
              <w:top w:val="single" w:sz="4" w:space="0" w:color="auto"/>
              <w:left w:val="single" w:sz="4" w:space="0" w:color="auto"/>
              <w:bottom w:val="single" w:sz="4" w:space="0" w:color="auto"/>
              <w:right w:val="single" w:sz="4" w:space="0" w:color="auto"/>
            </w:tcBorders>
            <w:hideMark/>
          </w:tcPr>
          <w:p w14:paraId="67E60C47"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3</w:t>
            </w:r>
          </w:p>
        </w:tc>
        <w:tc>
          <w:tcPr>
            <w:tcW w:w="1171" w:type="dxa"/>
            <w:tcBorders>
              <w:top w:val="single" w:sz="4" w:space="0" w:color="auto"/>
              <w:left w:val="single" w:sz="4" w:space="0" w:color="auto"/>
              <w:bottom w:val="single" w:sz="4" w:space="0" w:color="auto"/>
              <w:right w:val="single" w:sz="4" w:space="0" w:color="auto"/>
            </w:tcBorders>
            <w:hideMark/>
          </w:tcPr>
          <w:p w14:paraId="7F71DBCD"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3</w:t>
            </w:r>
          </w:p>
        </w:tc>
        <w:tc>
          <w:tcPr>
            <w:tcW w:w="1243" w:type="dxa"/>
            <w:tcBorders>
              <w:top w:val="single" w:sz="4" w:space="0" w:color="auto"/>
              <w:left w:val="single" w:sz="4" w:space="0" w:color="auto"/>
              <w:bottom w:val="single" w:sz="4" w:space="0" w:color="auto"/>
              <w:right w:val="single" w:sz="4" w:space="0" w:color="auto"/>
            </w:tcBorders>
            <w:hideMark/>
          </w:tcPr>
          <w:p w14:paraId="4E0A49C6"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3</w:t>
            </w:r>
          </w:p>
        </w:tc>
        <w:tc>
          <w:tcPr>
            <w:tcW w:w="1276" w:type="dxa"/>
            <w:tcBorders>
              <w:top w:val="single" w:sz="4" w:space="0" w:color="auto"/>
              <w:left w:val="single" w:sz="4" w:space="0" w:color="auto"/>
              <w:bottom w:val="single" w:sz="4" w:space="0" w:color="auto"/>
              <w:right w:val="single" w:sz="4" w:space="0" w:color="auto"/>
            </w:tcBorders>
            <w:hideMark/>
          </w:tcPr>
          <w:p w14:paraId="7BBD05F8"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3</w:t>
            </w:r>
          </w:p>
        </w:tc>
      </w:tr>
      <w:tr w:rsidR="00151527" w:rsidRPr="00894575" w14:paraId="61A74295" w14:textId="77777777" w:rsidTr="00C51BC1">
        <w:tc>
          <w:tcPr>
            <w:tcW w:w="2122" w:type="dxa"/>
            <w:tcBorders>
              <w:top w:val="single" w:sz="4" w:space="0" w:color="auto"/>
              <w:left w:val="single" w:sz="4" w:space="0" w:color="auto"/>
              <w:bottom w:val="single" w:sz="4" w:space="0" w:color="auto"/>
              <w:right w:val="single" w:sz="4" w:space="0" w:color="auto"/>
            </w:tcBorders>
            <w:vAlign w:val="center"/>
            <w:hideMark/>
          </w:tcPr>
          <w:p w14:paraId="5E95F9B2" w14:textId="77777777" w:rsidR="00151527" w:rsidRPr="00894575" w:rsidRDefault="00151527" w:rsidP="008E1A65">
            <w:pPr>
              <w:pStyle w:val="Tabletext"/>
              <w:keepNext/>
              <w:keepLines/>
            </w:pPr>
            <w:r w:rsidRPr="00894575">
              <w:t xml:space="preserve">Patients eligible for NP surgery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990C36"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4</w:t>
            </w:r>
          </w:p>
        </w:tc>
        <w:tc>
          <w:tcPr>
            <w:tcW w:w="1308" w:type="dxa"/>
            <w:tcBorders>
              <w:top w:val="single" w:sz="4" w:space="0" w:color="auto"/>
              <w:left w:val="single" w:sz="4" w:space="0" w:color="auto"/>
              <w:bottom w:val="single" w:sz="4" w:space="0" w:color="auto"/>
              <w:right w:val="single" w:sz="4" w:space="0" w:color="auto"/>
            </w:tcBorders>
            <w:vAlign w:val="center"/>
            <w:hideMark/>
          </w:tcPr>
          <w:p w14:paraId="1C7658B3"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4</w:t>
            </w:r>
          </w:p>
        </w:tc>
        <w:tc>
          <w:tcPr>
            <w:tcW w:w="1239" w:type="dxa"/>
            <w:tcBorders>
              <w:top w:val="single" w:sz="4" w:space="0" w:color="auto"/>
              <w:left w:val="single" w:sz="4" w:space="0" w:color="auto"/>
              <w:bottom w:val="single" w:sz="4" w:space="0" w:color="auto"/>
              <w:right w:val="single" w:sz="4" w:space="0" w:color="auto"/>
            </w:tcBorders>
            <w:vAlign w:val="center"/>
            <w:hideMark/>
          </w:tcPr>
          <w:p w14:paraId="03357FC8"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4</w:t>
            </w:r>
          </w:p>
        </w:tc>
        <w:tc>
          <w:tcPr>
            <w:tcW w:w="1171" w:type="dxa"/>
            <w:tcBorders>
              <w:top w:val="single" w:sz="4" w:space="0" w:color="auto"/>
              <w:left w:val="single" w:sz="4" w:space="0" w:color="auto"/>
              <w:bottom w:val="single" w:sz="4" w:space="0" w:color="auto"/>
              <w:right w:val="single" w:sz="4" w:space="0" w:color="auto"/>
            </w:tcBorders>
            <w:vAlign w:val="center"/>
            <w:hideMark/>
          </w:tcPr>
          <w:p w14:paraId="3673CA56"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4</w:t>
            </w:r>
          </w:p>
        </w:tc>
        <w:tc>
          <w:tcPr>
            <w:tcW w:w="1243" w:type="dxa"/>
            <w:tcBorders>
              <w:top w:val="single" w:sz="4" w:space="0" w:color="auto"/>
              <w:left w:val="single" w:sz="4" w:space="0" w:color="auto"/>
              <w:bottom w:val="single" w:sz="4" w:space="0" w:color="auto"/>
              <w:right w:val="single" w:sz="4" w:space="0" w:color="auto"/>
            </w:tcBorders>
            <w:vAlign w:val="center"/>
            <w:hideMark/>
          </w:tcPr>
          <w:p w14:paraId="1326254E"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71E692"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4</w:t>
            </w:r>
          </w:p>
        </w:tc>
      </w:tr>
      <w:tr w:rsidR="00151527" w:rsidRPr="00894575" w14:paraId="17C75B1E" w14:textId="77777777" w:rsidTr="00C51BC1">
        <w:tc>
          <w:tcPr>
            <w:tcW w:w="2122" w:type="dxa"/>
            <w:tcBorders>
              <w:top w:val="single" w:sz="4" w:space="0" w:color="auto"/>
              <w:left w:val="single" w:sz="4" w:space="0" w:color="auto"/>
              <w:bottom w:val="single" w:sz="4" w:space="0" w:color="auto"/>
              <w:right w:val="single" w:sz="4" w:space="0" w:color="auto"/>
            </w:tcBorders>
            <w:vAlign w:val="center"/>
            <w:hideMark/>
          </w:tcPr>
          <w:p w14:paraId="68B23C45" w14:textId="77777777" w:rsidR="00151527" w:rsidRPr="00894575" w:rsidRDefault="00151527" w:rsidP="008E1A65">
            <w:pPr>
              <w:pStyle w:val="Tabletext"/>
              <w:keepNext/>
              <w:keepLines/>
            </w:pPr>
            <w:r w:rsidRPr="00894575">
              <w:t xml:space="preserve">Patients ineligible for NP surgery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BF23B9"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5</w:t>
            </w:r>
          </w:p>
        </w:tc>
        <w:tc>
          <w:tcPr>
            <w:tcW w:w="1308" w:type="dxa"/>
            <w:tcBorders>
              <w:top w:val="single" w:sz="4" w:space="0" w:color="auto"/>
              <w:left w:val="single" w:sz="4" w:space="0" w:color="auto"/>
              <w:bottom w:val="single" w:sz="4" w:space="0" w:color="auto"/>
              <w:right w:val="single" w:sz="4" w:space="0" w:color="auto"/>
            </w:tcBorders>
            <w:vAlign w:val="center"/>
            <w:hideMark/>
          </w:tcPr>
          <w:p w14:paraId="77CA1EF6"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5</w:t>
            </w:r>
          </w:p>
        </w:tc>
        <w:tc>
          <w:tcPr>
            <w:tcW w:w="1239" w:type="dxa"/>
            <w:tcBorders>
              <w:top w:val="single" w:sz="4" w:space="0" w:color="auto"/>
              <w:left w:val="single" w:sz="4" w:space="0" w:color="auto"/>
              <w:bottom w:val="single" w:sz="4" w:space="0" w:color="auto"/>
              <w:right w:val="single" w:sz="4" w:space="0" w:color="auto"/>
            </w:tcBorders>
            <w:vAlign w:val="center"/>
            <w:hideMark/>
          </w:tcPr>
          <w:p w14:paraId="2012AA65"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5</w:t>
            </w:r>
          </w:p>
        </w:tc>
        <w:tc>
          <w:tcPr>
            <w:tcW w:w="1171" w:type="dxa"/>
            <w:tcBorders>
              <w:top w:val="single" w:sz="4" w:space="0" w:color="auto"/>
              <w:left w:val="single" w:sz="4" w:space="0" w:color="auto"/>
              <w:bottom w:val="single" w:sz="4" w:space="0" w:color="auto"/>
              <w:right w:val="single" w:sz="4" w:space="0" w:color="auto"/>
            </w:tcBorders>
            <w:vAlign w:val="center"/>
            <w:hideMark/>
          </w:tcPr>
          <w:p w14:paraId="071FB53E"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5</w:t>
            </w:r>
          </w:p>
        </w:tc>
        <w:tc>
          <w:tcPr>
            <w:tcW w:w="1243" w:type="dxa"/>
            <w:tcBorders>
              <w:top w:val="single" w:sz="4" w:space="0" w:color="auto"/>
              <w:left w:val="single" w:sz="4" w:space="0" w:color="auto"/>
              <w:bottom w:val="single" w:sz="4" w:space="0" w:color="auto"/>
              <w:right w:val="single" w:sz="4" w:space="0" w:color="auto"/>
            </w:tcBorders>
            <w:vAlign w:val="center"/>
            <w:hideMark/>
          </w:tcPr>
          <w:p w14:paraId="6678C91D"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C84337"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5</w:t>
            </w:r>
          </w:p>
        </w:tc>
      </w:tr>
      <w:tr w:rsidR="00151527" w:rsidRPr="00894575" w14:paraId="03D0FB90" w14:textId="77777777" w:rsidTr="00C51BC1">
        <w:tc>
          <w:tcPr>
            <w:tcW w:w="2122" w:type="dxa"/>
            <w:tcBorders>
              <w:top w:val="single" w:sz="4" w:space="0" w:color="auto"/>
              <w:left w:val="single" w:sz="4" w:space="0" w:color="auto"/>
              <w:bottom w:val="single" w:sz="4" w:space="0" w:color="auto"/>
              <w:right w:val="single" w:sz="4" w:space="0" w:color="auto"/>
            </w:tcBorders>
            <w:vAlign w:val="center"/>
            <w:hideMark/>
          </w:tcPr>
          <w:p w14:paraId="55FF41F9" w14:textId="77777777" w:rsidR="00151527" w:rsidRPr="00894575" w:rsidRDefault="00151527" w:rsidP="008E1A65">
            <w:pPr>
              <w:pStyle w:val="Tabletext"/>
              <w:keepNext/>
              <w:keepLines/>
            </w:pPr>
            <w:r w:rsidRPr="00894575">
              <w:t>Grandfathered patients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92D083"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6</w:t>
            </w:r>
          </w:p>
        </w:tc>
        <w:tc>
          <w:tcPr>
            <w:tcW w:w="1308" w:type="dxa"/>
            <w:tcBorders>
              <w:top w:val="single" w:sz="4" w:space="0" w:color="auto"/>
              <w:left w:val="single" w:sz="4" w:space="0" w:color="auto"/>
              <w:bottom w:val="single" w:sz="4" w:space="0" w:color="auto"/>
              <w:right w:val="single" w:sz="4" w:space="0" w:color="auto"/>
            </w:tcBorders>
            <w:vAlign w:val="center"/>
            <w:hideMark/>
          </w:tcPr>
          <w:p w14:paraId="6756105F"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6</w:t>
            </w:r>
          </w:p>
        </w:tc>
        <w:tc>
          <w:tcPr>
            <w:tcW w:w="1239" w:type="dxa"/>
            <w:tcBorders>
              <w:top w:val="single" w:sz="4" w:space="0" w:color="auto"/>
              <w:left w:val="single" w:sz="4" w:space="0" w:color="auto"/>
              <w:bottom w:val="single" w:sz="4" w:space="0" w:color="auto"/>
              <w:right w:val="single" w:sz="4" w:space="0" w:color="auto"/>
            </w:tcBorders>
            <w:vAlign w:val="center"/>
            <w:hideMark/>
          </w:tcPr>
          <w:p w14:paraId="6BBF0418"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6</w:t>
            </w:r>
          </w:p>
        </w:tc>
        <w:tc>
          <w:tcPr>
            <w:tcW w:w="1171" w:type="dxa"/>
            <w:tcBorders>
              <w:top w:val="single" w:sz="4" w:space="0" w:color="auto"/>
              <w:left w:val="single" w:sz="4" w:space="0" w:color="auto"/>
              <w:bottom w:val="single" w:sz="4" w:space="0" w:color="auto"/>
              <w:right w:val="single" w:sz="4" w:space="0" w:color="auto"/>
            </w:tcBorders>
            <w:vAlign w:val="center"/>
            <w:hideMark/>
          </w:tcPr>
          <w:p w14:paraId="1A0D0907"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6</w:t>
            </w:r>
          </w:p>
        </w:tc>
        <w:tc>
          <w:tcPr>
            <w:tcW w:w="1243" w:type="dxa"/>
            <w:tcBorders>
              <w:top w:val="single" w:sz="4" w:space="0" w:color="auto"/>
              <w:left w:val="single" w:sz="4" w:space="0" w:color="auto"/>
              <w:bottom w:val="single" w:sz="4" w:space="0" w:color="auto"/>
              <w:right w:val="single" w:sz="4" w:space="0" w:color="auto"/>
            </w:tcBorders>
            <w:vAlign w:val="center"/>
            <w:hideMark/>
          </w:tcPr>
          <w:p w14:paraId="01201236"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674BBA"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6</w:t>
            </w:r>
          </w:p>
        </w:tc>
      </w:tr>
      <w:tr w:rsidR="00151527" w:rsidRPr="00894575" w14:paraId="18E947F0" w14:textId="77777777" w:rsidTr="00C51BC1">
        <w:tc>
          <w:tcPr>
            <w:tcW w:w="9493" w:type="dxa"/>
            <w:gridSpan w:val="7"/>
            <w:tcBorders>
              <w:top w:val="single" w:sz="4" w:space="0" w:color="auto"/>
              <w:left w:val="single" w:sz="4" w:space="0" w:color="auto"/>
              <w:bottom w:val="single" w:sz="4" w:space="0" w:color="auto"/>
              <w:right w:val="single" w:sz="4" w:space="0" w:color="auto"/>
            </w:tcBorders>
            <w:vAlign w:val="center"/>
            <w:hideMark/>
          </w:tcPr>
          <w:p w14:paraId="034F6BDA" w14:textId="77777777" w:rsidR="00151527" w:rsidRPr="00894575" w:rsidRDefault="00151527" w:rsidP="008E1A65">
            <w:pPr>
              <w:pStyle w:val="Tabletext"/>
              <w:keepNext/>
              <w:keepLines/>
            </w:pPr>
            <w:r w:rsidRPr="00894575">
              <w:t xml:space="preserve">Patients electing treatment </w:t>
            </w:r>
          </w:p>
        </w:tc>
      </w:tr>
      <w:tr w:rsidR="00151527" w:rsidRPr="00894575" w14:paraId="4D2922D1" w14:textId="77777777" w:rsidTr="00C51BC1">
        <w:tc>
          <w:tcPr>
            <w:tcW w:w="2122" w:type="dxa"/>
            <w:tcBorders>
              <w:top w:val="single" w:sz="4" w:space="0" w:color="auto"/>
              <w:left w:val="single" w:sz="4" w:space="0" w:color="auto"/>
              <w:bottom w:val="single" w:sz="4" w:space="0" w:color="auto"/>
              <w:right w:val="single" w:sz="4" w:space="0" w:color="auto"/>
            </w:tcBorders>
            <w:vAlign w:val="center"/>
            <w:hideMark/>
          </w:tcPr>
          <w:p w14:paraId="48798F71" w14:textId="77777777" w:rsidR="00151527" w:rsidRPr="00894575" w:rsidRDefault="00151527" w:rsidP="008E1A65">
            <w:pPr>
              <w:pStyle w:val="Tabletext"/>
              <w:keepNext/>
              <w:keepLines/>
            </w:pPr>
            <w:r w:rsidRPr="00894575">
              <w:t>Eligible for NP surgery (initial)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80B6F1"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7</w:t>
            </w:r>
          </w:p>
        </w:tc>
        <w:tc>
          <w:tcPr>
            <w:tcW w:w="1308" w:type="dxa"/>
            <w:tcBorders>
              <w:top w:val="single" w:sz="4" w:space="0" w:color="auto"/>
              <w:left w:val="single" w:sz="4" w:space="0" w:color="auto"/>
              <w:bottom w:val="single" w:sz="4" w:space="0" w:color="auto"/>
              <w:right w:val="single" w:sz="4" w:space="0" w:color="auto"/>
            </w:tcBorders>
            <w:vAlign w:val="center"/>
            <w:hideMark/>
          </w:tcPr>
          <w:p w14:paraId="36F73409"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7</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4941A1B"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7</w:t>
            </w:r>
          </w:p>
        </w:tc>
        <w:tc>
          <w:tcPr>
            <w:tcW w:w="1171" w:type="dxa"/>
            <w:tcBorders>
              <w:top w:val="single" w:sz="4" w:space="0" w:color="auto"/>
              <w:left w:val="single" w:sz="4" w:space="0" w:color="auto"/>
              <w:bottom w:val="single" w:sz="4" w:space="0" w:color="auto"/>
              <w:right w:val="single" w:sz="4" w:space="0" w:color="auto"/>
            </w:tcBorders>
            <w:vAlign w:val="center"/>
            <w:hideMark/>
          </w:tcPr>
          <w:p w14:paraId="00BA59AD"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7</w:t>
            </w:r>
          </w:p>
        </w:tc>
        <w:tc>
          <w:tcPr>
            <w:tcW w:w="1243" w:type="dxa"/>
            <w:tcBorders>
              <w:top w:val="single" w:sz="4" w:space="0" w:color="auto"/>
              <w:left w:val="single" w:sz="4" w:space="0" w:color="auto"/>
              <w:bottom w:val="single" w:sz="4" w:space="0" w:color="auto"/>
              <w:right w:val="single" w:sz="4" w:space="0" w:color="auto"/>
            </w:tcBorders>
            <w:vAlign w:val="center"/>
            <w:hideMark/>
          </w:tcPr>
          <w:p w14:paraId="080EE97D"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201742"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7</w:t>
            </w:r>
          </w:p>
        </w:tc>
      </w:tr>
      <w:tr w:rsidR="00151527" w:rsidRPr="00894575" w14:paraId="0803381F" w14:textId="77777777" w:rsidTr="00C51BC1">
        <w:tc>
          <w:tcPr>
            <w:tcW w:w="2122" w:type="dxa"/>
            <w:tcBorders>
              <w:top w:val="single" w:sz="4" w:space="0" w:color="auto"/>
              <w:left w:val="single" w:sz="4" w:space="0" w:color="auto"/>
              <w:bottom w:val="single" w:sz="4" w:space="0" w:color="auto"/>
              <w:right w:val="single" w:sz="4" w:space="0" w:color="auto"/>
            </w:tcBorders>
            <w:vAlign w:val="center"/>
            <w:hideMark/>
          </w:tcPr>
          <w:p w14:paraId="3E299A5F" w14:textId="77777777" w:rsidR="00151527" w:rsidRPr="00894575" w:rsidRDefault="00151527" w:rsidP="008E1A65">
            <w:pPr>
              <w:pStyle w:val="Tabletext"/>
              <w:keepNext/>
              <w:keepLines/>
            </w:pPr>
            <w:r w:rsidRPr="00894575">
              <w:t>Ineligible for NP surgery (initial)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13FE4F"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6</w:t>
            </w:r>
          </w:p>
        </w:tc>
        <w:tc>
          <w:tcPr>
            <w:tcW w:w="1308" w:type="dxa"/>
            <w:tcBorders>
              <w:top w:val="single" w:sz="4" w:space="0" w:color="auto"/>
              <w:left w:val="single" w:sz="4" w:space="0" w:color="auto"/>
              <w:bottom w:val="single" w:sz="4" w:space="0" w:color="auto"/>
              <w:right w:val="single" w:sz="4" w:space="0" w:color="auto"/>
            </w:tcBorders>
            <w:vAlign w:val="center"/>
            <w:hideMark/>
          </w:tcPr>
          <w:p w14:paraId="631007B2"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6</w:t>
            </w:r>
          </w:p>
        </w:tc>
        <w:tc>
          <w:tcPr>
            <w:tcW w:w="1239" w:type="dxa"/>
            <w:tcBorders>
              <w:top w:val="single" w:sz="4" w:space="0" w:color="auto"/>
              <w:left w:val="single" w:sz="4" w:space="0" w:color="auto"/>
              <w:bottom w:val="single" w:sz="4" w:space="0" w:color="auto"/>
              <w:right w:val="single" w:sz="4" w:space="0" w:color="auto"/>
            </w:tcBorders>
            <w:vAlign w:val="center"/>
            <w:hideMark/>
          </w:tcPr>
          <w:p w14:paraId="79042030"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6</w:t>
            </w:r>
          </w:p>
        </w:tc>
        <w:tc>
          <w:tcPr>
            <w:tcW w:w="1171" w:type="dxa"/>
            <w:tcBorders>
              <w:top w:val="single" w:sz="4" w:space="0" w:color="auto"/>
              <w:left w:val="single" w:sz="4" w:space="0" w:color="auto"/>
              <w:bottom w:val="single" w:sz="4" w:space="0" w:color="auto"/>
              <w:right w:val="single" w:sz="4" w:space="0" w:color="auto"/>
            </w:tcBorders>
            <w:vAlign w:val="center"/>
            <w:hideMark/>
          </w:tcPr>
          <w:p w14:paraId="2E53BA30"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6</w:t>
            </w:r>
          </w:p>
        </w:tc>
        <w:tc>
          <w:tcPr>
            <w:tcW w:w="1243" w:type="dxa"/>
            <w:tcBorders>
              <w:top w:val="single" w:sz="4" w:space="0" w:color="auto"/>
              <w:left w:val="single" w:sz="4" w:space="0" w:color="auto"/>
              <w:bottom w:val="single" w:sz="4" w:space="0" w:color="auto"/>
              <w:right w:val="single" w:sz="4" w:space="0" w:color="auto"/>
            </w:tcBorders>
            <w:vAlign w:val="center"/>
            <w:hideMark/>
          </w:tcPr>
          <w:p w14:paraId="5D1A9AE1"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B4829A"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6</w:t>
            </w:r>
          </w:p>
        </w:tc>
      </w:tr>
      <w:tr w:rsidR="00151527" w:rsidRPr="00894575" w14:paraId="5EE87C3D" w14:textId="77777777" w:rsidTr="00C51BC1">
        <w:tc>
          <w:tcPr>
            <w:tcW w:w="2122" w:type="dxa"/>
            <w:tcBorders>
              <w:top w:val="single" w:sz="4" w:space="0" w:color="auto"/>
              <w:left w:val="single" w:sz="4" w:space="0" w:color="auto"/>
              <w:bottom w:val="single" w:sz="4" w:space="0" w:color="auto"/>
              <w:right w:val="single" w:sz="4" w:space="0" w:color="auto"/>
            </w:tcBorders>
            <w:vAlign w:val="center"/>
            <w:hideMark/>
          </w:tcPr>
          <w:p w14:paraId="7E8CBF7F" w14:textId="77777777" w:rsidR="00151527" w:rsidRPr="00894575" w:rsidRDefault="00151527" w:rsidP="008E1A65">
            <w:pPr>
              <w:pStyle w:val="Tabletext"/>
              <w:keepNext/>
              <w:keepLines/>
            </w:pPr>
            <w:r w:rsidRPr="00894575">
              <w:t>Eligible for NP surgery (continuing)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B5ADA"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7</w:t>
            </w:r>
          </w:p>
        </w:tc>
        <w:tc>
          <w:tcPr>
            <w:tcW w:w="1308" w:type="dxa"/>
            <w:tcBorders>
              <w:top w:val="single" w:sz="4" w:space="0" w:color="auto"/>
              <w:left w:val="single" w:sz="4" w:space="0" w:color="auto"/>
              <w:bottom w:val="single" w:sz="4" w:space="0" w:color="auto"/>
              <w:right w:val="single" w:sz="4" w:space="0" w:color="auto"/>
            </w:tcBorders>
            <w:vAlign w:val="center"/>
            <w:hideMark/>
          </w:tcPr>
          <w:p w14:paraId="7AF956CD"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7</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A83EF2F"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7</w:t>
            </w:r>
          </w:p>
        </w:tc>
        <w:tc>
          <w:tcPr>
            <w:tcW w:w="1171" w:type="dxa"/>
            <w:tcBorders>
              <w:top w:val="single" w:sz="4" w:space="0" w:color="auto"/>
              <w:left w:val="single" w:sz="4" w:space="0" w:color="auto"/>
              <w:bottom w:val="single" w:sz="4" w:space="0" w:color="auto"/>
              <w:right w:val="single" w:sz="4" w:space="0" w:color="auto"/>
            </w:tcBorders>
            <w:vAlign w:val="center"/>
            <w:hideMark/>
          </w:tcPr>
          <w:p w14:paraId="427BA987"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7</w:t>
            </w:r>
          </w:p>
        </w:tc>
        <w:tc>
          <w:tcPr>
            <w:tcW w:w="1243" w:type="dxa"/>
            <w:tcBorders>
              <w:top w:val="single" w:sz="4" w:space="0" w:color="auto"/>
              <w:left w:val="single" w:sz="4" w:space="0" w:color="auto"/>
              <w:bottom w:val="single" w:sz="4" w:space="0" w:color="auto"/>
              <w:right w:val="single" w:sz="4" w:space="0" w:color="auto"/>
            </w:tcBorders>
            <w:vAlign w:val="center"/>
            <w:hideMark/>
          </w:tcPr>
          <w:p w14:paraId="1D237683"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864A97"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7</w:t>
            </w:r>
          </w:p>
        </w:tc>
      </w:tr>
      <w:tr w:rsidR="00151527" w:rsidRPr="00894575" w14:paraId="050B2942" w14:textId="77777777" w:rsidTr="00C51BC1">
        <w:tc>
          <w:tcPr>
            <w:tcW w:w="2122" w:type="dxa"/>
            <w:tcBorders>
              <w:top w:val="single" w:sz="4" w:space="0" w:color="auto"/>
              <w:left w:val="single" w:sz="4" w:space="0" w:color="auto"/>
              <w:bottom w:val="single" w:sz="4" w:space="0" w:color="auto"/>
              <w:right w:val="single" w:sz="4" w:space="0" w:color="auto"/>
            </w:tcBorders>
            <w:vAlign w:val="center"/>
            <w:hideMark/>
          </w:tcPr>
          <w:p w14:paraId="17F313E4" w14:textId="77777777" w:rsidR="00151527" w:rsidRPr="00894575" w:rsidRDefault="00151527" w:rsidP="008E1A65">
            <w:pPr>
              <w:pStyle w:val="Tabletext"/>
              <w:keepNext/>
              <w:keepLines/>
            </w:pPr>
            <w:r w:rsidRPr="00894575">
              <w:t>Ineligible for NP surgery (continuing)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4EE299"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6</w:t>
            </w:r>
          </w:p>
        </w:tc>
        <w:tc>
          <w:tcPr>
            <w:tcW w:w="1308" w:type="dxa"/>
            <w:tcBorders>
              <w:top w:val="single" w:sz="4" w:space="0" w:color="auto"/>
              <w:left w:val="single" w:sz="4" w:space="0" w:color="auto"/>
              <w:bottom w:val="single" w:sz="4" w:space="0" w:color="auto"/>
              <w:right w:val="single" w:sz="4" w:space="0" w:color="auto"/>
            </w:tcBorders>
            <w:vAlign w:val="center"/>
            <w:hideMark/>
          </w:tcPr>
          <w:p w14:paraId="64580071"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6</w:t>
            </w:r>
          </w:p>
        </w:tc>
        <w:tc>
          <w:tcPr>
            <w:tcW w:w="1239" w:type="dxa"/>
            <w:tcBorders>
              <w:top w:val="single" w:sz="4" w:space="0" w:color="auto"/>
              <w:left w:val="single" w:sz="4" w:space="0" w:color="auto"/>
              <w:bottom w:val="single" w:sz="4" w:space="0" w:color="auto"/>
              <w:right w:val="single" w:sz="4" w:space="0" w:color="auto"/>
            </w:tcBorders>
            <w:vAlign w:val="center"/>
            <w:hideMark/>
          </w:tcPr>
          <w:p w14:paraId="1F15C85E"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6</w:t>
            </w:r>
          </w:p>
        </w:tc>
        <w:tc>
          <w:tcPr>
            <w:tcW w:w="1171" w:type="dxa"/>
            <w:tcBorders>
              <w:top w:val="single" w:sz="4" w:space="0" w:color="auto"/>
              <w:left w:val="single" w:sz="4" w:space="0" w:color="auto"/>
              <w:bottom w:val="single" w:sz="4" w:space="0" w:color="auto"/>
              <w:right w:val="single" w:sz="4" w:space="0" w:color="auto"/>
            </w:tcBorders>
            <w:vAlign w:val="center"/>
            <w:hideMark/>
          </w:tcPr>
          <w:p w14:paraId="21B48568"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6</w:t>
            </w:r>
          </w:p>
        </w:tc>
        <w:tc>
          <w:tcPr>
            <w:tcW w:w="1243" w:type="dxa"/>
            <w:tcBorders>
              <w:top w:val="single" w:sz="4" w:space="0" w:color="auto"/>
              <w:left w:val="single" w:sz="4" w:space="0" w:color="auto"/>
              <w:bottom w:val="single" w:sz="4" w:space="0" w:color="auto"/>
              <w:right w:val="single" w:sz="4" w:space="0" w:color="auto"/>
            </w:tcBorders>
            <w:vAlign w:val="center"/>
            <w:hideMark/>
          </w:tcPr>
          <w:p w14:paraId="256EB6A8"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6216A3"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6</w:t>
            </w:r>
          </w:p>
        </w:tc>
      </w:tr>
      <w:tr w:rsidR="00151527" w:rsidRPr="00894575" w14:paraId="01A1FB50" w14:textId="77777777" w:rsidTr="00C51BC1">
        <w:tc>
          <w:tcPr>
            <w:tcW w:w="2122" w:type="dxa"/>
            <w:tcBorders>
              <w:top w:val="single" w:sz="4" w:space="0" w:color="auto"/>
              <w:left w:val="single" w:sz="4" w:space="0" w:color="auto"/>
              <w:bottom w:val="single" w:sz="4" w:space="0" w:color="auto"/>
              <w:right w:val="single" w:sz="4" w:space="0" w:color="auto"/>
            </w:tcBorders>
            <w:vAlign w:val="center"/>
            <w:hideMark/>
          </w:tcPr>
          <w:p w14:paraId="183A8BBE" w14:textId="77777777" w:rsidR="00151527" w:rsidRPr="00894575" w:rsidRDefault="00151527" w:rsidP="008E1A65">
            <w:pPr>
              <w:pStyle w:val="Tabletext"/>
              <w:keepNext/>
              <w:keepLines/>
            </w:pPr>
            <w:r w:rsidRPr="00894575">
              <w:t>Ongoing grandfathered patients (continuing)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0FA56F"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6</w:t>
            </w:r>
          </w:p>
        </w:tc>
        <w:tc>
          <w:tcPr>
            <w:tcW w:w="1308" w:type="dxa"/>
            <w:tcBorders>
              <w:top w:val="single" w:sz="4" w:space="0" w:color="auto"/>
              <w:left w:val="single" w:sz="4" w:space="0" w:color="auto"/>
              <w:bottom w:val="single" w:sz="4" w:space="0" w:color="auto"/>
              <w:right w:val="single" w:sz="4" w:space="0" w:color="auto"/>
            </w:tcBorders>
            <w:vAlign w:val="center"/>
            <w:hideMark/>
          </w:tcPr>
          <w:p w14:paraId="084A49A7"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6</w:t>
            </w:r>
          </w:p>
        </w:tc>
        <w:tc>
          <w:tcPr>
            <w:tcW w:w="1239" w:type="dxa"/>
            <w:tcBorders>
              <w:top w:val="single" w:sz="4" w:space="0" w:color="auto"/>
              <w:left w:val="single" w:sz="4" w:space="0" w:color="auto"/>
              <w:bottom w:val="single" w:sz="4" w:space="0" w:color="auto"/>
              <w:right w:val="single" w:sz="4" w:space="0" w:color="auto"/>
            </w:tcBorders>
            <w:vAlign w:val="center"/>
            <w:hideMark/>
          </w:tcPr>
          <w:p w14:paraId="24F8333B"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6</w:t>
            </w:r>
          </w:p>
        </w:tc>
        <w:tc>
          <w:tcPr>
            <w:tcW w:w="1171" w:type="dxa"/>
            <w:tcBorders>
              <w:top w:val="single" w:sz="4" w:space="0" w:color="auto"/>
              <w:left w:val="single" w:sz="4" w:space="0" w:color="auto"/>
              <w:bottom w:val="single" w:sz="4" w:space="0" w:color="auto"/>
              <w:right w:val="single" w:sz="4" w:space="0" w:color="auto"/>
            </w:tcBorders>
            <w:vAlign w:val="center"/>
            <w:hideMark/>
          </w:tcPr>
          <w:p w14:paraId="60D234AD"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6</w:t>
            </w:r>
          </w:p>
        </w:tc>
        <w:tc>
          <w:tcPr>
            <w:tcW w:w="1243" w:type="dxa"/>
            <w:tcBorders>
              <w:top w:val="single" w:sz="4" w:space="0" w:color="auto"/>
              <w:left w:val="single" w:sz="4" w:space="0" w:color="auto"/>
              <w:bottom w:val="single" w:sz="4" w:space="0" w:color="auto"/>
              <w:right w:val="single" w:sz="4" w:space="0" w:color="auto"/>
            </w:tcBorders>
            <w:vAlign w:val="center"/>
            <w:hideMark/>
          </w:tcPr>
          <w:p w14:paraId="7B3BAD4E"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748F15"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6</w:t>
            </w:r>
          </w:p>
        </w:tc>
      </w:tr>
      <w:tr w:rsidR="00151527" w:rsidRPr="00894575" w14:paraId="5B67D49D" w14:textId="77777777" w:rsidTr="00C51BC1">
        <w:tc>
          <w:tcPr>
            <w:tcW w:w="2122" w:type="dxa"/>
            <w:tcBorders>
              <w:top w:val="single" w:sz="4" w:space="0" w:color="auto"/>
              <w:left w:val="single" w:sz="4" w:space="0" w:color="auto"/>
              <w:bottom w:val="single" w:sz="4" w:space="0" w:color="auto"/>
              <w:right w:val="single" w:sz="4" w:space="0" w:color="auto"/>
            </w:tcBorders>
            <w:vAlign w:val="center"/>
            <w:hideMark/>
          </w:tcPr>
          <w:p w14:paraId="3E32E801" w14:textId="77777777" w:rsidR="00151527" w:rsidRPr="00894575" w:rsidRDefault="00151527" w:rsidP="008E1A65">
            <w:pPr>
              <w:pStyle w:val="Tabletext"/>
              <w:keepNext/>
              <w:keepLines/>
            </w:pPr>
            <w:r w:rsidRPr="00894575">
              <w:t xml:space="preserve">Total electing treatment (initial)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FB5431"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7</w:t>
            </w:r>
          </w:p>
        </w:tc>
        <w:tc>
          <w:tcPr>
            <w:tcW w:w="1308" w:type="dxa"/>
            <w:tcBorders>
              <w:top w:val="single" w:sz="4" w:space="0" w:color="auto"/>
              <w:left w:val="single" w:sz="4" w:space="0" w:color="auto"/>
              <w:bottom w:val="single" w:sz="4" w:space="0" w:color="auto"/>
              <w:right w:val="single" w:sz="4" w:space="0" w:color="auto"/>
            </w:tcBorders>
            <w:vAlign w:val="center"/>
            <w:hideMark/>
          </w:tcPr>
          <w:p w14:paraId="61D9BB55"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7</w:t>
            </w:r>
          </w:p>
        </w:tc>
        <w:tc>
          <w:tcPr>
            <w:tcW w:w="1239" w:type="dxa"/>
            <w:tcBorders>
              <w:top w:val="single" w:sz="4" w:space="0" w:color="auto"/>
              <w:left w:val="single" w:sz="4" w:space="0" w:color="auto"/>
              <w:bottom w:val="single" w:sz="4" w:space="0" w:color="auto"/>
              <w:right w:val="single" w:sz="4" w:space="0" w:color="auto"/>
            </w:tcBorders>
            <w:vAlign w:val="center"/>
            <w:hideMark/>
          </w:tcPr>
          <w:p w14:paraId="78F49C6B"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7</w:t>
            </w:r>
          </w:p>
        </w:tc>
        <w:tc>
          <w:tcPr>
            <w:tcW w:w="1171" w:type="dxa"/>
            <w:tcBorders>
              <w:top w:val="single" w:sz="4" w:space="0" w:color="auto"/>
              <w:left w:val="single" w:sz="4" w:space="0" w:color="auto"/>
              <w:bottom w:val="single" w:sz="4" w:space="0" w:color="auto"/>
              <w:right w:val="single" w:sz="4" w:space="0" w:color="auto"/>
            </w:tcBorders>
            <w:vAlign w:val="center"/>
            <w:hideMark/>
          </w:tcPr>
          <w:p w14:paraId="5B21AE54"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7</w:t>
            </w:r>
          </w:p>
        </w:tc>
        <w:tc>
          <w:tcPr>
            <w:tcW w:w="1243" w:type="dxa"/>
            <w:tcBorders>
              <w:top w:val="single" w:sz="4" w:space="0" w:color="auto"/>
              <w:left w:val="single" w:sz="4" w:space="0" w:color="auto"/>
              <w:bottom w:val="single" w:sz="4" w:space="0" w:color="auto"/>
              <w:right w:val="single" w:sz="4" w:space="0" w:color="auto"/>
            </w:tcBorders>
            <w:vAlign w:val="center"/>
            <w:hideMark/>
          </w:tcPr>
          <w:p w14:paraId="3629B74A"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696580"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7</w:t>
            </w:r>
          </w:p>
        </w:tc>
      </w:tr>
      <w:tr w:rsidR="00151527" w:rsidRPr="00894575" w14:paraId="5CADFED7" w14:textId="77777777" w:rsidTr="00C51BC1">
        <w:tc>
          <w:tcPr>
            <w:tcW w:w="2122" w:type="dxa"/>
            <w:tcBorders>
              <w:top w:val="single" w:sz="4" w:space="0" w:color="auto"/>
              <w:left w:val="single" w:sz="4" w:space="0" w:color="auto"/>
              <w:bottom w:val="double" w:sz="4" w:space="0" w:color="auto"/>
              <w:right w:val="single" w:sz="4" w:space="0" w:color="auto"/>
            </w:tcBorders>
            <w:vAlign w:val="center"/>
            <w:hideMark/>
          </w:tcPr>
          <w:p w14:paraId="39546147" w14:textId="77777777" w:rsidR="00151527" w:rsidRPr="00894575" w:rsidRDefault="00151527" w:rsidP="008E1A65">
            <w:pPr>
              <w:pStyle w:val="Tabletext"/>
              <w:keepNext/>
              <w:keepLines/>
            </w:pPr>
            <w:r w:rsidRPr="00894575">
              <w:t xml:space="preserve">Total electing treatment (continuing) </w:t>
            </w:r>
          </w:p>
        </w:tc>
        <w:tc>
          <w:tcPr>
            <w:tcW w:w="1134" w:type="dxa"/>
            <w:tcBorders>
              <w:top w:val="single" w:sz="4" w:space="0" w:color="auto"/>
              <w:left w:val="single" w:sz="4" w:space="0" w:color="auto"/>
              <w:bottom w:val="double" w:sz="4" w:space="0" w:color="auto"/>
              <w:right w:val="single" w:sz="4" w:space="0" w:color="auto"/>
            </w:tcBorders>
            <w:vAlign w:val="center"/>
            <w:hideMark/>
          </w:tcPr>
          <w:p w14:paraId="7524BD40"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7</w:t>
            </w:r>
          </w:p>
        </w:tc>
        <w:tc>
          <w:tcPr>
            <w:tcW w:w="1308" w:type="dxa"/>
            <w:tcBorders>
              <w:top w:val="single" w:sz="4" w:space="0" w:color="auto"/>
              <w:left w:val="single" w:sz="4" w:space="0" w:color="auto"/>
              <w:bottom w:val="double" w:sz="4" w:space="0" w:color="auto"/>
              <w:right w:val="single" w:sz="4" w:space="0" w:color="auto"/>
            </w:tcBorders>
            <w:vAlign w:val="center"/>
            <w:hideMark/>
          </w:tcPr>
          <w:p w14:paraId="1D7D4600"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7</w:t>
            </w:r>
          </w:p>
        </w:tc>
        <w:tc>
          <w:tcPr>
            <w:tcW w:w="1239" w:type="dxa"/>
            <w:tcBorders>
              <w:top w:val="single" w:sz="4" w:space="0" w:color="auto"/>
              <w:left w:val="single" w:sz="4" w:space="0" w:color="auto"/>
              <w:bottom w:val="double" w:sz="4" w:space="0" w:color="auto"/>
              <w:right w:val="single" w:sz="4" w:space="0" w:color="auto"/>
            </w:tcBorders>
            <w:vAlign w:val="center"/>
            <w:hideMark/>
          </w:tcPr>
          <w:p w14:paraId="69F32A51"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7</w:t>
            </w:r>
          </w:p>
        </w:tc>
        <w:tc>
          <w:tcPr>
            <w:tcW w:w="1171" w:type="dxa"/>
            <w:tcBorders>
              <w:top w:val="single" w:sz="4" w:space="0" w:color="auto"/>
              <w:left w:val="single" w:sz="4" w:space="0" w:color="auto"/>
              <w:bottom w:val="double" w:sz="4" w:space="0" w:color="auto"/>
              <w:right w:val="single" w:sz="4" w:space="0" w:color="auto"/>
            </w:tcBorders>
            <w:vAlign w:val="center"/>
            <w:hideMark/>
          </w:tcPr>
          <w:p w14:paraId="30AB47BC"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7</w:t>
            </w:r>
          </w:p>
        </w:tc>
        <w:tc>
          <w:tcPr>
            <w:tcW w:w="1243" w:type="dxa"/>
            <w:tcBorders>
              <w:top w:val="single" w:sz="4" w:space="0" w:color="auto"/>
              <w:left w:val="single" w:sz="4" w:space="0" w:color="auto"/>
              <w:bottom w:val="double" w:sz="4" w:space="0" w:color="auto"/>
              <w:right w:val="single" w:sz="4" w:space="0" w:color="auto"/>
            </w:tcBorders>
            <w:vAlign w:val="center"/>
            <w:hideMark/>
          </w:tcPr>
          <w:p w14:paraId="35EBB6C3"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CF2AE9"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5</w:t>
            </w:r>
          </w:p>
        </w:tc>
      </w:tr>
      <w:tr w:rsidR="00151527" w:rsidRPr="00894575" w14:paraId="67B6FF62" w14:textId="77777777" w:rsidTr="00C51BC1">
        <w:tc>
          <w:tcPr>
            <w:tcW w:w="9493" w:type="dxa"/>
            <w:gridSpan w:val="7"/>
            <w:tcBorders>
              <w:top w:val="double" w:sz="4" w:space="0" w:color="auto"/>
              <w:left w:val="single" w:sz="4" w:space="0" w:color="auto"/>
              <w:bottom w:val="single" w:sz="4" w:space="0" w:color="auto"/>
              <w:right w:val="single" w:sz="4" w:space="0" w:color="auto"/>
            </w:tcBorders>
            <w:vAlign w:val="center"/>
            <w:hideMark/>
          </w:tcPr>
          <w:p w14:paraId="1A1661EA" w14:textId="77777777" w:rsidR="00151527" w:rsidRPr="00894575" w:rsidRDefault="00151527" w:rsidP="008E1A65">
            <w:pPr>
              <w:pStyle w:val="Tabletext"/>
              <w:keepNext/>
              <w:keepLines/>
            </w:pPr>
            <w:r w:rsidRPr="00894575">
              <w:t>Number of scripts (mepolizumab)</w:t>
            </w:r>
            <w:r w:rsidR="00A22F9C">
              <w:rPr>
                <w:vertAlign w:val="superscript"/>
              </w:rPr>
              <w:t>a</w:t>
            </w:r>
            <w:r w:rsidRPr="00894575">
              <w:t xml:space="preserve"> </w:t>
            </w:r>
          </w:p>
        </w:tc>
      </w:tr>
      <w:tr w:rsidR="00151527" w:rsidRPr="00894575" w14:paraId="762D7068" w14:textId="77777777" w:rsidTr="00C51BC1">
        <w:tc>
          <w:tcPr>
            <w:tcW w:w="2122" w:type="dxa"/>
            <w:tcBorders>
              <w:top w:val="single" w:sz="4" w:space="0" w:color="auto"/>
              <w:left w:val="single" w:sz="4" w:space="0" w:color="auto"/>
              <w:bottom w:val="single" w:sz="4" w:space="0" w:color="auto"/>
              <w:right w:val="single" w:sz="4" w:space="0" w:color="auto"/>
            </w:tcBorders>
            <w:vAlign w:val="center"/>
            <w:hideMark/>
          </w:tcPr>
          <w:p w14:paraId="72704756" w14:textId="77777777" w:rsidR="00151527" w:rsidRPr="00894575" w:rsidRDefault="00151527" w:rsidP="008E1A65">
            <w:pPr>
              <w:pStyle w:val="Tabletext"/>
              <w:keepNext/>
              <w:keepLines/>
            </w:pPr>
            <w:r w:rsidRPr="00894575">
              <w:t>Eligible for NP surgery (initial)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6DAE4B"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5</w:t>
            </w:r>
          </w:p>
        </w:tc>
        <w:tc>
          <w:tcPr>
            <w:tcW w:w="1308" w:type="dxa"/>
            <w:tcBorders>
              <w:top w:val="single" w:sz="4" w:space="0" w:color="auto"/>
              <w:left w:val="single" w:sz="4" w:space="0" w:color="auto"/>
              <w:bottom w:val="single" w:sz="4" w:space="0" w:color="auto"/>
              <w:right w:val="single" w:sz="4" w:space="0" w:color="auto"/>
            </w:tcBorders>
            <w:vAlign w:val="center"/>
            <w:hideMark/>
          </w:tcPr>
          <w:p w14:paraId="02C45D6C"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5</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240BA79"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5</w:t>
            </w:r>
          </w:p>
        </w:tc>
        <w:tc>
          <w:tcPr>
            <w:tcW w:w="1171" w:type="dxa"/>
            <w:tcBorders>
              <w:top w:val="single" w:sz="4" w:space="0" w:color="auto"/>
              <w:left w:val="single" w:sz="4" w:space="0" w:color="auto"/>
              <w:bottom w:val="single" w:sz="4" w:space="0" w:color="auto"/>
              <w:right w:val="single" w:sz="4" w:space="0" w:color="auto"/>
            </w:tcBorders>
            <w:vAlign w:val="center"/>
            <w:hideMark/>
          </w:tcPr>
          <w:p w14:paraId="483E7D50"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5</w:t>
            </w:r>
          </w:p>
        </w:tc>
        <w:tc>
          <w:tcPr>
            <w:tcW w:w="1243" w:type="dxa"/>
            <w:tcBorders>
              <w:top w:val="single" w:sz="4" w:space="0" w:color="auto"/>
              <w:left w:val="single" w:sz="4" w:space="0" w:color="auto"/>
              <w:bottom w:val="single" w:sz="4" w:space="0" w:color="auto"/>
              <w:right w:val="single" w:sz="4" w:space="0" w:color="auto"/>
            </w:tcBorders>
            <w:vAlign w:val="center"/>
            <w:hideMark/>
          </w:tcPr>
          <w:p w14:paraId="205A503D"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C4F666"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5</w:t>
            </w:r>
          </w:p>
        </w:tc>
      </w:tr>
      <w:tr w:rsidR="00151527" w:rsidRPr="00894575" w14:paraId="365B113B" w14:textId="77777777" w:rsidTr="00C51BC1">
        <w:tc>
          <w:tcPr>
            <w:tcW w:w="2122" w:type="dxa"/>
            <w:tcBorders>
              <w:top w:val="single" w:sz="4" w:space="0" w:color="auto"/>
              <w:left w:val="single" w:sz="4" w:space="0" w:color="auto"/>
              <w:bottom w:val="single" w:sz="4" w:space="0" w:color="auto"/>
              <w:right w:val="single" w:sz="4" w:space="0" w:color="auto"/>
            </w:tcBorders>
            <w:vAlign w:val="center"/>
            <w:hideMark/>
          </w:tcPr>
          <w:p w14:paraId="483E3F51" w14:textId="77777777" w:rsidR="00151527" w:rsidRPr="00894575" w:rsidRDefault="00151527" w:rsidP="008E1A65">
            <w:pPr>
              <w:pStyle w:val="Tabletext"/>
              <w:keepNext/>
              <w:keepLines/>
            </w:pPr>
            <w:r w:rsidRPr="00894575">
              <w:t>Ineligible for NP surgery (initial)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0FD1E2"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7</w:t>
            </w:r>
          </w:p>
        </w:tc>
        <w:tc>
          <w:tcPr>
            <w:tcW w:w="1308" w:type="dxa"/>
            <w:tcBorders>
              <w:top w:val="single" w:sz="4" w:space="0" w:color="auto"/>
              <w:left w:val="single" w:sz="4" w:space="0" w:color="auto"/>
              <w:bottom w:val="single" w:sz="4" w:space="0" w:color="auto"/>
              <w:right w:val="single" w:sz="4" w:space="0" w:color="auto"/>
            </w:tcBorders>
            <w:vAlign w:val="center"/>
            <w:hideMark/>
          </w:tcPr>
          <w:p w14:paraId="54F37B34"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7</w:t>
            </w:r>
          </w:p>
        </w:tc>
        <w:tc>
          <w:tcPr>
            <w:tcW w:w="1239" w:type="dxa"/>
            <w:tcBorders>
              <w:top w:val="single" w:sz="4" w:space="0" w:color="auto"/>
              <w:left w:val="single" w:sz="4" w:space="0" w:color="auto"/>
              <w:bottom w:val="single" w:sz="4" w:space="0" w:color="auto"/>
              <w:right w:val="single" w:sz="4" w:space="0" w:color="auto"/>
            </w:tcBorders>
            <w:vAlign w:val="center"/>
            <w:hideMark/>
          </w:tcPr>
          <w:p w14:paraId="1BCA6B42"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7</w:t>
            </w:r>
          </w:p>
        </w:tc>
        <w:tc>
          <w:tcPr>
            <w:tcW w:w="1171" w:type="dxa"/>
            <w:tcBorders>
              <w:top w:val="single" w:sz="4" w:space="0" w:color="auto"/>
              <w:left w:val="single" w:sz="4" w:space="0" w:color="auto"/>
              <w:bottom w:val="single" w:sz="4" w:space="0" w:color="auto"/>
              <w:right w:val="single" w:sz="4" w:space="0" w:color="auto"/>
            </w:tcBorders>
            <w:vAlign w:val="center"/>
            <w:hideMark/>
          </w:tcPr>
          <w:p w14:paraId="3F8195FF"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7</w:t>
            </w:r>
          </w:p>
        </w:tc>
        <w:tc>
          <w:tcPr>
            <w:tcW w:w="1243" w:type="dxa"/>
            <w:tcBorders>
              <w:top w:val="single" w:sz="4" w:space="0" w:color="auto"/>
              <w:left w:val="single" w:sz="4" w:space="0" w:color="auto"/>
              <w:bottom w:val="single" w:sz="4" w:space="0" w:color="auto"/>
              <w:right w:val="single" w:sz="4" w:space="0" w:color="auto"/>
            </w:tcBorders>
            <w:vAlign w:val="center"/>
            <w:hideMark/>
          </w:tcPr>
          <w:p w14:paraId="69643B5D"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4655EC"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7</w:t>
            </w:r>
          </w:p>
        </w:tc>
      </w:tr>
      <w:tr w:rsidR="00151527" w:rsidRPr="00894575" w14:paraId="01E898E5" w14:textId="77777777" w:rsidTr="00C51BC1">
        <w:tc>
          <w:tcPr>
            <w:tcW w:w="2122" w:type="dxa"/>
            <w:tcBorders>
              <w:top w:val="single" w:sz="4" w:space="0" w:color="auto"/>
              <w:left w:val="single" w:sz="4" w:space="0" w:color="auto"/>
              <w:bottom w:val="single" w:sz="4" w:space="0" w:color="auto"/>
              <w:right w:val="single" w:sz="4" w:space="0" w:color="auto"/>
            </w:tcBorders>
            <w:hideMark/>
          </w:tcPr>
          <w:p w14:paraId="5EB0DDBF" w14:textId="77777777" w:rsidR="00151527" w:rsidRPr="00894575" w:rsidRDefault="00151527" w:rsidP="008E1A65">
            <w:pPr>
              <w:pStyle w:val="Tabletext"/>
              <w:keepNext/>
              <w:keepLines/>
            </w:pPr>
            <w:r w:rsidRPr="00894575">
              <w:t>Eligible for NP surgery (continuing – first year of treatment)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37D602"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5</w:t>
            </w:r>
          </w:p>
        </w:tc>
        <w:tc>
          <w:tcPr>
            <w:tcW w:w="1308" w:type="dxa"/>
            <w:tcBorders>
              <w:top w:val="single" w:sz="4" w:space="0" w:color="auto"/>
              <w:left w:val="single" w:sz="4" w:space="0" w:color="auto"/>
              <w:bottom w:val="single" w:sz="4" w:space="0" w:color="auto"/>
              <w:right w:val="single" w:sz="4" w:space="0" w:color="auto"/>
            </w:tcBorders>
            <w:vAlign w:val="center"/>
            <w:hideMark/>
          </w:tcPr>
          <w:p w14:paraId="7319DA99"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5</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1E4118C"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5</w:t>
            </w:r>
          </w:p>
        </w:tc>
        <w:tc>
          <w:tcPr>
            <w:tcW w:w="1171" w:type="dxa"/>
            <w:tcBorders>
              <w:top w:val="single" w:sz="4" w:space="0" w:color="auto"/>
              <w:left w:val="single" w:sz="4" w:space="0" w:color="auto"/>
              <w:bottom w:val="single" w:sz="4" w:space="0" w:color="auto"/>
              <w:right w:val="single" w:sz="4" w:space="0" w:color="auto"/>
            </w:tcBorders>
            <w:vAlign w:val="center"/>
            <w:hideMark/>
          </w:tcPr>
          <w:p w14:paraId="65820C56"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5</w:t>
            </w:r>
          </w:p>
        </w:tc>
        <w:tc>
          <w:tcPr>
            <w:tcW w:w="1243" w:type="dxa"/>
            <w:tcBorders>
              <w:top w:val="single" w:sz="4" w:space="0" w:color="auto"/>
              <w:left w:val="single" w:sz="4" w:space="0" w:color="auto"/>
              <w:bottom w:val="single" w:sz="4" w:space="0" w:color="auto"/>
              <w:right w:val="single" w:sz="4" w:space="0" w:color="auto"/>
            </w:tcBorders>
            <w:vAlign w:val="center"/>
            <w:hideMark/>
          </w:tcPr>
          <w:p w14:paraId="49202F56"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C4C5E3"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5</w:t>
            </w:r>
          </w:p>
        </w:tc>
      </w:tr>
      <w:tr w:rsidR="00151527" w:rsidRPr="00894575" w14:paraId="79F5302D" w14:textId="77777777" w:rsidTr="00C51BC1">
        <w:tc>
          <w:tcPr>
            <w:tcW w:w="2122" w:type="dxa"/>
            <w:tcBorders>
              <w:top w:val="single" w:sz="4" w:space="0" w:color="auto"/>
              <w:left w:val="single" w:sz="4" w:space="0" w:color="auto"/>
              <w:bottom w:val="single" w:sz="4" w:space="0" w:color="auto"/>
              <w:right w:val="single" w:sz="4" w:space="0" w:color="auto"/>
            </w:tcBorders>
            <w:hideMark/>
          </w:tcPr>
          <w:p w14:paraId="533E2D62" w14:textId="77777777" w:rsidR="00151527" w:rsidRPr="00894575" w:rsidRDefault="00151527" w:rsidP="008E1A65">
            <w:pPr>
              <w:pStyle w:val="Tabletext"/>
              <w:keepNext/>
              <w:keepLines/>
            </w:pPr>
            <w:r w:rsidRPr="00894575">
              <w:t>Ineligible for NP surgery patients (continuing – first year of treatment)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5FD82E"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7</w:t>
            </w:r>
          </w:p>
        </w:tc>
        <w:tc>
          <w:tcPr>
            <w:tcW w:w="1308" w:type="dxa"/>
            <w:tcBorders>
              <w:top w:val="single" w:sz="4" w:space="0" w:color="auto"/>
              <w:left w:val="single" w:sz="4" w:space="0" w:color="auto"/>
              <w:bottom w:val="single" w:sz="4" w:space="0" w:color="auto"/>
              <w:right w:val="single" w:sz="4" w:space="0" w:color="auto"/>
            </w:tcBorders>
            <w:vAlign w:val="center"/>
            <w:hideMark/>
          </w:tcPr>
          <w:p w14:paraId="5EF52371"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7</w:t>
            </w:r>
          </w:p>
        </w:tc>
        <w:tc>
          <w:tcPr>
            <w:tcW w:w="1239" w:type="dxa"/>
            <w:tcBorders>
              <w:top w:val="single" w:sz="4" w:space="0" w:color="auto"/>
              <w:left w:val="single" w:sz="4" w:space="0" w:color="auto"/>
              <w:bottom w:val="single" w:sz="4" w:space="0" w:color="auto"/>
              <w:right w:val="single" w:sz="4" w:space="0" w:color="auto"/>
            </w:tcBorders>
            <w:vAlign w:val="center"/>
            <w:hideMark/>
          </w:tcPr>
          <w:p w14:paraId="7D5D91DF"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7</w:t>
            </w:r>
          </w:p>
        </w:tc>
        <w:tc>
          <w:tcPr>
            <w:tcW w:w="1171" w:type="dxa"/>
            <w:tcBorders>
              <w:top w:val="single" w:sz="4" w:space="0" w:color="auto"/>
              <w:left w:val="single" w:sz="4" w:space="0" w:color="auto"/>
              <w:bottom w:val="single" w:sz="4" w:space="0" w:color="auto"/>
              <w:right w:val="single" w:sz="4" w:space="0" w:color="auto"/>
            </w:tcBorders>
            <w:vAlign w:val="center"/>
            <w:hideMark/>
          </w:tcPr>
          <w:p w14:paraId="09B20077"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7</w:t>
            </w:r>
          </w:p>
        </w:tc>
        <w:tc>
          <w:tcPr>
            <w:tcW w:w="1243" w:type="dxa"/>
            <w:tcBorders>
              <w:top w:val="single" w:sz="4" w:space="0" w:color="auto"/>
              <w:left w:val="single" w:sz="4" w:space="0" w:color="auto"/>
              <w:bottom w:val="single" w:sz="4" w:space="0" w:color="auto"/>
              <w:right w:val="single" w:sz="4" w:space="0" w:color="auto"/>
            </w:tcBorders>
            <w:vAlign w:val="center"/>
            <w:hideMark/>
          </w:tcPr>
          <w:p w14:paraId="0CC890CD"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67CB76"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7</w:t>
            </w:r>
          </w:p>
        </w:tc>
      </w:tr>
      <w:tr w:rsidR="00151527" w:rsidRPr="00894575" w14:paraId="1A0A677B" w14:textId="77777777" w:rsidTr="00C51BC1">
        <w:tc>
          <w:tcPr>
            <w:tcW w:w="2122" w:type="dxa"/>
            <w:tcBorders>
              <w:top w:val="single" w:sz="4" w:space="0" w:color="auto"/>
              <w:left w:val="single" w:sz="4" w:space="0" w:color="auto"/>
              <w:bottom w:val="single" w:sz="4" w:space="0" w:color="auto"/>
              <w:right w:val="single" w:sz="4" w:space="0" w:color="auto"/>
            </w:tcBorders>
            <w:hideMark/>
          </w:tcPr>
          <w:p w14:paraId="4E462509" w14:textId="77777777" w:rsidR="00151527" w:rsidRPr="00894575" w:rsidRDefault="00151527" w:rsidP="008E1A65">
            <w:pPr>
              <w:pStyle w:val="Tabletext"/>
              <w:keepNext/>
              <w:keepLines/>
            </w:pPr>
            <w:r w:rsidRPr="00894575">
              <w:t>Total treated (continuing – second year of treatment onwards)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079951"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6</w:t>
            </w:r>
          </w:p>
        </w:tc>
        <w:tc>
          <w:tcPr>
            <w:tcW w:w="1308" w:type="dxa"/>
            <w:tcBorders>
              <w:top w:val="single" w:sz="4" w:space="0" w:color="auto"/>
              <w:left w:val="single" w:sz="4" w:space="0" w:color="auto"/>
              <w:bottom w:val="single" w:sz="4" w:space="0" w:color="auto"/>
              <w:right w:val="single" w:sz="4" w:space="0" w:color="auto"/>
            </w:tcBorders>
            <w:vAlign w:val="center"/>
            <w:hideMark/>
          </w:tcPr>
          <w:p w14:paraId="6291AA77"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8</w:t>
            </w:r>
          </w:p>
        </w:tc>
        <w:tc>
          <w:tcPr>
            <w:tcW w:w="1239" w:type="dxa"/>
            <w:tcBorders>
              <w:top w:val="single" w:sz="4" w:space="0" w:color="auto"/>
              <w:left w:val="single" w:sz="4" w:space="0" w:color="auto"/>
              <w:bottom w:val="single" w:sz="4" w:space="0" w:color="auto"/>
              <w:right w:val="single" w:sz="4" w:space="0" w:color="auto"/>
            </w:tcBorders>
            <w:vAlign w:val="center"/>
            <w:hideMark/>
          </w:tcPr>
          <w:p w14:paraId="094582C2"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4</w:t>
            </w:r>
          </w:p>
        </w:tc>
        <w:tc>
          <w:tcPr>
            <w:tcW w:w="1171" w:type="dxa"/>
            <w:tcBorders>
              <w:top w:val="single" w:sz="4" w:space="0" w:color="auto"/>
              <w:left w:val="single" w:sz="4" w:space="0" w:color="auto"/>
              <w:bottom w:val="single" w:sz="4" w:space="0" w:color="auto"/>
              <w:right w:val="single" w:sz="4" w:space="0" w:color="auto"/>
            </w:tcBorders>
            <w:vAlign w:val="center"/>
            <w:hideMark/>
          </w:tcPr>
          <w:p w14:paraId="4AB5F2B1"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9</w:t>
            </w:r>
          </w:p>
        </w:tc>
        <w:tc>
          <w:tcPr>
            <w:tcW w:w="1243" w:type="dxa"/>
            <w:tcBorders>
              <w:top w:val="single" w:sz="4" w:space="0" w:color="auto"/>
              <w:left w:val="single" w:sz="4" w:space="0" w:color="auto"/>
              <w:bottom w:val="single" w:sz="4" w:space="0" w:color="auto"/>
              <w:right w:val="single" w:sz="4" w:space="0" w:color="auto"/>
            </w:tcBorders>
            <w:vAlign w:val="center"/>
            <w:hideMark/>
          </w:tcPr>
          <w:p w14:paraId="412C3C34"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0E70CE" w14:textId="77777777" w:rsidR="00151527" w:rsidRPr="00DD78A9" w:rsidRDefault="00DD78A9" w:rsidP="008E1A65">
            <w:pPr>
              <w:pStyle w:val="Tabletext"/>
              <w:keepNext/>
              <w:keepLines/>
              <w:jc w:val="center"/>
            </w:pPr>
            <w:r>
              <w:rPr>
                <w:noProof/>
                <w:color w:val="000000"/>
                <w:highlight w:val="black"/>
              </w:rPr>
              <w:t>''''''''''''''''''</w:t>
            </w:r>
            <w:r w:rsidR="00170FB1">
              <w:rPr>
                <w:vertAlign w:val="superscript"/>
              </w:rPr>
              <w:t>11</w:t>
            </w:r>
          </w:p>
        </w:tc>
      </w:tr>
      <w:tr w:rsidR="00151527" w:rsidRPr="00894575" w14:paraId="683F3475" w14:textId="77777777" w:rsidTr="00C51BC1">
        <w:tc>
          <w:tcPr>
            <w:tcW w:w="2122" w:type="dxa"/>
            <w:tcBorders>
              <w:top w:val="single" w:sz="4" w:space="0" w:color="auto"/>
              <w:left w:val="single" w:sz="4" w:space="0" w:color="auto"/>
              <w:bottom w:val="single" w:sz="4" w:space="0" w:color="auto"/>
              <w:right w:val="single" w:sz="4" w:space="0" w:color="auto"/>
            </w:tcBorders>
            <w:hideMark/>
          </w:tcPr>
          <w:p w14:paraId="1C308897" w14:textId="77777777" w:rsidR="00151527" w:rsidRPr="00894575" w:rsidRDefault="00151527" w:rsidP="008E1A65">
            <w:pPr>
              <w:pStyle w:val="Tabletext"/>
              <w:keepNext/>
              <w:keepLines/>
            </w:pPr>
            <w:r w:rsidRPr="00894575">
              <w:t>Grandfathered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F4D775" w14:textId="77777777" w:rsidR="00151527" w:rsidRPr="00DD78A9" w:rsidRDefault="00DD78A9" w:rsidP="008E1A65">
            <w:pPr>
              <w:pStyle w:val="Tabletext"/>
              <w:keepNext/>
              <w:keepLines/>
              <w:jc w:val="center"/>
            </w:pPr>
            <w:r>
              <w:rPr>
                <w:noProof/>
                <w:color w:val="000000"/>
                <w:highlight w:val="black"/>
              </w:rPr>
              <w:t>'''''''''''''''</w:t>
            </w:r>
            <w:r w:rsidR="006A3E99">
              <w:rPr>
                <w:vertAlign w:val="superscript"/>
              </w:rPr>
              <w:t>7</w:t>
            </w:r>
          </w:p>
        </w:tc>
        <w:tc>
          <w:tcPr>
            <w:tcW w:w="1308" w:type="dxa"/>
            <w:tcBorders>
              <w:top w:val="single" w:sz="4" w:space="0" w:color="auto"/>
              <w:left w:val="single" w:sz="4" w:space="0" w:color="auto"/>
              <w:bottom w:val="single" w:sz="4" w:space="0" w:color="auto"/>
              <w:right w:val="single" w:sz="4" w:space="0" w:color="auto"/>
            </w:tcBorders>
            <w:vAlign w:val="center"/>
            <w:hideMark/>
          </w:tcPr>
          <w:p w14:paraId="27FA6BBD" w14:textId="77777777" w:rsidR="00151527" w:rsidRPr="00DD78A9" w:rsidRDefault="00DD78A9" w:rsidP="008E1A65">
            <w:pPr>
              <w:pStyle w:val="Tabletext"/>
              <w:keepNext/>
              <w:keepLines/>
              <w:jc w:val="center"/>
            </w:pPr>
            <w:r>
              <w:rPr>
                <w:noProof/>
                <w:color w:val="000000"/>
                <w:highlight w:val="black"/>
              </w:rPr>
              <w:t>''''''''''''</w:t>
            </w:r>
            <w:r w:rsidR="006A3E99">
              <w:rPr>
                <w:vertAlign w:val="superscript"/>
              </w:rPr>
              <w:t>7</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D03E908" w14:textId="77777777" w:rsidR="00151527" w:rsidRPr="00DD78A9" w:rsidRDefault="00DD78A9" w:rsidP="008E1A65">
            <w:pPr>
              <w:pStyle w:val="Tabletext"/>
              <w:keepNext/>
              <w:keepLines/>
              <w:jc w:val="center"/>
            </w:pPr>
            <w:r>
              <w:rPr>
                <w:noProof/>
                <w:color w:val="000000"/>
                <w:highlight w:val="black"/>
              </w:rPr>
              <w:t>'''''''''''''</w:t>
            </w:r>
            <w:r w:rsidR="006A3E99">
              <w:rPr>
                <w:vertAlign w:val="superscript"/>
              </w:rPr>
              <w:t>7</w:t>
            </w:r>
          </w:p>
        </w:tc>
        <w:tc>
          <w:tcPr>
            <w:tcW w:w="1171" w:type="dxa"/>
            <w:tcBorders>
              <w:top w:val="single" w:sz="4" w:space="0" w:color="auto"/>
              <w:left w:val="single" w:sz="4" w:space="0" w:color="auto"/>
              <w:bottom w:val="single" w:sz="4" w:space="0" w:color="auto"/>
              <w:right w:val="single" w:sz="4" w:space="0" w:color="auto"/>
            </w:tcBorders>
            <w:vAlign w:val="center"/>
            <w:hideMark/>
          </w:tcPr>
          <w:p w14:paraId="2A0FBAAA" w14:textId="77777777" w:rsidR="00151527" w:rsidRPr="00DD78A9" w:rsidRDefault="00DD78A9" w:rsidP="008E1A65">
            <w:pPr>
              <w:pStyle w:val="Tabletext"/>
              <w:keepNext/>
              <w:keepLines/>
              <w:jc w:val="center"/>
            </w:pPr>
            <w:r>
              <w:rPr>
                <w:noProof/>
                <w:color w:val="000000"/>
                <w:highlight w:val="black"/>
              </w:rPr>
              <w:t>''''''''''''''</w:t>
            </w:r>
            <w:r w:rsidR="006A3E99">
              <w:rPr>
                <w:vertAlign w:val="superscript"/>
              </w:rPr>
              <w:t>7</w:t>
            </w:r>
          </w:p>
        </w:tc>
        <w:tc>
          <w:tcPr>
            <w:tcW w:w="1243" w:type="dxa"/>
            <w:tcBorders>
              <w:top w:val="single" w:sz="4" w:space="0" w:color="auto"/>
              <w:left w:val="single" w:sz="4" w:space="0" w:color="auto"/>
              <w:bottom w:val="single" w:sz="4" w:space="0" w:color="auto"/>
              <w:right w:val="single" w:sz="4" w:space="0" w:color="auto"/>
            </w:tcBorders>
            <w:vAlign w:val="center"/>
            <w:hideMark/>
          </w:tcPr>
          <w:p w14:paraId="3878CEAB" w14:textId="77777777" w:rsidR="00151527" w:rsidRPr="00DD78A9" w:rsidRDefault="00DD78A9" w:rsidP="008E1A65">
            <w:pPr>
              <w:pStyle w:val="Tabletext"/>
              <w:keepNext/>
              <w:keepLines/>
              <w:jc w:val="center"/>
            </w:pPr>
            <w:r>
              <w:rPr>
                <w:noProof/>
                <w:color w:val="000000"/>
                <w:highlight w:val="black"/>
              </w:rPr>
              <w:t>''''''''''''</w:t>
            </w:r>
            <w:r w:rsidR="006A3E99">
              <w:rPr>
                <w:vertAlign w:val="superscript"/>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9D57D5" w14:textId="77777777" w:rsidR="00151527" w:rsidRPr="00DD78A9" w:rsidRDefault="00DD78A9" w:rsidP="008E1A65">
            <w:pPr>
              <w:pStyle w:val="Tabletext"/>
              <w:keepNext/>
              <w:keepLines/>
              <w:jc w:val="center"/>
            </w:pPr>
            <w:r>
              <w:rPr>
                <w:noProof/>
                <w:color w:val="000000"/>
                <w:highlight w:val="black"/>
              </w:rPr>
              <w:t>''''''''''''</w:t>
            </w:r>
            <w:r w:rsidR="006A3E99">
              <w:rPr>
                <w:vertAlign w:val="superscript"/>
              </w:rPr>
              <w:t>7</w:t>
            </w:r>
          </w:p>
        </w:tc>
      </w:tr>
      <w:tr w:rsidR="00151527" w:rsidRPr="00894575" w14:paraId="7B2E217D" w14:textId="77777777" w:rsidTr="00C51BC1">
        <w:tc>
          <w:tcPr>
            <w:tcW w:w="2122" w:type="dxa"/>
            <w:tcBorders>
              <w:top w:val="single" w:sz="4" w:space="0" w:color="auto"/>
              <w:left w:val="single" w:sz="4" w:space="0" w:color="auto"/>
              <w:bottom w:val="single" w:sz="4" w:space="0" w:color="auto"/>
              <w:right w:val="single" w:sz="4" w:space="0" w:color="auto"/>
            </w:tcBorders>
            <w:hideMark/>
          </w:tcPr>
          <w:p w14:paraId="5BCC618A" w14:textId="77777777" w:rsidR="00151527" w:rsidRPr="00894575" w:rsidRDefault="00151527" w:rsidP="008E1A65">
            <w:pPr>
              <w:pStyle w:val="Tabletext"/>
              <w:keepNext/>
              <w:keepLines/>
            </w:pPr>
            <w:r w:rsidRPr="00894575">
              <w:t>Total volume of scripts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6E0B2" w14:textId="77777777" w:rsidR="00151527" w:rsidRPr="00DD78A9" w:rsidRDefault="00DD78A9" w:rsidP="008E1A65">
            <w:pPr>
              <w:pStyle w:val="Tabletext"/>
              <w:keepNext/>
              <w:keepLines/>
              <w:jc w:val="center"/>
            </w:pPr>
            <w:r>
              <w:rPr>
                <w:noProof/>
                <w:color w:val="000000"/>
                <w:highlight w:val="black"/>
              </w:rPr>
              <w:t>'''''''''''''''''</w:t>
            </w:r>
            <w:r w:rsidR="006A3E99">
              <w:rPr>
                <w:vertAlign w:val="superscript"/>
              </w:rPr>
              <w:t>12</w:t>
            </w:r>
          </w:p>
        </w:tc>
        <w:tc>
          <w:tcPr>
            <w:tcW w:w="1308" w:type="dxa"/>
            <w:tcBorders>
              <w:top w:val="single" w:sz="4" w:space="0" w:color="auto"/>
              <w:left w:val="single" w:sz="4" w:space="0" w:color="auto"/>
              <w:bottom w:val="single" w:sz="4" w:space="0" w:color="auto"/>
              <w:right w:val="single" w:sz="4" w:space="0" w:color="auto"/>
            </w:tcBorders>
            <w:vAlign w:val="center"/>
            <w:hideMark/>
          </w:tcPr>
          <w:p w14:paraId="4AA6E647" w14:textId="77777777" w:rsidR="00151527" w:rsidRPr="00DD78A9" w:rsidRDefault="00DD78A9" w:rsidP="008E1A65">
            <w:pPr>
              <w:pStyle w:val="Tabletext"/>
              <w:keepNext/>
              <w:keepLines/>
              <w:jc w:val="center"/>
            </w:pPr>
            <w:r>
              <w:rPr>
                <w:noProof/>
                <w:color w:val="000000"/>
                <w:highlight w:val="black"/>
              </w:rPr>
              <w:t>'''''''''''''''''</w:t>
            </w:r>
            <w:r w:rsidR="006A3E99">
              <w:rPr>
                <w:vertAlign w:val="superscript"/>
              </w:rPr>
              <w:t>4</w:t>
            </w:r>
          </w:p>
        </w:tc>
        <w:tc>
          <w:tcPr>
            <w:tcW w:w="1239" w:type="dxa"/>
            <w:tcBorders>
              <w:top w:val="single" w:sz="4" w:space="0" w:color="auto"/>
              <w:left w:val="single" w:sz="4" w:space="0" w:color="auto"/>
              <w:bottom w:val="single" w:sz="4" w:space="0" w:color="auto"/>
              <w:right w:val="single" w:sz="4" w:space="0" w:color="auto"/>
            </w:tcBorders>
            <w:vAlign w:val="center"/>
            <w:hideMark/>
          </w:tcPr>
          <w:p w14:paraId="7FDD14EB" w14:textId="77777777" w:rsidR="00151527" w:rsidRPr="00DD78A9" w:rsidRDefault="00DD78A9" w:rsidP="008E1A65">
            <w:pPr>
              <w:pStyle w:val="Tabletext"/>
              <w:keepNext/>
              <w:keepLines/>
              <w:jc w:val="center"/>
            </w:pPr>
            <w:r>
              <w:rPr>
                <w:noProof/>
                <w:color w:val="000000"/>
                <w:highlight w:val="black"/>
              </w:rPr>
              <w:t>''''''''''''''''''</w:t>
            </w:r>
            <w:r w:rsidR="006A3E99">
              <w:rPr>
                <w:vertAlign w:val="superscript"/>
              </w:rPr>
              <w:t>9</w:t>
            </w:r>
          </w:p>
        </w:tc>
        <w:tc>
          <w:tcPr>
            <w:tcW w:w="1171" w:type="dxa"/>
            <w:tcBorders>
              <w:top w:val="single" w:sz="4" w:space="0" w:color="auto"/>
              <w:left w:val="single" w:sz="4" w:space="0" w:color="auto"/>
              <w:bottom w:val="single" w:sz="4" w:space="0" w:color="auto"/>
              <w:right w:val="single" w:sz="4" w:space="0" w:color="auto"/>
            </w:tcBorders>
            <w:vAlign w:val="center"/>
            <w:hideMark/>
          </w:tcPr>
          <w:p w14:paraId="5F78877C" w14:textId="77777777" w:rsidR="00151527" w:rsidRPr="00DD78A9" w:rsidRDefault="00DD78A9" w:rsidP="008E1A65">
            <w:pPr>
              <w:pStyle w:val="Tabletext"/>
              <w:keepNext/>
              <w:keepLines/>
              <w:jc w:val="center"/>
            </w:pPr>
            <w:r>
              <w:rPr>
                <w:noProof/>
                <w:color w:val="000000"/>
                <w:highlight w:val="black"/>
              </w:rPr>
              <w:t>''''''''''''''''</w:t>
            </w:r>
            <w:r w:rsidR="006A3E99">
              <w:rPr>
                <w:vertAlign w:val="superscript"/>
              </w:rPr>
              <w:t>13</w:t>
            </w:r>
          </w:p>
        </w:tc>
        <w:tc>
          <w:tcPr>
            <w:tcW w:w="1243" w:type="dxa"/>
            <w:tcBorders>
              <w:top w:val="single" w:sz="4" w:space="0" w:color="auto"/>
              <w:left w:val="single" w:sz="4" w:space="0" w:color="auto"/>
              <w:bottom w:val="single" w:sz="4" w:space="0" w:color="auto"/>
              <w:right w:val="single" w:sz="4" w:space="0" w:color="auto"/>
            </w:tcBorders>
            <w:vAlign w:val="center"/>
            <w:hideMark/>
          </w:tcPr>
          <w:p w14:paraId="2DF293AA" w14:textId="77777777" w:rsidR="00151527" w:rsidRPr="00DD78A9" w:rsidRDefault="00DD78A9" w:rsidP="008E1A65">
            <w:pPr>
              <w:pStyle w:val="Tabletext"/>
              <w:keepNext/>
              <w:keepLines/>
              <w:jc w:val="center"/>
            </w:pPr>
            <w:r>
              <w:rPr>
                <w:noProof/>
                <w:color w:val="000000"/>
                <w:highlight w:val="black"/>
              </w:rPr>
              <w:t>''''''''''''''''</w:t>
            </w:r>
            <w:r w:rsidR="006A3E99">
              <w:rPr>
                <w:vertAlign w:val="superscript"/>
              </w:rPr>
              <w:t>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179EA6" w14:textId="77777777" w:rsidR="00151527" w:rsidRPr="00DD78A9" w:rsidRDefault="00DD78A9" w:rsidP="008E1A65">
            <w:pPr>
              <w:pStyle w:val="Tabletext"/>
              <w:keepNext/>
              <w:keepLines/>
              <w:jc w:val="center"/>
            </w:pPr>
            <w:r>
              <w:rPr>
                <w:noProof/>
                <w:color w:val="000000"/>
                <w:highlight w:val="black"/>
              </w:rPr>
              <w:t>'''''''''''''''''</w:t>
            </w:r>
            <w:r w:rsidR="006A3E99">
              <w:rPr>
                <w:vertAlign w:val="superscript"/>
              </w:rPr>
              <w:t>14</w:t>
            </w:r>
          </w:p>
        </w:tc>
      </w:tr>
      <w:tr w:rsidR="00151527" w:rsidRPr="00894575" w14:paraId="10558CF6" w14:textId="77777777" w:rsidTr="00C51BC1">
        <w:tc>
          <w:tcPr>
            <w:tcW w:w="9493" w:type="dxa"/>
            <w:gridSpan w:val="7"/>
            <w:tcBorders>
              <w:top w:val="single" w:sz="4" w:space="0" w:color="auto"/>
              <w:left w:val="single" w:sz="4" w:space="0" w:color="auto"/>
              <w:bottom w:val="single" w:sz="4" w:space="0" w:color="auto"/>
              <w:right w:val="single" w:sz="4" w:space="0" w:color="auto"/>
            </w:tcBorders>
            <w:vAlign w:val="center"/>
            <w:hideMark/>
          </w:tcPr>
          <w:p w14:paraId="33C7BAC9" w14:textId="77777777" w:rsidR="00151527" w:rsidRPr="00A22F9C" w:rsidRDefault="00151527" w:rsidP="008E1A65">
            <w:pPr>
              <w:pStyle w:val="Tabletext"/>
              <w:keepNext/>
              <w:keepLines/>
            </w:pPr>
            <w:r w:rsidRPr="00A22F9C">
              <w:t>PBS/RPBS cost less co-pay</w:t>
            </w:r>
          </w:p>
        </w:tc>
      </w:tr>
      <w:tr w:rsidR="00151527" w:rsidRPr="00894575" w14:paraId="75A8BAFE" w14:textId="77777777" w:rsidTr="00C51BC1">
        <w:tc>
          <w:tcPr>
            <w:tcW w:w="2122" w:type="dxa"/>
            <w:tcBorders>
              <w:top w:val="single" w:sz="4" w:space="0" w:color="auto"/>
              <w:left w:val="single" w:sz="4" w:space="0" w:color="auto"/>
              <w:bottom w:val="single" w:sz="4" w:space="0" w:color="auto"/>
              <w:right w:val="single" w:sz="4" w:space="0" w:color="auto"/>
            </w:tcBorders>
            <w:vAlign w:val="center"/>
            <w:hideMark/>
          </w:tcPr>
          <w:p w14:paraId="3D0D67F9" w14:textId="77777777" w:rsidR="00151527" w:rsidRPr="00894575" w:rsidRDefault="00151527" w:rsidP="008E1A65">
            <w:pPr>
              <w:pStyle w:val="Tabletext"/>
              <w:keepNext/>
              <w:keepLines/>
            </w:pPr>
            <w:r w:rsidRPr="00894575">
              <w:t>Total (eff)</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5A948C" w14:textId="77777777" w:rsidR="00151527" w:rsidRPr="00DD78A9" w:rsidRDefault="00DD78A9" w:rsidP="008E1A65">
            <w:pPr>
              <w:pStyle w:val="Tabletext"/>
              <w:keepNext/>
              <w:keepLines/>
              <w:jc w:val="center"/>
            </w:pPr>
            <w:r>
              <w:rPr>
                <w:noProof/>
                <w:color w:val="000000"/>
                <w:highlight w:val="black"/>
              </w:rPr>
              <w:t>''''''''''''''''''''''''''''</w:t>
            </w:r>
            <w:r w:rsidR="006A3E99">
              <w:rPr>
                <w:vertAlign w:val="superscript"/>
              </w:rPr>
              <w:t>15</w:t>
            </w:r>
          </w:p>
        </w:tc>
        <w:tc>
          <w:tcPr>
            <w:tcW w:w="1308" w:type="dxa"/>
            <w:tcBorders>
              <w:top w:val="single" w:sz="4" w:space="0" w:color="auto"/>
              <w:left w:val="single" w:sz="4" w:space="0" w:color="auto"/>
              <w:bottom w:val="single" w:sz="4" w:space="0" w:color="auto"/>
              <w:right w:val="single" w:sz="4" w:space="0" w:color="auto"/>
            </w:tcBorders>
            <w:vAlign w:val="center"/>
            <w:hideMark/>
          </w:tcPr>
          <w:p w14:paraId="1C019794" w14:textId="77777777" w:rsidR="00151527" w:rsidRPr="00DD78A9" w:rsidRDefault="00DD78A9" w:rsidP="008E1A65">
            <w:pPr>
              <w:pStyle w:val="Tabletext"/>
              <w:keepNext/>
              <w:keepLines/>
              <w:jc w:val="center"/>
            </w:pPr>
            <w:r>
              <w:rPr>
                <w:noProof/>
                <w:color w:val="000000"/>
                <w:highlight w:val="black"/>
              </w:rPr>
              <w:t>'''''''''''''''''''''''''''''</w:t>
            </w:r>
            <w:r w:rsidR="006A3E99">
              <w:rPr>
                <w:vertAlign w:val="superscript"/>
              </w:rPr>
              <w:t>15</w:t>
            </w:r>
          </w:p>
        </w:tc>
        <w:tc>
          <w:tcPr>
            <w:tcW w:w="1239" w:type="dxa"/>
            <w:tcBorders>
              <w:top w:val="single" w:sz="4" w:space="0" w:color="auto"/>
              <w:left w:val="single" w:sz="4" w:space="0" w:color="auto"/>
              <w:bottom w:val="single" w:sz="4" w:space="0" w:color="auto"/>
              <w:right w:val="single" w:sz="4" w:space="0" w:color="auto"/>
            </w:tcBorders>
            <w:vAlign w:val="center"/>
            <w:hideMark/>
          </w:tcPr>
          <w:p w14:paraId="0420BEA5" w14:textId="77777777" w:rsidR="00151527" w:rsidRPr="00DD78A9" w:rsidRDefault="00DD78A9" w:rsidP="008E1A65">
            <w:pPr>
              <w:pStyle w:val="Tabletext"/>
              <w:keepNext/>
              <w:keepLines/>
              <w:jc w:val="center"/>
            </w:pPr>
            <w:r>
              <w:rPr>
                <w:noProof/>
                <w:color w:val="000000"/>
                <w:highlight w:val="black"/>
              </w:rPr>
              <w:t>''''''''''''''''''''''''''''''</w:t>
            </w:r>
            <w:r w:rsidR="006A3E99">
              <w:rPr>
                <w:vertAlign w:val="superscript"/>
              </w:rPr>
              <w:t>16</w:t>
            </w:r>
          </w:p>
        </w:tc>
        <w:tc>
          <w:tcPr>
            <w:tcW w:w="1171" w:type="dxa"/>
            <w:tcBorders>
              <w:top w:val="single" w:sz="4" w:space="0" w:color="auto"/>
              <w:left w:val="single" w:sz="4" w:space="0" w:color="auto"/>
              <w:bottom w:val="single" w:sz="4" w:space="0" w:color="auto"/>
              <w:right w:val="single" w:sz="4" w:space="0" w:color="auto"/>
            </w:tcBorders>
            <w:vAlign w:val="center"/>
            <w:hideMark/>
          </w:tcPr>
          <w:p w14:paraId="773E640E" w14:textId="77777777" w:rsidR="00151527" w:rsidRPr="00DD78A9" w:rsidRDefault="00DD78A9" w:rsidP="008E1A65">
            <w:pPr>
              <w:pStyle w:val="Tabletext"/>
              <w:keepNext/>
              <w:keepLines/>
              <w:jc w:val="center"/>
            </w:pPr>
            <w:r>
              <w:rPr>
                <w:noProof/>
                <w:color w:val="000000"/>
                <w:highlight w:val="black"/>
              </w:rPr>
              <w:t>'''''''''''''''''''''''''''''''</w:t>
            </w:r>
            <w:r w:rsidR="006A3E99">
              <w:rPr>
                <w:vertAlign w:val="superscript"/>
              </w:rPr>
              <w:t>17</w:t>
            </w:r>
          </w:p>
        </w:tc>
        <w:tc>
          <w:tcPr>
            <w:tcW w:w="1243" w:type="dxa"/>
            <w:tcBorders>
              <w:top w:val="single" w:sz="4" w:space="0" w:color="auto"/>
              <w:left w:val="single" w:sz="4" w:space="0" w:color="auto"/>
              <w:bottom w:val="single" w:sz="4" w:space="0" w:color="auto"/>
              <w:right w:val="single" w:sz="4" w:space="0" w:color="auto"/>
            </w:tcBorders>
            <w:vAlign w:val="center"/>
            <w:hideMark/>
          </w:tcPr>
          <w:p w14:paraId="2F915C0E" w14:textId="77777777" w:rsidR="00151527" w:rsidRPr="00DD78A9" w:rsidRDefault="00DD78A9" w:rsidP="008E1A65">
            <w:pPr>
              <w:pStyle w:val="Tabletext"/>
              <w:keepNext/>
              <w:keepLines/>
              <w:jc w:val="center"/>
            </w:pPr>
            <w:r>
              <w:rPr>
                <w:noProof/>
                <w:color w:val="000000"/>
                <w:highlight w:val="black"/>
              </w:rPr>
              <w:t>''''''''''''''''''''''''''''''''</w:t>
            </w:r>
            <w:r w:rsidR="006A3E99">
              <w:rPr>
                <w:vertAlign w:val="superscript"/>
              </w:rPr>
              <w:t>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855F5F" w14:textId="77777777" w:rsidR="00151527" w:rsidRPr="00DD78A9" w:rsidRDefault="00DD78A9" w:rsidP="008E1A65">
            <w:pPr>
              <w:pStyle w:val="Tabletext"/>
              <w:keepNext/>
              <w:keepLines/>
              <w:jc w:val="center"/>
            </w:pPr>
            <w:r>
              <w:rPr>
                <w:noProof/>
                <w:color w:val="000000"/>
                <w:highlight w:val="black"/>
              </w:rPr>
              <w:t>''''''''''''''''''''''''''</w:t>
            </w:r>
            <w:r w:rsidR="006A3E99">
              <w:rPr>
                <w:vertAlign w:val="superscript"/>
              </w:rPr>
              <w:t>18</w:t>
            </w:r>
          </w:p>
        </w:tc>
      </w:tr>
      <w:tr w:rsidR="00151527" w:rsidRPr="00894575" w14:paraId="1AC4F18F" w14:textId="77777777" w:rsidTr="00C51BC1">
        <w:tc>
          <w:tcPr>
            <w:tcW w:w="2122" w:type="dxa"/>
            <w:tcBorders>
              <w:top w:val="double" w:sz="4" w:space="0" w:color="auto"/>
              <w:left w:val="single" w:sz="4" w:space="0" w:color="auto"/>
              <w:bottom w:val="single" w:sz="4" w:space="0" w:color="auto"/>
              <w:right w:val="single" w:sz="4" w:space="0" w:color="auto"/>
            </w:tcBorders>
            <w:vAlign w:val="center"/>
            <w:hideMark/>
          </w:tcPr>
          <w:p w14:paraId="651A894C" w14:textId="77777777" w:rsidR="00151527" w:rsidRPr="00894575" w:rsidRDefault="00151527" w:rsidP="008E1A65">
            <w:pPr>
              <w:pStyle w:val="Tabletext"/>
              <w:keepNext/>
              <w:keepLines/>
            </w:pPr>
            <w:r w:rsidRPr="00894575">
              <w:t>Total cost of replaced medicines (pub/eff)</w:t>
            </w:r>
          </w:p>
        </w:tc>
        <w:tc>
          <w:tcPr>
            <w:tcW w:w="1134" w:type="dxa"/>
            <w:tcBorders>
              <w:top w:val="double" w:sz="4" w:space="0" w:color="auto"/>
              <w:left w:val="single" w:sz="4" w:space="0" w:color="auto"/>
              <w:bottom w:val="single" w:sz="4" w:space="0" w:color="auto"/>
              <w:right w:val="single" w:sz="4" w:space="0" w:color="auto"/>
            </w:tcBorders>
            <w:vAlign w:val="center"/>
            <w:hideMark/>
          </w:tcPr>
          <w:p w14:paraId="46121F85" w14:textId="77777777" w:rsidR="00151527" w:rsidRPr="00DD78A9" w:rsidRDefault="00DD78A9" w:rsidP="008E1A65">
            <w:pPr>
              <w:pStyle w:val="Tabletext"/>
              <w:keepNext/>
              <w:keepLines/>
              <w:jc w:val="center"/>
            </w:pPr>
            <w:r>
              <w:rPr>
                <w:noProof/>
                <w:color w:val="000000"/>
                <w:highlight w:val="black"/>
              </w:rPr>
              <w:t>''''''</w:t>
            </w:r>
            <w:r w:rsidR="0077199E" w:rsidRPr="0077199E">
              <w:rPr>
                <w:vertAlign w:val="superscript"/>
              </w:rPr>
              <w:t>6</w:t>
            </w:r>
          </w:p>
        </w:tc>
        <w:tc>
          <w:tcPr>
            <w:tcW w:w="1308" w:type="dxa"/>
            <w:tcBorders>
              <w:top w:val="double" w:sz="4" w:space="0" w:color="auto"/>
              <w:left w:val="single" w:sz="4" w:space="0" w:color="auto"/>
              <w:bottom w:val="single" w:sz="4" w:space="0" w:color="auto"/>
              <w:right w:val="single" w:sz="4" w:space="0" w:color="auto"/>
            </w:tcBorders>
            <w:vAlign w:val="center"/>
            <w:hideMark/>
          </w:tcPr>
          <w:p w14:paraId="40501545" w14:textId="77777777" w:rsidR="00151527" w:rsidRPr="00DD78A9" w:rsidRDefault="00DD78A9" w:rsidP="008E1A65">
            <w:pPr>
              <w:pStyle w:val="Tabletext"/>
              <w:keepNext/>
              <w:keepLines/>
              <w:jc w:val="center"/>
            </w:pPr>
            <w:r>
              <w:rPr>
                <w:noProof/>
                <w:color w:val="000000"/>
                <w:highlight w:val="black"/>
              </w:rPr>
              <w:t>''''''</w:t>
            </w:r>
            <w:r w:rsidR="0077199E" w:rsidRPr="00574009">
              <w:rPr>
                <w:vertAlign w:val="superscript"/>
              </w:rPr>
              <w:t>6</w:t>
            </w:r>
          </w:p>
        </w:tc>
        <w:tc>
          <w:tcPr>
            <w:tcW w:w="1239" w:type="dxa"/>
            <w:tcBorders>
              <w:top w:val="double" w:sz="4" w:space="0" w:color="auto"/>
              <w:left w:val="single" w:sz="4" w:space="0" w:color="auto"/>
              <w:bottom w:val="single" w:sz="4" w:space="0" w:color="auto"/>
              <w:right w:val="single" w:sz="4" w:space="0" w:color="auto"/>
            </w:tcBorders>
            <w:vAlign w:val="center"/>
            <w:hideMark/>
          </w:tcPr>
          <w:p w14:paraId="5B4CDDBE" w14:textId="77777777" w:rsidR="00151527" w:rsidRPr="00DD78A9" w:rsidRDefault="00DD78A9" w:rsidP="008E1A65">
            <w:pPr>
              <w:pStyle w:val="Tabletext"/>
              <w:keepNext/>
              <w:keepLines/>
              <w:jc w:val="center"/>
            </w:pPr>
            <w:r>
              <w:rPr>
                <w:noProof/>
                <w:color w:val="000000"/>
                <w:highlight w:val="black"/>
              </w:rPr>
              <w:t>'''''''</w:t>
            </w:r>
            <w:r w:rsidR="0077199E" w:rsidRPr="00574009">
              <w:rPr>
                <w:vertAlign w:val="superscript"/>
              </w:rPr>
              <w:t>6</w:t>
            </w:r>
          </w:p>
        </w:tc>
        <w:tc>
          <w:tcPr>
            <w:tcW w:w="1171" w:type="dxa"/>
            <w:tcBorders>
              <w:top w:val="double" w:sz="4" w:space="0" w:color="auto"/>
              <w:left w:val="single" w:sz="4" w:space="0" w:color="auto"/>
              <w:bottom w:val="single" w:sz="4" w:space="0" w:color="auto"/>
              <w:right w:val="single" w:sz="4" w:space="0" w:color="auto"/>
            </w:tcBorders>
            <w:vAlign w:val="center"/>
            <w:hideMark/>
          </w:tcPr>
          <w:p w14:paraId="2EE3AE85" w14:textId="77777777" w:rsidR="00151527" w:rsidRPr="00DD78A9" w:rsidRDefault="00DD78A9" w:rsidP="008E1A65">
            <w:pPr>
              <w:pStyle w:val="Tabletext"/>
              <w:keepNext/>
              <w:keepLines/>
              <w:jc w:val="center"/>
            </w:pPr>
            <w:r>
              <w:rPr>
                <w:noProof/>
                <w:color w:val="000000"/>
                <w:highlight w:val="black"/>
              </w:rPr>
              <w:t>'''''''</w:t>
            </w:r>
            <w:r w:rsidR="0077199E" w:rsidRPr="00574009">
              <w:rPr>
                <w:vertAlign w:val="superscript"/>
              </w:rPr>
              <w:t>6</w:t>
            </w:r>
          </w:p>
        </w:tc>
        <w:tc>
          <w:tcPr>
            <w:tcW w:w="1243" w:type="dxa"/>
            <w:tcBorders>
              <w:top w:val="double" w:sz="4" w:space="0" w:color="auto"/>
              <w:left w:val="single" w:sz="4" w:space="0" w:color="auto"/>
              <w:bottom w:val="single" w:sz="4" w:space="0" w:color="auto"/>
              <w:right w:val="single" w:sz="4" w:space="0" w:color="auto"/>
            </w:tcBorders>
            <w:vAlign w:val="center"/>
            <w:hideMark/>
          </w:tcPr>
          <w:p w14:paraId="6FAAFEC1" w14:textId="77777777" w:rsidR="00151527" w:rsidRPr="00DD78A9" w:rsidRDefault="00DD78A9" w:rsidP="008E1A65">
            <w:pPr>
              <w:pStyle w:val="Tabletext"/>
              <w:keepNext/>
              <w:keepLines/>
              <w:jc w:val="center"/>
            </w:pPr>
            <w:r>
              <w:rPr>
                <w:noProof/>
                <w:color w:val="000000"/>
                <w:highlight w:val="black"/>
              </w:rPr>
              <w:t>''''''</w:t>
            </w:r>
            <w:r w:rsidR="0077199E" w:rsidRPr="00574009">
              <w:rPr>
                <w:vertAlign w:val="superscript"/>
              </w:rPr>
              <w:t>6</w:t>
            </w:r>
          </w:p>
        </w:tc>
        <w:tc>
          <w:tcPr>
            <w:tcW w:w="1276" w:type="dxa"/>
            <w:tcBorders>
              <w:top w:val="double" w:sz="4" w:space="0" w:color="auto"/>
              <w:left w:val="single" w:sz="4" w:space="0" w:color="auto"/>
              <w:bottom w:val="single" w:sz="4" w:space="0" w:color="auto"/>
              <w:right w:val="single" w:sz="4" w:space="0" w:color="auto"/>
            </w:tcBorders>
            <w:vAlign w:val="center"/>
            <w:hideMark/>
          </w:tcPr>
          <w:p w14:paraId="0DFC152C" w14:textId="77777777" w:rsidR="00151527" w:rsidRPr="00DD78A9" w:rsidRDefault="00DD78A9" w:rsidP="008E1A65">
            <w:pPr>
              <w:pStyle w:val="Tabletext"/>
              <w:keepNext/>
              <w:keepLines/>
              <w:jc w:val="center"/>
            </w:pPr>
            <w:r>
              <w:rPr>
                <w:noProof/>
                <w:color w:val="000000"/>
                <w:highlight w:val="black"/>
              </w:rPr>
              <w:t>'''''''</w:t>
            </w:r>
            <w:r w:rsidR="0077199E" w:rsidRPr="00574009">
              <w:rPr>
                <w:vertAlign w:val="superscript"/>
              </w:rPr>
              <w:t>6</w:t>
            </w:r>
          </w:p>
        </w:tc>
      </w:tr>
      <w:tr w:rsidR="00151527" w:rsidRPr="00894575" w14:paraId="218B1153" w14:textId="77777777" w:rsidTr="00C51BC1">
        <w:tc>
          <w:tcPr>
            <w:tcW w:w="2122" w:type="dxa"/>
            <w:tcBorders>
              <w:top w:val="double" w:sz="4" w:space="0" w:color="auto"/>
              <w:left w:val="single" w:sz="4" w:space="0" w:color="auto"/>
              <w:bottom w:val="single" w:sz="4" w:space="0" w:color="auto"/>
              <w:right w:val="single" w:sz="4" w:space="0" w:color="auto"/>
            </w:tcBorders>
            <w:vAlign w:val="center"/>
            <w:hideMark/>
          </w:tcPr>
          <w:p w14:paraId="1073B3C0" w14:textId="77777777" w:rsidR="00151527" w:rsidRPr="00894575" w:rsidRDefault="00151527" w:rsidP="008E1A65">
            <w:pPr>
              <w:pStyle w:val="Tabletext"/>
              <w:keepNext/>
              <w:keepLines/>
            </w:pPr>
            <w:r w:rsidRPr="00894575">
              <w:t>Net cost to PBS/RPBS (eff)</w:t>
            </w:r>
          </w:p>
        </w:tc>
        <w:tc>
          <w:tcPr>
            <w:tcW w:w="1134" w:type="dxa"/>
            <w:tcBorders>
              <w:top w:val="double" w:sz="4" w:space="0" w:color="auto"/>
              <w:left w:val="single" w:sz="4" w:space="0" w:color="auto"/>
              <w:bottom w:val="single" w:sz="4" w:space="0" w:color="auto"/>
              <w:right w:val="single" w:sz="4" w:space="0" w:color="auto"/>
            </w:tcBorders>
            <w:vAlign w:val="center"/>
            <w:hideMark/>
          </w:tcPr>
          <w:p w14:paraId="41C37416" w14:textId="77777777" w:rsidR="00151527" w:rsidRPr="00DD78A9" w:rsidRDefault="00DD78A9" w:rsidP="008E1A65">
            <w:pPr>
              <w:pStyle w:val="Tabletext"/>
              <w:keepNext/>
              <w:keepLines/>
              <w:jc w:val="center"/>
            </w:pPr>
            <w:r>
              <w:rPr>
                <w:noProof/>
                <w:color w:val="000000"/>
                <w:highlight w:val="black"/>
              </w:rPr>
              <w:t>'''''''''''''''''''''''''''</w:t>
            </w:r>
            <w:r w:rsidR="006A3E99">
              <w:rPr>
                <w:vertAlign w:val="superscript"/>
              </w:rPr>
              <w:t>15</w:t>
            </w:r>
          </w:p>
        </w:tc>
        <w:tc>
          <w:tcPr>
            <w:tcW w:w="1308" w:type="dxa"/>
            <w:tcBorders>
              <w:top w:val="double" w:sz="4" w:space="0" w:color="auto"/>
              <w:left w:val="single" w:sz="4" w:space="0" w:color="auto"/>
              <w:bottom w:val="single" w:sz="4" w:space="0" w:color="auto"/>
              <w:right w:val="single" w:sz="4" w:space="0" w:color="auto"/>
            </w:tcBorders>
            <w:vAlign w:val="center"/>
            <w:hideMark/>
          </w:tcPr>
          <w:p w14:paraId="024957B2" w14:textId="77777777" w:rsidR="00151527" w:rsidRPr="00DD78A9" w:rsidRDefault="00DD78A9" w:rsidP="008E1A65">
            <w:pPr>
              <w:pStyle w:val="Tabletext"/>
              <w:keepNext/>
              <w:keepLines/>
              <w:jc w:val="center"/>
            </w:pPr>
            <w:r>
              <w:rPr>
                <w:noProof/>
                <w:color w:val="000000"/>
                <w:highlight w:val="black"/>
              </w:rPr>
              <w:t>''''''''''''''''''''''''''''''''</w:t>
            </w:r>
            <w:r w:rsidR="006A3E99">
              <w:rPr>
                <w:vertAlign w:val="superscript"/>
              </w:rPr>
              <w:t>15</w:t>
            </w:r>
          </w:p>
        </w:tc>
        <w:tc>
          <w:tcPr>
            <w:tcW w:w="1239" w:type="dxa"/>
            <w:tcBorders>
              <w:top w:val="double" w:sz="4" w:space="0" w:color="auto"/>
              <w:left w:val="single" w:sz="4" w:space="0" w:color="auto"/>
              <w:bottom w:val="single" w:sz="4" w:space="0" w:color="auto"/>
              <w:right w:val="single" w:sz="4" w:space="0" w:color="auto"/>
            </w:tcBorders>
            <w:vAlign w:val="center"/>
            <w:hideMark/>
          </w:tcPr>
          <w:p w14:paraId="52B60A20" w14:textId="77777777" w:rsidR="00151527" w:rsidRPr="00DD78A9" w:rsidRDefault="00DD78A9" w:rsidP="008E1A65">
            <w:pPr>
              <w:pStyle w:val="Tabletext"/>
              <w:keepNext/>
              <w:keepLines/>
              <w:jc w:val="center"/>
            </w:pPr>
            <w:r>
              <w:rPr>
                <w:noProof/>
                <w:color w:val="000000"/>
                <w:highlight w:val="black"/>
              </w:rPr>
              <w:t>'''''''''''''''''''''''''''</w:t>
            </w:r>
            <w:r w:rsidR="006A3E99">
              <w:rPr>
                <w:vertAlign w:val="superscript"/>
              </w:rPr>
              <w:t>16</w:t>
            </w:r>
          </w:p>
        </w:tc>
        <w:tc>
          <w:tcPr>
            <w:tcW w:w="1171" w:type="dxa"/>
            <w:tcBorders>
              <w:top w:val="double" w:sz="4" w:space="0" w:color="auto"/>
              <w:left w:val="single" w:sz="4" w:space="0" w:color="auto"/>
              <w:bottom w:val="single" w:sz="4" w:space="0" w:color="auto"/>
              <w:right w:val="single" w:sz="4" w:space="0" w:color="auto"/>
            </w:tcBorders>
            <w:vAlign w:val="center"/>
            <w:hideMark/>
          </w:tcPr>
          <w:p w14:paraId="2CAF4BE3" w14:textId="77777777" w:rsidR="00151527" w:rsidRPr="00DD78A9" w:rsidRDefault="00DD78A9" w:rsidP="008E1A65">
            <w:pPr>
              <w:pStyle w:val="Tabletext"/>
              <w:keepNext/>
              <w:keepLines/>
              <w:jc w:val="center"/>
            </w:pPr>
            <w:r>
              <w:rPr>
                <w:noProof/>
                <w:color w:val="000000"/>
                <w:highlight w:val="black"/>
              </w:rPr>
              <w:t>''''''''''''''''''''''''''''</w:t>
            </w:r>
            <w:r w:rsidR="006A3E99">
              <w:rPr>
                <w:vertAlign w:val="superscript"/>
              </w:rPr>
              <w:t>17</w:t>
            </w:r>
          </w:p>
        </w:tc>
        <w:tc>
          <w:tcPr>
            <w:tcW w:w="1243" w:type="dxa"/>
            <w:tcBorders>
              <w:top w:val="double" w:sz="4" w:space="0" w:color="auto"/>
              <w:left w:val="single" w:sz="4" w:space="0" w:color="auto"/>
              <w:bottom w:val="single" w:sz="4" w:space="0" w:color="auto"/>
              <w:right w:val="single" w:sz="4" w:space="0" w:color="auto"/>
            </w:tcBorders>
            <w:vAlign w:val="center"/>
            <w:hideMark/>
          </w:tcPr>
          <w:p w14:paraId="5BFF2146" w14:textId="77777777" w:rsidR="00151527" w:rsidRPr="00DD78A9" w:rsidRDefault="00DD78A9" w:rsidP="008E1A65">
            <w:pPr>
              <w:pStyle w:val="Tabletext"/>
              <w:keepNext/>
              <w:keepLines/>
              <w:jc w:val="center"/>
            </w:pPr>
            <w:r>
              <w:rPr>
                <w:noProof/>
                <w:color w:val="000000"/>
                <w:highlight w:val="black"/>
              </w:rPr>
              <w:t>'''''''''''''''''''''''''''</w:t>
            </w:r>
            <w:r w:rsidR="006A3E99">
              <w:rPr>
                <w:vertAlign w:val="superscript"/>
              </w:rPr>
              <w:t>17</w:t>
            </w:r>
          </w:p>
        </w:tc>
        <w:tc>
          <w:tcPr>
            <w:tcW w:w="1276" w:type="dxa"/>
            <w:tcBorders>
              <w:top w:val="double" w:sz="4" w:space="0" w:color="auto"/>
              <w:left w:val="single" w:sz="4" w:space="0" w:color="auto"/>
              <w:bottom w:val="single" w:sz="4" w:space="0" w:color="auto"/>
              <w:right w:val="single" w:sz="4" w:space="0" w:color="auto"/>
            </w:tcBorders>
            <w:vAlign w:val="center"/>
            <w:hideMark/>
          </w:tcPr>
          <w:p w14:paraId="65AC6427" w14:textId="77777777" w:rsidR="00151527" w:rsidRPr="00DD78A9" w:rsidRDefault="00DD78A9" w:rsidP="008E1A65">
            <w:pPr>
              <w:pStyle w:val="Tabletext"/>
              <w:keepNext/>
              <w:keepLines/>
              <w:jc w:val="center"/>
            </w:pPr>
            <w:r>
              <w:rPr>
                <w:noProof/>
                <w:color w:val="000000"/>
                <w:highlight w:val="black"/>
              </w:rPr>
              <w:t>''''''''''''''''''''''''''''''''</w:t>
            </w:r>
            <w:r w:rsidR="006A3E99">
              <w:rPr>
                <w:vertAlign w:val="superscript"/>
              </w:rPr>
              <w:t>18</w:t>
            </w:r>
          </w:p>
        </w:tc>
      </w:tr>
      <w:tr w:rsidR="00151527" w:rsidRPr="00894575" w14:paraId="0708C728" w14:textId="77777777" w:rsidTr="00C51BC1">
        <w:tc>
          <w:tcPr>
            <w:tcW w:w="2122" w:type="dxa"/>
            <w:tcBorders>
              <w:top w:val="single" w:sz="4" w:space="0" w:color="auto"/>
              <w:left w:val="single" w:sz="4" w:space="0" w:color="auto"/>
              <w:bottom w:val="single" w:sz="4" w:space="0" w:color="auto"/>
              <w:right w:val="single" w:sz="4" w:space="0" w:color="auto"/>
            </w:tcBorders>
            <w:vAlign w:val="center"/>
            <w:hideMark/>
          </w:tcPr>
          <w:p w14:paraId="6F2458DE" w14:textId="77777777" w:rsidR="00151527" w:rsidRPr="00894575" w:rsidRDefault="00151527" w:rsidP="008E1A65">
            <w:pPr>
              <w:pStyle w:val="Tabletext"/>
              <w:keepNext/>
              <w:keepLines/>
            </w:pPr>
            <w:r w:rsidRPr="00894575">
              <w:t>Net MBS costs</w:t>
            </w:r>
            <w:r w:rsidR="00A22F9C">
              <w:rPr>
                <w:vertAlign w:val="superscript"/>
              </w:rPr>
              <w:t>b</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7233EF" w14:textId="77777777" w:rsidR="00151527" w:rsidRPr="00DD78A9" w:rsidRDefault="00DD78A9" w:rsidP="008E1A65">
            <w:pPr>
              <w:pStyle w:val="Tabletext"/>
              <w:keepNext/>
              <w:keepLines/>
              <w:jc w:val="center"/>
            </w:pPr>
            <w:r>
              <w:rPr>
                <w:noProof/>
                <w:color w:val="000000"/>
                <w:highlight w:val="black"/>
              </w:rPr>
              <w:t>'''''''''''''''''''''''</w:t>
            </w:r>
            <w:r w:rsidR="006A3E99">
              <w:rPr>
                <w:vertAlign w:val="superscript"/>
              </w:rPr>
              <w:t>19</w:t>
            </w:r>
          </w:p>
        </w:tc>
        <w:tc>
          <w:tcPr>
            <w:tcW w:w="1308" w:type="dxa"/>
            <w:tcBorders>
              <w:top w:val="single" w:sz="4" w:space="0" w:color="auto"/>
              <w:left w:val="single" w:sz="4" w:space="0" w:color="auto"/>
              <w:bottom w:val="single" w:sz="4" w:space="0" w:color="auto"/>
              <w:right w:val="single" w:sz="4" w:space="0" w:color="auto"/>
            </w:tcBorders>
            <w:vAlign w:val="center"/>
            <w:hideMark/>
          </w:tcPr>
          <w:p w14:paraId="183F3842" w14:textId="77777777" w:rsidR="00151527" w:rsidRPr="00DD78A9" w:rsidRDefault="00DD78A9" w:rsidP="008E1A65">
            <w:pPr>
              <w:pStyle w:val="Tabletext"/>
              <w:keepNext/>
              <w:keepLines/>
              <w:jc w:val="center"/>
            </w:pPr>
            <w:r>
              <w:rPr>
                <w:noProof/>
                <w:color w:val="000000"/>
                <w:highlight w:val="black"/>
              </w:rPr>
              <w:t>'''''''''''''''''''''''</w:t>
            </w:r>
            <w:r w:rsidR="006A3E99">
              <w:rPr>
                <w:vertAlign w:val="superscript"/>
              </w:rPr>
              <w:t>19</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5E0D0C" w14:textId="77777777" w:rsidR="00151527" w:rsidRPr="00DD78A9" w:rsidRDefault="00DD78A9" w:rsidP="008E1A65">
            <w:pPr>
              <w:pStyle w:val="Tabletext"/>
              <w:keepNext/>
              <w:keepLines/>
              <w:jc w:val="center"/>
            </w:pPr>
            <w:r>
              <w:rPr>
                <w:noProof/>
                <w:color w:val="000000"/>
                <w:highlight w:val="black"/>
              </w:rPr>
              <w:t>'''''''''''''''''''''''''</w:t>
            </w:r>
            <w:r w:rsidR="006A3E99">
              <w:rPr>
                <w:vertAlign w:val="superscript"/>
              </w:rPr>
              <w:t>19</w:t>
            </w:r>
          </w:p>
        </w:tc>
        <w:tc>
          <w:tcPr>
            <w:tcW w:w="1171" w:type="dxa"/>
            <w:tcBorders>
              <w:top w:val="single" w:sz="4" w:space="0" w:color="auto"/>
              <w:left w:val="single" w:sz="4" w:space="0" w:color="auto"/>
              <w:bottom w:val="single" w:sz="4" w:space="0" w:color="auto"/>
              <w:right w:val="single" w:sz="4" w:space="0" w:color="auto"/>
            </w:tcBorders>
            <w:vAlign w:val="center"/>
            <w:hideMark/>
          </w:tcPr>
          <w:p w14:paraId="4F2773BA" w14:textId="77777777" w:rsidR="00151527" w:rsidRPr="00DD78A9" w:rsidRDefault="00DD78A9" w:rsidP="008E1A65">
            <w:pPr>
              <w:pStyle w:val="Tabletext"/>
              <w:keepNext/>
              <w:keepLines/>
              <w:jc w:val="center"/>
            </w:pPr>
            <w:r>
              <w:rPr>
                <w:noProof/>
                <w:color w:val="000000"/>
                <w:highlight w:val="black"/>
              </w:rPr>
              <w:t>''''''''''''''''''''''''</w:t>
            </w:r>
            <w:r w:rsidR="006A3E99">
              <w:rPr>
                <w:vertAlign w:val="superscript"/>
              </w:rPr>
              <w:t>19</w:t>
            </w:r>
          </w:p>
        </w:tc>
        <w:tc>
          <w:tcPr>
            <w:tcW w:w="1243" w:type="dxa"/>
            <w:tcBorders>
              <w:top w:val="single" w:sz="4" w:space="0" w:color="auto"/>
              <w:left w:val="single" w:sz="4" w:space="0" w:color="auto"/>
              <w:bottom w:val="single" w:sz="4" w:space="0" w:color="auto"/>
              <w:right w:val="single" w:sz="4" w:space="0" w:color="auto"/>
            </w:tcBorders>
            <w:vAlign w:val="center"/>
            <w:hideMark/>
          </w:tcPr>
          <w:p w14:paraId="378F95C4" w14:textId="77777777" w:rsidR="00151527" w:rsidRPr="00DD78A9" w:rsidRDefault="00DD78A9" w:rsidP="008E1A65">
            <w:pPr>
              <w:pStyle w:val="Tabletext"/>
              <w:keepNext/>
              <w:keepLines/>
              <w:jc w:val="center"/>
            </w:pPr>
            <w:r>
              <w:rPr>
                <w:noProof/>
                <w:color w:val="000000"/>
                <w:highlight w:val="black"/>
              </w:rPr>
              <w:t>'''''''''''''''''''''''</w:t>
            </w:r>
            <w:r w:rsidR="006A3E99">
              <w:rPr>
                <w:vertAlign w:val="superscript"/>
              </w:rPr>
              <w:t>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7148F6" w14:textId="77777777" w:rsidR="00151527" w:rsidRPr="00DD78A9" w:rsidRDefault="00DD78A9" w:rsidP="008E1A65">
            <w:pPr>
              <w:pStyle w:val="Tabletext"/>
              <w:keepNext/>
              <w:keepLines/>
              <w:jc w:val="center"/>
            </w:pPr>
            <w:r>
              <w:rPr>
                <w:noProof/>
                <w:color w:val="000000"/>
                <w:highlight w:val="black"/>
              </w:rPr>
              <w:t>'''''''''''''''''''''''</w:t>
            </w:r>
            <w:r w:rsidR="006A3E99">
              <w:rPr>
                <w:vertAlign w:val="superscript"/>
              </w:rPr>
              <w:t>19</w:t>
            </w:r>
          </w:p>
        </w:tc>
      </w:tr>
      <w:tr w:rsidR="00151527" w:rsidRPr="00894575" w14:paraId="4EE4B7BA" w14:textId="77777777" w:rsidTr="00C51BC1">
        <w:tc>
          <w:tcPr>
            <w:tcW w:w="2122" w:type="dxa"/>
            <w:tcBorders>
              <w:top w:val="single" w:sz="4" w:space="0" w:color="auto"/>
              <w:left w:val="single" w:sz="4" w:space="0" w:color="auto"/>
              <w:bottom w:val="single" w:sz="4" w:space="0" w:color="auto"/>
              <w:right w:val="single" w:sz="4" w:space="0" w:color="auto"/>
            </w:tcBorders>
            <w:vAlign w:val="center"/>
            <w:hideMark/>
          </w:tcPr>
          <w:p w14:paraId="76CD0F70" w14:textId="77777777" w:rsidR="00151527" w:rsidRPr="00894575" w:rsidRDefault="00151527" w:rsidP="008E1A65">
            <w:pPr>
              <w:pStyle w:val="Tabletext"/>
              <w:keepNext/>
              <w:keepLines/>
            </w:pPr>
            <w:r w:rsidRPr="00894575">
              <w:t>Net cost to Government health budget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D62796" w14:textId="77777777" w:rsidR="00151527" w:rsidRPr="00DD78A9" w:rsidRDefault="00DD78A9" w:rsidP="008E1A65">
            <w:pPr>
              <w:pStyle w:val="Tabletext"/>
              <w:keepNext/>
              <w:keepLines/>
              <w:jc w:val="center"/>
            </w:pPr>
            <w:r>
              <w:rPr>
                <w:noProof/>
                <w:color w:val="000000"/>
                <w:highlight w:val="black"/>
              </w:rPr>
              <w:t>''''''''''''''''''''''''''''''</w:t>
            </w:r>
            <w:r w:rsidR="006A3E99">
              <w:rPr>
                <w:vertAlign w:val="superscript"/>
              </w:rPr>
              <w:t>15</w:t>
            </w:r>
          </w:p>
        </w:tc>
        <w:tc>
          <w:tcPr>
            <w:tcW w:w="1308" w:type="dxa"/>
            <w:tcBorders>
              <w:top w:val="single" w:sz="4" w:space="0" w:color="auto"/>
              <w:left w:val="single" w:sz="4" w:space="0" w:color="auto"/>
              <w:bottom w:val="single" w:sz="4" w:space="0" w:color="auto"/>
              <w:right w:val="single" w:sz="4" w:space="0" w:color="auto"/>
            </w:tcBorders>
            <w:vAlign w:val="center"/>
            <w:hideMark/>
          </w:tcPr>
          <w:p w14:paraId="39B96E8C" w14:textId="77777777" w:rsidR="00151527" w:rsidRPr="00DD78A9" w:rsidRDefault="00DD78A9" w:rsidP="008E1A65">
            <w:pPr>
              <w:pStyle w:val="Tabletext"/>
              <w:keepNext/>
              <w:keepLines/>
              <w:jc w:val="center"/>
            </w:pPr>
            <w:r>
              <w:rPr>
                <w:noProof/>
                <w:color w:val="000000"/>
                <w:highlight w:val="black"/>
              </w:rPr>
              <w:t>''''''''''''''''''''''''''''</w:t>
            </w:r>
            <w:r w:rsidR="006A3E99">
              <w:rPr>
                <w:vertAlign w:val="superscript"/>
              </w:rPr>
              <w:t>15</w:t>
            </w:r>
          </w:p>
        </w:tc>
        <w:tc>
          <w:tcPr>
            <w:tcW w:w="1239" w:type="dxa"/>
            <w:tcBorders>
              <w:top w:val="single" w:sz="4" w:space="0" w:color="auto"/>
              <w:left w:val="single" w:sz="4" w:space="0" w:color="auto"/>
              <w:bottom w:val="single" w:sz="4" w:space="0" w:color="auto"/>
              <w:right w:val="single" w:sz="4" w:space="0" w:color="auto"/>
            </w:tcBorders>
            <w:vAlign w:val="center"/>
            <w:hideMark/>
          </w:tcPr>
          <w:p w14:paraId="19D2CE86" w14:textId="77777777" w:rsidR="00151527" w:rsidRPr="00DD78A9" w:rsidRDefault="00DD78A9" w:rsidP="008E1A65">
            <w:pPr>
              <w:pStyle w:val="Tabletext"/>
              <w:keepNext/>
              <w:keepLines/>
              <w:jc w:val="center"/>
            </w:pPr>
            <w:r>
              <w:rPr>
                <w:noProof/>
                <w:color w:val="000000"/>
                <w:highlight w:val="black"/>
              </w:rPr>
              <w:t>'''''''''''''''''''''''''''''''</w:t>
            </w:r>
            <w:r w:rsidR="006A3E99">
              <w:rPr>
                <w:vertAlign w:val="superscript"/>
              </w:rPr>
              <w:t>16</w:t>
            </w:r>
          </w:p>
        </w:tc>
        <w:tc>
          <w:tcPr>
            <w:tcW w:w="1171" w:type="dxa"/>
            <w:tcBorders>
              <w:top w:val="single" w:sz="4" w:space="0" w:color="auto"/>
              <w:left w:val="single" w:sz="4" w:space="0" w:color="auto"/>
              <w:bottom w:val="single" w:sz="4" w:space="0" w:color="auto"/>
              <w:right w:val="single" w:sz="4" w:space="0" w:color="auto"/>
            </w:tcBorders>
            <w:vAlign w:val="center"/>
            <w:hideMark/>
          </w:tcPr>
          <w:p w14:paraId="4749A01A" w14:textId="77777777" w:rsidR="00151527" w:rsidRPr="00DD78A9" w:rsidRDefault="00DD78A9" w:rsidP="008E1A65">
            <w:pPr>
              <w:pStyle w:val="Tabletext"/>
              <w:keepNext/>
              <w:keepLines/>
              <w:jc w:val="center"/>
            </w:pPr>
            <w:r>
              <w:rPr>
                <w:noProof/>
                <w:color w:val="000000"/>
                <w:highlight w:val="black"/>
              </w:rPr>
              <w:t>''''''''''''''''''''''''''''''</w:t>
            </w:r>
            <w:r w:rsidR="006A3E99">
              <w:rPr>
                <w:vertAlign w:val="superscript"/>
              </w:rPr>
              <w:t>17</w:t>
            </w:r>
          </w:p>
        </w:tc>
        <w:tc>
          <w:tcPr>
            <w:tcW w:w="1243" w:type="dxa"/>
            <w:tcBorders>
              <w:top w:val="single" w:sz="4" w:space="0" w:color="auto"/>
              <w:left w:val="single" w:sz="4" w:space="0" w:color="auto"/>
              <w:bottom w:val="single" w:sz="4" w:space="0" w:color="auto"/>
              <w:right w:val="single" w:sz="4" w:space="0" w:color="auto"/>
            </w:tcBorders>
            <w:vAlign w:val="center"/>
            <w:hideMark/>
          </w:tcPr>
          <w:p w14:paraId="6E8FF2D7" w14:textId="77777777" w:rsidR="00151527" w:rsidRPr="00DD78A9" w:rsidRDefault="00DD78A9" w:rsidP="008E1A65">
            <w:pPr>
              <w:pStyle w:val="Tabletext"/>
              <w:keepNext/>
              <w:keepLines/>
              <w:jc w:val="center"/>
            </w:pPr>
            <w:r>
              <w:rPr>
                <w:noProof/>
                <w:color w:val="000000"/>
                <w:highlight w:val="black"/>
              </w:rPr>
              <w:t>''''''''''''''''''''''''''''''</w:t>
            </w:r>
            <w:r w:rsidR="006A3E99">
              <w:rPr>
                <w:vertAlign w:val="superscript"/>
              </w:rPr>
              <w:t>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640370" w14:textId="77777777" w:rsidR="00151527" w:rsidRPr="00DD78A9" w:rsidRDefault="00DD78A9" w:rsidP="008E1A65">
            <w:pPr>
              <w:pStyle w:val="Tabletext"/>
              <w:keepNext/>
              <w:keepLines/>
              <w:jc w:val="center"/>
            </w:pPr>
            <w:r>
              <w:rPr>
                <w:noProof/>
                <w:color w:val="000000"/>
                <w:highlight w:val="black"/>
              </w:rPr>
              <w:t>''''''''''''''''''''''''''''''''</w:t>
            </w:r>
            <w:r w:rsidR="006A3E99">
              <w:rPr>
                <w:vertAlign w:val="superscript"/>
              </w:rPr>
              <w:t>18</w:t>
            </w:r>
          </w:p>
        </w:tc>
      </w:tr>
    </w:tbl>
    <w:p w14:paraId="376944D2" w14:textId="77777777" w:rsidR="00151527" w:rsidRDefault="00151527" w:rsidP="00151527">
      <w:pPr>
        <w:pStyle w:val="TableFooter"/>
        <w:keepNext/>
        <w:keepLines/>
      </w:pPr>
      <w:r w:rsidRPr="00894575">
        <w:t>CRS= chronic rhinosinusitis; CRSwNP= chronic rhinosinusitis with nasal polyps; eff=effective; MBS= Medicare benefits schedule; NP= nasal polyps; PBS= pharmaceuticals benefits scheme; pub= published</w:t>
      </w:r>
    </w:p>
    <w:p w14:paraId="5C81F57E" w14:textId="77777777" w:rsidR="00A22F9C" w:rsidRDefault="00A22F9C" w:rsidP="00151527">
      <w:pPr>
        <w:pStyle w:val="TableFooter"/>
        <w:keepNext/>
        <w:keepLines/>
      </w:pPr>
      <w:r>
        <w:rPr>
          <w:vertAlign w:val="superscript"/>
        </w:rPr>
        <w:t>a</w:t>
      </w:r>
      <w:r>
        <w:t xml:space="preserve"> </w:t>
      </w:r>
      <w:r w:rsidRPr="00894575">
        <w:t>The dosing, duration and population split used in the submission’s financial model were inaccurate. These were rectified during the evaluation</w:t>
      </w:r>
      <w:r>
        <w:t>.</w:t>
      </w:r>
    </w:p>
    <w:p w14:paraId="00B3CE60" w14:textId="77777777" w:rsidR="00A22F9C" w:rsidRDefault="00A22F9C" w:rsidP="00151527">
      <w:pPr>
        <w:pStyle w:val="TableFooter"/>
        <w:keepNext/>
        <w:keepLines/>
      </w:pPr>
      <w:r>
        <w:rPr>
          <w:vertAlign w:val="superscript"/>
        </w:rPr>
        <w:t>b</w:t>
      </w:r>
      <w:r>
        <w:t xml:space="preserve"> </w:t>
      </w:r>
      <w:r w:rsidRPr="00894575">
        <w:t>The MBS costs presented by the submission were incorrect for continuing patients where costs were not calculated for the total number of continuing patients (i.e. only newly continuing patients were considered for that given year). This was rectified during the evaluation</w:t>
      </w:r>
      <w:r w:rsidR="00870DD6">
        <w:t>.</w:t>
      </w:r>
    </w:p>
    <w:p w14:paraId="0D00E60F" w14:textId="77777777" w:rsidR="00264BA6" w:rsidRPr="006A3E99" w:rsidRDefault="00264BA6" w:rsidP="00151527">
      <w:pPr>
        <w:pStyle w:val="TableFooter"/>
        <w:keepNext/>
        <w:keepLines/>
        <w:rPr>
          <w:i/>
        </w:rPr>
      </w:pPr>
      <w:r w:rsidRPr="006A3E99">
        <w:rPr>
          <w:i/>
        </w:rPr>
        <w:t>The redacted values correspond to the following ranges:</w:t>
      </w:r>
    </w:p>
    <w:p w14:paraId="7686953B" w14:textId="77777777" w:rsidR="00264BA6" w:rsidRPr="006A3E99" w:rsidRDefault="00264BA6" w:rsidP="00151527">
      <w:pPr>
        <w:pStyle w:val="TableFooter"/>
        <w:keepNext/>
        <w:keepLines/>
        <w:rPr>
          <w:i/>
        </w:rPr>
      </w:pPr>
      <w:r w:rsidRPr="006A3E99">
        <w:rPr>
          <w:i/>
          <w:vertAlign w:val="superscript"/>
        </w:rPr>
        <w:t>1</w:t>
      </w:r>
      <w:r w:rsidRPr="006A3E99">
        <w:rPr>
          <w:i/>
        </w:rPr>
        <w:t xml:space="preserve"> &gt; 10,000,000</w:t>
      </w:r>
    </w:p>
    <w:p w14:paraId="2417DE3A" w14:textId="77777777" w:rsidR="00264BA6" w:rsidRPr="006A3E99" w:rsidRDefault="00264BA6" w:rsidP="00151527">
      <w:pPr>
        <w:pStyle w:val="TableFooter"/>
        <w:keepNext/>
        <w:keepLines/>
        <w:rPr>
          <w:i/>
        </w:rPr>
      </w:pPr>
      <w:r w:rsidRPr="006A3E99">
        <w:rPr>
          <w:i/>
          <w:vertAlign w:val="superscript"/>
        </w:rPr>
        <w:t>2</w:t>
      </w:r>
      <w:r w:rsidRPr="006A3E99">
        <w:rPr>
          <w:i/>
        </w:rPr>
        <w:t xml:space="preserve"> 2,000,000 to &lt; 3,000,000</w:t>
      </w:r>
    </w:p>
    <w:p w14:paraId="42B51496" w14:textId="77777777" w:rsidR="00170FB1" w:rsidRPr="006A3E99" w:rsidRDefault="00170FB1" w:rsidP="00151527">
      <w:pPr>
        <w:pStyle w:val="TableFooter"/>
        <w:keepNext/>
        <w:keepLines/>
        <w:rPr>
          <w:i/>
        </w:rPr>
      </w:pPr>
      <w:r w:rsidRPr="006A3E99">
        <w:rPr>
          <w:i/>
          <w:vertAlign w:val="superscript"/>
        </w:rPr>
        <w:t>3</w:t>
      </w:r>
      <w:r w:rsidRPr="006A3E99">
        <w:rPr>
          <w:i/>
        </w:rPr>
        <w:t xml:space="preserve"> 600,000 to &lt; 700,000</w:t>
      </w:r>
    </w:p>
    <w:p w14:paraId="37E39D34" w14:textId="77777777" w:rsidR="00170FB1" w:rsidRPr="006A3E99" w:rsidRDefault="00170FB1" w:rsidP="00151527">
      <w:pPr>
        <w:pStyle w:val="TableFooter"/>
        <w:keepNext/>
        <w:keepLines/>
        <w:rPr>
          <w:i/>
        </w:rPr>
      </w:pPr>
      <w:r w:rsidRPr="006A3E99">
        <w:rPr>
          <w:i/>
          <w:vertAlign w:val="superscript"/>
        </w:rPr>
        <w:t>4</w:t>
      </w:r>
      <w:r w:rsidRPr="006A3E99">
        <w:rPr>
          <w:i/>
        </w:rPr>
        <w:t xml:space="preserve"> 30,000 to &lt; 40,000</w:t>
      </w:r>
    </w:p>
    <w:p w14:paraId="32129E25" w14:textId="77777777" w:rsidR="00170FB1" w:rsidRPr="006A3E99" w:rsidRDefault="00170FB1" w:rsidP="00151527">
      <w:pPr>
        <w:pStyle w:val="TableFooter"/>
        <w:keepNext/>
        <w:keepLines/>
        <w:rPr>
          <w:i/>
        </w:rPr>
      </w:pPr>
      <w:r w:rsidRPr="006A3E99">
        <w:rPr>
          <w:i/>
          <w:vertAlign w:val="superscript"/>
        </w:rPr>
        <w:t>5</w:t>
      </w:r>
      <w:r w:rsidRPr="006A3E99">
        <w:rPr>
          <w:i/>
        </w:rPr>
        <w:t xml:space="preserve"> 5,000 to &lt; 10,000</w:t>
      </w:r>
    </w:p>
    <w:p w14:paraId="0F49CB82" w14:textId="77777777" w:rsidR="00170FB1" w:rsidRPr="006A3E99" w:rsidRDefault="00170FB1" w:rsidP="00170FB1">
      <w:pPr>
        <w:pStyle w:val="TableFooter"/>
        <w:keepNext/>
        <w:keepLines/>
        <w:rPr>
          <w:i/>
        </w:rPr>
      </w:pPr>
      <w:r w:rsidRPr="006A3E99">
        <w:rPr>
          <w:i/>
          <w:vertAlign w:val="superscript"/>
        </w:rPr>
        <w:t>6</w:t>
      </w:r>
      <w:r w:rsidRPr="006A3E99">
        <w:rPr>
          <w:i/>
        </w:rPr>
        <w:t xml:space="preserve"> &lt; 500</w:t>
      </w:r>
      <w:r w:rsidRPr="006A3E99">
        <w:rPr>
          <w:i/>
          <w:vertAlign w:val="superscript"/>
        </w:rPr>
        <w:t>7</w:t>
      </w:r>
      <w:r w:rsidRPr="006A3E99">
        <w:rPr>
          <w:i/>
        </w:rPr>
        <w:t xml:space="preserve"> 500 to &lt; 5,000</w:t>
      </w:r>
    </w:p>
    <w:p w14:paraId="1D10FA71" w14:textId="77777777" w:rsidR="00170FB1" w:rsidRPr="006A3E99" w:rsidRDefault="00170FB1" w:rsidP="00170FB1">
      <w:pPr>
        <w:pStyle w:val="TableFooter"/>
        <w:keepNext/>
        <w:keepLines/>
        <w:rPr>
          <w:i/>
        </w:rPr>
      </w:pPr>
      <w:r w:rsidRPr="006A3E99">
        <w:rPr>
          <w:i/>
          <w:vertAlign w:val="superscript"/>
        </w:rPr>
        <w:t>8</w:t>
      </w:r>
      <w:r w:rsidRPr="006A3E99">
        <w:rPr>
          <w:i/>
        </w:rPr>
        <w:t xml:space="preserve"> 10,000 to &lt; 20,000</w:t>
      </w:r>
    </w:p>
    <w:p w14:paraId="2F648E14" w14:textId="77777777" w:rsidR="00170FB1" w:rsidRPr="006A3E99" w:rsidRDefault="00170FB1" w:rsidP="00170FB1">
      <w:pPr>
        <w:pStyle w:val="TableFooter"/>
        <w:keepNext/>
        <w:keepLines/>
        <w:rPr>
          <w:i/>
        </w:rPr>
      </w:pPr>
      <w:r w:rsidRPr="006A3E99">
        <w:rPr>
          <w:i/>
          <w:vertAlign w:val="superscript"/>
        </w:rPr>
        <w:t>9</w:t>
      </w:r>
      <w:r w:rsidRPr="006A3E99">
        <w:rPr>
          <w:i/>
        </w:rPr>
        <w:t xml:space="preserve"> 40,000 to &lt; 50,000</w:t>
      </w:r>
    </w:p>
    <w:p w14:paraId="3FAB649D" w14:textId="77777777" w:rsidR="00170FB1" w:rsidRPr="006A3E99" w:rsidRDefault="00170FB1" w:rsidP="00170FB1">
      <w:pPr>
        <w:pStyle w:val="TableFooter"/>
        <w:keepNext/>
        <w:keepLines/>
        <w:rPr>
          <w:i/>
        </w:rPr>
      </w:pPr>
      <w:r w:rsidRPr="006A3E99">
        <w:rPr>
          <w:i/>
          <w:vertAlign w:val="superscript"/>
        </w:rPr>
        <w:t>10</w:t>
      </w:r>
      <w:r w:rsidRPr="006A3E99">
        <w:rPr>
          <w:i/>
        </w:rPr>
        <w:t xml:space="preserve"> 50,000 to &lt; 60,000</w:t>
      </w:r>
    </w:p>
    <w:p w14:paraId="2D3FC296" w14:textId="77777777" w:rsidR="00170FB1" w:rsidRPr="006A3E99" w:rsidRDefault="00170FB1" w:rsidP="00170FB1">
      <w:pPr>
        <w:pStyle w:val="TableFooter"/>
        <w:keepNext/>
        <w:keepLines/>
        <w:rPr>
          <w:i/>
        </w:rPr>
      </w:pPr>
      <w:r w:rsidRPr="006A3E99">
        <w:rPr>
          <w:i/>
          <w:vertAlign w:val="superscript"/>
        </w:rPr>
        <w:t>11</w:t>
      </w:r>
      <w:r w:rsidRPr="006A3E99">
        <w:rPr>
          <w:i/>
        </w:rPr>
        <w:t xml:space="preserve"> 70,000 to &lt; 80,000</w:t>
      </w:r>
    </w:p>
    <w:p w14:paraId="0218CF62" w14:textId="77777777" w:rsidR="006A3E99" w:rsidRPr="006A3E99" w:rsidRDefault="006A3E99" w:rsidP="00170FB1">
      <w:pPr>
        <w:pStyle w:val="TableFooter"/>
        <w:keepNext/>
        <w:keepLines/>
        <w:rPr>
          <w:i/>
        </w:rPr>
      </w:pPr>
      <w:r w:rsidRPr="006A3E99">
        <w:rPr>
          <w:i/>
          <w:vertAlign w:val="superscript"/>
        </w:rPr>
        <w:t>12</w:t>
      </w:r>
      <w:r w:rsidRPr="006A3E99">
        <w:rPr>
          <w:i/>
        </w:rPr>
        <w:t xml:space="preserve"> 20,000 to &lt; 30,000</w:t>
      </w:r>
    </w:p>
    <w:p w14:paraId="0CD8A2BE" w14:textId="77777777" w:rsidR="006A3E99" w:rsidRPr="006A3E99" w:rsidRDefault="006A3E99" w:rsidP="00170FB1">
      <w:pPr>
        <w:pStyle w:val="TableFooter"/>
        <w:keepNext/>
        <w:keepLines/>
        <w:rPr>
          <w:i/>
        </w:rPr>
      </w:pPr>
      <w:r w:rsidRPr="006A3E99">
        <w:rPr>
          <w:i/>
          <w:vertAlign w:val="superscript"/>
        </w:rPr>
        <w:t>13</w:t>
      </w:r>
      <w:r w:rsidRPr="006A3E99">
        <w:rPr>
          <w:i/>
        </w:rPr>
        <w:t xml:space="preserve"> 60,000 to &lt; 70,000</w:t>
      </w:r>
    </w:p>
    <w:p w14:paraId="6DE81915" w14:textId="77777777" w:rsidR="006A3E99" w:rsidRPr="006A3E99" w:rsidRDefault="006A3E99" w:rsidP="00170FB1">
      <w:pPr>
        <w:pStyle w:val="TableFooter"/>
        <w:keepNext/>
        <w:keepLines/>
        <w:rPr>
          <w:i/>
        </w:rPr>
      </w:pPr>
      <w:r w:rsidRPr="006A3E99">
        <w:rPr>
          <w:i/>
          <w:vertAlign w:val="superscript"/>
        </w:rPr>
        <w:t>14</w:t>
      </w:r>
      <w:r w:rsidRPr="006A3E99">
        <w:rPr>
          <w:i/>
        </w:rPr>
        <w:t xml:space="preserve"> 80,000 to &lt; 90,000</w:t>
      </w:r>
    </w:p>
    <w:p w14:paraId="7C172517" w14:textId="77777777" w:rsidR="006A3E99" w:rsidRPr="006A3E99" w:rsidRDefault="006A3E99" w:rsidP="00170FB1">
      <w:pPr>
        <w:pStyle w:val="TableFooter"/>
        <w:keepNext/>
        <w:keepLines/>
        <w:rPr>
          <w:i/>
        </w:rPr>
      </w:pPr>
      <w:r w:rsidRPr="006A3E99">
        <w:rPr>
          <w:i/>
          <w:vertAlign w:val="superscript"/>
        </w:rPr>
        <w:t>15</w:t>
      </w:r>
      <w:r w:rsidRPr="006A3E99">
        <w:rPr>
          <w:i/>
        </w:rPr>
        <w:t xml:space="preserve"> $10 million to &lt; $20 million</w:t>
      </w:r>
    </w:p>
    <w:p w14:paraId="1EF6D89F" w14:textId="77777777" w:rsidR="006A3E99" w:rsidRPr="006A3E99" w:rsidRDefault="006A3E99" w:rsidP="00170FB1">
      <w:pPr>
        <w:pStyle w:val="TableFooter"/>
        <w:keepNext/>
        <w:keepLines/>
        <w:rPr>
          <w:i/>
        </w:rPr>
      </w:pPr>
      <w:r w:rsidRPr="006A3E99">
        <w:rPr>
          <w:i/>
          <w:vertAlign w:val="superscript"/>
        </w:rPr>
        <w:t>16</w:t>
      </w:r>
      <w:r w:rsidRPr="006A3E99">
        <w:rPr>
          <w:i/>
        </w:rPr>
        <w:t xml:space="preserve"> $20 million to &lt; $30 million</w:t>
      </w:r>
    </w:p>
    <w:p w14:paraId="7EE10993" w14:textId="77777777" w:rsidR="006A3E99" w:rsidRPr="006A3E99" w:rsidRDefault="006A3E99" w:rsidP="006A3E99">
      <w:pPr>
        <w:pStyle w:val="TableFooter"/>
        <w:keepNext/>
        <w:keepLines/>
        <w:tabs>
          <w:tab w:val="left" w:pos="2260"/>
        </w:tabs>
        <w:rPr>
          <w:i/>
        </w:rPr>
      </w:pPr>
      <w:r w:rsidRPr="006A3E99">
        <w:rPr>
          <w:i/>
          <w:vertAlign w:val="superscript"/>
        </w:rPr>
        <w:t>17</w:t>
      </w:r>
      <w:r w:rsidRPr="006A3E99">
        <w:rPr>
          <w:i/>
        </w:rPr>
        <w:t xml:space="preserve"> $30 million to &lt; $40 million</w:t>
      </w:r>
    </w:p>
    <w:p w14:paraId="1A3946FD" w14:textId="77777777" w:rsidR="006A3E99" w:rsidRPr="006A3E99" w:rsidRDefault="006A3E99" w:rsidP="006A3E99">
      <w:pPr>
        <w:pStyle w:val="TableFooter"/>
        <w:keepNext/>
        <w:keepLines/>
        <w:tabs>
          <w:tab w:val="left" w:pos="2260"/>
        </w:tabs>
        <w:rPr>
          <w:i/>
        </w:rPr>
      </w:pPr>
      <w:r w:rsidRPr="006A3E99">
        <w:rPr>
          <w:i/>
          <w:vertAlign w:val="superscript"/>
        </w:rPr>
        <w:t>18</w:t>
      </w:r>
      <w:r w:rsidRPr="006A3E99">
        <w:rPr>
          <w:i/>
        </w:rPr>
        <w:t xml:space="preserve"> $40 million to &lt; $50 million</w:t>
      </w:r>
    </w:p>
    <w:p w14:paraId="226511AF" w14:textId="77777777" w:rsidR="006A3E99" w:rsidRPr="006A3E99" w:rsidRDefault="006A3E99" w:rsidP="006A3E99">
      <w:pPr>
        <w:pStyle w:val="TableFooter"/>
        <w:keepNext/>
        <w:keepLines/>
        <w:tabs>
          <w:tab w:val="left" w:pos="2260"/>
        </w:tabs>
        <w:rPr>
          <w:i/>
        </w:rPr>
      </w:pPr>
      <w:r w:rsidRPr="006A3E99">
        <w:rPr>
          <w:i/>
          <w:vertAlign w:val="superscript"/>
        </w:rPr>
        <w:t>19</w:t>
      </w:r>
      <w:r w:rsidRPr="006A3E99">
        <w:rPr>
          <w:i/>
        </w:rPr>
        <w:t xml:space="preserve"> $0 to &lt; $10 million</w:t>
      </w:r>
    </w:p>
    <w:p w14:paraId="1A641BC7" w14:textId="351A1561" w:rsidR="00151527" w:rsidRPr="00151527" w:rsidRDefault="00151527" w:rsidP="00151527">
      <w:pPr>
        <w:pStyle w:val="ListParagraph"/>
        <w:widowControl/>
        <w:numPr>
          <w:ilvl w:val="1"/>
          <w:numId w:val="2"/>
        </w:numPr>
      </w:pPr>
      <w:r w:rsidRPr="00894575">
        <w:t>The estimated net cost to the government budget of listing mepolizumab on the PBS/RPBS at the proposed effective price was $</w:t>
      </w:r>
      <w:r w:rsidR="005A17A8">
        <w:t>10 million to &lt; $20 million</w:t>
      </w:r>
      <w:r w:rsidRPr="00894575">
        <w:t xml:space="preserve"> in Year 1, increasing to $</w:t>
      </w:r>
      <w:r w:rsidR="005A17A8">
        <w:t>40 million to &lt; $50</w:t>
      </w:r>
      <w:r w:rsidRPr="00894575">
        <w:t xml:space="preserve"> </w:t>
      </w:r>
      <w:r w:rsidRPr="00151527">
        <w:t xml:space="preserve">million in Year 6 </w:t>
      </w:r>
      <w:r w:rsidRPr="00151527">
        <w:rPr>
          <w:iCs/>
        </w:rPr>
        <w:t>after correcting the doses of mepolizumab per patient per year</w:t>
      </w:r>
      <w:r w:rsidRPr="00151527">
        <w:t>. The total cost over the six year period was $</w:t>
      </w:r>
      <w:r w:rsidR="005A17A8">
        <w:t>100</w:t>
      </w:r>
      <w:r w:rsidR="00DB5AA0">
        <w:t> </w:t>
      </w:r>
      <w:r w:rsidR="005A17A8">
        <w:t xml:space="preserve">million to &lt; $200 </w:t>
      </w:r>
      <w:r w:rsidRPr="00151527">
        <w:t xml:space="preserve">million. </w:t>
      </w:r>
    </w:p>
    <w:p w14:paraId="0D8A536C" w14:textId="77777777" w:rsidR="003E4982" w:rsidRDefault="002423A6" w:rsidP="003E4982">
      <w:pPr>
        <w:pStyle w:val="ListParagraph"/>
        <w:widowControl/>
        <w:numPr>
          <w:ilvl w:val="1"/>
          <w:numId w:val="2"/>
        </w:numPr>
      </w:pPr>
      <w:r>
        <w:t>DUSC considered</w:t>
      </w:r>
      <w:r w:rsidR="003E4982">
        <w:t xml:space="preserve"> that overall the estimates presented in the submission are overestimated. The main issues are:</w:t>
      </w:r>
    </w:p>
    <w:p w14:paraId="0EAF1D92" w14:textId="77777777" w:rsidR="003E4982" w:rsidRDefault="003E4982" w:rsidP="003E4982">
      <w:pPr>
        <w:pStyle w:val="Bulletpoints"/>
      </w:pPr>
      <w:r>
        <w:t>The restrictions are narrower than the TGA registered indication but broader than the SYNAPSE trial eligibility criteria on which the submission is based.</w:t>
      </w:r>
    </w:p>
    <w:p w14:paraId="6F0E1A84" w14:textId="77777777" w:rsidR="003E4982" w:rsidRDefault="003E4982" w:rsidP="003E4982">
      <w:pPr>
        <w:pStyle w:val="Bulletpoints"/>
      </w:pPr>
      <w:r>
        <w:t xml:space="preserve">The submission substantially overestimates the disease prevalence of </w:t>
      </w:r>
      <w:r w:rsidR="0018419D">
        <w:t>CRS</w:t>
      </w:r>
      <w:r>
        <w:t xml:space="preserve">. </w:t>
      </w:r>
    </w:p>
    <w:p w14:paraId="0B1C27CD" w14:textId="77777777" w:rsidR="003E4982" w:rsidRDefault="003E4982" w:rsidP="003E4982">
      <w:pPr>
        <w:pStyle w:val="Bulletpoints"/>
      </w:pPr>
      <w:r>
        <w:t xml:space="preserve">The submission overestimates the percentage of CRS patients with </w:t>
      </w:r>
      <w:r w:rsidR="0018419D">
        <w:t>NP</w:t>
      </w:r>
      <w:r>
        <w:t>.</w:t>
      </w:r>
    </w:p>
    <w:p w14:paraId="522FA209" w14:textId="7499395F" w:rsidR="003E4982" w:rsidRDefault="003E4982" w:rsidP="003E4982">
      <w:pPr>
        <w:pStyle w:val="Bulletpoints"/>
      </w:pPr>
      <w:r>
        <w:t>The submission does not address patients who have</w:t>
      </w:r>
      <w:r w:rsidR="0018419D">
        <w:t xml:space="preserve"> </w:t>
      </w:r>
      <w:r>
        <w:t>CRSwNP and severe asthma, leading to an overestimation of the eligible population if patients are already accessing mepolizumab for severe asthma.</w:t>
      </w:r>
    </w:p>
    <w:p w14:paraId="086826D0" w14:textId="77777777" w:rsidR="003E4982" w:rsidRDefault="003E4982" w:rsidP="003E4982">
      <w:pPr>
        <w:pStyle w:val="Bulletpoints"/>
      </w:pPr>
      <w:r>
        <w:t>The submission underestimates treatment uptake rates.</w:t>
      </w:r>
    </w:p>
    <w:p w14:paraId="1EA5B07D" w14:textId="77777777" w:rsidR="003E4982" w:rsidRDefault="003E4982" w:rsidP="003E4982">
      <w:pPr>
        <w:pStyle w:val="Bulletpoints"/>
      </w:pPr>
      <w:r>
        <w:t>As CRSwNP prevalence is greater in people aged 60 years and over, there could be a large population of patients who are unsuitable for surgery and eligible for mepolizumab treatment.</w:t>
      </w:r>
    </w:p>
    <w:p w14:paraId="5570645B" w14:textId="77777777" w:rsidR="00870DD6" w:rsidRDefault="00870DD6" w:rsidP="00870DD6">
      <w:pPr>
        <w:pStyle w:val="Bulletpoints"/>
        <w:numPr>
          <w:ilvl w:val="0"/>
          <w:numId w:val="0"/>
        </w:numPr>
        <w:ind w:left="1080" w:hanging="360"/>
      </w:pPr>
    </w:p>
    <w:p w14:paraId="53C6D2B2" w14:textId="49D7F269" w:rsidR="003D508A" w:rsidRPr="003D508A" w:rsidRDefault="003D508A" w:rsidP="003D508A">
      <w:pPr>
        <w:pStyle w:val="ListParagraph"/>
        <w:widowControl/>
        <w:numPr>
          <w:ilvl w:val="1"/>
          <w:numId w:val="2"/>
        </w:numPr>
        <w:rPr>
          <w:iCs/>
        </w:rPr>
      </w:pPr>
      <w:r w:rsidRPr="003D508A">
        <w:rPr>
          <w:iCs/>
        </w:rPr>
        <w:t>DUSC considered that the submission prevalence rates of CRS at 10% and a prevalence of CRSwNP rate of 30% were overestimated</w:t>
      </w:r>
      <w:r>
        <w:rPr>
          <w:iCs/>
        </w:rPr>
        <w:t xml:space="preserve">. DUSC noted </w:t>
      </w:r>
      <w:r w:rsidRPr="003D508A">
        <w:rPr>
          <w:iCs/>
        </w:rPr>
        <w:t>the CRS prevalence in Europe is around 2.1% to 4.3% (based on studies conducted in between 1996 and 2005</w:t>
      </w:r>
      <w:r>
        <w:rPr>
          <w:iCs/>
        </w:rPr>
        <w:t>)</w:t>
      </w:r>
      <w:r w:rsidRPr="003D508A">
        <w:rPr>
          <w:iCs/>
        </w:rPr>
        <w:t>. DUSC further noted that a 1996 Finnish study used a po</w:t>
      </w:r>
      <w:r>
        <w:rPr>
          <w:iCs/>
        </w:rPr>
        <w:t>stal survey of approximately 4,</w:t>
      </w:r>
      <w:r w:rsidRPr="003D508A">
        <w:rPr>
          <w:iCs/>
        </w:rPr>
        <w:t xml:space="preserve">300 people with very targeted questions about doctor-diagnosed CRS and a 2005 French study used robust field epidemiology to ascertain CRS diagnoses. While these studies were not contemporary, </w:t>
      </w:r>
      <w:r>
        <w:rPr>
          <w:iCs/>
        </w:rPr>
        <w:t xml:space="preserve">DUSC considered </w:t>
      </w:r>
      <w:r w:rsidRPr="003D508A">
        <w:rPr>
          <w:iCs/>
        </w:rPr>
        <w:t>they are more specific about the prevalence of CRS than the 2014-2015 and 2017-2018 National Health Surveys that asked a relatively open-ended question about ‘any long-term conditions lasting or expected to last 6 months or more’; here sinusitis or sinus allergy were a</w:t>
      </w:r>
      <w:r>
        <w:rPr>
          <w:iCs/>
        </w:rPr>
        <w:t>ssumed to be equivalent to CRS.</w:t>
      </w:r>
      <w:r w:rsidRPr="003D508A">
        <w:rPr>
          <w:iCs/>
        </w:rPr>
        <w:t xml:space="preserve"> </w:t>
      </w:r>
      <w:r>
        <w:rPr>
          <w:iCs/>
        </w:rPr>
        <w:t xml:space="preserve">DUSC also considered </w:t>
      </w:r>
      <w:r w:rsidRPr="003D508A">
        <w:rPr>
          <w:iCs/>
        </w:rPr>
        <w:t>the 30% estimated proportion of CRSwNP is likely to be overestimated as it is based on self-assessment. DUSC noted that Benjamin (2019) had a CRSwNP rate of 18% based on a medical chart audit of a US academic hospital.</w:t>
      </w:r>
      <w:r>
        <w:rPr>
          <w:iCs/>
        </w:rPr>
        <w:t xml:space="preserve"> The pre-PBAC response accepted a CRS prevalence rate of 2.1%. However, the pre-PBAC response argued the rate of 18% supplied by DUSC from Benjamin (2019) was uncertain </w:t>
      </w:r>
      <w:r w:rsidR="0018419D">
        <w:rPr>
          <w:iCs/>
        </w:rPr>
        <w:t xml:space="preserve">as it was from one hospital compared to the systematic literature review proposed by the submission. The pre-PBAC response suggested it may be pragmatic to use the middle value considering the uncertainty from both sources, and proposed a CRSwNP rate of 25%. </w:t>
      </w:r>
    </w:p>
    <w:p w14:paraId="0D8DD620" w14:textId="52F6A686" w:rsidR="00993730" w:rsidRDefault="00993730" w:rsidP="00993730">
      <w:pPr>
        <w:pStyle w:val="ListParagraph"/>
        <w:widowControl/>
        <w:numPr>
          <w:ilvl w:val="1"/>
          <w:numId w:val="2"/>
        </w:numPr>
        <w:rPr>
          <w:iCs/>
        </w:rPr>
      </w:pPr>
      <w:r w:rsidRPr="00993730">
        <w:rPr>
          <w:iCs/>
        </w:rPr>
        <w:t>The financial estimates did not consider the proportion of CRSwNP patients who were already prescribed another PBS-listed biologic for severe asthma thereby assuming there would be no overlap of these patients. The requested restriction prohibits the use of mepolizumab in combination with another PBS-subsidised biological medicine prescribed for severe asthma, a known co-morbidity of CRSwNP. 20,315 items were reported for mepolizumab (items 12073K, 12021Q, 12064Y, 12007Y, 12030E, 12043W, 12052H, 12051G, 10980X, 10996R, 11839D, 11014Q, 11003D and 11829N), between July 2020 and June 2021. It was likely that a proportion of these scripts would have been used by patients with CRSwNP and severe asthma. As these patients were not accounted for in the financial model, it was likely to have led to the potential overestimation of patient numbers. The proportion of patients with severe eosinophilic asthma currently treated with PBS subsidised mepolizumab and CRSwNP was unknown.</w:t>
      </w:r>
      <w:r w:rsidR="0018419D">
        <w:rPr>
          <w:iCs/>
        </w:rPr>
        <w:t xml:space="preserve"> </w:t>
      </w:r>
      <w:r w:rsidR="0018419D" w:rsidRPr="0018419D">
        <w:rPr>
          <w:iCs/>
        </w:rPr>
        <w:t xml:space="preserve">The </w:t>
      </w:r>
      <w:r w:rsidR="0018419D">
        <w:rPr>
          <w:iCs/>
        </w:rPr>
        <w:t xml:space="preserve">pre-PBAC response stated the </w:t>
      </w:r>
      <w:r w:rsidR="0018419D" w:rsidRPr="0018419D">
        <w:rPr>
          <w:iCs/>
        </w:rPr>
        <w:t>Adelphi CRSwNP real world data reported that 70% of the comorbid asthma patients had severe asthma, and 70% of the SYNAPSE patients (i.e., mepolizumab eligible patients) had comorbid asthma. Assuming 20% of the comorbi</w:t>
      </w:r>
      <w:r w:rsidR="0018419D">
        <w:rPr>
          <w:iCs/>
        </w:rPr>
        <w:t xml:space="preserve">d severe asthma patients had </w:t>
      </w:r>
      <w:r w:rsidR="00F11733" w:rsidRPr="00D27BF1">
        <w:t>severe eosinophilic asthma</w:t>
      </w:r>
      <w:r w:rsidR="0018419D" w:rsidRPr="0018419D">
        <w:rPr>
          <w:iCs/>
        </w:rPr>
        <w:t xml:space="preserve"> based </w:t>
      </w:r>
      <w:r w:rsidR="00F11733">
        <w:rPr>
          <w:iCs/>
        </w:rPr>
        <w:t>on IDEAL study (Albers 2018), the pre-PBAC response estimated</w:t>
      </w:r>
      <w:r w:rsidR="0018419D" w:rsidRPr="0018419D">
        <w:rPr>
          <w:iCs/>
        </w:rPr>
        <w:t xml:space="preserve"> 10% (70%x70%x20%) of the total mepolizumab eligible CRSwNP pa</w:t>
      </w:r>
      <w:r w:rsidR="00F11733">
        <w:rPr>
          <w:iCs/>
        </w:rPr>
        <w:t xml:space="preserve">tients are also eligible for </w:t>
      </w:r>
      <w:r w:rsidR="00F11733" w:rsidRPr="00D27BF1">
        <w:t>severe eosinophilic asthma</w:t>
      </w:r>
      <w:r w:rsidR="0018419D" w:rsidRPr="0018419D">
        <w:rPr>
          <w:iCs/>
        </w:rPr>
        <w:t xml:space="preserve"> treatment with mepolizumab a</w:t>
      </w:r>
      <w:r w:rsidR="00F11733">
        <w:rPr>
          <w:iCs/>
        </w:rPr>
        <w:t>nd may already be receiving mepolizumab</w:t>
      </w:r>
      <w:r w:rsidR="0018419D" w:rsidRPr="0018419D">
        <w:rPr>
          <w:iCs/>
        </w:rPr>
        <w:t xml:space="preserve"> (or an altern</w:t>
      </w:r>
      <w:r w:rsidR="00F11733">
        <w:rPr>
          <w:iCs/>
        </w:rPr>
        <w:t xml:space="preserve">ative biologic) on the PBS. </w:t>
      </w:r>
    </w:p>
    <w:p w14:paraId="155C4CD7" w14:textId="5B5F4103" w:rsidR="007C58C1" w:rsidRDefault="00993730" w:rsidP="00993730">
      <w:pPr>
        <w:pStyle w:val="ListParagraph"/>
        <w:widowControl/>
        <w:numPr>
          <w:ilvl w:val="1"/>
          <w:numId w:val="2"/>
        </w:numPr>
      </w:pPr>
      <w:r w:rsidRPr="00993730">
        <w:t xml:space="preserve">The uptake of mepolizumab used in the submission’s financial model was based on uptake rates deemed reasonable by the PBAC for dupilumab for atopic dermatitis (November 2020). The submission claimed dupilumab was a first-in-class biologic for atopic dermatitis and hence uptake was anticipated to be analogous to mepolizumab, also a first-in-class biologic for a disease with non-life threatening outcomes. While dupilumab was a first-in-class biologic for a disease with non-life threatening outcomes, dupilumab for atopic dermatitis involved a very different patient group from the one anticipated in this submission. Dupilumab was considered for adults with severe atopic dermatitis who have had an inadequate response to topical therapies (i.e. patient’s choice of dupilumab via SC injection would be more invasive compared to topical treatment). Comparatively, in the current submission, patients have already consented to a more invasive procedure (prior surgery) and mepolizumab via SC injection likely represented a less invasive treatment compared to potential repeat surgery. </w:t>
      </w:r>
      <w:r w:rsidR="007C58C1">
        <w:t xml:space="preserve">DUSC considered that the initial and continuing treatment uptake </w:t>
      </w:r>
      <w:r w:rsidR="00692C0B">
        <w:t xml:space="preserve">rates were </w:t>
      </w:r>
      <w:r w:rsidR="007C58C1">
        <w:t xml:space="preserve">underestimated. </w:t>
      </w:r>
      <w:r w:rsidR="00692C0B" w:rsidRPr="00692C0B">
        <w:rPr>
          <w:iCs/>
          <w:lang w:val="en-US"/>
        </w:rPr>
        <w:t>DUSC noted that more people are able to administer injectable treatments themselves, and that there are not the same barriers to this type of treatment that there were previously. DUSC further noted that people are waiting for this treatment and will use it as soon as it is available.</w:t>
      </w:r>
      <w:r w:rsidR="00692C0B">
        <w:rPr>
          <w:i/>
          <w:iCs/>
          <w:lang w:val="en-US"/>
        </w:rPr>
        <w:t xml:space="preserve"> </w:t>
      </w:r>
      <w:r w:rsidR="007C58C1">
        <w:t>DUSC noted that the uptake rate for initial patients did not consider uptake in people unsuitable for surgery.</w:t>
      </w:r>
      <w:r w:rsidR="00603ADA">
        <w:t xml:space="preserve"> In addition, DUSC also considered that patients are more likely to replace surgery with mepolizumab due to the risk/benefit ratio.</w:t>
      </w:r>
      <w:r w:rsidR="007C58C1">
        <w:t xml:space="preserve"> The pre-PBAC response </w:t>
      </w:r>
      <w:r w:rsidR="00896E0D">
        <w:t xml:space="preserve">acknowledged that the submission uptake rate was starkly different to estimated biologic use in CRSwNP seen in survey data from Adelphi (Adelphi Group, 2020). The pre-PBAC response argued the data from Adelphi represents a different clinical setting than Australia with different prescribing practices and suggested it may be reasonable to assume a lower peak uptake rate than the American setting. </w:t>
      </w:r>
    </w:p>
    <w:p w14:paraId="10FC84F6" w14:textId="7C0513BC" w:rsidR="00993730" w:rsidRPr="00993730" w:rsidRDefault="007C58C1" w:rsidP="00993730">
      <w:pPr>
        <w:pStyle w:val="ListParagraph"/>
        <w:widowControl/>
        <w:numPr>
          <w:ilvl w:val="1"/>
          <w:numId w:val="2"/>
        </w:numPr>
        <w:rPr>
          <w:iCs/>
        </w:rPr>
      </w:pPr>
      <w:r>
        <w:rPr>
          <w:iCs/>
        </w:rPr>
        <w:t xml:space="preserve">The pre-PBAC response presented revised financial estimates </w:t>
      </w:r>
      <w:r w:rsidR="00D97B4F">
        <w:rPr>
          <w:iCs/>
        </w:rPr>
        <w:t xml:space="preserve">with the following changes: </w:t>
      </w:r>
      <w:r w:rsidR="00896E0D">
        <w:rPr>
          <w:iCs/>
        </w:rPr>
        <w:t xml:space="preserve">the modelled treatment duration of mepolizumab was reduced from </w:t>
      </w:r>
      <w:r w:rsidR="007F0724">
        <w:rPr>
          <w:iCs/>
        </w:rPr>
        <w:br/>
      </w:r>
      <w:r w:rsidR="00896E0D">
        <w:rPr>
          <w:iCs/>
        </w:rPr>
        <w:t xml:space="preserve">76 months to 34.99 months; </w:t>
      </w:r>
      <w:r w:rsidR="00D97B4F">
        <w:rPr>
          <w:iCs/>
        </w:rPr>
        <w:t xml:space="preserve">the disease prevalence of CRS was reduced from 10% to 2.1%; the percentage of CRSwNP patients was reduced from 30% to 25%; </w:t>
      </w:r>
      <w:r>
        <w:rPr>
          <w:iCs/>
        </w:rPr>
        <w:t>patient</w:t>
      </w:r>
      <w:r w:rsidR="00D97B4F">
        <w:rPr>
          <w:iCs/>
        </w:rPr>
        <w:t>s with CRSwNP with severe asthma already receiving mepolizumab removed</w:t>
      </w:r>
      <w:r w:rsidR="007F0724">
        <w:rPr>
          <w:iCs/>
        </w:rPr>
        <w:t xml:space="preserve"> (10%</w:t>
      </w:r>
      <w:r w:rsidR="00D97B4F">
        <w:rPr>
          <w:iCs/>
        </w:rPr>
        <w:t xml:space="preserve">); </w:t>
      </w:r>
      <w:r w:rsidR="007F0724">
        <w:rPr>
          <w:iCs/>
        </w:rPr>
        <w:t>uptake rates increased to 10-20% for patients eligible for surgery or to 20%-30% for those not eligible for surgery</w:t>
      </w:r>
      <w:r w:rsidRPr="0018419D">
        <w:rPr>
          <w:iCs/>
        </w:rPr>
        <w:t>.</w:t>
      </w:r>
      <w:r>
        <w:rPr>
          <w:iCs/>
        </w:rPr>
        <w:t xml:space="preserve"> The PBAC noted the revised financial estimates presented in the pre-PBAC response had not been verified</w:t>
      </w:r>
      <w:r w:rsidR="005B3C20">
        <w:rPr>
          <w:iCs/>
        </w:rPr>
        <w:t xml:space="preserve">. The PBAC considered there was </w:t>
      </w:r>
      <w:r w:rsidR="005B3C20">
        <w:t xml:space="preserve">insufficient detail in the pre-PBAC response on how the changes stated in Table 1 of the response were applied in the financial estimates model. </w:t>
      </w:r>
    </w:p>
    <w:p w14:paraId="42859554" w14:textId="77777777" w:rsidR="007F0724" w:rsidRPr="00894575" w:rsidRDefault="007F0724" w:rsidP="007F0724">
      <w:pPr>
        <w:pStyle w:val="Heading2"/>
      </w:pPr>
      <w:bookmarkStart w:id="40" w:name="_Toc82528846"/>
      <w:r w:rsidRPr="00894575">
        <w:t>Quality Use of Medicines</w:t>
      </w:r>
      <w:bookmarkEnd w:id="40"/>
    </w:p>
    <w:p w14:paraId="3D68526A" w14:textId="77777777" w:rsidR="007F0724" w:rsidRPr="007F0724" w:rsidRDefault="007F0724" w:rsidP="007F0724">
      <w:pPr>
        <w:pStyle w:val="ListParagraph"/>
        <w:widowControl/>
        <w:numPr>
          <w:ilvl w:val="1"/>
          <w:numId w:val="2"/>
        </w:numPr>
      </w:pPr>
      <w:r w:rsidRPr="007F0724">
        <w:t>Th</w:t>
      </w:r>
      <w:r>
        <w:t>e submission did not present quality use of medicines</w:t>
      </w:r>
      <w:r w:rsidRPr="007F0724">
        <w:t xml:space="preserve"> issues however DUSC commented that: </w:t>
      </w:r>
    </w:p>
    <w:p w14:paraId="662E806D" w14:textId="77777777" w:rsidR="007F0724" w:rsidRPr="007F0724" w:rsidRDefault="007F0724" w:rsidP="007F0724">
      <w:pPr>
        <w:pStyle w:val="Bulletpoints"/>
      </w:pPr>
      <w:r w:rsidRPr="007F0724">
        <w:t>the criteria regarding specialist access could create inequity issues.</w:t>
      </w:r>
    </w:p>
    <w:p w14:paraId="2101C039" w14:textId="77777777" w:rsidR="007F0724" w:rsidRPr="007F0724" w:rsidRDefault="007F0724" w:rsidP="007F0724">
      <w:pPr>
        <w:pStyle w:val="Bulletpoints"/>
      </w:pPr>
      <w:r w:rsidRPr="007F0724">
        <w:t>mepolizumab can be self-administered if a healthcare professional deems appropriate with patient or caregiver trained in injection techniques.</w:t>
      </w:r>
    </w:p>
    <w:p w14:paraId="5B381064" w14:textId="77777777" w:rsidR="007F0724" w:rsidRDefault="001E0FFB" w:rsidP="007F0724">
      <w:pPr>
        <w:pStyle w:val="Bulletpoints"/>
      </w:pPr>
      <w:r>
        <w:t>the PI</w:t>
      </w:r>
      <w:r w:rsidR="007F0724" w:rsidRPr="007F0724">
        <w:t xml:space="preserve"> states ‘in line with clinical practice, monitoring of patients after administration of biological agents is recommended’ with no further detail regarding monitoring requirements provided.</w:t>
      </w:r>
    </w:p>
    <w:p w14:paraId="10D9A353" w14:textId="69D31E70" w:rsidR="007F0724" w:rsidRPr="00894575" w:rsidRDefault="001B4B13" w:rsidP="001E0FFB">
      <w:pPr>
        <w:pStyle w:val="ListParagraph"/>
        <w:widowControl/>
        <w:numPr>
          <w:ilvl w:val="1"/>
          <w:numId w:val="2"/>
        </w:numPr>
        <w:spacing w:before="120"/>
      </w:pPr>
      <w:r>
        <w:t xml:space="preserve">The pre-PBAC response stated the sponsor </w:t>
      </w:r>
      <w:r w:rsidRPr="001B4B13">
        <w:t xml:space="preserve">is committed to providing and supporting education to healthcare </w:t>
      </w:r>
      <w:r>
        <w:t>professionals to improve the quality use of medicines</w:t>
      </w:r>
      <w:r w:rsidRPr="001B4B13">
        <w:t xml:space="preserve"> and is currently undertaking an assessment on the ed</w:t>
      </w:r>
      <w:r>
        <w:t>ucational/training needs of health care professionals</w:t>
      </w:r>
      <w:r w:rsidRPr="001B4B13">
        <w:t xml:space="preserve"> and patients with CRSwNP, which includes self-injection training. </w:t>
      </w:r>
    </w:p>
    <w:p w14:paraId="6056F895" w14:textId="77777777" w:rsidR="003038AD" w:rsidRDefault="003038AD">
      <w:pPr>
        <w:widowControl/>
        <w:jc w:val="left"/>
        <w:rPr>
          <w:b/>
          <w:i/>
          <w:sz w:val="28"/>
        </w:rPr>
      </w:pPr>
      <w:bookmarkStart w:id="41" w:name="_Toc82528847"/>
      <w:r>
        <w:br w:type="page"/>
      </w:r>
    </w:p>
    <w:p w14:paraId="085B5636" w14:textId="44DE4F38" w:rsidR="007F0724" w:rsidRDefault="007F0724" w:rsidP="007F0724">
      <w:pPr>
        <w:pStyle w:val="Heading2"/>
      </w:pPr>
      <w:r w:rsidRPr="00894575">
        <w:t>Financial Management – Risk Sharing Arrangements</w:t>
      </w:r>
      <w:bookmarkEnd w:id="41"/>
    </w:p>
    <w:p w14:paraId="1F92003F" w14:textId="77777777" w:rsidR="003038AD" w:rsidRPr="003038AD" w:rsidRDefault="003038AD" w:rsidP="003038AD">
      <w:bookmarkStart w:id="42" w:name="_GoBack"/>
      <w:bookmarkEnd w:id="42"/>
    </w:p>
    <w:p w14:paraId="305C2ABC" w14:textId="77777777" w:rsidR="003E4982" w:rsidRPr="00894575" w:rsidRDefault="007F0724" w:rsidP="003E4982">
      <w:pPr>
        <w:pStyle w:val="ListParagraph"/>
        <w:widowControl/>
        <w:numPr>
          <w:ilvl w:val="1"/>
          <w:numId w:val="2"/>
        </w:numPr>
      </w:pPr>
      <w:r w:rsidRPr="00894575">
        <w:t xml:space="preserve">A risk sharing arrangement was not proposed by the submission. </w:t>
      </w:r>
    </w:p>
    <w:p w14:paraId="5AE04CC8" w14:textId="77777777" w:rsidR="001C4799" w:rsidRDefault="001C4799" w:rsidP="001C4799">
      <w:pPr>
        <w:pStyle w:val="ListParagraph"/>
        <w:widowControl/>
        <w:rPr>
          <w:i/>
        </w:rPr>
      </w:pPr>
      <w:r w:rsidRPr="001C4799">
        <w:rPr>
          <w:i/>
        </w:rPr>
        <w:t>For more detail on PBAC’s view, see section 7 PBAC outcome.</w:t>
      </w:r>
    </w:p>
    <w:p w14:paraId="69EE705E" w14:textId="77777777" w:rsidR="00151527" w:rsidRPr="0090150D" w:rsidRDefault="00151527" w:rsidP="00D818B9">
      <w:pPr>
        <w:pStyle w:val="2-SectionHeading"/>
        <w:numPr>
          <w:ilvl w:val="0"/>
          <w:numId w:val="2"/>
        </w:numPr>
        <w:outlineLvl w:val="0"/>
      </w:pPr>
      <w:bookmarkStart w:id="43" w:name="_Hlk76381249"/>
      <w:bookmarkStart w:id="44" w:name="_Hlk76377955"/>
      <w:r w:rsidRPr="0090150D">
        <w:t>PBAC Outcome</w:t>
      </w:r>
    </w:p>
    <w:p w14:paraId="7B59AC92" w14:textId="77777777" w:rsidR="00151527" w:rsidRPr="0030278B" w:rsidRDefault="00151527" w:rsidP="00151527">
      <w:pPr>
        <w:numPr>
          <w:ilvl w:val="1"/>
          <w:numId w:val="2"/>
        </w:numPr>
        <w:spacing w:after="120"/>
        <w:rPr>
          <w:rFonts w:asciiTheme="minorHAnsi" w:hAnsiTheme="minorHAnsi"/>
          <w:lang w:val="en-GB"/>
        </w:rPr>
      </w:pPr>
      <w:r w:rsidRPr="00CE42B4">
        <w:rPr>
          <w:rFonts w:asciiTheme="minorHAnsi" w:hAnsiTheme="minorHAnsi"/>
          <w:lang w:val="en-GB"/>
        </w:rPr>
        <w:t>The PBAC did not recommend</w:t>
      </w:r>
      <w:r w:rsidR="0030278B">
        <w:rPr>
          <w:rFonts w:asciiTheme="minorHAnsi" w:hAnsiTheme="minorHAnsi"/>
          <w:lang w:val="en-GB"/>
        </w:rPr>
        <w:t xml:space="preserve"> </w:t>
      </w:r>
      <w:r w:rsidR="0030278B" w:rsidRPr="00D27BF1">
        <w:t>mepolizumab for treatment of chronic rhinosinusitis (CRS) with nasal polyps (NP; collectively CRSwNP) for patients who have received at least one previous surgery for the removal of NP</w:t>
      </w:r>
      <w:r w:rsidR="0030278B">
        <w:t xml:space="preserve">. </w:t>
      </w:r>
      <w:r w:rsidR="00C476E8">
        <w:t>Overall, the PBAC considered the clinical claim of superior effectiveness compared SoC was</w:t>
      </w:r>
      <w:r w:rsidR="00C476E8">
        <w:rPr>
          <w:rFonts w:asciiTheme="minorHAnsi" w:hAnsiTheme="minorHAnsi"/>
          <w:szCs w:val="20"/>
        </w:rPr>
        <w:t xml:space="preserve"> </w:t>
      </w:r>
      <w:r w:rsidR="00C476E8" w:rsidRPr="00CE42B4">
        <w:rPr>
          <w:rFonts w:asciiTheme="minorHAnsi" w:hAnsiTheme="minorHAnsi"/>
          <w:szCs w:val="20"/>
        </w:rPr>
        <w:t>reasonable</w:t>
      </w:r>
      <w:r w:rsidR="00C476E8">
        <w:rPr>
          <w:rFonts w:asciiTheme="minorHAnsi" w:hAnsiTheme="minorHAnsi"/>
          <w:szCs w:val="20"/>
        </w:rPr>
        <w:t xml:space="preserve"> </w:t>
      </w:r>
      <w:r w:rsidR="00C342DA">
        <w:rPr>
          <w:rFonts w:asciiTheme="minorHAnsi" w:hAnsiTheme="minorHAnsi"/>
          <w:szCs w:val="20"/>
        </w:rPr>
        <w:t xml:space="preserve">in </w:t>
      </w:r>
      <w:r w:rsidR="00C476E8" w:rsidRPr="00D27BF1">
        <w:t>patients with CRSwNP</w:t>
      </w:r>
      <w:r w:rsidR="00C342DA">
        <w:t xml:space="preserve">. However, the PBAC considered the </w:t>
      </w:r>
      <w:r w:rsidR="00C342DA" w:rsidRPr="00D27BF1">
        <w:t>blood e</w:t>
      </w:r>
      <w:r w:rsidR="00C342DA">
        <w:t>osinophil count (BEC)</w:t>
      </w:r>
      <w:r w:rsidR="00C476E8" w:rsidRPr="00D27BF1">
        <w:t xml:space="preserve"> </w:t>
      </w:r>
      <w:r w:rsidR="00C342DA">
        <w:t xml:space="preserve">threshold </w:t>
      </w:r>
      <w:r w:rsidR="005112E6">
        <w:t xml:space="preserve">for access to mepolizumab </w:t>
      </w:r>
      <w:r w:rsidR="00C342DA">
        <w:t xml:space="preserve">should be increased from </w:t>
      </w:r>
      <w:r w:rsidR="00C342DA" w:rsidRPr="00D27BF1">
        <w:rPr>
          <w:rFonts w:cs="Calibri"/>
        </w:rPr>
        <w:t>≥</w:t>
      </w:r>
      <w:r w:rsidR="00C342DA">
        <w:t>15</w:t>
      </w:r>
      <w:r w:rsidR="00C342DA" w:rsidRPr="00D27BF1">
        <w:t>0 cells/µL</w:t>
      </w:r>
      <w:r w:rsidR="00C342DA">
        <w:t xml:space="preserve"> to</w:t>
      </w:r>
      <w:r w:rsidR="00C476E8" w:rsidRPr="00D27BF1">
        <w:t xml:space="preserve"> </w:t>
      </w:r>
      <w:r w:rsidR="00C476E8" w:rsidRPr="00D27BF1">
        <w:rPr>
          <w:rFonts w:cs="Calibri"/>
        </w:rPr>
        <w:t>≥</w:t>
      </w:r>
      <w:r w:rsidR="00C476E8">
        <w:t>30</w:t>
      </w:r>
      <w:r w:rsidR="00C476E8" w:rsidRPr="00D27BF1">
        <w:t>0 cells/µL</w:t>
      </w:r>
      <w:r w:rsidR="00C476E8" w:rsidRPr="00CE42B4">
        <w:rPr>
          <w:rFonts w:asciiTheme="minorHAnsi" w:hAnsiTheme="minorHAnsi"/>
          <w:szCs w:val="20"/>
        </w:rPr>
        <w:t>.</w:t>
      </w:r>
      <w:r w:rsidR="00C476E8">
        <w:rPr>
          <w:rFonts w:asciiTheme="minorHAnsi" w:hAnsiTheme="minorHAnsi"/>
          <w:szCs w:val="20"/>
        </w:rPr>
        <w:t xml:space="preserve"> </w:t>
      </w:r>
      <w:r w:rsidR="00EC04B4" w:rsidRPr="003C51AA">
        <w:t xml:space="preserve">The PBAC considered that the submission had underestimated the incremental cost-effectiveness ratio (ICER) due to </w:t>
      </w:r>
      <w:r w:rsidR="00EC04B4" w:rsidRPr="00C17100">
        <w:t>reliance on optimistic assumptions and inputs in the economic model. The</w:t>
      </w:r>
      <w:r w:rsidR="0057641F" w:rsidRPr="00C17100">
        <w:t xml:space="preserve"> PBAC </w:t>
      </w:r>
      <w:r w:rsidR="00C17100">
        <w:t>considered the</w:t>
      </w:r>
      <w:r w:rsidR="0057641F" w:rsidRPr="00C17100">
        <w:t xml:space="preserve"> </w:t>
      </w:r>
      <w:r w:rsidR="00B049DF" w:rsidRPr="00C17100">
        <w:t xml:space="preserve">revised base </w:t>
      </w:r>
      <w:r w:rsidR="0057641F" w:rsidRPr="00C17100">
        <w:t>case</w:t>
      </w:r>
      <w:r w:rsidR="00C17100">
        <w:t xml:space="preserve"> proposed by ESC</w:t>
      </w:r>
      <w:r w:rsidR="0057641F" w:rsidRPr="00C17100">
        <w:t xml:space="preserve"> was appropriate and </w:t>
      </w:r>
      <w:r w:rsidR="00C17100">
        <w:t>that</w:t>
      </w:r>
      <w:r w:rsidR="00C17100" w:rsidRPr="00C17100">
        <w:t xml:space="preserve"> </w:t>
      </w:r>
      <w:r w:rsidR="0057641F" w:rsidRPr="00C17100">
        <w:t>the resulting revised</w:t>
      </w:r>
      <w:r w:rsidR="0057641F">
        <w:t xml:space="preserve"> ICER high </w:t>
      </w:r>
      <w:r w:rsidR="00B049DF">
        <w:t xml:space="preserve">and uncertain </w:t>
      </w:r>
      <w:r w:rsidR="00EC04B4" w:rsidRPr="003C51AA">
        <w:t>at the proposed price.</w:t>
      </w:r>
      <w:r w:rsidR="0057641F">
        <w:t xml:space="preserve"> </w:t>
      </w:r>
      <w:r w:rsidR="005F6038">
        <w:t xml:space="preserve">The PBAC considered the financial estimates were highly uncertain and advised that a risk sharing arrangement (RSA) would be required if patients unsuitable for surgery were to be included. </w:t>
      </w:r>
    </w:p>
    <w:p w14:paraId="3A3E68DB" w14:textId="77777777" w:rsidR="0030278B" w:rsidRPr="00B65D46" w:rsidRDefault="00C83C74" w:rsidP="00151527">
      <w:pPr>
        <w:numPr>
          <w:ilvl w:val="1"/>
          <w:numId w:val="2"/>
        </w:numPr>
        <w:spacing w:after="120"/>
        <w:rPr>
          <w:rFonts w:asciiTheme="minorHAnsi" w:hAnsiTheme="minorHAnsi"/>
          <w:lang w:val="en-GB"/>
        </w:rPr>
      </w:pPr>
      <w:r>
        <w:rPr>
          <w:rFonts w:asciiTheme="minorHAnsi" w:hAnsiTheme="minorHAnsi"/>
          <w:lang w:val="en-GB"/>
        </w:rPr>
        <w:t xml:space="preserve">The PBAC noted the input from individuals, health care professionals and organisations that </w:t>
      </w:r>
      <w:r w:rsidR="00B65D46">
        <w:rPr>
          <w:rFonts w:asciiTheme="minorHAnsi" w:hAnsiTheme="minorHAnsi"/>
          <w:lang w:val="en-GB"/>
        </w:rPr>
        <w:t xml:space="preserve">reported </w:t>
      </w:r>
      <w:r>
        <w:rPr>
          <w:rFonts w:asciiTheme="minorHAnsi" w:hAnsiTheme="minorHAnsi"/>
          <w:lang w:val="en-GB"/>
        </w:rPr>
        <w:t xml:space="preserve">improvements in symptoms such fatigue and sense of smell were key </w:t>
      </w:r>
      <w:r w:rsidR="00B65D46">
        <w:rPr>
          <w:rFonts w:asciiTheme="minorHAnsi" w:hAnsiTheme="minorHAnsi"/>
          <w:lang w:val="en-GB"/>
        </w:rPr>
        <w:t xml:space="preserve">quality of life (QoL) </w:t>
      </w:r>
      <w:r>
        <w:rPr>
          <w:rFonts w:asciiTheme="minorHAnsi" w:hAnsiTheme="minorHAnsi"/>
          <w:lang w:val="en-GB"/>
        </w:rPr>
        <w:t xml:space="preserve">benefits </w:t>
      </w:r>
      <w:r w:rsidR="00B65D46">
        <w:rPr>
          <w:rFonts w:asciiTheme="minorHAnsi" w:hAnsiTheme="minorHAnsi"/>
          <w:lang w:val="en-GB"/>
        </w:rPr>
        <w:t xml:space="preserve">associated with mepolizumab that do not always correspond with a </w:t>
      </w:r>
      <w:r w:rsidR="00B65D46">
        <w:rPr>
          <w:rFonts w:cs="Calibri"/>
          <w:bCs/>
        </w:rPr>
        <w:t>reduction in NP size.</w:t>
      </w:r>
    </w:p>
    <w:p w14:paraId="0749714E" w14:textId="77777777" w:rsidR="00B65D46" w:rsidRPr="00D94E30" w:rsidRDefault="00B65D46" w:rsidP="00151527">
      <w:pPr>
        <w:numPr>
          <w:ilvl w:val="1"/>
          <w:numId w:val="2"/>
        </w:numPr>
        <w:spacing w:after="120"/>
        <w:rPr>
          <w:rFonts w:asciiTheme="minorHAnsi" w:hAnsiTheme="minorHAnsi"/>
          <w:lang w:val="en-GB"/>
        </w:rPr>
      </w:pPr>
      <w:r>
        <w:rPr>
          <w:rFonts w:asciiTheme="minorHAnsi" w:hAnsiTheme="minorHAnsi"/>
          <w:lang w:val="en-GB"/>
        </w:rPr>
        <w:t xml:space="preserve">The PBAC agreed with the ESC that </w:t>
      </w:r>
      <w:r w:rsidRPr="00D27BF1">
        <w:t>standard of care (SoC)</w:t>
      </w:r>
      <w:r>
        <w:t xml:space="preserve"> was an appropriate comparator. </w:t>
      </w:r>
    </w:p>
    <w:p w14:paraId="278C6559" w14:textId="2109B7F3" w:rsidR="00DA0D77" w:rsidRPr="00DA0D77" w:rsidRDefault="00445C64" w:rsidP="00833629">
      <w:pPr>
        <w:numPr>
          <w:ilvl w:val="1"/>
          <w:numId w:val="2"/>
        </w:numPr>
        <w:spacing w:after="120"/>
        <w:rPr>
          <w:rFonts w:asciiTheme="minorHAnsi" w:hAnsiTheme="minorHAnsi"/>
          <w:lang w:val="en-GB"/>
        </w:rPr>
      </w:pPr>
      <w:r>
        <w:rPr>
          <w:rFonts w:asciiTheme="minorHAnsi" w:hAnsiTheme="minorHAnsi"/>
          <w:lang w:val="en-GB"/>
        </w:rPr>
        <w:t xml:space="preserve">The PBAC noted that the primary clinical evidence supporting the clinical claim was the SYNAPSE trial (N=407) which compared mepolizumab with placebo in patients with CRSwNP and uncontrolled symptoms after at least one prior surgery and treatment with intranasal corticosteroids (INCS). </w:t>
      </w:r>
      <w:r w:rsidR="00407B78" w:rsidRPr="00833629">
        <w:t xml:space="preserve">For the co-primary outcome of Endoscopic Nasal Polyps (ENP) score, </w:t>
      </w:r>
      <w:r w:rsidR="00861DE0">
        <w:t xml:space="preserve">the </w:t>
      </w:r>
      <w:r w:rsidR="00407B78" w:rsidRPr="00833629">
        <w:t xml:space="preserve">adjusted difference in median at week 52 </w:t>
      </w:r>
      <w:r w:rsidR="005A0BD3">
        <w:t xml:space="preserve">in the </w:t>
      </w:r>
      <w:r w:rsidR="005A0BD3" w:rsidRPr="00D27BF1">
        <w:rPr>
          <w:rFonts w:cs="Calibri"/>
          <w:snapToGrid/>
          <w:szCs w:val="24"/>
          <w:lang w:eastAsia="en-AU"/>
        </w:rPr>
        <w:t xml:space="preserve">intent-to-treat (ITT) </w:t>
      </w:r>
      <w:r w:rsidR="005A0BD3">
        <w:rPr>
          <w:rFonts w:cs="Calibri"/>
          <w:snapToGrid/>
          <w:szCs w:val="24"/>
          <w:lang w:eastAsia="en-AU"/>
        </w:rPr>
        <w:t>population</w:t>
      </w:r>
      <w:r w:rsidR="005A0BD3">
        <w:t xml:space="preserve"> (</w:t>
      </w:r>
      <w:r w:rsidR="00407B78" w:rsidRPr="00833629">
        <w:t>-0.73 [95%CI -1.11</w:t>
      </w:r>
      <w:r w:rsidR="00833629">
        <w:t>, -0.34]</w:t>
      </w:r>
      <w:r w:rsidR="00407B78" w:rsidRPr="00833629">
        <w:t>) did not meet nominated MCID of ≥1.0 change when applied to the point estimate</w:t>
      </w:r>
      <w:r w:rsidR="00861DE0">
        <w:t>. T</w:t>
      </w:r>
      <w:r w:rsidR="00407B78" w:rsidRPr="00833629">
        <w:t>he MCID (</w:t>
      </w:r>
      <w:r w:rsidR="00407B78" w:rsidRPr="00833629">
        <w:rPr>
          <w:rFonts w:cs="Calibri"/>
        </w:rPr>
        <w:t>≥</w:t>
      </w:r>
      <w:r w:rsidR="00407B78" w:rsidRPr="00833629">
        <w:t>3.0 change from baseline) was met for the other co</w:t>
      </w:r>
      <w:r w:rsidR="001E0FFB">
        <w:t>-</w:t>
      </w:r>
      <w:r w:rsidR="00407B78" w:rsidRPr="00833629">
        <w:t>primary outcome, nasal obstruction visual analogue scale (NO-V</w:t>
      </w:r>
      <w:r w:rsidR="00833629">
        <w:t>AS)</w:t>
      </w:r>
      <w:r w:rsidR="00861DE0">
        <w:t xml:space="preserve"> </w:t>
      </w:r>
      <w:r w:rsidR="0089326B">
        <w:t xml:space="preserve">in the ITT population </w:t>
      </w:r>
      <w:r w:rsidR="00861DE0">
        <w:t xml:space="preserve">when assessed using the median change </w:t>
      </w:r>
      <w:r w:rsidR="00407B78" w:rsidRPr="00833629">
        <w:t>(-3.14, [95%CI -4</w:t>
      </w:r>
      <w:r w:rsidR="00833629">
        <w:t>.09, -2.18])</w:t>
      </w:r>
      <w:r w:rsidR="00407B78" w:rsidRPr="00833629">
        <w:t>.</w:t>
      </w:r>
      <w:r w:rsidR="00833629">
        <w:t xml:space="preserve"> The PBAC </w:t>
      </w:r>
      <w:r w:rsidR="00DA0D77">
        <w:t xml:space="preserve">acknowledged the ENP was </w:t>
      </w:r>
      <w:r w:rsidR="00833629">
        <w:t xml:space="preserve">more objective and less prone to bias as it was clinician assessed whereas NO-VAS was </w:t>
      </w:r>
      <w:r w:rsidR="00DA0D77">
        <w:t>potentially</w:t>
      </w:r>
      <w:r w:rsidR="00833629">
        <w:t xml:space="preserve"> more subjective and prone to bias as it was patient assessed. However, the PBAC agreed with the ESC </w:t>
      </w:r>
      <w:r w:rsidR="00833629" w:rsidRPr="0057459B">
        <w:t>that due to the inflammatory component of CRSwNP symptomatic improvement can occur without a change in the size of NPs.</w:t>
      </w:r>
      <w:r w:rsidR="00DA0D77">
        <w:t xml:space="preserve"> </w:t>
      </w:r>
      <w:r w:rsidR="00861DE0">
        <w:t>In</w:t>
      </w:r>
      <w:r w:rsidR="00DB5AA0">
        <w:t> </w:t>
      </w:r>
      <w:r w:rsidR="00861DE0">
        <w:t>addition, the PBAC noted that the secondary endpoints reported in Table 6 all achieved statistical significance.</w:t>
      </w:r>
    </w:p>
    <w:p w14:paraId="5018E105" w14:textId="77777777" w:rsidR="008B022B" w:rsidRPr="00CE42B4" w:rsidRDefault="00C55C63" w:rsidP="008B022B">
      <w:pPr>
        <w:numPr>
          <w:ilvl w:val="1"/>
          <w:numId w:val="2"/>
        </w:numPr>
        <w:spacing w:after="120"/>
        <w:rPr>
          <w:rFonts w:asciiTheme="minorHAnsi" w:hAnsiTheme="minorHAnsi"/>
          <w:szCs w:val="20"/>
        </w:rPr>
      </w:pPr>
      <w:r>
        <w:t>T</w:t>
      </w:r>
      <w:r w:rsidR="0089326B">
        <w:t xml:space="preserve">he </w:t>
      </w:r>
      <w:r w:rsidR="0089326B" w:rsidRPr="00D27BF1">
        <w:t>submission presented a subgroup analysis of the co-primary ou</w:t>
      </w:r>
      <w:r w:rsidR="00C342DA">
        <w:t>tcomes based on baseline BEC</w:t>
      </w:r>
      <w:r w:rsidR="0089326B">
        <w:t xml:space="preserve"> </w:t>
      </w:r>
      <w:r w:rsidR="0089326B" w:rsidRPr="00D27BF1">
        <w:t>≥150 cells/µL, in line with the requested restriction</w:t>
      </w:r>
      <w:r w:rsidR="00A07BE1">
        <w:t>. The PBAC considered</w:t>
      </w:r>
      <w:r w:rsidR="0089326B">
        <w:t xml:space="preserve"> that </w:t>
      </w:r>
      <w:r w:rsidR="0089326B" w:rsidRPr="0057742A">
        <w:t xml:space="preserve">while the difference in median NO-VAS score </w:t>
      </w:r>
      <w:r w:rsidR="00A07BE1" w:rsidRPr="0057742A">
        <w:t xml:space="preserve">for this subgroup </w:t>
      </w:r>
      <w:r w:rsidR="0089326B" w:rsidRPr="0057742A">
        <w:t xml:space="preserve">(-3.36, 95%CI </w:t>
      </w:r>
      <w:r w:rsidR="00B2105F">
        <w:br/>
      </w:r>
      <w:r w:rsidR="0089326B" w:rsidRPr="0057742A">
        <w:t xml:space="preserve">-4.27, </w:t>
      </w:r>
      <w:r w:rsidR="00A07BE1" w:rsidRPr="0057742A">
        <w:t>-2.44) met the proposed MCID</w:t>
      </w:r>
      <w:r w:rsidR="0089326B" w:rsidRPr="0057742A">
        <w:t>, the difference in median ENP score (-0.75, 95%CI -1.21, -0.29) did not meet the proposed MCID of ≥1.0 point of change.</w:t>
      </w:r>
      <w:r w:rsidR="0057742A" w:rsidRPr="0057742A">
        <w:t xml:space="preserve"> The PBAC also agreed with the ESC that the </w:t>
      </w:r>
      <w:r w:rsidR="0057742A" w:rsidRPr="0057459B">
        <w:t>BEC &lt;150 cells/</w:t>
      </w:r>
      <w:r w:rsidR="0057742A" w:rsidRPr="0057742A">
        <w:t>µ</w:t>
      </w:r>
      <w:r w:rsidR="0057742A" w:rsidRPr="0057459B">
        <w:t>L</w:t>
      </w:r>
      <w:r w:rsidR="0057742A" w:rsidRPr="0057742A">
        <w:t xml:space="preserve"> complement subgroup sample size was too small to be able to draw meaningful conclusions regarding efficacy (see paragraph 6.24). </w:t>
      </w:r>
      <w:r w:rsidR="0057742A">
        <w:t>The PBAC noted that in</w:t>
      </w:r>
      <w:r w:rsidR="0057742A" w:rsidRPr="00D27BF1">
        <w:t xml:space="preserve"> SYNAPSE the pre-specified subgroups for BEC were ≤300 cells/µL; &gt;300 to ≤500 cells/µL; &gt;500 to ≤700 cells/µL and &gt;700 cells/µL, and the 150 cells/µL threshold appeared to be a </w:t>
      </w:r>
      <w:r w:rsidR="0057742A" w:rsidRPr="0057742A">
        <w:t>post hoc</w:t>
      </w:r>
      <w:r w:rsidR="0057742A" w:rsidRPr="00D27BF1">
        <w:t xml:space="preserve"> subgroup</w:t>
      </w:r>
      <w:r w:rsidR="0057742A">
        <w:t>. The PBAC considered that the median NO-VAS score data presented in Table 7 for the pre-specified BEC subgroups indicated no clear effect modification beyond 300</w:t>
      </w:r>
      <w:r w:rsidR="0057742A" w:rsidRPr="00085941">
        <w:t xml:space="preserve"> </w:t>
      </w:r>
      <w:r w:rsidR="0057742A" w:rsidRPr="00D27BF1">
        <w:t>cells/µL</w:t>
      </w:r>
      <w:r w:rsidR="0057742A">
        <w:t xml:space="preserve"> with similar data not presented for the </w:t>
      </w:r>
      <w:r w:rsidR="0057742A" w:rsidRPr="00D27BF1">
        <w:t>150 cells/µL threshold</w:t>
      </w:r>
      <w:r w:rsidR="0057742A">
        <w:t xml:space="preserve">. </w:t>
      </w:r>
      <w:r w:rsidR="0057742A" w:rsidRPr="0057459B">
        <w:t xml:space="preserve">The </w:t>
      </w:r>
      <w:r w:rsidR="0057742A">
        <w:t xml:space="preserve">PBAC agreed with the </w:t>
      </w:r>
      <w:r w:rsidR="0057742A" w:rsidRPr="0057459B">
        <w:t>ESC that based on physiological grounds and other indications for mepolizumab that a cut-off for BEC is appropriate</w:t>
      </w:r>
      <w:r w:rsidR="0057742A">
        <w:t>. The PBAC</w:t>
      </w:r>
      <w:r w:rsidR="0057742A" w:rsidRPr="0057459B">
        <w:t xml:space="preserve"> considered that a BEC threshold of ≥300 cells/µL, which is consistent with the listing of mepolizumab for </w:t>
      </w:r>
      <w:r w:rsidR="0057742A">
        <w:t xml:space="preserve">uncontrolled severe asthma, would </w:t>
      </w:r>
      <w:r w:rsidR="0057742A" w:rsidRPr="0057459B">
        <w:t>be appropriate</w:t>
      </w:r>
      <w:r w:rsidR="0057742A">
        <w:t>.</w:t>
      </w:r>
      <w:r w:rsidR="008B022B">
        <w:t xml:space="preserve"> Overall, the PBAC considered the clinical claim of superior</w:t>
      </w:r>
      <w:r w:rsidR="00F61A73">
        <w:t xml:space="preserve"> effectiveness compared SoC was</w:t>
      </w:r>
      <w:r w:rsidR="008B022B">
        <w:rPr>
          <w:rFonts w:asciiTheme="minorHAnsi" w:hAnsiTheme="minorHAnsi"/>
          <w:szCs w:val="20"/>
        </w:rPr>
        <w:t xml:space="preserve"> </w:t>
      </w:r>
      <w:r w:rsidR="008B022B" w:rsidRPr="00CE42B4">
        <w:rPr>
          <w:rFonts w:asciiTheme="minorHAnsi" w:hAnsiTheme="minorHAnsi"/>
          <w:szCs w:val="20"/>
        </w:rPr>
        <w:t>reasonable</w:t>
      </w:r>
      <w:r w:rsidR="008B022B">
        <w:rPr>
          <w:rFonts w:asciiTheme="minorHAnsi" w:hAnsiTheme="minorHAnsi"/>
          <w:szCs w:val="20"/>
        </w:rPr>
        <w:t xml:space="preserve"> </w:t>
      </w:r>
      <w:r w:rsidR="00CD67E0">
        <w:rPr>
          <w:rFonts w:asciiTheme="minorHAnsi" w:hAnsiTheme="minorHAnsi"/>
          <w:szCs w:val="20"/>
        </w:rPr>
        <w:t xml:space="preserve">for </w:t>
      </w:r>
      <w:r w:rsidR="008B022B" w:rsidRPr="00D27BF1">
        <w:t xml:space="preserve">patients with CRSwNP and a BEC </w:t>
      </w:r>
      <w:r w:rsidR="008B022B" w:rsidRPr="00D27BF1">
        <w:rPr>
          <w:rFonts w:cs="Calibri"/>
        </w:rPr>
        <w:t>≥</w:t>
      </w:r>
      <w:r w:rsidR="008B022B">
        <w:t>30</w:t>
      </w:r>
      <w:r w:rsidR="008B022B" w:rsidRPr="00D27BF1">
        <w:t>0 cells/µL</w:t>
      </w:r>
      <w:r w:rsidR="008B022B" w:rsidRPr="00CE42B4">
        <w:rPr>
          <w:rFonts w:asciiTheme="minorHAnsi" w:hAnsiTheme="minorHAnsi"/>
          <w:szCs w:val="20"/>
        </w:rPr>
        <w:t>.</w:t>
      </w:r>
    </w:p>
    <w:p w14:paraId="657D66EA" w14:textId="77777777" w:rsidR="0057742A" w:rsidRDefault="008459E9" w:rsidP="0057742A">
      <w:pPr>
        <w:numPr>
          <w:ilvl w:val="1"/>
          <w:numId w:val="2"/>
        </w:numPr>
        <w:spacing w:after="120"/>
      </w:pPr>
      <w:r>
        <w:t xml:space="preserve">The PBAC acknowledged that unlike mepolizumab there would be no injection site reactions associated with the comparator in the proposed PBS population currently treated with SoC. However, the PBAC noted that injection site reactions were not significant in either arm of the SYNAPSE trial and as such agreed with the ESC that the claim of non-inferior safety was reasonable. </w:t>
      </w:r>
    </w:p>
    <w:p w14:paraId="16E200A4" w14:textId="77777777" w:rsidR="00B049DF" w:rsidRPr="0057459B" w:rsidRDefault="0057641F" w:rsidP="00B049DF">
      <w:pPr>
        <w:numPr>
          <w:ilvl w:val="1"/>
          <w:numId w:val="2"/>
        </w:numPr>
        <w:spacing w:after="120"/>
      </w:pPr>
      <w:r>
        <w:t xml:space="preserve">The PBAC noted the submission presented a cost-utility model which assumed a sustained response to mepolizumab over a 30 year time horizon along with differential utilities applied for responder health states depending on the treatment arm and for individuals undergoing effective surgery. </w:t>
      </w:r>
      <w:r w:rsidR="004C5300">
        <w:t xml:space="preserve">The PBAC agreed with the ESC that a 5 year time horizon would be more appropriate given the SYNAPSE trial data were limited to 52 weeks. The PBAC also agreed with the ESC that the assumption of no loss of response across with mepolizumab treatment may not be appropriate given that a reduction was observed in the SYNAPSE trial (see paragraph 6.43). Finally, the </w:t>
      </w:r>
      <w:r w:rsidR="004C5300" w:rsidRPr="004C5300">
        <w:t>PBAC</w:t>
      </w:r>
      <w:r w:rsidR="00407B78" w:rsidRPr="004C5300">
        <w:t xml:space="preserve"> noted that the differential utility applied for the responder health state depending on the treatment arm was a key drive</w:t>
      </w:r>
      <w:r w:rsidR="004C5300">
        <w:t>r of the economic model. The PBAC</w:t>
      </w:r>
      <w:r w:rsidR="00407B78" w:rsidRPr="004C5300">
        <w:t xml:space="preserve"> also noted the utility value ap</w:t>
      </w:r>
      <w:r w:rsidR="00455BBA">
        <w:t xml:space="preserve">plied for individuals </w:t>
      </w:r>
      <w:r w:rsidR="00947D8E">
        <w:t xml:space="preserve">who </w:t>
      </w:r>
      <w:r w:rsidR="00455BBA">
        <w:t>undergo</w:t>
      </w:r>
      <w:r w:rsidR="00407B78" w:rsidRPr="004C5300">
        <w:t xml:space="preserve"> effective surgery differed from values applied for responders to ei</w:t>
      </w:r>
      <w:r w:rsidR="004C5300">
        <w:t>ther mepolizumab or SoC</w:t>
      </w:r>
      <w:r w:rsidR="00B049DF">
        <w:t xml:space="preserve"> (see paragraph </w:t>
      </w:r>
      <w:r w:rsidR="00876905">
        <w:t>6.45)</w:t>
      </w:r>
      <w:r w:rsidR="004C5300">
        <w:t>. The PBAC</w:t>
      </w:r>
      <w:r w:rsidR="00407B78" w:rsidRPr="004C5300">
        <w:t xml:space="preserve"> considered that differences between treatment arms may not be justified as it was not clear if these three utility values were truly different. </w:t>
      </w:r>
      <w:r w:rsidR="004C5300">
        <w:t xml:space="preserve">As such, the PBAC agreed with the ESC </w:t>
      </w:r>
      <w:r w:rsidR="00B049DF">
        <w:t xml:space="preserve">that a respecified base case </w:t>
      </w:r>
      <w:r w:rsidR="00B049DF" w:rsidRPr="00B049DF">
        <w:rPr>
          <w:iCs/>
        </w:rPr>
        <w:t xml:space="preserve">incorporating the following amendments </w:t>
      </w:r>
      <w:r w:rsidR="00B049DF">
        <w:rPr>
          <w:iCs/>
        </w:rPr>
        <w:t>w</w:t>
      </w:r>
      <w:r w:rsidR="00CD67E0">
        <w:rPr>
          <w:iCs/>
        </w:rPr>
        <w:t>ould be</w:t>
      </w:r>
      <w:r w:rsidR="00B049DF">
        <w:rPr>
          <w:iCs/>
        </w:rPr>
        <w:t xml:space="preserve"> appropriate to address the concerns identified</w:t>
      </w:r>
      <w:r w:rsidR="00B049DF" w:rsidRPr="00B049DF">
        <w:rPr>
          <w:iCs/>
        </w:rPr>
        <w:t>:</w:t>
      </w:r>
    </w:p>
    <w:p w14:paraId="773F610D" w14:textId="77777777" w:rsidR="00B049DF" w:rsidRPr="0057459B" w:rsidRDefault="00B049DF" w:rsidP="00B049DF">
      <w:pPr>
        <w:pStyle w:val="Bulletpoints"/>
      </w:pPr>
      <w:r w:rsidRPr="0057459B">
        <w:t>a 5 year time horizon;</w:t>
      </w:r>
    </w:p>
    <w:p w14:paraId="557B28E1" w14:textId="77777777" w:rsidR="00B049DF" w:rsidRPr="0057459B" w:rsidRDefault="00B049DF" w:rsidP="00B049DF">
      <w:pPr>
        <w:pStyle w:val="Bulletpoints"/>
      </w:pPr>
      <w:r w:rsidRPr="0057459B">
        <w:t>an assumption of 2</w:t>
      </w:r>
      <w:r>
        <w:t>4.6</w:t>
      </w:r>
      <w:r w:rsidRPr="0057459B">
        <w:t>% loss of response;</w:t>
      </w:r>
    </w:p>
    <w:p w14:paraId="70DC3500" w14:textId="77777777" w:rsidR="00B049DF" w:rsidRPr="0057459B" w:rsidRDefault="00B049DF" w:rsidP="00B049DF">
      <w:pPr>
        <w:pStyle w:val="Bulletpoints"/>
      </w:pPr>
      <w:r w:rsidRPr="0057459B">
        <w:t>the SoC responder utility applied to both arms from Week 52, and applied to those who had effective surgery.</w:t>
      </w:r>
    </w:p>
    <w:p w14:paraId="4AEA251B" w14:textId="77777777" w:rsidR="00B049DF" w:rsidRDefault="00B049DF" w:rsidP="00B049DF">
      <w:pPr>
        <w:spacing w:after="120"/>
        <w:ind w:left="720"/>
      </w:pPr>
      <w:r>
        <w:t>The PBAC</w:t>
      </w:r>
      <w:r w:rsidRPr="0057459B">
        <w:t xml:space="preserve"> noted that incorporating the above amendments increased the ICER from $</w:t>
      </w:r>
      <w:r w:rsidR="005A17A8">
        <w:t>55,000 to &lt; $75,000</w:t>
      </w:r>
      <w:r w:rsidRPr="0057459B">
        <w:t>/QALY to $</w:t>
      </w:r>
      <w:r w:rsidR="005A17A8">
        <w:t>135,000 to &lt; $155,000</w:t>
      </w:r>
      <w:r>
        <w:t xml:space="preserve">/QALY. The PBAC considered the revised ICER was high and uncertain at the proposed price. </w:t>
      </w:r>
    </w:p>
    <w:p w14:paraId="139E4A10" w14:textId="30D4C499" w:rsidR="00407B78" w:rsidRDefault="00603ADA" w:rsidP="00B049DF">
      <w:pPr>
        <w:numPr>
          <w:ilvl w:val="1"/>
          <w:numId w:val="2"/>
        </w:numPr>
        <w:spacing w:after="120"/>
        <w:rPr>
          <w:rFonts w:asciiTheme="minorHAnsi" w:hAnsiTheme="minorHAnsi"/>
          <w:lang w:val="en-GB"/>
        </w:rPr>
      </w:pPr>
      <w:r>
        <w:t>The PBAC agreed with DUSC that overall the estimates presented in the submission were likely overestimated primarily due to the</w:t>
      </w:r>
      <w:r w:rsidR="005B3C20">
        <w:t xml:space="preserve"> </w:t>
      </w:r>
      <w:r>
        <w:t>prevalence rates of CRS and CRSwNP used in the submission</w:t>
      </w:r>
      <w:r w:rsidR="00B87786">
        <w:t xml:space="preserve"> along with</w:t>
      </w:r>
      <w:r w:rsidR="005B3C20">
        <w:t xml:space="preserve"> the </w:t>
      </w:r>
      <w:r w:rsidR="00B87786">
        <w:t xml:space="preserve">inclusion of a proportion of </w:t>
      </w:r>
      <w:r w:rsidR="005B3C20">
        <w:t xml:space="preserve">CRSwNP patients </w:t>
      </w:r>
      <w:r w:rsidR="00B87786">
        <w:t>already prescribed a</w:t>
      </w:r>
      <w:r w:rsidR="005B3C20">
        <w:t xml:space="preserve"> PBS</w:t>
      </w:r>
      <w:r w:rsidR="00B87786">
        <w:t>-listed biologic for severe asthma</w:t>
      </w:r>
      <w:r>
        <w:t xml:space="preserve"> (see paragraph</w:t>
      </w:r>
      <w:r w:rsidR="00B87786">
        <w:t>s</w:t>
      </w:r>
      <w:r>
        <w:t xml:space="preserve"> 6.63</w:t>
      </w:r>
      <w:r w:rsidR="00B87786">
        <w:t xml:space="preserve"> and 6.64</w:t>
      </w:r>
      <w:r>
        <w:t xml:space="preserve">). </w:t>
      </w:r>
      <w:r w:rsidR="00DE6CA4">
        <w:t xml:space="preserve">The PBAC considered the initial and continuing uptake rates were underestimated and agreed with DUSC that that this was particularly evident for patients unsuitable for surgery (see paragraph 6.65). The PBAC agreed with DUSC that more people are able to administer SC injections themselves </w:t>
      </w:r>
      <w:r w:rsidR="00947D8E">
        <w:t xml:space="preserve">reducing the </w:t>
      </w:r>
      <w:r w:rsidR="00700604">
        <w:t>barrier</w:t>
      </w:r>
      <w:r w:rsidR="00947D8E">
        <w:t>s</w:t>
      </w:r>
      <w:r w:rsidR="00700604">
        <w:t xml:space="preserve"> to uptake</w:t>
      </w:r>
      <w:r w:rsidR="00DE6CA4">
        <w:t xml:space="preserve"> of such treatments. </w:t>
      </w:r>
      <w:r w:rsidR="00700604">
        <w:t xml:space="preserve">The PBAC considered that the favourable risk/benefit profile of mepolizumab, along with current wait times for NP surgery, would likely see patients eligible for surgery commencing mepolizumab. The PBAC considered </w:t>
      </w:r>
      <w:r w:rsidR="006960F2">
        <w:t xml:space="preserve">the potential for such use a major source of uncertainty in the financial estimates. The PBAC noted that one option would be to restrict use to patients who had received at least one prior surgery for the removal of NP. However, the PBAC agreed with the </w:t>
      </w:r>
      <w:r w:rsidR="00700604">
        <w:t xml:space="preserve">pre-PBAC response that removing access </w:t>
      </w:r>
      <w:r w:rsidR="00CD67E0">
        <w:t xml:space="preserve">for </w:t>
      </w:r>
      <w:r w:rsidR="00700604">
        <w:t xml:space="preserve">patients deemed to be unsuitable for prior surgery may create an inequity for this subset of CRSwNP patients given that alternative treatment options are limited. </w:t>
      </w:r>
      <w:r w:rsidR="006960F2">
        <w:t>As such, the PBAC considered that if patients unsuitable for surgery were to be included in the proposed PBS population then a</w:t>
      </w:r>
      <w:r w:rsidR="0020510D">
        <w:t>n</w:t>
      </w:r>
      <w:r w:rsidR="006960F2">
        <w:t xml:space="preserve"> </w:t>
      </w:r>
      <w:r w:rsidR="00CD67E0">
        <w:t>RSA</w:t>
      </w:r>
      <w:r w:rsidR="006960F2">
        <w:t xml:space="preserve"> would be required to manage the uncertainty associated with uptake in this population. </w:t>
      </w:r>
    </w:p>
    <w:p w14:paraId="3A8C05B4" w14:textId="77777777" w:rsidR="005F6038" w:rsidRDefault="005F6038" w:rsidP="005F6038">
      <w:pPr>
        <w:numPr>
          <w:ilvl w:val="1"/>
          <w:numId w:val="2"/>
        </w:numPr>
        <w:spacing w:after="120"/>
      </w:pPr>
      <w:r>
        <w:t xml:space="preserve">The PBAC advised that a resubmission, </w:t>
      </w:r>
      <w:r w:rsidR="00C17180">
        <w:t>which</w:t>
      </w:r>
      <w:r>
        <w:t xml:space="preserve"> included </w:t>
      </w:r>
      <w:r w:rsidR="0065490A">
        <w:t xml:space="preserve">the </w:t>
      </w:r>
      <w:r w:rsidR="0065490A" w:rsidRPr="00C17100">
        <w:t>revised base case</w:t>
      </w:r>
      <w:r w:rsidR="00D275AF">
        <w:t xml:space="preserve"> outlined in paragraph 7.7</w:t>
      </w:r>
      <w:r w:rsidR="00C342DA">
        <w:t>,</w:t>
      </w:r>
      <w:r w:rsidR="00D275AF">
        <w:t xml:space="preserve"> that</w:t>
      </w:r>
      <w:r w:rsidR="00C342DA">
        <w:t xml:space="preserve"> provided</w:t>
      </w:r>
      <w:r>
        <w:t xml:space="preserve"> updated utilisation and financial impact estimates, and which presented a proposed RSA</w:t>
      </w:r>
      <w:r w:rsidR="00C17180">
        <w:t xml:space="preserve"> to manage the uncertainty associated with inclusion of patients unsuitable for surgery in the proposed PBS population</w:t>
      </w:r>
      <w:r>
        <w:t>,</w:t>
      </w:r>
      <w:r w:rsidR="00C342DA">
        <w:t xml:space="preserve"> may</w:t>
      </w:r>
      <w:r>
        <w:t xml:space="preserve"> be lodged at any future standard due date for PBAC submissions using the standard re</w:t>
      </w:r>
      <w:r w:rsidR="009C3B04">
        <w:noBreakHyphen/>
      </w:r>
      <w:r>
        <w:t xml:space="preserve">entry pathway. The PBAC considered that there were multiple outstanding issues which needed to be resolved and therefore that a standard re-entry pathway was appropriate. </w:t>
      </w:r>
    </w:p>
    <w:p w14:paraId="28C3A595" w14:textId="77777777" w:rsidR="005F6038" w:rsidRDefault="005F6038" w:rsidP="005F6038">
      <w:pPr>
        <w:numPr>
          <w:ilvl w:val="1"/>
          <w:numId w:val="2"/>
        </w:numPr>
        <w:spacing w:after="120"/>
      </w:pPr>
      <w:r>
        <w:t>The PBAC noted that this submission is eligible for an Independent Review.</w:t>
      </w:r>
    </w:p>
    <w:p w14:paraId="74B3FAC6" w14:textId="77777777" w:rsidR="00151527" w:rsidRPr="00525B39" w:rsidRDefault="00151527" w:rsidP="00151527">
      <w:pPr>
        <w:spacing w:before="240"/>
        <w:rPr>
          <w:rFonts w:asciiTheme="minorHAnsi" w:hAnsiTheme="minorHAnsi"/>
          <w:b/>
          <w:bCs/>
          <w:lang w:val="en-GB"/>
        </w:rPr>
      </w:pPr>
      <w:r w:rsidRPr="00525B39">
        <w:rPr>
          <w:rFonts w:asciiTheme="minorHAnsi" w:hAnsiTheme="minorHAnsi"/>
          <w:b/>
          <w:bCs/>
          <w:lang w:val="en-GB"/>
        </w:rPr>
        <w:t>Outcome:</w:t>
      </w:r>
    </w:p>
    <w:p w14:paraId="37A8803B" w14:textId="77777777" w:rsidR="00151527" w:rsidRPr="00525B39" w:rsidRDefault="00151527" w:rsidP="00151527">
      <w:pPr>
        <w:rPr>
          <w:rFonts w:asciiTheme="minorHAnsi" w:hAnsiTheme="minorHAnsi"/>
          <w:bCs/>
          <w:lang w:val="en-GB"/>
        </w:rPr>
      </w:pPr>
      <w:r>
        <w:rPr>
          <w:rFonts w:asciiTheme="minorHAnsi" w:hAnsiTheme="minorHAnsi"/>
          <w:bCs/>
          <w:lang w:val="en-GB"/>
        </w:rPr>
        <w:t>Not recommended</w:t>
      </w:r>
    </w:p>
    <w:bookmarkEnd w:id="43"/>
    <w:bookmarkEnd w:id="44"/>
    <w:p w14:paraId="43532461" w14:textId="77777777" w:rsidR="003D0F9D" w:rsidRPr="003D0F9D" w:rsidRDefault="003D0F9D" w:rsidP="00D818B9">
      <w:pPr>
        <w:pStyle w:val="2-SectionHeading"/>
        <w:numPr>
          <w:ilvl w:val="0"/>
          <w:numId w:val="2"/>
        </w:numPr>
        <w:outlineLvl w:val="0"/>
      </w:pPr>
      <w:r w:rsidRPr="00C07617">
        <w:t>Context for Decision</w:t>
      </w:r>
    </w:p>
    <w:p w14:paraId="67A771D5" w14:textId="77777777" w:rsidR="003D0F9D" w:rsidRPr="007129F2" w:rsidRDefault="003D0F9D" w:rsidP="003D0F9D">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DC6D4FE" w14:textId="77777777" w:rsidR="003D0F9D" w:rsidRPr="003D0F9D" w:rsidRDefault="003D0F9D" w:rsidP="00D818B9">
      <w:pPr>
        <w:pStyle w:val="2-SectionHeading"/>
        <w:numPr>
          <w:ilvl w:val="0"/>
          <w:numId w:val="2"/>
        </w:numPr>
        <w:outlineLvl w:val="0"/>
      </w:pPr>
      <w:r>
        <w:t>Sponsor’s Comment</w:t>
      </w:r>
    </w:p>
    <w:p w14:paraId="6FE5DB3A" w14:textId="77777777" w:rsidR="00323915" w:rsidRPr="00323915" w:rsidRDefault="00323915" w:rsidP="00323915">
      <w:pPr>
        <w:spacing w:after="120"/>
        <w:ind w:left="720"/>
        <w:rPr>
          <w:rFonts w:asciiTheme="minorHAnsi" w:hAnsiTheme="minorHAnsi"/>
          <w:bCs/>
          <w:lang w:val="en-GB"/>
        </w:rPr>
      </w:pPr>
      <w:r w:rsidRPr="00323915">
        <w:rPr>
          <w:rFonts w:asciiTheme="minorHAnsi" w:hAnsiTheme="minorHAnsi"/>
          <w:bCs/>
          <w:lang w:val="en-GB"/>
        </w:rPr>
        <w:t>GSK notes that table 5 shows a differential loss of response between treatment arms with a greater maintenance of response observed for mepolizumab versus standard of care. Analyses conducted through the evaluation did not include the observed maintenance of response for standard of care which would have improved the incremental cost-effectiveness ratio.</w:t>
      </w:r>
    </w:p>
    <w:p w14:paraId="601840CC" w14:textId="77777777" w:rsidR="00323915" w:rsidRPr="00323915" w:rsidRDefault="00323915" w:rsidP="00323915">
      <w:pPr>
        <w:spacing w:after="120"/>
        <w:ind w:left="720"/>
        <w:rPr>
          <w:rFonts w:asciiTheme="minorHAnsi" w:hAnsiTheme="minorHAnsi"/>
          <w:bCs/>
          <w:lang w:val="en-GB"/>
        </w:rPr>
      </w:pPr>
      <w:r w:rsidRPr="00323915">
        <w:rPr>
          <w:rFonts w:asciiTheme="minorHAnsi" w:hAnsiTheme="minorHAnsi"/>
          <w:bCs/>
          <w:lang w:val="en-GB"/>
        </w:rPr>
        <w:t xml:space="preserve">GSK looks forward to working with the PBAC to ensure timely access to mepolizumab (Nucala) for people with chronic rhinosinusitis with nasal polyps (CRSwNP), a persistent condition with limited treatment options currently available in Australia. </w:t>
      </w:r>
    </w:p>
    <w:p w14:paraId="1D7AAE59" w14:textId="77777777" w:rsidR="00151527" w:rsidRPr="00525B39" w:rsidRDefault="00151527" w:rsidP="00151527">
      <w:pPr>
        <w:rPr>
          <w:rFonts w:asciiTheme="minorHAnsi" w:hAnsiTheme="minorHAnsi"/>
          <w:b/>
          <w:bCs/>
        </w:rPr>
      </w:pPr>
    </w:p>
    <w:sectPr w:rsidR="00151527" w:rsidRPr="00525B39" w:rsidSect="00765266">
      <w:headerReference w:type="default" r:id="rId8"/>
      <w:footerReference w:type="default" r:id="rId9"/>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5E2E0" w14:textId="77777777" w:rsidR="00A25838" w:rsidRDefault="00A25838" w:rsidP="00124A51">
      <w:r>
        <w:separator/>
      </w:r>
    </w:p>
    <w:p w14:paraId="395DA9C8" w14:textId="77777777" w:rsidR="00A25838" w:rsidRDefault="00A25838"/>
  </w:endnote>
  <w:endnote w:type="continuationSeparator" w:id="0">
    <w:p w14:paraId="18DE9AB4" w14:textId="77777777" w:rsidR="00A25838" w:rsidRDefault="00A25838" w:rsidP="00124A51">
      <w:r>
        <w:continuationSeparator/>
      </w:r>
    </w:p>
    <w:p w14:paraId="2EE1B0A0" w14:textId="77777777" w:rsidR="00A25838" w:rsidRDefault="00A25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桀頺ȷ"/>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513B1" w14:textId="77777777" w:rsidR="00A25838" w:rsidRDefault="00A25838">
    <w:pPr>
      <w:pStyle w:val="Footer"/>
      <w:jc w:val="center"/>
    </w:pPr>
  </w:p>
  <w:p w14:paraId="74813F7F" w14:textId="02C14B19" w:rsidR="00A25838" w:rsidRPr="0057459B" w:rsidRDefault="003038AD" w:rsidP="0057459B">
    <w:pPr>
      <w:pStyle w:val="Footer"/>
      <w:jc w:val="center"/>
      <w:rPr>
        <w:b/>
      </w:rPr>
    </w:pPr>
    <w:sdt>
      <w:sdtPr>
        <w:id w:val="761721804"/>
        <w:docPartObj>
          <w:docPartGallery w:val="Page Numbers (Bottom of Page)"/>
          <w:docPartUnique/>
        </w:docPartObj>
      </w:sdtPr>
      <w:sdtEndPr>
        <w:rPr>
          <w:b/>
          <w:noProof/>
        </w:rPr>
      </w:sdtEndPr>
      <w:sdtContent>
        <w:r w:rsidR="00A25838" w:rsidRPr="0057459B">
          <w:rPr>
            <w:b/>
          </w:rPr>
          <w:fldChar w:fldCharType="begin"/>
        </w:r>
        <w:r w:rsidR="00A25838" w:rsidRPr="0057459B">
          <w:rPr>
            <w:b/>
          </w:rPr>
          <w:instrText xml:space="preserve"> PAGE   \* MERGEFORMAT </w:instrText>
        </w:r>
        <w:r w:rsidR="00A25838" w:rsidRPr="0057459B">
          <w:rPr>
            <w:b/>
          </w:rPr>
          <w:fldChar w:fldCharType="separate"/>
        </w:r>
        <w:r>
          <w:rPr>
            <w:b/>
            <w:noProof/>
          </w:rPr>
          <w:t>41</w:t>
        </w:r>
        <w:r w:rsidR="00A25838" w:rsidRPr="0057459B">
          <w:rPr>
            <w:b/>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F56D1" w14:textId="77777777" w:rsidR="00A25838" w:rsidRDefault="00A25838" w:rsidP="00124A51">
      <w:r>
        <w:separator/>
      </w:r>
    </w:p>
    <w:p w14:paraId="5E32322B" w14:textId="77777777" w:rsidR="00A25838" w:rsidRDefault="00A25838"/>
  </w:footnote>
  <w:footnote w:type="continuationSeparator" w:id="0">
    <w:p w14:paraId="20A460E5" w14:textId="77777777" w:rsidR="00A25838" w:rsidRDefault="00A25838" w:rsidP="00124A51">
      <w:r>
        <w:continuationSeparator/>
      </w:r>
    </w:p>
    <w:p w14:paraId="5D25F5F9" w14:textId="77777777" w:rsidR="00A25838" w:rsidRDefault="00A25838"/>
  </w:footnote>
  <w:footnote w:id="1">
    <w:p w14:paraId="3B403934" w14:textId="77777777" w:rsidR="00A25838" w:rsidRPr="00B543B7" w:rsidRDefault="00A25838" w:rsidP="00B543B7">
      <w:pPr>
        <w:pStyle w:val="CommentText"/>
        <w:rPr>
          <w:rFonts w:asciiTheme="minorHAnsi" w:hAnsiTheme="minorHAnsi" w:cstheme="minorHAnsi"/>
          <w:sz w:val="18"/>
          <w:szCs w:val="18"/>
        </w:rPr>
      </w:pPr>
      <w:r w:rsidRPr="00B543B7">
        <w:rPr>
          <w:rStyle w:val="FootnoteReference"/>
          <w:rFonts w:asciiTheme="minorHAnsi" w:hAnsiTheme="minorHAnsi" w:cstheme="minorHAnsi"/>
        </w:rPr>
        <w:footnoteRef/>
      </w:r>
      <w:r w:rsidRPr="00B543B7">
        <w:rPr>
          <w:rFonts w:asciiTheme="minorHAnsi" w:hAnsiTheme="minorHAnsi" w:cstheme="minorHAnsi"/>
        </w:rPr>
        <w:t xml:space="preserve"> </w:t>
      </w:r>
      <w:r w:rsidRPr="00B543B7">
        <w:rPr>
          <w:rFonts w:asciiTheme="minorHAnsi" w:hAnsiTheme="minorHAnsi" w:cstheme="minorHAnsi"/>
          <w:sz w:val="18"/>
          <w:szCs w:val="18"/>
        </w:rPr>
        <w:t>Ho J, Li W, Grayson JW, Alvarado R, Rimmer J, Sewell WA, Harvey RJ. Systemic medication requirement in post-surgical patients with eosinophilic chronic rhinosinusitis. Rhinology. 2021 Feb 1;59(1):59-65.</w:t>
      </w:r>
    </w:p>
  </w:footnote>
  <w:footnote w:id="2">
    <w:p w14:paraId="29DF52B0" w14:textId="77777777" w:rsidR="00A25838" w:rsidRPr="00B543B7" w:rsidRDefault="00A25838" w:rsidP="00B543B7">
      <w:pPr>
        <w:rPr>
          <w:rFonts w:asciiTheme="minorHAnsi" w:hAnsiTheme="minorHAnsi" w:cstheme="minorHAnsi"/>
          <w:bCs/>
          <w:sz w:val="18"/>
          <w:szCs w:val="18"/>
        </w:rPr>
      </w:pPr>
      <w:r w:rsidRPr="00B543B7">
        <w:rPr>
          <w:rStyle w:val="FootnoteReference"/>
          <w:sz w:val="18"/>
          <w:szCs w:val="18"/>
        </w:rPr>
        <w:footnoteRef/>
      </w:r>
      <w:r w:rsidRPr="00B543B7">
        <w:rPr>
          <w:sz w:val="18"/>
          <w:szCs w:val="18"/>
        </w:rPr>
        <w:t xml:space="preserve"> </w:t>
      </w:r>
      <w:r w:rsidRPr="00B543B7">
        <w:rPr>
          <w:rFonts w:asciiTheme="minorHAnsi" w:hAnsiTheme="minorHAnsi" w:cstheme="minorHAnsi"/>
          <w:bCs/>
          <w:sz w:val="18"/>
          <w:szCs w:val="18"/>
        </w:rPr>
        <w:t xml:space="preserve">McHugh T, Snidvongs K, Xie M, Banglawala S, Sommer D. High tissue eosinophilia as a marker to predict recurrence for eosinophilic chronic rhinosinusitis: a systematic review and meta-analysis. Int Forum Allergy Rhinol. 2018 Dec;8(12):1421-1429. </w:t>
      </w:r>
    </w:p>
    <w:p w14:paraId="7773F8C2" w14:textId="77777777" w:rsidR="00A25838" w:rsidRDefault="00A25838">
      <w:pPr>
        <w:pStyle w:val="FootnoteText"/>
      </w:pPr>
    </w:p>
  </w:footnote>
  <w:footnote w:id="3">
    <w:p w14:paraId="371B2DFA" w14:textId="77777777" w:rsidR="00A25838" w:rsidRDefault="00A25838" w:rsidP="00BC4E40">
      <w:pPr>
        <w:pStyle w:val="FootnoteText"/>
      </w:pPr>
      <w:r>
        <w:rPr>
          <w:rStyle w:val="FootnoteReference"/>
        </w:rPr>
        <w:footnoteRef/>
      </w:r>
      <w:r>
        <w:t xml:space="preserve"> </w:t>
      </w:r>
      <w:r w:rsidRPr="00BF63A3">
        <w:rPr>
          <w:sz w:val="18"/>
          <w:szCs w:val="18"/>
        </w:rPr>
        <w:t xml:space="preserve">Mulhern, B., Norman, R. &amp; Brazier, J. Valuing SF-6Dv2 in Australia Using an International Protocol. PharmacoEconomics (2021). </w:t>
      </w:r>
      <w:hyperlink r:id="rId1" w:history="1">
        <w:r w:rsidRPr="00BF63A3">
          <w:rPr>
            <w:rStyle w:val="Hyperlink"/>
            <w:sz w:val="18"/>
            <w:szCs w:val="18"/>
          </w:rPr>
          <w:t>https://doi.org/10.1007/s40273-021-01043-4</w:t>
        </w:r>
      </w:hyperlink>
      <w:r>
        <w:t xml:space="preserve"> </w:t>
      </w:r>
    </w:p>
  </w:footnote>
  <w:footnote w:id="4">
    <w:p w14:paraId="28BFA145" w14:textId="77777777" w:rsidR="00A25838" w:rsidRDefault="00A25838" w:rsidP="00151527">
      <w:pPr>
        <w:pStyle w:val="FootnoteText"/>
      </w:pPr>
      <w:r>
        <w:rPr>
          <w:rStyle w:val="FootnoteReference"/>
        </w:rPr>
        <w:footnoteRef/>
      </w:r>
      <w:r>
        <w:t xml:space="preserve"> Chen S, Zhou A, Emmanuel B, Thomas K, Guiang H. Systematic literature review of the epidemiology and clinical burden of chronic rhinosinusitis with nasal polyposis. Curr Med Res Opin. 2020;36(11):1897-1911. doi:10.1080/03007995.2020.1815682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9B664" w14:textId="77777777" w:rsidR="00A25838" w:rsidRPr="0057459B" w:rsidRDefault="00A25838" w:rsidP="0057459B">
    <w:pPr>
      <w:keepNext/>
      <w:widowControl/>
      <w:tabs>
        <w:tab w:val="center" w:pos="4153"/>
        <w:tab w:val="right" w:pos="8306"/>
      </w:tabs>
      <w:ind w:left="360"/>
      <w:jc w:val="center"/>
      <w:rPr>
        <w:rFonts w:asciiTheme="minorHAnsi" w:hAnsiTheme="minorHAnsi"/>
        <w:i/>
        <w:snapToGrid/>
        <w:szCs w:val="24"/>
      </w:rPr>
    </w:pPr>
    <w:bookmarkStart w:id="45" w:name="_Hlk76375146"/>
    <w:r>
      <w:rPr>
        <w:rFonts w:asciiTheme="minorHAnsi" w:hAnsiTheme="minorHAnsi"/>
        <w:i/>
        <w:snapToGrid/>
        <w:szCs w:val="24"/>
      </w:rPr>
      <w:t>Public Summary Document</w:t>
    </w:r>
    <w:r w:rsidRPr="0057459B">
      <w:rPr>
        <w:rFonts w:asciiTheme="minorHAnsi" w:hAnsiTheme="minorHAnsi"/>
        <w:i/>
        <w:snapToGrid/>
        <w:szCs w:val="24"/>
      </w:rPr>
      <w:t xml:space="preserve"> – November 2021 PBAC Meeting</w:t>
    </w:r>
  </w:p>
  <w:bookmarkEnd w:id="45"/>
  <w:p w14:paraId="5477015B" w14:textId="77777777" w:rsidR="00A25838" w:rsidRPr="008C7ECB" w:rsidRDefault="00A258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B35923"/>
    <w:multiLevelType w:val="hybridMultilevel"/>
    <w:tmpl w:val="588147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824789"/>
    <w:multiLevelType w:val="hybridMultilevel"/>
    <w:tmpl w:val="1AF45ABE"/>
    <w:lvl w:ilvl="0" w:tplc="C18C93EE">
      <w:start w:val="1"/>
      <w:numFmt w:val="bullet"/>
      <w:lvlText w:val="–"/>
      <w:lvlJc w:val="left"/>
      <w:pPr>
        <w:tabs>
          <w:tab w:val="num" w:pos="360"/>
        </w:tabs>
        <w:ind w:left="360" w:hanging="360"/>
      </w:pPr>
      <w:rPr>
        <w:rFonts w:ascii="Arial" w:hAnsi="Arial" w:hint="default"/>
      </w:rPr>
    </w:lvl>
    <w:lvl w:ilvl="1" w:tplc="B53C3888">
      <w:start w:val="1"/>
      <w:numFmt w:val="bullet"/>
      <w:lvlText w:val="–"/>
      <w:lvlJc w:val="left"/>
      <w:pPr>
        <w:tabs>
          <w:tab w:val="num" w:pos="1440"/>
        </w:tabs>
        <w:ind w:left="1440" w:hanging="360"/>
      </w:pPr>
      <w:rPr>
        <w:rFonts w:ascii="Arial" w:hAnsi="Arial" w:hint="default"/>
      </w:rPr>
    </w:lvl>
    <w:lvl w:ilvl="2" w:tplc="37F051DE" w:tentative="1">
      <w:start w:val="1"/>
      <w:numFmt w:val="bullet"/>
      <w:lvlText w:val="–"/>
      <w:lvlJc w:val="left"/>
      <w:pPr>
        <w:tabs>
          <w:tab w:val="num" w:pos="2160"/>
        </w:tabs>
        <w:ind w:left="2160" w:hanging="360"/>
      </w:pPr>
      <w:rPr>
        <w:rFonts w:ascii="Arial" w:hAnsi="Arial" w:hint="default"/>
      </w:rPr>
    </w:lvl>
    <w:lvl w:ilvl="3" w:tplc="3C202B24" w:tentative="1">
      <w:start w:val="1"/>
      <w:numFmt w:val="bullet"/>
      <w:lvlText w:val="–"/>
      <w:lvlJc w:val="left"/>
      <w:pPr>
        <w:tabs>
          <w:tab w:val="num" w:pos="2880"/>
        </w:tabs>
        <w:ind w:left="2880" w:hanging="360"/>
      </w:pPr>
      <w:rPr>
        <w:rFonts w:ascii="Arial" w:hAnsi="Arial" w:hint="default"/>
      </w:rPr>
    </w:lvl>
    <w:lvl w:ilvl="4" w:tplc="6B0C1DE0" w:tentative="1">
      <w:start w:val="1"/>
      <w:numFmt w:val="bullet"/>
      <w:lvlText w:val="–"/>
      <w:lvlJc w:val="left"/>
      <w:pPr>
        <w:tabs>
          <w:tab w:val="num" w:pos="3600"/>
        </w:tabs>
        <w:ind w:left="3600" w:hanging="360"/>
      </w:pPr>
      <w:rPr>
        <w:rFonts w:ascii="Arial" w:hAnsi="Arial" w:hint="default"/>
      </w:rPr>
    </w:lvl>
    <w:lvl w:ilvl="5" w:tplc="8C2AA246" w:tentative="1">
      <w:start w:val="1"/>
      <w:numFmt w:val="bullet"/>
      <w:lvlText w:val="–"/>
      <w:lvlJc w:val="left"/>
      <w:pPr>
        <w:tabs>
          <w:tab w:val="num" w:pos="4320"/>
        </w:tabs>
        <w:ind w:left="4320" w:hanging="360"/>
      </w:pPr>
      <w:rPr>
        <w:rFonts w:ascii="Arial" w:hAnsi="Arial" w:hint="default"/>
      </w:rPr>
    </w:lvl>
    <w:lvl w:ilvl="6" w:tplc="CD74915E" w:tentative="1">
      <w:start w:val="1"/>
      <w:numFmt w:val="bullet"/>
      <w:lvlText w:val="–"/>
      <w:lvlJc w:val="left"/>
      <w:pPr>
        <w:tabs>
          <w:tab w:val="num" w:pos="5040"/>
        </w:tabs>
        <w:ind w:left="5040" w:hanging="360"/>
      </w:pPr>
      <w:rPr>
        <w:rFonts w:ascii="Arial" w:hAnsi="Arial" w:hint="default"/>
      </w:rPr>
    </w:lvl>
    <w:lvl w:ilvl="7" w:tplc="33B4C7BA" w:tentative="1">
      <w:start w:val="1"/>
      <w:numFmt w:val="bullet"/>
      <w:lvlText w:val="–"/>
      <w:lvlJc w:val="left"/>
      <w:pPr>
        <w:tabs>
          <w:tab w:val="num" w:pos="5760"/>
        </w:tabs>
        <w:ind w:left="5760" w:hanging="360"/>
      </w:pPr>
      <w:rPr>
        <w:rFonts w:ascii="Arial" w:hAnsi="Arial" w:hint="default"/>
      </w:rPr>
    </w:lvl>
    <w:lvl w:ilvl="8" w:tplc="BCF8F83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F371D3"/>
    <w:multiLevelType w:val="hybridMultilevel"/>
    <w:tmpl w:val="64B00852"/>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6553CD8"/>
    <w:multiLevelType w:val="hybridMultilevel"/>
    <w:tmpl w:val="5D90DE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3B7C1E"/>
    <w:multiLevelType w:val="multilevel"/>
    <w:tmpl w:val="A7DA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7C34E2"/>
    <w:multiLevelType w:val="hybridMultilevel"/>
    <w:tmpl w:val="B5004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E50960"/>
    <w:multiLevelType w:val="hybridMultilevel"/>
    <w:tmpl w:val="EA822A46"/>
    <w:lvl w:ilvl="0" w:tplc="0C09000F">
      <w:start w:val="1"/>
      <w:numFmt w:val="decimal"/>
      <w:lvlText w:val="%1."/>
      <w:lvlJc w:val="left"/>
      <w:pPr>
        <w:ind w:left="828"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2" w15:restartNumberingAfterBreak="0">
    <w:nsid w:val="43499667"/>
    <w:multiLevelType w:val="hybridMultilevel"/>
    <w:tmpl w:val="30773F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4442297"/>
    <w:multiLevelType w:val="hybridMultilevel"/>
    <w:tmpl w:val="07D61FC6"/>
    <w:lvl w:ilvl="0" w:tplc="C324F4FC">
      <w:start w:val="1"/>
      <w:numFmt w:val="bullet"/>
      <w:pStyle w:val="Bulletpoints"/>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64AA2AD6">
      <w:start w:val="1"/>
      <w:numFmt w:val="bullet"/>
      <w:lvlText w:val="-"/>
      <w:lvlJc w:val="left"/>
      <w:pPr>
        <w:ind w:left="2520" w:hanging="360"/>
      </w:pPr>
      <w:rPr>
        <w:rFonts w:ascii="Arial" w:hAnsi="Aria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7B2536"/>
    <w:multiLevelType w:val="hybridMultilevel"/>
    <w:tmpl w:val="9F18E516"/>
    <w:lvl w:ilvl="0" w:tplc="C324F4FC">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64AA2AD6">
      <w:start w:val="1"/>
      <w:numFmt w:val="bullet"/>
      <w:lvlText w:val="-"/>
      <w:lvlJc w:val="left"/>
      <w:pPr>
        <w:ind w:left="2160" w:hanging="360"/>
      </w:pPr>
      <w:rPr>
        <w:rFonts w:ascii="Arial" w:hAnsi="Aria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3F569B"/>
    <w:multiLevelType w:val="multilevel"/>
    <w:tmpl w:val="81D0B1C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641F5076"/>
    <w:multiLevelType w:val="hybridMultilevel"/>
    <w:tmpl w:val="B622D54E"/>
    <w:lvl w:ilvl="0" w:tplc="0C090001">
      <w:start w:val="1"/>
      <w:numFmt w:val="bullet"/>
      <w:lvlText w:val=""/>
      <w:lvlJc w:val="left"/>
      <w:pPr>
        <w:tabs>
          <w:tab w:val="num" w:pos="720"/>
        </w:tabs>
        <w:ind w:left="720" w:hanging="360"/>
      </w:pPr>
      <w:rPr>
        <w:rFonts w:ascii="Symbol" w:hAnsi="Symbol" w:hint="default"/>
        <w:color w:val="auto"/>
      </w:rPr>
    </w:lvl>
    <w:lvl w:ilvl="1" w:tplc="4E00BE38">
      <w:start w:val="1"/>
      <w:numFmt w:val="bullet"/>
      <w:lvlText w:val="-"/>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8EB3F2"/>
    <w:multiLevelType w:val="hybridMultilevel"/>
    <w:tmpl w:val="9AF947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8317B72"/>
    <w:multiLevelType w:val="hybridMultilevel"/>
    <w:tmpl w:val="321EEF5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84904DC"/>
    <w:multiLevelType w:val="hybridMultilevel"/>
    <w:tmpl w:val="3A649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9B024D"/>
    <w:multiLevelType w:val="multilevel"/>
    <w:tmpl w:val="001CAC2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FA3C06"/>
    <w:multiLevelType w:val="hybridMultilevel"/>
    <w:tmpl w:val="408466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84D033C"/>
    <w:multiLevelType w:val="multilevel"/>
    <w:tmpl w:val="93BE6CE0"/>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C8F4C2C"/>
    <w:multiLevelType w:val="hybridMultilevel"/>
    <w:tmpl w:val="EA822A46"/>
    <w:lvl w:ilvl="0" w:tplc="0C09000F">
      <w:start w:val="1"/>
      <w:numFmt w:val="decimal"/>
      <w:lvlText w:val="%1."/>
      <w:lvlJc w:val="left"/>
      <w:pPr>
        <w:ind w:left="828"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28"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10"/>
  </w:num>
  <w:num w:numId="2">
    <w:abstractNumId w:val="26"/>
  </w:num>
  <w:num w:numId="3">
    <w:abstractNumId w:val="13"/>
  </w:num>
  <w:num w:numId="4">
    <w:abstractNumId w:val="14"/>
  </w:num>
  <w:num w:numId="5">
    <w:abstractNumId w:val="15"/>
  </w:num>
  <w:num w:numId="6">
    <w:abstractNumId w:val="22"/>
  </w:num>
  <w:num w:numId="7">
    <w:abstractNumId w:val="13"/>
  </w:num>
  <w:num w:numId="8">
    <w:abstractNumId w:val="7"/>
  </w:num>
  <w:num w:numId="9">
    <w:abstractNumId w:val="13"/>
  </w:num>
  <w:num w:numId="10">
    <w:abstractNumId w:val="13"/>
  </w:num>
  <w:num w:numId="11">
    <w:abstractNumId w:val="21"/>
  </w:num>
  <w:num w:numId="12">
    <w:abstractNumId w:val="28"/>
  </w:num>
  <w:num w:numId="13">
    <w:abstractNumId w:val="27"/>
  </w:num>
  <w:num w:numId="14">
    <w:abstractNumId w:val="11"/>
  </w:num>
  <w:num w:numId="15">
    <w:abstractNumId w:val="3"/>
  </w:num>
  <w:num w:numId="16">
    <w:abstractNumId w:val="13"/>
  </w:num>
  <w:num w:numId="17">
    <w:abstractNumId w:val="13"/>
  </w:num>
  <w:num w:numId="18">
    <w:abstractNumId w:val="9"/>
  </w:num>
  <w:num w:numId="19">
    <w:abstractNumId w:val="26"/>
  </w:num>
  <w:num w:numId="20">
    <w:abstractNumId w:val="13"/>
  </w:num>
  <w:num w:numId="21">
    <w:abstractNumId w:val="13"/>
  </w:num>
  <w:num w:numId="22">
    <w:abstractNumId w:val="13"/>
  </w:num>
  <w:num w:numId="23">
    <w:abstractNumId w:val="13"/>
  </w:num>
  <w:num w:numId="24">
    <w:abstractNumId w:val="16"/>
  </w:num>
  <w:num w:numId="25">
    <w:abstractNumId w:val="17"/>
  </w:num>
  <w:num w:numId="26">
    <w:abstractNumId w:val="2"/>
  </w:num>
  <w:num w:numId="27">
    <w:abstractNumId w:val="1"/>
  </w:num>
  <w:num w:numId="28">
    <w:abstractNumId w:val="6"/>
  </w:num>
  <w:num w:numId="29">
    <w:abstractNumId w:val="8"/>
  </w:num>
  <w:num w:numId="30">
    <w:abstractNumId w:val="5"/>
  </w:num>
  <w:num w:numId="3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23"/>
  </w:num>
  <w:num w:numId="34">
    <w:abstractNumId w:val="13"/>
  </w:num>
  <w:num w:numId="35">
    <w:abstractNumId w:val="12"/>
  </w:num>
  <w:num w:numId="36">
    <w:abstractNumId w:val="0"/>
  </w:num>
  <w:num w:numId="37">
    <w:abstractNumId w:val="20"/>
  </w:num>
  <w:num w:numId="38">
    <w:abstractNumId w:val="19"/>
  </w:num>
  <w:num w:numId="39">
    <w:abstractNumId w:val="4"/>
  </w:num>
  <w:num w:numId="40">
    <w:abstractNumId w:val="24"/>
  </w:num>
  <w:num w:numId="41">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removePersonalInformation/>
  <w:removeDateAndTime/>
  <w:doNotTrackFormattin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0FAE"/>
    <w:rsid w:val="0000110B"/>
    <w:rsid w:val="0000157E"/>
    <w:rsid w:val="00002118"/>
    <w:rsid w:val="00002DB0"/>
    <w:rsid w:val="00003499"/>
    <w:rsid w:val="000039B7"/>
    <w:rsid w:val="00004A51"/>
    <w:rsid w:val="00005468"/>
    <w:rsid w:val="00006507"/>
    <w:rsid w:val="000065C5"/>
    <w:rsid w:val="00006BE5"/>
    <w:rsid w:val="00006C4C"/>
    <w:rsid w:val="000075B0"/>
    <w:rsid w:val="00007638"/>
    <w:rsid w:val="000078D2"/>
    <w:rsid w:val="0001029D"/>
    <w:rsid w:val="00011205"/>
    <w:rsid w:val="00011C54"/>
    <w:rsid w:val="00012228"/>
    <w:rsid w:val="000130A3"/>
    <w:rsid w:val="00013247"/>
    <w:rsid w:val="00014434"/>
    <w:rsid w:val="00015886"/>
    <w:rsid w:val="00015CFB"/>
    <w:rsid w:val="000162EF"/>
    <w:rsid w:val="0001743E"/>
    <w:rsid w:val="00020A12"/>
    <w:rsid w:val="0002225F"/>
    <w:rsid w:val="00022BBD"/>
    <w:rsid w:val="00023763"/>
    <w:rsid w:val="00024209"/>
    <w:rsid w:val="0002495D"/>
    <w:rsid w:val="00025D31"/>
    <w:rsid w:val="000261BB"/>
    <w:rsid w:val="0002688E"/>
    <w:rsid w:val="00027243"/>
    <w:rsid w:val="00030053"/>
    <w:rsid w:val="00031059"/>
    <w:rsid w:val="000312F1"/>
    <w:rsid w:val="000315C3"/>
    <w:rsid w:val="00031FA2"/>
    <w:rsid w:val="00032202"/>
    <w:rsid w:val="000328E1"/>
    <w:rsid w:val="0003353F"/>
    <w:rsid w:val="00033863"/>
    <w:rsid w:val="0003441E"/>
    <w:rsid w:val="00035332"/>
    <w:rsid w:val="000357CB"/>
    <w:rsid w:val="00035DC0"/>
    <w:rsid w:val="00036829"/>
    <w:rsid w:val="00036D12"/>
    <w:rsid w:val="00040895"/>
    <w:rsid w:val="00040DB3"/>
    <w:rsid w:val="00040DF7"/>
    <w:rsid w:val="00041120"/>
    <w:rsid w:val="0004148C"/>
    <w:rsid w:val="00041878"/>
    <w:rsid w:val="00041CAD"/>
    <w:rsid w:val="00042EF7"/>
    <w:rsid w:val="00043C37"/>
    <w:rsid w:val="00045017"/>
    <w:rsid w:val="000450EA"/>
    <w:rsid w:val="00045589"/>
    <w:rsid w:val="00045A2B"/>
    <w:rsid w:val="0004698F"/>
    <w:rsid w:val="00046BF2"/>
    <w:rsid w:val="00047015"/>
    <w:rsid w:val="00047785"/>
    <w:rsid w:val="00047E27"/>
    <w:rsid w:val="00051154"/>
    <w:rsid w:val="000526A1"/>
    <w:rsid w:val="00052A78"/>
    <w:rsid w:val="00052BFC"/>
    <w:rsid w:val="00052C42"/>
    <w:rsid w:val="00052CBC"/>
    <w:rsid w:val="00052F1A"/>
    <w:rsid w:val="000539A4"/>
    <w:rsid w:val="000539D0"/>
    <w:rsid w:val="000539F7"/>
    <w:rsid w:val="000545B5"/>
    <w:rsid w:val="00054621"/>
    <w:rsid w:val="000546D7"/>
    <w:rsid w:val="0005478E"/>
    <w:rsid w:val="00054790"/>
    <w:rsid w:val="0005496F"/>
    <w:rsid w:val="000554CA"/>
    <w:rsid w:val="00055684"/>
    <w:rsid w:val="000556EB"/>
    <w:rsid w:val="0005573E"/>
    <w:rsid w:val="0005588D"/>
    <w:rsid w:val="00060416"/>
    <w:rsid w:val="00061781"/>
    <w:rsid w:val="0006297F"/>
    <w:rsid w:val="000629DA"/>
    <w:rsid w:val="00062CBD"/>
    <w:rsid w:val="00065FCC"/>
    <w:rsid w:val="0006606E"/>
    <w:rsid w:val="0006628B"/>
    <w:rsid w:val="00066360"/>
    <w:rsid w:val="000677B7"/>
    <w:rsid w:val="00067E49"/>
    <w:rsid w:val="00071248"/>
    <w:rsid w:val="000720B9"/>
    <w:rsid w:val="000727B4"/>
    <w:rsid w:val="000728CB"/>
    <w:rsid w:val="000731AE"/>
    <w:rsid w:val="000737F7"/>
    <w:rsid w:val="000740AD"/>
    <w:rsid w:val="0007672F"/>
    <w:rsid w:val="000774F0"/>
    <w:rsid w:val="00077C91"/>
    <w:rsid w:val="00080128"/>
    <w:rsid w:val="000808F3"/>
    <w:rsid w:val="00080909"/>
    <w:rsid w:val="00080CF3"/>
    <w:rsid w:val="00080EFB"/>
    <w:rsid w:val="000812CA"/>
    <w:rsid w:val="00082081"/>
    <w:rsid w:val="00082568"/>
    <w:rsid w:val="0008258D"/>
    <w:rsid w:val="00083E85"/>
    <w:rsid w:val="00083E99"/>
    <w:rsid w:val="00084A83"/>
    <w:rsid w:val="000856C5"/>
    <w:rsid w:val="00085941"/>
    <w:rsid w:val="000870A9"/>
    <w:rsid w:val="00090B22"/>
    <w:rsid w:val="00090C7E"/>
    <w:rsid w:val="0009142F"/>
    <w:rsid w:val="00091807"/>
    <w:rsid w:val="00092600"/>
    <w:rsid w:val="0009262B"/>
    <w:rsid w:val="00092C38"/>
    <w:rsid w:val="00093310"/>
    <w:rsid w:val="000935A4"/>
    <w:rsid w:val="00094314"/>
    <w:rsid w:val="0009445C"/>
    <w:rsid w:val="000949F0"/>
    <w:rsid w:val="000951ED"/>
    <w:rsid w:val="00095FE5"/>
    <w:rsid w:val="00096284"/>
    <w:rsid w:val="00096AFD"/>
    <w:rsid w:val="00097239"/>
    <w:rsid w:val="000A0107"/>
    <w:rsid w:val="000A0638"/>
    <w:rsid w:val="000A0A80"/>
    <w:rsid w:val="000A0F42"/>
    <w:rsid w:val="000A0F84"/>
    <w:rsid w:val="000A2406"/>
    <w:rsid w:val="000A2FCC"/>
    <w:rsid w:val="000A3B46"/>
    <w:rsid w:val="000A4F97"/>
    <w:rsid w:val="000A603F"/>
    <w:rsid w:val="000A6B73"/>
    <w:rsid w:val="000A6C1E"/>
    <w:rsid w:val="000A7829"/>
    <w:rsid w:val="000A7D08"/>
    <w:rsid w:val="000B0670"/>
    <w:rsid w:val="000B0E75"/>
    <w:rsid w:val="000B0FD7"/>
    <w:rsid w:val="000B14C3"/>
    <w:rsid w:val="000B1705"/>
    <w:rsid w:val="000B1B05"/>
    <w:rsid w:val="000B22E7"/>
    <w:rsid w:val="000B2BE1"/>
    <w:rsid w:val="000B3130"/>
    <w:rsid w:val="000B36E7"/>
    <w:rsid w:val="000B3807"/>
    <w:rsid w:val="000B48FD"/>
    <w:rsid w:val="000B5183"/>
    <w:rsid w:val="000B555B"/>
    <w:rsid w:val="000B5B79"/>
    <w:rsid w:val="000B5F23"/>
    <w:rsid w:val="000B6CAC"/>
    <w:rsid w:val="000B7612"/>
    <w:rsid w:val="000B7CAE"/>
    <w:rsid w:val="000B7DCC"/>
    <w:rsid w:val="000C030B"/>
    <w:rsid w:val="000C0C2B"/>
    <w:rsid w:val="000C0C4A"/>
    <w:rsid w:val="000C1B86"/>
    <w:rsid w:val="000C244D"/>
    <w:rsid w:val="000C2B92"/>
    <w:rsid w:val="000C3DF9"/>
    <w:rsid w:val="000C4FE2"/>
    <w:rsid w:val="000C51A2"/>
    <w:rsid w:val="000C6713"/>
    <w:rsid w:val="000C69C7"/>
    <w:rsid w:val="000D1180"/>
    <w:rsid w:val="000D1450"/>
    <w:rsid w:val="000D1BFC"/>
    <w:rsid w:val="000D1BFF"/>
    <w:rsid w:val="000D1F65"/>
    <w:rsid w:val="000D2133"/>
    <w:rsid w:val="000D281A"/>
    <w:rsid w:val="000D2DA5"/>
    <w:rsid w:val="000D326A"/>
    <w:rsid w:val="000D3377"/>
    <w:rsid w:val="000D51FB"/>
    <w:rsid w:val="000E0151"/>
    <w:rsid w:val="000E02B2"/>
    <w:rsid w:val="000E08E5"/>
    <w:rsid w:val="000E135D"/>
    <w:rsid w:val="000E1CCE"/>
    <w:rsid w:val="000E2CCF"/>
    <w:rsid w:val="000E3199"/>
    <w:rsid w:val="000E3A97"/>
    <w:rsid w:val="000E4C42"/>
    <w:rsid w:val="000E5493"/>
    <w:rsid w:val="000E5786"/>
    <w:rsid w:val="000E5E12"/>
    <w:rsid w:val="000E6A75"/>
    <w:rsid w:val="000E755B"/>
    <w:rsid w:val="000F00BA"/>
    <w:rsid w:val="000F316A"/>
    <w:rsid w:val="000F353F"/>
    <w:rsid w:val="000F3542"/>
    <w:rsid w:val="000F35CF"/>
    <w:rsid w:val="000F3C74"/>
    <w:rsid w:val="000F3CEA"/>
    <w:rsid w:val="000F4462"/>
    <w:rsid w:val="000F47D3"/>
    <w:rsid w:val="000F4BB8"/>
    <w:rsid w:val="000F615E"/>
    <w:rsid w:val="000F652A"/>
    <w:rsid w:val="000F6579"/>
    <w:rsid w:val="000F6D84"/>
    <w:rsid w:val="000F7127"/>
    <w:rsid w:val="00100CD2"/>
    <w:rsid w:val="00100F8A"/>
    <w:rsid w:val="001017A8"/>
    <w:rsid w:val="001017BD"/>
    <w:rsid w:val="001021C9"/>
    <w:rsid w:val="00102918"/>
    <w:rsid w:val="001030BF"/>
    <w:rsid w:val="001037A8"/>
    <w:rsid w:val="00103CD2"/>
    <w:rsid w:val="0010429E"/>
    <w:rsid w:val="00105AE2"/>
    <w:rsid w:val="00105BFB"/>
    <w:rsid w:val="00106B80"/>
    <w:rsid w:val="0010712C"/>
    <w:rsid w:val="0010717F"/>
    <w:rsid w:val="0010779E"/>
    <w:rsid w:val="0010788E"/>
    <w:rsid w:val="00110185"/>
    <w:rsid w:val="0011032E"/>
    <w:rsid w:val="00110ABD"/>
    <w:rsid w:val="00111433"/>
    <w:rsid w:val="001115F2"/>
    <w:rsid w:val="00111AD6"/>
    <w:rsid w:val="00111ECD"/>
    <w:rsid w:val="0011348B"/>
    <w:rsid w:val="00115117"/>
    <w:rsid w:val="00115982"/>
    <w:rsid w:val="001163F1"/>
    <w:rsid w:val="001168B9"/>
    <w:rsid w:val="00116C53"/>
    <w:rsid w:val="00117166"/>
    <w:rsid w:val="001176DA"/>
    <w:rsid w:val="00121799"/>
    <w:rsid w:val="001218F6"/>
    <w:rsid w:val="001222FC"/>
    <w:rsid w:val="0012458B"/>
    <w:rsid w:val="00124A51"/>
    <w:rsid w:val="00124F8D"/>
    <w:rsid w:val="0012554E"/>
    <w:rsid w:val="0012628D"/>
    <w:rsid w:val="00126621"/>
    <w:rsid w:val="00127A56"/>
    <w:rsid w:val="00127ACD"/>
    <w:rsid w:val="00130114"/>
    <w:rsid w:val="001301E9"/>
    <w:rsid w:val="00131B85"/>
    <w:rsid w:val="00131D82"/>
    <w:rsid w:val="0013345E"/>
    <w:rsid w:val="00133D36"/>
    <w:rsid w:val="0013510B"/>
    <w:rsid w:val="00135278"/>
    <w:rsid w:val="00136B76"/>
    <w:rsid w:val="001371F7"/>
    <w:rsid w:val="00137645"/>
    <w:rsid w:val="00137C0C"/>
    <w:rsid w:val="0014015A"/>
    <w:rsid w:val="00140171"/>
    <w:rsid w:val="00140E99"/>
    <w:rsid w:val="001412DA"/>
    <w:rsid w:val="00142F5F"/>
    <w:rsid w:val="001431C4"/>
    <w:rsid w:val="00143AD5"/>
    <w:rsid w:val="00144072"/>
    <w:rsid w:val="001443B8"/>
    <w:rsid w:val="00145540"/>
    <w:rsid w:val="001456B0"/>
    <w:rsid w:val="001457DC"/>
    <w:rsid w:val="00145D20"/>
    <w:rsid w:val="001464AF"/>
    <w:rsid w:val="001473B6"/>
    <w:rsid w:val="00147B76"/>
    <w:rsid w:val="0015144D"/>
    <w:rsid w:val="00151527"/>
    <w:rsid w:val="001519FD"/>
    <w:rsid w:val="00151A6C"/>
    <w:rsid w:val="00152087"/>
    <w:rsid w:val="00152931"/>
    <w:rsid w:val="00153742"/>
    <w:rsid w:val="0015550C"/>
    <w:rsid w:val="00155CDA"/>
    <w:rsid w:val="0015675A"/>
    <w:rsid w:val="00156CAE"/>
    <w:rsid w:val="00157130"/>
    <w:rsid w:val="0015739F"/>
    <w:rsid w:val="001576B1"/>
    <w:rsid w:val="00160A4C"/>
    <w:rsid w:val="00161A97"/>
    <w:rsid w:val="00162913"/>
    <w:rsid w:val="00163EFF"/>
    <w:rsid w:val="00164086"/>
    <w:rsid w:val="0016551C"/>
    <w:rsid w:val="00165BE4"/>
    <w:rsid w:val="001661FB"/>
    <w:rsid w:val="00166921"/>
    <w:rsid w:val="00166ED2"/>
    <w:rsid w:val="00167721"/>
    <w:rsid w:val="00167C7A"/>
    <w:rsid w:val="001702C8"/>
    <w:rsid w:val="00170461"/>
    <w:rsid w:val="001709BA"/>
    <w:rsid w:val="00170FB1"/>
    <w:rsid w:val="00171ACF"/>
    <w:rsid w:val="001732A9"/>
    <w:rsid w:val="00173565"/>
    <w:rsid w:val="00173ADC"/>
    <w:rsid w:val="00173B07"/>
    <w:rsid w:val="00174401"/>
    <w:rsid w:val="0017491A"/>
    <w:rsid w:val="00175E27"/>
    <w:rsid w:val="00175FD0"/>
    <w:rsid w:val="00176DB9"/>
    <w:rsid w:val="00176E4C"/>
    <w:rsid w:val="001806D2"/>
    <w:rsid w:val="00181733"/>
    <w:rsid w:val="00181D9C"/>
    <w:rsid w:val="00182D22"/>
    <w:rsid w:val="00182FFC"/>
    <w:rsid w:val="001834F6"/>
    <w:rsid w:val="0018419D"/>
    <w:rsid w:val="00184623"/>
    <w:rsid w:val="00184624"/>
    <w:rsid w:val="001846BD"/>
    <w:rsid w:val="00184C7E"/>
    <w:rsid w:val="00185102"/>
    <w:rsid w:val="00185CFB"/>
    <w:rsid w:val="00186010"/>
    <w:rsid w:val="00186C12"/>
    <w:rsid w:val="0018752F"/>
    <w:rsid w:val="0019175B"/>
    <w:rsid w:val="00191BF0"/>
    <w:rsid w:val="00192B79"/>
    <w:rsid w:val="00193685"/>
    <w:rsid w:val="00193723"/>
    <w:rsid w:val="00194059"/>
    <w:rsid w:val="0019417B"/>
    <w:rsid w:val="00194FE8"/>
    <w:rsid w:val="00195222"/>
    <w:rsid w:val="001964C3"/>
    <w:rsid w:val="00196BDE"/>
    <w:rsid w:val="001970C9"/>
    <w:rsid w:val="00197186"/>
    <w:rsid w:val="001975B3"/>
    <w:rsid w:val="001975D8"/>
    <w:rsid w:val="001A19AD"/>
    <w:rsid w:val="001A1BB5"/>
    <w:rsid w:val="001A2461"/>
    <w:rsid w:val="001A3050"/>
    <w:rsid w:val="001A35D4"/>
    <w:rsid w:val="001A43FA"/>
    <w:rsid w:val="001A4CE3"/>
    <w:rsid w:val="001A50D0"/>
    <w:rsid w:val="001A57F4"/>
    <w:rsid w:val="001A59FB"/>
    <w:rsid w:val="001A5B5A"/>
    <w:rsid w:val="001A62A6"/>
    <w:rsid w:val="001A6354"/>
    <w:rsid w:val="001A65E9"/>
    <w:rsid w:val="001A67E9"/>
    <w:rsid w:val="001A6965"/>
    <w:rsid w:val="001A7AE8"/>
    <w:rsid w:val="001B05AA"/>
    <w:rsid w:val="001B1146"/>
    <w:rsid w:val="001B204E"/>
    <w:rsid w:val="001B2E3E"/>
    <w:rsid w:val="001B3443"/>
    <w:rsid w:val="001B3B2F"/>
    <w:rsid w:val="001B43B2"/>
    <w:rsid w:val="001B4B13"/>
    <w:rsid w:val="001B4D20"/>
    <w:rsid w:val="001B6DFD"/>
    <w:rsid w:val="001B7AEF"/>
    <w:rsid w:val="001C2A9B"/>
    <w:rsid w:val="001C3975"/>
    <w:rsid w:val="001C3BB9"/>
    <w:rsid w:val="001C3E95"/>
    <w:rsid w:val="001C3FF2"/>
    <w:rsid w:val="001C4299"/>
    <w:rsid w:val="001C476F"/>
    <w:rsid w:val="001C4799"/>
    <w:rsid w:val="001C47E7"/>
    <w:rsid w:val="001C4E2B"/>
    <w:rsid w:val="001C5F94"/>
    <w:rsid w:val="001C621E"/>
    <w:rsid w:val="001C668F"/>
    <w:rsid w:val="001C66AD"/>
    <w:rsid w:val="001C6D7A"/>
    <w:rsid w:val="001C6E66"/>
    <w:rsid w:val="001D0AC6"/>
    <w:rsid w:val="001D0F19"/>
    <w:rsid w:val="001D115A"/>
    <w:rsid w:val="001D2832"/>
    <w:rsid w:val="001D34B3"/>
    <w:rsid w:val="001D3803"/>
    <w:rsid w:val="001D560B"/>
    <w:rsid w:val="001D56B5"/>
    <w:rsid w:val="001D58AE"/>
    <w:rsid w:val="001D5CEB"/>
    <w:rsid w:val="001D6C8F"/>
    <w:rsid w:val="001D7ACF"/>
    <w:rsid w:val="001E01AF"/>
    <w:rsid w:val="001E0FFB"/>
    <w:rsid w:val="001E1032"/>
    <w:rsid w:val="001E1B02"/>
    <w:rsid w:val="001E1DC7"/>
    <w:rsid w:val="001E1E86"/>
    <w:rsid w:val="001E2278"/>
    <w:rsid w:val="001E238E"/>
    <w:rsid w:val="001E2483"/>
    <w:rsid w:val="001E2B1E"/>
    <w:rsid w:val="001E2E0C"/>
    <w:rsid w:val="001E30D4"/>
    <w:rsid w:val="001E3383"/>
    <w:rsid w:val="001E4342"/>
    <w:rsid w:val="001E501F"/>
    <w:rsid w:val="001E52EB"/>
    <w:rsid w:val="001E5734"/>
    <w:rsid w:val="001E61D2"/>
    <w:rsid w:val="001E6C97"/>
    <w:rsid w:val="001E740C"/>
    <w:rsid w:val="001E75B7"/>
    <w:rsid w:val="001E7661"/>
    <w:rsid w:val="001F0013"/>
    <w:rsid w:val="001F0483"/>
    <w:rsid w:val="001F1235"/>
    <w:rsid w:val="001F1CB3"/>
    <w:rsid w:val="001F2602"/>
    <w:rsid w:val="001F276A"/>
    <w:rsid w:val="001F27EF"/>
    <w:rsid w:val="001F2947"/>
    <w:rsid w:val="001F3106"/>
    <w:rsid w:val="001F3203"/>
    <w:rsid w:val="001F3622"/>
    <w:rsid w:val="001F38B5"/>
    <w:rsid w:val="001F39BF"/>
    <w:rsid w:val="001F3D57"/>
    <w:rsid w:val="001F5294"/>
    <w:rsid w:val="001F5329"/>
    <w:rsid w:val="001F567D"/>
    <w:rsid w:val="001F615B"/>
    <w:rsid w:val="001F68FD"/>
    <w:rsid w:val="001F6BAD"/>
    <w:rsid w:val="001F7361"/>
    <w:rsid w:val="001F78CF"/>
    <w:rsid w:val="00200368"/>
    <w:rsid w:val="00201026"/>
    <w:rsid w:val="002011B0"/>
    <w:rsid w:val="00201841"/>
    <w:rsid w:val="00201BA6"/>
    <w:rsid w:val="00201CB8"/>
    <w:rsid w:val="00202AA9"/>
    <w:rsid w:val="00202E21"/>
    <w:rsid w:val="00203181"/>
    <w:rsid w:val="002036CB"/>
    <w:rsid w:val="00203783"/>
    <w:rsid w:val="0020385F"/>
    <w:rsid w:val="00203CE1"/>
    <w:rsid w:val="00203DAA"/>
    <w:rsid w:val="0020510D"/>
    <w:rsid w:val="00207021"/>
    <w:rsid w:val="0020732F"/>
    <w:rsid w:val="00207522"/>
    <w:rsid w:val="002075AC"/>
    <w:rsid w:val="00207D00"/>
    <w:rsid w:val="00207E63"/>
    <w:rsid w:val="002101E7"/>
    <w:rsid w:val="002105C1"/>
    <w:rsid w:val="00210846"/>
    <w:rsid w:val="00211363"/>
    <w:rsid w:val="00213CC6"/>
    <w:rsid w:val="002141F1"/>
    <w:rsid w:val="002151F5"/>
    <w:rsid w:val="00216295"/>
    <w:rsid w:val="0021719D"/>
    <w:rsid w:val="00217F52"/>
    <w:rsid w:val="002206EB"/>
    <w:rsid w:val="00220CA9"/>
    <w:rsid w:val="00221696"/>
    <w:rsid w:val="00222E9A"/>
    <w:rsid w:val="00223410"/>
    <w:rsid w:val="00223B49"/>
    <w:rsid w:val="00223D27"/>
    <w:rsid w:val="002240B1"/>
    <w:rsid w:val="002248AA"/>
    <w:rsid w:val="00224DD4"/>
    <w:rsid w:val="00224F19"/>
    <w:rsid w:val="00225969"/>
    <w:rsid w:val="00225E56"/>
    <w:rsid w:val="00226C47"/>
    <w:rsid w:val="002272D7"/>
    <w:rsid w:val="002272E2"/>
    <w:rsid w:val="00227594"/>
    <w:rsid w:val="002309CC"/>
    <w:rsid w:val="00230A1E"/>
    <w:rsid w:val="002319C5"/>
    <w:rsid w:val="00231D45"/>
    <w:rsid w:val="0023209F"/>
    <w:rsid w:val="0023214B"/>
    <w:rsid w:val="00233786"/>
    <w:rsid w:val="00233792"/>
    <w:rsid w:val="00233AC6"/>
    <w:rsid w:val="00233D18"/>
    <w:rsid w:val="002344E0"/>
    <w:rsid w:val="00234AF0"/>
    <w:rsid w:val="002353D1"/>
    <w:rsid w:val="00235A14"/>
    <w:rsid w:val="00235E1F"/>
    <w:rsid w:val="0023629D"/>
    <w:rsid w:val="002368B4"/>
    <w:rsid w:val="00237255"/>
    <w:rsid w:val="00237E62"/>
    <w:rsid w:val="0024009D"/>
    <w:rsid w:val="00240B86"/>
    <w:rsid w:val="00240E8E"/>
    <w:rsid w:val="0024163B"/>
    <w:rsid w:val="002423A6"/>
    <w:rsid w:val="002424AF"/>
    <w:rsid w:val="00243285"/>
    <w:rsid w:val="00243976"/>
    <w:rsid w:val="002439DC"/>
    <w:rsid w:val="00244776"/>
    <w:rsid w:val="00244DC8"/>
    <w:rsid w:val="002458BA"/>
    <w:rsid w:val="0024600F"/>
    <w:rsid w:val="0024636C"/>
    <w:rsid w:val="00246441"/>
    <w:rsid w:val="00247250"/>
    <w:rsid w:val="00247925"/>
    <w:rsid w:val="00250E69"/>
    <w:rsid w:val="002519B9"/>
    <w:rsid w:val="00251FC9"/>
    <w:rsid w:val="00252AC1"/>
    <w:rsid w:val="00254178"/>
    <w:rsid w:val="00254DCF"/>
    <w:rsid w:val="0025534B"/>
    <w:rsid w:val="00255587"/>
    <w:rsid w:val="0025592B"/>
    <w:rsid w:val="00255A5B"/>
    <w:rsid w:val="00255BB7"/>
    <w:rsid w:val="00255CBB"/>
    <w:rsid w:val="002564DB"/>
    <w:rsid w:val="00257541"/>
    <w:rsid w:val="002576C8"/>
    <w:rsid w:val="00257DF2"/>
    <w:rsid w:val="002601DF"/>
    <w:rsid w:val="00260779"/>
    <w:rsid w:val="00260A0B"/>
    <w:rsid w:val="00260A63"/>
    <w:rsid w:val="00261163"/>
    <w:rsid w:val="00261C21"/>
    <w:rsid w:val="0026219D"/>
    <w:rsid w:val="002621E9"/>
    <w:rsid w:val="00262A1A"/>
    <w:rsid w:val="00262A87"/>
    <w:rsid w:val="00263E0A"/>
    <w:rsid w:val="00264BA6"/>
    <w:rsid w:val="00264D26"/>
    <w:rsid w:val="002654A8"/>
    <w:rsid w:val="00265DF8"/>
    <w:rsid w:val="00267642"/>
    <w:rsid w:val="00267AEA"/>
    <w:rsid w:val="00267F02"/>
    <w:rsid w:val="002700E6"/>
    <w:rsid w:val="002703F9"/>
    <w:rsid w:val="002710BF"/>
    <w:rsid w:val="00271AD5"/>
    <w:rsid w:val="002722B2"/>
    <w:rsid w:val="0027294B"/>
    <w:rsid w:val="002732F0"/>
    <w:rsid w:val="00273AF9"/>
    <w:rsid w:val="00273FA2"/>
    <w:rsid w:val="002747F7"/>
    <w:rsid w:val="002758D5"/>
    <w:rsid w:val="00275A12"/>
    <w:rsid w:val="00275A80"/>
    <w:rsid w:val="00275C5A"/>
    <w:rsid w:val="00276084"/>
    <w:rsid w:val="00281014"/>
    <w:rsid w:val="002821AA"/>
    <w:rsid w:val="0028290D"/>
    <w:rsid w:val="00282FF7"/>
    <w:rsid w:val="002833AC"/>
    <w:rsid w:val="0028353B"/>
    <w:rsid w:val="002836CF"/>
    <w:rsid w:val="00284203"/>
    <w:rsid w:val="002847DF"/>
    <w:rsid w:val="002869D9"/>
    <w:rsid w:val="002869DB"/>
    <w:rsid w:val="00286DD5"/>
    <w:rsid w:val="002870B9"/>
    <w:rsid w:val="002904F6"/>
    <w:rsid w:val="00290948"/>
    <w:rsid w:val="00292454"/>
    <w:rsid w:val="002924F5"/>
    <w:rsid w:val="0029286C"/>
    <w:rsid w:val="002929F2"/>
    <w:rsid w:val="00294AF0"/>
    <w:rsid w:val="00295042"/>
    <w:rsid w:val="002951AD"/>
    <w:rsid w:val="002968E5"/>
    <w:rsid w:val="00296CCF"/>
    <w:rsid w:val="002A14AB"/>
    <w:rsid w:val="002A1AFA"/>
    <w:rsid w:val="002A1B04"/>
    <w:rsid w:val="002A2015"/>
    <w:rsid w:val="002A2F50"/>
    <w:rsid w:val="002A35AB"/>
    <w:rsid w:val="002A3D93"/>
    <w:rsid w:val="002A4989"/>
    <w:rsid w:val="002A6BFD"/>
    <w:rsid w:val="002A77F4"/>
    <w:rsid w:val="002A7D87"/>
    <w:rsid w:val="002B09A4"/>
    <w:rsid w:val="002B0CCF"/>
    <w:rsid w:val="002B1719"/>
    <w:rsid w:val="002B1C1F"/>
    <w:rsid w:val="002B35C7"/>
    <w:rsid w:val="002B432F"/>
    <w:rsid w:val="002B46B1"/>
    <w:rsid w:val="002B4BA9"/>
    <w:rsid w:val="002B62B3"/>
    <w:rsid w:val="002B6754"/>
    <w:rsid w:val="002B6B85"/>
    <w:rsid w:val="002B6CCE"/>
    <w:rsid w:val="002B7E39"/>
    <w:rsid w:val="002C0C22"/>
    <w:rsid w:val="002C1E32"/>
    <w:rsid w:val="002C2510"/>
    <w:rsid w:val="002C2775"/>
    <w:rsid w:val="002C27C1"/>
    <w:rsid w:val="002C28CC"/>
    <w:rsid w:val="002C354C"/>
    <w:rsid w:val="002C3971"/>
    <w:rsid w:val="002C3D0D"/>
    <w:rsid w:val="002C47C5"/>
    <w:rsid w:val="002C5099"/>
    <w:rsid w:val="002C5889"/>
    <w:rsid w:val="002C5D7B"/>
    <w:rsid w:val="002C719A"/>
    <w:rsid w:val="002C71CE"/>
    <w:rsid w:val="002C7DB2"/>
    <w:rsid w:val="002C7DD2"/>
    <w:rsid w:val="002D0FE7"/>
    <w:rsid w:val="002D1651"/>
    <w:rsid w:val="002D2C5B"/>
    <w:rsid w:val="002D2FE2"/>
    <w:rsid w:val="002D306A"/>
    <w:rsid w:val="002D3CC2"/>
    <w:rsid w:val="002D3DF6"/>
    <w:rsid w:val="002D539F"/>
    <w:rsid w:val="002D577C"/>
    <w:rsid w:val="002D66E8"/>
    <w:rsid w:val="002D6CBD"/>
    <w:rsid w:val="002E0037"/>
    <w:rsid w:val="002E01BE"/>
    <w:rsid w:val="002E0F60"/>
    <w:rsid w:val="002E1502"/>
    <w:rsid w:val="002E15B9"/>
    <w:rsid w:val="002E2158"/>
    <w:rsid w:val="002E3A3A"/>
    <w:rsid w:val="002E4AAA"/>
    <w:rsid w:val="002E50BD"/>
    <w:rsid w:val="002E6C19"/>
    <w:rsid w:val="002E7522"/>
    <w:rsid w:val="002E7722"/>
    <w:rsid w:val="002F0257"/>
    <w:rsid w:val="002F0269"/>
    <w:rsid w:val="002F0767"/>
    <w:rsid w:val="002F07BA"/>
    <w:rsid w:val="002F0DA9"/>
    <w:rsid w:val="002F1659"/>
    <w:rsid w:val="002F1A81"/>
    <w:rsid w:val="002F2D08"/>
    <w:rsid w:val="002F32ED"/>
    <w:rsid w:val="002F36E2"/>
    <w:rsid w:val="002F46F6"/>
    <w:rsid w:val="002F4720"/>
    <w:rsid w:val="002F487A"/>
    <w:rsid w:val="002F53FD"/>
    <w:rsid w:val="002F54B8"/>
    <w:rsid w:val="002F55D4"/>
    <w:rsid w:val="002F5F6E"/>
    <w:rsid w:val="002F643C"/>
    <w:rsid w:val="002F71C0"/>
    <w:rsid w:val="0030025F"/>
    <w:rsid w:val="00300927"/>
    <w:rsid w:val="00301017"/>
    <w:rsid w:val="0030155F"/>
    <w:rsid w:val="00301B4C"/>
    <w:rsid w:val="00301C99"/>
    <w:rsid w:val="0030278B"/>
    <w:rsid w:val="00302B12"/>
    <w:rsid w:val="00303396"/>
    <w:rsid w:val="0030351A"/>
    <w:rsid w:val="003037DA"/>
    <w:rsid w:val="00303833"/>
    <w:rsid w:val="003038AD"/>
    <w:rsid w:val="0030469B"/>
    <w:rsid w:val="003052D2"/>
    <w:rsid w:val="00305834"/>
    <w:rsid w:val="0030587B"/>
    <w:rsid w:val="00305958"/>
    <w:rsid w:val="00305A96"/>
    <w:rsid w:val="00305EE9"/>
    <w:rsid w:val="0030698D"/>
    <w:rsid w:val="00306C55"/>
    <w:rsid w:val="00306D22"/>
    <w:rsid w:val="00306D98"/>
    <w:rsid w:val="00306E2E"/>
    <w:rsid w:val="003070DF"/>
    <w:rsid w:val="0030742E"/>
    <w:rsid w:val="0030786C"/>
    <w:rsid w:val="00307FB2"/>
    <w:rsid w:val="0031031A"/>
    <w:rsid w:val="00310981"/>
    <w:rsid w:val="00310A64"/>
    <w:rsid w:val="00310B89"/>
    <w:rsid w:val="003121F9"/>
    <w:rsid w:val="00312578"/>
    <w:rsid w:val="0031387D"/>
    <w:rsid w:val="00313884"/>
    <w:rsid w:val="00313EE5"/>
    <w:rsid w:val="0031467F"/>
    <w:rsid w:val="0031473D"/>
    <w:rsid w:val="00315498"/>
    <w:rsid w:val="00315C0B"/>
    <w:rsid w:val="00317384"/>
    <w:rsid w:val="003177D8"/>
    <w:rsid w:val="00321068"/>
    <w:rsid w:val="00321C65"/>
    <w:rsid w:val="00322107"/>
    <w:rsid w:val="00322846"/>
    <w:rsid w:val="00323056"/>
    <w:rsid w:val="003235A1"/>
    <w:rsid w:val="00323915"/>
    <w:rsid w:val="00323B8D"/>
    <w:rsid w:val="00324055"/>
    <w:rsid w:val="00325639"/>
    <w:rsid w:val="00325AD8"/>
    <w:rsid w:val="00325FAD"/>
    <w:rsid w:val="00326213"/>
    <w:rsid w:val="00326579"/>
    <w:rsid w:val="00326AAE"/>
    <w:rsid w:val="00326DA7"/>
    <w:rsid w:val="003270E4"/>
    <w:rsid w:val="00327655"/>
    <w:rsid w:val="00327EC6"/>
    <w:rsid w:val="00330592"/>
    <w:rsid w:val="0033077D"/>
    <w:rsid w:val="00330F5C"/>
    <w:rsid w:val="00332901"/>
    <w:rsid w:val="00332AED"/>
    <w:rsid w:val="00332C33"/>
    <w:rsid w:val="0033422A"/>
    <w:rsid w:val="00334973"/>
    <w:rsid w:val="00334FC3"/>
    <w:rsid w:val="00335B5B"/>
    <w:rsid w:val="00335D46"/>
    <w:rsid w:val="003365B5"/>
    <w:rsid w:val="003366C9"/>
    <w:rsid w:val="003371B0"/>
    <w:rsid w:val="003407D9"/>
    <w:rsid w:val="00340DF1"/>
    <w:rsid w:val="003424C1"/>
    <w:rsid w:val="00343435"/>
    <w:rsid w:val="003436AD"/>
    <w:rsid w:val="003443ED"/>
    <w:rsid w:val="003456F5"/>
    <w:rsid w:val="003457FC"/>
    <w:rsid w:val="00346097"/>
    <w:rsid w:val="00347DBE"/>
    <w:rsid w:val="003517F9"/>
    <w:rsid w:val="003531E2"/>
    <w:rsid w:val="00353C24"/>
    <w:rsid w:val="00354649"/>
    <w:rsid w:val="0035620E"/>
    <w:rsid w:val="0035702A"/>
    <w:rsid w:val="003575BD"/>
    <w:rsid w:val="00357CAD"/>
    <w:rsid w:val="00357EC7"/>
    <w:rsid w:val="003606AE"/>
    <w:rsid w:val="003607F5"/>
    <w:rsid w:val="003624C4"/>
    <w:rsid w:val="0036500F"/>
    <w:rsid w:val="003654AC"/>
    <w:rsid w:val="00365DEA"/>
    <w:rsid w:val="00365E87"/>
    <w:rsid w:val="00365FE4"/>
    <w:rsid w:val="00366B60"/>
    <w:rsid w:val="00366C10"/>
    <w:rsid w:val="0036761E"/>
    <w:rsid w:val="003710CF"/>
    <w:rsid w:val="00371296"/>
    <w:rsid w:val="00371753"/>
    <w:rsid w:val="0037358A"/>
    <w:rsid w:val="003743D4"/>
    <w:rsid w:val="00374492"/>
    <w:rsid w:val="003750F6"/>
    <w:rsid w:val="003760FC"/>
    <w:rsid w:val="0037639E"/>
    <w:rsid w:val="00376B3D"/>
    <w:rsid w:val="003810BE"/>
    <w:rsid w:val="003812BE"/>
    <w:rsid w:val="003822E9"/>
    <w:rsid w:val="003832C4"/>
    <w:rsid w:val="0038365C"/>
    <w:rsid w:val="0038369B"/>
    <w:rsid w:val="00383AC8"/>
    <w:rsid w:val="00383B78"/>
    <w:rsid w:val="003843DA"/>
    <w:rsid w:val="00384746"/>
    <w:rsid w:val="00385642"/>
    <w:rsid w:val="00385A9D"/>
    <w:rsid w:val="00386B73"/>
    <w:rsid w:val="00387922"/>
    <w:rsid w:val="0039013D"/>
    <w:rsid w:val="003902B1"/>
    <w:rsid w:val="00390C04"/>
    <w:rsid w:val="00392DBD"/>
    <w:rsid w:val="003932C9"/>
    <w:rsid w:val="0039334C"/>
    <w:rsid w:val="003934E2"/>
    <w:rsid w:val="0039457D"/>
    <w:rsid w:val="00395129"/>
    <w:rsid w:val="00395F75"/>
    <w:rsid w:val="0039611F"/>
    <w:rsid w:val="003965F7"/>
    <w:rsid w:val="00396896"/>
    <w:rsid w:val="00396FD0"/>
    <w:rsid w:val="0039713E"/>
    <w:rsid w:val="003A0775"/>
    <w:rsid w:val="003A1319"/>
    <w:rsid w:val="003A1A7A"/>
    <w:rsid w:val="003A2392"/>
    <w:rsid w:val="003A2831"/>
    <w:rsid w:val="003A3CA0"/>
    <w:rsid w:val="003A3ED1"/>
    <w:rsid w:val="003A4193"/>
    <w:rsid w:val="003A4357"/>
    <w:rsid w:val="003A471E"/>
    <w:rsid w:val="003A652F"/>
    <w:rsid w:val="003B1721"/>
    <w:rsid w:val="003B24E8"/>
    <w:rsid w:val="003B3040"/>
    <w:rsid w:val="003B38D8"/>
    <w:rsid w:val="003B3B58"/>
    <w:rsid w:val="003B40BC"/>
    <w:rsid w:val="003B4D9F"/>
    <w:rsid w:val="003B526C"/>
    <w:rsid w:val="003B5377"/>
    <w:rsid w:val="003B5B61"/>
    <w:rsid w:val="003B5E9A"/>
    <w:rsid w:val="003B641A"/>
    <w:rsid w:val="003B7323"/>
    <w:rsid w:val="003C02B4"/>
    <w:rsid w:val="003C0692"/>
    <w:rsid w:val="003C0962"/>
    <w:rsid w:val="003C1654"/>
    <w:rsid w:val="003C16B1"/>
    <w:rsid w:val="003C3151"/>
    <w:rsid w:val="003C46B2"/>
    <w:rsid w:val="003C5AA8"/>
    <w:rsid w:val="003C6D55"/>
    <w:rsid w:val="003C6DF9"/>
    <w:rsid w:val="003C7393"/>
    <w:rsid w:val="003C7553"/>
    <w:rsid w:val="003C7D19"/>
    <w:rsid w:val="003C7D74"/>
    <w:rsid w:val="003C7DE9"/>
    <w:rsid w:val="003D0785"/>
    <w:rsid w:val="003D0B50"/>
    <w:rsid w:val="003D0F9D"/>
    <w:rsid w:val="003D1828"/>
    <w:rsid w:val="003D1D04"/>
    <w:rsid w:val="003D1DE4"/>
    <w:rsid w:val="003D2422"/>
    <w:rsid w:val="003D260E"/>
    <w:rsid w:val="003D3828"/>
    <w:rsid w:val="003D39A1"/>
    <w:rsid w:val="003D3FBF"/>
    <w:rsid w:val="003D4A30"/>
    <w:rsid w:val="003D508A"/>
    <w:rsid w:val="003D5316"/>
    <w:rsid w:val="003D69AA"/>
    <w:rsid w:val="003D76D6"/>
    <w:rsid w:val="003D79BB"/>
    <w:rsid w:val="003D7C98"/>
    <w:rsid w:val="003E017A"/>
    <w:rsid w:val="003E0406"/>
    <w:rsid w:val="003E0543"/>
    <w:rsid w:val="003E16A7"/>
    <w:rsid w:val="003E3B74"/>
    <w:rsid w:val="003E4982"/>
    <w:rsid w:val="003E55DD"/>
    <w:rsid w:val="003E5969"/>
    <w:rsid w:val="003E6486"/>
    <w:rsid w:val="003E64B3"/>
    <w:rsid w:val="003E6B44"/>
    <w:rsid w:val="003F0930"/>
    <w:rsid w:val="003F09B2"/>
    <w:rsid w:val="003F0B83"/>
    <w:rsid w:val="003F0C93"/>
    <w:rsid w:val="003F10CF"/>
    <w:rsid w:val="003F125A"/>
    <w:rsid w:val="003F1FD3"/>
    <w:rsid w:val="003F288C"/>
    <w:rsid w:val="003F2990"/>
    <w:rsid w:val="003F2F03"/>
    <w:rsid w:val="003F3246"/>
    <w:rsid w:val="003F331E"/>
    <w:rsid w:val="003F4156"/>
    <w:rsid w:val="003F4C95"/>
    <w:rsid w:val="003F619E"/>
    <w:rsid w:val="003F72D4"/>
    <w:rsid w:val="003F79F0"/>
    <w:rsid w:val="003F7B1A"/>
    <w:rsid w:val="0040050E"/>
    <w:rsid w:val="00400B29"/>
    <w:rsid w:val="004012F0"/>
    <w:rsid w:val="004031FD"/>
    <w:rsid w:val="004036C2"/>
    <w:rsid w:val="0040504B"/>
    <w:rsid w:val="00405C84"/>
    <w:rsid w:val="00406332"/>
    <w:rsid w:val="00407B78"/>
    <w:rsid w:val="00410708"/>
    <w:rsid w:val="00410EC7"/>
    <w:rsid w:val="00411AB4"/>
    <w:rsid w:val="00411B39"/>
    <w:rsid w:val="0041349A"/>
    <w:rsid w:val="004136B3"/>
    <w:rsid w:val="00413A1E"/>
    <w:rsid w:val="00413D19"/>
    <w:rsid w:val="00414476"/>
    <w:rsid w:val="00414C2E"/>
    <w:rsid w:val="004150C1"/>
    <w:rsid w:val="004151CF"/>
    <w:rsid w:val="004152B5"/>
    <w:rsid w:val="00416364"/>
    <w:rsid w:val="004163B2"/>
    <w:rsid w:val="004172E9"/>
    <w:rsid w:val="00420AA6"/>
    <w:rsid w:val="00420B9F"/>
    <w:rsid w:val="00421259"/>
    <w:rsid w:val="00421FA0"/>
    <w:rsid w:val="00422260"/>
    <w:rsid w:val="0042408A"/>
    <w:rsid w:val="0042413F"/>
    <w:rsid w:val="00424A5F"/>
    <w:rsid w:val="004251D0"/>
    <w:rsid w:val="004258EB"/>
    <w:rsid w:val="00426027"/>
    <w:rsid w:val="0042799B"/>
    <w:rsid w:val="00427BE0"/>
    <w:rsid w:val="0043083F"/>
    <w:rsid w:val="00430FF4"/>
    <w:rsid w:val="004319F8"/>
    <w:rsid w:val="00431E55"/>
    <w:rsid w:val="00431F53"/>
    <w:rsid w:val="004321F6"/>
    <w:rsid w:val="0043293D"/>
    <w:rsid w:val="00433044"/>
    <w:rsid w:val="0043306E"/>
    <w:rsid w:val="004332D4"/>
    <w:rsid w:val="004332FE"/>
    <w:rsid w:val="00434A16"/>
    <w:rsid w:val="004354EF"/>
    <w:rsid w:val="00435E5C"/>
    <w:rsid w:val="00435F79"/>
    <w:rsid w:val="00436A54"/>
    <w:rsid w:val="00437110"/>
    <w:rsid w:val="004375B9"/>
    <w:rsid w:val="0044024C"/>
    <w:rsid w:val="004403D3"/>
    <w:rsid w:val="004417F3"/>
    <w:rsid w:val="00442216"/>
    <w:rsid w:val="004428D0"/>
    <w:rsid w:val="00442A03"/>
    <w:rsid w:val="00442A63"/>
    <w:rsid w:val="00442B4D"/>
    <w:rsid w:val="00443C8D"/>
    <w:rsid w:val="004443A7"/>
    <w:rsid w:val="0044442C"/>
    <w:rsid w:val="00445941"/>
    <w:rsid w:val="00445C64"/>
    <w:rsid w:val="00446023"/>
    <w:rsid w:val="0044611D"/>
    <w:rsid w:val="004464D6"/>
    <w:rsid w:val="004464EB"/>
    <w:rsid w:val="00447D26"/>
    <w:rsid w:val="00447D53"/>
    <w:rsid w:val="004521C5"/>
    <w:rsid w:val="004522DD"/>
    <w:rsid w:val="00452519"/>
    <w:rsid w:val="004526D9"/>
    <w:rsid w:val="00452CCA"/>
    <w:rsid w:val="0045314B"/>
    <w:rsid w:val="004535E2"/>
    <w:rsid w:val="004549FD"/>
    <w:rsid w:val="004555FE"/>
    <w:rsid w:val="00455BBA"/>
    <w:rsid w:val="00455D45"/>
    <w:rsid w:val="00455DF8"/>
    <w:rsid w:val="004562F6"/>
    <w:rsid w:val="00456AF5"/>
    <w:rsid w:val="00457393"/>
    <w:rsid w:val="00457BC4"/>
    <w:rsid w:val="00460473"/>
    <w:rsid w:val="00462A4F"/>
    <w:rsid w:val="00463669"/>
    <w:rsid w:val="00463A4E"/>
    <w:rsid w:val="00463EE1"/>
    <w:rsid w:val="00464595"/>
    <w:rsid w:val="004645C9"/>
    <w:rsid w:val="00467443"/>
    <w:rsid w:val="00467F1F"/>
    <w:rsid w:val="0047082D"/>
    <w:rsid w:val="00472A79"/>
    <w:rsid w:val="00473AB7"/>
    <w:rsid w:val="00473AD9"/>
    <w:rsid w:val="00473F19"/>
    <w:rsid w:val="00474EA4"/>
    <w:rsid w:val="00475538"/>
    <w:rsid w:val="004759AC"/>
    <w:rsid w:val="00475E22"/>
    <w:rsid w:val="004760CD"/>
    <w:rsid w:val="00476924"/>
    <w:rsid w:val="00477411"/>
    <w:rsid w:val="0048088E"/>
    <w:rsid w:val="00480ECE"/>
    <w:rsid w:val="00481B7A"/>
    <w:rsid w:val="00482707"/>
    <w:rsid w:val="00482720"/>
    <w:rsid w:val="00483103"/>
    <w:rsid w:val="004835E7"/>
    <w:rsid w:val="00483DA2"/>
    <w:rsid w:val="004847AD"/>
    <w:rsid w:val="00484EED"/>
    <w:rsid w:val="0048587B"/>
    <w:rsid w:val="004858BD"/>
    <w:rsid w:val="00485C83"/>
    <w:rsid w:val="004867E2"/>
    <w:rsid w:val="00487013"/>
    <w:rsid w:val="0048716D"/>
    <w:rsid w:val="00487C2F"/>
    <w:rsid w:val="0049036E"/>
    <w:rsid w:val="00490D6E"/>
    <w:rsid w:val="00491B3A"/>
    <w:rsid w:val="00491E59"/>
    <w:rsid w:val="00491FA0"/>
    <w:rsid w:val="004926C3"/>
    <w:rsid w:val="00492CFD"/>
    <w:rsid w:val="00492E45"/>
    <w:rsid w:val="00493388"/>
    <w:rsid w:val="0049384D"/>
    <w:rsid w:val="0049393C"/>
    <w:rsid w:val="00494422"/>
    <w:rsid w:val="004947A4"/>
    <w:rsid w:val="00494DD5"/>
    <w:rsid w:val="0049603D"/>
    <w:rsid w:val="0049609F"/>
    <w:rsid w:val="004960FD"/>
    <w:rsid w:val="004962D2"/>
    <w:rsid w:val="00497225"/>
    <w:rsid w:val="004A0532"/>
    <w:rsid w:val="004A0C23"/>
    <w:rsid w:val="004A0DA1"/>
    <w:rsid w:val="004A1B07"/>
    <w:rsid w:val="004A1DD5"/>
    <w:rsid w:val="004A28C7"/>
    <w:rsid w:val="004A33FB"/>
    <w:rsid w:val="004A41FD"/>
    <w:rsid w:val="004A4A06"/>
    <w:rsid w:val="004A4C25"/>
    <w:rsid w:val="004A51A1"/>
    <w:rsid w:val="004A52E9"/>
    <w:rsid w:val="004A54A0"/>
    <w:rsid w:val="004A5CF3"/>
    <w:rsid w:val="004A6597"/>
    <w:rsid w:val="004A65DB"/>
    <w:rsid w:val="004A687F"/>
    <w:rsid w:val="004A7045"/>
    <w:rsid w:val="004A7848"/>
    <w:rsid w:val="004A7BFD"/>
    <w:rsid w:val="004B0FA0"/>
    <w:rsid w:val="004B18CD"/>
    <w:rsid w:val="004B1CB4"/>
    <w:rsid w:val="004B2F18"/>
    <w:rsid w:val="004B338A"/>
    <w:rsid w:val="004B3DDB"/>
    <w:rsid w:val="004B44FD"/>
    <w:rsid w:val="004B4A5A"/>
    <w:rsid w:val="004B57FA"/>
    <w:rsid w:val="004B5CFC"/>
    <w:rsid w:val="004B5E3D"/>
    <w:rsid w:val="004B774D"/>
    <w:rsid w:val="004C06E3"/>
    <w:rsid w:val="004C0FF2"/>
    <w:rsid w:val="004C2398"/>
    <w:rsid w:val="004C266F"/>
    <w:rsid w:val="004C29C8"/>
    <w:rsid w:val="004C2C08"/>
    <w:rsid w:val="004C3D52"/>
    <w:rsid w:val="004C4AED"/>
    <w:rsid w:val="004C519E"/>
    <w:rsid w:val="004C5300"/>
    <w:rsid w:val="004C602D"/>
    <w:rsid w:val="004C64DD"/>
    <w:rsid w:val="004C696F"/>
    <w:rsid w:val="004C6F6B"/>
    <w:rsid w:val="004C77C0"/>
    <w:rsid w:val="004D06DB"/>
    <w:rsid w:val="004D0C50"/>
    <w:rsid w:val="004D1028"/>
    <w:rsid w:val="004D11F1"/>
    <w:rsid w:val="004D15CC"/>
    <w:rsid w:val="004D2C2D"/>
    <w:rsid w:val="004D4295"/>
    <w:rsid w:val="004D43FF"/>
    <w:rsid w:val="004D4FE3"/>
    <w:rsid w:val="004D6B4F"/>
    <w:rsid w:val="004D7227"/>
    <w:rsid w:val="004D7798"/>
    <w:rsid w:val="004E0599"/>
    <w:rsid w:val="004E073B"/>
    <w:rsid w:val="004E08FA"/>
    <w:rsid w:val="004E0A21"/>
    <w:rsid w:val="004E0E7F"/>
    <w:rsid w:val="004E0EB8"/>
    <w:rsid w:val="004E18B3"/>
    <w:rsid w:val="004E1E81"/>
    <w:rsid w:val="004E2ADC"/>
    <w:rsid w:val="004E3DDB"/>
    <w:rsid w:val="004E43B2"/>
    <w:rsid w:val="004E4B2A"/>
    <w:rsid w:val="004E5019"/>
    <w:rsid w:val="004E5946"/>
    <w:rsid w:val="004E6AC1"/>
    <w:rsid w:val="004E7868"/>
    <w:rsid w:val="004E7B67"/>
    <w:rsid w:val="004F1461"/>
    <w:rsid w:val="004F1667"/>
    <w:rsid w:val="004F1D02"/>
    <w:rsid w:val="004F2679"/>
    <w:rsid w:val="004F2F21"/>
    <w:rsid w:val="004F3673"/>
    <w:rsid w:val="004F3FFF"/>
    <w:rsid w:val="004F55E8"/>
    <w:rsid w:val="004F5E02"/>
    <w:rsid w:val="004F6913"/>
    <w:rsid w:val="004F7865"/>
    <w:rsid w:val="00500504"/>
    <w:rsid w:val="00500731"/>
    <w:rsid w:val="00500E18"/>
    <w:rsid w:val="00501758"/>
    <w:rsid w:val="00501C35"/>
    <w:rsid w:val="0050219B"/>
    <w:rsid w:val="005021BC"/>
    <w:rsid w:val="005022B3"/>
    <w:rsid w:val="005028D1"/>
    <w:rsid w:val="00502B95"/>
    <w:rsid w:val="00503EA2"/>
    <w:rsid w:val="00503F17"/>
    <w:rsid w:val="00504361"/>
    <w:rsid w:val="00504915"/>
    <w:rsid w:val="00505199"/>
    <w:rsid w:val="00505404"/>
    <w:rsid w:val="00506928"/>
    <w:rsid w:val="00506B6C"/>
    <w:rsid w:val="00506DF5"/>
    <w:rsid w:val="005072C2"/>
    <w:rsid w:val="00507A48"/>
    <w:rsid w:val="005100CA"/>
    <w:rsid w:val="005104DD"/>
    <w:rsid w:val="00510CAB"/>
    <w:rsid w:val="00510F26"/>
    <w:rsid w:val="0051107A"/>
    <w:rsid w:val="005112AF"/>
    <w:rsid w:val="005112E6"/>
    <w:rsid w:val="0051134F"/>
    <w:rsid w:val="00511D4E"/>
    <w:rsid w:val="005127E6"/>
    <w:rsid w:val="00512EEF"/>
    <w:rsid w:val="005133B5"/>
    <w:rsid w:val="005139F4"/>
    <w:rsid w:val="00514E4F"/>
    <w:rsid w:val="005151A5"/>
    <w:rsid w:val="005152B5"/>
    <w:rsid w:val="00515568"/>
    <w:rsid w:val="005162D8"/>
    <w:rsid w:val="00516409"/>
    <w:rsid w:val="005172EA"/>
    <w:rsid w:val="005179C8"/>
    <w:rsid w:val="005179DE"/>
    <w:rsid w:val="00517B3F"/>
    <w:rsid w:val="00520069"/>
    <w:rsid w:val="00521319"/>
    <w:rsid w:val="00522BC8"/>
    <w:rsid w:val="0052386A"/>
    <w:rsid w:val="00523BB4"/>
    <w:rsid w:val="00523C28"/>
    <w:rsid w:val="00524122"/>
    <w:rsid w:val="00524E21"/>
    <w:rsid w:val="00527A70"/>
    <w:rsid w:val="005323BD"/>
    <w:rsid w:val="00533B5B"/>
    <w:rsid w:val="00536236"/>
    <w:rsid w:val="00536F42"/>
    <w:rsid w:val="00537182"/>
    <w:rsid w:val="005404C1"/>
    <w:rsid w:val="00542008"/>
    <w:rsid w:val="00542743"/>
    <w:rsid w:val="00542C2D"/>
    <w:rsid w:val="00542D07"/>
    <w:rsid w:val="0054328B"/>
    <w:rsid w:val="0054384E"/>
    <w:rsid w:val="005446C5"/>
    <w:rsid w:val="005447AD"/>
    <w:rsid w:val="00545340"/>
    <w:rsid w:val="00547D42"/>
    <w:rsid w:val="00547EAF"/>
    <w:rsid w:val="00550422"/>
    <w:rsid w:val="00550981"/>
    <w:rsid w:val="00551320"/>
    <w:rsid w:val="00551985"/>
    <w:rsid w:val="005522D7"/>
    <w:rsid w:val="00552307"/>
    <w:rsid w:val="00552AD3"/>
    <w:rsid w:val="00552BD3"/>
    <w:rsid w:val="00552DAF"/>
    <w:rsid w:val="00555109"/>
    <w:rsid w:val="00555ADE"/>
    <w:rsid w:val="00556780"/>
    <w:rsid w:val="00556BF1"/>
    <w:rsid w:val="00556DC6"/>
    <w:rsid w:val="00557129"/>
    <w:rsid w:val="00560154"/>
    <w:rsid w:val="005606ED"/>
    <w:rsid w:val="00560883"/>
    <w:rsid w:val="00561623"/>
    <w:rsid w:val="00561AEF"/>
    <w:rsid w:val="00561B1F"/>
    <w:rsid w:val="00563630"/>
    <w:rsid w:val="005668F2"/>
    <w:rsid w:val="005668FC"/>
    <w:rsid w:val="0056696F"/>
    <w:rsid w:val="00570647"/>
    <w:rsid w:val="00570715"/>
    <w:rsid w:val="00570A8F"/>
    <w:rsid w:val="00570BE4"/>
    <w:rsid w:val="00572104"/>
    <w:rsid w:val="00572269"/>
    <w:rsid w:val="0057244A"/>
    <w:rsid w:val="00574009"/>
    <w:rsid w:val="00574179"/>
    <w:rsid w:val="00574582"/>
    <w:rsid w:val="0057459B"/>
    <w:rsid w:val="00574E80"/>
    <w:rsid w:val="00575D8D"/>
    <w:rsid w:val="00575DD3"/>
    <w:rsid w:val="0057641F"/>
    <w:rsid w:val="00576607"/>
    <w:rsid w:val="00576972"/>
    <w:rsid w:val="0057742A"/>
    <w:rsid w:val="00577B1F"/>
    <w:rsid w:val="00577BED"/>
    <w:rsid w:val="00580F5D"/>
    <w:rsid w:val="00583699"/>
    <w:rsid w:val="005837D0"/>
    <w:rsid w:val="00584516"/>
    <w:rsid w:val="0058499F"/>
    <w:rsid w:val="005849BB"/>
    <w:rsid w:val="00584A29"/>
    <w:rsid w:val="00584EEC"/>
    <w:rsid w:val="005854B3"/>
    <w:rsid w:val="00585CDD"/>
    <w:rsid w:val="00586A77"/>
    <w:rsid w:val="00586A92"/>
    <w:rsid w:val="00586CDC"/>
    <w:rsid w:val="00587058"/>
    <w:rsid w:val="00587B36"/>
    <w:rsid w:val="0059034A"/>
    <w:rsid w:val="005905DA"/>
    <w:rsid w:val="00591446"/>
    <w:rsid w:val="00591957"/>
    <w:rsid w:val="005922A9"/>
    <w:rsid w:val="00593106"/>
    <w:rsid w:val="00593D4B"/>
    <w:rsid w:val="00594BC1"/>
    <w:rsid w:val="005958D8"/>
    <w:rsid w:val="005967D9"/>
    <w:rsid w:val="00597AB6"/>
    <w:rsid w:val="00597BF9"/>
    <w:rsid w:val="005A0BD3"/>
    <w:rsid w:val="005A17A8"/>
    <w:rsid w:val="005A373D"/>
    <w:rsid w:val="005A3BC1"/>
    <w:rsid w:val="005A45A0"/>
    <w:rsid w:val="005A51D5"/>
    <w:rsid w:val="005A54C5"/>
    <w:rsid w:val="005A5944"/>
    <w:rsid w:val="005A5A62"/>
    <w:rsid w:val="005A5CE8"/>
    <w:rsid w:val="005A655D"/>
    <w:rsid w:val="005A6779"/>
    <w:rsid w:val="005B06C8"/>
    <w:rsid w:val="005B0D0E"/>
    <w:rsid w:val="005B0F2E"/>
    <w:rsid w:val="005B16DA"/>
    <w:rsid w:val="005B2470"/>
    <w:rsid w:val="005B3B91"/>
    <w:rsid w:val="005B3C20"/>
    <w:rsid w:val="005B3D16"/>
    <w:rsid w:val="005B3DFF"/>
    <w:rsid w:val="005B4E6E"/>
    <w:rsid w:val="005B5857"/>
    <w:rsid w:val="005B59A6"/>
    <w:rsid w:val="005B5D71"/>
    <w:rsid w:val="005B5E15"/>
    <w:rsid w:val="005B6439"/>
    <w:rsid w:val="005B6BFB"/>
    <w:rsid w:val="005C0394"/>
    <w:rsid w:val="005C1858"/>
    <w:rsid w:val="005C1AF5"/>
    <w:rsid w:val="005C1B83"/>
    <w:rsid w:val="005C29D9"/>
    <w:rsid w:val="005C2C51"/>
    <w:rsid w:val="005C2D55"/>
    <w:rsid w:val="005C346B"/>
    <w:rsid w:val="005C36A4"/>
    <w:rsid w:val="005C435D"/>
    <w:rsid w:val="005C46BD"/>
    <w:rsid w:val="005C5E36"/>
    <w:rsid w:val="005C68D9"/>
    <w:rsid w:val="005C79A2"/>
    <w:rsid w:val="005D044D"/>
    <w:rsid w:val="005D0ABD"/>
    <w:rsid w:val="005D0C39"/>
    <w:rsid w:val="005D18AD"/>
    <w:rsid w:val="005D1E4B"/>
    <w:rsid w:val="005D26B4"/>
    <w:rsid w:val="005D28DE"/>
    <w:rsid w:val="005D2971"/>
    <w:rsid w:val="005D2C66"/>
    <w:rsid w:val="005D4C57"/>
    <w:rsid w:val="005D5412"/>
    <w:rsid w:val="005D5ED4"/>
    <w:rsid w:val="005D60AD"/>
    <w:rsid w:val="005D6B15"/>
    <w:rsid w:val="005D6DAA"/>
    <w:rsid w:val="005D6F80"/>
    <w:rsid w:val="005D7188"/>
    <w:rsid w:val="005D7395"/>
    <w:rsid w:val="005D763F"/>
    <w:rsid w:val="005D7FDB"/>
    <w:rsid w:val="005E0468"/>
    <w:rsid w:val="005E300F"/>
    <w:rsid w:val="005E323A"/>
    <w:rsid w:val="005E3449"/>
    <w:rsid w:val="005E3BC4"/>
    <w:rsid w:val="005E529B"/>
    <w:rsid w:val="005E622C"/>
    <w:rsid w:val="005E637A"/>
    <w:rsid w:val="005E6CBC"/>
    <w:rsid w:val="005E6CE7"/>
    <w:rsid w:val="005E73C0"/>
    <w:rsid w:val="005F073A"/>
    <w:rsid w:val="005F1BDF"/>
    <w:rsid w:val="005F1C42"/>
    <w:rsid w:val="005F1C81"/>
    <w:rsid w:val="005F1E6C"/>
    <w:rsid w:val="005F20D3"/>
    <w:rsid w:val="005F2706"/>
    <w:rsid w:val="005F2A1A"/>
    <w:rsid w:val="005F2DAC"/>
    <w:rsid w:val="005F35CF"/>
    <w:rsid w:val="005F4099"/>
    <w:rsid w:val="005F550C"/>
    <w:rsid w:val="005F565F"/>
    <w:rsid w:val="005F59E6"/>
    <w:rsid w:val="005F6038"/>
    <w:rsid w:val="005F64A1"/>
    <w:rsid w:val="005F66F8"/>
    <w:rsid w:val="005F6A8F"/>
    <w:rsid w:val="005F6CE4"/>
    <w:rsid w:val="005F72AA"/>
    <w:rsid w:val="005F75E0"/>
    <w:rsid w:val="005F78E9"/>
    <w:rsid w:val="006008A5"/>
    <w:rsid w:val="0060158F"/>
    <w:rsid w:val="00601FE9"/>
    <w:rsid w:val="006023E7"/>
    <w:rsid w:val="00603184"/>
    <w:rsid w:val="00603ADA"/>
    <w:rsid w:val="00603DB9"/>
    <w:rsid w:val="00604545"/>
    <w:rsid w:val="00604595"/>
    <w:rsid w:val="00606354"/>
    <w:rsid w:val="00606690"/>
    <w:rsid w:val="00606F33"/>
    <w:rsid w:val="00607669"/>
    <w:rsid w:val="00607A78"/>
    <w:rsid w:val="00607AFD"/>
    <w:rsid w:val="00611668"/>
    <w:rsid w:val="0061179F"/>
    <w:rsid w:val="00611B7A"/>
    <w:rsid w:val="00611EE8"/>
    <w:rsid w:val="00612B20"/>
    <w:rsid w:val="00612F97"/>
    <w:rsid w:val="0061345D"/>
    <w:rsid w:val="00614026"/>
    <w:rsid w:val="006148A3"/>
    <w:rsid w:val="00615435"/>
    <w:rsid w:val="00616802"/>
    <w:rsid w:val="00616C41"/>
    <w:rsid w:val="0061793A"/>
    <w:rsid w:val="00617E12"/>
    <w:rsid w:val="006202BB"/>
    <w:rsid w:val="00621477"/>
    <w:rsid w:val="00621C08"/>
    <w:rsid w:val="00621C65"/>
    <w:rsid w:val="00622831"/>
    <w:rsid w:val="0062331E"/>
    <w:rsid w:val="00623AEF"/>
    <w:rsid w:val="0062462D"/>
    <w:rsid w:val="00624F53"/>
    <w:rsid w:val="00625DB0"/>
    <w:rsid w:val="00626012"/>
    <w:rsid w:val="0062685D"/>
    <w:rsid w:val="00626F6B"/>
    <w:rsid w:val="006278EB"/>
    <w:rsid w:val="00630C3F"/>
    <w:rsid w:val="0063158F"/>
    <w:rsid w:val="00631AB0"/>
    <w:rsid w:val="00631D6B"/>
    <w:rsid w:val="00632CE3"/>
    <w:rsid w:val="006330A1"/>
    <w:rsid w:val="0063479F"/>
    <w:rsid w:val="006353F0"/>
    <w:rsid w:val="0063560B"/>
    <w:rsid w:val="006364A1"/>
    <w:rsid w:val="00637BFD"/>
    <w:rsid w:val="00640798"/>
    <w:rsid w:val="006413A1"/>
    <w:rsid w:val="00641457"/>
    <w:rsid w:val="00641C4E"/>
    <w:rsid w:val="00641CC1"/>
    <w:rsid w:val="0064331D"/>
    <w:rsid w:val="00643694"/>
    <w:rsid w:val="006438DA"/>
    <w:rsid w:val="00644065"/>
    <w:rsid w:val="00646B79"/>
    <w:rsid w:val="006471CC"/>
    <w:rsid w:val="00647FF7"/>
    <w:rsid w:val="0065062D"/>
    <w:rsid w:val="0065079F"/>
    <w:rsid w:val="0065133D"/>
    <w:rsid w:val="00651835"/>
    <w:rsid w:val="00652D49"/>
    <w:rsid w:val="0065379F"/>
    <w:rsid w:val="00653971"/>
    <w:rsid w:val="0065422D"/>
    <w:rsid w:val="0065479D"/>
    <w:rsid w:val="0065490A"/>
    <w:rsid w:val="00654F06"/>
    <w:rsid w:val="00655333"/>
    <w:rsid w:val="006577DC"/>
    <w:rsid w:val="00657C51"/>
    <w:rsid w:val="0066092C"/>
    <w:rsid w:val="00660F47"/>
    <w:rsid w:val="0066119B"/>
    <w:rsid w:val="00661646"/>
    <w:rsid w:val="00661C6B"/>
    <w:rsid w:val="0066207E"/>
    <w:rsid w:val="006623AD"/>
    <w:rsid w:val="00662ACD"/>
    <w:rsid w:val="00662F5A"/>
    <w:rsid w:val="006677B8"/>
    <w:rsid w:val="00667A35"/>
    <w:rsid w:val="00667E91"/>
    <w:rsid w:val="00670D28"/>
    <w:rsid w:val="00670FF0"/>
    <w:rsid w:val="0067198B"/>
    <w:rsid w:val="00672544"/>
    <w:rsid w:val="00672B6C"/>
    <w:rsid w:val="00672C46"/>
    <w:rsid w:val="0067369A"/>
    <w:rsid w:val="006739AA"/>
    <w:rsid w:val="00674E42"/>
    <w:rsid w:val="00674F2E"/>
    <w:rsid w:val="006759CF"/>
    <w:rsid w:val="00675D10"/>
    <w:rsid w:val="00676460"/>
    <w:rsid w:val="0067706A"/>
    <w:rsid w:val="00677E1B"/>
    <w:rsid w:val="00681305"/>
    <w:rsid w:val="006814B1"/>
    <w:rsid w:val="00682112"/>
    <w:rsid w:val="00682DB9"/>
    <w:rsid w:val="00683247"/>
    <w:rsid w:val="00683A10"/>
    <w:rsid w:val="00685ABE"/>
    <w:rsid w:val="00685ECC"/>
    <w:rsid w:val="0068643A"/>
    <w:rsid w:val="00686957"/>
    <w:rsid w:val="006872BA"/>
    <w:rsid w:val="00687572"/>
    <w:rsid w:val="006878D5"/>
    <w:rsid w:val="00690360"/>
    <w:rsid w:val="00690B1D"/>
    <w:rsid w:val="00691648"/>
    <w:rsid w:val="006917D7"/>
    <w:rsid w:val="006918B7"/>
    <w:rsid w:val="00691AC8"/>
    <w:rsid w:val="00692C0B"/>
    <w:rsid w:val="006931D3"/>
    <w:rsid w:val="00693ACC"/>
    <w:rsid w:val="00693D52"/>
    <w:rsid w:val="00694705"/>
    <w:rsid w:val="006947B7"/>
    <w:rsid w:val="00694F44"/>
    <w:rsid w:val="006960F2"/>
    <w:rsid w:val="006A02DE"/>
    <w:rsid w:val="006A1F85"/>
    <w:rsid w:val="006A2354"/>
    <w:rsid w:val="006A2A98"/>
    <w:rsid w:val="006A3E99"/>
    <w:rsid w:val="006A44E4"/>
    <w:rsid w:val="006A45BA"/>
    <w:rsid w:val="006A597F"/>
    <w:rsid w:val="006A6240"/>
    <w:rsid w:val="006A6651"/>
    <w:rsid w:val="006A7633"/>
    <w:rsid w:val="006A763D"/>
    <w:rsid w:val="006A76DD"/>
    <w:rsid w:val="006A7E5F"/>
    <w:rsid w:val="006B08A3"/>
    <w:rsid w:val="006B1369"/>
    <w:rsid w:val="006B1A2C"/>
    <w:rsid w:val="006B1B40"/>
    <w:rsid w:val="006B1CD1"/>
    <w:rsid w:val="006B1D18"/>
    <w:rsid w:val="006B25FD"/>
    <w:rsid w:val="006B261B"/>
    <w:rsid w:val="006B2C90"/>
    <w:rsid w:val="006B2DCB"/>
    <w:rsid w:val="006B5149"/>
    <w:rsid w:val="006B6B49"/>
    <w:rsid w:val="006B6DD0"/>
    <w:rsid w:val="006B799E"/>
    <w:rsid w:val="006B7E28"/>
    <w:rsid w:val="006C2840"/>
    <w:rsid w:val="006C2A8E"/>
    <w:rsid w:val="006C31AE"/>
    <w:rsid w:val="006C331D"/>
    <w:rsid w:val="006C4A4F"/>
    <w:rsid w:val="006C5D9F"/>
    <w:rsid w:val="006C5E1B"/>
    <w:rsid w:val="006C64B4"/>
    <w:rsid w:val="006C7013"/>
    <w:rsid w:val="006C75EE"/>
    <w:rsid w:val="006D08F3"/>
    <w:rsid w:val="006D18EA"/>
    <w:rsid w:val="006D1BD3"/>
    <w:rsid w:val="006D3C7D"/>
    <w:rsid w:val="006D3EAF"/>
    <w:rsid w:val="006D4E96"/>
    <w:rsid w:val="006D5D5F"/>
    <w:rsid w:val="006D5EBE"/>
    <w:rsid w:val="006E1247"/>
    <w:rsid w:val="006E218D"/>
    <w:rsid w:val="006E33ED"/>
    <w:rsid w:val="006E3F66"/>
    <w:rsid w:val="006E4281"/>
    <w:rsid w:val="006E47D5"/>
    <w:rsid w:val="006E4F30"/>
    <w:rsid w:val="006E57AF"/>
    <w:rsid w:val="006E5F11"/>
    <w:rsid w:val="006E74D6"/>
    <w:rsid w:val="006E7C55"/>
    <w:rsid w:val="006E7E27"/>
    <w:rsid w:val="006F0C73"/>
    <w:rsid w:val="006F0CF1"/>
    <w:rsid w:val="006F1499"/>
    <w:rsid w:val="006F1736"/>
    <w:rsid w:val="006F1D82"/>
    <w:rsid w:val="006F2FE6"/>
    <w:rsid w:val="006F306C"/>
    <w:rsid w:val="006F3761"/>
    <w:rsid w:val="006F3CDE"/>
    <w:rsid w:val="006F403E"/>
    <w:rsid w:val="006F4328"/>
    <w:rsid w:val="006F5287"/>
    <w:rsid w:val="006F59A7"/>
    <w:rsid w:val="006F63A5"/>
    <w:rsid w:val="006F73CA"/>
    <w:rsid w:val="0070007F"/>
    <w:rsid w:val="00700604"/>
    <w:rsid w:val="0070142B"/>
    <w:rsid w:val="007019B3"/>
    <w:rsid w:val="0070224E"/>
    <w:rsid w:val="00702311"/>
    <w:rsid w:val="0070276E"/>
    <w:rsid w:val="00702F8F"/>
    <w:rsid w:val="00704BD5"/>
    <w:rsid w:val="00704D43"/>
    <w:rsid w:val="00704FE2"/>
    <w:rsid w:val="007059E4"/>
    <w:rsid w:val="0070608B"/>
    <w:rsid w:val="007061AB"/>
    <w:rsid w:val="00707269"/>
    <w:rsid w:val="00710435"/>
    <w:rsid w:val="0071083C"/>
    <w:rsid w:val="00711A36"/>
    <w:rsid w:val="00713179"/>
    <w:rsid w:val="007146E1"/>
    <w:rsid w:val="0071529C"/>
    <w:rsid w:val="00715581"/>
    <w:rsid w:val="007158A1"/>
    <w:rsid w:val="00716B23"/>
    <w:rsid w:val="0071718B"/>
    <w:rsid w:val="007172AD"/>
    <w:rsid w:val="00717343"/>
    <w:rsid w:val="00717568"/>
    <w:rsid w:val="00717FC6"/>
    <w:rsid w:val="00720210"/>
    <w:rsid w:val="007203E1"/>
    <w:rsid w:val="00721154"/>
    <w:rsid w:val="0072137F"/>
    <w:rsid w:val="00721B4A"/>
    <w:rsid w:val="0072225D"/>
    <w:rsid w:val="00722438"/>
    <w:rsid w:val="00722B1B"/>
    <w:rsid w:val="007236C1"/>
    <w:rsid w:val="00723AFC"/>
    <w:rsid w:val="0072416F"/>
    <w:rsid w:val="00724503"/>
    <w:rsid w:val="00724B18"/>
    <w:rsid w:val="00724DA7"/>
    <w:rsid w:val="0072531A"/>
    <w:rsid w:val="00725BEB"/>
    <w:rsid w:val="00727177"/>
    <w:rsid w:val="007272AD"/>
    <w:rsid w:val="00727C94"/>
    <w:rsid w:val="0073164A"/>
    <w:rsid w:val="00731EAE"/>
    <w:rsid w:val="007327F1"/>
    <w:rsid w:val="007328B4"/>
    <w:rsid w:val="00732D43"/>
    <w:rsid w:val="00734930"/>
    <w:rsid w:val="00734D8B"/>
    <w:rsid w:val="00734F9F"/>
    <w:rsid w:val="00735033"/>
    <w:rsid w:val="00735328"/>
    <w:rsid w:val="007359BA"/>
    <w:rsid w:val="00736261"/>
    <w:rsid w:val="0073685B"/>
    <w:rsid w:val="00737FCA"/>
    <w:rsid w:val="00737FD9"/>
    <w:rsid w:val="007407AE"/>
    <w:rsid w:val="00740C0E"/>
    <w:rsid w:val="00740C3C"/>
    <w:rsid w:val="00741348"/>
    <w:rsid w:val="007418E1"/>
    <w:rsid w:val="007441E7"/>
    <w:rsid w:val="00744595"/>
    <w:rsid w:val="00744FB7"/>
    <w:rsid w:val="007462BC"/>
    <w:rsid w:val="007471FB"/>
    <w:rsid w:val="00747295"/>
    <w:rsid w:val="00747594"/>
    <w:rsid w:val="007515A2"/>
    <w:rsid w:val="007517D2"/>
    <w:rsid w:val="00752011"/>
    <w:rsid w:val="00752142"/>
    <w:rsid w:val="007523F9"/>
    <w:rsid w:val="007527EA"/>
    <w:rsid w:val="00752DEB"/>
    <w:rsid w:val="00752E8F"/>
    <w:rsid w:val="007547FF"/>
    <w:rsid w:val="00754A09"/>
    <w:rsid w:val="007550C8"/>
    <w:rsid w:val="00755ABF"/>
    <w:rsid w:val="00756641"/>
    <w:rsid w:val="007573E8"/>
    <w:rsid w:val="0075742A"/>
    <w:rsid w:val="007600B4"/>
    <w:rsid w:val="0076010C"/>
    <w:rsid w:val="00760C4E"/>
    <w:rsid w:val="0076131A"/>
    <w:rsid w:val="00761521"/>
    <w:rsid w:val="007618B7"/>
    <w:rsid w:val="0076419D"/>
    <w:rsid w:val="00764F00"/>
    <w:rsid w:val="007650C9"/>
    <w:rsid w:val="00765266"/>
    <w:rsid w:val="00765B1A"/>
    <w:rsid w:val="00766154"/>
    <w:rsid w:val="00767D22"/>
    <w:rsid w:val="00770122"/>
    <w:rsid w:val="0077081A"/>
    <w:rsid w:val="00770BBC"/>
    <w:rsid w:val="00770C4D"/>
    <w:rsid w:val="0077121F"/>
    <w:rsid w:val="0077138D"/>
    <w:rsid w:val="0077199E"/>
    <w:rsid w:val="00771DAE"/>
    <w:rsid w:val="00772840"/>
    <w:rsid w:val="00772B95"/>
    <w:rsid w:val="007744D3"/>
    <w:rsid w:val="0077455C"/>
    <w:rsid w:val="007746DE"/>
    <w:rsid w:val="00774886"/>
    <w:rsid w:val="007752E2"/>
    <w:rsid w:val="00775C18"/>
    <w:rsid w:val="00776310"/>
    <w:rsid w:val="00776C59"/>
    <w:rsid w:val="00776E2E"/>
    <w:rsid w:val="00777A43"/>
    <w:rsid w:val="0078040D"/>
    <w:rsid w:val="0078073A"/>
    <w:rsid w:val="00780E97"/>
    <w:rsid w:val="0078295D"/>
    <w:rsid w:val="00783547"/>
    <w:rsid w:val="00783C77"/>
    <w:rsid w:val="007843F2"/>
    <w:rsid w:val="0079037D"/>
    <w:rsid w:val="00791359"/>
    <w:rsid w:val="00791A4B"/>
    <w:rsid w:val="00792610"/>
    <w:rsid w:val="00792EAB"/>
    <w:rsid w:val="0079443F"/>
    <w:rsid w:val="0079591F"/>
    <w:rsid w:val="007965C3"/>
    <w:rsid w:val="00796939"/>
    <w:rsid w:val="00797267"/>
    <w:rsid w:val="007975C8"/>
    <w:rsid w:val="007A0A12"/>
    <w:rsid w:val="007A1047"/>
    <w:rsid w:val="007A132D"/>
    <w:rsid w:val="007A235C"/>
    <w:rsid w:val="007A35AB"/>
    <w:rsid w:val="007A48AE"/>
    <w:rsid w:val="007A4B37"/>
    <w:rsid w:val="007A4B6E"/>
    <w:rsid w:val="007A5599"/>
    <w:rsid w:val="007A797B"/>
    <w:rsid w:val="007B0D68"/>
    <w:rsid w:val="007B11AD"/>
    <w:rsid w:val="007B11DB"/>
    <w:rsid w:val="007B2287"/>
    <w:rsid w:val="007B251D"/>
    <w:rsid w:val="007B2E3B"/>
    <w:rsid w:val="007B3728"/>
    <w:rsid w:val="007B48B7"/>
    <w:rsid w:val="007B4F58"/>
    <w:rsid w:val="007B528D"/>
    <w:rsid w:val="007B5CA0"/>
    <w:rsid w:val="007B6EF6"/>
    <w:rsid w:val="007B77D1"/>
    <w:rsid w:val="007C0CDE"/>
    <w:rsid w:val="007C17E4"/>
    <w:rsid w:val="007C1CD9"/>
    <w:rsid w:val="007C361D"/>
    <w:rsid w:val="007C3ABB"/>
    <w:rsid w:val="007C4B84"/>
    <w:rsid w:val="007C50D4"/>
    <w:rsid w:val="007C5560"/>
    <w:rsid w:val="007C58C1"/>
    <w:rsid w:val="007C71F7"/>
    <w:rsid w:val="007C77AE"/>
    <w:rsid w:val="007C7981"/>
    <w:rsid w:val="007D004F"/>
    <w:rsid w:val="007D00E2"/>
    <w:rsid w:val="007D0B38"/>
    <w:rsid w:val="007D183F"/>
    <w:rsid w:val="007D28AB"/>
    <w:rsid w:val="007D4AB3"/>
    <w:rsid w:val="007D4D85"/>
    <w:rsid w:val="007D5440"/>
    <w:rsid w:val="007D5673"/>
    <w:rsid w:val="007D6E21"/>
    <w:rsid w:val="007D7273"/>
    <w:rsid w:val="007E15BA"/>
    <w:rsid w:val="007E2398"/>
    <w:rsid w:val="007E2F9A"/>
    <w:rsid w:val="007E5B9A"/>
    <w:rsid w:val="007E5F6D"/>
    <w:rsid w:val="007E603B"/>
    <w:rsid w:val="007E71EA"/>
    <w:rsid w:val="007E74FD"/>
    <w:rsid w:val="007E798C"/>
    <w:rsid w:val="007F018A"/>
    <w:rsid w:val="007F0246"/>
    <w:rsid w:val="007F0724"/>
    <w:rsid w:val="007F1017"/>
    <w:rsid w:val="007F2893"/>
    <w:rsid w:val="007F2BA8"/>
    <w:rsid w:val="007F32C4"/>
    <w:rsid w:val="007F34FE"/>
    <w:rsid w:val="007F3631"/>
    <w:rsid w:val="007F474F"/>
    <w:rsid w:val="007F4865"/>
    <w:rsid w:val="007F4A3F"/>
    <w:rsid w:val="007F4A61"/>
    <w:rsid w:val="007F4DAF"/>
    <w:rsid w:val="007F61C2"/>
    <w:rsid w:val="007F669A"/>
    <w:rsid w:val="007F7C98"/>
    <w:rsid w:val="007F7FEE"/>
    <w:rsid w:val="008002C2"/>
    <w:rsid w:val="00801CFF"/>
    <w:rsid w:val="008027CD"/>
    <w:rsid w:val="008029C3"/>
    <w:rsid w:val="00802CE1"/>
    <w:rsid w:val="008031C8"/>
    <w:rsid w:val="00803B5F"/>
    <w:rsid w:val="00803F49"/>
    <w:rsid w:val="00804151"/>
    <w:rsid w:val="0080425C"/>
    <w:rsid w:val="0080501F"/>
    <w:rsid w:val="00805142"/>
    <w:rsid w:val="00806FD5"/>
    <w:rsid w:val="0080776F"/>
    <w:rsid w:val="00807A8B"/>
    <w:rsid w:val="00811351"/>
    <w:rsid w:val="00811383"/>
    <w:rsid w:val="008118C1"/>
    <w:rsid w:val="00812149"/>
    <w:rsid w:val="008128AE"/>
    <w:rsid w:val="00812CAC"/>
    <w:rsid w:val="00812F7D"/>
    <w:rsid w:val="00813236"/>
    <w:rsid w:val="008156D1"/>
    <w:rsid w:val="00815CFF"/>
    <w:rsid w:val="0081659C"/>
    <w:rsid w:val="008166EF"/>
    <w:rsid w:val="008179E8"/>
    <w:rsid w:val="00817BD8"/>
    <w:rsid w:val="008220B5"/>
    <w:rsid w:val="00822411"/>
    <w:rsid w:val="0082552D"/>
    <w:rsid w:val="00825751"/>
    <w:rsid w:val="00826476"/>
    <w:rsid w:val="008264EB"/>
    <w:rsid w:val="0083006B"/>
    <w:rsid w:val="00830C6B"/>
    <w:rsid w:val="00831AF7"/>
    <w:rsid w:val="00832EC4"/>
    <w:rsid w:val="0083311E"/>
    <w:rsid w:val="00833629"/>
    <w:rsid w:val="008337EE"/>
    <w:rsid w:val="00833B05"/>
    <w:rsid w:val="00835571"/>
    <w:rsid w:val="00835B5C"/>
    <w:rsid w:val="00836170"/>
    <w:rsid w:val="0083620F"/>
    <w:rsid w:val="008362B4"/>
    <w:rsid w:val="00836D2D"/>
    <w:rsid w:val="00837208"/>
    <w:rsid w:val="00837C68"/>
    <w:rsid w:val="00837D0B"/>
    <w:rsid w:val="00840CA2"/>
    <w:rsid w:val="00840E26"/>
    <w:rsid w:val="00840EBB"/>
    <w:rsid w:val="0084160E"/>
    <w:rsid w:val="0084374F"/>
    <w:rsid w:val="008437F5"/>
    <w:rsid w:val="008459E9"/>
    <w:rsid w:val="00845C69"/>
    <w:rsid w:val="008465F4"/>
    <w:rsid w:val="00846D5C"/>
    <w:rsid w:val="008477DD"/>
    <w:rsid w:val="00847DF5"/>
    <w:rsid w:val="0085309D"/>
    <w:rsid w:val="00853C73"/>
    <w:rsid w:val="00854003"/>
    <w:rsid w:val="00854607"/>
    <w:rsid w:val="00854A3B"/>
    <w:rsid w:val="00855FE0"/>
    <w:rsid w:val="00856807"/>
    <w:rsid w:val="00856897"/>
    <w:rsid w:val="00856E9A"/>
    <w:rsid w:val="00857E23"/>
    <w:rsid w:val="00857EAB"/>
    <w:rsid w:val="008604BF"/>
    <w:rsid w:val="00860547"/>
    <w:rsid w:val="00860714"/>
    <w:rsid w:val="0086075D"/>
    <w:rsid w:val="008615AD"/>
    <w:rsid w:val="00861C49"/>
    <w:rsid w:val="00861DE0"/>
    <w:rsid w:val="00862502"/>
    <w:rsid w:val="00862B87"/>
    <w:rsid w:val="00863560"/>
    <w:rsid w:val="0086366D"/>
    <w:rsid w:val="0086382F"/>
    <w:rsid w:val="00864338"/>
    <w:rsid w:val="00864473"/>
    <w:rsid w:val="0086485A"/>
    <w:rsid w:val="00865211"/>
    <w:rsid w:val="008652B2"/>
    <w:rsid w:val="008660D4"/>
    <w:rsid w:val="00866A93"/>
    <w:rsid w:val="008670A8"/>
    <w:rsid w:val="00867A9E"/>
    <w:rsid w:val="00870DD6"/>
    <w:rsid w:val="008711B1"/>
    <w:rsid w:val="008716FF"/>
    <w:rsid w:val="00871FA9"/>
    <w:rsid w:val="008725B4"/>
    <w:rsid w:val="008728E9"/>
    <w:rsid w:val="0087329A"/>
    <w:rsid w:val="00873630"/>
    <w:rsid w:val="00873CC6"/>
    <w:rsid w:val="008755E3"/>
    <w:rsid w:val="00875837"/>
    <w:rsid w:val="00876905"/>
    <w:rsid w:val="008772F6"/>
    <w:rsid w:val="0087737A"/>
    <w:rsid w:val="008804DD"/>
    <w:rsid w:val="008824A5"/>
    <w:rsid w:val="00882874"/>
    <w:rsid w:val="0088314A"/>
    <w:rsid w:val="00883787"/>
    <w:rsid w:val="00885319"/>
    <w:rsid w:val="00885798"/>
    <w:rsid w:val="00885A8F"/>
    <w:rsid w:val="00886CD2"/>
    <w:rsid w:val="008870A8"/>
    <w:rsid w:val="00887DC5"/>
    <w:rsid w:val="008916AE"/>
    <w:rsid w:val="008921DF"/>
    <w:rsid w:val="00892A36"/>
    <w:rsid w:val="00893239"/>
    <w:rsid w:val="0089326B"/>
    <w:rsid w:val="008939DE"/>
    <w:rsid w:val="00894489"/>
    <w:rsid w:val="00894575"/>
    <w:rsid w:val="00895515"/>
    <w:rsid w:val="00895798"/>
    <w:rsid w:val="008963A5"/>
    <w:rsid w:val="00896D08"/>
    <w:rsid w:val="00896E0D"/>
    <w:rsid w:val="00897C13"/>
    <w:rsid w:val="008A0B21"/>
    <w:rsid w:val="008A114E"/>
    <w:rsid w:val="008A1C0C"/>
    <w:rsid w:val="008A22C9"/>
    <w:rsid w:val="008A3363"/>
    <w:rsid w:val="008A3371"/>
    <w:rsid w:val="008A3C3E"/>
    <w:rsid w:val="008A50F0"/>
    <w:rsid w:val="008A5E15"/>
    <w:rsid w:val="008A5E6D"/>
    <w:rsid w:val="008A611D"/>
    <w:rsid w:val="008A66EC"/>
    <w:rsid w:val="008A69C5"/>
    <w:rsid w:val="008A6D82"/>
    <w:rsid w:val="008A6F50"/>
    <w:rsid w:val="008A7071"/>
    <w:rsid w:val="008A7248"/>
    <w:rsid w:val="008A778C"/>
    <w:rsid w:val="008A79DE"/>
    <w:rsid w:val="008B002C"/>
    <w:rsid w:val="008B022B"/>
    <w:rsid w:val="008B1757"/>
    <w:rsid w:val="008B2581"/>
    <w:rsid w:val="008B2639"/>
    <w:rsid w:val="008B3339"/>
    <w:rsid w:val="008B6653"/>
    <w:rsid w:val="008B7AC1"/>
    <w:rsid w:val="008B7D7E"/>
    <w:rsid w:val="008C0911"/>
    <w:rsid w:val="008C0D6A"/>
    <w:rsid w:val="008C1006"/>
    <w:rsid w:val="008C15CD"/>
    <w:rsid w:val="008C1644"/>
    <w:rsid w:val="008C247D"/>
    <w:rsid w:val="008C2DEC"/>
    <w:rsid w:val="008C3E07"/>
    <w:rsid w:val="008C3E92"/>
    <w:rsid w:val="008C4A26"/>
    <w:rsid w:val="008C4EF8"/>
    <w:rsid w:val="008C5166"/>
    <w:rsid w:val="008C52BB"/>
    <w:rsid w:val="008C5C22"/>
    <w:rsid w:val="008C7296"/>
    <w:rsid w:val="008C7ECB"/>
    <w:rsid w:val="008D04E7"/>
    <w:rsid w:val="008D18B7"/>
    <w:rsid w:val="008D2466"/>
    <w:rsid w:val="008D2B51"/>
    <w:rsid w:val="008D41DE"/>
    <w:rsid w:val="008D4755"/>
    <w:rsid w:val="008D49AE"/>
    <w:rsid w:val="008D4C3D"/>
    <w:rsid w:val="008D51EB"/>
    <w:rsid w:val="008D58AF"/>
    <w:rsid w:val="008D6587"/>
    <w:rsid w:val="008E00A7"/>
    <w:rsid w:val="008E0C79"/>
    <w:rsid w:val="008E0D3C"/>
    <w:rsid w:val="008E1A65"/>
    <w:rsid w:val="008E1B9E"/>
    <w:rsid w:val="008E439A"/>
    <w:rsid w:val="008E55AB"/>
    <w:rsid w:val="008E79DB"/>
    <w:rsid w:val="008F0062"/>
    <w:rsid w:val="008F0107"/>
    <w:rsid w:val="008F120A"/>
    <w:rsid w:val="008F2287"/>
    <w:rsid w:val="008F27E0"/>
    <w:rsid w:val="008F2A32"/>
    <w:rsid w:val="008F37E6"/>
    <w:rsid w:val="008F46C7"/>
    <w:rsid w:val="008F48D2"/>
    <w:rsid w:val="008F48EB"/>
    <w:rsid w:val="008F4C68"/>
    <w:rsid w:val="008F4F0B"/>
    <w:rsid w:val="008F7E53"/>
    <w:rsid w:val="00901BE7"/>
    <w:rsid w:val="009031C7"/>
    <w:rsid w:val="009039FE"/>
    <w:rsid w:val="009046C4"/>
    <w:rsid w:val="00905D14"/>
    <w:rsid w:val="009062A5"/>
    <w:rsid w:val="009074E5"/>
    <w:rsid w:val="00907865"/>
    <w:rsid w:val="009109A1"/>
    <w:rsid w:val="00911272"/>
    <w:rsid w:val="00911677"/>
    <w:rsid w:val="009135D6"/>
    <w:rsid w:val="009137FE"/>
    <w:rsid w:val="0091392E"/>
    <w:rsid w:val="00914648"/>
    <w:rsid w:val="00914A11"/>
    <w:rsid w:val="00914C77"/>
    <w:rsid w:val="00915138"/>
    <w:rsid w:val="00916404"/>
    <w:rsid w:val="00916CE9"/>
    <w:rsid w:val="00917169"/>
    <w:rsid w:val="00917258"/>
    <w:rsid w:val="0091731D"/>
    <w:rsid w:val="00917BB6"/>
    <w:rsid w:val="00923484"/>
    <w:rsid w:val="0092369B"/>
    <w:rsid w:val="00924204"/>
    <w:rsid w:val="0092469B"/>
    <w:rsid w:val="00924833"/>
    <w:rsid w:val="00924DFC"/>
    <w:rsid w:val="009260AB"/>
    <w:rsid w:val="00926143"/>
    <w:rsid w:val="00927584"/>
    <w:rsid w:val="00927A5F"/>
    <w:rsid w:val="009309BD"/>
    <w:rsid w:val="0093187D"/>
    <w:rsid w:val="009342D1"/>
    <w:rsid w:val="0093535D"/>
    <w:rsid w:val="00935C1D"/>
    <w:rsid w:val="00936BB5"/>
    <w:rsid w:val="00936E4C"/>
    <w:rsid w:val="00937813"/>
    <w:rsid w:val="00937A9D"/>
    <w:rsid w:val="00937BFC"/>
    <w:rsid w:val="0094242E"/>
    <w:rsid w:val="00942608"/>
    <w:rsid w:val="0094262B"/>
    <w:rsid w:val="009427AB"/>
    <w:rsid w:val="00943449"/>
    <w:rsid w:val="0094442D"/>
    <w:rsid w:val="009447D5"/>
    <w:rsid w:val="00945328"/>
    <w:rsid w:val="00945505"/>
    <w:rsid w:val="00945789"/>
    <w:rsid w:val="009469C0"/>
    <w:rsid w:val="00947358"/>
    <w:rsid w:val="00947D8E"/>
    <w:rsid w:val="00950416"/>
    <w:rsid w:val="009510A2"/>
    <w:rsid w:val="00952B04"/>
    <w:rsid w:val="00952DE8"/>
    <w:rsid w:val="00952F12"/>
    <w:rsid w:val="00952F5E"/>
    <w:rsid w:val="009530CD"/>
    <w:rsid w:val="00953257"/>
    <w:rsid w:val="009536EC"/>
    <w:rsid w:val="00953A2A"/>
    <w:rsid w:val="00953CB3"/>
    <w:rsid w:val="00954381"/>
    <w:rsid w:val="00955537"/>
    <w:rsid w:val="00955EE1"/>
    <w:rsid w:val="0095609C"/>
    <w:rsid w:val="009616C4"/>
    <w:rsid w:val="00962209"/>
    <w:rsid w:val="0096283E"/>
    <w:rsid w:val="00962CB9"/>
    <w:rsid w:val="00962E14"/>
    <w:rsid w:val="0096399C"/>
    <w:rsid w:val="009639A2"/>
    <w:rsid w:val="009640C1"/>
    <w:rsid w:val="00964312"/>
    <w:rsid w:val="00964F01"/>
    <w:rsid w:val="00965B8A"/>
    <w:rsid w:val="009676C2"/>
    <w:rsid w:val="009677C9"/>
    <w:rsid w:val="009702EB"/>
    <w:rsid w:val="009713BF"/>
    <w:rsid w:val="009717AC"/>
    <w:rsid w:val="00971F24"/>
    <w:rsid w:val="00971F7E"/>
    <w:rsid w:val="0097239D"/>
    <w:rsid w:val="009730AB"/>
    <w:rsid w:val="0097343A"/>
    <w:rsid w:val="00973859"/>
    <w:rsid w:val="00973F4C"/>
    <w:rsid w:val="00977349"/>
    <w:rsid w:val="009775D5"/>
    <w:rsid w:val="00977B25"/>
    <w:rsid w:val="0098037A"/>
    <w:rsid w:val="00981CE3"/>
    <w:rsid w:val="00982C52"/>
    <w:rsid w:val="00983E57"/>
    <w:rsid w:val="0098581D"/>
    <w:rsid w:val="0098675D"/>
    <w:rsid w:val="00986CC5"/>
    <w:rsid w:val="0098728E"/>
    <w:rsid w:val="0098761C"/>
    <w:rsid w:val="00987D0E"/>
    <w:rsid w:val="00990B63"/>
    <w:rsid w:val="009917EA"/>
    <w:rsid w:val="00992B41"/>
    <w:rsid w:val="00993730"/>
    <w:rsid w:val="00995065"/>
    <w:rsid w:val="00996278"/>
    <w:rsid w:val="0099651C"/>
    <w:rsid w:val="00996B1A"/>
    <w:rsid w:val="00996CE4"/>
    <w:rsid w:val="009972F1"/>
    <w:rsid w:val="009A0256"/>
    <w:rsid w:val="009A296B"/>
    <w:rsid w:val="009A2A3D"/>
    <w:rsid w:val="009A2BFA"/>
    <w:rsid w:val="009A377A"/>
    <w:rsid w:val="009A3947"/>
    <w:rsid w:val="009A3D8F"/>
    <w:rsid w:val="009A5801"/>
    <w:rsid w:val="009A5DB2"/>
    <w:rsid w:val="009A5E7D"/>
    <w:rsid w:val="009A6818"/>
    <w:rsid w:val="009A6FE0"/>
    <w:rsid w:val="009A7269"/>
    <w:rsid w:val="009A7422"/>
    <w:rsid w:val="009A75F0"/>
    <w:rsid w:val="009A7A9E"/>
    <w:rsid w:val="009A7D68"/>
    <w:rsid w:val="009A7F10"/>
    <w:rsid w:val="009B09AC"/>
    <w:rsid w:val="009B118B"/>
    <w:rsid w:val="009B1603"/>
    <w:rsid w:val="009B1FBE"/>
    <w:rsid w:val="009B24E8"/>
    <w:rsid w:val="009B25A5"/>
    <w:rsid w:val="009B29CF"/>
    <w:rsid w:val="009B318D"/>
    <w:rsid w:val="009B3CE4"/>
    <w:rsid w:val="009B3E26"/>
    <w:rsid w:val="009B530A"/>
    <w:rsid w:val="009B5436"/>
    <w:rsid w:val="009B5F5C"/>
    <w:rsid w:val="009C0DCA"/>
    <w:rsid w:val="009C31F4"/>
    <w:rsid w:val="009C3B04"/>
    <w:rsid w:val="009C4F18"/>
    <w:rsid w:val="009C6CEA"/>
    <w:rsid w:val="009C74AA"/>
    <w:rsid w:val="009C7662"/>
    <w:rsid w:val="009C7B85"/>
    <w:rsid w:val="009D0ACC"/>
    <w:rsid w:val="009D26D0"/>
    <w:rsid w:val="009D2AF6"/>
    <w:rsid w:val="009D36F2"/>
    <w:rsid w:val="009D3961"/>
    <w:rsid w:val="009D4DF4"/>
    <w:rsid w:val="009D5B91"/>
    <w:rsid w:val="009D5D9D"/>
    <w:rsid w:val="009D5DC6"/>
    <w:rsid w:val="009D5DF6"/>
    <w:rsid w:val="009D5ED5"/>
    <w:rsid w:val="009D6CDD"/>
    <w:rsid w:val="009D71BB"/>
    <w:rsid w:val="009D792E"/>
    <w:rsid w:val="009D7CC4"/>
    <w:rsid w:val="009E0DFE"/>
    <w:rsid w:val="009E14C2"/>
    <w:rsid w:val="009E302E"/>
    <w:rsid w:val="009E4457"/>
    <w:rsid w:val="009E478E"/>
    <w:rsid w:val="009E4A6E"/>
    <w:rsid w:val="009E4C07"/>
    <w:rsid w:val="009E4F32"/>
    <w:rsid w:val="009E51A3"/>
    <w:rsid w:val="009E5322"/>
    <w:rsid w:val="009E64FC"/>
    <w:rsid w:val="009E7375"/>
    <w:rsid w:val="009F0492"/>
    <w:rsid w:val="009F080A"/>
    <w:rsid w:val="009F0CD0"/>
    <w:rsid w:val="009F4084"/>
    <w:rsid w:val="009F441B"/>
    <w:rsid w:val="009F457B"/>
    <w:rsid w:val="009F4CC0"/>
    <w:rsid w:val="009F4EA7"/>
    <w:rsid w:val="009F5CF7"/>
    <w:rsid w:val="009F72BD"/>
    <w:rsid w:val="009F7379"/>
    <w:rsid w:val="00A00052"/>
    <w:rsid w:val="00A01184"/>
    <w:rsid w:val="00A02BF1"/>
    <w:rsid w:val="00A02CE2"/>
    <w:rsid w:val="00A03A69"/>
    <w:rsid w:val="00A03D43"/>
    <w:rsid w:val="00A04380"/>
    <w:rsid w:val="00A04950"/>
    <w:rsid w:val="00A04D45"/>
    <w:rsid w:val="00A068BD"/>
    <w:rsid w:val="00A07035"/>
    <w:rsid w:val="00A070AD"/>
    <w:rsid w:val="00A074D4"/>
    <w:rsid w:val="00A0797C"/>
    <w:rsid w:val="00A07BE1"/>
    <w:rsid w:val="00A100EB"/>
    <w:rsid w:val="00A1040F"/>
    <w:rsid w:val="00A10C1E"/>
    <w:rsid w:val="00A11CD0"/>
    <w:rsid w:val="00A12125"/>
    <w:rsid w:val="00A12557"/>
    <w:rsid w:val="00A12AFC"/>
    <w:rsid w:val="00A13948"/>
    <w:rsid w:val="00A13C99"/>
    <w:rsid w:val="00A1482E"/>
    <w:rsid w:val="00A149BF"/>
    <w:rsid w:val="00A14B11"/>
    <w:rsid w:val="00A14C5C"/>
    <w:rsid w:val="00A14F8D"/>
    <w:rsid w:val="00A15040"/>
    <w:rsid w:val="00A1521F"/>
    <w:rsid w:val="00A1555B"/>
    <w:rsid w:val="00A155C5"/>
    <w:rsid w:val="00A160C2"/>
    <w:rsid w:val="00A16AD8"/>
    <w:rsid w:val="00A16FCA"/>
    <w:rsid w:val="00A17792"/>
    <w:rsid w:val="00A17F80"/>
    <w:rsid w:val="00A20A09"/>
    <w:rsid w:val="00A20E8B"/>
    <w:rsid w:val="00A21CF3"/>
    <w:rsid w:val="00A22294"/>
    <w:rsid w:val="00A224CC"/>
    <w:rsid w:val="00A226B0"/>
    <w:rsid w:val="00A22F6C"/>
    <w:rsid w:val="00A22F9C"/>
    <w:rsid w:val="00A240A6"/>
    <w:rsid w:val="00A241D7"/>
    <w:rsid w:val="00A24B21"/>
    <w:rsid w:val="00A25838"/>
    <w:rsid w:val="00A26032"/>
    <w:rsid w:val="00A274AD"/>
    <w:rsid w:val="00A27AEC"/>
    <w:rsid w:val="00A31576"/>
    <w:rsid w:val="00A320DB"/>
    <w:rsid w:val="00A3311D"/>
    <w:rsid w:val="00A343E4"/>
    <w:rsid w:val="00A34FD1"/>
    <w:rsid w:val="00A35671"/>
    <w:rsid w:val="00A35C6B"/>
    <w:rsid w:val="00A35D16"/>
    <w:rsid w:val="00A3652E"/>
    <w:rsid w:val="00A366C7"/>
    <w:rsid w:val="00A36E23"/>
    <w:rsid w:val="00A3709F"/>
    <w:rsid w:val="00A37511"/>
    <w:rsid w:val="00A37BCD"/>
    <w:rsid w:val="00A405B2"/>
    <w:rsid w:val="00A4084D"/>
    <w:rsid w:val="00A40A08"/>
    <w:rsid w:val="00A41014"/>
    <w:rsid w:val="00A42028"/>
    <w:rsid w:val="00A43B62"/>
    <w:rsid w:val="00A43C59"/>
    <w:rsid w:val="00A440E0"/>
    <w:rsid w:val="00A4460C"/>
    <w:rsid w:val="00A455C4"/>
    <w:rsid w:val="00A459F6"/>
    <w:rsid w:val="00A46741"/>
    <w:rsid w:val="00A46D5B"/>
    <w:rsid w:val="00A47C26"/>
    <w:rsid w:val="00A47E40"/>
    <w:rsid w:val="00A50ECD"/>
    <w:rsid w:val="00A513E5"/>
    <w:rsid w:val="00A518F3"/>
    <w:rsid w:val="00A5270A"/>
    <w:rsid w:val="00A52729"/>
    <w:rsid w:val="00A52919"/>
    <w:rsid w:val="00A52C0C"/>
    <w:rsid w:val="00A53108"/>
    <w:rsid w:val="00A53675"/>
    <w:rsid w:val="00A538BB"/>
    <w:rsid w:val="00A54B50"/>
    <w:rsid w:val="00A55181"/>
    <w:rsid w:val="00A55D31"/>
    <w:rsid w:val="00A564D7"/>
    <w:rsid w:val="00A56B6A"/>
    <w:rsid w:val="00A56EDF"/>
    <w:rsid w:val="00A56F3E"/>
    <w:rsid w:val="00A5782A"/>
    <w:rsid w:val="00A578DC"/>
    <w:rsid w:val="00A57BD2"/>
    <w:rsid w:val="00A57C4B"/>
    <w:rsid w:val="00A57D11"/>
    <w:rsid w:val="00A57F0B"/>
    <w:rsid w:val="00A60202"/>
    <w:rsid w:val="00A61C56"/>
    <w:rsid w:val="00A61F0C"/>
    <w:rsid w:val="00A62C32"/>
    <w:rsid w:val="00A62DE5"/>
    <w:rsid w:val="00A64ACB"/>
    <w:rsid w:val="00A65A89"/>
    <w:rsid w:val="00A65B51"/>
    <w:rsid w:val="00A65C59"/>
    <w:rsid w:val="00A6611A"/>
    <w:rsid w:val="00A66CDB"/>
    <w:rsid w:val="00A67089"/>
    <w:rsid w:val="00A6725B"/>
    <w:rsid w:val="00A674B2"/>
    <w:rsid w:val="00A70605"/>
    <w:rsid w:val="00A712D5"/>
    <w:rsid w:val="00A723D6"/>
    <w:rsid w:val="00A72698"/>
    <w:rsid w:val="00A73134"/>
    <w:rsid w:val="00A73A9D"/>
    <w:rsid w:val="00A75FF0"/>
    <w:rsid w:val="00A76189"/>
    <w:rsid w:val="00A76653"/>
    <w:rsid w:val="00A76F33"/>
    <w:rsid w:val="00A77412"/>
    <w:rsid w:val="00A777B2"/>
    <w:rsid w:val="00A81170"/>
    <w:rsid w:val="00A8233D"/>
    <w:rsid w:val="00A8240C"/>
    <w:rsid w:val="00A824DF"/>
    <w:rsid w:val="00A8320F"/>
    <w:rsid w:val="00A8354A"/>
    <w:rsid w:val="00A835AA"/>
    <w:rsid w:val="00A83AF4"/>
    <w:rsid w:val="00A8513C"/>
    <w:rsid w:val="00A85323"/>
    <w:rsid w:val="00A85A5D"/>
    <w:rsid w:val="00A85E5C"/>
    <w:rsid w:val="00A866B1"/>
    <w:rsid w:val="00A86E8B"/>
    <w:rsid w:val="00A86FA4"/>
    <w:rsid w:val="00A87164"/>
    <w:rsid w:val="00A87630"/>
    <w:rsid w:val="00A8772D"/>
    <w:rsid w:val="00A9014F"/>
    <w:rsid w:val="00A913C8"/>
    <w:rsid w:val="00A915D3"/>
    <w:rsid w:val="00A93072"/>
    <w:rsid w:val="00A93953"/>
    <w:rsid w:val="00A950A2"/>
    <w:rsid w:val="00A959D8"/>
    <w:rsid w:val="00A96CAF"/>
    <w:rsid w:val="00A9767B"/>
    <w:rsid w:val="00A97E61"/>
    <w:rsid w:val="00AA04BD"/>
    <w:rsid w:val="00AA0AC3"/>
    <w:rsid w:val="00AA0C5E"/>
    <w:rsid w:val="00AA113D"/>
    <w:rsid w:val="00AA142F"/>
    <w:rsid w:val="00AA1D8E"/>
    <w:rsid w:val="00AA27D4"/>
    <w:rsid w:val="00AA3659"/>
    <w:rsid w:val="00AA36FD"/>
    <w:rsid w:val="00AA38DD"/>
    <w:rsid w:val="00AA52FC"/>
    <w:rsid w:val="00AA5906"/>
    <w:rsid w:val="00AA6C7D"/>
    <w:rsid w:val="00AA6D42"/>
    <w:rsid w:val="00AA6EBF"/>
    <w:rsid w:val="00AA7FD6"/>
    <w:rsid w:val="00AB042A"/>
    <w:rsid w:val="00AB0880"/>
    <w:rsid w:val="00AB0FB0"/>
    <w:rsid w:val="00AB10F2"/>
    <w:rsid w:val="00AB1130"/>
    <w:rsid w:val="00AB2D34"/>
    <w:rsid w:val="00AB3430"/>
    <w:rsid w:val="00AB42FD"/>
    <w:rsid w:val="00AB4AD1"/>
    <w:rsid w:val="00AB6EC2"/>
    <w:rsid w:val="00AB7934"/>
    <w:rsid w:val="00AB7CFA"/>
    <w:rsid w:val="00AB7D56"/>
    <w:rsid w:val="00AC0164"/>
    <w:rsid w:val="00AC0DD8"/>
    <w:rsid w:val="00AC12F4"/>
    <w:rsid w:val="00AC20ED"/>
    <w:rsid w:val="00AC2398"/>
    <w:rsid w:val="00AC2834"/>
    <w:rsid w:val="00AC4A49"/>
    <w:rsid w:val="00AC4D6D"/>
    <w:rsid w:val="00AC4F40"/>
    <w:rsid w:val="00AC545F"/>
    <w:rsid w:val="00AC5AD6"/>
    <w:rsid w:val="00AC5B48"/>
    <w:rsid w:val="00AC6575"/>
    <w:rsid w:val="00AC6E9C"/>
    <w:rsid w:val="00AC7EF3"/>
    <w:rsid w:val="00AD2A40"/>
    <w:rsid w:val="00AD318B"/>
    <w:rsid w:val="00AD38AA"/>
    <w:rsid w:val="00AD3CFE"/>
    <w:rsid w:val="00AD4414"/>
    <w:rsid w:val="00AD46E2"/>
    <w:rsid w:val="00AD47D2"/>
    <w:rsid w:val="00AD4CEE"/>
    <w:rsid w:val="00AD6502"/>
    <w:rsid w:val="00AE0781"/>
    <w:rsid w:val="00AE2444"/>
    <w:rsid w:val="00AE27D0"/>
    <w:rsid w:val="00AE30F1"/>
    <w:rsid w:val="00AE3DFD"/>
    <w:rsid w:val="00AE5DEB"/>
    <w:rsid w:val="00AE626F"/>
    <w:rsid w:val="00AE6CF6"/>
    <w:rsid w:val="00AE7A67"/>
    <w:rsid w:val="00AE7DCF"/>
    <w:rsid w:val="00AF1315"/>
    <w:rsid w:val="00AF147C"/>
    <w:rsid w:val="00AF19BF"/>
    <w:rsid w:val="00AF2537"/>
    <w:rsid w:val="00AF2DC3"/>
    <w:rsid w:val="00AF3828"/>
    <w:rsid w:val="00AF38DA"/>
    <w:rsid w:val="00AF451F"/>
    <w:rsid w:val="00AF5F24"/>
    <w:rsid w:val="00AF651E"/>
    <w:rsid w:val="00B00047"/>
    <w:rsid w:val="00B00E3C"/>
    <w:rsid w:val="00B01C5D"/>
    <w:rsid w:val="00B033E5"/>
    <w:rsid w:val="00B03927"/>
    <w:rsid w:val="00B03A63"/>
    <w:rsid w:val="00B04205"/>
    <w:rsid w:val="00B049DF"/>
    <w:rsid w:val="00B0527E"/>
    <w:rsid w:val="00B07337"/>
    <w:rsid w:val="00B07652"/>
    <w:rsid w:val="00B077C8"/>
    <w:rsid w:val="00B10FDC"/>
    <w:rsid w:val="00B118BC"/>
    <w:rsid w:val="00B12CED"/>
    <w:rsid w:val="00B13318"/>
    <w:rsid w:val="00B137F7"/>
    <w:rsid w:val="00B13C22"/>
    <w:rsid w:val="00B14299"/>
    <w:rsid w:val="00B14315"/>
    <w:rsid w:val="00B14802"/>
    <w:rsid w:val="00B15385"/>
    <w:rsid w:val="00B15A80"/>
    <w:rsid w:val="00B16A22"/>
    <w:rsid w:val="00B17011"/>
    <w:rsid w:val="00B17975"/>
    <w:rsid w:val="00B201A4"/>
    <w:rsid w:val="00B2105F"/>
    <w:rsid w:val="00B213A6"/>
    <w:rsid w:val="00B22664"/>
    <w:rsid w:val="00B229B2"/>
    <w:rsid w:val="00B22D0C"/>
    <w:rsid w:val="00B23186"/>
    <w:rsid w:val="00B238E6"/>
    <w:rsid w:val="00B24261"/>
    <w:rsid w:val="00B24DF6"/>
    <w:rsid w:val="00B24FCE"/>
    <w:rsid w:val="00B2540B"/>
    <w:rsid w:val="00B2582A"/>
    <w:rsid w:val="00B2614A"/>
    <w:rsid w:val="00B266B0"/>
    <w:rsid w:val="00B26A49"/>
    <w:rsid w:val="00B270AC"/>
    <w:rsid w:val="00B27AEC"/>
    <w:rsid w:val="00B308EC"/>
    <w:rsid w:val="00B31295"/>
    <w:rsid w:val="00B313EF"/>
    <w:rsid w:val="00B323EE"/>
    <w:rsid w:val="00B3266E"/>
    <w:rsid w:val="00B326B2"/>
    <w:rsid w:val="00B32F93"/>
    <w:rsid w:val="00B34FE2"/>
    <w:rsid w:val="00B357D8"/>
    <w:rsid w:val="00B36839"/>
    <w:rsid w:val="00B37BFC"/>
    <w:rsid w:val="00B37D2F"/>
    <w:rsid w:val="00B40358"/>
    <w:rsid w:val="00B41001"/>
    <w:rsid w:val="00B411F5"/>
    <w:rsid w:val="00B4131F"/>
    <w:rsid w:val="00B41614"/>
    <w:rsid w:val="00B42293"/>
    <w:rsid w:val="00B42851"/>
    <w:rsid w:val="00B42911"/>
    <w:rsid w:val="00B42E02"/>
    <w:rsid w:val="00B42F35"/>
    <w:rsid w:val="00B42F80"/>
    <w:rsid w:val="00B435CB"/>
    <w:rsid w:val="00B46E53"/>
    <w:rsid w:val="00B47158"/>
    <w:rsid w:val="00B50640"/>
    <w:rsid w:val="00B50C54"/>
    <w:rsid w:val="00B50DB8"/>
    <w:rsid w:val="00B51416"/>
    <w:rsid w:val="00B518C1"/>
    <w:rsid w:val="00B52051"/>
    <w:rsid w:val="00B53654"/>
    <w:rsid w:val="00B537D7"/>
    <w:rsid w:val="00B53905"/>
    <w:rsid w:val="00B543B7"/>
    <w:rsid w:val="00B54B5B"/>
    <w:rsid w:val="00B5535C"/>
    <w:rsid w:val="00B5562E"/>
    <w:rsid w:val="00B561F0"/>
    <w:rsid w:val="00B565AD"/>
    <w:rsid w:val="00B57000"/>
    <w:rsid w:val="00B6072E"/>
    <w:rsid w:val="00B60939"/>
    <w:rsid w:val="00B60AFD"/>
    <w:rsid w:val="00B60B5D"/>
    <w:rsid w:val="00B60E1F"/>
    <w:rsid w:val="00B6218D"/>
    <w:rsid w:val="00B62715"/>
    <w:rsid w:val="00B627D2"/>
    <w:rsid w:val="00B636C7"/>
    <w:rsid w:val="00B636F0"/>
    <w:rsid w:val="00B63CCC"/>
    <w:rsid w:val="00B65D46"/>
    <w:rsid w:val="00B65F60"/>
    <w:rsid w:val="00B6650C"/>
    <w:rsid w:val="00B677A9"/>
    <w:rsid w:val="00B67DEA"/>
    <w:rsid w:val="00B70064"/>
    <w:rsid w:val="00B704C4"/>
    <w:rsid w:val="00B70900"/>
    <w:rsid w:val="00B7154F"/>
    <w:rsid w:val="00B73F4A"/>
    <w:rsid w:val="00B7452E"/>
    <w:rsid w:val="00B74A6F"/>
    <w:rsid w:val="00B767E4"/>
    <w:rsid w:val="00B76BC1"/>
    <w:rsid w:val="00B778E7"/>
    <w:rsid w:val="00B80EE4"/>
    <w:rsid w:val="00B818A4"/>
    <w:rsid w:val="00B82348"/>
    <w:rsid w:val="00B83529"/>
    <w:rsid w:val="00B84117"/>
    <w:rsid w:val="00B85407"/>
    <w:rsid w:val="00B85AA2"/>
    <w:rsid w:val="00B8649C"/>
    <w:rsid w:val="00B86AD3"/>
    <w:rsid w:val="00B86C7A"/>
    <w:rsid w:val="00B8708F"/>
    <w:rsid w:val="00B87786"/>
    <w:rsid w:val="00B87F0A"/>
    <w:rsid w:val="00B87F20"/>
    <w:rsid w:val="00B90022"/>
    <w:rsid w:val="00B90316"/>
    <w:rsid w:val="00B90B03"/>
    <w:rsid w:val="00B91546"/>
    <w:rsid w:val="00B92043"/>
    <w:rsid w:val="00B920DD"/>
    <w:rsid w:val="00B92609"/>
    <w:rsid w:val="00B92D0B"/>
    <w:rsid w:val="00B934F9"/>
    <w:rsid w:val="00B93623"/>
    <w:rsid w:val="00B9388E"/>
    <w:rsid w:val="00B93C37"/>
    <w:rsid w:val="00B93DB9"/>
    <w:rsid w:val="00B94383"/>
    <w:rsid w:val="00B946F2"/>
    <w:rsid w:val="00B947E3"/>
    <w:rsid w:val="00B94945"/>
    <w:rsid w:val="00B951FA"/>
    <w:rsid w:val="00B97CF4"/>
    <w:rsid w:val="00BA0274"/>
    <w:rsid w:val="00BA07C4"/>
    <w:rsid w:val="00BA2532"/>
    <w:rsid w:val="00BA25D1"/>
    <w:rsid w:val="00BA2FE8"/>
    <w:rsid w:val="00BA322D"/>
    <w:rsid w:val="00BA4E49"/>
    <w:rsid w:val="00BA6BC9"/>
    <w:rsid w:val="00BB0BDD"/>
    <w:rsid w:val="00BB1AC4"/>
    <w:rsid w:val="00BB2795"/>
    <w:rsid w:val="00BB2A73"/>
    <w:rsid w:val="00BB2A90"/>
    <w:rsid w:val="00BB3082"/>
    <w:rsid w:val="00BB375F"/>
    <w:rsid w:val="00BB3CF5"/>
    <w:rsid w:val="00BB4557"/>
    <w:rsid w:val="00BB4ACC"/>
    <w:rsid w:val="00BB5D9F"/>
    <w:rsid w:val="00BB6F39"/>
    <w:rsid w:val="00BB703E"/>
    <w:rsid w:val="00BB7405"/>
    <w:rsid w:val="00BB788B"/>
    <w:rsid w:val="00BC0317"/>
    <w:rsid w:val="00BC0A33"/>
    <w:rsid w:val="00BC11FD"/>
    <w:rsid w:val="00BC167E"/>
    <w:rsid w:val="00BC1CFF"/>
    <w:rsid w:val="00BC2FEE"/>
    <w:rsid w:val="00BC3631"/>
    <w:rsid w:val="00BC4E40"/>
    <w:rsid w:val="00BC5005"/>
    <w:rsid w:val="00BC5544"/>
    <w:rsid w:val="00BC56DC"/>
    <w:rsid w:val="00BC5B88"/>
    <w:rsid w:val="00BC6FB3"/>
    <w:rsid w:val="00BD08DD"/>
    <w:rsid w:val="00BD2BC2"/>
    <w:rsid w:val="00BD37CB"/>
    <w:rsid w:val="00BD430A"/>
    <w:rsid w:val="00BD4DFE"/>
    <w:rsid w:val="00BD56CC"/>
    <w:rsid w:val="00BD6774"/>
    <w:rsid w:val="00BD68A3"/>
    <w:rsid w:val="00BD6938"/>
    <w:rsid w:val="00BD6CF3"/>
    <w:rsid w:val="00BD7EB2"/>
    <w:rsid w:val="00BE04C3"/>
    <w:rsid w:val="00BE0CFB"/>
    <w:rsid w:val="00BE1040"/>
    <w:rsid w:val="00BE18A7"/>
    <w:rsid w:val="00BE1EA6"/>
    <w:rsid w:val="00BE2180"/>
    <w:rsid w:val="00BE21F2"/>
    <w:rsid w:val="00BE4275"/>
    <w:rsid w:val="00BE4D55"/>
    <w:rsid w:val="00BE7331"/>
    <w:rsid w:val="00BE7CE6"/>
    <w:rsid w:val="00BF0F95"/>
    <w:rsid w:val="00BF1508"/>
    <w:rsid w:val="00BF1B4C"/>
    <w:rsid w:val="00BF2433"/>
    <w:rsid w:val="00BF430D"/>
    <w:rsid w:val="00BF47FD"/>
    <w:rsid w:val="00BF50D0"/>
    <w:rsid w:val="00BF52C7"/>
    <w:rsid w:val="00BF572B"/>
    <w:rsid w:val="00BF61C9"/>
    <w:rsid w:val="00BF622A"/>
    <w:rsid w:val="00BF63A3"/>
    <w:rsid w:val="00BF6888"/>
    <w:rsid w:val="00BF6C8C"/>
    <w:rsid w:val="00BF6C94"/>
    <w:rsid w:val="00BF7C46"/>
    <w:rsid w:val="00C00424"/>
    <w:rsid w:val="00C01AE5"/>
    <w:rsid w:val="00C03048"/>
    <w:rsid w:val="00C05FDF"/>
    <w:rsid w:val="00C079B0"/>
    <w:rsid w:val="00C10EDC"/>
    <w:rsid w:val="00C122E3"/>
    <w:rsid w:val="00C1274C"/>
    <w:rsid w:val="00C12C14"/>
    <w:rsid w:val="00C142B3"/>
    <w:rsid w:val="00C1464F"/>
    <w:rsid w:val="00C1654A"/>
    <w:rsid w:val="00C170FF"/>
    <w:rsid w:val="00C17100"/>
    <w:rsid w:val="00C17180"/>
    <w:rsid w:val="00C17EDC"/>
    <w:rsid w:val="00C200AA"/>
    <w:rsid w:val="00C207D5"/>
    <w:rsid w:val="00C2223F"/>
    <w:rsid w:val="00C22605"/>
    <w:rsid w:val="00C226C5"/>
    <w:rsid w:val="00C235BA"/>
    <w:rsid w:val="00C237ED"/>
    <w:rsid w:val="00C23E3B"/>
    <w:rsid w:val="00C2410B"/>
    <w:rsid w:val="00C24632"/>
    <w:rsid w:val="00C24B3B"/>
    <w:rsid w:val="00C24DE9"/>
    <w:rsid w:val="00C25418"/>
    <w:rsid w:val="00C25D6C"/>
    <w:rsid w:val="00C25D9C"/>
    <w:rsid w:val="00C25F03"/>
    <w:rsid w:val="00C268D3"/>
    <w:rsid w:val="00C274B7"/>
    <w:rsid w:val="00C2766A"/>
    <w:rsid w:val="00C27671"/>
    <w:rsid w:val="00C2778B"/>
    <w:rsid w:val="00C279A8"/>
    <w:rsid w:val="00C27E28"/>
    <w:rsid w:val="00C27E6A"/>
    <w:rsid w:val="00C304C5"/>
    <w:rsid w:val="00C31649"/>
    <w:rsid w:val="00C326D2"/>
    <w:rsid w:val="00C342DA"/>
    <w:rsid w:val="00C34D46"/>
    <w:rsid w:val="00C35C6F"/>
    <w:rsid w:val="00C35FD2"/>
    <w:rsid w:val="00C40385"/>
    <w:rsid w:val="00C40647"/>
    <w:rsid w:val="00C40957"/>
    <w:rsid w:val="00C40D2E"/>
    <w:rsid w:val="00C43183"/>
    <w:rsid w:val="00C435C9"/>
    <w:rsid w:val="00C4406F"/>
    <w:rsid w:val="00C44CD0"/>
    <w:rsid w:val="00C46993"/>
    <w:rsid w:val="00C47078"/>
    <w:rsid w:val="00C473AC"/>
    <w:rsid w:val="00C475AA"/>
    <w:rsid w:val="00C476E8"/>
    <w:rsid w:val="00C47D74"/>
    <w:rsid w:val="00C47EEE"/>
    <w:rsid w:val="00C50C45"/>
    <w:rsid w:val="00C50D15"/>
    <w:rsid w:val="00C51BC1"/>
    <w:rsid w:val="00C522B3"/>
    <w:rsid w:val="00C530A6"/>
    <w:rsid w:val="00C53C82"/>
    <w:rsid w:val="00C554DD"/>
    <w:rsid w:val="00C55C63"/>
    <w:rsid w:val="00C5658C"/>
    <w:rsid w:val="00C56AAF"/>
    <w:rsid w:val="00C6393B"/>
    <w:rsid w:val="00C63A24"/>
    <w:rsid w:val="00C63DCD"/>
    <w:rsid w:val="00C645F8"/>
    <w:rsid w:val="00C65456"/>
    <w:rsid w:val="00C65576"/>
    <w:rsid w:val="00C66165"/>
    <w:rsid w:val="00C67C6A"/>
    <w:rsid w:val="00C7058D"/>
    <w:rsid w:val="00C70B0C"/>
    <w:rsid w:val="00C712FA"/>
    <w:rsid w:val="00C7151A"/>
    <w:rsid w:val="00C71F60"/>
    <w:rsid w:val="00C72135"/>
    <w:rsid w:val="00C72241"/>
    <w:rsid w:val="00C72B81"/>
    <w:rsid w:val="00C72BB5"/>
    <w:rsid w:val="00C73041"/>
    <w:rsid w:val="00C73D49"/>
    <w:rsid w:val="00C750C8"/>
    <w:rsid w:val="00C7560F"/>
    <w:rsid w:val="00C767FD"/>
    <w:rsid w:val="00C7698D"/>
    <w:rsid w:val="00C77A21"/>
    <w:rsid w:val="00C80A0E"/>
    <w:rsid w:val="00C820F8"/>
    <w:rsid w:val="00C8213F"/>
    <w:rsid w:val="00C822BD"/>
    <w:rsid w:val="00C8256F"/>
    <w:rsid w:val="00C8266E"/>
    <w:rsid w:val="00C82FF2"/>
    <w:rsid w:val="00C83C74"/>
    <w:rsid w:val="00C847C9"/>
    <w:rsid w:val="00C84D0B"/>
    <w:rsid w:val="00C854CA"/>
    <w:rsid w:val="00C8797A"/>
    <w:rsid w:val="00C90028"/>
    <w:rsid w:val="00C900B8"/>
    <w:rsid w:val="00C90C71"/>
    <w:rsid w:val="00C911D2"/>
    <w:rsid w:val="00C91465"/>
    <w:rsid w:val="00C91534"/>
    <w:rsid w:val="00C916EF"/>
    <w:rsid w:val="00C9186B"/>
    <w:rsid w:val="00C9186C"/>
    <w:rsid w:val="00C91CE4"/>
    <w:rsid w:val="00C92096"/>
    <w:rsid w:val="00C92739"/>
    <w:rsid w:val="00C92B97"/>
    <w:rsid w:val="00C931CF"/>
    <w:rsid w:val="00C9384C"/>
    <w:rsid w:val="00C938CF"/>
    <w:rsid w:val="00C93C3A"/>
    <w:rsid w:val="00C9553C"/>
    <w:rsid w:val="00C9624D"/>
    <w:rsid w:val="00C9668C"/>
    <w:rsid w:val="00C969DA"/>
    <w:rsid w:val="00CA0338"/>
    <w:rsid w:val="00CA1171"/>
    <w:rsid w:val="00CA27C3"/>
    <w:rsid w:val="00CA2C77"/>
    <w:rsid w:val="00CA3CD2"/>
    <w:rsid w:val="00CA3D71"/>
    <w:rsid w:val="00CA3FD1"/>
    <w:rsid w:val="00CA444F"/>
    <w:rsid w:val="00CA49C7"/>
    <w:rsid w:val="00CA49E5"/>
    <w:rsid w:val="00CA4B37"/>
    <w:rsid w:val="00CA5146"/>
    <w:rsid w:val="00CA51A0"/>
    <w:rsid w:val="00CA5245"/>
    <w:rsid w:val="00CA604D"/>
    <w:rsid w:val="00CA6A87"/>
    <w:rsid w:val="00CA71F4"/>
    <w:rsid w:val="00CA7B09"/>
    <w:rsid w:val="00CB08A5"/>
    <w:rsid w:val="00CB1612"/>
    <w:rsid w:val="00CB1A34"/>
    <w:rsid w:val="00CB270C"/>
    <w:rsid w:val="00CB2893"/>
    <w:rsid w:val="00CB2F2A"/>
    <w:rsid w:val="00CB3964"/>
    <w:rsid w:val="00CB3E72"/>
    <w:rsid w:val="00CB426F"/>
    <w:rsid w:val="00CB44B8"/>
    <w:rsid w:val="00CB5645"/>
    <w:rsid w:val="00CB5B1A"/>
    <w:rsid w:val="00CB6248"/>
    <w:rsid w:val="00CB6B22"/>
    <w:rsid w:val="00CB71C3"/>
    <w:rsid w:val="00CB727E"/>
    <w:rsid w:val="00CB7A88"/>
    <w:rsid w:val="00CB7F5F"/>
    <w:rsid w:val="00CC09F0"/>
    <w:rsid w:val="00CC0AF4"/>
    <w:rsid w:val="00CC0E26"/>
    <w:rsid w:val="00CC1708"/>
    <w:rsid w:val="00CC1B39"/>
    <w:rsid w:val="00CC2366"/>
    <w:rsid w:val="00CC29F6"/>
    <w:rsid w:val="00CC2AB4"/>
    <w:rsid w:val="00CC494C"/>
    <w:rsid w:val="00CC599E"/>
    <w:rsid w:val="00CC5D5F"/>
    <w:rsid w:val="00CC70D5"/>
    <w:rsid w:val="00CC75CB"/>
    <w:rsid w:val="00CD12C7"/>
    <w:rsid w:val="00CD1F4E"/>
    <w:rsid w:val="00CD3DE1"/>
    <w:rsid w:val="00CD67E0"/>
    <w:rsid w:val="00CD6803"/>
    <w:rsid w:val="00CD6ADC"/>
    <w:rsid w:val="00CD6C7C"/>
    <w:rsid w:val="00CD6C9F"/>
    <w:rsid w:val="00CD6F5C"/>
    <w:rsid w:val="00CE0331"/>
    <w:rsid w:val="00CE0880"/>
    <w:rsid w:val="00CE0F60"/>
    <w:rsid w:val="00CE1E9F"/>
    <w:rsid w:val="00CE2242"/>
    <w:rsid w:val="00CE250B"/>
    <w:rsid w:val="00CE2E94"/>
    <w:rsid w:val="00CE4F56"/>
    <w:rsid w:val="00CE53FD"/>
    <w:rsid w:val="00CE5F51"/>
    <w:rsid w:val="00CE6274"/>
    <w:rsid w:val="00CE6F1C"/>
    <w:rsid w:val="00CE7DC8"/>
    <w:rsid w:val="00CE7E0D"/>
    <w:rsid w:val="00CE7E57"/>
    <w:rsid w:val="00CE7FA8"/>
    <w:rsid w:val="00CF0537"/>
    <w:rsid w:val="00CF13B8"/>
    <w:rsid w:val="00CF17B2"/>
    <w:rsid w:val="00CF2601"/>
    <w:rsid w:val="00CF2B8D"/>
    <w:rsid w:val="00CF2E6A"/>
    <w:rsid w:val="00CF349E"/>
    <w:rsid w:val="00CF456B"/>
    <w:rsid w:val="00CF5A22"/>
    <w:rsid w:val="00CF5BED"/>
    <w:rsid w:val="00CF684F"/>
    <w:rsid w:val="00CF777D"/>
    <w:rsid w:val="00D0262E"/>
    <w:rsid w:val="00D0371A"/>
    <w:rsid w:val="00D056E8"/>
    <w:rsid w:val="00D05E2C"/>
    <w:rsid w:val="00D06330"/>
    <w:rsid w:val="00D07DF1"/>
    <w:rsid w:val="00D110BD"/>
    <w:rsid w:val="00D117CE"/>
    <w:rsid w:val="00D12070"/>
    <w:rsid w:val="00D120BD"/>
    <w:rsid w:val="00D122FE"/>
    <w:rsid w:val="00D13675"/>
    <w:rsid w:val="00D141E1"/>
    <w:rsid w:val="00D1427A"/>
    <w:rsid w:val="00D14F33"/>
    <w:rsid w:val="00D15479"/>
    <w:rsid w:val="00D158E6"/>
    <w:rsid w:val="00D170D9"/>
    <w:rsid w:val="00D17217"/>
    <w:rsid w:val="00D17D6C"/>
    <w:rsid w:val="00D17E53"/>
    <w:rsid w:val="00D204EA"/>
    <w:rsid w:val="00D2134A"/>
    <w:rsid w:val="00D22AC2"/>
    <w:rsid w:val="00D24021"/>
    <w:rsid w:val="00D24DD7"/>
    <w:rsid w:val="00D25539"/>
    <w:rsid w:val="00D258C4"/>
    <w:rsid w:val="00D26752"/>
    <w:rsid w:val="00D2683C"/>
    <w:rsid w:val="00D27156"/>
    <w:rsid w:val="00D2754D"/>
    <w:rsid w:val="00D275AF"/>
    <w:rsid w:val="00D277A4"/>
    <w:rsid w:val="00D27B27"/>
    <w:rsid w:val="00D27BF1"/>
    <w:rsid w:val="00D300B2"/>
    <w:rsid w:val="00D30A8C"/>
    <w:rsid w:val="00D33BE9"/>
    <w:rsid w:val="00D33F65"/>
    <w:rsid w:val="00D34F92"/>
    <w:rsid w:val="00D357FF"/>
    <w:rsid w:val="00D359AE"/>
    <w:rsid w:val="00D367A6"/>
    <w:rsid w:val="00D36C8A"/>
    <w:rsid w:val="00D37CFB"/>
    <w:rsid w:val="00D37D4A"/>
    <w:rsid w:val="00D4132E"/>
    <w:rsid w:val="00D417CA"/>
    <w:rsid w:val="00D4189D"/>
    <w:rsid w:val="00D424C7"/>
    <w:rsid w:val="00D43B2A"/>
    <w:rsid w:val="00D44A16"/>
    <w:rsid w:val="00D463DE"/>
    <w:rsid w:val="00D46416"/>
    <w:rsid w:val="00D46A99"/>
    <w:rsid w:val="00D46D10"/>
    <w:rsid w:val="00D47575"/>
    <w:rsid w:val="00D47C16"/>
    <w:rsid w:val="00D50620"/>
    <w:rsid w:val="00D5157D"/>
    <w:rsid w:val="00D5181B"/>
    <w:rsid w:val="00D5278A"/>
    <w:rsid w:val="00D5441E"/>
    <w:rsid w:val="00D54721"/>
    <w:rsid w:val="00D54772"/>
    <w:rsid w:val="00D557E6"/>
    <w:rsid w:val="00D55829"/>
    <w:rsid w:val="00D5631E"/>
    <w:rsid w:val="00D56E30"/>
    <w:rsid w:val="00D572AF"/>
    <w:rsid w:val="00D611FC"/>
    <w:rsid w:val="00D61D42"/>
    <w:rsid w:val="00D63975"/>
    <w:rsid w:val="00D63B4C"/>
    <w:rsid w:val="00D63E6F"/>
    <w:rsid w:val="00D63FCA"/>
    <w:rsid w:val="00D64053"/>
    <w:rsid w:val="00D64331"/>
    <w:rsid w:val="00D66FD3"/>
    <w:rsid w:val="00D70295"/>
    <w:rsid w:val="00D70994"/>
    <w:rsid w:val="00D70F16"/>
    <w:rsid w:val="00D7109B"/>
    <w:rsid w:val="00D72C1C"/>
    <w:rsid w:val="00D72C64"/>
    <w:rsid w:val="00D737D5"/>
    <w:rsid w:val="00D75954"/>
    <w:rsid w:val="00D76A44"/>
    <w:rsid w:val="00D76D60"/>
    <w:rsid w:val="00D76ECA"/>
    <w:rsid w:val="00D7705A"/>
    <w:rsid w:val="00D777B9"/>
    <w:rsid w:val="00D80356"/>
    <w:rsid w:val="00D80949"/>
    <w:rsid w:val="00D8104A"/>
    <w:rsid w:val="00D815EF"/>
    <w:rsid w:val="00D818B9"/>
    <w:rsid w:val="00D81B0C"/>
    <w:rsid w:val="00D847CD"/>
    <w:rsid w:val="00D85543"/>
    <w:rsid w:val="00D85B4A"/>
    <w:rsid w:val="00D87226"/>
    <w:rsid w:val="00D87D13"/>
    <w:rsid w:val="00D90AB0"/>
    <w:rsid w:val="00D90AB5"/>
    <w:rsid w:val="00D915F1"/>
    <w:rsid w:val="00D91923"/>
    <w:rsid w:val="00D91E98"/>
    <w:rsid w:val="00D93090"/>
    <w:rsid w:val="00D93753"/>
    <w:rsid w:val="00D93F55"/>
    <w:rsid w:val="00D94261"/>
    <w:rsid w:val="00D94E30"/>
    <w:rsid w:val="00D95A89"/>
    <w:rsid w:val="00D96A1E"/>
    <w:rsid w:val="00D96C1B"/>
    <w:rsid w:val="00D9718E"/>
    <w:rsid w:val="00D97B4F"/>
    <w:rsid w:val="00D97B60"/>
    <w:rsid w:val="00D97F66"/>
    <w:rsid w:val="00DA00BD"/>
    <w:rsid w:val="00DA0D77"/>
    <w:rsid w:val="00DA1E42"/>
    <w:rsid w:val="00DA218B"/>
    <w:rsid w:val="00DA3167"/>
    <w:rsid w:val="00DA33AE"/>
    <w:rsid w:val="00DA3884"/>
    <w:rsid w:val="00DA4402"/>
    <w:rsid w:val="00DA4DC3"/>
    <w:rsid w:val="00DA54F0"/>
    <w:rsid w:val="00DA5ABB"/>
    <w:rsid w:val="00DA6152"/>
    <w:rsid w:val="00DA7355"/>
    <w:rsid w:val="00DA77A5"/>
    <w:rsid w:val="00DB0BB7"/>
    <w:rsid w:val="00DB22BC"/>
    <w:rsid w:val="00DB2688"/>
    <w:rsid w:val="00DB3446"/>
    <w:rsid w:val="00DB40A2"/>
    <w:rsid w:val="00DB420C"/>
    <w:rsid w:val="00DB484F"/>
    <w:rsid w:val="00DB5097"/>
    <w:rsid w:val="00DB5940"/>
    <w:rsid w:val="00DB5AA0"/>
    <w:rsid w:val="00DB6BDC"/>
    <w:rsid w:val="00DB6FC0"/>
    <w:rsid w:val="00DC04F6"/>
    <w:rsid w:val="00DC3062"/>
    <w:rsid w:val="00DC33C0"/>
    <w:rsid w:val="00DC3435"/>
    <w:rsid w:val="00DC386F"/>
    <w:rsid w:val="00DC39F4"/>
    <w:rsid w:val="00DC3C57"/>
    <w:rsid w:val="00DC3F5E"/>
    <w:rsid w:val="00DC4FEB"/>
    <w:rsid w:val="00DC5501"/>
    <w:rsid w:val="00DC5D8A"/>
    <w:rsid w:val="00DC6672"/>
    <w:rsid w:val="00DC7B93"/>
    <w:rsid w:val="00DC7F1D"/>
    <w:rsid w:val="00DC7F37"/>
    <w:rsid w:val="00DD06D6"/>
    <w:rsid w:val="00DD0BBE"/>
    <w:rsid w:val="00DD1C00"/>
    <w:rsid w:val="00DD24F7"/>
    <w:rsid w:val="00DD273C"/>
    <w:rsid w:val="00DD3432"/>
    <w:rsid w:val="00DD34BA"/>
    <w:rsid w:val="00DD3E44"/>
    <w:rsid w:val="00DD3F28"/>
    <w:rsid w:val="00DD41AD"/>
    <w:rsid w:val="00DD4537"/>
    <w:rsid w:val="00DD4E15"/>
    <w:rsid w:val="00DD5A39"/>
    <w:rsid w:val="00DD6640"/>
    <w:rsid w:val="00DD66EC"/>
    <w:rsid w:val="00DD69EA"/>
    <w:rsid w:val="00DD6E6D"/>
    <w:rsid w:val="00DD6EE4"/>
    <w:rsid w:val="00DD78A9"/>
    <w:rsid w:val="00DD7E59"/>
    <w:rsid w:val="00DE01B8"/>
    <w:rsid w:val="00DE1ABB"/>
    <w:rsid w:val="00DE2330"/>
    <w:rsid w:val="00DE3138"/>
    <w:rsid w:val="00DE37F8"/>
    <w:rsid w:val="00DE3D66"/>
    <w:rsid w:val="00DE4C48"/>
    <w:rsid w:val="00DE4FCB"/>
    <w:rsid w:val="00DE531D"/>
    <w:rsid w:val="00DE6124"/>
    <w:rsid w:val="00DE6CA4"/>
    <w:rsid w:val="00DE7814"/>
    <w:rsid w:val="00DE7832"/>
    <w:rsid w:val="00DF0436"/>
    <w:rsid w:val="00DF0CC4"/>
    <w:rsid w:val="00DF0EE4"/>
    <w:rsid w:val="00DF18FC"/>
    <w:rsid w:val="00DF2EBB"/>
    <w:rsid w:val="00DF417C"/>
    <w:rsid w:val="00DF4728"/>
    <w:rsid w:val="00DF4875"/>
    <w:rsid w:val="00DF4FB9"/>
    <w:rsid w:val="00DF570E"/>
    <w:rsid w:val="00DF5D2B"/>
    <w:rsid w:val="00DF666C"/>
    <w:rsid w:val="00E008E7"/>
    <w:rsid w:val="00E00E8E"/>
    <w:rsid w:val="00E01C7A"/>
    <w:rsid w:val="00E02640"/>
    <w:rsid w:val="00E03AD2"/>
    <w:rsid w:val="00E03DB6"/>
    <w:rsid w:val="00E044C3"/>
    <w:rsid w:val="00E0509D"/>
    <w:rsid w:val="00E05319"/>
    <w:rsid w:val="00E05630"/>
    <w:rsid w:val="00E05BA4"/>
    <w:rsid w:val="00E06BD1"/>
    <w:rsid w:val="00E06DBB"/>
    <w:rsid w:val="00E10149"/>
    <w:rsid w:val="00E102B7"/>
    <w:rsid w:val="00E10416"/>
    <w:rsid w:val="00E124F2"/>
    <w:rsid w:val="00E14AB0"/>
    <w:rsid w:val="00E16372"/>
    <w:rsid w:val="00E20E4D"/>
    <w:rsid w:val="00E20E98"/>
    <w:rsid w:val="00E20ED6"/>
    <w:rsid w:val="00E21358"/>
    <w:rsid w:val="00E21616"/>
    <w:rsid w:val="00E21B4D"/>
    <w:rsid w:val="00E2249B"/>
    <w:rsid w:val="00E22A0D"/>
    <w:rsid w:val="00E23E19"/>
    <w:rsid w:val="00E24EED"/>
    <w:rsid w:val="00E2509C"/>
    <w:rsid w:val="00E27173"/>
    <w:rsid w:val="00E2771E"/>
    <w:rsid w:val="00E27DB9"/>
    <w:rsid w:val="00E30033"/>
    <w:rsid w:val="00E3075E"/>
    <w:rsid w:val="00E324BE"/>
    <w:rsid w:val="00E33753"/>
    <w:rsid w:val="00E33BD0"/>
    <w:rsid w:val="00E33F88"/>
    <w:rsid w:val="00E34948"/>
    <w:rsid w:val="00E34D30"/>
    <w:rsid w:val="00E34EF1"/>
    <w:rsid w:val="00E36224"/>
    <w:rsid w:val="00E37569"/>
    <w:rsid w:val="00E402B8"/>
    <w:rsid w:val="00E41E30"/>
    <w:rsid w:val="00E42005"/>
    <w:rsid w:val="00E434A0"/>
    <w:rsid w:val="00E43D70"/>
    <w:rsid w:val="00E455D7"/>
    <w:rsid w:val="00E459C0"/>
    <w:rsid w:val="00E46656"/>
    <w:rsid w:val="00E466F3"/>
    <w:rsid w:val="00E46A64"/>
    <w:rsid w:val="00E47B2C"/>
    <w:rsid w:val="00E5069F"/>
    <w:rsid w:val="00E51560"/>
    <w:rsid w:val="00E51A1B"/>
    <w:rsid w:val="00E52C6D"/>
    <w:rsid w:val="00E54347"/>
    <w:rsid w:val="00E54FA6"/>
    <w:rsid w:val="00E55424"/>
    <w:rsid w:val="00E55BB5"/>
    <w:rsid w:val="00E56102"/>
    <w:rsid w:val="00E56FFD"/>
    <w:rsid w:val="00E575C6"/>
    <w:rsid w:val="00E600E8"/>
    <w:rsid w:val="00E6076A"/>
    <w:rsid w:val="00E61A72"/>
    <w:rsid w:val="00E61AC2"/>
    <w:rsid w:val="00E62084"/>
    <w:rsid w:val="00E625E1"/>
    <w:rsid w:val="00E65DD8"/>
    <w:rsid w:val="00E65E79"/>
    <w:rsid w:val="00E6626A"/>
    <w:rsid w:val="00E66B42"/>
    <w:rsid w:val="00E66BA2"/>
    <w:rsid w:val="00E67416"/>
    <w:rsid w:val="00E712EE"/>
    <w:rsid w:val="00E713EA"/>
    <w:rsid w:val="00E718B6"/>
    <w:rsid w:val="00E723BA"/>
    <w:rsid w:val="00E72FBC"/>
    <w:rsid w:val="00E73581"/>
    <w:rsid w:val="00E7378E"/>
    <w:rsid w:val="00E73870"/>
    <w:rsid w:val="00E74241"/>
    <w:rsid w:val="00E75442"/>
    <w:rsid w:val="00E77ED5"/>
    <w:rsid w:val="00E808F4"/>
    <w:rsid w:val="00E82B8F"/>
    <w:rsid w:val="00E82BD1"/>
    <w:rsid w:val="00E833F7"/>
    <w:rsid w:val="00E83BDF"/>
    <w:rsid w:val="00E87A1D"/>
    <w:rsid w:val="00E905C0"/>
    <w:rsid w:val="00E90945"/>
    <w:rsid w:val="00E90A67"/>
    <w:rsid w:val="00E90B88"/>
    <w:rsid w:val="00E9170A"/>
    <w:rsid w:val="00E91762"/>
    <w:rsid w:val="00E926A5"/>
    <w:rsid w:val="00E926B4"/>
    <w:rsid w:val="00E92FC2"/>
    <w:rsid w:val="00E93816"/>
    <w:rsid w:val="00E94273"/>
    <w:rsid w:val="00E943E1"/>
    <w:rsid w:val="00E96795"/>
    <w:rsid w:val="00E96829"/>
    <w:rsid w:val="00E979B5"/>
    <w:rsid w:val="00E97B30"/>
    <w:rsid w:val="00E97DB1"/>
    <w:rsid w:val="00EA17C3"/>
    <w:rsid w:val="00EA2432"/>
    <w:rsid w:val="00EA275B"/>
    <w:rsid w:val="00EA291C"/>
    <w:rsid w:val="00EA2CAA"/>
    <w:rsid w:val="00EA3864"/>
    <w:rsid w:val="00EA4766"/>
    <w:rsid w:val="00EA4891"/>
    <w:rsid w:val="00EA633B"/>
    <w:rsid w:val="00EA7F03"/>
    <w:rsid w:val="00EB0069"/>
    <w:rsid w:val="00EB0077"/>
    <w:rsid w:val="00EB0603"/>
    <w:rsid w:val="00EB0907"/>
    <w:rsid w:val="00EB15B6"/>
    <w:rsid w:val="00EB21F9"/>
    <w:rsid w:val="00EB23B8"/>
    <w:rsid w:val="00EB4916"/>
    <w:rsid w:val="00EB4B1F"/>
    <w:rsid w:val="00EB66A6"/>
    <w:rsid w:val="00EB75A7"/>
    <w:rsid w:val="00EB7D56"/>
    <w:rsid w:val="00EC00C9"/>
    <w:rsid w:val="00EC04B4"/>
    <w:rsid w:val="00EC1129"/>
    <w:rsid w:val="00EC1410"/>
    <w:rsid w:val="00EC2620"/>
    <w:rsid w:val="00EC2649"/>
    <w:rsid w:val="00EC4B98"/>
    <w:rsid w:val="00EC59C0"/>
    <w:rsid w:val="00EC5D77"/>
    <w:rsid w:val="00EC63AB"/>
    <w:rsid w:val="00ED0214"/>
    <w:rsid w:val="00ED0A74"/>
    <w:rsid w:val="00ED0DDA"/>
    <w:rsid w:val="00ED1616"/>
    <w:rsid w:val="00ED1D02"/>
    <w:rsid w:val="00ED20A1"/>
    <w:rsid w:val="00ED2420"/>
    <w:rsid w:val="00ED25B3"/>
    <w:rsid w:val="00ED3EEE"/>
    <w:rsid w:val="00ED55FB"/>
    <w:rsid w:val="00ED57EA"/>
    <w:rsid w:val="00ED5C9F"/>
    <w:rsid w:val="00ED6326"/>
    <w:rsid w:val="00EE02E1"/>
    <w:rsid w:val="00EE07D3"/>
    <w:rsid w:val="00EE0DA0"/>
    <w:rsid w:val="00EE22AF"/>
    <w:rsid w:val="00EE4AB0"/>
    <w:rsid w:val="00EE4E57"/>
    <w:rsid w:val="00EE57F3"/>
    <w:rsid w:val="00EE7319"/>
    <w:rsid w:val="00EE7F7F"/>
    <w:rsid w:val="00EF0171"/>
    <w:rsid w:val="00EF075F"/>
    <w:rsid w:val="00EF0D1B"/>
    <w:rsid w:val="00EF0F85"/>
    <w:rsid w:val="00EF13C1"/>
    <w:rsid w:val="00EF17F4"/>
    <w:rsid w:val="00EF1B25"/>
    <w:rsid w:val="00EF2009"/>
    <w:rsid w:val="00EF22C6"/>
    <w:rsid w:val="00EF3942"/>
    <w:rsid w:val="00EF4747"/>
    <w:rsid w:val="00EF4AB3"/>
    <w:rsid w:val="00EF4BF8"/>
    <w:rsid w:val="00EF605B"/>
    <w:rsid w:val="00EF6152"/>
    <w:rsid w:val="00EF72E9"/>
    <w:rsid w:val="00F003A9"/>
    <w:rsid w:val="00F01280"/>
    <w:rsid w:val="00F02253"/>
    <w:rsid w:val="00F03C2E"/>
    <w:rsid w:val="00F03C3A"/>
    <w:rsid w:val="00F0490F"/>
    <w:rsid w:val="00F04A66"/>
    <w:rsid w:val="00F0516C"/>
    <w:rsid w:val="00F05A1E"/>
    <w:rsid w:val="00F05FC6"/>
    <w:rsid w:val="00F061DF"/>
    <w:rsid w:val="00F067A2"/>
    <w:rsid w:val="00F074A7"/>
    <w:rsid w:val="00F07B7E"/>
    <w:rsid w:val="00F100A3"/>
    <w:rsid w:val="00F112AA"/>
    <w:rsid w:val="00F11733"/>
    <w:rsid w:val="00F11B31"/>
    <w:rsid w:val="00F1228E"/>
    <w:rsid w:val="00F1263A"/>
    <w:rsid w:val="00F12DD2"/>
    <w:rsid w:val="00F1327A"/>
    <w:rsid w:val="00F133D9"/>
    <w:rsid w:val="00F1360A"/>
    <w:rsid w:val="00F13F07"/>
    <w:rsid w:val="00F14FAA"/>
    <w:rsid w:val="00F152E2"/>
    <w:rsid w:val="00F15319"/>
    <w:rsid w:val="00F16ACE"/>
    <w:rsid w:val="00F17F45"/>
    <w:rsid w:val="00F2016B"/>
    <w:rsid w:val="00F205D5"/>
    <w:rsid w:val="00F20A64"/>
    <w:rsid w:val="00F2184E"/>
    <w:rsid w:val="00F21B12"/>
    <w:rsid w:val="00F2261F"/>
    <w:rsid w:val="00F2309B"/>
    <w:rsid w:val="00F23E38"/>
    <w:rsid w:val="00F24650"/>
    <w:rsid w:val="00F24837"/>
    <w:rsid w:val="00F2575F"/>
    <w:rsid w:val="00F25C04"/>
    <w:rsid w:val="00F266D8"/>
    <w:rsid w:val="00F2695C"/>
    <w:rsid w:val="00F26C38"/>
    <w:rsid w:val="00F26DF9"/>
    <w:rsid w:val="00F26F59"/>
    <w:rsid w:val="00F27565"/>
    <w:rsid w:val="00F310D4"/>
    <w:rsid w:val="00F31D5A"/>
    <w:rsid w:val="00F3228D"/>
    <w:rsid w:val="00F32AC1"/>
    <w:rsid w:val="00F33DE9"/>
    <w:rsid w:val="00F3619A"/>
    <w:rsid w:val="00F36632"/>
    <w:rsid w:val="00F369F5"/>
    <w:rsid w:val="00F37D72"/>
    <w:rsid w:val="00F40AAA"/>
    <w:rsid w:val="00F40BA7"/>
    <w:rsid w:val="00F40DF7"/>
    <w:rsid w:val="00F41254"/>
    <w:rsid w:val="00F41D12"/>
    <w:rsid w:val="00F41EB9"/>
    <w:rsid w:val="00F43508"/>
    <w:rsid w:val="00F45AF4"/>
    <w:rsid w:val="00F467AF"/>
    <w:rsid w:val="00F46A9C"/>
    <w:rsid w:val="00F46CB6"/>
    <w:rsid w:val="00F4795D"/>
    <w:rsid w:val="00F47DE8"/>
    <w:rsid w:val="00F50076"/>
    <w:rsid w:val="00F512A6"/>
    <w:rsid w:val="00F51D54"/>
    <w:rsid w:val="00F5204B"/>
    <w:rsid w:val="00F52573"/>
    <w:rsid w:val="00F530C2"/>
    <w:rsid w:val="00F53E02"/>
    <w:rsid w:val="00F53E6B"/>
    <w:rsid w:val="00F53E7E"/>
    <w:rsid w:val="00F5404C"/>
    <w:rsid w:val="00F542C1"/>
    <w:rsid w:val="00F54398"/>
    <w:rsid w:val="00F5504D"/>
    <w:rsid w:val="00F55E73"/>
    <w:rsid w:val="00F55EDA"/>
    <w:rsid w:val="00F56331"/>
    <w:rsid w:val="00F57565"/>
    <w:rsid w:val="00F60092"/>
    <w:rsid w:val="00F60116"/>
    <w:rsid w:val="00F60799"/>
    <w:rsid w:val="00F6093A"/>
    <w:rsid w:val="00F61A73"/>
    <w:rsid w:val="00F62435"/>
    <w:rsid w:val="00F63186"/>
    <w:rsid w:val="00F64210"/>
    <w:rsid w:val="00F64299"/>
    <w:rsid w:val="00F642E7"/>
    <w:rsid w:val="00F64F79"/>
    <w:rsid w:val="00F65A64"/>
    <w:rsid w:val="00F65F4B"/>
    <w:rsid w:val="00F6610D"/>
    <w:rsid w:val="00F67D7F"/>
    <w:rsid w:val="00F70352"/>
    <w:rsid w:val="00F70ADC"/>
    <w:rsid w:val="00F70C9D"/>
    <w:rsid w:val="00F70D39"/>
    <w:rsid w:val="00F70DE0"/>
    <w:rsid w:val="00F71321"/>
    <w:rsid w:val="00F71998"/>
    <w:rsid w:val="00F72403"/>
    <w:rsid w:val="00F72453"/>
    <w:rsid w:val="00F73791"/>
    <w:rsid w:val="00F73F29"/>
    <w:rsid w:val="00F7459D"/>
    <w:rsid w:val="00F74CD9"/>
    <w:rsid w:val="00F74E47"/>
    <w:rsid w:val="00F75BCA"/>
    <w:rsid w:val="00F76AD0"/>
    <w:rsid w:val="00F773DC"/>
    <w:rsid w:val="00F77CF5"/>
    <w:rsid w:val="00F80A7B"/>
    <w:rsid w:val="00F80AD0"/>
    <w:rsid w:val="00F80E5D"/>
    <w:rsid w:val="00F81428"/>
    <w:rsid w:val="00F832D6"/>
    <w:rsid w:val="00F83802"/>
    <w:rsid w:val="00F83872"/>
    <w:rsid w:val="00F851CE"/>
    <w:rsid w:val="00F86FF5"/>
    <w:rsid w:val="00F87E96"/>
    <w:rsid w:val="00F904AA"/>
    <w:rsid w:val="00F90660"/>
    <w:rsid w:val="00F91219"/>
    <w:rsid w:val="00F915DF"/>
    <w:rsid w:val="00F9297F"/>
    <w:rsid w:val="00F929CD"/>
    <w:rsid w:val="00F92BBA"/>
    <w:rsid w:val="00F92E78"/>
    <w:rsid w:val="00F932B7"/>
    <w:rsid w:val="00F93586"/>
    <w:rsid w:val="00F93924"/>
    <w:rsid w:val="00F93C72"/>
    <w:rsid w:val="00F93CD2"/>
    <w:rsid w:val="00F94311"/>
    <w:rsid w:val="00F9442A"/>
    <w:rsid w:val="00F9445A"/>
    <w:rsid w:val="00F94CAC"/>
    <w:rsid w:val="00F96786"/>
    <w:rsid w:val="00F97A78"/>
    <w:rsid w:val="00F97B82"/>
    <w:rsid w:val="00FA0B20"/>
    <w:rsid w:val="00FA0C37"/>
    <w:rsid w:val="00FA0D42"/>
    <w:rsid w:val="00FA149E"/>
    <w:rsid w:val="00FA2328"/>
    <w:rsid w:val="00FA24E7"/>
    <w:rsid w:val="00FA44F5"/>
    <w:rsid w:val="00FA470A"/>
    <w:rsid w:val="00FA4D71"/>
    <w:rsid w:val="00FA55E6"/>
    <w:rsid w:val="00FA679B"/>
    <w:rsid w:val="00FA740B"/>
    <w:rsid w:val="00FA77B9"/>
    <w:rsid w:val="00FB0389"/>
    <w:rsid w:val="00FB08EF"/>
    <w:rsid w:val="00FB120A"/>
    <w:rsid w:val="00FB1BB7"/>
    <w:rsid w:val="00FB2FCB"/>
    <w:rsid w:val="00FB379E"/>
    <w:rsid w:val="00FB3E74"/>
    <w:rsid w:val="00FB44CE"/>
    <w:rsid w:val="00FB489D"/>
    <w:rsid w:val="00FB5434"/>
    <w:rsid w:val="00FB5AFF"/>
    <w:rsid w:val="00FB620C"/>
    <w:rsid w:val="00FB6290"/>
    <w:rsid w:val="00FB7725"/>
    <w:rsid w:val="00FC1074"/>
    <w:rsid w:val="00FC1884"/>
    <w:rsid w:val="00FC361C"/>
    <w:rsid w:val="00FC371D"/>
    <w:rsid w:val="00FC45F9"/>
    <w:rsid w:val="00FC4B92"/>
    <w:rsid w:val="00FC5F0B"/>
    <w:rsid w:val="00FC614C"/>
    <w:rsid w:val="00FC78C2"/>
    <w:rsid w:val="00FD0463"/>
    <w:rsid w:val="00FD0553"/>
    <w:rsid w:val="00FD0AE5"/>
    <w:rsid w:val="00FD1A91"/>
    <w:rsid w:val="00FD1BE1"/>
    <w:rsid w:val="00FD1E39"/>
    <w:rsid w:val="00FD2100"/>
    <w:rsid w:val="00FD27AB"/>
    <w:rsid w:val="00FD3325"/>
    <w:rsid w:val="00FD368A"/>
    <w:rsid w:val="00FD400C"/>
    <w:rsid w:val="00FD436C"/>
    <w:rsid w:val="00FD446D"/>
    <w:rsid w:val="00FD6394"/>
    <w:rsid w:val="00FD712B"/>
    <w:rsid w:val="00FE0181"/>
    <w:rsid w:val="00FE0E6C"/>
    <w:rsid w:val="00FE100E"/>
    <w:rsid w:val="00FE1246"/>
    <w:rsid w:val="00FE1C86"/>
    <w:rsid w:val="00FE1F28"/>
    <w:rsid w:val="00FE1F62"/>
    <w:rsid w:val="00FE3E11"/>
    <w:rsid w:val="00FE44F8"/>
    <w:rsid w:val="00FE600D"/>
    <w:rsid w:val="00FE651A"/>
    <w:rsid w:val="00FE694B"/>
    <w:rsid w:val="00FE6CF5"/>
    <w:rsid w:val="00FE6FC1"/>
    <w:rsid w:val="00FE70C3"/>
    <w:rsid w:val="00FE791F"/>
    <w:rsid w:val="00FF022A"/>
    <w:rsid w:val="00FF0360"/>
    <w:rsid w:val="00FF1CAB"/>
    <w:rsid w:val="00FF263E"/>
    <w:rsid w:val="00FF271E"/>
    <w:rsid w:val="00FF3DCF"/>
    <w:rsid w:val="00FF492C"/>
    <w:rsid w:val="00FF4A21"/>
    <w:rsid w:val="00FF4E67"/>
    <w:rsid w:val="00FF4FBC"/>
    <w:rsid w:val="00FF515A"/>
    <w:rsid w:val="00FF5AA3"/>
    <w:rsid w:val="00FF5AD8"/>
    <w:rsid w:val="00FF77F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F5F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1A3"/>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99"/>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124A51"/>
    <w:rPr>
      <w:rFonts w:ascii="Cambria" w:hAnsi="Cambria"/>
      <w:b/>
      <w:bCs/>
      <w:snapToGrid w:val="0"/>
      <w:kern w:val="28"/>
      <w:sz w:val="32"/>
      <w:szCs w:val="32"/>
      <w:lang w:eastAsia="en-US"/>
    </w:rPr>
  </w:style>
  <w:style w:type="paragraph" w:styleId="BodyText">
    <w:name w:val="Body Text"/>
    <w:basedOn w:val="Normal"/>
    <w:link w:val="BodyTextChar"/>
    <w:uiPriority w:val="99"/>
    <w:qFormat/>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Numbered para,BulletPoints,List Paragraph1,Figure_name,Numbered Indented Text,Bullet- First level,List NUmber,Listenabsatz1,lp1,List Paragraph11,Style 2,TOC style,List Paragraph2,List Paragraph Char Char,Number_1,SGLText List Paragraph"/>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Figure_name Char,Numbered Indented Text Char,Bullet- First level Char,List NUmber Char,Listenabsatz1 Char,lp1 Char,List Paragraph11 Char,Style 2 Char,TOC style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ASD Table,Header Table,NICE instructions,Source table_,HealthConsult,Dossier table,CMA Table Templat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uiPriority w:val="99"/>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99"/>
    <w:rsid w:val="00D0262E"/>
    <w:pPr>
      <w:ind w:left="660"/>
      <w:jc w:val="left"/>
    </w:pPr>
    <w:rPr>
      <w:rFonts w:asciiTheme="minorHAnsi" w:hAnsiTheme="minorHAnsi"/>
      <w:sz w:val="20"/>
    </w:rPr>
  </w:style>
  <w:style w:type="paragraph" w:styleId="TOC5">
    <w:name w:val="toc 5"/>
    <w:basedOn w:val="Normal"/>
    <w:next w:val="Normal"/>
    <w:autoRedefine/>
    <w:uiPriority w:val="99"/>
    <w:rsid w:val="00D0262E"/>
    <w:pPr>
      <w:ind w:left="880"/>
      <w:jc w:val="left"/>
    </w:pPr>
    <w:rPr>
      <w:rFonts w:asciiTheme="minorHAnsi" w:hAnsiTheme="minorHAnsi"/>
      <w:sz w:val="20"/>
    </w:rPr>
  </w:style>
  <w:style w:type="paragraph" w:styleId="TOC6">
    <w:name w:val="toc 6"/>
    <w:basedOn w:val="Normal"/>
    <w:next w:val="Normal"/>
    <w:autoRedefine/>
    <w:uiPriority w:val="99"/>
    <w:rsid w:val="00D0262E"/>
    <w:pPr>
      <w:ind w:left="1100"/>
      <w:jc w:val="left"/>
    </w:pPr>
    <w:rPr>
      <w:rFonts w:asciiTheme="minorHAnsi" w:hAnsiTheme="minorHAnsi"/>
      <w:sz w:val="20"/>
    </w:rPr>
  </w:style>
  <w:style w:type="paragraph" w:styleId="TOC7">
    <w:name w:val="toc 7"/>
    <w:basedOn w:val="Normal"/>
    <w:next w:val="Normal"/>
    <w:autoRedefine/>
    <w:uiPriority w:val="99"/>
    <w:rsid w:val="00D0262E"/>
    <w:pPr>
      <w:ind w:left="1320"/>
      <w:jc w:val="left"/>
    </w:pPr>
    <w:rPr>
      <w:rFonts w:asciiTheme="minorHAnsi" w:hAnsiTheme="minorHAnsi"/>
      <w:sz w:val="20"/>
    </w:rPr>
  </w:style>
  <w:style w:type="paragraph" w:styleId="TOC8">
    <w:name w:val="toc 8"/>
    <w:basedOn w:val="Normal"/>
    <w:next w:val="Normal"/>
    <w:autoRedefine/>
    <w:uiPriority w:val="99"/>
    <w:rsid w:val="00D0262E"/>
    <w:pPr>
      <w:ind w:left="1540"/>
      <w:jc w:val="left"/>
    </w:pPr>
    <w:rPr>
      <w:rFonts w:asciiTheme="minorHAnsi" w:hAnsiTheme="minorHAnsi"/>
      <w:sz w:val="20"/>
    </w:rPr>
  </w:style>
  <w:style w:type="paragraph" w:styleId="TOC9">
    <w:name w:val="toc 9"/>
    <w:basedOn w:val="Normal"/>
    <w:next w:val="Normal"/>
    <w:autoRedefine/>
    <w:uiPriority w:val="99"/>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3"/>
      </w:numPr>
      <w:spacing w:after="0"/>
    </w:pPr>
    <w:rPr>
      <w:szCs w:val="24"/>
    </w:rPr>
  </w:style>
  <w:style w:type="paragraph" w:customStyle="1" w:styleId="TableName">
    <w:name w:val="TableName"/>
    <w:basedOn w:val="Normal"/>
    <w:uiPriority w:val="99"/>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uiPriority w:val="99"/>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99"/>
    <w:rsid w:val="00B50DB8"/>
    <w:rPr>
      <w:lang w:eastAsia="en-US"/>
    </w:rPr>
  </w:style>
  <w:style w:type="paragraph" w:styleId="Subtitle">
    <w:name w:val="Subtitle"/>
    <w:basedOn w:val="Normal"/>
    <w:link w:val="SubtitleChar"/>
    <w:uiPriority w:val="99"/>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9E51A3"/>
    <w:pPr>
      <w:numPr>
        <w:numId w:val="2"/>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uiPriority w:val="99"/>
    <w:qFormat/>
    <w:rsid w:val="00B53654"/>
    <w:rPr>
      <w:i/>
      <w:szCs w:val="24"/>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basedOn w:val="Normal"/>
    <w:link w:val="TableTextChar0"/>
    <w:qFormat/>
    <w:rsid w:val="005F1BDF"/>
    <w:pPr>
      <w:keepNext/>
      <w:widowControl/>
      <w:spacing w:before="40" w:after="40"/>
      <w:jc w:val="left"/>
    </w:pPr>
    <w:rPr>
      <w:rFonts w:ascii="Arial Narrow" w:eastAsiaTheme="minorHAnsi" w:hAnsi="Arial Narrow" w:cstheme="minorBidi"/>
      <w:snapToGrid/>
      <w:sz w:val="20"/>
    </w:rPr>
  </w:style>
  <w:style w:type="character" w:customStyle="1" w:styleId="TableTextChar0">
    <w:name w:val="Table Text Char"/>
    <w:basedOn w:val="DefaultParagraphFont"/>
    <w:link w:val="TableText0"/>
    <w:rsid w:val="0083311E"/>
    <w:rPr>
      <w:rFonts w:ascii="Arial Narrow" w:eastAsiaTheme="minorHAnsi" w:hAnsi="Arial Narrow" w:cstheme="minorBidi"/>
      <w:szCs w:val="22"/>
      <w:lang w:eastAsia="en-US"/>
    </w:rPr>
  </w:style>
  <w:style w:type="paragraph" w:styleId="FootnoteText">
    <w:name w:val="footnote text"/>
    <w:basedOn w:val="Normal"/>
    <w:link w:val="FootnoteTextChar"/>
    <w:uiPriority w:val="99"/>
    <w:semiHidden/>
    <w:unhideWhenUsed/>
    <w:rsid w:val="001218F6"/>
    <w:rPr>
      <w:sz w:val="20"/>
      <w:szCs w:val="20"/>
    </w:rPr>
  </w:style>
  <w:style w:type="character" w:customStyle="1" w:styleId="FootnoteTextChar">
    <w:name w:val="Footnote Text Char"/>
    <w:basedOn w:val="DefaultParagraphFont"/>
    <w:link w:val="FootnoteText"/>
    <w:uiPriority w:val="99"/>
    <w:semiHidden/>
    <w:rsid w:val="001218F6"/>
    <w:rPr>
      <w:rFonts w:ascii="Calibri" w:hAnsi="Calibri" w:cs="Arial"/>
      <w:snapToGrid w:val="0"/>
      <w:lang w:eastAsia="en-US"/>
    </w:rPr>
  </w:style>
  <w:style w:type="character" w:styleId="FootnoteReference">
    <w:name w:val="footnote reference"/>
    <w:basedOn w:val="DefaultParagraphFont"/>
    <w:semiHidden/>
    <w:unhideWhenUsed/>
    <w:rsid w:val="001218F6"/>
    <w:rPr>
      <w:vertAlign w:val="superscript"/>
    </w:rPr>
  </w:style>
  <w:style w:type="table" w:styleId="LightShading-Accent3">
    <w:name w:val="Light Shading Accent 3"/>
    <w:basedOn w:val="TableNormal"/>
    <w:uiPriority w:val="60"/>
    <w:rsid w:val="00732D43"/>
    <w:rPr>
      <w:rFonts w:asciiTheme="majorHAnsi" w:eastAsiaTheme="majorEastAsia" w:hAnsiTheme="majorHAnsi" w:cstheme="maj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pPr>
      <w:rPr>
        <w:rFonts w:cstheme="majorBid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pPr>
      <w:rPr>
        <w:rFonts w:cstheme="majorBidi"/>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rFonts w:cstheme="majorBidi"/>
        <w:b/>
        <w:bCs/>
      </w:rPr>
    </w:tblStylePr>
    <w:tblStylePr w:type="lastCol">
      <w:rPr>
        <w:rFonts w:cstheme="majorBidi"/>
        <w:b/>
        <w:bCs/>
      </w:rPr>
    </w:tblStylePr>
    <w:tblStylePr w:type="band1Vert">
      <w:rPr>
        <w:rFonts w:cstheme="majorBidi"/>
      </w:rPr>
      <w:tblPr/>
      <w:tcPr>
        <w:tcBorders>
          <w:left w:val="nil"/>
          <w:right w:val="nil"/>
          <w:insideH w:val="nil"/>
          <w:insideV w:val="nil"/>
        </w:tcBorders>
        <w:shd w:val="clear" w:color="auto" w:fill="E6EED5" w:themeFill="accent3" w:themeFillTint="3F"/>
      </w:tcPr>
    </w:tblStylePr>
    <w:tblStylePr w:type="band1Horz">
      <w:rPr>
        <w:rFonts w:cstheme="majorBidi"/>
      </w:rPr>
      <w:tblPr/>
      <w:tcPr>
        <w:tcBorders>
          <w:left w:val="nil"/>
          <w:right w:val="nil"/>
          <w:insideH w:val="nil"/>
          <w:insideV w:val="nil"/>
        </w:tcBorders>
        <w:shd w:val="clear" w:color="auto" w:fill="E6EED5" w:themeFill="accent3" w:themeFillTint="3F"/>
      </w:tcPr>
    </w:tblStylePr>
  </w:style>
  <w:style w:type="character" w:styleId="IntenseEmphasis">
    <w:name w:val="Intense Emphasis"/>
    <w:basedOn w:val="DefaultParagraphFont"/>
    <w:uiPriority w:val="21"/>
    <w:qFormat/>
    <w:rsid w:val="00732D43"/>
    <w:rPr>
      <w:b/>
      <w:i/>
    </w:rPr>
  </w:style>
  <w:style w:type="character" w:styleId="IntenseReference">
    <w:name w:val="Intense Reference"/>
    <w:basedOn w:val="DefaultParagraphFont"/>
    <w:uiPriority w:val="32"/>
    <w:qFormat/>
    <w:rsid w:val="000A0A80"/>
    <w:rPr>
      <w:b/>
      <w:smallCaps/>
    </w:rPr>
  </w:style>
  <w:style w:type="paragraph" w:customStyle="1" w:styleId="TableTextCA">
    <w:name w:val="Table Text CA"/>
    <w:basedOn w:val="Normal"/>
    <w:uiPriority w:val="99"/>
    <w:rsid w:val="00776E2E"/>
    <w:pPr>
      <w:widowControl/>
      <w:spacing w:before="40" w:after="40"/>
      <w:jc w:val="center"/>
    </w:pPr>
    <w:rPr>
      <w:rFonts w:ascii="Arial Narrow" w:eastAsiaTheme="minorHAnsi" w:hAnsi="Arial Narrow" w:cstheme="minorBidi"/>
      <w:snapToGrid/>
      <w:sz w:val="20"/>
    </w:rPr>
  </w:style>
  <w:style w:type="table" w:customStyle="1" w:styleId="Sourcetable1">
    <w:name w:val="Source table_1"/>
    <w:basedOn w:val="TableNormal"/>
    <w:next w:val="TableGrid"/>
    <w:uiPriority w:val="39"/>
    <w:rsid w:val="008A66EC"/>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ableHeading">
    <w:name w:val="In-table Heading"/>
    <w:uiPriority w:val="99"/>
    <w:qFormat/>
    <w:rsid w:val="008A66EC"/>
    <w:pPr>
      <w:keepNext/>
    </w:pPr>
    <w:rPr>
      <w:rFonts w:ascii="Arial Narrow" w:eastAsiaTheme="majorEastAsia" w:hAnsi="Arial Narrow"/>
      <w:b/>
      <w:szCs w:val="24"/>
      <w:lang w:val="en-US"/>
    </w:rPr>
  </w:style>
  <w:style w:type="character" w:customStyle="1" w:styleId="Heading1Char">
    <w:name w:val="Heading 1 Char"/>
    <w:basedOn w:val="DefaultParagraphFont"/>
    <w:link w:val="Heading1"/>
    <w:rsid w:val="004A0532"/>
    <w:rPr>
      <w:rFonts w:ascii="Calibri" w:hAnsi="Calibri" w:cs="Arial"/>
      <w:b/>
      <w:caps/>
      <w:snapToGrid w:val="0"/>
      <w:sz w:val="32"/>
      <w:szCs w:val="22"/>
      <w:lang w:eastAsia="en-US"/>
    </w:rPr>
  </w:style>
  <w:style w:type="character" w:customStyle="1" w:styleId="Heading3Char">
    <w:name w:val="Heading 3 Char"/>
    <w:basedOn w:val="DefaultParagraphFont"/>
    <w:link w:val="Heading3"/>
    <w:rsid w:val="004A0532"/>
    <w:rPr>
      <w:rFonts w:ascii="Calibri" w:hAnsi="Calibri" w:cs="Arial"/>
      <w:snapToGrid w:val="0"/>
      <w:sz w:val="24"/>
      <w:szCs w:val="22"/>
      <w:u w:val="single"/>
      <w:lang w:eastAsia="en-US"/>
    </w:rPr>
  </w:style>
  <w:style w:type="character" w:customStyle="1" w:styleId="Heading4Char">
    <w:name w:val="Heading 4 Char"/>
    <w:basedOn w:val="DefaultParagraphFont"/>
    <w:link w:val="Heading4"/>
    <w:rsid w:val="004A0532"/>
    <w:rPr>
      <w:rFonts w:ascii="Calibri" w:hAnsi="Calibri" w:cs="Arial"/>
      <w:b/>
      <w:bCs/>
      <w:i/>
      <w:snapToGrid w:val="0"/>
      <w:sz w:val="26"/>
      <w:szCs w:val="28"/>
      <w:lang w:eastAsia="en-US"/>
    </w:rPr>
  </w:style>
  <w:style w:type="character" w:customStyle="1" w:styleId="Heading5Char">
    <w:name w:val="Heading 5 Char"/>
    <w:basedOn w:val="DefaultParagraphFont"/>
    <w:link w:val="Heading5"/>
    <w:rsid w:val="004A0532"/>
    <w:rPr>
      <w:rFonts w:ascii="Calibri" w:hAnsi="Calibri" w:cs="Arial"/>
      <w:b/>
      <w:bCs/>
      <w:iCs/>
      <w:snapToGrid w:val="0"/>
      <w:sz w:val="26"/>
      <w:szCs w:val="26"/>
      <w:lang w:eastAsia="en-US"/>
    </w:rPr>
  </w:style>
  <w:style w:type="character" w:customStyle="1" w:styleId="Heading6Char">
    <w:name w:val="Heading 6 Char"/>
    <w:basedOn w:val="DefaultParagraphFont"/>
    <w:link w:val="Heading6"/>
    <w:rsid w:val="004A0532"/>
    <w:rPr>
      <w:rFonts w:ascii="Calibri" w:hAnsi="Calibri" w:cs="Arial"/>
      <w:b/>
      <w:bCs/>
      <w:i/>
      <w:snapToGrid w:val="0"/>
      <w:sz w:val="24"/>
      <w:szCs w:val="22"/>
      <w:lang w:eastAsia="en-US"/>
    </w:rPr>
  </w:style>
  <w:style w:type="paragraph" w:customStyle="1" w:styleId="msonormal0">
    <w:name w:val="msonormal"/>
    <w:basedOn w:val="Normal"/>
    <w:uiPriority w:val="99"/>
    <w:rsid w:val="004A0532"/>
    <w:pPr>
      <w:widowControl/>
      <w:spacing w:before="100" w:after="100"/>
      <w:jc w:val="left"/>
    </w:pPr>
    <w:rPr>
      <w:rFonts w:ascii="Times New Roman" w:hAnsi="Times New Roman" w:cs="Times New Roman"/>
      <w:snapToGrid/>
      <w:lang w:val="en-GB"/>
    </w:rPr>
  </w:style>
  <w:style w:type="character" w:customStyle="1" w:styleId="HeaderChar1">
    <w:name w:val="Header Char1"/>
    <w:aliases w:val="Page Header Char1,Header title Char1,he=header Char1,cntr/bld Char1"/>
    <w:basedOn w:val="DefaultParagraphFont"/>
    <w:uiPriority w:val="99"/>
    <w:semiHidden/>
    <w:rsid w:val="004A0532"/>
    <w:rPr>
      <w:rFonts w:ascii="Calibri" w:hAnsi="Calibri" w:cs="Arial"/>
      <w:sz w:val="24"/>
      <w:szCs w:val="22"/>
      <w:lang w:eastAsia="en-US"/>
    </w:rPr>
  </w:style>
  <w:style w:type="paragraph" w:customStyle="1" w:styleId="3-SubsectionHeading">
    <w:name w:val="3-Subsection Heading"/>
    <w:basedOn w:val="Heading2"/>
    <w:next w:val="Normal"/>
    <w:link w:val="3-SubsectionHeadingChar"/>
    <w:qFormat/>
    <w:rsid w:val="001C4799"/>
    <w:pPr>
      <w:keepNext/>
      <w:widowControl/>
      <w:spacing w:before="120" w:after="120"/>
      <w:outlineLvl w:val="9"/>
    </w:pPr>
    <w:rPr>
      <w:rFonts w:asciiTheme="minorHAnsi" w:eastAsiaTheme="majorEastAsia" w:hAnsiTheme="minorHAnsi" w:cstheme="majorBidi"/>
      <w:snapToGrid/>
      <w:spacing w:val="5"/>
      <w:kern w:val="28"/>
      <w:szCs w:val="36"/>
    </w:rPr>
  </w:style>
  <w:style w:type="character" w:customStyle="1" w:styleId="3-SubsectionHeadingChar">
    <w:name w:val="3-Subsection Heading Char"/>
    <w:basedOn w:val="Heading2Char"/>
    <w:link w:val="3-SubsectionHeading"/>
    <w:rsid w:val="001C4799"/>
    <w:rPr>
      <w:rFonts w:asciiTheme="minorHAnsi" w:eastAsiaTheme="majorEastAsia" w:hAnsiTheme="minorHAnsi" w:cstheme="majorBidi"/>
      <w:b/>
      <w:i/>
      <w:snapToGrid/>
      <w:spacing w:val="5"/>
      <w:kern w:val="28"/>
      <w:sz w:val="28"/>
      <w:szCs w:val="36"/>
      <w:lang w:eastAsia="en-US"/>
    </w:rPr>
  </w:style>
  <w:style w:type="paragraph" w:customStyle="1" w:styleId="2-SectionHeading">
    <w:name w:val="2-Section Heading"/>
    <w:qFormat/>
    <w:rsid w:val="00151527"/>
    <w:pPr>
      <w:keepNext/>
      <w:spacing w:before="240" w:after="120"/>
      <w:outlineLvl w:val="1"/>
    </w:pPr>
    <w:rPr>
      <w:rFonts w:asciiTheme="minorHAnsi" w:hAnsiTheme="minorHAnsi" w:cs="Arial"/>
      <w:b/>
      <w:snapToGrid w:val="0"/>
      <w:sz w:val="32"/>
      <w:szCs w:val="32"/>
    </w:rPr>
  </w:style>
  <w:style w:type="paragraph" w:customStyle="1" w:styleId="Default">
    <w:name w:val="Default"/>
    <w:rsid w:val="001F567D"/>
    <w:pPr>
      <w:autoSpaceDE w:val="0"/>
      <w:autoSpaceDN w:val="0"/>
      <w:adjustRightInd w:val="0"/>
    </w:pPr>
    <w:rPr>
      <w:rFonts w:ascii="Calibri" w:hAnsi="Calibri" w:cs="Calibri"/>
      <w:color w:val="000000"/>
      <w:sz w:val="24"/>
      <w:szCs w:val="24"/>
    </w:rPr>
  </w:style>
  <w:style w:type="paragraph" w:styleId="BodyText3">
    <w:name w:val="Body Text 3"/>
    <w:basedOn w:val="Normal"/>
    <w:link w:val="BodyText3Char"/>
    <w:semiHidden/>
    <w:unhideWhenUsed/>
    <w:rsid w:val="003D508A"/>
    <w:pPr>
      <w:spacing w:after="120"/>
    </w:pPr>
    <w:rPr>
      <w:sz w:val="16"/>
      <w:szCs w:val="16"/>
    </w:rPr>
  </w:style>
  <w:style w:type="character" w:customStyle="1" w:styleId="BodyText3Char">
    <w:name w:val="Body Text 3 Char"/>
    <w:basedOn w:val="DefaultParagraphFont"/>
    <w:link w:val="BodyText3"/>
    <w:semiHidden/>
    <w:rsid w:val="003D508A"/>
    <w:rPr>
      <w:rFonts w:ascii="Calibri" w:hAnsi="Calibri" w:cs="Arial"/>
      <w:snapToGrid w:val="0"/>
      <w:sz w:val="16"/>
      <w:szCs w:val="16"/>
      <w:lang w:eastAsia="en-US"/>
    </w:rPr>
  </w:style>
  <w:style w:type="paragraph" w:customStyle="1" w:styleId="3-BodyText">
    <w:name w:val="3-Body Text"/>
    <w:basedOn w:val="ListParagraph"/>
    <w:qFormat/>
    <w:rsid w:val="005F6038"/>
    <w:pPr>
      <w:widowControl/>
      <w:spacing w:after="120"/>
      <w:ind w:hanging="720"/>
    </w:pPr>
    <w:rPr>
      <w:rFonts w:asciiTheme="minorHAnsi" w:hAnsiTheme="minorHAnsi"/>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865">
      <w:bodyDiv w:val="1"/>
      <w:marLeft w:val="0"/>
      <w:marRight w:val="0"/>
      <w:marTop w:val="0"/>
      <w:marBottom w:val="0"/>
      <w:divBdr>
        <w:top w:val="none" w:sz="0" w:space="0" w:color="auto"/>
        <w:left w:val="none" w:sz="0" w:space="0" w:color="auto"/>
        <w:bottom w:val="none" w:sz="0" w:space="0" w:color="auto"/>
        <w:right w:val="none" w:sz="0" w:space="0" w:color="auto"/>
      </w:divBdr>
      <w:divsChild>
        <w:div w:id="675232859">
          <w:marLeft w:val="0"/>
          <w:marRight w:val="0"/>
          <w:marTop w:val="0"/>
          <w:marBottom w:val="0"/>
          <w:divBdr>
            <w:top w:val="none" w:sz="0" w:space="0" w:color="auto"/>
            <w:left w:val="none" w:sz="0" w:space="0" w:color="auto"/>
            <w:bottom w:val="none" w:sz="0" w:space="0" w:color="auto"/>
            <w:right w:val="none" w:sz="0" w:space="0" w:color="auto"/>
          </w:divBdr>
          <w:divsChild>
            <w:div w:id="389309461">
              <w:marLeft w:val="0"/>
              <w:marRight w:val="0"/>
              <w:marTop w:val="0"/>
              <w:marBottom w:val="0"/>
              <w:divBdr>
                <w:top w:val="none" w:sz="0" w:space="0" w:color="auto"/>
                <w:left w:val="none" w:sz="0" w:space="0" w:color="auto"/>
                <w:bottom w:val="none" w:sz="0" w:space="0" w:color="auto"/>
                <w:right w:val="none" w:sz="0" w:space="0" w:color="auto"/>
              </w:divBdr>
              <w:divsChild>
                <w:div w:id="105466760">
                  <w:marLeft w:val="0"/>
                  <w:marRight w:val="0"/>
                  <w:marTop w:val="0"/>
                  <w:marBottom w:val="0"/>
                  <w:divBdr>
                    <w:top w:val="none" w:sz="0" w:space="0" w:color="auto"/>
                    <w:left w:val="none" w:sz="0" w:space="0" w:color="auto"/>
                    <w:bottom w:val="none" w:sz="0" w:space="0" w:color="auto"/>
                    <w:right w:val="none" w:sz="0" w:space="0" w:color="auto"/>
                  </w:divBdr>
                  <w:divsChild>
                    <w:div w:id="1834711569">
                      <w:marLeft w:val="0"/>
                      <w:marRight w:val="0"/>
                      <w:marTop w:val="0"/>
                      <w:marBottom w:val="0"/>
                      <w:divBdr>
                        <w:top w:val="none" w:sz="0" w:space="0" w:color="auto"/>
                        <w:left w:val="none" w:sz="0" w:space="0" w:color="auto"/>
                        <w:bottom w:val="none" w:sz="0" w:space="0" w:color="auto"/>
                        <w:right w:val="none" w:sz="0" w:space="0" w:color="auto"/>
                      </w:divBdr>
                      <w:divsChild>
                        <w:div w:id="520895415">
                          <w:marLeft w:val="0"/>
                          <w:marRight w:val="0"/>
                          <w:marTop w:val="0"/>
                          <w:marBottom w:val="0"/>
                          <w:divBdr>
                            <w:top w:val="none" w:sz="0" w:space="0" w:color="auto"/>
                            <w:left w:val="none" w:sz="0" w:space="0" w:color="auto"/>
                            <w:bottom w:val="none" w:sz="0" w:space="0" w:color="auto"/>
                            <w:right w:val="none" w:sz="0" w:space="0" w:color="auto"/>
                          </w:divBdr>
                          <w:divsChild>
                            <w:div w:id="11209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68282">
      <w:bodyDiv w:val="1"/>
      <w:marLeft w:val="0"/>
      <w:marRight w:val="0"/>
      <w:marTop w:val="0"/>
      <w:marBottom w:val="0"/>
      <w:divBdr>
        <w:top w:val="none" w:sz="0" w:space="0" w:color="auto"/>
        <w:left w:val="none" w:sz="0" w:space="0" w:color="auto"/>
        <w:bottom w:val="none" w:sz="0" w:space="0" w:color="auto"/>
        <w:right w:val="none" w:sz="0" w:space="0" w:color="auto"/>
      </w:divBdr>
    </w:div>
    <w:div w:id="852187093">
      <w:bodyDiv w:val="1"/>
      <w:marLeft w:val="0"/>
      <w:marRight w:val="0"/>
      <w:marTop w:val="0"/>
      <w:marBottom w:val="0"/>
      <w:divBdr>
        <w:top w:val="none" w:sz="0" w:space="0" w:color="auto"/>
        <w:left w:val="none" w:sz="0" w:space="0" w:color="auto"/>
        <w:bottom w:val="none" w:sz="0" w:space="0" w:color="auto"/>
        <w:right w:val="none" w:sz="0" w:space="0" w:color="auto"/>
      </w:divBdr>
    </w:div>
    <w:div w:id="862591942">
      <w:bodyDiv w:val="1"/>
      <w:marLeft w:val="0"/>
      <w:marRight w:val="0"/>
      <w:marTop w:val="0"/>
      <w:marBottom w:val="0"/>
      <w:divBdr>
        <w:top w:val="none" w:sz="0" w:space="0" w:color="auto"/>
        <w:left w:val="none" w:sz="0" w:space="0" w:color="auto"/>
        <w:bottom w:val="none" w:sz="0" w:space="0" w:color="auto"/>
        <w:right w:val="none" w:sz="0" w:space="0" w:color="auto"/>
      </w:divBdr>
    </w:div>
    <w:div w:id="951547798">
      <w:bodyDiv w:val="1"/>
      <w:marLeft w:val="0"/>
      <w:marRight w:val="0"/>
      <w:marTop w:val="0"/>
      <w:marBottom w:val="0"/>
      <w:divBdr>
        <w:top w:val="none" w:sz="0" w:space="0" w:color="auto"/>
        <w:left w:val="none" w:sz="0" w:space="0" w:color="auto"/>
        <w:bottom w:val="none" w:sz="0" w:space="0" w:color="auto"/>
        <w:right w:val="none" w:sz="0" w:space="0" w:color="auto"/>
      </w:divBdr>
    </w:div>
    <w:div w:id="951980012">
      <w:bodyDiv w:val="1"/>
      <w:marLeft w:val="0"/>
      <w:marRight w:val="0"/>
      <w:marTop w:val="0"/>
      <w:marBottom w:val="0"/>
      <w:divBdr>
        <w:top w:val="none" w:sz="0" w:space="0" w:color="auto"/>
        <w:left w:val="none" w:sz="0" w:space="0" w:color="auto"/>
        <w:bottom w:val="none" w:sz="0" w:space="0" w:color="auto"/>
        <w:right w:val="none" w:sz="0" w:space="0" w:color="auto"/>
      </w:divBdr>
    </w:div>
    <w:div w:id="1227762575">
      <w:bodyDiv w:val="1"/>
      <w:marLeft w:val="0"/>
      <w:marRight w:val="0"/>
      <w:marTop w:val="0"/>
      <w:marBottom w:val="0"/>
      <w:divBdr>
        <w:top w:val="none" w:sz="0" w:space="0" w:color="auto"/>
        <w:left w:val="none" w:sz="0" w:space="0" w:color="auto"/>
        <w:bottom w:val="none" w:sz="0" w:space="0" w:color="auto"/>
        <w:right w:val="none" w:sz="0" w:space="0" w:color="auto"/>
      </w:divBdr>
    </w:div>
    <w:div w:id="1274095186">
      <w:bodyDiv w:val="1"/>
      <w:marLeft w:val="0"/>
      <w:marRight w:val="0"/>
      <w:marTop w:val="0"/>
      <w:marBottom w:val="0"/>
      <w:divBdr>
        <w:top w:val="none" w:sz="0" w:space="0" w:color="auto"/>
        <w:left w:val="none" w:sz="0" w:space="0" w:color="auto"/>
        <w:bottom w:val="none" w:sz="0" w:space="0" w:color="auto"/>
        <w:right w:val="none" w:sz="0" w:space="0" w:color="auto"/>
      </w:divBdr>
    </w:div>
    <w:div w:id="1393458850">
      <w:bodyDiv w:val="1"/>
      <w:marLeft w:val="0"/>
      <w:marRight w:val="0"/>
      <w:marTop w:val="0"/>
      <w:marBottom w:val="0"/>
      <w:divBdr>
        <w:top w:val="none" w:sz="0" w:space="0" w:color="auto"/>
        <w:left w:val="none" w:sz="0" w:space="0" w:color="auto"/>
        <w:bottom w:val="none" w:sz="0" w:space="0" w:color="auto"/>
        <w:right w:val="none" w:sz="0" w:space="0" w:color="auto"/>
      </w:divBdr>
    </w:div>
    <w:div w:id="1624187826">
      <w:bodyDiv w:val="1"/>
      <w:marLeft w:val="0"/>
      <w:marRight w:val="0"/>
      <w:marTop w:val="0"/>
      <w:marBottom w:val="0"/>
      <w:divBdr>
        <w:top w:val="none" w:sz="0" w:space="0" w:color="auto"/>
        <w:left w:val="none" w:sz="0" w:space="0" w:color="auto"/>
        <w:bottom w:val="none" w:sz="0" w:space="0" w:color="auto"/>
        <w:right w:val="none" w:sz="0" w:space="0" w:color="auto"/>
      </w:divBdr>
    </w:div>
    <w:div w:id="1851800363">
      <w:bodyDiv w:val="1"/>
      <w:marLeft w:val="0"/>
      <w:marRight w:val="0"/>
      <w:marTop w:val="0"/>
      <w:marBottom w:val="0"/>
      <w:divBdr>
        <w:top w:val="none" w:sz="0" w:space="0" w:color="auto"/>
        <w:left w:val="none" w:sz="0" w:space="0" w:color="auto"/>
        <w:bottom w:val="none" w:sz="0" w:space="0" w:color="auto"/>
        <w:right w:val="none" w:sz="0" w:space="0" w:color="auto"/>
      </w:divBdr>
      <w:divsChild>
        <w:div w:id="1834179913">
          <w:marLeft w:val="0"/>
          <w:marRight w:val="0"/>
          <w:marTop w:val="0"/>
          <w:marBottom w:val="0"/>
          <w:divBdr>
            <w:top w:val="none" w:sz="0" w:space="0" w:color="auto"/>
            <w:left w:val="none" w:sz="0" w:space="0" w:color="auto"/>
            <w:bottom w:val="none" w:sz="0" w:space="0" w:color="auto"/>
            <w:right w:val="none" w:sz="0" w:space="0" w:color="auto"/>
          </w:divBdr>
          <w:divsChild>
            <w:div w:id="2052724617">
              <w:marLeft w:val="0"/>
              <w:marRight w:val="0"/>
              <w:marTop w:val="0"/>
              <w:marBottom w:val="0"/>
              <w:divBdr>
                <w:top w:val="none" w:sz="0" w:space="0" w:color="auto"/>
                <w:left w:val="none" w:sz="0" w:space="0" w:color="auto"/>
                <w:bottom w:val="none" w:sz="0" w:space="0" w:color="auto"/>
                <w:right w:val="none" w:sz="0" w:space="0" w:color="auto"/>
              </w:divBdr>
              <w:divsChild>
                <w:div w:id="28534843">
                  <w:marLeft w:val="0"/>
                  <w:marRight w:val="0"/>
                  <w:marTop w:val="0"/>
                  <w:marBottom w:val="0"/>
                  <w:divBdr>
                    <w:top w:val="none" w:sz="0" w:space="0" w:color="auto"/>
                    <w:left w:val="none" w:sz="0" w:space="0" w:color="auto"/>
                    <w:bottom w:val="none" w:sz="0" w:space="0" w:color="auto"/>
                    <w:right w:val="none" w:sz="0" w:space="0" w:color="auto"/>
                  </w:divBdr>
                  <w:divsChild>
                    <w:div w:id="608783749">
                      <w:marLeft w:val="0"/>
                      <w:marRight w:val="0"/>
                      <w:marTop w:val="0"/>
                      <w:marBottom w:val="0"/>
                      <w:divBdr>
                        <w:top w:val="none" w:sz="0" w:space="0" w:color="auto"/>
                        <w:left w:val="none" w:sz="0" w:space="0" w:color="auto"/>
                        <w:bottom w:val="none" w:sz="0" w:space="0" w:color="auto"/>
                        <w:right w:val="none" w:sz="0" w:space="0" w:color="auto"/>
                      </w:divBdr>
                      <w:divsChild>
                        <w:div w:id="1062826360">
                          <w:marLeft w:val="0"/>
                          <w:marRight w:val="0"/>
                          <w:marTop w:val="0"/>
                          <w:marBottom w:val="0"/>
                          <w:divBdr>
                            <w:top w:val="none" w:sz="0" w:space="0" w:color="auto"/>
                            <w:left w:val="none" w:sz="0" w:space="0" w:color="auto"/>
                            <w:bottom w:val="none" w:sz="0" w:space="0" w:color="auto"/>
                            <w:right w:val="none" w:sz="0" w:space="0" w:color="auto"/>
                          </w:divBdr>
                          <w:divsChild>
                            <w:div w:id="128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840414">
      <w:bodyDiv w:val="1"/>
      <w:marLeft w:val="0"/>
      <w:marRight w:val="0"/>
      <w:marTop w:val="0"/>
      <w:marBottom w:val="0"/>
      <w:divBdr>
        <w:top w:val="none" w:sz="0" w:space="0" w:color="auto"/>
        <w:left w:val="none" w:sz="0" w:space="0" w:color="auto"/>
        <w:bottom w:val="none" w:sz="0" w:space="0" w:color="auto"/>
        <w:right w:val="none" w:sz="0" w:space="0" w:color="auto"/>
      </w:divBdr>
    </w:div>
    <w:div w:id="1938977205">
      <w:bodyDiv w:val="1"/>
      <w:marLeft w:val="0"/>
      <w:marRight w:val="0"/>
      <w:marTop w:val="0"/>
      <w:marBottom w:val="0"/>
      <w:divBdr>
        <w:top w:val="none" w:sz="0" w:space="0" w:color="auto"/>
        <w:left w:val="none" w:sz="0" w:space="0" w:color="auto"/>
        <w:bottom w:val="none" w:sz="0" w:space="0" w:color="auto"/>
        <w:right w:val="none" w:sz="0" w:space="0" w:color="auto"/>
      </w:divBdr>
    </w:div>
    <w:div w:id="211342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07/s40273-021-0104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ECADC-6C05-408D-B4C6-90B2328FB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17968</Words>
  <Characters>102423</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2022-02-28T23:59:00Z</dcterms:created>
  <dcterms:modified xsi:type="dcterms:W3CDTF">2022-03-17T05:19:00Z</dcterms:modified>
</cp:coreProperties>
</file>