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819C" w14:textId="234D2087" w:rsidR="00B60939" w:rsidRPr="00BB59D8" w:rsidRDefault="00646E0D" w:rsidP="00E81A00">
      <w:pPr>
        <w:pStyle w:val="1-MainHeading"/>
        <w:tabs>
          <w:tab w:val="left" w:pos="720"/>
          <w:tab w:val="left" w:pos="1440"/>
          <w:tab w:val="left" w:pos="2160"/>
          <w:tab w:val="left" w:pos="2880"/>
          <w:tab w:val="left" w:pos="3549"/>
        </w:tabs>
        <w:rPr>
          <w:b w:val="0"/>
        </w:rPr>
      </w:pPr>
      <w:bookmarkStart w:id="0" w:name="_Toc80028453"/>
      <w:bookmarkStart w:id="1" w:name="_Toc82536416"/>
      <w:r w:rsidRPr="00BB59D8">
        <w:t>5</w:t>
      </w:r>
      <w:r w:rsidR="00433044" w:rsidRPr="00BB59D8">
        <w:t>.</w:t>
      </w:r>
      <w:r w:rsidRPr="00BB59D8">
        <w:t>09</w:t>
      </w:r>
      <w:r w:rsidR="00163F66" w:rsidRPr="00BB59D8">
        <w:tab/>
      </w:r>
      <w:r w:rsidR="00B76488" w:rsidRPr="00BB59D8">
        <w:t>MECASERMIN,</w:t>
      </w:r>
      <w:bookmarkEnd w:id="0"/>
      <w:bookmarkEnd w:id="1"/>
      <w:r w:rsidR="00B76488" w:rsidRPr="00BB59D8">
        <w:t xml:space="preserve"> </w:t>
      </w:r>
      <w:bookmarkStart w:id="2" w:name="_Toc80028454"/>
      <w:r w:rsidR="00E81A00" w:rsidRPr="00BB59D8">
        <w:tab/>
      </w:r>
      <w:r w:rsidR="007C2F0C" w:rsidRPr="00BB59D8">
        <w:br/>
      </w:r>
      <w:r w:rsidRPr="00BB59D8">
        <w:t>Solution for injection 40 mg in 4 mL vial</w:t>
      </w:r>
      <w:r w:rsidR="00B76488" w:rsidRPr="00BB59D8">
        <w:t>,</w:t>
      </w:r>
      <w:bookmarkEnd w:id="2"/>
      <w:r w:rsidR="00B76488" w:rsidRPr="00BB59D8">
        <w:t xml:space="preserve"> </w:t>
      </w:r>
      <w:bookmarkStart w:id="3" w:name="_Toc80028455"/>
      <w:r w:rsidR="007C2F0C" w:rsidRPr="00BB59D8">
        <w:br/>
      </w:r>
      <w:r w:rsidR="00B76488" w:rsidRPr="00BB59D8">
        <w:t>Increlex®,</w:t>
      </w:r>
      <w:bookmarkEnd w:id="3"/>
      <w:r w:rsidR="00B76488" w:rsidRPr="00BB59D8">
        <w:t xml:space="preserve"> </w:t>
      </w:r>
      <w:bookmarkStart w:id="4" w:name="_Toc80028456"/>
      <w:r w:rsidR="007C2F0C" w:rsidRPr="00BB59D8">
        <w:br/>
      </w:r>
      <w:r w:rsidR="00B76488" w:rsidRPr="00BB59D8">
        <w:t>Ipsen Pty Ltd</w:t>
      </w:r>
      <w:bookmarkEnd w:id="4"/>
    </w:p>
    <w:p w14:paraId="3DD1F0EC" w14:textId="77777777" w:rsidR="007563FC" w:rsidRPr="00BB59D8" w:rsidRDefault="007563FC" w:rsidP="007563FC">
      <w:pPr>
        <w:pStyle w:val="2-SectionHeading"/>
      </w:pPr>
      <w:bookmarkStart w:id="5" w:name="_Toc82536418"/>
      <w:r w:rsidRPr="00BB59D8">
        <w:t>Purpose of submission</w:t>
      </w:r>
      <w:bookmarkEnd w:id="5"/>
    </w:p>
    <w:p w14:paraId="3A1470DD" w14:textId="77777777" w:rsidR="007563FC" w:rsidRPr="00BB59D8" w:rsidRDefault="007563FC" w:rsidP="007563FC">
      <w:pPr>
        <w:pStyle w:val="3-BodyText"/>
      </w:pPr>
      <w:r w:rsidRPr="00BB59D8">
        <w:t xml:space="preserve">The </w:t>
      </w:r>
      <w:r w:rsidR="004378BF" w:rsidRPr="00BB59D8">
        <w:t xml:space="preserve">Category 1 </w:t>
      </w:r>
      <w:r w:rsidRPr="00BB59D8">
        <w:t xml:space="preserve">submission requested </w:t>
      </w:r>
      <w:r w:rsidR="00FC794A" w:rsidRPr="00BB59D8">
        <w:t xml:space="preserve">a </w:t>
      </w:r>
      <w:r w:rsidRPr="00BB59D8">
        <w:t>Section 100 listing for mecasermin for the long-term treatment of growth failure in children and adolescents from 2 to 18 years with severe primary insulin-like growt</w:t>
      </w:r>
      <w:r w:rsidR="00B067E6" w:rsidRPr="00BB59D8">
        <w:t>h factor 1 deficiency (SPIGFD).</w:t>
      </w:r>
    </w:p>
    <w:p w14:paraId="3D3AB40A" w14:textId="102C2E9A" w:rsidR="004378BF" w:rsidRPr="00BB59D8" w:rsidRDefault="004378BF" w:rsidP="00B34A6F">
      <w:pPr>
        <w:pStyle w:val="3-BodyText"/>
      </w:pPr>
      <w:r w:rsidRPr="00BB59D8">
        <w:t xml:space="preserve">The submission requested listing </w:t>
      </w:r>
      <w:r w:rsidR="008A1911" w:rsidRPr="00BB59D8">
        <w:t>in the Section 100 Highly Specialised Drugs Program, however also noted that “the Section 100 Growth Hormone program appears to be the most appropriat</w:t>
      </w:r>
      <w:r w:rsidR="00024DDA">
        <w:t>e place for reimbursement…”</w:t>
      </w:r>
      <w:r w:rsidR="008A1911" w:rsidRPr="00BB59D8">
        <w:t>.</w:t>
      </w:r>
      <w:r w:rsidR="00BC15C8" w:rsidRPr="00BB59D8">
        <w:t xml:space="preserve"> </w:t>
      </w:r>
      <w:r w:rsidR="002C624F" w:rsidRPr="00BB59D8">
        <w:t xml:space="preserve">The </w:t>
      </w:r>
      <w:r w:rsidR="00276576">
        <w:t>Pre-Sub-Committee Response (</w:t>
      </w:r>
      <w:r w:rsidR="002C624F" w:rsidRPr="00BB59D8">
        <w:t>PSCR</w:t>
      </w:r>
      <w:r w:rsidR="00276576">
        <w:t>)</w:t>
      </w:r>
      <w:r w:rsidR="002C624F" w:rsidRPr="00BB59D8">
        <w:t xml:space="preserve"> stated that given the potential risks of diversion and the need to ensure the quality use of medicines through treatment with appropriately qualified individuals, the sponsor would welcome a listing of mecasermin </w:t>
      </w:r>
      <w:r w:rsidR="007438A7" w:rsidRPr="00BB59D8">
        <w:t>in the</w:t>
      </w:r>
      <w:r w:rsidR="002C624F" w:rsidRPr="00BB59D8">
        <w:t xml:space="preserve"> Section 100 Growth Hormone program for this small group of patients.</w:t>
      </w:r>
    </w:p>
    <w:p w14:paraId="1019B0BD" w14:textId="77777777" w:rsidR="007563FC" w:rsidRPr="00BB59D8" w:rsidRDefault="007563FC" w:rsidP="007563FC">
      <w:pPr>
        <w:pStyle w:val="3-BodyText"/>
      </w:pPr>
      <w:r w:rsidRPr="00BB59D8">
        <w:t>Listing was requested on the basis of a cost-utility analysis versus no treatment.</w:t>
      </w:r>
    </w:p>
    <w:p w14:paraId="449DF29D" w14:textId="77777777" w:rsidR="007563FC" w:rsidRPr="00BB59D8" w:rsidRDefault="007563FC" w:rsidP="007563FC">
      <w:pPr>
        <w:pStyle w:val="TableFigureHeading"/>
        <w:rPr>
          <w:rStyle w:val="CommentReference"/>
          <w:b/>
          <w:szCs w:val="24"/>
        </w:rPr>
      </w:pPr>
      <w:r w:rsidRPr="00BB59D8">
        <w:rPr>
          <w:rStyle w:val="CommentReference"/>
          <w:b/>
          <w:szCs w:val="24"/>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174"/>
        <w:gridCol w:w="7843"/>
      </w:tblGrid>
      <w:tr w:rsidR="007563FC" w:rsidRPr="00BB59D8" w14:paraId="7D64A8E6" w14:textId="77777777" w:rsidTr="009F73A9">
        <w:trPr>
          <w:cantSplit/>
          <w:tblHeader/>
        </w:trPr>
        <w:tc>
          <w:tcPr>
            <w:tcW w:w="651" w:type="pct"/>
            <w:shd w:val="clear" w:color="auto" w:fill="auto"/>
            <w:vAlign w:val="center"/>
          </w:tcPr>
          <w:p w14:paraId="7A715476" w14:textId="77777777" w:rsidR="007563FC" w:rsidRPr="00BB59D8" w:rsidRDefault="007563FC" w:rsidP="005378F4">
            <w:pPr>
              <w:pStyle w:val="In-tableHeading"/>
              <w:rPr>
                <w:szCs w:val="20"/>
                <w:lang w:val="en-AU"/>
              </w:rPr>
            </w:pPr>
            <w:r w:rsidRPr="00BB59D8">
              <w:rPr>
                <w:lang w:val="en-AU"/>
              </w:rPr>
              <w:t>Component</w:t>
            </w:r>
          </w:p>
        </w:tc>
        <w:tc>
          <w:tcPr>
            <w:tcW w:w="4349" w:type="pct"/>
            <w:shd w:val="clear" w:color="auto" w:fill="auto"/>
            <w:vAlign w:val="center"/>
          </w:tcPr>
          <w:p w14:paraId="68C2347E" w14:textId="77777777" w:rsidR="007563FC" w:rsidRPr="00BB59D8" w:rsidRDefault="007563FC" w:rsidP="005378F4">
            <w:pPr>
              <w:pStyle w:val="In-tableHeading"/>
              <w:rPr>
                <w:lang w:val="en-AU"/>
              </w:rPr>
            </w:pPr>
            <w:r w:rsidRPr="00BB59D8">
              <w:rPr>
                <w:lang w:val="en-AU"/>
              </w:rPr>
              <w:t>Description</w:t>
            </w:r>
          </w:p>
        </w:tc>
      </w:tr>
      <w:tr w:rsidR="007563FC" w:rsidRPr="00BB59D8" w14:paraId="693A9A8C" w14:textId="77777777" w:rsidTr="009F73A9">
        <w:trPr>
          <w:cantSplit/>
        </w:trPr>
        <w:tc>
          <w:tcPr>
            <w:tcW w:w="651" w:type="pct"/>
            <w:shd w:val="clear" w:color="auto" w:fill="auto"/>
            <w:vAlign w:val="center"/>
          </w:tcPr>
          <w:p w14:paraId="19B08BAC" w14:textId="77777777" w:rsidR="007563FC" w:rsidRPr="00BB59D8" w:rsidRDefault="007563FC" w:rsidP="005378F4">
            <w:pPr>
              <w:pStyle w:val="TableText0"/>
            </w:pPr>
            <w:r w:rsidRPr="00BB59D8">
              <w:t>Population</w:t>
            </w:r>
          </w:p>
        </w:tc>
        <w:tc>
          <w:tcPr>
            <w:tcW w:w="4349" w:type="pct"/>
            <w:shd w:val="clear" w:color="auto" w:fill="auto"/>
            <w:vAlign w:val="center"/>
          </w:tcPr>
          <w:p w14:paraId="24EB12BD" w14:textId="77777777" w:rsidR="007563FC" w:rsidRPr="00BB59D8" w:rsidRDefault="007563FC" w:rsidP="005378F4">
            <w:pPr>
              <w:pStyle w:val="TableText0"/>
              <w:rPr>
                <w:szCs w:val="20"/>
              </w:rPr>
            </w:pPr>
            <w:r w:rsidRPr="00BB59D8">
              <w:t xml:space="preserve">Long-term treatment of growth failure in children and adolescents from 2 to 18 years </w:t>
            </w:r>
            <w:r w:rsidR="00BC15C8" w:rsidRPr="00BB59D8">
              <w:t xml:space="preserve">(inclusive) </w:t>
            </w:r>
            <w:r w:rsidRPr="00BB59D8">
              <w:t>with SPIGFD</w:t>
            </w:r>
          </w:p>
        </w:tc>
      </w:tr>
      <w:tr w:rsidR="007563FC" w:rsidRPr="00BB59D8" w14:paraId="6035F077" w14:textId="77777777" w:rsidTr="009F73A9">
        <w:trPr>
          <w:cantSplit/>
        </w:trPr>
        <w:tc>
          <w:tcPr>
            <w:tcW w:w="651" w:type="pct"/>
            <w:shd w:val="clear" w:color="auto" w:fill="auto"/>
            <w:vAlign w:val="center"/>
          </w:tcPr>
          <w:p w14:paraId="0847EE6A" w14:textId="77777777" w:rsidR="007563FC" w:rsidRPr="00BB59D8" w:rsidRDefault="007563FC" w:rsidP="005378F4">
            <w:pPr>
              <w:pStyle w:val="TableText0"/>
            </w:pPr>
            <w:r w:rsidRPr="00BB59D8">
              <w:t>Intervention</w:t>
            </w:r>
          </w:p>
        </w:tc>
        <w:tc>
          <w:tcPr>
            <w:tcW w:w="4349" w:type="pct"/>
            <w:shd w:val="clear" w:color="auto" w:fill="auto"/>
            <w:vAlign w:val="center"/>
          </w:tcPr>
          <w:p w14:paraId="4A920E28" w14:textId="77777777" w:rsidR="007563FC" w:rsidRPr="00BB59D8" w:rsidRDefault="007563FC" w:rsidP="00BC15C8">
            <w:pPr>
              <w:pStyle w:val="TableText0"/>
            </w:pPr>
            <w:r w:rsidRPr="00BB59D8">
              <w:t>Mecasermin</w:t>
            </w:r>
            <w:r w:rsidR="007A5071" w:rsidRPr="00BB59D8">
              <w:t xml:space="preserve"> 40-120 µg/kg BID, subcutaneous injection administered until there is demonstration of bone age fusion of epiphysis</w:t>
            </w:r>
          </w:p>
        </w:tc>
      </w:tr>
      <w:tr w:rsidR="007563FC" w:rsidRPr="00BB59D8" w14:paraId="221AE123" w14:textId="77777777" w:rsidTr="009F73A9">
        <w:trPr>
          <w:cantSplit/>
        </w:trPr>
        <w:tc>
          <w:tcPr>
            <w:tcW w:w="651" w:type="pct"/>
            <w:shd w:val="clear" w:color="auto" w:fill="auto"/>
            <w:vAlign w:val="center"/>
          </w:tcPr>
          <w:p w14:paraId="10570091" w14:textId="77777777" w:rsidR="007563FC" w:rsidRPr="00BB59D8" w:rsidRDefault="007563FC" w:rsidP="005378F4">
            <w:pPr>
              <w:pStyle w:val="TableText0"/>
            </w:pPr>
            <w:r w:rsidRPr="00BB59D8">
              <w:t>Comparator</w:t>
            </w:r>
          </w:p>
        </w:tc>
        <w:tc>
          <w:tcPr>
            <w:tcW w:w="4349" w:type="pct"/>
            <w:shd w:val="clear" w:color="auto" w:fill="auto"/>
            <w:vAlign w:val="center"/>
          </w:tcPr>
          <w:p w14:paraId="74BD6D66" w14:textId="77777777" w:rsidR="007563FC" w:rsidRPr="00BB59D8" w:rsidRDefault="007563FC" w:rsidP="005378F4">
            <w:pPr>
              <w:pStyle w:val="TableText0"/>
              <w:rPr>
                <w:vertAlign w:val="superscript"/>
              </w:rPr>
            </w:pPr>
            <w:r w:rsidRPr="00BB59D8">
              <w:t>No treatment</w:t>
            </w:r>
          </w:p>
        </w:tc>
      </w:tr>
      <w:tr w:rsidR="007563FC" w:rsidRPr="00BB59D8" w14:paraId="57D2CC4A" w14:textId="77777777" w:rsidTr="009F73A9">
        <w:trPr>
          <w:cantSplit/>
        </w:trPr>
        <w:tc>
          <w:tcPr>
            <w:tcW w:w="651" w:type="pct"/>
            <w:shd w:val="clear" w:color="auto" w:fill="auto"/>
            <w:vAlign w:val="center"/>
          </w:tcPr>
          <w:p w14:paraId="7C3BB196" w14:textId="77777777" w:rsidR="007563FC" w:rsidRPr="00BB59D8" w:rsidRDefault="007563FC" w:rsidP="005378F4">
            <w:pPr>
              <w:pStyle w:val="TableText0"/>
            </w:pPr>
            <w:r w:rsidRPr="00BB59D8">
              <w:t>Outcomes</w:t>
            </w:r>
          </w:p>
        </w:tc>
        <w:tc>
          <w:tcPr>
            <w:tcW w:w="4349" w:type="pct"/>
            <w:shd w:val="clear" w:color="auto" w:fill="auto"/>
            <w:vAlign w:val="center"/>
          </w:tcPr>
          <w:p w14:paraId="1918B856" w14:textId="77777777" w:rsidR="007563FC" w:rsidRPr="00BB59D8" w:rsidRDefault="007563FC" w:rsidP="005378F4">
            <w:pPr>
              <w:pStyle w:val="TableText0"/>
            </w:pPr>
            <w:r w:rsidRPr="00BB59D8">
              <w:t>Primary outcome</w:t>
            </w:r>
            <w:r w:rsidR="009F73A9" w:rsidRPr="00BB59D8">
              <w:t xml:space="preserve">: </w:t>
            </w:r>
            <w:r w:rsidR="00017CFC" w:rsidRPr="00BB59D8">
              <w:tab/>
            </w:r>
            <w:r w:rsidR="00017CFC" w:rsidRPr="00BB59D8">
              <w:tab/>
            </w:r>
            <w:r w:rsidRPr="00BB59D8">
              <w:t>•</w:t>
            </w:r>
            <w:r w:rsidR="00017CFC" w:rsidRPr="00BB59D8">
              <w:t xml:space="preserve"> </w:t>
            </w:r>
            <w:r w:rsidRPr="00BB59D8">
              <w:t>Height velocity</w:t>
            </w:r>
          </w:p>
          <w:p w14:paraId="646483FF" w14:textId="77777777" w:rsidR="007563FC" w:rsidRPr="00BB59D8" w:rsidRDefault="007563FC" w:rsidP="005378F4">
            <w:pPr>
              <w:pStyle w:val="TableText0"/>
            </w:pPr>
            <w:r w:rsidRPr="00BB59D8">
              <w:t>Secondary outcomes</w:t>
            </w:r>
            <w:r w:rsidR="009F73A9" w:rsidRPr="00BB59D8">
              <w:t xml:space="preserve">: </w:t>
            </w:r>
            <w:r w:rsidR="00017CFC" w:rsidRPr="00BB59D8">
              <w:tab/>
            </w:r>
            <w:r w:rsidRPr="00BB59D8">
              <w:t>•</w:t>
            </w:r>
            <w:r w:rsidR="00017CFC" w:rsidRPr="00BB59D8">
              <w:t xml:space="preserve"> </w:t>
            </w:r>
            <w:r w:rsidRPr="00BB59D8">
              <w:t>Skeletal maturation</w:t>
            </w:r>
          </w:p>
          <w:p w14:paraId="7F28B5C9" w14:textId="77777777" w:rsidR="007563FC" w:rsidRPr="00BB59D8" w:rsidRDefault="009F73A9" w:rsidP="00017CFC">
            <w:pPr>
              <w:pStyle w:val="TableText0"/>
              <w:rPr>
                <w:rFonts w:eastAsia="Times New Roman" w:cs="Arial"/>
                <w:bCs w:val="0"/>
                <w:snapToGrid w:val="0"/>
                <w:szCs w:val="20"/>
              </w:rPr>
            </w:pPr>
            <w:r w:rsidRPr="00BB59D8">
              <w:tab/>
            </w:r>
            <w:r w:rsidRPr="00BB59D8">
              <w:tab/>
            </w:r>
            <w:r w:rsidR="00017CFC" w:rsidRPr="00BB59D8">
              <w:tab/>
            </w:r>
            <w:r w:rsidR="007563FC" w:rsidRPr="00BB59D8">
              <w:t>•</w:t>
            </w:r>
            <w:r w:rsidR="00017CFC" w:rsidRPr="00BB59D8">
              <w:t xml:space="preserve"> </w:t>
            </w:r>
            <w:r w:rsidR="007563FC" w:rsidRPr="00BB59D8">
              <w:t>Safety</w:t>
            </w:r>
          </w:p>
        </w:tc>
      </w:tr>
      <w:tr w:rsidR="007563FC" w:rsidRPr="00BB59D8" w14:paraId="4780D448" w14:textId="77777777" w:rsidTr="009F73A9">
        <w:trPr>
          <w:cantSplit/>
        </w:trPr>
        <w:tc>
          <w:tcPr>
            <w:tcW w:w="651" w:type="pct"/>
            <w:shd w:val="clear" w:color="auto" w:fill="auto"/>
            <w:vAlign w:val="center"/>
          </w:tcPr>
          <w:p w14:paraId="4CF41EDB" w14:textId="77777777" w:rsidR="007563FC" w:rsidRPr="00BB59D8" w:rsidRDefault="007563FC" w:rsidP="005378F4">
            <w:pPr>
              <w:pStyle w:val="TableText0"/>
            </w:pPr>
            <w:r w:rsidRPr="00BB59D8">
              <w:t>Clinical claim</w:t>
            </w:r>
          </w:p>
        </w:tc>
        <w:tc>
          <w:tcPr>
            <w:tcW w:w="4349" w:type="pct"/>
            <w:shd w:val="clear" w:color="auto" w:fill="auto"/>
            <w:vAlign w:val="center"/>
          </w:tcPr>
          <w:p w14:paraId="4C508795" w14:textId="77777777" w:rsidR="007563FC" w:rsidRPr="00BB59D8" w:rsidRDefault="007563FC" w:rsidP="005378F4">
            <w:pPr>
              <w:pStyle w:val="TableText0"/>
            </w:pPr>
            <w:r w:rsidRPr="00BB59D8">
              <w:t>In children and adolescents (2-18 years) with SPIGFD, mecasermin is superior in effectiveness compared with no treatment based on changes in height over time and near-adult height compared with untreated patients.</w:t>
            </w:r>
          </w:p>
          <w:p w14:paraId="486E38AB" w14:textId="77777777" w:rsidR="007563FC" w:rsidRPr="00BB59D8" w:rsidRDefault="007563FC" w:rsidP="005378F4">
            <w:pPr>
              <w:pStyle w:val="TableText0"/>
              <w:rPr>
                <w:rFonts w:eastAsia="Times New Roman" w:cs="Arial"/>
                <w:bCs w:val="0"/>
                <w:snapToGrid w:val="0"/>
                <w:szCs w:val="20"/>
              </w:rPr>
            </w:pPr>
            <w:r w:rsidRPr="00BB59D8">
              <w:t>Mecasermin is non-inferior in safety compared with no treatment based on overall AE and SAE rates</w:t>
            </w:r>
          </w:p>
        </w:tc>
      </w:tr>
    </w:tbl>
    <w:p w14:paraId="345CB808" w14:textId="77777777" w:rsidR="007563FC" w:rsidRPr="00BB59D8" w:rsidRDefault="007563FC" w:rsidP="007563FC">
      <w:pPr>
        <w:pStyle w:val="TableFigureFooter"/>
      </w:pPr>
      <w:r w:rsidRPr="00BB59D8">
        <w:t>AE = adverse events;</w:t>
      </w:r>
      <w:r w:rsidR="007A5071" w:rsidRPr="00BB59D8">
        <w:t xml:space="preserve"> BID = twice daily;</w:t>
      </w:r>
      <w:r w:rsidRPr="00BB59D8">
        <w:t xml:space="preserve"> SAE = serious adverse events; SPIGFD = severe primary insulin-like growth factor 1 deficiency.</w:t>
      </w:r>
    </w:p>
    <w:p w14:paraId="640CD7A2" w14:textId="77777777" w:rsidR="00BC363F" w:rsidRPr="00BB59D8" w:rsidRDefault="00BC363F" w:rsidP="007563FC">
      <w:pPr>
        <w:pStyle w:val="TableFigureFooter"/>
      </w:pPr>
      <w:r w:rsidRPr="00BB59D8">
        <w:t xml:space="preserve">Source: Table 1-2, p17 </w:t>
      </w:r>
      <w:r w:rsidR="007438A7" w:rsidRPr="00BB59D8">
        <w:t xml:space="preserve">and </w:t>
      </w:r>
      <w:r w:rsidRPr="00BB59D8">
        <w:t>Section 2, p90</w:t>
      </w:r>
      <w:r w:rsidR="007438A7" w:rsidRPr="00BB59D8">
        <w:t xml:space="preserve"> of the submission</w:t>
      </w:r>
      <w:r w:rsidRPr="00BB59D8">
        <w:t>.</w:t>
      </w:r>
    </w:p>
    <w:p w14:paraId="5BB93BB0" w14:textId="77777777" w:rsidR="007563FC" w:rsidRPr="00BB59D8" w:rsidRDefault="007563FC" w:rsidP="007563FC">
      <w:pPr>
        <w:pStyle w:val="2-SectionHeading"/>
      </w:pPr>
      <w:bookmarkStart w:id="6" w:name="_Toc82536419"/>
      <w:r w:rsidRPr="00BB59D8">
        <w:t>Background</w:t>
      </w:r>
      <w:bookmarkEnd w:id="6"/>
    </w:p>
    <w:p w14:paraId="6C33C6F8" w14:textId="77777777" w:rsidR="007563FC" w:rsidRPr="00BB59D8" w:rsidRDefault="007563FC" w:rsidP="007563FC">
      <w:pPr>
        <w:pStyle w:val="4-SubsectionHeading"/>
      </w:pPr>
      <w:bookmarkStart w:id="7" w:name="_Toc82536420"/>
      <w:r w:rsidRPr="00BB59D8">
        <w:t>Registration status</w:t>
      </w:r>
      <w:bookmarkEnd w:id="7"/>
    </w:p>
    <w:p w14:paraId="196517D9" w14:textId="77777777" w:rsidR="00E12AEA" w:rsidRPr="00BB59D8" w:rsidRDefault="007563FC" w:rsidP="00A5663E">
      <w:pPr>
        <w:pStyle w:val="3-BodyText"/>
      </w:pPr>
      <w:r w:rsidRPr="00BB59D8">
        <w:t xml:space="preserve">Mecasermin was </w:t>
      </w:r>
      <w:r w:rsidR="0012160A" w:rsidRPr="00BB59D8">
        <w:t>Therapeutic Goods Administration (</w:t>
      </w:r>
      <w:r w:rsidRPr="00BB59D8">
        <w:t>TGA</w:t>
      </w:r>
      <w:r w:rsidR="0012160A" w:rsidRPr="00BB59D8">
        <w:t>)</w:t>
      </w:r>
      <w:r w:rsidRPr="00BB59D8">
        <w:t xml:space="preserve"> registered in November 2019 for the long-term treatment of growth failure in children and adolescents from 2 to 18 years with severe primary insulin-like growth factor 1 deficiency (Primary IGFD). </w:t>
      </w:r>
      <w:r w:rsidR="00E12AEA" w:rsidRPr="00BB59D8">
        <w:t>Orphan drug designation was granted on 17 July 2018 (Clinical Evaluation Report, p 12).</w:t>
      </w:r>
    </w:p>
    <w:p w14:paraId="5650AE22" w14:textId="77777777" w:rsidR="00281383" w:rsidRPr="00BB59D8" w:rsidRDefault="00E12AEA" w:rsidP="009D4077">
      <w:pPr>
        <w:pStyle w:val="3-BodyText"/>
        <w:keepNext/>
      </w:pPr>
      <w:r w:rsidRPr="00BB59D8">
        <w:lastRenderedPageBreak/>
        <w:t xml:space="preserve">The TGA approved product information </w:t>
      </w:r>
      <w:r w:rsidR="00030332" w:rsidRPr="00BB59D8">
        <w:t xml:space="preserve">(PI) </w:t>
      </w:r>
      <w:r w:rsidRPr="00BB59D8">
        <w:t xml:space="preserve">states that </w:t>
      </w:r>
      <w:r w:rsidR="00281383" w:rsidRPr="00BB59D8">
        <w:t xml:space="preserve">Severe Primary IGFD is defined by: </w:t>
      </w:r>
    </w:p>
    <w:p w14:paraId="70352112" w14:textId="77777777" w:rsidR="00281383" w:rsidRPr="00BB59D8" w:rsidRDefault="00B067E6" w:rsidP="00DB4BC1">
      <w:pPr>
        <w:pStyle w:val="ListParagraph"/>
        <w:numPr>
          <w:ilvl w:val="0"/>
          <w:numId w:val="9"/>
        </w:numPr>
        <w:ind w:left="1077" w:hanging="357"/>
      </w:pPr>
      <w:r w:rsidRPr="00BB59D8">
        <w:t>H</w:t>
      </w:r>
      <w:r w:rsidR="00281383" w:rsidRPr="00BB59D8">
        <w:t xml:space="preserve">eight standard deviation score ≤ –3.0 and </w:t>
      </w:r>
    </w:p>
    <w:p w14:paraId="41429DC2" w14:textId="77777777" w:rsidR="00281383" w:rsidRPr="00BB59D8" w:rsidRDefault="00281383" w:rsidP="00DB4BC1">
      <w:pPr>
        <w:pStyle w:val="ListParagraph"/>
        <w:numPr>
          <w:ilvl w:val="0"/>
          <w:numId w:val="9"/>
        </w:numPr>
        <w:ind w:left="1077" w:hanging="357"/>
      </w:pPr>
      <w:r w:rsidRPr="00BB59D8">
        <w:t xml:space="preserve">Baseline height velocity less than the 25th percentile for bone age, based on two measurements over 12 months and </w:t>
      </w:r>
    </w:p>
    <w:p w14:paraId="33AAFCCF" w14:textId="77777777" w:rsidR="00281383" w:rsidRPr="00BB59D8" w:rsidRDefault="00B067E6" w:rsidP="00DB4BC1">
      <w:pPr>
        <w:pStyle w:val="ListParagraph"/>
        <w:numPr>
          <w:ilvl w:val="0"/>
          <w:numId w:val="9"/>
        </w:numPr>
        <w:ind w:left="1077" w:hanging="357"/>
      </w:pPr>
      <w:r w:rsidRPr="00BB59D8">
        <w:t>B</w:t>
      </w:r>
      <w:r w:rsidR="00281383" w:rsidRPr="00BB59D8">
        <w:t xml:space="preserve">asal IGF-1 levels below the 2.5th percentile for age and gender and </w:t>
      </w:r>
    </w:p>
    <w:p w14:paraId="41B1692A" w14:textId="77777777" w:rsidR="00281383" w:rsidRPr="00BB59D8" w:rsidRDefault="00070775" w:rsidP="00DB4BC1">
      <w:pPr>
        <w:pStyle w:val="ListParagraph"/>
        <w:numPr>
          <w:ilvl w:val="0"/>
          <w:numId w:val="9"/>
        </w:numPr>
        <w:ind w:left="1077" w:hanging="357"/>
      </w:pPr>
      <w:r w:rsidRPr="00BB59D8">
        <w:t>Growth hormone (</w:t>
      </w:r>
      <w:r w:rsidR="00281383" w:rsidRPr="00BB59D8">
        <w:t>GH</w:t>
      </w:r>
      <w:r w:rsidRPr="00BB59D8">
        <w:t>)</w:t>
      </w:r>
      <w:r w:rsidR="00281383" w:rsidRPr="00BB59D8">
        <w:t xml:space="preserve"> sufficiency. </w:t>
      </w:r>
    </w:p>
    <w:p w14:paraId="4E1C538A" w14:textId="77777777" w:rsidR="00281383" w:rsidRPr="00BB59D8" w:rsidRDefault="00281383" w:rsidP="00C862ED">
      <w:pPr>
        <w:pStyle w:val="ListParagraph"/>
        <w:numPr>
          <w:ilvl w:val="0"/>
          <w:numId w:val="9"/>
        </w:numPr>
        <w:ind w:left="1077" w:hanging="357"/>
      </w:pPr>
      <w:r w:rsidRPr="00BB59D8">
        <w:t>Exclusion of secondary forms of IGF-1 deficiency, such as malnutrition, hypopituitarism, hypothyroidism, or chronic treatment with pharmacologic doses of anti-inflammatory steroids.</w:t>
      </w:r>
    </w:p>
    <w:p w14:paraId="2FBDA276" w14:textId="77777777" w:rsidR="00281383" w:rsidRPr="00BB59D8" w:rsidRDefault="00281383" w:rsidP="00281383">
      <w:pPr>
        <w:pStyle w:val="3-BodyText"/>
        <w:numPr>
          <w:ilvl w:val="0"/>
          <w:numId w:val="0"/>
        </w:numPr>
        <w:ind w:left="720"/>
      </w:pPr>
      <w:r w:rsidRPr="00BB59D8">
        <w:t>IGF-1 and GH levels must be performed using validated assays with paediatric normal ranges.</w:t>
      </w:r>
    </w:p>
    <w:p w14:paraId="190E4DBB" w14:textId="77777777" w:rsidR="007D2F3A" w:rsidRPr="00BB59D8" w:rsidRDefault="007563FC" w:rsidP="007D2F3A">
      <w:pPr>
        <w:pStyle w:val="3-BodyText"/>
      </w:pPr>
      <w:r w:rsidRPr="00BB59D8">
        <w:rPr>
          <w:iCs/>
        </w:rPr>
        <w:t xml:space="preserve">At the time of evaluation for </w:t>
      </w:r>
      <w:r w:rsidR="00061EBF" w:rsidRPr="00BB59D8">
        <w:rPr>
          <w:iCs/>
        </w:rPr>
        <w:t>Pharmaceutical Benefits Advisory Committee (</w:t>
      </w:r>
      <w:r w:rsidRPr="00BB59D8">
        <w:rPr>
          <w:iCs/>
        </w:rPr>
        <w:t>PBAC</w:t>
      </w:r>
      <w:r w:rsidR="00061EBF" w:rsidRPr="00BB59D8">
        <w:rPr>
          <w:iCs/>
        </w:rPr>
        <w:t>)</w:t>
      </w:r>
      <w:r w:rsidRPr="00BB59D8">
        <w:rPr>
          <w:iCs/>
        </w:rPr>
        <w:t xml:space="preserve"> consideration, the Australian Public Assessment Report, P</w:t>
      </w:r>
      <w:r w:rsidR="00030332" w:rsidRPr="00BB59D8">
        <w:rPr>
          <w:iCs/>
        </w:rPr>
        <w:t>I</w:t>
      </w:r>
      <w:r w:rsidRPr="00BB59D8">
        <w:rPr>
          <w:iCs/>
        </w:rPr>
        <w:t>, Public Summary, and Orphan Drug Designation Application were available.</w:t>
      </w:r>
    </w:p>
    <w:p w14:paraId="54C8AFA3" w14:textId="122EC50F" w:rsidR="00F11238" w:rsidRPr="00BB59D8" w:rsidRDefault="000F2712" w:rsidP="00B067E6">
      <w:pPr>
        <w:pStyle w:val="3-BodyText"/>
        <w:numPr>
          <w:ilvl w:val="0"/>
          <w:numId w:val="0"/>
        </w:numPr>
        <w:ind w:left="720"/>
      </w:pPr>
      <w:r w:rsidRPr="00BB59D8">
        <w:t>The PSCR describe</w:t>
      </w:r>
      <w:r w:rsidR="00B067E6" w:rsidRPr="00BB59D8">
        <w:t>d</w:t>
      </w:r>
      <w:r w:rsidRPr="00BB59D8">
        <w:t xml:space="preserve"> the sponsor’s determination that an Australian registry “is not viable, given the small number of patients, the voluntary nature for the participation (in other countries it is possible to make it mandatory) and high cost of establishing the registry through a Clinical Research Organisation”. However the PSCR also </w:t>
      </w:r>
      <w:r w:rsidR="009D4077" w:rsidRPr="00BB59D8">
        <w:t>refers</w:t>
      </w:r>
      <w:r w:rsidRPr="00BB59D8">
        <w:t xml:space="preserve"> to a “controlled access program”, which has been implemented, and that the sponsor proposes is sufficient to manage the identified risk of neoplasias. </w:t>
      </w:r>
    </w:p>
    <w:p w14:paraId="3206DC9A" w14:textId="77777777" w:rsidR="003E7794" w:rsidRPr="00BB59D8" w:rsidRDefault="003E7794" w:rsidP="00B067E6">
      <w:pPr>
        <w:pStyle w:val="3-BodyText"/>
        <w:numPr>
          <w:ilvl w:val="0"/>
          <w:numId w:val="0"/>
        </w:numPr>
        <w:ind w:left="720"/>
        <w:rPr>
          <w:i/>
        </w:rPr>
      </w:pPr>
      <w:r w:rsidRPr="00BB59D8">
        <w:rPr>
          <w:i/>
        </w:rPr>
        <w:t>For more detail on PBAC’s view, see section 7 PBAC outcome.</w:t>
      </w:r>
    </w:p>
    <w:p w14:paraId="4C49D85C" w14:textId="77777777" w:rsidR="007D2F3A" w:rsidRPr="00BB59D8" w:rsidRDefault="00CC04CB" w:rsidP="007D2F3A">
      <w:pPr>
        <w:pStyle w:val="2-SectionHeading"/>
      </w:pPr>
      <w:r w:rsidRPr="00BB59D8">
        <w:t>Requested listing</w:t>
      </w:r>
    </w:p>
    <w:p w14:paraId="47FE2826" w14:textId="77777777" w:rsidR="004F75DF" w:rsidRPr="00BB59D8" w:rsidRDefault="00FC794A" w:rsidP="004F75DF">
      <w:pPr>
        <w:pStyle w:val="ListParagraph"/>
        <w:numPr>
          <w:ilvl w:val="1"/>
          <w:numId w:val="1"/>
        </w:numPr>
        <w:rPr>
          <w:rFonts w:cs="Calibri"/>
          <w:bCs/>
        </w:rPr>
      </w:pPr>
      <w:r w:rsidRPr="00BB59D8">
        <w:rPr>
          <w:rFonts w:cstheme="minorHAnsi"/>
          <w:iCs/>
        </w:rPr>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
        <w:gridCol w:w="2310"/>
        <w:gridCol w:w="1134"/>
        <w:gridCol w:w="889"/>
        <w:gridCol w:w="552"/>
        <w:gridCol w:w="2386"/>
        <w:gridCol w:w="1650"/>
      </w:tblGrid>
      <w:tr w:rsidR="00FC794A" w:rsidRPr="00BB59D8" w14:paraId="51476E43" w14:textId="77777777" w:rsidTr="008209E0">
        <w:trPr>
          <w:cantSplit/>
          <w:trHeight w:val="471"/>
        </w:trPr>
        <w:tc>
          <w:tcPr>
            <w:tcW w:w="1334" w:type="pct"/>
            <w:gridSpan w:val="2"/>
          </w:tcPr>
          <w:p w14:paraId="7C5714C4" w14:textId="77777777" w:rsidR="00FC794A" w:rsidRPr="00BB59D8" w:rsidRDefault="00FC794A" w:rsidP="00FC794A">
            <w:pPr>
              <w:keepNext/>
              <w:ind w:left="-57"/>
              <w:rPr>
                <w:rFonts w:ascii="Arial Narrow" w:hAnsi="Arial Narrow"/>
                <w:b/>
                <w:bCs/>
                <w:sz w:val="20"/>
                <w:szCs w:val="20"/>
              </w:rPr>
            </w:pPr>
            <w:r w:rsidRPr="00BB59D8">
              <w:rPr>
                <w:rFonts w:ascii="Arial Narrow" w:hAnsi="Arial Narrow"/>
                <w:b/>
                <w:bCs/>
                <w:sz w:val="20"/>
                <w:szCs w:val="20"/>
              </w:rPr>
              <w:t>MEDICINAL PRODUCT</w:t>
            </w:r>
          </w:p>
          <w:p w14:paraId="33C490AD" w14:textId="77777777" w:rsidR="00FC794A" w:rsidRPr="00BB59D8" w:rsidRDefault="00FC794A" w:rsidP="00FC794A">
            <w:pPr>
              <w:keepNext/>
              <w:ind w:left="-57"/>
              <w:rPr>
                <w:rFonts w:ascii="Arial Narrow" w:hAnsi="Arial Narrow"/>
                <w:b/>
                <w:sz w:val="20"/>
                <w:szCs w:val="20"/>
              </w:rPr>
            </w:pPr>
            <w:r w:rsidRPr="00BB59D8">
              <w:rPr>
                <w:rFonts w:ascii="Arial Narrow" w:hAnsi="Arial Narrow"/>
                <w:b/>
                <w:bCs/>
                <w:sz w:val="20"/>
                <w:szCs w:val="20"/>
              </w:rPr>
              <w:t>medicinal product pack</w:t>
            </w:r>
          </w:p>
        </w:tc>
        <w:tc>
          <w:tcPr>
            <w:tcW w:w="629" w:type="pct"/>
          </w:tcPr>
          <w:p w14:paraId="16EEFEDD" w14:textId="77777777" w:rsidR="00FC794A" w:rsidRPr="00BB59D8" w:rsidRDefault="00FC794A" w:rsidP="00FC794A">
            <w:pPr>
              <w:keepNext/>
              <w:ind w:left="-108"/>
              <w:jc w:val="center"/>
              <w:rPr>
                <w:rFonts w:ascii="Arial Narrow" w:hAnsi="Arial Narrow"/>
                <w:b/>
                <w:sz w:val="20"/>
                <w:szCs w:val="20"/>
              </w:rPr>
            </w:pPr>
            <w:r w:rsidRPr="00BB59D8">
              <w:rPr>
                <w:rFonts w:ascii="Arial Narrow" w:hAnsi="Arial Narrow"/>
                <w:b/>
                <w:sz w:val="20"/>
                <w:szCs w:val="20"/>
              </w:rPr>
              <w:t>Max. qty packs</w:t>
            </w:r>
          </w:p>
        </w:tc>
        <w:tc>
          <w:tcPr>
            <w:tcW w:w="493" w:type="pct"/>
          </w:tcPr>
          <w:p w14:paraId="69B418BC" w14:textId="77777777" w:rsidR="00FC794A" w:rsidRPr="00BB59D8" w:rsidRDefault="00FC794A" w:rsidP="00FC794A">
            <w:pPr>
              <w:keepNext/>
              <w:ind w:left="-108"/>
              <w:jc w:val="center"/>
              <w:rPr>
                <w:rFonts w:ascii="Arial Narrow" w:hAnsi="Arial Narrow"/>
                <w:b/>
                <w:sz w:val="20"/>
                <w:szCs w:val="20"/>
              </w:rPr>
            </w:pPr>
            <w:r w:rsidRPr="00BB59D8">
              <w:rPr>
                <w:rFonts w:ascii="Arial Narrow" w:hAnsi="Arial Narrow"/>
                <w:b/>
                <w:sz w:val="20"/>
                <w:szCs w:val="20"/>
              </w:rPr>
              <w:t>Max. qty units</w:t>
            </w:r>
          </w:p>
        </w:tc>
        <w:tc>
          <w:tcPr>
            <w:tcW w:w="306" w:type="pct"/>
          </w:tcPr>
          <w:p w14:paraId="3D25C3D5" w14:textId="77777777" w:rsidR="00FC794A" w:rsidRPr="00BB59D8" w:rsidRDefault="00FC794A" w:rsidP="00FC794A">
            <w:pPr>
              <w:keepNext/>
              <w:ind w:left="-108"/>
              <w:jc w:val="center"/>
              <w:rPr>
                <w:rFonts w:ascii="Arial Narrow" w:hAnsi="Arial Narrow"/>
                <w:b/>
                <w:sz w:val="20"/>
                <w:szCs w:val="20"/>
              </w:rPr>
            </w:pPr>
            <w:r w:rsidRPr="00BB59D8">
              <w:rPr>
                <w:rFonts w:ascii="Arial Narrow" w:hAnsi="Arial Narrow"/>
                <w:b/>
                <w:sz w:val="20"/>
                <w:szCs w:val="20"/>
              </w:rPr>
              <w:t>№.of</w:t>
            </w:r>
          </w:p>
          <w:p w14:paraId="6CD68C8E" w14:textId="77777777" w:rsidR="00FC794A" w:rsidRPr="00BB59D8" w:rsidRDefault="00FC794A" w:rsidP="00FC794A">
            <w:pPr>
              <w:keepNext/>
              <w:ind w:left="-108"/>
              <w:jc w:val="center"/>
              <w:rPr>
                <w:rFonts w:ascii="Arial Narrow" w:hAnsi="Arial Narrow"/>
                <w:b/>
                <w:sz w:val="20"/>
                <w:szCs w:val="20"/>
              </w:rPr>
            </w:pPr>
            <w:r w:rsidRPr="00BB59D8">
              <w:rPr>
                <w:rFonts w:ascii="Arial Narrow" w:hAnsi="Arial Narrow"/>
                <w:b/>
                <w:sz w:val="20"/>
                <w:szCs w:val="20"/>
              </w:rPr>
              <w:t>Rpts</w:t>
            </w:r>
          </w:p>
        </w:tc>
        <w:tc>
          <w:tcPr>
            <w:tcW w:w="1323" w:type="pct"/>
          </w:tcPr>
          <w:p w14:paraId="7DDB1D0B" w14:textId="77777777" w:rsidR="00FC794A" w:rsidRPr="00BB59D8" w:rsidRDefault="00FC794A" w:rsidP="00FC794A">
            <w:pPr>
              <w:keepNext/>
              <w:ind w:left="-108"/>
              <w:jc w:val="center"/>
              <w:rPr>
                <w:rFonts w:ascii="Arial Narrow" w:hAnsi="Arial Narrow"/>
                <w:b/>
                <w:sz w:val="20"/>
                <w:szCs w:val="20"/>
              </w:rPr>
            </w:pPr>
            <w:r w:rsidRPr="00BB59D8">
              <w:rPr>
                <w:rFonts w:ascii="Arial Narrow" w:hAnsi="Arial Narrow"/>
                <w:b/>
                <w:sz w:val="20"/>
                <w:szCs w:val="20"/>
              </w:rPr>
              <w:t>Dispensed Price for Max. Qty</w:t>
            </w:r>
          </w:p>
        </w:tc>
        <w:tc>
          <w:tcPr>
            <w:tcW w:w="915" w:type="pct"/>
          </w:tcPr>
          <w:p w14:paraId="59F619C5" w14:textId="77777777" w:rsidR="00FC794A" w:rsidRPr="00BB59D8" w:rsidRDefault="008209E0" w:rsidP="00FC794A">
            <w:pPr>
              <w:keepNext/>
              <w:rPr>
                <w:rFonts w:ascii="Arial Narrow" w:hAnsi="Arial Narrow"/>
                <w:b/>
                <w:sz w:val="20"/>
                <w:szCs w:val="20"/>
              </w:rPr>
            </w:pPr>
            <w:r w:rsidRPr="00BB59D8">
              <w:rPr>
                <w:rFonts w:ascii="Arial Narrow" w:hAnsi="Arial Narrow"/>
                <w:b/>
                <w:sz w:val="20"/>
                <w:szCs w:val="20"/>
              </w:rPr>
              <w:t>Available brands</w:t>
            </w:r>
          </w:p>
        </w:tc>
      </w:tr>
      <w:tr w:rsidR="00FC794A" w:rsidRPr="00BB59D8" w14:paraId="76E9CF7E" w14:textId="77777777" w:rsidTr="008209E0">
        <w:trPr>
          <w:cantSplit/>
          <w:trHeight w:val="224"/>
        </w:trPr>
        <w:tc>
          <w:tcPr>
            <w:tcW w:w="5000" w:type="pct"/>
            <w:gridSpan w:val="7"/>
          </w:tcPr>
          <w:p w14:paraId="3C5DD60F" w14:textId="77777777" w:rsidR="00FC794A" w:rsidRPr="00BB59D8" w:rsidRDefault="00FC794A" w:rsidP="00FC794A">
            <w:pPr>
              <w:keepNext/>
              <w:ind w:left="-57"/>
              <w:rPr>
                <w:rFonts w:ascii="Arial Narrow" w:hAnsi="Arial Narrow"/>
                <w:sz w:val="20"/>
                <w:szCs w:val="20"/>
              </w:rPr>
            </w:pPr>
            <w:r w:rsidRPr="00BB59D8">
              <w:rPr>
                <w:rFonts w:ascii="Arial Narrow" w:hAnsi="Arial Narrow"/>
                <w:sz w:val="20"/>
                <w:szCs w:val="20"/>
              </w:rPr>
              <w:t xml:space="preserve">MECASERMIN </w:t>
            </w:r>
          </w:p>
        </w:tc>
      </w:tr>
      <w:tr w:rsidR="00FC794A" w:rsidRPr="00BB59D8" w14:paraId="062CFCAE" w14:textId="77777777" w:rsidTr="008209E0">
        <w:trPr>
          <w:cantSplit/>
          <w:trHeight w:val="197"/>
        </w:trPr>
        <w:tc>
          <w:tcPr>
            <w:tcW w:w="1334" w:type="pct"/>
            <w:gridSpan w:val="2"/>
          </w:tcPr>
          <w:p w14:paraId="02CA1102" w14:textId="77777777" w:rsidR="00FC794A" w:rsidRPr="00BB59D8" w:rsidRDefault="00FC794A" w:rsidP="00FC794A">
            <w:pPr>
              <w:keepNext/>
              <w:ind w:left="-57"/>
              <w:rPr>
                <w:rFonts w:ascii="Arial Narrow" w:hAnsi="Arial Narrow"/>
                <w:sz w:val="20"/>
                <w:szCs w:val="20"/>
              </w:rPr>
            </w:pPr>
            <w:r w:rsidRPr="00BB59D8">
              <w:rPr>
                <w:rFonts w:ascii="Arial Narrow" w:hAnsi="Arial Narrow"/>
                <w:sz w:val="20"/>
                <w:szCs w:val="20"/>
              </w:rPr>
              <w:t xml:space="preserve">mecasermin solution for injection 40 mg in 4 mL vial, 1 </w:t>
            </w:r>
          </w:p>
        </w:tc>
        <w:tc>
          <w:tcPr>
            <w:tcW w:w="629" w:type="pct"/>
          </w:tcPr>
          <w:p w14:paraId="1CFB3380" w14:textId="77777777" w:rsidR="00FC794A" w:rsidRPr="00BB59D8" w:rsidRDefault="00FC794A" w:rsidP="00FC794A">
            <w:pPr>
              <w:keepNext/>
              <w:jc w:val="center"/>
              <w:rPr>
                <w:rFonts w:ascii="Arial Narrow" w:hAnsi="Arial Narrow"/>
                <w:sz w:val="20"/>
                <w:szCs w:val="20"/>
              </w:rPr>
            </w:pPr>
            <w:r w:rsidRPr="00BB59D8">
              <w:rPr>
                <w:rFonts w:ascii="Arial Narrow" w:hAnsi="Arial Narrow"/>
                <w:sz w:val="20"/>
                <w:szCs w:val="20"/>
              </w:rPr>
              <w:t>4</w:t>
            </w:r>
          </w:p>
        </w:tc>
        <w:tc>
          <w:tcPr>
            <w:tcW w:w="493" w:type="pct"/>
          </w:tcPr>
          <w:p w14:paraId="6BF36AB3" w14:textId="77777777" w:rsidR="00FC794A" w:rsidRPr="00BB59D8" w:rsidRDefault="00FC794A" w:rsidP="00FC794A">
            <w:pPr>
              <w:keepNext/>
              <w:jc w:val="center"/>
              <w:rPr>
                <w:rFonts w:ascii="Arial Narrow" w:hAnsi="Arial Narrow"/>
                <w:sz w:val="20"/>
                <w:szCs w:val="20"/>
              </w:rPr>
            </w:pPr>
            <w:r w:rsidRPr="00BB59D8">
              <w:rPr>
                <w:rFonts w:ascii="Arial Narrow" w:hAnsi="Arial Narrow"/>
                <w:sz w:val="20"/>
                <w:szCs w:val="20"/>
              </w:rPr>
              <w:t>4</w:t>
            </w:r>
          </w:p>
        </w:tc>
        <w:tc>
          <w:tcPr>
            <w:tcW w:w="306" w:type="pct"/>
          </w:tcPr>
          <w:p w14:paraId="74514485" w14:textId="77777777" w:rsidR="00FC794A" w:rsidRPr="00BB59D8" w:rsidRDefault="00FC794A" w:rsidP="00FC794A">
            <w:pPr>
              <w:keepNext/>
              <w:jc w:val="center"/>
              <w:rPr>
                <w:rFonts w:ascii="Arial Narrow" w:hAnsi="Arial Narrow"/>
                <w:sz w:val="20"/>
                <w:szCs w:val="20"/>
              </w:rPr>
            </w:pPr>
            <w:r w:rsidRPr="00BB59D8">
              <w:rPr>
                <w:rFonts w:ascii="Arial Narrow" w:hAnsi="Arial Narrow"/>
                <w:sz w:val="20"/>
                <w:szCs w:val="20"/>
              </w:rPr>
              <w:t>5</w:t>
            </w:r>
          </w:p>
        </w:tc>
        <w:tc>
          <w:tcPr>
            <w:tcW w:w="1323" w:type="pct"/>
          </w:tcPr>
          <w:p w14:paraId="6CBE86F1" w14:textId="77777777" w:rsidR="00FC794A" w:rsidRPr="00BB59D8" w:rsidRDefault="00FC794A" w:rsidP="00FC794A">
            <w:pPr>
              <w:keepNext/>
              <w:jc w:val="left"/>
              <w:rPr>
                <w:rFonts w:ascii="Arial Narrow" w:hAnsi="Arial Narrow"/>
                <w:sz w:val="20"/>
                <w:szCs w:val="20"/>
              </w:rPr>
            </w:pPr>
            <w:r w:rsidRPr="00BB59D8">
              <w:rPr>
                <w:rFonts w:ascii="Arial Narrow" w:hAnsi="Arial Narrow"/>
                <w:sz w:val="20"/>
                <w:szCs w:val="20"/>
              </w:rPr>
              <w:t>S100 Private Hospitals &amp; Community Access</w:t>
            </w:r>
          </w:p>
          <w:p w14:paraId="644BC9A7" w14:textId="77777777" w:rsidR="00FC794A" w:rsidRPr="00BB59D8" w:rsidRDefault="00FC794A" w:rsidP="00FC794A">
            <w:pPr>
              <w:keepNext/>
              <w:jc w:val="left"/>
              <w:rPr>
                <w:rFonts w:ascii="Arial Narrow" w:hAnsi="Arial Narrow"/>
                <w:sz w:val="20"/>
                <w:szCs w:val="20"/>
              </w:rPr>
            </w:pPr>
            <w:r w:rsidRPr="00BB59D8">
              <w:rPr>
                <w:rFonts w:ascii="Arial Narrow" w:hAnsi="Arial Narrow"/>
                <w:sz w:val="20"/>
                <w:szCs w:val="20"/>
              </w:rPr>
              <w:t>$</w:t>
            </w:r>
            <w:r w:rsidR="002707AA">
              <w:rPr>
                <w:rFonts w:ascii="Arial Narrow" w:hAnsi="Arial Narrow"/>
                <w:noProof/>
                <w:color w:val="000000"/>
                <w:sz w:val="20"/>
                <w:szCs w:val="20"/>
                <w:highlight w:val="black"/>
              </w:rPr>
              <w:t>''''''''''''''''''</w:t>
            </w:r>
            <w:r w:rsidRPr="00BB59D8">
              <w:rPr>
                <w:rFonts w:ascii="Arial Narrow" w:hAnsi="Arial Narrow"/>
                <w:sz w:val="20"/>
                <w:szCs w:val="20"/>
              </w:rPr>
              <w:t xml:space="preserve"> </w:t>
            </w:r>
          </w:p>
          <w:p w14:paraId="4A84007B" w14:textId="77777777" w:rsidR="00FC794A" w:rsidRPr="00BB59D8" w:rsidRDefault="00FC794A" w:rsidP="00FC794A">
            <w:pPr>
              <w:keepNext/>
              <w:jc w:val="left"/>
              <w:rPr>
                <w:rFonts w:ascii="Arial Narrow" w:hAnsi="Arial Narrow"/>
                <w:sz w:val="20"/>
                <w:szCs w:val="20"/>
              </w:rPr>
            </w:pPr>
          </w:p>
          <w:p w14:paraId="45134F57" w14:textId="77777777" w:rsidR="00FC794A" w:rsidRPr="00BB59D8" w:rsidRDefault="00FC794A" w:rsidP="00FC794A">
            <w:pPr>
              <w:keepNext/>
              <w:jc w:val="left"/>
              <w:rPr>
                <w:rFonts w:ascii="Arial Narrow" w:hAnsi="Arial Narrow"/>
                <w:sz w:val="20"/>
                <w:szCs w:val="20"/>
              </w:rPr>
            </w:pPr>
            <w:r w:rsidRPr="00BB59D8">
              <w:rPr>
                <w:rFonts w:ascii="Arial Narrow" w:hAnsi="Arial Narrow"/>
                <w:sz w:val="20"/>
                <w:szCs w:val="20"/>
              </w:rPr>
              <w:t>S100 Public Hospitals</w:t>
            </w:r>
          </w:p>
          <w:p w14:paraId="10D7A296" w14:textId="77777777" w:rsidR="00FC794A" w:rsidRPr="00BB59D8" w:rsidRDefault="00FC794A" w:rsidP="00FC794A">
            <w:pPr>
              <w:keepNext/>
              <w:rPr>
                <w:rFonts w:ascii="Arial Narrow" w:hAnsi="Arial Narrow"/>
                <w:sz w:val="20"/>
                <w:szCs w:val="20"/>
              </w:rPr>
            </w:pPr>
            <w:r w:rsidRPr="00BB59D8">
              <w:rPr>
                <w:rFonts w:ascii="Arial Narrow" w:hAnsi="Arial Narrow"/>
                <w:sz w:val="20"/>
                <w:szCs w:val="20"/>
              </w:rPr>
              <w:t>$</w:t>
            </w:r>
            <w:r w:rsidR="002707AA">
              <w:rPr>
                <w:rFonts w:ascii="Arial Narrow" w:hAnsi="Arial Narrow"/>
                <w:noProof/>
                <w:color w:val="000000"/>
                <w:sz w:val="20"/>
                <w:szCs w:val="20"/>
                <w:highlight w:val="black"/>
              </w:rPr>
              <w:t>''''''''''''''''''''</w:t>
            </w:r>
          </w:p>
        </w:tc>
        <w:tc>
          <w:tcPr>
            <w:tcW w:w="915" w:type="pct"/>
          </w:tcPr>
          <w:p w14:paraId="3B851023" w14:textId="77777777" w:rsidR="00FC794A" w:rsidRPr="00BB59D8" w:rsidRDefault="00FC794A" w:rsidP="00FC794A">
            <w:pPr>
              <w:keepNext/>
              <w:rPr>
                <w:rFonts w:ascii="Arial Narrow" w:hAnsi="Arial Narrow"/>
                <w:sz w:val="20"/>
                <w:szCs w:val="20"/>
              </w:rPr>
            </w:pPr>
            <w:r w:rsidRPr="00BB59D8">
              <w:rPr>
                <w:rFonts w:ascii="Arial Narrow" w:hAnsi="Arial Narrow"/>
                <w:sz w:val="20"/>
                <w:szCs w:val="20"/>
              </w:rPr>
              <w:t xml:space="preserve">Increlex </w:t>
            </w:r>
          </w:p>
          <w:p w14:paraId="7AC8D8AA" w14:textId="77777777" w:rsidR="00FC794A" w:rsidRPr="00BB59D8" w:rsidRDefault="00FC794A" w:rsidP="00FC794A">
            <w:pPr>
              <w:keepNext/>
              <w:rPr>
                <w:rFonts w:ascii="Arial Narrow" w:hAnsi="Arial Narrow"/>
                <w:sz w:val="20"/>
                <w:szCs w:val="20"/>
              </w:rPr>
            </w:pPr>
          </w:p>
        </w:tc>
      </w:tr>
      <w:tr w:rsidR="00FC794A" w:rsidRPr="00BB59D8" w14:paraId="4BA60B21" w14:textId="77777777" w:rsidTr="008209E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6E649B3" w14:textId="77777777" w:rsidR="00FC794A" w:rsidRPr="00BB59D8" w:rsidRDefault="00FC794A" w:rsidP="00FC794A">
            <w:pPr>
              <w:keepNext/>
              <w:rPr>
                <w:rFonts w:ascii="Arial Narrow" w:hAnsi="Arial Narrow"/>
                <w:sz w:val="20"/>
                <w:szCs w:val="20"/>
                <w:highlight w:val="yellow"/>
              </w:rPr>
            </w:pPr>
          </w:p>
        </w:tc>
      </w:tr>
      <w:tr w:rsidR="00FC794A" w:rsidRPr="00BB59D8" w14:paraId="003DAC1C" w14:textId="77777777" w:rsidTr="008209E0">
        <w:tblPrEx>
          <w:tblCellMar>
            <w:top w:w="15" w:type="dxa"/>
            <w:left w:w="15" w:type="dxa"/>
            <w:bottom w:w="15" w:type="dxa"/>
            <w:right w:w="15" w:type="dxa"/>
          </w:tblCellMar>
          <w:tblLook w:val="04A0" w:firstRow="1" w:lastRow="0" w:firstColumn="1" w:lastColumn="0" w:noHBand="0" w:noVBand="1"/>
        </w:tblPrEx>
        <w:tc>
          <w:tcPr>
            <w:tcW w:w="53" w:type="pct"/>
            <w:vMerge w:val="restart"/>
            <w:tcBorders>
              <w:top w:val="single" w:sz="4" w:space="0" w:color="auto"/>
              <w:left w:val="single" w:sz="4" w:space="0" w:color="auto"/>
              <w:right w:val="single" w:sz="4" w:space="0" w:color="auto"/>
            </w:tcBorders>
          </w:tcPr>
          <w:p w14:paraId="3C05C62F" w14:textId="77777777" w:rsidR="00FC794A" w:rsidRPr="00BB59D8" w:rsidRDefault="00FC794A" w:rsidP="00FC794A">
            <w:pPr>
              <w:keepNext/>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4490C0B5" w14:textId="690E4984" w:rsidR="00FC794A" w:rsidRPr="00BB59D8" w:rsidRDefault="00FC794A" w:rsidP="00FD5116">
            <w:pPr>
              <w:keepNext/>
              <w:rPr>
                <w:rFonts w:ascii="Arial Narrow" w:hAnsi="Arial Narrow"/>
                <w:sz w:val="20"/>
                <w:szCs w:val="20"/>
              </w:rPr>
            </w:pPr>
            <w:r w:rsidRPr="00BB59D8">
              <w:rPr>
                <w:rFonts w:ascii="Arial Narrow" w:hAnsi="Arial Narrow"/>
                <w:b/>
                <w:sz w:val="20"/>
                <w:szCs w:val="20"/>
              </w:rPr>
              <w:t xml:space="preserve">Category / Program: </w:t>
            </w:r>
            <w:r w:rsidR="008209E0" w:rsidRPr="00BB59D8">
              <w:rPr>
                <w:rFonts w:ascii="Arial Narrow" w:hAnsi="Arial Narrow"/>
                <w:b/>
                <w:sz w:val="20"/>
                <w:szCs w:val="20"/>
              </w:rPr>
              <w:t>Section 100 (program</w:t>
            </w:r>
            <w:r w:rsidR="00FD5116" w:rsidRPr="00BB59D8">
              <w:rPr>
                <w:rFonts w:ascii="Arial Narrow" w:hAnsi="Arial Narrow"/>
                <w:b/>
                <w:sz w:val="20"/>
                <w:szCs w:val="20"/>
              </w:rPr>
              <w:t xml:space="preserve"> to be determined</w:t>
            </w:r>
            <w:r w:rsidR="008209E0" w:rsidRPr="00BB59D8">
              <w:rPr>
                <w:rFonts w:ascii="Arial Narrow" w:hAnsi="Arial Narrow"/>
                <w:b/>
                <w:sz w:val="20"/>
                <w:szCs w:val="20"/>
              </w:rPr>
              <w:t xml:space="preserve">) </w:t>
            </w:r>
          </w:p>
        </w:tc>
      </w:tr>
      <w:tr w:rsidR="00FC794A" w:rsidRPr="00BB59D8" w14:paraId="57004575" w14:textId="77777777" w:rsidTr="008209E0">
        <w:tblPrEx>
          <w:tblCellMar>
            <w:top w:w="15" w:type="dxa"/>
            <w:left w:w="15" w:type="dxa"/>
            <w:bottom w:w="15" w:type="dxa"/>
            <w:right w:w="15" w:type="dxa"/>
          </w:tblCellMar>
          <w:tblLook w:val="04A0" w:firstRow="1" w:lastRow="0" w:firstColumn="1" w:lastColumn="0" w:noHBand="0" w:noVBand="1"/>
        </w:tblPrEx>
        <w:trPr>
          <w:trHeight w:val="240"/>
        </w:trPr>
        <w:tc>
          <w:tcPr>
            <w:tcW w:w="53" w:type="pct"/>
            <w:vMerge/>
            <w:tcBorders>
              <w:left w:val="single" w:sz="4" w:space="0" w:color="auto"/>
              <w:right w:val="single" w:sz="4" w:space="0" w:color="auto"/>
            </w:tcBorders>
          </w:tcPr>
          <w:p w14:paraId="5900652B" w14:textId="77777777" w:rsidR="00FC794A" w:rsidRPr="00BB59D8" w:rsidRDefault="00FC794A" w:rsidP="00FC794A">
            <w:pPr>
              <w:keepNext/>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7F3608E5" w14:textId="6C3772D4" w:rsidR="00FC794A" w:rsidRPr="00BB59D8" w:rsidRDefault="00FC794A" w:rsidP="00FC794A">
            <w:pPr>
              <w:keepNext/>
              <w:rPr>
                <w:rFonts w:ascii="Arial Narrow" w:hAnsi="Arial Narrow"/>
                <w:b/>
                <w:sz w:val="20"/>
                <w:szCs w:val="20"/>
              </w:rPr>
            </w:pPr>
            <w:r w:rsidRPr="00BB59D8">
              <w:rPr>
                <w:rFonts w:ascii="Arial Narrow" w:hAnsi="Arial Narrow"/>
                <w:b/>
                <w:sz w:val="20"/>
                <w:szCs w:val="20"/>
              </w:rPr>
              <w:t xml:space="preserve">Prescriber type: </w:t>
            </w:r>
            <w:r w:rsidRPr="00BB59D8">
              <w:rPr>
                <w:rFonts w:ascii="Arial Narrow" w:hAnsi="Arial Narrow"/>
                <w:sz w:val="20"/>
                <w:szCs w:val="20"/>
              </w:rPr>
              <w:fldChar w:fldCharType="begin">
                <w:ffData>
                  <w:name w:val=""/>
                  <w:enabled/>
                  <w:calcOnExit w:val="0"/>
                  <w:checkBox>
                    <w:sizeAuto/>
                    <w:default w:val="1"/>
                  </w:checkBox>
                </w:ffData>
              </w:fldChar>
            </w:r>
            <w:r w:rsidRPr="00BB59D8">
              <w:rPr>
                <w:rFonts w:ascii="Arial Narrow" w:hAnsi="Arial Narrow"/>
                <w:sz w:val="20"/>
                <w:szCs w:val="20"/>
              </w:rPr>
              <w:instrText xml:space="preserve"> FORMCHECKBOX </w:instrText>
            </w:r>
            <w:r w:rsidR="0000363A">
              <w:rPr>
                <w:rFonts w:ascii="Arial Narrow" w:hAnsi="Arial Narrow"/>
                <w:sz w:val="20"/>
                <w:szCs w:val="20"/>
              </w:rPr>
            </w:r>
            <w:r w:rsidR="0000363A">
              <w:rPr>
                <w:rFonts w:ascii="Arial Narrow" w:hAnsi="Arial Narrow"/>
                <w:sz w:val="20"/>
                <w:szCs w:val="20"/>
              </w:rPr>
              <w:fldChar w:fldCharType="separate"/>
            </w:r>
            <w:r w:rsidRPr="00BB59D8">
              <w:rPr>
                <w:rFonts w:ascii="Arial Narrow" w:hAnsi="Arial Narrow"/>
                <w:sz w:val="20"/>
                <w:szCs w:val="20"/>
              </w:rPr>
              <w:fldChar w:fldCharType="end"/>
            </w:r>
            <w:r w:rsidRPr="00BB59D8">
              <w:rPr>
                <w:rFonts w:ascii="Arial Narrow" w:hAnsi="Arial Narrow"/>
                <w:sz w:val="20"/>
                <w:szCs w:val="20"/>
              </w:rPr>
              <w:t xml:space="preserve"> Medical Practitioners</w:t>
            </w:r>
          </w:p>
        </w:tc>
      </w:tr>
      <w:tr w:rsidR="00FC794A" w:rsidRPr="00BB59D8" w14:paraId="5342B338" w14:textId="77777777" w:rsidTr="008209E0">
        <w:tblPrEx>
          <w:tblCellMar>
            <w:top w:w="15" w:type="dxa"/>
            <w:left w:w="15" w:type="dxa"/>
            <w:bottom w:w="15" w:type="dxa"/>
            <w:right w:w="15" w:type="dxa"/>
          </w:tblCellMar>
          <w:tblLook w:val="04A0" w:firstRow="1" w:lastRow="0" w:firstColumn="1" w:lastColumn="0" w:noHBand="0" w:noVBand="1"/>
        </w:tblPrEx>
        <w:tc>
          <w:tcPr>
            <w:tcW w:w="53" w:type="pct"/>
            <w:vMerge/>
            <w:tcBorders>
              <w:left w:val="single" w:sz="4" w:space="0" w:color="auto"/>
              <w:bottom w:val="single" w:sz="4" w:space="0" w:color="auto"/>
              <w:right w:val="single" w:sz="4" w:space="0" w:color="auto"/>
            </w:tcBorders>
          </w:tcPr>
          <w:p w14:paraId="4075748B" w14:textId="77777777" w:rsidR="00FC794A" w:rsidRPr="00BB59D8" w:rsidRDefault="00FC794A" w:rsidP="00FC794A">
            <w:pPr>
              <w:keepNext/>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7504C692" w14:textId="77777777" w:rsidR="00FC794A" w:rsidRPr="00BB59D8" w:rsidRDefault="00FC794A" w:rsidP="00FC794A">
            <w:pPr>
              <w:keepNext/>
              <w:rPr>
                <w:rFonts w:ascii="Arial Narrow" w:eastAsia="Calibri" w:hAnsi="Arial Narrow"/>
                <w:sz w:val="20"/>
                <w:szCs w:val="20"/>
              </w:rPr>
            </w:pPr>
            <w:r w:rsidRPr="00BB59D8">
              <w:rPr>
                <w:rFonts w:ascii="Arial Narrow" w:hAnsi="Arial Narrow"/>
                <w:b/>
                <w:sz w:val="20"/>
                <w:szCs w:val="20"/>
              </w:rPr>
              <w:t>Restriction type:</w:t>
            </w:r>
            <w:r w:rsidRPr="00BB59D8">
              <w:rPr>
                <w:rFonts w:ascii="Arial Narrow" w:eastAsia="Calibri" w:hAnsi="Arial Narrow"/>
                <w:sz w:val="20"/>
                <w:szCs w:val="20"/>
              </w:rPr>
              <w:t xml:space="preserve"> </w:t>
            </w:r>
            <w:r w:rsidRPr="00BB59D8">
              <w:rPr>
                <w:rFonts w:ascii="Arial Narrow" w:eastAsia="Calibri" w:hAnsi="Arial Narrow"/>
                <w:sz w:val="20"/>
                <w:szCs w:val="20"/>
              </w:rPr>
              <w:fldChar w:fldCharType="begin">
                <w:ffData>
                  <w:name w:val="Check3"/>
                  <w:enabled/>
                  <w:calcOnExit w:val="0"/>
                  <w:checkBox>
                    <w:sizeAuto/>
                    <w:default w:val="1"/>
                  </w:checkBox>
                </w:ffData>
              </w:fldChar>
            </w:r>
            <w:r w:rsidRPr="00BB59D8">
              <w:rPr>
                <w:rFonts w:ascii="Arial Narrow" w:eastAsia="Calibri" w:hAnsi="Arial Narrow"/>
                <w:sz w:val="20"/>
                <w:szCs w:val="20"/>
              </w:rPr>
              <w:instrText xml:space="preserve"> FORMCHECKBOX </w:instrText>
            </w:r>
            <w:r w:rsidR="0000363A">
              <w:rPr>
                <w:rFonts w:ascii="Arial Narrow" w:eastAsia="Calibri" w:hAnsi="Arial Narrow"/>
                <w:sz w:val="20"/>
                <w:szCs w:val="20"/>
              </w:rPr>
            </w:r>
            <w:r w:rsidR="0000363A">
              <w:rPr>
                <w:rFonts w:ascii="Arial Narrow" w:eastAsia="Calibri" w:hAnsi="Arial Narrow"/>
                <w:sz w:val="20"/>
                <w:szCs w:val="20"/>
              </w:rPr>
              <w:fldChar w:fldCharType="separate"/>
            </w:r>
            <w:r w:rsidRPr="00BB59D8">
              <w:rPr>
                <w:rFonts w:ascii="Arial Narrow" w:eastAsia="Calibri" w:hAnsi="Arial Narrow"/>
                <w:sz w:val="20"/>
                <w:szCs w:val="20"/>
              </w:rPr>
              <w:fldChar w:fldCharType="end"/>
            </w:r>
            <w:r w:rsidRPr="00BB59D8">
              <w:rPr>
                <w:rFonts w:ascii="Arial Narrow" w:eastAsia="Calibri" w:hAnsi="Arial Narrow"/>
                <w:sz w:val="20"/>
                <w:szCs w:val="20"/>
              </w:rPr>
              <w:t xml:space="preserve"> Authority Required (In-writing only via post/HPOS upload)</w:t>
            </w:r>
          </w:p>
        </w:tc>
      </w:tr>
      <w:tr w:rsidR="008209E0" w:rsidRPr="00BB59D8" w14:paraId="7D46F5DD" w14:textId="77777777" w:rsidTr="008209E0">
        <w:tblPrEx>
          <w:tblCellMar>
            <w:top w:w="15" w:type="dxa"/>
            <w:left w:w="15" w:type="dxa"/>
            <w:bottom w:w="15" w:type="dxa"/>
            <w:right w:w="15" w:type="dxa"/>
          </w:tblCellMar>
          <w:tblLook w:val="04A0" w:firstRow="1" w:lastRow="0" w:firstColumn="1" w:lastColumn="0" w:noHBand="0" w:noVBand="1"/>
        </w:tblPrEx>
        <w:trPr>
          <w:trHeight w:val="338"/>
        </w:trPr>
        <w:tc>
          <w:tcPr>
            <w:tcW w:w="53" w:type="pct"/>
            <w:vMerge w:val="restart"/>
            <w:tcBorders>
              <w:left w:val="single" w:sz="4" w:space="0" w:color="auto"/>
            </w:tcBorders>
          </w:tcPr>
          <w:p w14:paraId="40E23FA3" w14:textId="77777777" w:rsidR="008209E0" w:rsidRPr="00BB59D8" w:rsidRDefault="008209E0" w:rsidP="00FC794A">
            <w:pPr>
              <w:keepNext/>
              <w:jc w:val="center"/>
              <w:rPr>
                <w:rFonts w:ascii="Arial Narrow" w:hAnsi="Arial Narrow"/>
                <w:sz w:val="20"/>
                <w:szCs w:val="20"/>
              </w:rPr>
            </w:pPr>
          </w:p>
        </w:tc>
        <w:tc>
          <w:tcPr>
            <w:tcW w:w="4947" w:type="pct"/>
            <w:gridSpan w:val="6"/>
          </w:tcPr>
          <w:p w14:paraId="42B03751" w14:textId="77777777" w:rsidR="008209E0" w:rsidRPr="00BB59D8" w:rsidRDefault="008209E0" w:rsidP="00FC794A">
            <w:pPr>
              <w:keepNext/>
              <w:rPr>
                <w:rFonts w:ascii="Arial Narrow" w:hAnsi="Arial Narrow"/>
                <w:b/>
                <w:bCs/>
                <w:sz w:val="20"/>
                <w:szCs w:val="20"/>
              </w:rPr>
            </w:pPr>
            <w:r w:rsidRPr="00BB59D8">
              <w:rPr>
                <w:rFonts w:ascii="Arial Narrow" w:hAnsi="Arial Narrow"/>
                <w:b/>
                <w:bCs/>
                <w:sz w:val="20"/>
                <w:szCs w:val="20"/>
                <w:u w:val="single"/>
              </w:rPr>
              <w:t>Note</w:t>
            </w:r>
            <w:r w:rsidRPr="00BB59D8">
              <w:rPr>
                <w:rFonts w:ascii="Arial Narrow" w:hAnsi="Arial Narrow"/>
                <w:b/>
                <w:bCs/>
                <w:sz w:val="20"/>
                <w:szCs w:val="20"/>
              </w:rPr>
              <w:t xml:space="preserve">: </w:t>
            </w:r>
            <w:r w:rsidRPr="00BB59D8">
              <w:rPr>
                <w:rFonts w:ascii="Arial Narrow" w:hAnsi="Arial Narrow"/>
                <w:bCs/>
                <w:sz w:val="20"/>
                <w:szCs w:val="20"/>
              </w:rPr>
              <w:t>No increase in the maximum quantity or number of units may be authorised.</w:t>
            </w:r>
          </w:p>
        </w:tc>
      </w:tr>
      <w:tr w:rsidR="008209E0" w:rsidRPr="00BB59D8" w14:paraId="210CEE2F" w14:textId="77777777" w:rsidTr="008209E0">
        <w:tblPrEx>
          <w:tblCellMar>
            <w:top w:w="15" w:type="dxa"/>
            <w:left w:w="15" w:type="dxa"/>
            <w:bottom w:w="15" w:type="dxa"/>
            <w:right w:w="15" w:type="dxa"/>
          </w:tblCellMar>
          <w:tblLook w:val="04A0" w:firstRow="1" w:lastRow="0" w:firstColumn="1" w:lastColumn="0" w:noHBand="0" w:noVBand="1"/>
        </w:tblPrEx>
        <w:trPr>
          <w:trHeight w:val="244"/>
        </w:trPr>
        <w:tc>
          <w:tcPr>
            <w:tcW w:w="53" w:type="pct"/>
            <w:vMerge/>
            <w:tcBorders>
              <w:left w:val="single" w:sz="4" w:space="0" w:color="auto"/>
            </w:tcBorders>
          </w:tcPr>
          <w:p w14:paraId="26531E84" w14:textId="77777777" w:rsidR="008209E0" w:rsidRPr="00BB59D8" w:rsidRDefault="008209E0" w:rsidP="00FC794A">
            <w:pPr>
              <w:jc w:val="center"/>
              <w:rPr>
                <w:rFonts w:ascii="Arial Narrow" w:hAnsi="Arial Narrow"/>
                <w:sz w:val="20"/>
                <w:szCs w:val="20"/>
              </w:rPr>
            </w:pPr>
          </w:p>
        </w:tc>
        <w:tc>
          <w:tcPr>
            <w:tcW w:w="4947" w:type="pct"/>
            <w:gridSpan w:val="6"/>
          </w:tcPr>
          <w:p w14:paraId="5DC671E9" w14:textId="77777777" w:rsidR="008209E0" w:rsidRPr="00BB59D8" w:rsidRDefault="008209E0" w:rsidP="00FC794A">
            <w:pPr>
              <w:rPr>
                <w:rFonts w:ascii="Arial Narrow" w:hAnsi="Arial Narrow"/>
                <w:b/>
                <w:bCs/>
                <w:sz w:val="20"/>
                <w:szCs w:val="20"/>
              </w:rPr>
            </w:pPr>
            <w:r w:rsidRPr="00BB59D8">
              <w:rPr>
                <w:rFonts w:ascii="Arial Narrow" w:hAnsi="Arial Narrow"/>
                <w:b/>
                <w:bCs/>
                <w:sz w:val="20"/>
                <w:szCs w:val="20"/>
                <w:u w:val="single"/>
              </w:rPr>
              <w:t>Note</w:t>
            </w:r>
            <w:r w:rsidRPr="00BB59D8">
              <w:rPr>
                <w:rFonts w:ascii="Arial Narrow" w:hAnsi="Arial Narrow"/>
                <w:b/>
                <w:bCs/>
                <w:sz w:val="20"/>
                <w:szCs w:val="20"/>
              </w:rPr>
              <w:t xml:space="preserve">: </w:t>
            </w:r>
            <w:r w:rsidRPr="00BB59D8">
              <w:rPr>
                <w:rFonts w:ascii="Arial Narrow" w:hAnsi="Arial Narrow"/>
                <w:bCs/>
                <w:sz w:val="20"/>
                <w:szCs w:val="20"/>
              </w:rPr>
              <w:t>No increase in the maximum number of repeats may be authorised.</w:t>
            </w:r>
          </w:p>
        </w:tc>
      </w:tr>
      <w:tr w:rsidR="008209E0" w:rsidRPr="00BB59D8" w14:paraId="25D40D9A" w14:textId="77777777" w:rsidTr="008209E0">
        <w:tblPrEx>
          <w:tblCellMar>
            <w:top w:w="15" w:type="dxa"/>
            <w:left w:w="15" w:type="dxa"/>
            <w:bottom w:w="15" w:type="dxa"/>
            <w:right w:w="15" w:type="dxa"/>
          </w:tblCellMar>
          <w:tblLook w:val="04A0" w:firstRow="1" w:lastRow="0" w:firstColumn="1" w:lastColumn="0" w:noHBand="0" w:noVBand="1"/>
        </w:tblPrEx>
        <w:trPr>
          <w:trHeight w:val="35"/>
        </w:trPr>
        <w:tc>
          <w:tcPr>
            <w:tcW w:w="53" w:type="pct"/>
            <w:vMerge/>
            <w:tcBorders>
              <w:left w:val="single" w:sz="4" w:space="0" w:color="auto"/>
            </w:tcBorders>
          </w:tcPr>
          <w:p w14:paraId="081A4231" w14:textId="77777777" w:rsidR="008209E0" w:rsidRPr="00BB59D8" w:rsidRDefault="008209E0" w:rsidP="00FC794A">
            <w:pPr>
              <w:jc w:val="center"/>
              <w:rPr>
                <w:rFonts w:ascii="Arial Narrow" w:hAnsi="Arial Narrow"/>
                <w:sz w:val="20"/>
                <w:szCs w:val="20"/>
              </w:rPr>
            </w:pPr>
          </w:p>
        </w:tc>
        <w:tc>
          <w:tcPr>
            <w:tcW w:w="4947" w:type="pct"/>
            <w:gridSpan w:val="6"/>
          </w:tcPr>
          <w:p w14:paraId="7269FF5B" w14:textId="77777777" w:rsidR="008209E0" w:rsidRPr="00BB59D8" w:rsidRDefault="008209E0" w:rsidP="008209E0">
            <w:pPr>
              <w:ind w:right="57"/>
              <w:rPr>
                <w:rFonts w:ascii="Arial Narrow" w:hAnsi="Arial Narrow"/>
                <w:b/>
                <w:bCs/>
                <w:sz w:val="20"/>
                <w:szCs w:val="20"/>
              </w:rPr>
            </w:pPr>
            <w:r w:rsidRPr="00BB59D8">
              <w:rPr>
                <w:rFonts w:ascii="Arial Narrow" w:hAnsi="Arial Narrow"/>
                <w:b/>
                <w:bCs/>
                <w:sz w:val="20"/>
                <w:szCs w:val="20"/>
              </w:rPr>
              <w:t>Administrative advice:</w:t>
            </w:r>
          </w:p>
          <w:p w14:paraId="677630AE" w14:textId="77777777" w:rsidR="008209E0" w:rsidRPr="00BB59D8" w:rsidRDefault="008209E0" w:rsidP="008209E0">
            <w:pPr>
              <w:ind w:right="57"/>
              <w:rPr>
                <w:rFonts w:ascii="Arial Narrow" w:hAnsi="Arial Narrow"/>
                <w:bCs/>
                <w:sz w:val="20"/>
                <w:szCs w:val="20"/>
              </w:rPr>
            </w:pPr>
            <w:r w:rsidRPr="00BB59D8">
              <w:rPr>
                <w:rFonts w:ascii="Arial Narrow" w:hAnsi="Arial Narrow"/>
                <w:bCs/>
                <w:sz w:val="20"/>
                <w:szCs w:val="20"/>
              </w:rPr>
              <w:t>Any queries concerning the arrangements to prescribe may be directed to Services Australia on 1800 700 270 (hours of operation 8 a.m. to 5 p.m. EST Monday to Friday).</w:t>
            </w:r>
          </w:p>
          <w:p w14:paraId="3C366F55" w14:textId="77777777" w:rsidR="008209E0" w:rsidRPr="00BB59D8" w:rsidRDefault="008209E0" w:rsidP="008209E0">
            <w:pPr>
              <w:ind w:right="57"/>
              <w:rPr>
                <w:rFonts w:ascii="Arial Narrow" w:hAnsi="Arial Narrow"/>
                <w:bCs/>
                <w:sz w:val="20"/>
                <w:szCs w:val="20"/>
              </w:rPr>
            </w:pPr>
            <w:r w:rsidRPr="00BB59D8">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0F59EDD8" w14:textId="77777777" w:rsidR="008209E0" w:rsidRPr="00BB59D8" w:rsidRDefault="008209E0" w:rsidP="008209E0">
            <w:pPr>
              <w:ind w:right="57"/>
              <w:rPr>
                <w:rFonts w:ascii="Arial Narrow" w:hAnsi="Arial Narrow"/>
                <w:bCs/>
                <w:sz w:val="20"/>
                <w:szCs w:val="20"/>
              </w:rPr>
            </w:pPr>
            <w:r w:rsidRPr="00BB59D8">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08062268" w14:textId="77777777" w:rsidR="008209E0" w:rsidRPr="00BB59D8" w:rsidRDefault="008209E0" w:rsidP="008209E0">
            <w:pPr>
              <w:ind w:right="57"/>
              <w:rPr>
                <w:rFonts w:ascii="Arial Narrow" w:hAnsi="Arial Narrow"/>
                <w:bCs/>
                <w:sz w:val="20"/>
                <w:szCs w:val="20"/>
              </w:rPr>
            </w:pPr>
            <w:r w:rsidRPr="00BB59D8">
              <w:rPr>
                <w:rFonts w:ascii="Arial Narrow" w:hAnsi="Arial Narrow"/>
                <w:bCs/>
                <w:sz w:val="20"/>
                <w:szCs w:val="20"/>
              </w:rPr>
              <w:t>Or mailed to:</w:t>
            </w:r>
          </w:p>
          <w:p w14:paraId="6E62A654" w14:textId="77777777" w:rsidR="008209E0" w:rsidRPr="00BB59D8" w:rsidRDefault="008209E0" w:rsidP="008209E0">
            <w:pPr>
              <w:ind w:right="57"/>
              <w:rPr>
                <w:rFonts w:ascii="Arial Narrow" w:hAnsi="Arial Narrow"/>
                <w:bCs/>
                <w:sz w:val="20"/>
                <w:szCs w:val="20"/>
              </w:rPr>
            </w:pPr>
            <w:r w:rsidRPr="00BB59D8">
              <w:rPr>
                <w:rFonts w:ascii="Arial Narrow" w:hAnsi="Arial Narrow"/>
                <w:bCs/>
                <w:sz w:val="20"/>
                <w:szCs w:val="20"/>
              </w:rPr>
              <w:t>Services Australia</w:t>
            </w:r>
          </w:p>
          <w:p w14:paraId="5993C758" w14:textId="77777777" w:rsidR="008209E0" w:rsidRPr="00BB59D8" w:rsidRDefault="008209E0" w:rsidP="008209E0">
            <w:pPr>
              <w:ind w:right="57"/>
              <w:rPr>
                <w:rFonts w:ascii="Arial Narrow" w:hAnsi="Arial Narrow"/>
                <w:bCs/>
                <w:sz w:val="20"/>
                <w:szCs w:val="20"/>
              </w:rPr>
            </w:pPr>
            <w:r w:rsidRPr="00BB59D8">
              <w:rPr>
                <w:rFonts w:ascii="Arial Narrow" w:hAnsi="Arial Narrow"/>
                <w:bCs/>
                <w:sz w:val="20"/>
                <w:szCs w:val="20"/>
              </w:rPr>
              <w:t>Complex Drugs</w:t>
            </w:r>
          </w:p>
          <w:p w14:paraId="15536B4A" w14:textId="77777777" w:rsidR="008209E0" w:rsidRPr="00BB59D8" w:rsidRDefault="008209E0" w:rsidP="008209E0">
            <w:pPr>
              <w:ind w:right="57"/>
              <w:rPr>
                <w:rFonts w:ascii="Arial Narrow" w:hAnsi="Arial Narrow"/>
                <w:bCs/>
                <w:sz w:val="20"/>
                <w:szCs w:val="20"/>
              </w:rPr>
            </w:pPr>
            <w:r w:rsidRPr="00BB59D8">
              <w:rPr>
                <w:rFonts w:ascii="Arial Narrow" w:hAnsi="Arial Narrow"/>
                <w:bCs/>
                <w:sz w:val="20"/>
                <w:szCs w:val="20"/>
              </w:rPr>
              <w:t>Reply Paid 9826</w:t>
            </w:r>
          </w:p>
          <w:p w14:paraId="3C47B413" w14:textId="77777777" w:rsidR="008209E0" w:rsidRPr="00BB59D8" w:rsidRDefault="008209E0" w:rsidP="008209E0">
            <w:pPr>
              <w:ind w:right="57"/>
              <w:rPr>
                <w:rFonts w:ascii="Arial Narrow" w:hAnsi="Arial Narrow"/>
                <w:b/>
                <w:bCs/>
                <w:sz w:val="20"/>
                <w:szCs w:val="20"/>
                <w:u w:val="single"/>
              </w:rPr>
            </w:pPr>
            <w:r w:rsidRPr="00BB59D8">
              <w:rPr>
                <w:rFonts w:ascii="Arial Narrow" w:hAnsi="Arial Narrow"/>
                <w:bCs/>
                <w:sz w:val="20"/>
                <w:szCs w:val="20"/>
              </w:rPr>
              <w:t>HOBART TAS 7001</w:t>
            </w:r>
          </w:p>
        </w:tc>
      </w:tr>
      <w:tr w:rsidR="00FC794A" w:rsidRPr="00BB59D8" w14:paraId="5951E493" w14:textId="77777777" w:rsidTr="008209E0">
        <w:tblPrEx>
          <w:tblCellMar>
            <w:top w:w="15" w:type="dxa"/>
            <w:left w:w="15" w:type="dxa"/>
            <w:bottom w:w="15" w:type="dxa"/>
            <w:right w:w="15" w:type="dxa"/>
          </w:tblCellMar>
          <w:tblLook w:val="04A0" w:firstRow="1" w:lastRow="0" w:firstColumn="1" w:lastColumn="0" w:noHBand="0" w:noVBand="1"/>
        </w:tblPrEx>
        <w:tc>
          <w:tcPr>
            <w:tcW w:w="53" w:type="pct"/>
            <w:vMerge w:val="restart"/>
            <w:vAlign w:val="center"/>
          </w:tcPr>
          <w:p w14:paraId="531A9879"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3E583765" w14:textId="77777777" w:rsidR="00FC794A" w:rsidRPr="00BB59D8" w:rsidRDefault="00FC794A" w:rsidP="00FC794A">
            <w:pPr>
              <w:rPr>
                <w:rFonts w:ascii="Arial Narrow" w:hAnsi="Arial Narrow"/>
                <w:b/>
                <w:bCs/>
                <w:i/>
                <w:sz w:val="20"/>
                <w:szCs w:val="20"/>
              </w:rPr>
            </w:pPr>
            <w:r w:rsidRPr="00BB59D8">
              <w:rPr>
                <w:rFonts w:ascii="Arial Narrow" w:hAnsi="Arial Narrow"/>
                <w:b/>
                <w:bCs/>
                <w:i/>
                <w:sz w:val="20"/>
                <w:szCs w:val="20"/>
              </w:rPr>
              <w:t xml:space="preserve">Episodicity: </w:t>
            </w:r>
            <w:r w:rsidRPr="00BB59D8">
              <w:rPr>
                <w:rFonts w:ascii="Arial Narrow" w:hAnsi="Arial Narrow"/>
                <w:i/>
                <w:sz w:val="20"/>
                <w:szCs w:val="20"/>
              </w:rPr>
              <w:t>[blank]</w:t>
            </w:r>
          </w:p>
        </w:tc>
      </w:tr>
      <w:tr w:rsidR="00FC794A" w:rsidRPr="00BB59D8" w14:paraId="40D60DF5" w14:textId="77777777" w:rsidTr="008209E0">
        <w:tblPrEx>
          <w:tblCellMar>
            <w:top w:w="15" w:type="dxa"/>
            <w:left w:w="15" w:type="dxa"/>
            <w:bottom w:w="15" w:type="dxa"/>
            <w:right w:w="15" w:type="dxa"/>
          </w:tblCellMar>
          <w:tblLook w:val="04A0" w:firstRow="1" w:lastRow="0" w:firstColumn="1" w:lastColumn="0" w:noHBand="0" w:noVBand="1"/>
        </w:tblPrEx>
        <w:tc>
          <w:tcPr>
            <w:tcW w:w="53" w:type="pct"/>
            <w:vMerge/>
            <w:vAlign w:val="center"/>
          </w:tcPr>
          <w:p w14:paraId="35BAAECC"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55D0A851" w14:textId="77777777" w:rsidR="00FC794A" w:rsidRPr="00BB59D8" w:rsidRDefault="00FC794A" w:rsidP="00FC794A">
            <w:pPr>
              <w:rPr>
                <w:rFonts w:ascii="Arial Narrow" w:hAnsi="Arial Narrow"/>
                <w:b/>
                <w:bCs/>
                <w:i/>
                <w:sz w:val="20"/>
                <w:szCs w:val="20"/>
              </w:rPr>
            </w:pPr>
            <w:r w:rsidRPr="00BB59D8">
              <w:rPr>
                <w:rFonts w:ascii="Arial Narrow" w:hAnsi="Arial Narrow"/>
                <w:b/>
                <w:bCs/>
                <w:i/>
                <w:sz w:val="20"/>
                <w:szCs w:val="20"/>
              </w:rPr>
              <w:t xml:space="preserve">Severity: </w:t>
            </w:r>
            <w:r w:rsidRPr="00BB59D8">
              <w:rPr>
                <w:rFonts w:ascii="Arial Narrow" w:hAnsi="Arial Narrow"/>
                <w:i/>
                <w:sz w:val="20"/>
                <w:szCs w:val="20"/>
              </w:rPr>
              <w:t>Severe</w:t>
            </w:r>
          </w:p>
        </w:tc>
      </w:tr>
      <w:tr w:rsidR="00FC794A" w:rsidRPr="00BB59D8" w14:paraId="5418CD86" w14:textId="77777777" w:rsidTr="008209E0">
        <w:tblPrEx>
          <w:tblCellMar>
            <w:top w:w="15" w:type="dxa"/>
            <w:left w:w="15" w:type="dxa"/>
            <w:bottom w:w="15" w:type="dxa"/>
            <w:right w:w="15" w:type="dxa"/>
          </w:tblCellMar>
          <w:tblLook w:val="04A0" w:firstRow="1" w:lastRow="0" w:firstColumn="1" w:lastColumn="0" w:noHBand="0" w:noVBand="1"/>
        </w:tblPrEx>
        <w:tc>
          <w:tcPr>
            <w:tcW w:w="53" w:type="pct"/>
            <w:vMerge/>
            <w:vAlign w:val="center"/>
          </w:tcPr>
          <w:p w14:paraId="6EE2445F"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7965DE94" w14:textId="77777777" w:rsidR="00FC794A" w:rsidRPr="00BB59D8" w:rsidRDefault="00FC794A" w:rsidP="00FC794A">
            <w:pPr>
              <w:rPr>
                <w:rFonts w:ascii="Arial Narrow" w:hAnsi="Arial Narrow"/>
                <w:b/>
                <w:bCs/>
                <w:i/>
                <w:sz w:val="20"/>
                <w:szCs w:val="20"/>
              </w:rPr>
            </w:pPr>
            <w:r w:rsidRPr="00BB59D8">
              <w:rPr>
                <w:rFonts w:ascii="Arial Narrow" w:hAnsi="Arial Narrow"/>
                <w:b/>
                <w:bCs/>
                <w:i/>
                <w:sz w:val="20"/>
                <w:szCs w:val="20"/>
              </w:rPr>
              <w:t xml:space="preserve">Condition: </w:t>
            </w:r>
            <w:r w:rsidRPr="00BB59D8">
              <w:rPr>
                <w:rFonts w:ascii="Arial Narrow" w:hAnsi="Arial Narrow"/>
                <w:i/>
                <w:sz w:val="20"/>
                <w:szCs w:val="20"/>
              </w:rPr>
              <w:t>growth failure with primary insulin-like growth factor-1 deficiency</w:t>
            </w:r>
          </w:p>
        </w:tc>
      </w:tr>
      <w:tr w:rsidR="00FC794A" w:rsidRPr="00BB59D8" w14:paraId="084E97E6"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6916DF6"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24345FDE" w14:textId="77777777" w:rsidR="00FC794A" w:rsidRPr="00BB59D8" w:rsidRDefault="00FC794A" w:rsidP="00FC794A">
            <w:pPr>
              <w:rPr>
                <w:rFonts w:ascii="Arial Narrow" w:hAnsi="Arial Narrow"/>
                <w:sz w:val="20"/>
                <w:szCs w:val="20"/>
              </w:rPr>
            </w:pPr>
            <w:r w:rsidRPr="00BB59D8">
              <w:rPr>
                <w:rFonts w:ascii="Arial Narrow" w:hAnsi="Arial Narrow"/>
                <w:b/>
                <w:bCs/>
                <w:sz w:val="20"/>
                <w:szCs w:val="20"/>
              </w:rPr>
              <w:t>Indication:</w:t>
            </w:r>
            <w:r w:rsidRPr="00BB59D8">
              <w:rPr>
                <w:rFonts w:ascii="Arial Narrow" w:hAnsi="Arial Narrow"/>
                <w:sz w:val="20"/>
                <w:szCs w:val="20"/>
              </w:rPr>
              <w:t xml:space="preserve"> Severe growth failure with primary insulin-like growth factor-1 deficiency</w:t>
            </w:r>
          </w:p>
        </w:tc>
      </w:tr>
      <w:tr w:rsidR="00FC794A" w:rsidRPr="00BB59D8" w14:paraId="3DBEF117"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4A261AA3"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32D8AF04" w14:textId="77777777" w:rsidR="00FC794A" w:rsidRPr="00BB59D8" w:rsidRDefault="00FC794A" w:rsidP="00FC794A">
            <w:pPr>
              <w:rPr>
                <w:rFonts w:ascii="Arial Narrow" w:hAnsi="Arial Narrow"/>
                <w:sz w:val="20"/>
                <w:szCs w:val="20"/>
              </w:rPr>
            </w:pPr>
            <w:r w:rsidRPr="00BB59D8">
              <w:rPr>
                <w:rFonts w:ascii="Arial Narrow" w:hAnsi="Arial Narrow"/>
                <w:b/>
                <w:bCs/>
                <w:sz w:val="20"/>
                <w:szCs w:val="20"/>
              </w:rPr>
              <w:t>Treatment Phase:</w:t>
            </w:r>
            <w:r w:rsidRPr="00BB59D8">
              <w:rPr>
                <w:rFonts w:ascii="Arial Narrow" w:hAnsi="Arial Narrow"/>
                <w:sz w:val="20"/>
                <w:szCs w:val="20"/>
              </w:rPr>
              <w:t xml:space="preserve"> Initial treatment</w:t>
            </w:r>
          </w:p>
        </w:tc>
      </w:tr>
      <w:tr w:rsidR="00FC794A" w:rsidRPr="00BB59D8" w14:paraId="564749AE"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6133C184"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1993CDB5" w14:textId="77777777" w:rsidR="00FC794A" w:rsidRPr="00BB59D8" w:rsidRDefault="00FC794A" w:rsidP="00FC794A">
            <w:pPr>
              <w:rPr>
                <w:rFonts w:ascii="Arial Narrow" w:hAnsi="Arial Narrow"/>
                <w:sz w:val="20"/>
                <w:szCs w:val="20"/>
              </w:rPr>
            </w:pPr>
            <w:r w:rsidRPr="00BB59D8">
              <w:rPr>
                <w:rFonts w:ascii="Arial Narrow" w:hAnsi="Arial Narrow"/>
                <w:b/>
                <w:bCs/>
                <w:sz w:val="20"/>
                <w:szCs w:val="20"/>
              </w:rPr>
              <w:t xml:space="preserve">Clinical criteria: </w:t>
            </w:r>
          </w:p>
        </w:tc>
      </w:tr>
      <w:tr w:rsidR="00FC794A" w:rsidRPr="00BB59D8" w14:paraId="619E29DB"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07E28982"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18C1E5EB" w14:textId="77777777" w:rsidR="00FC794A" w:rsidRPr="00BB59D8" w:rsidRDefault="00FC794A" w:rsidP="008209E0">
            <w:pPr>
              <w:ind w:right="57"/>
              <w:rPr>
                <w:rFonts w:ascii="Arial Narrow" w:hAnsi="Arial Narrow"/>
                <w:sz w:val="20"/>
                <w:szCs w:val="20"/>
              </w:rPr>
            </w:pPr>
            <w:r w:rsidRPr="00BB59D8">
              <w:rPr>
                <w:rFonts w:ascii="Arial Narrow" w:hAnsi="Arial Narrow" w:cs="Arial Narrow"/>
                <w:iCs/>
                <w:sz w:val="20"/>
                <w:szCs w:val="20"/>
              </w:rPr>
              <w:t xml:space="preserve">The condition must be caused by severe primary insulin-like growth factor-1 deficiency (IGFD), with IGFD deficiency for the purpose of PBS-subsidy defined as a basal IGF-1 level (measured </w:t>
            </w:r>
            <w:r w:rsidR="00DB4BC1" w:rsidRPr="00BB59D8">
              <w:rPr>
                <w:rFonts w:ascii="Arial Narrow" w:hAnsi="Arial Narrow" w:cs="Arial Narrow"/>
                <w:iCs/>
                <w:sz w:val="20"/>
                <w:szCs w:val="20"/>
              </w:rPr>
              <w:t>any time</w:t>
            </w:r>
            <w:r w:rsidRPr="00BB59D8">
              <w:rPr>
                <w:rFonts w:ascii="Arial Narrow" w:hAnsi="Arial Narrow" w:cs="Arial Narrow"/>
                <w:iCs/>
                <w:sz w:val="20"/>
                <w:szCs w:val="20"/>
              </w:rPr>
              <w:t xml:space="preserve"> prior to initiating treatment with this drug) below the 2.5</w:t>
            </w:r>
            <w:r w:rsidRPr="00BB59D8">
              <w:rPr>
                <w:rFonts w:ascii="Arial Narrow" w:hAnsi="Arial Narrow" w:cs="Arial Narrow"/>
                <w:iCs/>
                <w:sz w:val="20"/>
                <w:szCs w:val="20"/>
                <w:vertAlign w:val="superscript"/>
              </w:rPr>
              <w:t>th</w:t>
            </w:r>
            <w:r w:rsidRPr="00BB59D8">
              <w:rPr>
                <w:rFonts w:ascii="Arial Narrow" w:hAnsi="Arial Narrow" w:cs="Arial Narrow"/>
                <w:iCs/>
                <w:sz w:val="20"/>
                <w:szCs w:val="20"/>
              </w:rPr>
              <w:t xml:space="preserve"> percentile adjusted for each of: (i) age, (ii) gender; state in this authority application the patient’s basal IGF-1 level measured in ng/mL, including the measurement date in dd/mm/yy, plus the name of the pathology result provider</w:t>
            </w:r>
          </w:p>
        </w:tc>
      </w:tr>
      <w:tr w:rsidR="00FC794A" w:rsidRPr="00BB59D8" w14:paraId="4C9EE4C1"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0BB8AD53"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46DDF8CF"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AND</w:t>
            </w:r>
          </w:p>
        </w:tc>
      </w:tr>
      <w:tr w:rsidR="00FC794A" w:rsidRPr="00BB59D8" w14:paraId="76C96D51"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06BAABDD"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425FF867"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Clinical criteria:</w:t>
            </w:r>
          </w:p>
        </w:tc>
      </w:tr>
      <w:tr w:rsidR="00FC794A" w:rsidRPr="00BB59D8" w14:paraId="507F0268"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2873BDD4"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7B463C2A"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 xml:space="preserve">The condition must have resulted in the patient experiencing short stature, with short stature for the purpose of PBS-subsidy defined as the patient’s height (measured </w:t>
            </w:r>
            <w:r w:rsidR="00DB4BC1" w:rsidRPr="00BB59D8">
              <w:rPr>
                <w:rFonts w:ascii="Arial Narrow" w:hAnsi="Arial Narrow"/>
                <w:sz w:val="20"/>
                <w:szCs w:val="20"/>
              </w:rPr>
              <w:t>any time</w:t>
            </w:r>
            <w:r w:rsidRPr="00BB59D8">
              <w:rPr>
                <w:rFonts w:ascii="Arial Narrow" w:hAnsi="Arial Narrow"/>
                <w:sz w:val="20"/>
                <w:szCs w:val="20"/>
              </w:rPr>
              <w:t xml:space="preserve"> prior to initiating treatment with this drug) being at least 3 standard deviations below the norm, adjusted for each of: (age), (ii) gender; state in this authority application the patient’s height in centimetres, including the measurement date in dd/mm/yy </w:t>
            </w:r>
          </w:p>
        </w:tc>
      </w:tr>
      <w:tr w:rsidR="00FC794A" w:rsidRPr="00BB59D8" w14:paraId="4F07ABB5"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338C2008"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21B59AFD"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AND</w:t>
            </w:r>
          </w:p>
        </w:tc>
      </w:tr>
      <w:tr w:rsidR="00FC794A" w:rsidRPr="00BB59D8" w14:paraId="7A9FCD40"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745329C0"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35759347"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Clinical criteria:</w:t>
            </w:r>
          </w:p>
        </w:tc>
      </w:tr>
      <w:tr w:rsidR="00FC794A" w:rsidRPr="00BB59D8" w14:paraId="2A75433E"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F9214DF"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02379C56"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 xml:space="preserve">The condition must have resulted in the patient experiencing slow growth, with slow growth for the purpose of PBS-subsidy defined as a baseline height velocity (measured </w:t>
            </w:r>
            <w:r w:rsidR="00DB4BC1" w:rsidRPr="00BB59D8">
              <w:rPr>
                <w:rFonts w:ascii="Arial Narrow" w:hAnsi="Arial Narrow"/>
                <w:sz w:val="20"/>
                <w:szCs w:val="20"/>
              </w:rPr>
              <w:t>any time</w:t>
            </w:r>
            <w:r w:rsidRPr="00BB59D8">
              <w:rPr>
                <w:rFonts w:ascii="Arial Narrow" w:hAnsi="Arial Narrow"/>
                <w:sz w:val="20"/>
                <w:szCs w:val="20"/>
              </w:rPr>
              <w:t xml:space="preserve"> prior to initiating treatment with this drug) less than the 25</w:t>
            </w:r>
            <w:r w:rsidRPr="00BB59D8">
              <w:rPr>
                <w:rFonts w:ascii="Arial Narrow" w:hAnsi="Arial Narrow"/>
                <w:sz w:val="20"/>
                <w:szCs w:val="20"/>
                <w:vertAlign w:val="superscript"/>
              </w:rPr>
              <w:t>th</w:t>
            </w:r>
            <w:r w:rsidRPr="00BB59D8">
              <w:rPr>
                <w:rFonts w:ascii="Arial Narrow" w:hAnsi="Arial Narrow"/>
                <w:sz w:val="20"/>
                <w:szCs w:val="20"/>
              </w:rPr>
              <w:t xml:space="preserve"> percentile for bone age, based on 2 measurements over 12 months; state in this authority application each of the 2 height velocity measurements in cm/year, including the 2 time points the measurements were observed in month/year.</w:t>
            </w:r>
          </w:p>
        </w:tc>
      </w:tr>
      <w:tr w:rsidR="00FC794A" w:rsidRPr="00BB59D8" w14:paraId="7EC7F2FB"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6FA17D9C"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215CC395" w14:textId="77777777" w:rsidR="00FC794A" w:rsidRPr="00BB59D8" w:rsidRDefault="00FC794A" w:rsidP="008209E0">
            <w:pPr>
              <w:ind w:right="57"/>
              <w:rPr>
                <w:rFonts w:ascii="Arial Narrow" w:hAnsi="Arial Narrow"/>
                <w:b/>
                <w:bCs/>
                <w:sz w:val="20"/>
                <w:szCs w:val="20"/>
              </w:rPr>
            </w:pPr>
            <w:r w:rsidRPr="00BB59D8">
              <w:rPr>
                <w:rFonts w:ascii="Arial Narrow" w:hAnsi="Arial Narrow"/>
                <w:b/>
                <w:bCs/>
                <w:sz w:val="20"/>
                <w:szCs w:val="20"/>
              </w:rPr>
              <w:t>AND</w:t>
            </w:r>
          </w:p>
        </w:tc>
      </w:tr>
      <w:tr w:rsidR="00FC794A" w:rsidRPr="00BB59D8" w14:paraId="34D9A386"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7C18ECD"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379045FC" w14:textId="77777777" w:rsidR="00FC794A" w:rsidRPr="00BB59D8" w:rsidRDefault="00FC794A" w:rsidP="008209E0">
            <w:pPr>
              <w:ind w:right="57"/>
              <w:rPr>
                <w:rFonts w:ascii="Arial Narrow" w:hAnsi="Arial Narrow"/>
                <w:b/>
                <w:bCs/>
                <w:sz w:val="20"/>
                <w:szCs w:val="20"/>
              </w:rPr>
            </w:pPr>
            <w:r w:rsidRPr="00BB59D8">
              <w:rPr>
                <w:rFonts w:ascii="Arial Narrow" w:hAnsi="Arial Narrow"/>
                <w:b/>
                <w:bCs/>
                <w:sz w:val="20"/>
                <w:szCs w:val="20"/>
              </w:rPr>
              <w:t>Clinical criteria:</w:t>
            </w:r>
          </w:p>
        </w:tc>
      </w:tr>
      <w:tr w:rsidR="00FC794A" w:rsidRPr="00BB59D8" w14:paraId="700A8E21"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1C631064"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1F789576"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 xml:space="preserve">The condition must not be caused by growth hormone deficiency – substantiate this by stating in this authority application the patient’s measured (any time point) peak growth hormone level in ug/L, along with the pathology provider’s stated lower range of ‘normal’ </w:t>
            </w:r>
          </w:p>
        </w:tc>
      </w:tr>
      <w:tr w:rsidR="00FC794A" w:rsidRPr="00BB59D8" w14:paraId="79796941"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FFB8604"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4F51355F" w14:textId="77777777" w:rsidR="00FC794A" w:rsidRPr="00BB59D8" w:rsidRDefault="00FC794A" w:rsidP="008209E0">
            <w:pPr>
              <w:ind w:right="57"/>
              <w:rPr>
                <w:rFonts w:ascii="Arial Narrow" w:hAnsi="Arial Narrow"/>
                <w:b/>
                <w:bCs/>
                <w:sz w:val="20"/>
                <w:szCs w:val="20"/>
              </w:rPr>
            </w:pPr>
            <w:r w:rsidRPr="00BB59D8">
              <w:rPr>
                <w:rFonts w:ascii="Arial Narrow" w:hAnsi="Arial Narrow"/>
                <w:b/>
                <w:bCs/>
                <w:sz w:val="20"/>
                <w:szCs w:val="20"/>
              </w:rPr>
              <w:t>AND</w:t>
            </w:r>
          </w:p>
        </w:tc>
      </w:tr>
      <w:tr w:rsidR="00FC794A" w:rsidRPr="00BB59D8" w14:paraId="4D3A00B0"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41C7EA75"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2D7A707C" w14:textId="77777777" w:rsidR="00FC794A" w:rsidRPr="00BB59D8" w:rsidRDefault="00FC794A" w:rsidP="008209E0">
            <w:pPr>
              <w:ind w:right="57"/>
              <w:rPr>
                <w:rFonts w:ascii="Arial Narrow" w:hAnsi="Arial Narrow"/>
                <w:b/>
                <w:bCs/>
                <w:sz w:val="20"/>
                <w:szCs w:val="20"/>
              </w:rPr>
            </w:pPr>
            <w:r w:rsidRPr="00BB59D8">
              <w:rPr>
                <w:rFonts w:ascii="Arial Narrow" w:hAnsi="Arial Narrow"/>
                <w:b/>
                <w:bCs/>
                <w:sz w:val="20"/>
                <w:szCs w:val="20"/>
              </w:rPr>
              <w:t>Clinical criteria:</w:t>
            </w:r>
          </w:p>
        </w:tc>
      </w:tr>
      <w:tr w:rsidR="00FC794A" w:rsidRPr="00BB59D8" w14:paraId="2867EC52"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45395041"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42C8B22B"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The condition must not be caused by secondary causes of IGFD – prior to initiating treatment with this drug, the treating physician has at least excluded each of the following: (i) malnutrition, (ii) hypopituitarism, (iii) hypothyroidism, (iv) medication side-effects</w:t>
            </w:r>
          </w:p>
        </w:tc>
      </w:tr>
      <w:tr w:rsidR="00FC794A" w:rsidRPr="00BB59D8" w14:paraId="1DDCFE2B"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35E1D151"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3327EDDD" w14:textId="77777777" w:rsidR="00FC794A" w:rsidRPr="00BB59D8" w:rsidRDefault="00FC794A" w:rsidP="008209E0">
            <w:pPr>
              <w:ind w:right="57"/>
              <w:rPr>
                <w:rFonts w:ascii="Arial Narrow" w:hAnsi="Arial Narrow"/>
                <w:sz w:val="20"/>
                <w:szCs w:val="20"/>
              </w:rPr>
            </w:pPr>
          </w:p>
        </w:tc>
      </w:tr>
      <w:tr w:rsidR="00FC794A" w:rsidRPr="00BB59D8" w14:paraId="7BD44DEC"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420F8B04"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6954F8A9"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Treatment criteria:</w:t>
            </w:r>
          </w:p>
        </w:tc>
      </w:tr>
      <w:tr w:rsidR="00FC794A" w:rsidRPr="00BB59D8" w14:paraId="036F0F2F"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1ABE5178"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12483074" w14:textId="77777777" w:rsidR="00FC794A" w:rsidRPr="00BB59D8" w:rsidRDefault="00FC794A" w:rsidP="008209E0">
            <w:pPr>
              <w:ind w:right="57"/>
              <w:rPr>
                <w:rFonts w:ascii="Arial Narrow" w:hAnsi="Arial Narrow"/>
                <w:i/>
                <w:sz w:val="20"/>
                <w:szCs w:val="20"/>
              </w:rPr>
            </w:pPr>
            <w:r w:rsidRPr="00BB59D8">
              <w:rPr>
                <w:rFonts w:ascii="Arial Narrow" w:hAnsi="Arial Narrow"/>
                <w:strike/>
                <w:sz w:val="20"/>
                <w:szCs w:val="20"/>
              </w:rPr>
              <w:t>Must be treated by a specialist or consultant physician in general paediatrics in consultation with a nominated specialist or consultant physician in paediatric endocrinology.</w:t>
            </w:r>
          </w:p>
          <w:p w14:paraId="76778D08" w14:textId="77777777" w:rsidR="00FC794A" w:rsidRPr="00BB59D8" w:rsidRDefault="00FC794A" w:rsidP="008209E0">
            <w:pPr>
              <w:ind w:right="57"/>
              <w:rPr>
                <w:rFonts w:ascii="Arial Narrow" w:hAnsi="Arial Narrow"/>
                <w:i/>
                <w:sz w:val="20"/>
                <w:szCs w:val="20"/>
              </w:rPr>
            </w:pPr>
          </w:p>
          <w:p w14:paraId="636A6344"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Must be treated by a specialist physician identifying as one of: (i) a paediatric endocrinologist,; the authority application form must be completed by the specified physician type; OR</w:t>
            </w:r>
          </w:p>
        </w:tc>
      </w:tr>
      <w:tr w:rsidR="00FC794A" w:rsidRPr="00BB59D8" w14:paraId="425EE038"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6A62BA1"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3FE4AA1D" w14:textId="77777777" w:rsidR="00FC794A" w:rsidRPr="00BB59D8" w:rsidRDefault="00FC794A" w:rsidP="008209E0">
            <w:pPr>
              <w:autoSpaceDE w:val="0"/>
              <w:autoSpaceDN w:val="0"/>
              <w:adjustRightInd w:val="0"/>
              <w:ind w:right="57"/>
              <w:rPr>
                <w:rFonts w:ascii="Arial Narrow" w:hAnsi="Arial Narrow" w:cs="Arial Narrow"/>
                <w:i/>
                <w:iCs/>
                <w:sz w:val="20"/>
                <w:szCs w:val="20"/>
              </w:rPr>
            </w:pPr>
            <w:r w:rsidRPr="00BB59D8">
              <w:rPr>
                <w:rFonts w:ascii="Arial Narrow" w:hAnsi="Arial Narrow"/>
                <w:i/>
                <w:sz w:val="20"/>
                <w:szCs w:val="20"/>
              </w:rPr>
              <w:t>Must be treated by a paediatrician who has consulted the above mentioned specialist type, with the authority application form completed by this paediatrician.</w:t>
            </w:r>
          </w:p>
        </w:tc>
      </w:tr>
      <w:tr w:rsidR="00FC794A" w:rsidRPr="00BB59D8" w14:paraId="44E2BAEE"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4CCC9B56"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607007A9" w14:textId="77777777" w:rsidR="00FC794A" w:rsidRPr="00BB59D8" w:rsidRDefault="00FC794A" w:rsidP="008209E0">
            <w:pPr>
              <w:autoSpaceDE w:val="0"/>
              <w:autoSpaceDN w:val="0"/>
              <w:adjustRightInd w:val="0"/>
              <w:ind w:right="57"/>
              <w:rPr>
                <w:rFonts w:ascii="Arial Narrow" w:hAnsi="Arial Narrow"/>
                <w:sz w:val="20"/>
                <w:szCs w:val="20"/>
              </w:rPr>
            </w:pPr>
          </w:p>
        </w:tc>
      </w:tr>
      <w:tr w:rsidR="00FC794A" w:rsidRPr="00BB59D8" w14:paraId="6EB8FC12"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492A22D0"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7086640B"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Population criteria:</w:t>
            </w:r>
          </w:p>
        </w:tc>
      </w:tr>
      <w:tr w:rsidR="00FC794A" w:rsidRPr="00BB59D8" w14:paraId="71C1AB89"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49AB24F7"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45B5FD42"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Patient must be aged from 2 years up until their 19</w:t>
            </w:r>
            <w:r w:rsidRPr="00BB59D8">
              <w:rPr>
                <w:rFonts w:ascii="Arial Narrow" w:hAnsi="Arial Narrow"/>
                <w:sz w:val="20"/>
                <w:szCs w:val="20"/>
                <w:vertAlign w:val="superscript"/>
              </w:rPr>
              <w:t>th</w:t>
            </w:r>
            <w:r w:rsidRPr="00BB59D8">
              <w:rPr>
                <w:rFonts w:ascii="Arial Narrow" w:hAnsi="Arial Narrow"/>
                <w:sz w:val="20"/>
                <w:szCs w:val="20"/>
              </w:rPr>
              <w:t xml:space="preserve"> birthday </w:t>
            </w:r>
          </w:p>
        </w:tc>
      </w:tr>
      <w:tr w:rsidR="00A020F7" w:rsidRPr="00BB59D8" w14:paraId="73566253"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2DDE8974" w14:textId="77777777" w:rsidR="00A020F7" w:rsidRPr="00BB59D8" w:rsidRDefault="00A020F7" w:rsidP="00FC794A">
            <w:pPr>
              <w:jc w:val="center"/>
              <w:rPr>
                <w:rFonts w:ascii="Arial Narrow" w:hAnsi="Arial Narrow"/>
                <w:sz w:val="20"/>
                <w:szCs w:val="20"/>
              </w:rPr>
            </w:pPr>
          </w:p>
        </w:tc>
        <w:tc>
          <w:tcPr>
            <w:tcW w:w="4947" w:type="pct"/>
            <w:gridSpan w:val="6"/>
            <w:vAlign w:val="center"/>
          </w:tcPr>
          <w:p w14:paraId="4D4BE328" w14:textId="77777777" w:rsidR="00A020F7" w:rsidRPr="00BB59D8" w:rsidRDefault="00A020F7" w:rsidP="008209E0">
            <w:pPr>
              <w:ind w:right="57"/>
              <w:rPr>
                <w:rFonts w:ascii="Arial Narrow" w:hAnsi="Arial Narrow"/>
                <w:sz w:val="20"/>
                <w:szCs w:val="20"/>
              </w:rPr>
            </w:pPr>
          </w:p>
        </w:tc>
      </w:tr>
      <w:tr w:rsidR="00FC794A" w:rsidRPr="00BB59D8" w14:paraId="269A23A1"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4070077"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2BA9A7E1" w14:textId="77777777" w:rsidR="00FC794A" w:rsidRPr="00BB59D8" w:rsidRDefault="00FC794A" w:rsidP="008209E0">
            <w:pPr>
              <w:ind w:right="57"/>
              <w:rPr>
                <w:rFonts w:ascii="Arial Narrow" w:hAnsi="Arial Narrow"/>
                <w:sz w:val="20"/>
                <w:szCs w:val="20"/>
              </w:rPr>
            </w:pPr>
          </w:p>
        </w:tc>
      </w:tr>
      <w:tr w:rsidR="00FC794A" w:rsidRPr="00BB59D8" w14:paraId="4F723BB3" w14:textId="77777777" w:rsidTr="008209E0">
        <w:tblPrEx>
          <w:tblCellMar>
            <w:top w:w="15" w:type="dxa"/>
            <w:left w:w="15" w:type="dxa"/>
            <w:bottom w:w="15" w:type="dxa"/>
            <w:right w:w="15" w:type="dxa"/>
          </w:tblCellMar>
        </w:tblPrEx>
        <w:tc>
          <w:tcPr>
            <w:tcW w:w="53" w:type="pct"/>
          </w:tcPr>
          <w:p w14:paraId="02559682" w14:textId="77777777" w:rsidR="00FC794A" w:rsidRPr="00BB59D8" w:rsidRDefault="00FC794A" w:rsidP="00FC794A">
            <w:pPr>
              <w:jc w:val="center"/>
              <w:rPr>
                <w:rFonts w:ascii="Arial Narrow" w:hAnsi="Arial Narrow"/>
                <w:sz w:val="20"/>
                <w:szCs w:val="20"/>
              </w:rPr>
            </w:pPr>
          </w:p>
        </w:tc>
        <w:tc>
          <w:tcPr>
            <w:tcW w:w="4947" w:type="pct"/>
            <w:gridSpan w:val="6"/>
          </w:tcPr>
          <w:p w14:paraId="287BA37D" w14:textId="77777777" w:rsidR="00FC794A" w:rsidRPr="00BB59D8" w:rsidRDefault="00FC794A" w:rsidP="008209E0">
            <w:pPr>
              <w:ind w:right="57"/>
              <w:rPr>
                <w:rFonts w:ascii="Arial Narrow" w:hAnsi="Arial Narrow" w:cs="Arial Narrow"/>
                <w:b/>
                <w:i/>
                <w:iCs/>
                <w:sz w:val="20"/>
                <w:szCs w:val="20"/>
              </w:rPr>
            </w:pPr>
            <w:r w:rsidRPr="00BB59D8">
              <w:rPr>
                <w:rFonts w:ascii="Arial Narrow" w:hAnsi="Arial Narrow" w:cs="Arial Narrow"/>
                <w:b/>
                <w:i/>
                <w:iCs/>
                <w:sz w:val="20"/>
                <w:szCs w:val="20"/>
              </w:rPr>
              <w:t>Prescribing Instructions:</w:t>
            </w:r>
          </w:p>
          <w:p w14:paraId="2A3BB6F9"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The authority application must be made in writing and must include:</w:t>
            </w:r>
          </w:p>
          <w:p w14:paraId="4FE740A7"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(1) a completed authority prescription form; and</w:t>
            </w:r>
          </w:p>
          <w:p w14:paraId="75A82A78"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(2) a completed authority application form relevant to the indication and treatment phase (the latest version is located on the website specified in the Administrative Advice).</w:t>
            </w:r>
          </w:p>
        </w:tc>
      </w:tr>
      <w:tr w:rsidR="00FC794A" w:rsidRPr="00BB59D8" w14:paraId="18ED3C03"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6C69107A"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15A9F8FB" w14:textId="77777777" w:rsidR="00FC794A" w:rsidRPr="00BB59D8" w:rsidRDefault="00FC794A" w:rsidP="008209E0">
            <w:pPr>
              <w:ind w:right="57"/>
              <w:rPr>
                <w:rFonts w:ascii="Arial Narrow" w:hAnsi="Arial Narrow"/>
                <w:b/>
                <w:bCs/>
                <w:i/>
                <w:sz w:val="20"/>
                <w:szCs w:val="20"/>
              </w:rPr>
            </w:pPr>
            <w:r w:rsidRPr="00BB59D8">
              <w:rPr>
                <w:rFonts w:ascii="Arial Narrow" w:hAnsi="Arial Narrow"/>
                <w:b/>
                <w:bCs/>
                <w:i/>
                <w:sz w:val="20"/>
                <w:szCs w:val="20"/>
              </w:rPr>
              <w:t>Prescriber instructions:</w:t>
            </w:r>
          </w:p>
          <w:p w14:paraId="34C174F3" w14:textId="77777777" w:rsidR="00FC794A" w:rsidRPr="00BB59D8" w:rsidRDefault="00FC794A" w:rsidP="008209E0">
            <w:pPr>
              <w:ind w:right="57"/>
              <w:rPr>
                <w:rFonts w:ascii="Arial Narrow" w:hAnsi="Arial Narrow"/>
                <w:i/>
                <w:sz w:val="20"/>
                <w:szCs w:val="20"/>
                <w:u w:val="single"/>
              </w:rPr>
            </w:pPr>
            <w:r w:rsidRPr="00BB59D8">
              <w:rPr>
                <w:rFonts w:ascii="Arial Narrow" w:hAnsi="Arial Narrow"/>
                <w:i/>
                <w:sz w:val="20"/>
                <w:szCs w:val="20"/>
                <w:u w:val="single"/>
              </w:rPr>
              <w:t>Maximum quantity/amount of drug selection:</w:t>
            </w:r>
          </w:p>
          <w:p w14:paraId="7CB057DB"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At the time of the authority application, state the following:</w:t>
            </w:r>
          </w:p>
          <w:p w14:paraId="142754A3"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(i) the patient’s weight in kg;</w:t>
            </w:r>
          </w:p>
          <w:p w14:paraId="43E6B03B"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 xml:space="preserve">(ii) the prescribed dose (between 0.04 to 0.12 mg/kg); </w:t>
            </w:r>
          </w:p>
          <w:p w14:paraId="0403980F" w14:textId="77777777" w:rsidR="00FC794A" w:rsidRPr="00BB59D8" w:rsidRDefault="00FC794A" w:rsidP="008209E0">
            <w:pPr>
              <w:ind w:right="57"/>
              <w:rPr>
                <w:rFonts w:ascii="Arial Narrow" w:hAnsi="Arial Narrow"/>
                <w:i/>
                <w:sz w:val="20"/>
                <w:szCs w:val="20"/>
              </w:rPr>
            </w:pPr>
            <w:r w:rsidRPr="00BB59D8">
              <w:rPr>
                <w:rFonts w:ascii="Arial Narrow" w:hAnsi="Arial Narrow"/>
                <w:i/>
                <w:sz w:val="20"/>
                <w:szCs w:val="20"/>
              </w:rPr>
              <w:t>(iii) the number of vials rounded to the nearest whole number, to provide sufficient drug quantity for 4 weeks treatment.</w:t>
            </w:r>
          </w:p>
        </w:tc>
      </w:tr>
      <w:tr w:rsidR="00FC794A" w:rsidRPr="00BB59D8" w14:paraId="5F458907" w14:textId="77777777" w:rsidTr="008209E0">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023FA48" w14:textId="77777777" w:rsidR="00FC794A" w:rsidRPr="00BB59D8" w:rsidRDefault="00FC794A" w:rsidP="008209E0">
            <w:pPr>
              <w:ind w:right="57"/>
              <w:rPr>
                <w:rFonts w:ascii="Arial Narrow" w:hAnsi="Arial Narrow"/>
                <w:bCs/>
                <w:sz w:val="20"/>
                <w:szCs w:val="20"/>
              </w:rPr>
            </w:pPr>
          </w:p>
        </w:tc>
      </w:tr>
      <w:tr w:rsidR="00FC794A" w:rsidRPr="00BB59D8" w14:paraId="719C5515"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hideMark/>
          </w:tcPr>
          <w:p w14:paraId="09A6A877"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59998551"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Treatment Phase:</w:t>
            </w:r>
            <w:r w:rsidRPr="00BB59D8">
              <w:rPr>
                <w:rFonts w:ascii="Arial Narrow" w:hAnsi="Arial Narrow"/>
                <w:sz w:val="20"/>
                <w:szCs w:val="20"/>
              </w:rPr>
              <w:t xml:space="preserve"> Continuing treatment</w:t>
            </w:r>
          </w:p>
        </w:tc>
      </w:tr>
      <w:tr w:rsidR="00FC794A" w:rsidRPr="00BB59D8" w14:paraId="098F4541"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1578EC9C"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5B19D863"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 xml:space="preserve">Clinical criteria: </w:t>
            </w:r>
          </w:p>
        </w:tc>
      </w:tr>
      <w:tr w:rsidR="00FC794A" w:rsidRPr="00BB59D8" w14:paraId="6403124F"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86088AE"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0A6872A6"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Patient must have previously received PBS-subsidised treatment with this drug for this condition</w:t>
            </w:r>
          </w:p>
        </w:tc>
      </w:tr>
      <w:tr w:rsidR="00FC794A" w:rsidRPr="00BB59D8" w14:paraId="34064811"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64E24FE4"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591FCCF2" w14:textId="77777777" w:rsidR="00FC794A" w:rsidRPr="00BB59D8" w:rsidRDefault="00FC794A" w:rsidP="008209E0">
            <w:pPr>
              <w:ind w:right="57"/>
              <w:rPr>
                <w:rFonts w:ascii="Arial Narrow" w:hAnsi="Arial Narrow"/>
                <w:b/>
                <w:bCs/>
                <w:sz w:val="20"/>
                <w:szCs w:val="20"/>
              </w:rPr>
            </w:pPr>
            <w:r w:rsidRPr="00BB59D8">
              <w:rPr>
                <w:rFonts w:ascii="Arial Narrow" w:hAnsi="Arial Narrow"/>
                <w:b/>
                <w:bCs/>
                <w:sz w:val="20"/>
                <w:szCs w:val="20"/>
              </w:rPr>
              <w:t>AND</w:t>
            </w:r>
          </w:p>
        </w:tc>
      </w:tr>
      <w:tr w:rsidR="00FC794A" w:rsidRPr="00BB59D8" w14:paraId="536DFB19"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70077A15"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69E36386" w14:textId="77777777" w:rsidR="00FC794A" w:rsidRPr="00BB59D8" w:rsidRDefault="00FC794A" w:rsidP="008209E0">
            <w:pPr>
              <w:ind w:right="57"/>
              <w:rPr>
                <w:rFonts w:ascii="Arial Narrow" w:hAnsi="Arial Narrow"/>
                <w:sz w:val="20"/>
                <w:szCs w:val="20"/>
              </w:rPr>
            </w:pPr>
            <w:r w:rsidRPr="00BB59D8">
              <w:rPr>
                <w:rFonts w:ascii="Arial Narrow" w:hAnsi="Arial Narrow" w:cs="Arial Narrow"/>
                <w:iCs/>
                <w:sz w:val="20"/>
                <w:szCs w:val="20"/>
              </w:rPr>
              <w:t>The treatment must be in a patient in which height is either: (i) still increasing, (ii) reasonably expected to increase</w:t>
            </w:r>
          </w:p>
        </w:tc>
      </w:tr>
      <w:tr w:rsidR="00FC794A" w:rsidRPr="00BB59D8" w14:paraId="711BD998"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3D46CBBE"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600313CF"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AND</w:t>
            </w:r>
          </w:p>
        </w:tc>
      </w:tr>
      <w:tr w:rsidR="00FC794A" w:rsidRPr="00BB59D8" w14:paraId="4D7E8E96" w14:textId="77777777" w:rsidTr="008209E0">
        <w:tblPrEx>
          <w:tblCellMar>
            <w:top w:w="15" w:type="dxa"/>
            <w:left w:w="15" w:type="dxa"/>
            <w:bottom w:w="15" w:type="dxa"/>
            <w:right w:w="15" w:type="dxa"/>
          </w:tblCellMar>
          <w:tblLook w:val="04A0" w:firstRow="1" w:lastRow="0" w:firstColumn="1" w:lastColumn="0" w:noHBand="0" w:noVBand="1"/>
        </w:tblPrEx>
        <w:tc>
          <w:tcPr>
            <w:tcW w:w="53" w:type="pct"/>
            <w:vAlign w:val="center"/>
          </w:tcPr>
          <w:p w14:paraId="54777D8D"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07186244" w14:textId="77777777" w:rsidR="00FC794A" w:rsidRPr="00BB59D8" w:rsidRDefault="00FC794A" w:rsidP="008209E0">
            <w:pPr>
              <w:ind w:right="57"/>
              <w:rPr>
                <w:rFonts w:ascii="Arial Narrow" w:hAnsi="Arial Narrow"/>
                <w:sz w:val="20"/>
                <w:szCs w:val="20"/>
              </w:rPr>
            </w:pPr>
            <w:r w:rsidRPr="00BB59D8">
              <w:rPr>
                <w:rFonts w:ascii="Arial Narrow" w:hAnsi="Arial Narrow"/>
                <w:b/>
                <w:bCs/>
                <w:sz w:val="20"/>
                <w:szCs w:val="20"/>
              </w:rPr>
              <w:t>Clinical criteria:</w:t>
            </w:r>
          </w:p>
        </w:tc>
      </w:tr>
      <w:tr w:rsidR="00FC794A" w:rsidRPr="00BB59D8" w14:paraId="266C3EE8" w14:textId="77777777" w:rsidTr="008209E0">
        <w:tblPrEx>
          <w:tblCellMar>
            <w:top w:w="15" w:type="dxa"/>
            <w:left w:w="15" w:type="dxa"/>
            <w:bottom w:w="15" w:type="dxa"/>
            <w:right w:w="15" w:type="dxa"/>
          </w:tblCellMar>
          <w:tblLook w:val="04A0" w:firstRow="1" w:lastRow="0" w:firstColumn="1" w:lastColumn="0" w:noHBand="0" w:noVBand="1"/>
        </w:tblPrEx>
        <w:trPr>
          <w:trHeight w:val="482"/>
        </w:trPr>
        <w:tc>
          <w:tcPr>
            <w:tcW w:w="53" w:type="pct"/>
            <w:vAlign w:val="center"/>
          </w:tcPr>
          <w:p w14:paraId="0B310010" w14:textId="77777777" w:rsidR="00FC794A" w:rsidRPr="00BB59D8" w:rsidRDefault="00FC794A" w:rsidP="00FC794A">
            <w:pPr>
              <w:jc w:val="center"/>
              <w:rPr>
                <w:rFonts w:ascii="Arial Narrow" w:hAnsi="Arial Narrow"/>
                <w:sz w:val="20"/>
                <w:szCs w:val="20"/>
              </w:rPr>
            </w:pPr>
          </w:p>
        </w:tc>
        <w:tc>
          <w:tcPr>
            <w:tcW w:w="4947" w:type="pct"/>
            <w:gridSpan w:val="6"/>
            <w:vAlign w:val="center"/>
            <w:hideMark/>
          </w:tcPr>
          <w:p w14:paraId="71DC2B0B"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The treatment must not be in a patient with known epiphyseal closure/growth plate fusion (i.e. the patient is known to have ceased growing)</w:t>
            </w:r>
          </w:p>
        </w:tc>
      </w:tr>
      <w:tr w:rsidR="00FC794A" w:rsidRPr="00BB59D8" w14:paraId="729F8674" w14:textId="77777777" w:rsidTr="008209E0">
        <w:tblPrEx>
          <w:tblCellMar>
            <w:top w:w="15" w:type="dxa"/>
            <w:left w:w="15" w:type="dxa"/>
            <w:bottom w:w="15" w:type="dxa"/>
            <w:right w:w="15" w:type="dxa"/>
          </w:tblCellMar>
          <w:tblLook w:val="04A0" w:firstRow="1" w:lastRow="0" w:firstColumn="1" w:lastColumn="0" w:noHBand="0" w:noVBand="1"/>
        </w:tblPrEx>
        <w:trPr>
          <w:trHeight w:val="184"/>
        </w:trPr>
        <w:tc>
          <w:tcPr>
            <w:tcW w:w="53" w:type="pct"/>
            <w:vAlign w:val="center"/>
          </w:tcPr>
          <w:p w14:paraId="21B61224"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60E2A9F8" w14:textId="77777777" w:rsidR="00FC794A" w:rsidRPr="00BB59D8" w:rsidRDefault="00FC794A" w:rsidP="008209E0">
            <w:pPr>
              <w:ind w:right="57"/>
              <w:rPr>
                <w:rFonts w:ascii="Arial Narrow" w:hAnsi="Arial Narrow"/>
                <w:b/>
                <w:bCs/>
                <w:sz w:val="20"/>
                <w:szCs w:val="20"/>
              </w:rPr>
            </w:pPr>
            <w:r w:rsidRPr="00BB59D8">
              <w:rPr>
                <w:rFonts w:ascii="Arial Narrow" w:hAnsi="Arial Narrow"/>
                <w:b/>
                <w:bCs/>
                <w:sz w:val="20"/>
                <w:szCs w:val="20"/>
              </w:rPr>
              <w:t>AND</w:t>
            </w:r>
          </w:p>
        </w:tc>
      </w:tr>
      <w:tr w:rsidR="00FC794A" w:rsidRPr="00BB59D8" w14:paraId="61B5703B" w14:textId="77777777" w:rsidTr="008209E0">
        <w:tblPrEx>
          <w:tblCellMar>
            <w:top w:w="15" w:type="dxa"/>
            <w:left w:w="15" w:type="dxa"/>
            <w:bottom w:w="15" w:type="dxa"/>
            <w:right w:w="15" w:type="dxa"/>
          </w:tblCellMar>
          <w:tblLook w:val="04A0" w:firstRow="1" w:lastRow="0" w:firstColumn="1" w:lastColumn="0" w:noHBand="0" w:noVBand="1"/>
        </w:tblPrEx>
        <w:trPr>
          <w:trHeight w:val="74"/>
        </w:trPr>
        <w:tc>
          <w:tcPr>
            <w:tcW w:w="53" w:type="pct"/>
            <w:vAlign w:val="center"/>
          </w:tcPr>
          <w:p w14:paraId="6CF5F78A"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33265C73" w14:textId="77777777" w:rsidR="00FC794A" w:rsidRPr="00BB59D8" w:rsidRDefault="00FC794A" w:rsidP="008209E0">
            <w:pPr>
              <w:ind w:right="57"/>
              <w:rPr>
                <w:rFonts w:ascii="Arial Narrow" w:hAnsi="Arial Narrow"/>
                <w:b/>
                <w:bCs/>
                <w:sz w:val="20"/>
                <w:szCs w:val="20"/>
              </w:rPr>
            </w:pPr>
            <w:r w:rsidRPr="00BB59D8">
              <w:rPr>
                <w:rFonts w:ascii="Arial Narrow" w:hAnsi="Arial Narrow"/>
                <w:b/>
                <w:bCs/>
                <w:sz w:val="20"/>
                <w:szCs w:val="20"/>
              </w:rPr>
              <w:t>Clinical criteria:</w:t>
            </w:r>
          </w:p>
        </w:tc>
      </w:tr>
      <w:tr w:rsidR="00FC794A" w:rsidRPr="00BB59D8" w14:paraId="4C0D84A5" w14:textId="77777777" w:rsidTr="008209E0">
        <w:tblPrEx>
          <w:tblCellMar>
            <w:top w:w="15" w:type="dxa"/>
            <w:left w:w="15" w:type="dxa"/>
            <w:bottom w:w="15" w:type="dxa"/>
            <w:right w:w="15" w:type="dxa"/>
          </w:tblCellMar>
          <w:tblLook w:val="04A0" w:firstRow="1" w:lastRow="0" w:firstColumn="1" w:lastColumn="0" w:noHBand="0" w:noVBand="1"/>
        </w:tblPrEx>
        <w:trPr>
          <w:trHeight w:val="120"/>
        </w:trPr>
        <w:tc>
          <w:tcPr>
            <w:tcW w:w="53" w:type="pct"/>
            <w:vAlign w:val="center"/>
          </w:tcPr>
          <w:p w14:paraId="089F7A14"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691B014B" w14:textId="77777777" w:rsidR="00FC794A" w:rsidRPr="00BB59D8" w:rsidRDefault="00FC794A" w:rsidP="008209E0">
            <w:pPr>
              <w:ind w:right="57"/>
              <w:rPr>
                <w:rFonts w:ascii="Arial Narrow" w:hAnsi="Arial Narrow"/>
                <w:sz w:val="20"/>
                <w:szCs w:val="20"/>
              </w:rPr>
            </w:pPr>
            <w:r w:rsidRPr="00BB59D8">
              <w:rPr>
                <w:rFonts w:ascii="Arial Narrow" w:hAnsi="Arial Narrow"/>
                <w:sz w:val="20"/>
                <w:szCs w:val="20"/>
              </w:rPr>
              <w:t xml:space="preserve">The treatment must not be in a patient where their height has ceased to increase (i.e. plateaued) over the preceding 12 months relative to the date of this authority application </w:t>
            </w:r>
          </w:p>
        </w:tc>
      </w:tr>
      <w:tr w:rsidR="00FC794A" w:rsidRPr="00BB59D8" w14:paraId="6424ECD7"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3DA68515"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384C59FC" w14:textId="77777777" w:rsidR="00FC794A" w:rsidRPr="00BB59D8" w:rsidRDefault="00FC794A" w:rsidP="00FC794A">
            <w:pPr>
              <w:rPr>
                <w:rFonts w:ascii="Arial Narrow" w:hAnsi="Arial Narrow"/>
                <w:sz w:val="20"/>
                <w:szCs w:val="20"/>
              </w:rPr>
            </w:pPr>
          </w:p>
        </w:tc>
      </w:tr>
      <w:tr w:rsidR="00FC794A" w:rsidRPr="00BB59D8" w14:paraId="1FCD209B"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779EDB34"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244C57B2" w14:textId="77777777" w:rsidR="00FC794A" w:rsidRPr="00BB59D8" w:rsidRDefault="00FC794A" w:rsidP="00FC794A">
            <w:pPr>
              <w:rPr>
                <w:rFonts w:ascii="Arial Narrow" w:hAnsi="Arial Narrow"/>
                <w:sz w:val="20"/>
                <w:szCs w:val="20"/>
              </w:rPr>
            </w:pPr>
            <w:r w:rsidRPr="00BB59D8">
              <w:rPr>
                <w:rFonts w:ascii="Arial Narrow" w:hAnsi="Arial Narrow"/>
                <w:b/>
                <w:bCs/>
                <w:sz w:val="20"/>
                <w:szCs w:val="20"/>
              </w:rPr>
              <w:t>Treatment criteria:</w:t>
            </w:r>
          </w:p>
        </w:tc>
      </w:tr>
      <w:tr w:rsidR="00FC794A" w:rsidRPr="00BB59D8" w14:paraId="14C1928E"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1B68A517"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18922179" w14:textId="77777777" w:rsidR="00FC794A" w:rsidRPr="00BB59D8" w:rsidRDefault="00FC794A" w:rsidP="00FC794A">
            <w:pPr>
              <w:rPr>
                <w:rFonts w:ascii="Arial Narrow" w:hAnsi="Arial Narrow"/>
                <w:i/>
                <w:sz w:val="20"/>
                <w:szCs w:val="20"/>
              </w:rPr>
            </w:pPr>
            <w:r w:rsidRPr="00BB59D8">
              <w:rPr>
                <w:rFonts w:ascii="Arial Narrow" w:hAnsi="Arial Narrow"/>
                <w:strike/>
                <w:sz w:val="20"/>
                <w:szCs w:val="20"/>
              </w:rPr>
              <w:t>Must be treated by a specialist or consultant physician in general paediatrics in consultation with a nominated specialist or consultant physician in paediatric endocrinology.</w:t>
            </w:r>
          </w:p>
          <w:p w14:paraId="391AE8B0" w14:textId="77777777" w:rsidR="00FC794A" w:rsidRPr="00BB59D8" w:rsidRDefault="00FC794A" w:rsidP="00FC794A">
            <w:pPr>
              <w:rPr>
                <w:rFonts w:ascii="Arial Narrow" w:hAnsi="Arial Narrow"/>
                <w:i/>
                <w:sz w:val="20"/>
                <w:szCs w:val="20"/>
              </w:rPr>
            </w:pPr>
          </w:p>
          <w:p w14:paraId="585D7796" w14:textId="77777777" w:rsidR="00FC794A" w:rsidRPr="00BB59D8" w:rsidRDefault="00FC794A" w:rsidP="00FC794A">
            <w:pPr>
              <w:rPr>
                <w:rFonts w:ascii="Arial Narrow" w:hAnsi="Arial Narrow"/>
                <w:sz w:val="20"/>
                <w:szCs w:val="20"/>
              </w:rPr>
            </w:pPr>
            <w:r w:rsidRPr="00BB59D8">
              <w:rPr>
                <w:rFonts w:ascii="Arial Narrow" w:hAnsi="Arial Narrow"/>
                <w:i/>
                <w:sz w:val="20"/>
                <w:szCs w:val="20"/>
              </w:rPr>
              <w:t>Must be treated by a specialist physician identifying as one of: (i) a paediatric endocrinologist,; the authority application form must be completed by the specified physician type; OR</w:t>
            </w:r>
          </w:p>
        </w:tc>
      </w:tr>
      <w:tr w:rsidR="00FC794A" w:rsidRPr="00BB59D8" w14:paraId="22CFE8FB"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61201BFD"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27DEA0EA" w14:textId="77777777" w:rsidR="00FC794A" w:rsidRPr="00BB59D8" w:rsidRDefault="00FC794A" w:rsidP="00FC794A">
            <w:pPr>
              <w:rPr>
                <w:rFonts w:ascii="Arial Narrow" w:hAnsi="Arial Narrow"/>
                <w:sz w:val="20"/>
                <w:szCs w:val="20"/>
              </w:rPr>
            </w:pPr>
            <w:r w:rsidRPr="00BB59D8">
              <w:rPr>
                <w:rFonts w:ascii="Arial Narrow" w:hAnsi="Arial Narrow"/>
                <w:i/>
                <w:sz w:val="20"/>
                <w:szCs w:val="20"/>
              </w:rPr>
              <w:t>Must be treated by a paediatrician who has consulted the above mentioned specialist type, with the authority application form completed by this paediatrician.</w:t>
            </w:r>
          </w:p>
        </w:tc>
      </w:tr>
      <w:tr w:rsidR="00FC794A" w:rsidRPr="00BB59D8" w14:paraId="56D45E30"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1D29B2F6" w14:textId="77777777" w:rsidR="00FC794A" w:rsidRPr="00BB59D8" w:rsidRDefault="00FC794A" w:rsidP="00FC794A">
            <w:pPr>
              <w:jc w:val="center"/>
              <w:rPr>
                <w:rFonts w:ascii="Arial Narrow" w:hAnsi="Arial Narrow"/>
                <w:sz w:val="20"/>
                <w:szCs w:val="20"/>
                <w:highlight w:val="yellow"/>
              </w:rPr>
            </w:pPr>
          </w:p>
        </w:tc>
        <w:tc>
          <w:tcPr>
            <w:tcW w:w="4947" w:type="pct"/>
            <w:gridSpan w:val="6"/>
            <w:vAlign w:val="center"/>
          </w:tcPr>
          <w:p w14:paraId="63C34FAC" w14:textId="77777777" w:rsidR="00FC794A" w:rsidRPr="00BB59D8" w:rsidRDefault="00FC794A" w:rsidP="00FC794A">
            <w:pPr>
              <w:rPr>
                <w:rFonts w:ascii="Arial Narrow" w:hAnsi="Arial Narrow"/>
                <w:sz w:val="20"/>
                <w:szCs w:val="20"/>
                <w:highlight w:val="yellow"/>
              </w:rPr>
            </w:pPr>
          </w:p>
        </w:tc>
      </w:tr>
      <w:tr w:rsidR="00FC794A" w:rsidRPr="00BB59D8" w14:paraId="590E219F"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tcBorders>
              <w:top w:val="single" w:sz="4" w:space="0" w:color="auto"/>
              <w:left w:val="single" w:sz="4" w:space="0" w:color="auto"/>
              <w:bottom w:val="single" w:sz="4" w:space="0" w:color="auto"/>
              <w:right w:val="single" w:sz="4" w:space="0" w:color="auto"/>
            </w:tcBorders>
            <w:vAlign w:val="center"/>
          </w:tcPr>
          <w:p w14:paraId="2C2E3613" w14:textId="77777777" w:rsidR="00FC794A" w:rsidRPr="00BB59D8" w:rsidRDefault="00FC794A" w:rsidP="00FC794A">
            <w:pPr>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vAlign w:val="center"/>
          </w:tcPr>
          <w:p w14:paraId="03DD3A31" w14:textId="77777777" w:rsidR="00FC794A" w:rsidRPr="00BB59D8" w:rsidRDefault="00FC794A" w:rsidP="00FC794A">
            <w:pPr>
              <w:rPr>
                <w:rFonts w:ascii="Arial Narrow" w:hAnsi="Arial Narrow"/>
                <w:b/>
                <w:bCs/>
                <w:sz w:val="20"/>
                <w:szCs w:val="20"/>
              </w:rPr>
            </w:pPr>
            <w:r w:rsidRPr="00BB59D8">
              <w:rPr>
                <w:rFonts w:ascii="Arial Narrow" w:hAnsi="Arial Narrow"/>
                <w:b/>
                <w:bCs/>
                <w:sz w:val="20"/>
                <w:szCs w:val="20"/>
              </w:rPr>
              <w:t>Population criteria:</w:t>
            </w:r>
          </w:p>
        </w:tc>
      </w:tr>
      <w:tr w:rsidR="00FC794A" w:rsidRPr="00BB59D8" w14:paraId="4F2271BF"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tcBorders>
              <w:top w:val="single" w:sz="4" w:space="0" w:color="auto"/>
              <w:left w:val="single" w:sz="4" w:space="0" w:color="auto"/>
              <w:bottom w:val="single" w:sz="4" w:space="0" w:color="auto"/>
              <w:right w:val="single" w:sz="4" w:space="0" w:color="auto"/>
            </w:tcBorders>
            <w:vAlign w:val="center"/>
          </w:tcPr>
          <w:p w14:paraId="0E2CB6F8" w14:textId="77777777" w:rsidR="00FC794A" w:rsidRPr="00BB59D8" w:rsidRDefault="00FC794A" w:rsidP="00FC794A">
            <w:pPr>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vAlign w:val="center"/>
          </w:tcPr>
          <w:p w14:paraId="6473F247" w14:textId="77777777" w:rsidR="00FC794A" w:rsidRPr="00BB59D8" w:rsidRDefault="00FC794A" w:rsidP="00FC794A">
            <w:pPr>
              <w:rPr>
                <w:rFonts w:ascii="Arial Narrow" w:hAnsi="Arial Narrow"/>
                <w:sz w:val="20"/>
                <w:szCs w:val="20"/>
              </w:rPr>
            </w:pPr>
            <w:r w:rsidRPr="00BB59D8">
              <w:rPr>
                <w:rFonts w:ascii="Arial Narrow" w:hAnsi="Arial Narrow"/>
                <w:sz w:val="20"/>
                <w:szCs w:val="20"/>
              </w:rPr>
              <w:t xml:space="preserve">Patient must be aged from 2 years up until their 19th birthday </w:t>
            </w:r>
          </w:p>
        </w:tc>
      </w:tr>
      <w:tr w:rsidR="00FC794A" w:rsidRPr="00BB59D8" w14:paraId="33374113" w14:textId="77777777" w:rsidTr="008209E0">
        <w:tblPrEx>
          <w:tblCellMar>
            <w:top w:w="15" w:type="dxa"/>
            <w:left w:w="15" w:type="dxa"/>
            <w:bottom w:w="15" w:type="dxa"/>
            <w:right w:w="15" w:type="dxa"/>
          </w:tblCellMar>
          <w:tblLook w:val="04A0" w:firstRow="1" w:lastRow="0" w:firstColumn="1" w:lastColumn="0" w:noHBand="0" w:noVBand="1"/>
        </w:tblPrEx>
        <w:trPr>
          <w:trHeight w:val="248"/>
        </w:trPr>
        <w:tc>
          <w:tcPr>
            <w:tcW w:w="53" w:type="pct"/>
            <w:tcBorders>
              <w:top w:val="single" w:sz="4" w:space="0" w:color="auto"/>
              <w:left w:val="single" w:sz="4" w:space="0" w:color="auto"/>
              <w:bottom w:val="single" w:sz="4" w:space="0" w:color="auto"/>
              <w:right w:val="single" w:sz="4" w:space="0" w:color="auto"/>
            </w:tcBorders>
          </w:tcPr>
          <w:p w14:paraId="77729210" w14:textId="77777777" w:rsidR="00FC794A" w:rsidRPr="00BB59D8" w:rsidRDefault="00FC794A" w:rsidP="00FC794A">
            <w:pPr>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015A5C50" w14:textId="77777777" w:rsidR="00FC794A" w:rsidRPr="00BB59D8" w:rsidRDefault="00FC794A" w:rsidP="00FC794A">
            <w:pPr>
              <w:rPr>
                <w:rFonts w:ascii="Arial Narrow" w:hAnsi="Arial Narrow" w:cs="Arial Narrow"/>
                <w:b/>
                <w:i/>
                <w:iCs/>
                <w:sz w:val="20"/>
                <w:szCs w:val="20"/>
              </w:rPr>
            </w:pPr>
            <w:r w:rsidRPr="00BB59D8">
              <w:rPr>
                <w:rFonts w:ascii="Arial Narrow" w:hAnsi="Arial Narrow" w:cs="Arial Narrow"/>
                <w:b/>
                <w:i/>
                <w:iCs/>
                <w:sz w:val="20"/>
                <w:szCs w:val="20"/>
              </w:rPr>
              <w:t>Prescribing Instructions:</w:t>
            </w:r>
          </w:p>
          <w:p w14:paraId="02941D24" w14:textId="77777777" w:rsidR="00FC794A" w:rsidRPr="00BB59D8" w:rsidRDefault="00FC794A" w:rsidP="00FC794A">
            <w:pPr>
              <w:rPr>
                <w:rFonts w:ascii="Arial Narrow" w:hAnsi="Arial Narrow"/>
                <w:i/>
                <w:sz w:val="20"/>
                <w:szCs w:val="20"/>
              </w:rPr>
            </w:pPr>
            <w:r w:rsidRPr="00BB59D8">
              <w:rPr>
                <w:rFonts w:ascii="Arial Narrow" w:hAnsi="Arial Narrow"/>
                <w:i/>
                <w:sz w:val="20"/>
                <w:szCs w:val="20"/>
              </w:rPr>
              <w:t>The authority application must be made in writing and must include:</w:t>
            </w:r>
          </w:p>
          <w:p w14:paraId="072EAAC6" w14:textId="77777777" w:rsidR="00FC794A" w:rsidRPr="00BB59D8" w:rsidRDefault="00FC794A" w:rsidP="00FC794A">
            <w:pPr>
              <w:rPr>
                <w:rFonts w:ascii="Arial Narrow" w:hAnsi="Arial Narrow"/>
                <w:i/>
                <w:sz w:val="20"/>
                <w:szCs w:val="20"/>
              </w:rPr>
            </w:pPr>
            <w:r w:rsidRPr="00BB59D8">
              <w:rPr>
                <w:rFonts w:ascii="Arial Narrow" w:hAnsi="Arial Narrow"/>
                <w:i/>
                <w:sz w:val="20"/>
                <w:szCs w:val="20"/>
              </w:rPr>
              <w:t>(1) a completed authority prescription form; and</w:t>
            </w:r>
          </w:p>
          <w:p w14:paraId="245A31DA" w14:textId="77777777" w:rsidR="00FC794A" w:rsidRPr="00BB59D8" w:rsidRDefault="00FC794A" w:rsidP="00FC794A">
            <w:pPr>
              <w:rPr>
                <w:rFonts w:ascii="Arial Narrow" w:hAnsi="Arial Narrow"/>
                <w:sz w:val="20"/>
                <w:szCs w:val="20"/>
              </w:rPr>
            </w:pPr>
            <w:r w:rsidRPr="00BB59D8">
              <w:rPr>
                <w:rFonts w:ascii="Arial Narrow" w:hAnsi="Arial Narrow"/>
                <w:i/>
                <w:sz w:val="20"/>
                <w:szCs w:val="20"/>
              </w:rPr>
              <w:t>(2) a completed authority application form relevant to the indication and treatment phase (the latest version is located on the website specified in the Administrative Advice).</w:t>
            </w:r>
          </w:p>
        </w:tc>
      </w:tr>
      <w:tr w:rsidR="00FC794A" w:rsidRPr="00BB59D8" w14:paraId="0C18C249" w14:textId="77777777" w:rsidTr="008209E0">
        <w:tblPrEx>
          <w:tblCellMar>
            <w:top w:w="15" w:type="dxa"/>
            <w:left w:w="15" w:type="dxa"/>
            <w:bottom w:w="15" w:type="dxa"/>
            <w:right w:w="15" w:type="dxa"/>
          </w:tblCellMar>
        </w:tblPrEx>
        <w:trPr>
          <w:trHeight w:val="248"/>
        </w:trPr>
        <w:tc>
          <w:tcPr>
            <w:tcW w:w="53" w:type="pct"/>
            <w:vAlign w:val="center"/>
          </w:tcPr>
          <w:p w14:paraId="69C83E35" w14:textId="77777777" w:rsidR="00FC794A" w:rsidRPr="00BB59D8" w:rsidRDefault="00FC794A" w:rsidP="00FC794A">
            <w:pPr>
              <w:jc w:val="center"/>
              <w:rPr>
                <w:rFonts w:ascii="Arial Narrow" w:hAnsi="Arial Narrow"/>
                <w:sz w:val="20"/>
                <w:szCs w:val="20"/>
              </w:rPr>
            </w:pPr>
          </w:p>
        </w:tc>
        <w:tc>
          <w:tcPr>
            <w:tcW w:w="4947" w:type="pct"/>
            <w:gridSpan w:val="6"/>
            <w:vAlign w:val="center"/>
          </w:tcPr>
          <w:p w14:paraId="42075BF5" w14:textId="77777777" w:rsidR="00FC794A" w:rsidRPr="00BB59D8" w:rsidRDefault="00FC794A" w:rsidP="00FC794A">
            <w:pPr>
              <w:rPr>
                <w:rFonts w:ascii="Arial Narrow" w:hAnsi="Arial Narrow"/>
                <w:b/>
                <w:bCs/>
                <w:i/>
                <w:sz w:val="20"/>
                <w:szCs w:val="20"/>
              </w:rPr>
            </w:pPr>
            <w:r w:rsidRPr="00BB59D8">
              <w:rPr>
                <w:rFonts w:ascii="Arial Narrow" w:hAnsi="Arial Narrow"/>
                <w:b/>
                <w:bCs/>
                <w:i/>
                <w:sz w:val="20"/>
                <w:szCs w:val="20"/>
              </w:rPr>
              <w:t>Prescriber instructions:</w:t>
            </w:r>
          </w:p>
          <w:p w14:paraId="2F5FA4A4" w14:textId="77777777" w:rsidR="00FC794A" w:rsidRPr="00BB59D8" w:rsidRDefault="00FC794A" w:rsidP="00FC794A">
            <w:pPr>
              <w:rPr>
                <w:rFonts w:ascii="Arial Narrow" w:hAnsi="Arial Narrow"/>
                <w:i/>
                <w:sz w:val="20"/>
                <w:szCs w:val="20"/>
                <w:u w:val="single"/>
              </w:rPr>
            </w:pPr>
            <w:r w:rsidRPr="00BB59D8">
              <w:rPr>
                <w:rFonts w:ascii="Arial Narrow" w:hAnsi="Arial Narrow"/>
                <w:i/>
                <w:sz w:val="20"/>
                <w:szCs w:val="20"/>
                <w:u w:val="single"/>
              </w:rPr>
              <w:t>Maximum quantity/amount of drug selection:</w:t>
            </w:r>
          </w:p>
          <w:p w14:paraId="033BEADE" w14:textId="77777777" w:rsidR="00FC794A" w:rsidRPr="00BB59D8" w:rsidRDefault="00FC794A" w:rsidP="00FC794A">
            <w:pPr>
              <w:rPr>
                <w:rFonts w:ascii="Arial Narrow" w:hAnsi="Arial Narrow"/>
                <w:i/>
                <w:sz w:val="20"/>
                <w:szCs w:val="20"/>
              </w:rPr>
            </w:pPr>
            <w:r w:rsidRPr="00BB59D8">
              <w:rPr>
                <w:rFonts w:ascii="Arial Narrow" w:hAnsi="Arial Narrow"/>
                <w:i/>
                <w:sz w:val="20"/>
                <w:szCs w:val="20"/>
              </w:rPr>
              <w:t>At the time of the authority application, state the following:</w:t>
            </w:r>
          </w:p>
          <w:p w14:paraId="2CADFE79" w14:textId="77777777" w:rsidR="00FC794A" w:rsidRPr="00BB59D8" w:rsidRDefault="00FC794A" w:rsidP="00FC794A">
            <w:pPr>
              <w:rPr>
                <w:rFonts w:ascii="Arial Narrow" w:hAnsi="Arial Narrow"/>
                <w:i/>
                <w:sz w:val="20"/>
                <w:szCs w:val="20"/>
              </w:rPr>
            </w:pPr>
            <w:r w:rsidRPr="00BB59D8">
              <w:rPr>
                <w:rFonts w:ascii="Arial Narrow" w:hAnsi="Arial Narrow"/>
                <w:i/>
                <w:sz w:val="20"/>
                <w:szCs w:val="20"/>
              </w:rPr>
              <w:t>(i) the patient’s weight in kg;</w:t>
            </w:r>
          </w:p>
          <w:p w14:paraId="2A0827CD" w14:textId="77777777" w:rsidR="00FC794A" w:rsidRPr="00BB59D8" w:rsidRDefault="00FC794A" w:rsidP="00FC794A">
            <w:pPr>
              <w:rPr>
                <w:rFonts w:ascii="Arial Narrow" w:hAnsi="Arial Narrow"/>
                <w:i/>
                <w:sz w:val="20"/>
                <w:szCs w:val="20"/>
              </w:rPr>
            </w:pPr>
            <w:r w:rsidRPr="00BB59D8">
              <w:rPr>
                <w:rFonts w:ascii="Arial Narrow" w:hAnsi="Arial Narrow"/>
                <w:i/>
                <w:sz w:val="20"/>
                <w:szCs w:val="20"/>
              </w:rPr>
              <w:t xml:space="preserve">(ii) the prescribed dose (between 0.04 to 0.12 mg/kg administered twice daily); </w:t>
            </w:r>
          </w:p>
          <w:p w14:paraId="15EBA4AA" w14:textId="77777777" w:rsidR="00FC794A" w:rsidRPr="00BB59D8" w:rsidRDefault="00FC794A" w:rsidP="00FC794A">
            <w:pPr>
              <w:rPr>
                <w:rFonts w:ascii="Arial Narrow" w:hAnsi="Arial Narrow"/>
                <w:sz w:val="20"/>
                <w:szCs w:val="20"/>
              </w:rPr>
            </w:pPr>
            <w:r w:rsidRPr="00BB59D8">
              <w:rPr>
                <w:rFonts w:ascii="Arial Narrow" w:hAnsi="Arial Narrow"/>
                <w:i/>
                <w:sz w:val="20"/>
                <w:szCs w:val="20"/>
              </w:rPr>
              <w:t>(iii) the number of vials rounded to the nearest whole number, to provide sufficient drug quantity for 4 weeks treatment.</w:t>
            </w:r>
          </w:p>
        </w:tc>
      </w:tr>
      <w:tr w:rsidR="00FC794A" w:rsidRPr="00BB59D8" w14:paraId="4319FD0C" w14:textId="77777777" w:rsidTr="008209E0">
        <w:tblPrEx>
          <w:tblCellMar>
            <w:top w:w="15" w:type="dxa"/>
            <w:left w:w="15" w:type="dxa"/>
            <w:bottom w:w="15" w:type="dxa"/>
            <w:right w:w="15" w:type="dxa"/>
          </w:tblCellMar>
        </w:tblPrEx>
        <w:trPr>
          <w:trHeight w:val="248"/>
        </w:trPr>
        <w:tc>
          <w:tcPr>
            <w:tcW w:w="53" w:type="pct"/>
          </w:tcPr>
          <w:p w14:paraId="2CE22AA9" w14:textId="77777777" w:rsidR="00FC794A" w:rsidRPr="00BB59D8" w:rsidRDefault="00FC794A" w:rsidP="00FC794A">
            <w:pPr>
              <w:jc w:val="center"/>
              <w:rPr>
                <w:rFonts w:ascii="Arial Narrow" w:hAnsi="Arial Narrow"/>
                <w:sz w:val="20"/>
                <w:szCs w:val="20"/>
              </w:rPr>
            </w:pPr>
          </w:p>
        </w:tc>
        <w:tc>
          <w:tcPr>
            <w:tcW w:w="4947" w:type="pct"/>
            <w:gridSpan w:val="6"/>
          </w:tcPr>
          <w:p w14:paraId="7B8B5B73" w14:textId="77777777" w:rsidR="00FC794A" w:rsidRPr="00BB59D8" w:rsidRDefault="00FC794A" w:rsidP="00FC794A">
            <w:pPr>
              <w:rPr>
                <w:rFonts w:ascii="Arial Narrow" w:hAnsi="Arial Narrow" w:cs="Arial Narrow"/>
                <w:b/>
                <w:i/>
                <w:iCs/>
                <w:sz w:val="20"/>
                <w:szCs w:val="20"/>
              </w:rPr>
            </w:pPr>
            <w:r w:rsidRPr="00BB59D8">
              <w:rPr>
                <w:rFonts w:ascii="Arial Narrow" w:hAnsi="Arial Narrow" w:cs="Arial Narrow"/>
                <w:b/>
                <w:i/>
                <w:iCs/>
                <w:sz w:val="20"/>
                <w:szCs w:val="20"/>
              </w:rPr>
              <w:t>Prescribing Instructions:</w:t>
            </w:r>
          </w:p>
          <w:p w14:paraId="2C40449D" w14:textId="77777777" w:rsidR="00FC794A" w:rsidRPr="00BB59D8" w:rsidRDefault="00FC794A" w:rsidP="00FC794A">
            <w:pPr>
              <w:rPr>
                <w:rFonts w:ascii="Arial Narrow" w:hAnsi="Arial Narrow"/>
                <w:i/>
                <w:sz w:val="20"/>
                <w:szCs w:val="20"/>
              </w:rPr>
            </w:pPr>
            <w:r w:rsidRPr="00BB59D8">
              <w:rPr>
                <w:rFonts w:ascii="Arial Narrow" w:hAnsi="Arial Narrow"/>
                <w:i/>
                <w:sz w:val="20"/>
                <w:szCs w:val="20"/>
              </w:rPr>
              <w:t>The authority application must be made in writing and must include:</w:t>
            </w:r>
          </w:p>
          <w:p w14:paraId="3894FC00" w14:textId="77777777" w:rsidR="00FC794A" w:rsidRPr="00BB59D8" w:rsidRDefault="00FC794A" w:rsidP="00FC794A">
            <w:pPr>
              <w:rPr>
                <w:rFonts w:ascii="Arial Narrow" w:hAnsi="Arial Narrow"/>
                <w:i/>
                <w:sz w:val="20"/>
                <w:szCs w:val="20"/>
              </w:rPr>
            </w:pPr>
            <w:r w:rsidRPr="00BB59D8">
              <w:rPr>
                <w:rFonts w:ascii="Arial Narrow" w:hAnsi="Arial Narrow"/>
                <w:i/>
                <w:sz w:val="20"/>
                <w:szCs w:val="20"/>
              </w:rPr>
              <w:t>(1) a completed authority prescription form; and</w:t>
            </w:r>
          </w:p>
          <w:p w14:paraId="469451FC" w14:textId="77777777" w:rsidR="00FC794A" w:rsidRPr="00BB59D8" w:rsidRDefault="00FC794A" w:rsidP="00FC794A">
            <w:pPr>
              <w:rPr>
                <w:rFonts w:ascii="Arial Narrow" w:hAnsi="Arial Narrow"/>
                <w:sz w:val="20"/>
                <w:szCs w:val="20"/>
              </w:rPr>
            </w:pPr>
            <w:r w:rsidRPr="00BB59D8">
              <w:rPr>
                <w:rFonts w:ascii="Arial Narrow" w:hAnsi="Arial Narrow"/>
                <w:i/>
                <w:sz w:val="20"/>
                <w:szCs w:val="20"/>
              </w:rPr>
              <w:t>(2) a completed authority application form relevant to the indication and treatment phase (the latest version is located on the website specified in the Administrative Advice).</w:t>
            </w:r>
          </w:p>
        </w:tc>
      </w:tr>
    </w:tbl>
    <w:p w14:paraId="570DA0A8" w14:textId="77777777" w:rsidR="00FC794A" w:rsidRPr="00BB59D8" w:rsidRDefault="00FC794A" w:rsidP="00FC37A5"/>
    <w:p w14:paraId="40D92B11" w14:textId="77777777" w:rsidR="007563FC" w:rsidRPr="00BB59D8" w:rsidRDefault="007563FC" w:rsidP="007563FC">
      <w:pPr>
        <w:pStyle w:val="3-BodyText"/>
      </w:pPr>
      <w:r w:rsidRPr="00BB59D8">
        <w:t>The submission did not propose any special pricing arrangement.</w:t>
      </w:r>
    </w:p>
    <w:p w14:paraId="66560370" w14:textId="77777777" w:rsidR="007563FC" w:rsidRPr="00BB59D8" w:rsidRDefault="007563FC" w:rsidP="00A5663E">
      <w:pPr>
        <w:pStyle w:val="3-BodyText"/>
      </w:pPr>
      <w:r w:rsidRPr="00BB59D8">
        <w:rPr>
          <w:iCs/>
        </w:rPr>
        <w:t xml:space="preserve">There </w:t>
      </w:r>
      <w:r w:rsidR="008209E0" w:rsidRPr="00BB59D8">
        <w:rPr>
          <w:iCs/>
        </w:rPr>
        <w:t>we</w:t>
      </w:r>
      <w:r w:rsidRPr="00BB59D8">
        <w:rPr>
          <w:iCs/>
        </w:rPr>
        <w:t xml:space="preserve">re some inconsistencies between the proposed </w:t>
      </w:r>
      <w:r w:rsidR="00061EBF" w:rsidRPr="00BB59D8">
        <w:rPr>
          <w:iCs/>
        </w:rPr>
        <w:t>Pharmaceutical Benefits Scheme (</w:t>
      </w:r>
      <w:r w:rsidRPr="00BB59D8">
        <w:rPr>
          <w:iCs/>
        </w:rPr>
        <w:t>PBS</w:t>
      </w:r>
      <w:r w:rsidR="00061EBF" w:rsidRPr="00BB59D8">
        <w:rPr>
          <w:iCs/>
        </w:rPr>
        <w:t>)</w:t>
      </w:r>
      <w:r w:rsidRPr="00BB59D8">
        <w:rPr>
          <w:iCs/>
        </w:rPr>
        <w:t xml:space="preserve"> restrictions and the evidence presented in </w:t>
      </w:r>
      <w:r w:rsidR="009D4077" w:rsidRPr="00BB59D8">
        <w:rPr>
          <w:iCs/>
        </w:rPr>
        <w:t>the submission</w:t>
      </w:r>
      <w:r w:rsidRPr="00BB59D8">
        <w:rPr>
          <w:iCs/>
        </w:rPr>
        <w:t xml:space="preserve">. Study 1419 included patients with height standard deviation score (HSDS) &lt;-2.0 (compared to -3.0 in the PBS restriction) and patients with growth failure associated with </w:t>
      </w:r>
      <w:r w:rsidR="00061EBF" w:rsidRPr="00BB59D8">
        <w:rPr>
          <w:iCs/>
        </w:rPr>
        <w:t>GH</w:t>
      </w:r>
      <w:r w:rsidRPr="00BB59D8">
        <w:rPr>
          <w:iCs/>
        </w:rPr>
        <w:t xml:space="preserve"> receptor defects or GH gene deletion defects and anti-GH antibodies (compared to no restriction associated </w:t>
      </w:r>
      <w:r w:rsidR="0027161A" w:rsidRPr="00BB59D8">
        <w:rPr>
          <w:iCs/>
        </w:rPr>
        <w:t>with specific genetic mutations in the proposed restriction</w:t>
      </w:r>
      <w:r w:rsidRPr="00BB59D8">
        <w:rPr>
          <w:iCs/>
        </w:rPr>
        <w:t xml:space="preserve">). Trial MS301 included patients with HSDS &lt;-2.0 and excluded patients with a documented mutation of GH receptor (Laron syndrome) or GH gene deletion </w:t>
      </w:r>
      <w:bookmarkStart w:id="8" w:name="_Hlk78791733"/>
      <w:r w:rsidRPr="00BB59D8">
        <w:rPr>
          <w:iCs/>
        </w:rPr>
        <w:t xml:space="preserve">(compared to no restriction associated </w:t>
      </w:r>
      <w:r w:rsidR="0027161A" w:rsidRPr="00BB59D8">
        <w:rPr>
          <w:iCs/>
        </w:rPr>
        <w:t xml:space="preserve">with specific genetic mutations </w:t>
      </w:r>
      <w:r w:rsidRPr="00BB59D8">
        <w:rPr>
          <w:iCs/>
        </w:rPr>
        <w:t>in the proposed restriction)</w:t>
      </w:r>
      <w:bookmarkEnd w:id="8"/>
      <w:r w:rsidRPr="00BB59D8">
        <w:rPr>
          <w:iCs/>
        </w:rPr>
        <w:t xml:space="preserve">. </w:t>
      </w:r>
      <w:r w:rsidR="00061EBF" w:rsidRPr="00BB59D8">
        <w:rPr>
          <w:iCs/>
        </w:rPr>
        <w:t xml:space="preserve">The </w:t>
      </w:r>
      <w:r w:rsidRPr="00BB59D8">
        <w:rPr>
          <w:iCs/>
        </w:rPr>
        <w:t xml:space="preserve">EU-IGFD </w:t>
      </w:r>
      <w:r w:rsidR="00C6040C" w:rsidRPr="00BB59D8">
        <w:rPr>
          <w:iCs/>
        </w:rPr>
        <w:t>Registry</w:t>
      </w:r>
      <w:r w:rsidRPr="00BB59D8">
        <w:rPr>
          <w:iCs/>
        </w:rPr>
        <w:t xml:space="preserve"> included </w:t>
      </w:r>
      <w:r w:rsidR="00082309" w:rsidRPr="00BB59D8">
        <w:rPr>
          <w:iCs/>
        </w:rPr>
        <w:t xml:space="preserve">all </w:t>
      </w:r>
      <w:r w:rsidR="009D4077" w:rsidRPr="00BB59D8">
        <w:rPr>
          <w:iCs/>
        </w:rPr>
        <w:t xml:space="preserve">registered </w:t>
      </w:r>
      <w:r w:rsidR="00082309" w:rsidRPr="00BB59D8">
        <w:rPr>
          <w:iCs/>
        </w:rPr>
        <w:t>participants</w:t>
      </w:r>
      <w:r w:rsidRPr="00BB59D8">
        <w:rPr>
          <w:iCs/>
        </w:rPr>
        <w:t>, 36 of which were not severe.</w:t>
      </w:r>
    </w:p>
    <w:p w14:paraId="0CCEDED8" w14:textId="263D1B84" w:rsidR="005A2DE2" w:rsidRPr="00BB59D8" w:rsidRDefault="007563FC" w:rsidP="00EC1E95">
      <w:pPr>
        <w:pStyle w:val="3-BodyText"/>
      </w:pPr>
      <w:r w:rsidRPr="00BB59D8">
        <w:rPr>
          <w:iCs/>
        </w:rPr>
        <w:t xml:space="preserve">The </w:t>
      </w:r>
      <w:r w:rsidR="008A4C35" w:rsidRPr="00BB59D8">
        <w:rPr>
          <w:iCs/>
        </w:rPr>
        <w:t xml:space="preserve">evaluation noted that </w:t>
      </w:r>
      <w:r w:rsidRPr="00BB59D8">
        <w:rPr>
          <w:iCs/>
        </w:rPr>
        <w:t>definitions of “growth hormone sufficiency”, “improvement in height velocities” and “demonstration of bone age fusion of epiphysis” are unclear.</w:t>
      </w:r>
      <w:r w:rsidR="43AD8C68" w:rsidRPr="00BB59D8">
        <w:t xml:space="preserve"> T</w:t>
      </w:r>
      <w:r w:rsidR="43AD8C68" w:rsidRPr="00BB59D8">
        <w:rPr>
          <w:iCs/>
        </w:rPr>
        <w:t xml:space="preserve">he </w:t>
      </w:r>
      <w:r w:rsidR="00FD06D6" w:rsidRPr="00BB59D8">
        <w:rPr>
          <w:iCs/>
        </w:rPr>
        <w:t xml:space="preserve">PBAC </w:t>
      </w:r>
      <w:r w:rsidR="43AD8C68" w:rsidRPr="00BB59D8">
        <w:rPr>
          <w:iCs/>
        </w:rPr>
        <w:t xml:space="preserve">considered </w:t>
      </w:r>
      <w:r w:rsidR="75BD05D1" w:rsidRPr="00BB59D8">
        <w:rPr>
          <w:rFonts w:ascii="Calibri" w:eastAsia="Calibri" w:hAnsi="Calibri" w:cs="Calibri"/>
          <w:iCs/>
        </w:rPr>
        <w:t xml:space="preserve">a more precise definition of GH sufficiency and adequate response to treatment was required to minimise the risk of </w:t>
      </w:r>
      <w:r w:rsidR="00CE456D" w:rsidRPr="00BB59D8">
        <w:rPr>
          <w:rFonts w:ascii="Calibri" w:eastAsia="Calibri" w:hAnsi="Calibri" w:cs="Calibri"/>
          <w:iCs/>
        </w:rPr>
        <w:t xml:space="preserve">use outside circumstances considered cost-effective </w:t>
      </w:r>
      <w:r w:rsidR="75BD05D1" w:rsidRPr="00BB59D8">
        <w:rPr>
          <w:rFonts w:ascii="Calibri" w:eastAsia="Calibri" w:hAnsi="Calibri" w:cs="Calibri"/>
          <w:iCs/>
        </w:rPr>
        <w:t>and continuati</w:t>
      </w:r>
      <w:r w:rsidR="008A4C35" w:rsidRPr="00BB59D8">
        <w:rPr>
          <w:rFonts w:ascii="Calibri" w:eastAsia="Calibri" w:hAnsi="Calibri" w:cs="Calibri"/>
          <w:iCs/>
        </w:rPr>
        <w:t>o</w:t>
      </w:r>
      <w:r w:rsidR="75BD05D1" w:rsidRPr="00BB59D8">
        <w:rPr>
          <w:rFonts w:ascii="Calibri" w:eastAsia="Calibri" w:hAnsi="Calibri" w:cs="Calibri"/>
          <w:iCs/>
        </w:rPr>
        <w:t xml:space="preserve">n of treatment in the absence of clinical benefit. </w:t>
      </w:r>
      <w:r w:rsidR="00EC1E95" w:rsidRPr="00BB59D8">
        <w:t xml:space="preserve">The PBAC considered that </w:t>
      </w:r>
      <w:r w:rsidR="00CE456D" w:rsidRPr="00BB59D8">
        <w:t xml:space="preserve">revised </w:t>
      </w:r>
      <w:r w:rsidR="00EC1E95" w:rsidRPr="00BB59D8">
        <w:t>continuation criteria similar to those applying to growth hormone</w:t>
      </w:r>
      <w:r w:rsidR="00CE456D" w:rsidRPr="00BB59D8">
        <w:t xml:space="preserve"> would assist in clearly outlining circumstances of cost-effective use</w:t>
      </w:r>
      <w:r w:rsidR="00EC1E95" w:rsidRPr="00BB59D8">
        <w:t xml:space="preserve">. </w:t>
      </w:r>
      <w:r w:rsidR="002071A9" w:rsidRPr="00BB59D8">
        <w:t xml:space="preserve">The PBAC agreed with the Secretariat suggestion that </w:t>
      </w:r>
      <w:r w:rsidR="002071A9" w:rsidRPr="00BB59D8">
        <w:rPr>
          <w:rFonts w:eastAsia="Calibri" w:cs="Calibri"/>
          <w:iCs/>
        </w:rPr>
        <w:t>t</w:t>
      </w:r>
      <w:r w:rsidR="00A668B9" w:rsidRPr="00BB59D8">
        <w:rPr>
          <w:rFonts w:eastAsia="Calibri" w:cs="Calibri"/>
          <w:iCs/>
        </w:rPr>
        <w:t>here should be documented confirmation of the diagnosis of severe IGF-1 deficiency</w:t>
      </w:r>
      <w:r w:rsidR="002071A9" w:rsidRPr="00BB59D8">
        <w:rPr>
          <w:rFonts w:eastAsia="Calibri" w:cs="Calibri"/>
          <w:iCs/>
        </w:rPr>
        <w:t xml:space="preserve"> </w:t>
      </w:r>
      <w:r w:rsidR="00A668B9" w:rsidRPr="00BB59D8">
        <w:rPr>
          <w:rFonts w:eastAsia="Calibri" w:cs="Calibri"/>
          <w:iCs/>
        </w:rPr>
        <w:t>at treatment</w:t>
      </w:r>
      <w:r w:rsidR="002071A9" w:rsidRPr="00BB59D8">
        <w:rPr>
          <w:rFonts w:eastAsia="Calibri" w:cs="Calibri"/>
          <w:iCs/>
        </w:rPr>
        <w:t xml:space="preserve"> initiation</w:t>
      </w:r>
      <w:r w:rsidR="00A668B9" w:rsidRPr="00BB59D8">
        <w:rPr>
          <w:rFonts w:eastAsia="Calibri" w:cs="Calibri"/>
          <w:iCs/>
        </w:rPr>
        <w:t xml:space="preserve">, which may include confirmation of mutation in the growth hormone/IGF signalling pathway consistent with severe IGF-1 deficiency, in line with guidance in the </w:t>
      </w:r>
      <w:r w:rsidR="00C05462" w:rsidRPr="00BB59D8">
        <w:rPr>
          <w:rFonts w:eastAsia="Calibri" w:cs="Calibri"/>
          <w:iCs/>
        </w:rPr>
        <w:t>PI</w:t>
      </w:r>
      <w:r w:rsidR="00A668B9" w:rsidRPr="00BB59D8">
        <w:rPr>
          <w:rFonts w:eastAsia="Calibri" w:cs="Calibri"/>
          <w:iCs/>
        </w:rPr>
        <w:t>.</w:t>
      </w:r>
    </w:p>
    <w:p w14:paraId="7747C14F" w14:textId="11554B08" w:rsidR="00A36B15" w:rsidRPr="00BB59D8" w:rsidRDefault="00A36B15" w:rsidP="00A36B15">
      <w:pPr>
        <w:pStyle w:val="3-BodyText"/>
      </w:pPr>
      <w:r w:rsidRPr="00BB59D8">
        <w:t>The PBAC noted that a wide range of general health conditions are associated with a low or undetectable level of IGF1. In general, conditions such as GH deficiency or multisystem auto immune inflammatory disorders have low GH</w:t>
      </w:r>
      <w:r w:rsidR="00A8152E" w:rsidRPr="00BB59D8">
        <w:t>,</w:t>
      </w:r>
      <w:r w:rsidRPr="00BB59D8">
        <w:t xml:space="preserve"> but there are a number of stress related conditions where growth hormone levels are high in the presence of extremely low IGF1, most notably psychosocial growth failure (deprivation).</w:t>
      </w:r>
    </w:p>
    <w:p w14:paraId="16CFE06C" w14:textId="77777777" w:rsidR="003E7794" w:rsidRPr="00BB59D8" w:rsidRDefault="003E7794" w:rsidP="003E7794">
      <w:pPr>
        <w:spacing w:after="120"/>
        <w:ind w:firstLine="709"/>
        <w:rPr>
          <w:rFonts w:asciiTheme="minorHAnsi" w:hAnsiTheme="minorHAnsi" w:cs="Times New Roman"/>
          <w:i/>
          <w:lang w:eastAsia="en-US"/>
        </w:rPr>
      </w:pPr>
      <w:r w:rsidRPr="00BB59D8">
        <w:rPr>
          <w:rFonts w:asciiTheme="minorHAnsi" w:hAnsiTheme="minorHAnsi" w:cs="Times New Roman"/>
          <w:i/>
          <w:lang w:eastAsia="en-US"/>
        </w:rPr>
        <w:t>For more detail on PBAC’s view, see Section 7 PBAC outcome.</w:t>
      </w:r>
    </w:p>
    <w:p w14:paraId="3FE1584A" w14:textId="77777777" w:rsidR="007563FC" w:rsidRPr="00BB59D8" w:rsidRDefault="007563FC" w:rsidP="007563FC">
      <w:pPr>
        <w:pStyle w:val="2-SectionHeading"/>
      </w:pPr>
      <w:bookmarkStart w:id="9" w:name="_Toc82536422"/>
      <w:r w:rsidRPr="00BB59D8">
        <w:t>Population and disease</w:t>
      </w:r>
      <w:bookmarkEnd w:id="9"/>
    </w:p>
    <w:p w14:paraId="4304EC8B" w14:textId="77777777" w:rsidR="007563FC" w:rsidRPr="00BB59D8" w:rsidRDefault="007563FC" w:rsidP="007563FC">
      <w:pPr>
        <w:pStyle w:val="3-BodyText"/>
      </w:pPr>
      <w:r w:rsidRPr="00BB59D8">
        <w:t>Short stature is defined as a height more than two standard deviations below the mean for age, sex and pubertal stage of the reference population. Short stature can be caused by GH-</w:t>
      </w:r>
      <w:r w:rsidR="00061EBF" w:rsidRPr="00BB59D8">
        <w:t>insulin-like growth factor 1 (</w:t>
      </w:r>
      <w:r w:rsidRPr="00BB59D8">
        <w:t>IGF-1</w:t>
      </w:r>
      <w:r w:rsidR="00061EBF" w:rsidRPr="00BB59D8">
        <w:t>)</w:t>
      </w:r>
      <w:r w:rsidRPr="00BB59D8">
        <w:t xml:space="preserve"> axis defects. SPIGFD in children and adolescents is associated with more severe growth defects than GH deficiency.</w:t>
      </w:r>
    </w:p>
    <w:p w14:paraId="2EF36C49" w14:textId="77777777" w:rsidR="007563FC" w:rsidRPr="00BB59D8" w:rsidRDefault="007563FC" w:rsidP="007563FC">
      <w:pPr>
        <w:pStyle w:val="3-BodyText"/>
      </w:pPr>
      <w:r w:rsidRPr="00BB59D8">
        <w:t>SPIGFD is defined by HSDS score ≤ –3.0; baseline height velocity less than the 25th percentile for bone age, based on two measurements over 12 months; basal IGF-1 levels below the 2.5th percentile for age and gender; GH sufficiency; and exclusion of secondary forms of IGF-1 deficiency, such as malnutrition, hypopituitarism, hypothyroidism, or chronic treatment with pharmacologic doses of anti-inflammatory steroids.</w:t>
      </w:r>
    </w:p>
    <w:p w14:paraId="4B8DF38D" w14:textId="0A04825F" w:rsidR="007563FC" w:rsidRPr="00BB59D8" w:rsidRDefault="007563FC" w:rsidP="007563FC">
      <w:pPr>
        <w:pStyle w:val="3-BodyText"/>
        <w:rPr>
          <w:iCs/>
        </w:rPr>
      </w:pPr>
      <w:r w:rsidRPr="00BB59D8">
        <w:rPr>
          <w:iCs/>
        </w:rPr>
        <w:t>SPIGFD can also have consequences other than impaired growth in the short-term, including acromicria including facial bones, small gonads and genitalia, defective and crowded teeth, sparse hair growth, obesity, retarded brain growth and skeletal maturation, delayed motor development and puberty, and narrow larynx</w:t>
      </w:r>
      <w:bookmarkStart w:id="10" w:name="_Hlk79570813"/>
      <w:r w:rsidRPr="00BB59D8">
        <w:rPr>
          <w:iCs/>
        </w:rPr>
        <w:t xml:space="preserve">. Long-term consequences besides short stature include marked progressive obesity, muscle underdevelopment, varying intellectual deficits (from retardation to normal), glucose intolerance and diabetes, and hypercholesterolaemia. </w:t>
      </w:r>
      <w:r w:rsidR="3461EB03" w:rsidRPr="00BB59D8">
        <w:rPr>
          <w:iCs/>
        </w:rPr>
        <w:t xml:space="preserve">The ESC highlighted that </w:t>
      </w:r>
      <w:r w:rsidR="37F02AA3" w:rsidRPr="00BB59D8">
        <w:t>n</w:t>
      </w:r>
      <w:r w:rsidRPr="00BB59D8">
        <w:t>one</w:t>
      </w:r>
      <w:r w:rsidRPr="00BB59D8">
        <w:rPr>
          <w:iCs/>
        </w:rPr>
        <w:t xml:space="preserve"> of these consequences were considered in the economic model</w:t>
      </w:r>
      <w:r w:rsidR="005D7A8B" w:rsidRPr="00BB59D8">
        <w:rPr>
          <w:iCs/>
        </w:rPr>
        <w:t>, especially long-term</w:t>
      </w:r>
      <w:r w:rsidR="2B56FEAB" w:rsidRPr="00BB59D8">
        <w:t xml:space="preserve"> </w:t>
      </w:r>
      <w:r w:rsidR="2B56FEAB" w:rsidRPr="00BB59D8">
        <w:rPr>
          <w:iCs/>
        </w:rPr>
        <w:t xml:space="preserve">and it was unclear </w:t>
      </w:r>
      <w:r w:rsidR="00035E09" w:rsidRPr="00BB59D8">
        <w:rPr>
          <w:iCs/>
        </w:rPr>
        <w:t xml:space="preserve">to what extent mecasermin </w:t>
      </w:r>
      <w:r w:rsidR="005F2AAE" w:rsidRPr="00BB59D8">
        <w:rPr>
          <w:iCs/>
        </w:rPr>
        <w:t xml:space="preserve">treatment would lead to </w:t>
      </w:r>
      <w:r w:rsidR="2B56FEAB" w:rsidRPr="00BB59D8">
        <w:rPr>
          <w:iCs/>
        </w:rPr>
        <w:t xml:space="preserve">improvements in these </w:t>
      </w:r>
      <w:r w:rsidR="456E23D3" w:rsidRPr="00BB59D8">
        <w:rPr>
          <w:iCs/>
        </w:rPr>
        <w:t xml:space="preserve">other </w:t>
      </w:r>
      <w:r w:rsidR="2B56FEAB" w:rsidRPr="00BB59D8">
        <w:rPr>
          <w:iCs/>
        </w:rPr>
        <w:t>consequences</w:t>
      </w:r>
      <w:r w:rsidR="00035E09" w:rsidRPr="00BB59D8">
        <w:rPr>
          <w:iCs/>
        </w:rPr>
        <w:t xml:space="preserve"> of SPIGFD</w:t>
      </w:r>
      <w:r w:rsidR="00E879D1" w:rsidRPr="00BB59D8">
        <w:rPr>
          <w:iCs/>
        </w:rPr>
        <w:t xml:space="preserve">. </w:t>
      </w:r>
      <w:r w:rsidRPr="00BB59D8">
        <w:rPr>
          <w:iCs/>
        </w:rPr>
        <w:t>However, the condition did not appear to affect lifespan and m</w:t>
      </w:r>
      <w:r w:rsidR="0059058E" w:rsidRPr="00BB59D8">
        <w:rPr>
          <w:iCs/>
        </w:rPr>
        <w:t>ay</w:t>
      </w:r>
      <w:r w:rsidRPr="00BB59D8">
        <w:rPr>
          <w:iCs/>
        </w:rPr>
        <w:t xml:space="preserve"> be associated with a reduced risk of cancer.</w:t>
      </w:r>
      <w:bookmarkStart w:id="11" w:name="_Ref81552939"/>
      <w:r w:rsidR="00D555A6" w:rsidRPr="00BB59D8">
        <w:rPr>
          <w:rStyle w:val="FootnoteReference"/>
          <w:iCs/>
        </w:rPr>
        <w:footnoteReference w:id="2"/>
      </w:r>
      <w:bookmarkEnd w:id="11"/>
    </w:p>
    <w:p w14:paraId="1FC5498F" w14:textId="77777777" w:rsidR="007563FC" w:rsidRPr="00BB59D8" w:rsidRDefault="007563FC" w:rsidP="007563FC">
      <w:pPr>
        <w:pStyle w:val="3-BodyText"/>
      </w:pPr>
      <w:bookmarkStart w:id="12" w:name="_Hlk78792592"/>
      <w:bookmarkEnd w:id="10"/>
      <w:r w:rsidRPr="00BB59D8">
        <w:t>Children with short stature have worse quality of life (QoL) compared to children with normal height. Short stature may be a risk factor for psychosocial problems, generalised anxiety, depression, and suicide.</w:t>
      </w:r>
    </w:p>
    <w:p w14:paraId="6EA3A48D" w14:textId="77777777" w:rsidR="007563FC" w:rsidRPr="00BB59D8" w:rsidRDefault="007563FC" w:rsidP="007563FC">
      <w:pPr>
        <w:pStyle w:val="3-BodyText"/>
      </w:pPr>
      <w:r w:rsidRPr="00BB59D8">
        <w:t xml:space="preserve">The orphan drug designation application to the TGA of mecasermin estimated between 134 and 1,274 patients. The submission estimated the number of eligible patients using data from the EU-IGFD </w:t>
      </w:r>
      <w:r w:rsidR="00C6040C" w:rsidRPr="00BB59D8">
        <w:t>Registry</w:t>
      </w:r>
      <w:r w:rsidRPr="00BB59D8">
        <w:t xml:space="preserve"> and sales data from five European countries </w:t>
      </w:r>
      <w:r w:rsidR="005202DB" w:rsidRPr="00BB59D8">
        <w:t>to be far</w:t>
      </w:r>
      <w:r w:rsidRPr="00BB59D8">
        <w:t xml:space="preserve"> fewer, 15 patients by 2027.</w:t>
      </w:r>
    </w:p>
    <w:bookmarkEnd w:id="12"/>
    <w:p w14:paraId="16EC9881" w14:textId="77777777" w:rsidR="0045753B" w:rsidRPr="00BB59D8" w:rsidRDefault="007563FC" w:rsidP="0045753B">
      <w:pPr>
        <w:pStyle w:val="3-BodyText"/>
      </w:pPr>
      <w:r w:rsidRPr="00BB59D8">
        <w:t xml:space="preserve">Mecasermin is the only therapy to date for the treatment of SPIGFD. </w:t>
      </w:r>
      <w:r w:rsidR="0045753B" w:rsidRPr="00BB59D8">
        <w:t>Mecasermin is a recombinant DNA-derived human IGF-1 produced in Escherichia coli, which acts as replacement therapy for IGF-1 in patients with SPIGFD. As IGF-1 is the principal hormonal mediator of statural growth, and deficiency in IGF-1 results in short stature. As a result, mecasermin stimulates body growth in the same way as IGF-1.</w:t>
      </w:r>
    </w:p>
    <w:p w14:paraId="0DA35A45" w14:textId="77777777" w:rsidR="006C04DF" w:rsidRPr="00BB59D8" w:rsidRDefault="006C04DF" w:rsidP="006C04DF">
      <w:pPr>
        <w:pStyle w:val="3-BodyText"/>
      </w:pPr>
      <w:r w:rsidRPr="00BB59D8">
        <w:rPr>
          <w:iCs/>
        </w:rPr>
        <w:t>Mecasermin has been described as an anabolic hormone usually abused among athletes to improve physical capacity and individuals seeking to enhance body aesthetics.</w:t>
      </w:r>
      <w:r w:rsidRPr="00BB59D8">
        <w:rPr>
          <w:rStyle w:val="FootnoteReference"/>
          <w:rFonts w:eastAsia="SimSun"/>
          <w:iCs/>
        </w:rPr>
        <w:footnoteReference w:id="3"/>
      </w:r>
      <w:r w:rsidRPr="00BB59D8">
        <w:rPr>
          <w:iCs/>
        </w:rPr>
        <w:t xml:space="preserve"> There is a potential risk of misuse of mecasermin outside its approved indications, similar to that of somatropin.</w:t>
      </w:r>
    </w:p>
    <w:p w14:paraId="4ECAAE88" w14:textId="77777777" w:rsidR="0045753B" w:rsidRPr="00BB59D8" w:rsidRDefault="008C2597" w:rsidP="00A5663E">
      <w:pPr>
        <w:pStyle w:val="3-BodyText"/>
      </w:pPr>
      <w:r w:rsidRPr="00BB59D8">
        <w:t>The submission presented a clinical management algorithm based on Grimberg 2016, a US Pediatric Endocrine Society guideline, as there are currently no Australian specific tr</w:t>
      </w:r>
      <w:r w:rsidR="00CE6FA9" w:rsidRPr="00BB59D8">
        <w:t xml:space="preserve">eatment guidelines for SPIGFD. </w:t>
      </w:r>
      <w:r w:rsidRPr="00BB59D8">
        <w:t>As presented in Figure 1, i</w:t>
      </w:r>
      <w:r w:rsidR="007563FC" w:rsidRPr="00BB59D8">
        <w:t xml:space="preserve">f very low IGF-1 concentrations are observed together with GH sufficiency, mecasermin treatment is recommended if genetic causes of GH insensitivity are present or if GH trial has been tried unsuccessfully. </w:t>
      </w:r>
    </w:p>
    <w:p w14:paraId="50966A5A" w14:textId="77777777" w:rsidR="007563FC" w:rsidRPr="00BB59D8" w:rsidRDefault="007563FC" w:rsidP="007563FC">
      <w:pPr>
        <w:pStyle w:val="3-BodyText"/>
        <w:numPr>
          <w:ilvl w:val="0"/>
          <w:numId w:val="0"/>
        </w:numPr>
      </w:pPr>
    </w:p>
    <w:p w14:paraId="357ADB75" w14:textId="77777777" w:rsidR="007563FC" w:rsidRPr="00BB59D8" w:rsidRDefault="007563FC" w:rsidP="007563FC">
      <w:pPr>
        <w:pStyle w:val="TableFigureHeading"/>
        <w:rPr>
          <w:rStyle w:val="CommentReference"/>
          <w:b/>
          <w:szCs w:val="24"/>
        </w:rPr>
      </w:pPr>
      <w:r w:rsidRPr="00BB59D8">
        <w:rPr>
          <w:rStyle w:val="CommentReference"/>
          <w:b/>
          <w:szCs w:val="24"/>
        </w:rPr>
        <w:t>Figure 1: Current &amp; proposed clinical management algorithm</w:t>
      </w:r>
    </w:p>
    <w:p w14:paraId="4541EC66" w14:textId="77777777" w:rsidR="007563FC" w:rsidRPr="00BB59D8" w:rsidRDefault="007563FC" w:rsidP="00DB472C">
      <w:r w:rsidRPr="00BB59D8">
        <w:rPr>
          <w:noProof/>
        </w:rPr>
        <w:drawing>
          <wp:inline distT="0" distB="0" distL="0" distR="0" wp14:anchorId="3B914E0E" wp14:editId="521FBACB">
            <wp:extent cx="4561537" cy="3921261"/>
            <wp:effectExtent l="0" t="0" r="0" b="3175"/>
            <wp:docPr id="1" name="Picture 1" descr="Figure 1: Current &amp;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urrent &amp; proposed clinical management algorith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9405" cy="3928024"/>
                    </a:xfrm>
                    <a:prstGeom prst="rect">
                      <a:avLst/>
                    </a:prstGeom>
                    <a:noFill/>
                  </pic:spPr>
                </pic:pic>
              </a:graphicData>
            </a:graphic>
          </wp:inline>
        </w:drawing>
      </w:r>
    </w:p>
    <w:p w14:paraId="0D16D72E" w14:textId="77777777" w:rsidR="00DB472C" w:rsidRPr="00BB59D8" w:rsidRDefault="00DB472C" w:rsidP="007563FC">
      <w:pPr>
        <w:pStyle w:val="TableFigureFooter"/>
      </w:pPr>
      <w:r w:rsidRPr="00BB59D8">
        <w:t>GH = growth hormone; GHBP = growth hormone binding protein; IGF-1 = insulin-like growth factor 1.</w:t>
      </w:r>
    </w:p>
    <w:p w14:paraId="66DF04EF" w14:textId="264DF017" w:rsidR="007563FC" w:rsidRPr="00BB59D8" w:rsidRDefault="007563FC" w:rsidP="009750B5">
      <w:pPr>
        <w:pStyle w:val="TableFigureFooter"/>
      </w:pPr>
      <w:r w:rsidRPr="00BB59D8">
        <w:t>Source: Figure 1-2, p26 of the submission</w:t>
      </w:r>
    </w:p>
    <w:p w14:paraId="14CD3931" w14:textId="77777777" w:rsidR="00FC4346" w:rsidRPr="00BB59D8" w:rsidRDefault="007563FC" w:rsidP="004D3A74">
      <w:pPr>
        <w:pStyle w:val="3-BodyText"/>
        <w:rPr>
          <w:rFonts w:ascii="Arial Narrow" w:hAnsi="Arial Narrow"/>
          <w:iCs/>
          <w:sz w:val="18"/>
          <w:szCs w:val="22"/>
        </w:rPr>
      </w:pPr>
      <w:r w:rsidRPr="00BB59D8">
        <w:t>The clinical management algorithm suggests using circulating levels of GH binding protein, IGF-1 generation test and mutation analyses in the screening phase</w:t>
      </w:r>
      <w:r w:rsidRPr="00BB59D8">
        <w:rPr>
          <w:iCs/>
        </w:rPr>
        <w:t xml:space="preserve">. This is consistent with Grimberg 2016. However, these pathology tests </w:t>
      </w:r>
      <w:r w:rsidR="00B0793B" w:rsidRPr="00BB59D8">
        <w:rPr>
          <w:iCs/>
        </w:rPr>
        <w:t xml:space="preserve">were </w:t>
      </w:r>
      <w:r w:rsidRPr="00BB59D8">
        <w:rPr>
          <w:iCs/>
        </w:rPr>
        <w:t xml:space="preserve">not </w:t>
      </w:r>
      <w:r w:rsidR="005202DB" w:rsidRPr="00BB59D8">
        <w:rPr>
          <w:iCs/>
        </w:rPr>
        <w:t xml:space="preserve">included </w:t>
      </w:r>
      <w:r w:rsidRPr="00BB59D8">
        <w:rPr>
          <w:iCs/>
        </w:rPr>
        <w:t xml:space="preserve">in the </w:t>
      </w:r>
      <w:r w:rsidR="0045753B" w:rsidRPr="00BB59D8">
        <w:rPr>
          <w:iCs/>
        </w:rPr>
        <w:t xml:space="preserve">proposed </w:t>
      </w:r>
      <w:r w:rsidRPr="00BB59D8">
        <w:rPr>
          <w:iCs/>
        </w:rPr>
        <w:t xml:space="preserve">PBS restrictions, inclusion criteria of </w:t>
      </w:r>
      <w:r w:rsidR="00B0793B" w:rsidRPr="00BB59D8">
        <w:rPr>
          <w:iCs/>
        </w:rPr>
        <w:t xml:space="preserve">clinical </w:t>
      </w:r>
      <w:r w:rsidRPr="00BB59D8">
        <w:rPr>
          <w:iCs/>
        </w:rPr>
        <w:t xml:space="preserve">studies (except for mutation analyses), </w:t>
      </w:r>
      <w:r w:rsidR="00B0793B" w:rsidRPr="00BB59D8">
        <w:rPr>
          <w:iCs/>
        </w:rPr>
        <w:t>economic evaluation or financial estimates</w:t>
      </w:r>
      <w:r w:rsidRPr="00BB59D8">
        <w:rPr>
          <w:iCs/>
        </w:rPr>
        <w:t>.</w:t>
      </w:r>
    </w:p>
    <w:p w14:paraId="2017C3A7" w14:textId="77777777" w:rsidR="003E7794" w:rsidRPr="00BB59D8" w:rsidRDefault="003E7794" w:rsidP="003E7794">
      <w:pPr>
        <w:spacing w:after="120"/>
        <w:ind w:firstLine="709"/>
        <w:rPr>
          <w:rFonts w:asciiTheme="minorHAnsi" w:hAnsiTheme="minorHAnsi" w:cs="Times New Roman"/>
          <w:i/>
          <w:lang w:eastAsia="en-US"/>
        </w:rPr>
      </w:pPr>
      <w:r w:rsidRPr="00BB59D8">
        <w:rPr>
          <w:rFonts w:asciiTheme="minorHAnsi" w:hAnsiTheme="minorHAnsi" w:cs="Times New Roman"/>
          <w:i/>
          <w:lang w:eastAsia="en-US"/>
        </w:rPr>
        <w:t>For more detail on PBAC’s view, see Section 7 PBAC outcome.</w:t>
      </w:r>
    </w:p>
    <w:p w14:paraId="4AB98FA5" w14:textId="77777777" w:rsidR="007563FC" w:rsidRPr="00BB59D8" w:rsidRDefault="007563FC" w:rsidP="007563FC">
      <w:pPr>
        <w:pStyle w:val="2-SectionHeading"/>
      </w:pPr>
      <w:bookmarkStart w:id="13" w:name="_Toc82536423"/>
      <w:r w:rsidRPr="00BB59D8">
        <w:t>Comparator</w:t>
      </w:r>
      <w:bookmarkEnd w:id="13"/>
    </w:p>
    <w:p w14:paraId="4BC88CB3" w14:textId="77777777" w:rsidR="007563FC" w:rsidRPr="00BB59D8" w:rsidRDefault="007563FC" w:rsidP="007563FC">
      <w:pPr>
        <w:pStyle w:val="3-BodyText"/>
        <w:rPr>
          <w:snapToGrid/>
        </w:rPr>
      </w:pPr>
      <w:r w:rsidRPr="00BB59D8">
        <w:t xml:space="preserve">The submission nominated no treatment as the comparator. </w:t>
      </w:r>
      <w:r w:rsidRPr="00BB59D8">
        <w:rPr>
          <w:iCs/>
        </w:rPr>
        <w:t>This is reasonable considering that there are no other therapeutic alternatives.</w:t>
      </w:r>
      <w:r w:rsidRPr="00BB59D8">
        <w:rPr>
          <w:snapToGrid/>
        </w:rPr>
        <w:t xml:space="preserve"> </w:t>
      </w:r>
      <w:r w:rsidRPr="00BB59D8">
        <w:rPr>
          <w:iCs/>
        </w:rPr>
        <w:t>Patients with SPIGFD have GH sufficiency, therefore GH would not be an appropriate comparator.</w:t>
      </w:r>
    </w:p>
    <w:p w14:paraId="60BAB544" w14:textId="553C13D5" w:rsidR="003E7794" w:rsidRPr="009750B5" w:rsidRDefault="003E7794" w:rsidP="009750B5">
      <w:pPr>
        <w:spacing w:after="120"/>
        <w:ind w:firstLine="709"/>
        <w:rPr>
          <w:rFonts w:asciiTheme="minorHAnsi" w:hAnsiTheme="minorHAnsi" w:cs="Times New Roman"/>
          <w:i/>
          <w:lang w:eastAsia="en-US"/>
        </w:rPr>
      </w:pPr>
      <w:r w:rsidRPr="00BB59D8">
        <w:rPr>
          <w:rFonts w:asciiTheme="minorHAnsi" w:hAnsiTheme="minorHAnsi" w:cs="Times New Roman"/>
          <w:i/>
          <w:lang w:eastAsia="en-US"/>
        </w:rPr>
        <w:t>For more detail on PBAC’s view, see Section 7 PBAC outcome.</w:t>
      </w:r>
    </w:p>
    <w:p w14:paraId="75C8DD86" w14:textId="77777777" w:rsidR="00223D5A" w:rsidRPr="00BB59D8" w:rsidRDefault="00223D5A" w:rsidP="00223D5A">
      <w:pPr>
        <w:pStyle w:val="2-SectionHeading"/>
      </w:pPr>
      <w:bookmarkStart w:id="14" w:name="_Toc82536424"/>
      <w:bookmarkStart w:id="15" w:name="_Toc22897640"/>
      <w:r w:rsidRPr="00BB59D8">
        <w:t>Consideration of the evidence</w:t>
      </w:r>
      <w:bookmarkEnd w:id="14"/>
    </w:p>
    <w:p w14:paraId="35E74621" w14:textId="77777777" w:rsidR="00752C1B" w:rsidRPr="00BB59D8" w:rsidRDefault="00752C1B" w:rsidP="00752C1B">
      <w:pPr>
        <w:pStyle w:val="4-SubsectionHeading"/>
      </w:pPr>
      <w:bookmarkStart w:id="16" w:name="_Hlk76375935"/>
      <w:bookmarkStart w:id="17" w:name="_Toc82536425"/>
      <w:r w:rsidRPr="00BB59D8">
        <w:t>Sponsor hearing</w:t>
      </w:r>
    </w:p>
    <w:p w14:paraId="047A41EC" w14:textId="77777777" w:rsidR="005F7D85" w:rsidRPr="00BB59D8" w:rsidRDefault="005F7D85" w:rsidP="005F7D85">
      <w:pPr>
        <w:widowControl w:val="0"/>
        <w:numPr>
          <w:ilvl w:val="1"/>
          <w:numId w:val="1"/>
        </w:numPr>
        <w:spacing w:after="120"/>
        <w:rPr>
          <w:rFonts w:cs="Calibri"/>
          <w:bCs/>
          <w:snapToGrid w:val="0"/>
        </w:rPr>
      </w:pPr>
      <w:r w:rsidRPr="00BB59D8">
        <w:rPr>
          <w:rFonts w:cs="Calibri"/>
          <w:bCs/>
          <w:snapToGrid w:val="0"/>
        </w:rPr>
        <w:t>There was no hearing for this item.</w:t>
      </w:r>
    </w:p>
    <w:p w14:paraId="613FBDB8" w14:textId="77777777" w:rsidR="00752C1B" w:rsidRPr="00BB59D8" w:rsidRDefault="00752C1B" w:rsidP="00752C1B">
      <w:pPr>
        <w:pStyle w:val="4-SubsectionHeading"/>
      </w:pPr>
      <w:r w:rsidRPr="00BB59D8">
        <w:t>Consumer comments</w:t>
      </w:r>
    </w:p>
    <w:p w14:paraId="655E2484" w14:textId="6A0A215E" w:rsidR="00752C1B" w:rsidRPr="00BB59D8" w:rsidRDefault="005F7D85" w:rsidP="00752C1B">
      <w:pPr>
        <w:widowControl w:val="0"/>
        <w:numPr>
          <w:ilvl w:val="1"/>
          <w:numId w:val="1"/>
        </w:numPr>
        <w:spacing w:after="120"/>
        <w:rPr>
          <w:rFonts w:asciiTheme="minorHAnsi" w:hAnsiTheme="minorHAnsi"/>
          <w:bCs/>
          <w:snapToGrid w:val="0"/>
        </w:rPr>
      </w:pPr>
      <w:bookmarkStart w:id="18" w:name="_Hlk76382618"/>
      <w:r w:rsidRPr="00BB59D8">
        <w:rPr>
          <w:rFonts w:asciiTheme="minorHAnsi" w:hAnsiTheme="minorHAnsi"/>
          <w:bCs/>
          <w:snapToGrid w:val="0"/>
        </w:rPr>
        <w:t xml:space="preserve">The PBAC noted </w:t>
      </w:r>
      <w:r w:rsidR="007C2986" w:rsidRPr="00BB59D8">
        <w:rPr>
          <w:rFonts w:asciiTheme="minorHAnsi" w:hAnsiTheme="minorHAnsi"/>
          <w:bCs/>
          <w:snapToGrid w:val="0"/>
        </w:rPr>
        <w:t xml:space="preserve">and welcomed </w:t>
      </w:r>
      <w:r w:rsidRPr="00BB59D8">
        <w:rPr>
          <w:rFonts w:asciiTheme="minorHAnsi" w:hAnsiTheme="minorHAnsi"/>
          <w:bCs/>
          <w:snapToGrid w:val="0"/>
        </w:rPr>
        <w:t xml:space="preserve">the input from a </w:t>
      </w:r>
      <w:r w:rsidR="007C2986" w:rsidRPr="00BB59D8">
        <w:rPr>
          <w:rFonts w:asciiTheme="minorHAnsi" w:hAnsiTheme="minorHAnsi"/>
          <w:bCs/>
          <w:snapToGrid w:val="0"/>
        </w:rPr>
        <w:t>health care professional</w:t>
      </w:r>
      <w:r w:rsidRPr="00BB59D8">
        <w:rPr>
          <w:rFonts w:asciiTheme="minorHAnsi" w:hAnsiTheme="minorHAnsi"/>
          <w:bCs/>
          <w:snapToGrid w:val="0"/>
        </w:rPr>
        <w:t>.</w:t>
      </w:r>
      <w:r w:rsidR="007C2986" w:rsidRPr="00BB59D8">
        <w:rPr>
          <w:rFonts w:asciiTheme="minorHAnsi" w:hAnsiTheme="minorHAnsi"/>
          <w:bCs/>
          <w:snapToGrid w:val="0"/>
        </w:rPr>
        <w:t xml:space="preserve"> The input described a range of benefits of long term treatment with mecasermin including improved growth and potentially improved neurodevelopmental function including motor as well as social function.</w:t>
      </w:r>
    </w:p>
    <w:bookmarkEnd w:id="16"/>
    <w:bookmarkEnd w:id="18"/>
    <w:p w14:paraId="67ABD2A3" w14:textId="77777777" w:rsidR="00B60939" w:rsidRPr="00BB59D8" w:rsidRDefault="00B60939" w:rsidP="002E4F02">
      <w:pPr>
        <w:pStyle w:val="4-SubsectionHeading"/>
      </w:pPr>
      <w:r w:rsidRPr="00BB59D8">
        <w:t xml:space="preserve">Clinical </w:t>
      </w:r>
      <w:r w:rsidR="00D5243B" w:rsidRPr="00BB59D8">
        <w:t>studies/</w:t>
      </w:r>
      <w:r w:rsidRPr="00BB59D8">
        <w:t>trial</w:t>
      </w:r>
      <w:bookmarkEnd w:id="15"/>
      <w:r w:rsidR="0045753B" w:rsidRPr="00BB59D8">
        <w:t>s</w:t>
      </w:r>
      <w:bookmarkEnd w:id="17"/>
    </w:p>
    <w:p w14:paraId="45BCACA1" w14:textId="77777777" w:rsidR="0071553C" w:rsidRPr="00BB59D8" w:rsidRDefault="00224336" w:rsidP="002E4F02">
      <w:pPr>
        <w:pStyle w:val="3-BodyText"/>
        <w:rPr>
          <w:color w:val="0066FF"/>
        </w:rPr>
      </w:pPr>
      <w:r w:rsidRPr="00BB59D8">
        <w:rPr>
          <w:snapToGrid/>
        </w:rPr>
        <w:t xml:space="preserve">The </w:t>
      </w:r>
      <w:r w:rsidR="00A73134" w:rsidRPr="00BB59D8">
        <w:rPr>
          <w:snapToGrid/>
        </w:rPr>
        <w:t xml:space="preserve">submission </w:t>
      </w:r>
      <w:r w:rsidR="00D5243B" w:rsidRPr="00BB59D8">
        <w:rPr>
          <w:snapToGrid/>
        </w:rPr>
        <w:t>wa</w:t>
      </w:r>
      <w:r w:rsidR="00A73134" w:rsidRPr="00BB59D8">
        <w:rPr>
          <w:snapToGrid/>
        </w:rPr>
        <w:t>s based on one head-to-head trial</w:t>
      </w:r>
      <w:r w:rsidR="0071553C" w:rsidRPr="00BB59D8">
        <w:rPr>
          <w:snapToGrid/>
        </w:rPr>
        <w:t xml:space="preserve"> </w:t>
      </w:r>
      <w:r w:rsidR="00225001" w:rsidRPr="00BB59D8">
        <w:rPr>
          <w:snapToGrid/>
        </w:rPr>
        <w:t xml:space="preserve">comparing mecasermin to no treatment </w:t>
      </w:r>
      <w:r w:rsidR="0071553C" w:rsidRPr="00BB59D8">
        <w:rPr>
          <w:snapToGrid/>
        </w:rPr>
        <w:t xml:space="preserve">and three single-arm </w:t>
      </w:r>
      <w:r w:rsidR="00D5243B" w:rsidRPr="00BB59D8">
        <w:rPr>
          <w:snapToGrid/>
        </w:rPr>
        <w:t>stud</w:t>
      </w:r>
      <w:r w:rsidR="0071553C" w:rsidRPr="00BB59D8">
        <w:rPr>
          <w:snapToGrid/>
        </w:rPr>
        <w:t>ies:</w:t>
      </w:r>
    </w:p>
    <w:p w14:paraId="7237682A" w14:textId="77777777" w:rsidR="001370C7" w:rsidRPr="00BB59D8" w:rsidRDefault="008B3751" w:rsidP="00C862ED">
      <w:pPr>
        <w:pStyle w:val="ListParagraph"/>
        <w:numPr>
          <w:ilvl w:val="0"/>
          <w:numId w:val="9"/>
        </w:numPr>
        <w:ind w:left="1077" w:hanging="357"/>
      </w:pPr>
      <w:r w:rsidRPr="00BB59D8">
        <w:t xml:space="preserve">Trial </w:t>
      </w:r>
      <w:r w:rsidR="001370C7" w:rsidRPr="00BB59D8">
        <w:t>MS301: a one-year, randomi</w:t>
      </w:r>
      <w:r w:rsidR="007277BC" w:rsidRPr="00BB59D8">
        <w:t>s</w:t>
      </w:r>
      <w:r w:rsidR="001370C7" w:rsidRPr="00BB59D8">
        <w:t>ed controlled, open-label trial (N=137). Treatment-naïve (not taken mecasermin previously) patients were randomised to rece</w:t>
      </w:r>
      <w:r w:rsidR="007A0785" w:rsidRPr="00BB59D8">
        <w:t>i</w:t>
      </w:r>
      <w:r w:rsidR="001370C7" w:rsidRPr="00BB59D8">
        <w:t>ve no treatment or 40 µg/kg BID or 80 µg/kg BID mecasermin. Later, under Amendment 4 of the protocol, subjects in the 40 μg/kg BID group who had not already completed the study were reassigned to receive 120 μg/kg BID.</w:t>
      </w:r>
      <w:r w:rsidR="00CE65B6" w:rsidRPr="00BB59D8">
        <w:t xml:space="preserve"> Additional patients were recruited for the 120 μg/kg BID arm.</w:t>
      </w:r>
    </w:p>
    <w:p w14:paraId="52A3FEA1" w14:textId="77777777" w:rsidR="001370C7" w:rsidRPr="00BB59D8" w:rsidRDefault="0071553C" w:rsidP="00C862ED">
      <w:pPr>
        <w:pStyle w:val="ListParagraph"/>
        <w:numPr>
          <w:ilvl w:val="0"/>
          <w:numId w:val="9"/>
        </w:numPr>
        <w:ind w:left="1077" w:hanging="357"/>
      </w:pPr>
      <w:r w:rsidRPr="00BB59D8">
        <w:t>Study 1419: a single-arm, open-label, non</w:t>
      </w:r>
      <w:r w:rsidR="00225001" w:rsidRPr="00BB59D8">
        <w:t>-</w:t>
      </w:r>
      <w:r w:rsidRPr="00BB59D8">
        <w:t>randomised study assessing the effect of mecasermin until near-adult height</w:t>
      </w:r>
      <w:r w:rsidR="00B40611" w:rsidRPr="00BB59D8">
        <w:t xml:space="preserve"> (i.e., when the most recent bone age was at least 14 years old for females and 16 years old for males)</w:t>
      </w:r>
      <w:r w:rsidRPr="00BB59D8">
        <w:t xml:space="preserve"> in patients with </w:t>
      </w:r>
      <w:r w:rsidR="00CE65B6" w:rsidRPr="00BB59D8">
        <w:t xml:space="preserve">primary </w:t>
      </w:r>
      <w:r w:rsidRPr="00BB59D8">
        <w:t>IGFD associated with</w:t>
      </w:r>
      <w:r w:rsidRPr="00C862ED">
        <w:t xml:space="preserve"> </w:t>
      </w:r>
      <w:r w:rsidRPr="00BB59D8">
        <w:t>GH receptor defects or GH gene deletion defects and anti-GH antibodies (</w:t>
      </w:r>
      <w:r w:rsidR="00357A4E" w:rsidRPr="00BB59D8">
        <w:t>N</w:t>
      </w:r>
      <w:r w:rsidRPr="00BB59D8">
        <w:t>=91). This study combined four previous studies</w:t>
      </w:r>
      <w:r w:rsidR="002D2B9D" w:rsidRPr="00BB59D8">
        <w:t>, and</w:t>
      </w:r>
      <w:r w:rsidRPr="00BB59D8">
        <w:t xml:space="preserve"> 69 patients </w:t>
      </w:r>
      <w:r w:rsidR="00824912" w:rsidRPr="00BB59D8">
        <w:t xml:space="preserve">were </w:t>
      </w:r>
      <w:r w:rsidRPr="00BB59D8">
        <w:t>recruited.</w:t>
      </w:r>
    </w:p>
    <w:p w14:paraId="786C4B90" w14:textId="77777777" w:rsidR="001370C7" w:rsidRPr="00BB59D8" w:rsidRDefault="001370C7" w:rsidP="00C862ED">
      <w:pPr>
        <w:pStyle w:val="ListParagraph"/>
        <w:numPr>
          <w:ilvl w:val="0"/>
          <w:numId w:val="9"/>
        </w:numPr>
        <w:ind w:left="1077" w:hanging="357"/>
      </w:pPr>
      <w:r w:rsidRPr="00BB59D8">
        <w:t>EU-I</w:t>
      </w:r>
      <w:r w:rsidR="006005DA" w:rsidRPr="00BB59D8">
        <w:t>GFD</w:t>
      </w:r>
      <w:r w:rsidRPr="00BB59D8">
        <w:t xml:space="preserve"> Registry: a single-arm, open-label, non-randomised study assessing the effect of mecasermin until near-adult height (N=281).</w:t>
      </w:r>
    </w:p>
    <w:p w14:paraId="0E3F1E6E" w14:textId="45222894" w:rsidR="007277BC" w:rsidRPr="00BB59D8" w:rsidRDefault="0071553C" w:rsidP="00C862ED">
      <w:pPr>
        <w:pStyle w:val="ListParagraph"/>
        <w:numPr>
          <w:ilvl w:val="0"/>
          <w:numId w:val="9"/>
        </w:numPr>
        <w:ind w:left="1077" w:hanging="357"/>
      </w:pPr>
      <w:r w:rsidRPr="00BB59D8">
        <w:t xml:space="preserve">Polish </w:t>
      </w:r>
      <w:r w:rsidR="008B3751" w:rsidRPr="00BB59D8">
        <w:t>S</w:t>
      </w:r>
      <w:r w:rsidRPr="00BB59D8">
        <w:t>tudy: a single-arm, open-label, non</w:t>
      </w:r>
      <w:r w:rsidR="00225001" w:rsidRPr="00BB59D8">
        <w:t>-</w:t>
      </w:r>
      <w:r w:rsidRPr="00BB59D8">
        <w:t>randomised study assessing the effect of mecasermin in the first patients treated in Poland for three years (</w:t>
      </w:r>
      <w:r w:rsidR="00357A4E" w:rsidRPr="00BB59D8">
        <w:t>N</w:t>
      </w:r>
      <w:r w:rsidRPr="00BB59D8">
        <w:t xml:space="preserve">=27). </w:t>
      </w:r>
    </w:p>
    <w:p w14:paraId="267F1BBC" w14:textId="77777777" w:rsidR="00862502" w:rsidRPr="00BB59D8" w:rsidRDefault="00A73134" w:rsidP="002E4F02">
      <w:pPr>
        <w:pStyle w:val="3-BodyText"/>
      </w:pPr>
      <w:r w:rsidRPr="00BB59D8">
        <w:rPr>
          <w:snapToGrid/>
        </w:rPr>
        <w:t xml:space="preserve">Details of the </w:t>
      </w:r>
      <w:r w:rsidR="0071553C" w:rsidRPr="00BB59D8">
        <w:rPr>
          <w:snapToGrid/>
        </w:rPr>
        <w:t>trial and studies</w:t>
      </w:r>
      <w:r w:rsidRPr="00BB59D8">
        <w:rPr>
          <w:snapToGrid/>
        </w:rPr>
        <w:t xml:space="preserve"> presented in the submission are provided in </w:t>
      </w:r>
      <w:r w:rsidR="0071553C" w:rsidRPr="00BB59D8">
        <w:rPr>
          <w:snapToGrid/>
        </w:rPr>
        <w:t>T</w:t>
      </w:r>
      <w:r w:rsidRPr="00BB59D8">
        <w:rPr>
          <w:snapToGrid/>
        </w:rPr>
        <w:t xml:space="preserve">able </w:t>
      </w:r>
      <w:r w:rsidR="0071553C" w:rsidRPr="00BB59D8">
        <w:rPr>
          <w:snapToGrid/>
        </w:rPr>
        <w:t>2</w:t>
      </w:r>
      <w:r w:rsidRPr="00BB59D8">
        <w:rPr>
          <w:snapToGrid/>
        </w:rPr>
        <w:t>.</w:t>
      </w:r>
    </w:p>
    <w:p w14:paraId="7557B07E" w14:textId="77777777" w:rsidR="0071553C" w:rsidRPr="00BB59D8" w:rsidRDefault="008E0D3C" w:rsidP="00DB4BC1">
      <w:pPr>
        <w:pStyle w:val="TableFigureHeading"/>
      </w:pPr>
      <w:r w:rsidRPr="00BB59D8">
        <w:rPr>
          <w:rStyle w:val="CommentReference"/>
          <w:b/>
          <w:szCs w:val="24"/>
        </w:rPr>
        <w:t xml:space="preserve">Table </w:t>
      </w:r>
      <w:r w:rsidR="0071553C" w:rsidRPr="00BB59D8">
        <w:rPr>
          <w:rStyle w:val="CommentReference"/>
          <w:b/>
          <w:szCs w:val="24"/>
        </w:rPr>
        <w:t>2</w:t>
      </w:r>
      <w:r w:rsidRPr="00BB59D8">
        <w:rPr>
          <w:rStyle w:val="CommentReference"/>
          <w:b/>
          <w:szCs w:val="24"/>
        </w:rPr>
        <w:t>:</w:t>
      </w:r>
      <w:r w:rsidR="00BC591F" w:rsidRPr="00BB59D8">
        <w:rPr>
          <w:rStyle w:val="CommentReference"/>
          <w:b/>
          <w:szCs w:val="24"/>
        </w:rPr>
        <w:t xml:space="preserve"> </w:t>
      </w:r>
      <w:r w:rsidR="0071553C" w:rsidRPr="00BB59D8">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695"/>
        <w:gridCol w:w="4905"/>
        <w:gridCol w:w="2417"/>
      </w:tblGrid>
      <w:tr w:rsidR="00882509" w:rsidRPr="00BB59D8" w14:paraId="06B56BBA" w14:textId="77777777" w:rsidTr="00DB4BC1">
        <w:trPr>
          <w:cantSplit/>
          <w:tblHeader/>
        </w:trPr>
        <w:tc>
          <w:tcPr>
            <w:tcW w:w="940" w:type="pct"/>
            <w:vAlign w:val="center"/>
          </w:tcPr>
          <w:p w14:paraId="401AD0A1" w14:textId="77777777" w:rsidR="00882509" w:rsidRPr="00BB59D8" w:rsidRDefault="00882509" w:rsidP="00DB4BC1">
            <w:pPr>
              <w:pStyle w:val="In-tableHeading"/>
              <w:rPr>
                <w:lang w:val="en-AU"/>
              </w:rPr>
            </w:pPr>
            <w:r w:rsidRPr="00BB59D8">
              <w:rPr>
                <w:lang w:val="en-AU"/>
              </w:rPr>
              <w:t>Trial ID</w:t>
            </w:r>
          </w:p>
        </w:tc>
        <w:tc>
          <w:tcPr>
            <w:tcW w:w="2719" w:type="pct"/>
            <w:vAlign w:val="center"/>
          </w:tcPr>
          <w:p w14:paraId="5FC277E5" w14:textId="77777777" w:rsidR="00882509" w:rsidRPr="00BB59D8" w:rsidRDefault="00882509" w:rsidP="00DB4BC1">
            <w:pPr>
              <w:pStyle w:val="In-tableHeading"/>
              <w:rPr>
                <w:lang w:val="en-AU"/>
              </w:rPr>
            </w:pPr>
            <w:r w:rsidRPr="00BB59D8">
              <w:rPr>
                <w:lang w:val="en-AU"/>
              </w:rPr>
              <w:t>Protocol title/ Publication title</w:t>
            </w:r>
          </w:p>
        </w:tc>
        <w:tc>
          <w:tcPr>
            <w:tcW w:w="1340" w:type="pct"/>
            <w:vAlign w:val="center"/>
          </w:tcPr>
          <w:p w14:paraId="427E6A00" w14:textId="77777777" w:rsidR="00882509" w:rsidRPr="00BB59D8" w:rsidRDefault="00882509" w:rsidP="00DB4BC1">
            <w:pPr>
              <w:pStyle w:val="In-tableHeading"/>
              <w:rPr>
                <w:lang w:val="en-AU"/>
              </w:rPr>
            </w:pPr>
            <w:r w:rsidRPr="00BB59D8">
              <w:rPr>
                <w:lang w:val="en-AU"/>
              </w:rPr>
              <w:t>Publication citation</w:t>
            </w:r>
          </w:p>
        </w:tc>
      </w:tr>
      <w:tr w:rsidR="00882509" w:rsidRPr="00BB59D8" w14:paraId="1DED0453" w14:textId="77777777" w:rsidTr="00DB4BC1">
        <w:trPr>
          <w:cantSplit/>
        </w:trPr>
        <w:tc>
          <w:tcPr>
            <w:tcW w:w="940" w:type="pct"/>
            <w:vMerge w:val="restart"/>
            <w:vAlign w:val="center"/>
          </w:tcPr>
          <w:p w14:paraId="78F27D5B" w14:textId="77777777" w:rsidR="00882509" w:rsidRPr="00BB59D8" w:rsidRDefault="00882509" w:rsidP="00DB4BC1">
            <w:pPr>
              <w:pStyle w:val="TableText0"/>
            </w:pPr>
            <w:r w:rsidRPr="00BB59D8">
              <w:t>Trial MS301</w:t>
            </w:r>
          </w:p>
        </w:tc>
        <w:tc>
          <w:tcPr>
            <w:tcW w:w="2719" w:type="pct"/>
            <w:tcBorders>
              <w:bottom w:val="nil"/>
            </w:tcBorders>
            <w:vAlign w:val="center"/>
          </w:tcPr>
          <w:p w14:paraId="09C01482" w14:textId="77777777" w:rsidR="00882509" w:rsidRPr="00BB59D8" w:rsidRDefault="00882509" w:rsidP="00DB4BC1">
            <w:pPr>
              <w:pStyle w:val="TableText0"/>
              <w:rPr>
                <w:szCs w:val="18"/>
              </w:rPr>
            </w:pPr>
            <w:r w:rsidRPr="00BB59D8">
              <w:rPr>
                <w:szCs w:val="18"/>
              </w:rPr>
              <w:t>Recombinant human insulin-like growth factor-1 (rhIGF-1) treatment of pre-pubertal children with growth failure associated with primary IGF-1 deficiency: a Phase 3, randomised, open label, observation-controlled, multicentre, parallel-dose comparison tria</w:t>
            </w:r>
            <w:r w:rsidR="000D0513" w:rsidRPr="00BB59D8">
              <w:rPr>
                <w:szCs w:val="18"/>
              </w:rPr>
              <w:t>l</w:t>
            </w:r>
          </w:p>
        </w:tc>
        <w:tc>
          <w:tcPr>
            <w:tcW w:w="1340" w:type="pct"/>
            <w:tcBorders>
              <w:bottom w:val="nil"/>
            </w:tcBorders>
            <w:vAlign w:val="center"/>
          </w:tcPr>
          <w:p w14:paraId="28DF69DD" w14:textId="77777777" w:rsidR="00882509" w:rsidRPr="00BB59D8" w:rsidRDefault="00882509" w:rsidP="00DB4BC1">
            <w:pPr>
              <w:pStyle w:val="TableText0"/>
            </w:pPr>
            <w:r w:rsidRPr="00BB59D8">
              <w:rPr>
                <w:szCs w:val="18"/>
              </w:rPr>
              <w:t>April 2011</w:t>
            </w:r>
          </w:p>
        </w:tc>
      </w:tr>
      <w:tr w:rsidR="00882509" w:rsidRPr="00BB59D8" w14:paraId="17AA7EB0" w14:textId="77777777" w:rsidTr="00DB4BC1">
        <w:trPr>
          <w:cantSplit/>
        </w:trPr>
        <w:tc>
          <w:tcPr>
            <w:tcW w:w="940" w:type="pct"/>
            <w:vMerge/>
            <w:tcBorders>
              <w:bottom w:val="nil"/>
            </w:tcBorders>
            <w:vAlign w:val="center"/>
          </w:tcPr>
          <w:p w14:paraId="28CBB11B" w14:textId="77777777" w:rsidR="00882509" w:rsidRPr="00BB59D8" w:rsidRDefault="00882509" w:rsidP="00DB4BC1">
            <w:pPr>
              <w:pStyle w:val="TableText0"/>
            </w:pPr>
          </w:p>
        </w:tc>
        <w:tc>
          <w:tcPr>
            <w:tcW w:w="2719" w:type="pct"/>
            <w:tcBorders>
              <w:bottom w:val="nil"/>
            </w:tcBorders>
            <w:vAlign w:val="center"/>
          </w:tcPr>
          <w:p w14:paraId="29562131" w14:textId="77777777" w:rsidR="00882509" w:rsidRPr="00BB59D8" w:rsidRDefault="00882509" w:rsidP="00DB4BC1">
            <w:pPr>
              <w:pStyle w:val="TableText0"/>
              <w:rPr>
                <w:iCs/>
                <w:szCs w:val="18"/>
              </w:rPr>
            </w:pPr>
            <w:r w:rsidRPr="00BB59D8">
              <w:rPr>
                <w:iCs/>
              </w:rPr>
              <w:t>Midyett LK, Rogol AD, et al. Recombinant insulin-like growth factor (IGF)-I treatment in short children with low IGF-I levels: first-year results from a randomized clinical trial.</w:t>
            </w:r>
            <w:r w:rsidR="00B334C7" w:rsidRPr="00BB59D8">
              <w:rPr>
                <w:iCs/>
              </w:rPr>
              <w:t xml:space="preserve"> [Identified during evaluation]</w:t>
            </w:r>
            <w:r w:rsidRPr="00BB59D8">
              <w:rPr>
                <w:iCs/>
              </w:rPr>
              <w:t xml:space="preserve"> </w:t>
            </w:r>
          </w:p>
        </w:tc>
        <w:tc>
          <w:tcPr>
            <w:tcW w:w="1340" w:type="pct"/>
            <w:tcBorders>
              <w:bottom w:val="nil"/>
            </w:tcBorders>
            <w:vAlign w:val="center"/>
          </w:tcPr>
          <w:p w14:paraId="68441A1B" w14:textId="77777777" w:rsidR="00882509" w:rsidRPr="00BB59D8" w:rsidRDefault="00882509" w:rsidP="00DB4BC1">
            <w:pPr>
              <w:pStyle w:val="TableText0"/>
              <w:rPr>
                <w:iCs/>
                <w:szCs w:val="18"/>
              </w:rPr>
            </w:pPr>
            <w:r w:rsidRPr="00BB59D8">
              <w:rPr>
                <w:iCs/>
              </w:rPr>
              <w:t>J Clin Endocrinol Metab. 2010 Feb;95(2):611-9.</w:t>
            </w:r>
          </w:p>
        </w:tc>
      </w:tr>
      <w:tr w:rsidR="00882509" w:rsidRPr="00BB59D8" w14:paraId="50C00D78" w14:textId="77777777" w:rsidTr="00DB4BC1">
        <w:trPr>
          <w:cantSplit/>
        </w:trPr>
        <w:tc>
          <w:tcPr>
            <w:tcW w:w="940" w:type="pct"/>
            <w:tcBorders>
              <w:top w:val="single" w:sz="4" w:space="0" w:color="auto"/>
              <w:bottom w:val="nil"/>
            </w:tcBorders>
            <w:vAlign w:val="center"/>
          </w:tcPr>
          <w:p w14:paraId="02CAE99A" w14:textId="77777777" w:rsidR="00882509" w:rsidRPr="00BB59D8" w:rsidRDefault="00882509" w:rsidP="00DB4BC1">
            <w:pPr>
              <w:pStyle w:val="TableText0"/>
            </w:pPr>
          </w:p>
        </w:tc>
        <w:tc>
          <w:tcPr>
            <w:tcW w:w="2719" w:type="pct"/>
            <w:tcBorders>
              <w:top w:val="single" w:sz="4" w:space="0" w:color="auto"/>
              <w:bottom w:val="nil"/>
            </w:tcBorders>
            <w:vAlign w:val="center"/>
          </w:tcPr>
          <w:p w14:paraId="3D706D3F" w14:textId="77777777" w:rsidR="00882509" w:rsidRPr="00BB59D8" w:rsidRDefault="00882509" w:rsidP="00DB4BC1">
            <w:pPr>
              <w:pStyle w:val="TableText0"/>
              <w:rPr>
                <w:szCs w:val="18"/>
              </w:rPr>
            </w:pPr>
            <w:r w:rsidRPr="00BB59D8">
              <w:rPr>
                <w:szCs w:val="18"/>
              </w:rPr>
              <w:t>A Study of Long-Term Recombinant Human Insulin-Like Growth Factor-1 (rhIGF-1) Treatment of Children with Short Stature Due to Severe Primary IGF-1 Deficiency Study. This is an Integrated Study Report Involving Five Individual Studies</w:t>
            </w:r>
          </w:p>
        </w:tc>
        <w:tc>
          <w:tcPr>
            <w:tcW w:w="1340" w:type="pct"/>
            <w:tcBorders>
              <w:top w:val="single" w:sz="4" w:space="0" w:color="auto"/>
              <w:bottom w:val="nil"/>
            </w:tcBorders>
            <w:vAlign w:val="center"/>
          </w:tcPr>
          <w:p w14:paraId="1D1BDB7D" w14:textId="77777777" w:rsidR="00882509" w:rsidRPr="00BB59D8" w:rsidRDefault="00882509" w:rsidP="00DB4BC1">
            <w:pPr>
              <w:pStyle w:val="TableText0"/>
              <w:rPr>
                <w:szCs w:val="18"/>
              </w:rPr>
            </w:pPr>
            <w:r w:rsidRPr="00BB59D8">
              <w:t>July 2012</w:t>
            </w:r>
          </w:p>
        </w:tc>
      </w:tr>
      <w:tr w:rsidR="00882509" w:rsidRPr="00BB59D8" w14:paraId="24CAC6B9" w14:textId="77777777" w:rsidTr="00DB4BC1">
        <w:trPr>
          <w:cantSplit/>
        </w:trPr>
        <w:tc>
          <w:tcPr>
            <w:tcW w:w="940" w:type="pct"/>
            <w:tcBorders>
              <w:top w:val="nil"/>
              <w:bottom w:val="nil"/>
            </w:tcBorders>
            <w:vAlign w:val="center"/>
          </w:tcPr>
          <w:p w14:paraId="72D1A43C" w14:textId="77777777" w:rsidR="00882509" w:rsidRPr="00BB59D8" w:rsidRDefault="00882509" w:rsidP="002F6EC6">
            <w:pPr>
              <w:pStyle w:val="TableText0"/>
              <w:keepNext w:val="0"/>
            </w:pPr>
            <w:r w:rsidRPr="00BB59D8">
              <w:t>Study 1419</w:t>
            </w:r>
          </w:p>
        </w:tc>
        <w:tc>
          <w:tcPr>
            <w:tcW w:w="2719" w:type="pct"/>
            <w:tcBorders>
              <w:top w:val="nil"/>
              <w:bottom w:val="nil"/>
            </w:tcBorders>
            <w:vAlign w:val="center"/>
          </w:tcPr>
          <w:p w14:paraId="6F96845C" w14:textId="77777777" w:rsidR="00882509" w:rsidRPr="00BB59D8" w:rsidRDefault="00882509" w:rsidP="002F6EC6">
            <w:pPr>
              <w:pStyle w:val="TableText0"/>
              <w:keepNext w:val="0"/>
              <w:rPr>
                <w:szCs w:val="18"/>
              </w:rPr>
            </w:pPr>
            <w:r w:rsidRPr="00BB59D8">
              <w:rPr>
                <w:szCs w:val="18"/>
              </w:rPr>
              <w:t xml:space="preserve">Chernausek SD, Backeljauw PF et al. GH Insensitivity Syndrome Collaborative Group. Long-term treatment with recombinant insulin-like growth factor (IGF)-I in children with severe IGF-I deficiency due to growth hormone insensitivity. </w:t>
            </w:r>
          </w:p>
        </w:tc>
        <w:tc>
          <w:tcPr>
            <w:tcW w:w="1340" w:type="pct"/>
            <w:tcBorders>
              <w:top w:val="nil"/>
              <w:bottom w:val="nil"/>
            </w:tcBorders>
            <w:vAlign w:val="center"/>
          </w:tcPr>
          <w:p w14:paraId="7C60B348" w14:textId="77777777" w:rsidR="00882509" w:rsidRPr="00BB59D8" w:rsidRDefault="00882509" w:rsidP="002F6EC6">
            <w:pPr>
              <w:pStyle w:val="TableText0"/>
              <w:keepNext w:val="0"/>
              <w:rPr>
                <w:szCs w:val="18"/>
              </w:rPr>
            </w:pPr>
            <w:r w:rsidRPr="00BB59D8">
              <w:rPr>
                <w:szCs w:val="18"/>
              </w:rPr>
              <w:t>J Clin Endocrinol Metab. 2007 Mar;92(3):902-10</w:t>
            </w:r>
          </w:p>
        </w:tc>
      </w:tr>
      <w:tr w:rsidR="00882509" w:rsidRPr="00BB59D8" w14:paraId="13BA189E" w14:textId="77777777" w:rsidTr="00DB4BC1">
        <w:trPr>
          <w:cantSplit/>
        </w:trPr>
        <w:tc>
          <w:tcPr>
            <w:tcW w:w="940" w:type="pct"/>
            <w:tcBorders>
              <w:top w:val="nil"/>
              <w:bottom w:val="single" w:sz="4" w:space="0" w:color="auto"/>
            </w:tcBorders>
            <w:vAlign w:val="center"/>
          </w:tcPr>
          <w:p w14:paraId="12365A89" w14:textId="77777777" w:rsidR="00882509" w:rsidRPr="00BB59D8" w:rsidRDefault="00882509" w:rsidP="002F6EC6">
            <w:pPr>
              <w:pStyle w:val="TableText0"/>
              <w:keepNext w:val="0"/>
            </w:pPr>
          </w:p>
        </w:tc>
        <w:tc>
          <w:tcPr>
            <w:tcW w:w="2719" w:type="pct"/>
            <w:tcBorders>
              <w:top w:val="nil"/>
              <w:bottom w:val="single" w:sz="4" w:space="0" w:color="auto"/>
            </w:tcBorders>
            <w:vAlign w:val="center"/>
          </w:tcPr>
          <w:p w14:paraId="4A3BFD81" w14:textId="77777777" w:rsidR="00882509" w:rsidRPr="00BB59D8" w:rsidRDefault="00882509" w:rsidP="002F6EC6">
            <w:pPr>
              <w:pStyle w:val="TableText0"/>
              <w:keepNext w:val="0"/>
              <w:rPr>
                <w:szCs w:val="18"/>
              </w:rPr>
            </w:pPr>
            <w:r w:rsidRPr="00BB59D8">
              <w:rPr>
                <w:szCs w:val="18"/>
              </w:rPr>
              <w:t>Backeljauw PF, Kuntze J et al. Adult and near-adult height in patients with severe insulin-like growth factor-I deficiency after long-term therapy with recombinant human insulin-like growth factor-I.</w:t>
            </w:r>
          </w:p>
        </w:tc>
        <w:tc>
          <w:tcPr>
            <w:tcW w:w="1340" w:type="pct"/>
            <w:tcBorders>
              <w:top w:val="nil"/>
              <w:bottom w:val="single" w:sz="4" w:space="0" w:color="auto"/>
            </w:tcBorders>
            <w:vAlign w:val="center"/>
          </w:tcPr>
          <w:p w14:paraId="7A791F7E" w14:textId="77777777" w:rsidR="00882509" w:rsidRPr="00BB59D8" w:rsidRDefault="00882509" w:rsidP="002F6EC6">
            <w:pPr>
              <w:pStyle w:val="TableText0"/>
              <w:keepNext w:val="0"/>
              <w:rPr>
                <w:szCs w:val="18"/>
              </w:rPr>
            </w:pPr>
            <w:r w:rsidRPr="00BB59D8">
              <w:rPr>
                <w:szCs w:val="18"/>
              </w:rPr>
              <w:t>Horm Res Paediatr. 2013;80(1):47-56</w:t>
            </w:r>
          </w:p>
        </w:tc>
      </w:tr>
      <w:tr w:rsidR="00882509" w:rsidRPr="00BB59D8" w14:paraId="531C57A0" w14:textId="77777777" w:rsidTr="00DB4BC1">
        <w:trPr>
          <w:cantSplit/>
        </w:trPr>
        <w:tc>
          <w:tcPr>
            <w:tcW w:w="940" w:type="pct"/>
            <w:vMerge w:val="restart"/>
            <w:tcBorders>
              <w:top w:val="single" w:sz="4" w:space="0" w:color="auto"/>
              <w:right w:val="single" w:sz="4" w:space="0" w:color="auto"/>
            </w:tcBorders>
            <w:vAlign w:val="center"/>
          </w:tcPr>
          <w:p w14:paraId="654F11FB" w14:textId="77777777" w:rsidR="00882509" w:rsidRPr="00BB59D8" w:rsidRDefault="00882509" w:rsidP="002F6EC6">
            <w:pPr>
              <w:pStyle w:val="TableText0"/>
              <w:keepNext w:val="0"/>
            </w:pPr>
            <w:r w:rsidRPr="00BB59D8">
              <w:t>EU-IGFD Registry</w:t>
            </w:r>
          </w:p>
        </w:tc>
        <w:tc>
          <w:tcPr>
            <w:tcW w:w="2719" w:type="pct"/>
            <w:tcBorders>
              <w:top w:val="single" w:sz="4" w:space="0" w:color="auto"/>
              <w:left w:val="single" w:sz="4" w:space="0" w:color="auto"/>
              <w:bottom w:val="nil"/>
              <w:right w:val="single" w:sz="4" w:space="0" w:color="auto"/>
            </w:tcBorders>
            <w:vAlign w:val="center"/>
          </w:tcPr>
          <w:p w14:paraId="2571A6F2" w14:textId="77777777" w:rsidR="00882509" w:rsidRPr="00BB59D8" w:rsidRDefault="00882509" w:rsidP="002F6EC6">
            <w:pPr>
              <w:pStyle w:val="TableText0"/>
              <w:keepNext w:val="0"/>
              <w:rPr>
                <w:szCs w:val="18"/>
              </w:rPr>
            </w:pPr>
            <w:r w:rsidRPr="00BB59D8">
              <w:rPr>
                <w:szCs w:val="18"/>
              </w:rPr>
              <w:t>European Increlex® (Mecasermin [RDNA origin] Injection) Growth Forum Database: A European Subject Registry for Monitoring Long-Term Safety and Efficacy of Increlex® - EU-IGFD</w:t>
            </w:r>
          </w:p>
          <w:p w14:paraId="141E66D0" w14:textId="77777777" w:rsidR="00882509" w:rsidRPr="00BB59D8" w:rsidRDefault="00882509" w:rsidP="002F6EC6">
            <w:pPr>
              <w:pStyle w:val="TableText0"/>
              <w:keepNext w:val="0"/>
            </w:pPr>
          </w:p>
        </w:tc>
        <w:tc>
          <w:tcPr>
            <w:tcW w:w="1340" w:type="pct"/>
            <w:tcBorders>
              <w:top w:val="single" w:sz="4" w:space="0" w:color="auto"/>
              <w:left w:val="single" w:sz="4" w:space="0" w:color="auto"/>
              <w:bottom w:val="nil"/>
              <w:right w:val="single" w:sz="4" w:space="0" w:color="auto"/>
            </w:tcBorders>
            <w:vAlign w:val="center"/>
          </w:tcPr>
          <w:p w14:paraId="6D5AE551" w14:textId="77777777" w:rsidR="00882509" w:rsidRPr="00BB59D8" w:rsidRDefault="00882509" w:rsidP="002F6EC6">
            <w:pPr>
              <w:pStyle w:val="TableText0"/>
              <w:keepNext w:val="0"/>
            </w:pPr>
            <w:r w:rsidRPr="00BB59D8">
              <w:t>January 2020</w:t>
            </w:r>
          </w:p>
        </w:tc>
      </w:tr>
      <w:tr w:rsidR="00882509" w:rsidRPr="00BB59D8" w14:paraId="5B7EE3DC" w14:textId="77777777" w:rsidTr="00DB4BC1">
        <w:trPr>
          <w:cantSplit/>
        </w:trPr>
        <w:tc>
          <w:tcPr>
            <w:tcW w:w="940" w:type="pct"/>
            <w:vMerge/>
            <w:tcBorders>
              <w:right w:val="single" w:sz="4" w:space="0" w:color="auto"/>
            </w:tcBorders>
            <w:vAlign w:val="center"/>
          </w:tcPr>
          <w:p w14:paraId="015A7111" w14:textId="77777777" w:rsidR="00882509" w:rsidRPr="00BB59D8" w:rsidRDefault="00882509" w:rsidP="002F6EC6">
            <w:pPr>
              <w:pStyle w:val="TableText0"/>
              <w:keepNext w:val="0"/>
            </w:pPr>
          </w:p>
        </w:tc>
        <w:tc>
          <w:tcPr>
            <w:tcW w:w="2719" w:type="pct"/>
            <w:tcBorders>
              <w:top w:val="nil"/>
              <w:left w:val="single" w:sz="4" w:space="0" w:color="auto"/>
              <w:bottom w:val="nil"/>
              <w:right w:val="single" w:sz="4" w:space="0" w:color="auto"/>
            </w:tcBorders>
            <w:vAlign w:val="center"/>
          </w:tcPr>
          <w:p w14:paraId="05B047C9" w14:textId="77777777" w:rsidR="00882509" w:rsidRPr="00BB59D8" w:rsidRDefault="00882509" w:rsidP="002F6EC6">
            <w:pPr>
              <w:pStyle w:val="TableText0"/>
              <w:keepNext w:val="0"/>
              <w:rPr>
                <w:iCs/>
              </w:rPr>
            </w:pPr>
            <w:r w:rsidRPr="00BB59D8">
              <w:rPr>
                <w:iCs/>
              </w:rPr>
              <w:t>Bang P, Woelfle J, et al. Effectiveness and safety of rhIGF-1 therapy in patients with or without Laron syndrome.</w:t>
            </w:r>
            <w:r w:rsidR="00B334C7" w:rsidRPr="00BB59D8">
              <w:rPr>
                <w:iCs/>
              </w:rPr>
              <w:t xml:space="preserve"> [Identified during evaluation]</w:t>
            </w:r>
            <w:r w:rsidRPr="00BB59D8">
              <w:rPr>
                <w:iCs/>
              </w:rPr>
              <w:t xml:space="preserve"> </w:t>
            </w:r>
          </w:p>
          <w:p w14:paraId="56BE9CBF" w14:textId="77777777" w:rsidR="00882509" w:rsidRPr="00BB59D8" w:rsidRDefault="00882509" w:rsidP="002F6EC6">
            <w:pPr>
              <w:pStyle w:val="TableText0"/>
              <w:keepNext w:val="0"/>
              <w:rPr>
                <w:iCs/>
                <w:szCs w:val="18"/>
              </w:rPr>
            </w:pPr>
          </w:p>
        </w:tc>
        <w:tc>
          <w:tcPr>
            <w:tcW w:w="1340" w:type="pct"/>
            <w:tcBorders>
              <w:top w:val="nil"/>
              <w:left w:val="single" w:sz="4" w:space="0" w:color="auto"/>
              <w:bottom w:val="nil"/>
              <w:right w:val="single" w:sz="4" w:space="0" w:color="auto"/>
            </w:tcBorders>
            <w:vAlign w:val="center"/>
          </w:tcPr>
          <w:p w14:paraId="69902F99" w14:textId="77777777" w:rsidR="00882509" w:rsidRPr="00BB59D8" w:rsidRDefault="00882509" w:rsidP="002F6EC6">
            <w:pPr>
              <w:pStyle w:val="TableText0"/>
              <w:keepNext w:val="0"/>
              <w:rPr>
                <w:iCs/>
              </w:rPr>
            </w:pPr>
            <w:r w:rsidRPr="00BB59D8">
              <w:rPr>
                <w:iCs/>
              </w:rPr>
              <w:t>Eur J Endocrinol. 2021 Feb;184(2):267-276</w:t>
            </w:r>
          </w:p>
        </w:tc>
      </w:tr>
      <w:tr w:rsidR="00882509" w:rsidRPr="00BB59D8" w14:paraId="4370155D" w14:textId="77777777" w:rsidTr="00DB4BC1">
        <w:trPr>
          <w:cantSplit/>
        </w:trPr>
        <w:tc>
          <w:tcPr>
            <w:tcW w:w="940" w:type="pct"/>
            <w:vMerge/>
            <w:tcBorders>
              <w:bottom w:val="single" w:sz="4" w:space="0" w:color="auto"/>
              <w:right w:val="single" w:sz="4" w:space="0" w:color="auto"/>
            </w:tcBorders>
            <w:vAlign w:val="center"/>
          </w:tcPr>
          <w:p w14:paraId="2DF8629D" w14:textId="77777777" w:rsidR="00882509" w:rsidRPr="00BB59D8" w:rsidRDefault="00882509" w:rsidP="002F6EC6">
            <w:pPr>
              <w:pStyle w:val="TableText0"/>
              <w:keepNext w:val="0"/>
            </w:pPr>
          </w:p>
        </w:tc>
        <w:tc>
          <w:tcPr>
            <w:tcW w:w="2719" w:type="pct"/>
            <w:tcBorders>
              <w:top w:val="nil"/>
              <w:left w:val="single" w:sz="4" w:space="0" w:color="auto"/>
              <w:bottom w:val="single" w:sz="4" w:space="0" w:color="auto"/>
              <w:right w:val="single" w:sz="4" w:space="0" w:color="auto"/>
            </w:tcBorders>
            <w:vAlign w:val="center"/>
          </w:tcPr>
          <w:p w14:paraId="2CEBE5E5" w14:textId="77777777" w:rsidR="00882509" w:rsidRPr="00BB59D8" w:rsidRDefault="00882509" w:rsidP="002F6EC6">
            <w:pPr>
              <w:pStyle w:val="TableText0"/>
              <w:keepNext w:val="0"/>
              <w:rPr>
                <w:szCs w:val="18"/>
              </w:rPr>
            </w:pPr>
            <w:r w:rsidRPr="00BB59D8">
              <w:rPr>
                <w:szCs w:val="18"/>
              </w:rPr>
              <w:t>Bang P, Polak M et al. EU IGFD Registry Study Group. Effectiveness and Safety of rhIGF-1 Therapy in Children: The European Increlex® Growth Forum Database Experience.</w:t>
            </w:r>
          </w:p>
        </w:tc>
        <w:tc>
          <w:tcPr>
            <w:tcW w:w="1340" w:type="pct"/>
            <w:tcBorders>
              <w:top w:val="nil"/>
              <w:left w:val="single" w:sz="4" w:space="0" w:color="auto"/>
              <w:bottom w:val="single" w:sz="4" w:space="0" w:color="auto"/>
              <w:right w:val="single" w:sz="4" w:space="0" w:color="auto"/>
            </w:tcBorders>
            <w:vAlign w:val="center"/>
          </w:tcPr>
          <w:p w14:paraId="70DF5941" w14:textId="77777777" w:rsidR="00882509" w:rsidRPr="00BB59D8" w:rsidRDefault="00882509" w:rsidP="002F6EC6">
            <w:pPr>
              <w:pStyle w:val="TableText0"/>
              <w:keepNext w:val="0"/>
              <w:rPr>
                <w:i/>
              </w:rPr>
            </w:pPr>
            <w:r w:rsidRPr="00BB59D8">
              <w:rPr>
                <w:szCs w:val="18"/>
              </w:rPr>
              <w:t>Horm Res Paediatr. 2015;83(5):345-57.</w:t>
            </w:r>
          </w:p>
        </w:tc>
      </w:tr>
      <w:tr w:rsidR="004F1ADE" w:rsidRPr="00BB59D8" w14:paraId="193296AF" w14:textId="77777777" w:rsidTr="00DB4BC1">
        <w:trPr>
          <w:cantSplit/>
        </w:trPr>
        <w:tc>
          <w:tcPr>
            <w:tcW w:w="940" w:type="pct"/>
            <w:tcBorders>
              <w:top w:val="single" w:sz="4" w:space="0" w:color="auto"/>
              <w:bottom w:val="nil"/>
              <w:right w:val="single" w:sz="4" w:space="0" w:color="auto"/>
            </w:tcBorders>
            <w:vAlign w:val="center"/>
          </w:tcPr>
          <w:p w14:paraId="3DF06947" w14:textId="77777777" w:rsidR="004F1ADE" w:rsidRPr="00BB59D8" w:rsidRDefault="004F1ADE" w:rsidP="002F6EC6">
            <w:pPr>
              <w:pStyle w:val="TableText0"/>
              <w:keepNext w:val="0"/>
            </w:pPr>
          </w:p>
        </w:tc>
        <w:tc>
          <w:tcPr>
            <w:tcW w:w="2719" w:type="pct"/>
            <w:tcBorders>
              <w:top w:val="single" w:sz="4" w:space="0" w:color="auto"/>
              <w:left w:val="single" w:sz="4" w:space="0" w:color="auto"/>
              <w:bottom w:val="nil"/>
              <w:right w:val="single" w:sz="4" w:space="0" w:color="auto"/>
            </w:tcBorders>
            <w:vAlign w:val="center"/>
          </w:tcPr>
          <w:p w14:paraId="4B039020" w14:textId="77777777" w:rsidR="004F1ADE" w:rsidRPr="00BB59D8" w:rsidRDefault="004F1ADE" w:rsidP="002F6EC6">
            <w:pPr>
              <w:pStyle w:val="TableText0"/>
              <w:keepNext w:val="0"/>
              <w:rPr>
                <w:szCs w:val="18"/>
              </w:rPr>
            </w:pPr>
            <w:r w:rsidRPr="00BB59D8">
              <w:rPr>
                <w:szCs w:val="18"/>
              </w:rPr>
              <w:t>Bang P, Polak M et al. Responders and poor-responders to Increlex® therapy: Data from the European Increlex® Growth Forum Database (EU-IGFD)</w:t>
            </w:r>
          </w:p>
        </w:tc>
        <w:tc>
          <w:tcPr>
            <w:tcW w:w="1340" w:type="pct"/>
            <w:tcBorders>
              <w:top w:val="single" w:sz="4" w:space="0" w:color="auto"/>
              <w:left w:val="single" w:sz="4" w:space="0" w:color="auto"/>
              <w:bottom w:val="nil"/>
              <w:right w:val="single" w:sz="4" w:space="0" w:color="auto"/>
            </w:tcBorders>
            <w:vAlign w:val="center"/>
          </w:tcPr>
          <w:p w14:paraId="62BCF277" w14:textId="77777777" w:rsidR="004F1ADE" w:rsidRPr="00BB59D8" w:rsidRDefault="004F1ADE" w:rsidP="002F6EC6">
            <w:pPr>
              <w:pStyle w:val="TableText0"/>
              <w:keepNext w:val="0"/>
              <w:rPr>
                <w:iCs/>
                <w:szCs w:val="20"/>
              </w:rPr>
            </w:pPr>
            <w:r w:rsidRPr="00BB59D8">
              <w:rPr>
                <w:iCs/>
                <w:szCs w:val="18"/>
              </w:rPr>
              <w:t xml:space="preserve">Eighth International Congress of the GRS and the IGF Society. </w:t>
            </w:r>
            <w:r w:rsidRPr="00BB59D8">
              <w:rPr>
                <w:iCs/>
                <w:szCs w:val="20"/>
              </w:rPr>
              <w:t>Growth Hormone and IGF Research 2016; 30-31 Supplement 1: S34</w:t>
            </w:r>
          </w:p>
          <w:p w14:paraId="05AEAD14" w14:textId="77777777" w:rsidR="004F1ADE" w:rsidRPr="00BB59D8" w:rsidRDefault="004F1ADE" w:rsidP="002F6EC6">
            <w:pPr>
              <w:pStyle w:val="TableText0"/>
              <w:keepNext w:val="0"/>
              <w:rPr>
                <w:iCs/>
                <w:szCs w:val="18"/>
              </w:rPr>
            </w:pPr>
          </w:p>
        </w:tc>
      </w:tr>
      <w:tr w:rsidR="004F1ADE" w:rsidRPr="00BB59D8" w14:paraId="533D043E" w14:textId="77777777" w:rsidTr="00DB4BC1">
        <w:trPr>
          <w:cantSplit/>
        </w:trPr>
        <w:tc>
          <w:tcPr>
            <w:tcW w:w="940" w:type="pct"/>
            <w:tcBorders>
              <w:top w:val="nil"/>
              <w:bottom w:val="nil"/>
              <w:right w:val="single" w:sz="4" w:space="0" w:color="auto"/>
            </w:tcBorders>
            <w:vAlign w:val="center"/>
          </w:tcPr>
          <w:p w14:paraId="44CB76D0" w14:textId="77777777" w:rsidR="004F1ADE" w:rsidRPr="00BB59D8" w:rsidRDefault="004F1ADE" w:rsidP="002F6EC6">
            <w:pPr>
              <w:pStyle w:val="TableText0"/>
              <w:keepNext w:val="0"/>
            </w:pPr>
          </w:p>
        </w:tc>
        <w:tc>
          <w:tcPr>
            <w:tcW w:w="2719" w:type="pct"/>
            <w:tcBorders>
              <w:top w:val="nil"/>
              <w:left w:val="single" w:sz="4" w:space="0" w:color="auto"/>
              <w:bottom w:val="nil"/>
              <w:right w:val="single" w:sz="4" w:space="0" w:color="auto"/>
            </w:tcBorders>
            <w:vAlign w:val="center"/>
          </w:tcPr>
          <w:p w14:paraId="4C99EF17" w14:textId="77777777" w:rsidR="004F1ADE" w:rsidRPr="00BB59D8" w:rsidRDefault="004F1ADE" w:rsidP="002F6EC6">
            <w:pPr>
              <w:pStyle w:val="TableText0"/>
              <w:keepNext w:val="0"/>
              <w:rPr>
                <w:szCs w:val="18"/>
              </w:rPr>
            </w:pPr>
            <w:r w:rsidRPr="00BB59D8">
              <w:rPr>
                <w:szCs w:val="18"/>
              </w:rPr>
              <w:t>Bang P, Polak M et al. Pubertal growth dynamics in children with severe primary IGF-1 deficiency (SPIGFD): Results from the European Increlex® growth forum database (EU-IGFD)</w:t>
            </w:r>
          </w:p>
        </w:tc>
        <w:tc>
          <w:tcPr>
            <w:tcW w:w="1340" w:type="pct"/>
            <w:tcBorders>
              <w:top w:val="nil"/>
              <w:left w:val="single" w:sz="4" w:space="0" w:color="auto"/>
              <w:bottom w:val="nil"/>
              <w:right w:val="single" w:sz="4" w:space="0" w:color="auto"/>
            </w:tcBorders>
            <w:vAlign w:val="center"/>
          </w:tcPr>
          <w:p w14:paraId="487623EA" w14:textId="77777777" w:rsidR="004F1ADE" w:rsidRPr="00BB59D8" w:rsidRDefault="004F1ADE" w:rsidP="002F6EC6">
            <w:pPr>
              <w:pStyle w:val="TableText0"/>
              <w:keepNext w:val="0"/>
              <w:rPr>
                <w:iCs/>
                <w:szCs w:val="20"/>
              </w:rPr>
            </w:pPr>
            <w:r w:rsidRPr="00BB59D8">
              <w:rPr>
                <w:iCs/>
                <w:szCs w:val="20"/>
              </w:rPr>
              <w:t>10</w:t>
            </w:r>
            <w:r w:rsidRPr="00BB59D8">
              <w:rPr>
                <w:iCs/>
                <w:szCs w:val="20"/>
                <w:vertAlign w:val="superscript"/>
              </w:rPr>
              <w:t>th</w:t>
            </w:r>
            <w:r w:rsidRPr="00BB59D8">
              <w:rPr>
                <w:iCs/>
                <w:szCs w:val="20"/>
              </w:rPr>
              <w:t xml:space="preserve"> Individual Abstracts for International Meeting of Pediatric Endocrinology. </w:t>
            </w:r>
            <w:r w:rsidRPr="00BB59D8">
              <w:rPr>
                <w:iCs/>
              </w:rPr>
              <w:t xml:space="preserve">Horm Res Paediatr </w:t>
            </w:r>
            <w:r w:rsidRPr="00BB59D8">
              <w:rPr>
                <w:iCs/>
                <w:szCs w:val="20"/>
              </w:rPr>
              <w:t>2017; 88 (suppl 1): 489</w:t>
            </w:r>
          </w:p>
          <w:p w14:paraId="774CAAAF" w14:textId="77777777" w:rsidR="004F1ADE" w:rsidRPr="00BB59D8" w:rsidRDefault="004F1ADE" w:rsidP="002F6EC6">
            <w:pPr>
              <w:pStyle w:val="TableText0"/>
              <w:keepNext w:val="0"/>
              <w:rPr>
                <w:iCs/>
                <w:szCs w:val="18"/>
              </w:rPr>
            </w:pPr>
          </w:p>
        </w:tc>
      </w:tr>
      <w:tr w:rsidR="004F1ADE" w:rsidRPr="00BB59D8" w14:paraId="531CB8A9" w14:textId="77777777" w:rsidTr="00DB4BC1">
        <w:trPr>
          <w:cantSplit/>
        </w:trPr>
        <w:tc>
          <w:tcPr>
            <w:tcW w:w="940" w:type="pct"/>
            <w:tcBorders>
              <w:top w:val="nil"/>
              <w:bottom w:val="nil"/>
              <w:right w:val="single" w:sz="4" w:space="0" w:color="auto"/>
            </w:tcBorders>
            <w:vAlign w:val="center"/>
          </w:tcPr>
          <w:p w14:paraId="66D8A459" w14:textId="77777777" w:rsidR="004F1ADE" w:rsidRPr="00BB59D8" w:rsidRDefault="004F1ADE" w:rsidP="002F6EC6">
            <w:pPr>
              <w:pStyle w:val="TableText0"/>
              <w:keepNext w:val="0"/>
            </w:pPr>
          </w:p>
        </w:tc>
        <w:tc>
          <w:tcPr>
            <w:tcW w:w="2719" w:type="pct"/>
            <w:tcBorders>
              <w:top w:val="nil"/>
              <w:left w:val="single" w:sz="4" w:space="0" w:color="auto"/>
              <w:bottom w:val="nil"/>
              <w:right w:val="single" w:sz="4" w:space="0" w:color="auto"/>
            </w:tcBorders>
            <w:vAlign w:val="center"/>
          </w:tcPr>
          <w:p w14:paraId="2025E4C4" w14:textId="77777777" w:rsidR="004F1ADE" w:rsidRPr="00BB59D8" w:rsidRDefault="004F1ADE" w:rsidP="002F6EC6">
            <w:pPr>
              <w:pStyle w:val="TableText0"/>
              <w:keepNext w:val="0"/>
              <w:rPr>
                <w:szCs w:val="18"/>
              </w:rPr>
            </w:pPr>
            <w:r w:rsidRPr="00BB59D8">
              <w:rPr>
                <w:szCs w:val="18"/>
              </w:rPr>
              <w:t>Polak M., Woelfle J. et al. Characteristics, effectiveness and safety data for patients with growth failure treated with recombinant IGF-I (RHIGF-I) and achieving adult or near-adult height (</w:t>
            </w:r>
            <w:r w:rsidR="00450D83" w:rsidRPr="00BB59D8">
              <w:rPr>
                <w:szCs w:val="18"/>
              </w:rPr>
              <w:t>AH): Results from the European I</w:t>
            </w:r>
            <w:r w:rsidRPr="00BB59D8">
              <w:rPr>
                <w:szCs w:val="18"/>
              </w:rPr>
              <w:t>ncrelex® growth forum database (EU-IGFD) Registry</w:t>
            </w:r>
          </w:p>
        </w:tc>
        <w:tc>
          <w:tcPr>
            <w:tcW w:w="1340" w:type="pct"/>
            <w:tcBorders>
              <w:top w:val="nil"/>
              <w:left w:val="single" w:sz="4" w:space="0" w:color="auto"/>
              <w:bottom w:val="nil"/>
              <w:right w:val="single" w:sz="4" w:space="0" w:color="auto"/>
            </w:tcBorders>
            <w:vAlign w:val="center"/>
          </w:tcPr>
          <w:p w14:paraId="68C60566" w14:textId="77777777" w:rsidR="004F1ADE" w:rsidRPr="00BB59D8" w:rsidRDefault="004F1ADE" w:rsidP="002F6EC6">
            <w:pPr>
              <w:pStyle w:val="TableText0"/>
              <w:keepNext w:val="0"/>
              <w:rPr>
                <w:iCs/>
              </w:rPr>
            </w:pPr>
            <w:r w:rsidRPr="00BB59D8">
              <w:rPr>
                <w:iCs/>
                <w:szCs w:val="18"/>
              </w:rPr>
              <w:t xml:space="preserve">57th Annual Meeting of the European Society for Paediatric Endocrinology (ESPE). </w:t>
            </w:r>
            <w:r w:rsidRPr="00BB59D8">
              <w:rPr>
                <w:iCs/>
              </w:rPr>
              <w:t>Horm Res Paediatr 2018;90 (suppl 1):1–680</w:t>
            </w:r>
          </w:p>
          <w:p w14:paraId="0FC9FDDD" w14:textId="77777777" w:rsidR="004F1ADE" w:rsidRPr="00BB59D8" w:rsidRDefault="004F1ADE" w:rsidP="002F6EC6">
            <w:pPr>
              <w:pStyle w:val="TableText0"/>
              <w:keepNext w:val="0"/>
              <w:rPr>
                <w:iCs/>
                <w:szCs w:val="18"/>
              </w:rPr>
            </w:pPr>
          </w:p>
        </w:tc>
      </w:tr>
      <w:tr w:rsidR="004F1ADE" w:rsidRPr="00BB59D8" w14:paraId="7076BE26" w14:textId="77777777" w:rsidTr="00DB4BC1">
        <w:trPr>
          <w:cantSplit/>
        </w:trPr>
        <w:tc>
          <w:tcPr>
            <w:tcW w:w="940" w:type="pct"/>
            <w:tcBorders>
              <w:top w:val="nil"/>
              <w:bottom w:val="nil"/>
              <w:right w:val="single" w:sz="4" w:space="0" w:color="auto"/>
            </w:tcBorders>
            <w:vAlign w:val="center"/>
          </w:tcPr>
          <w:p w14:paraId="0FE52023" w14:textId="77777777" w:rsidR="004F1ADE" w:rsidRPr="00BB59D8" w:rsidRDefault="004F1ADE" w:rsidP="002F6EC6">
            <w:pPr>
              <w:pStyle w:val="TableText0"/>
              <w:keepNext w:val="0"/>
            </w:pPr>
          </w:p>
        </w:tc>
        <w:tc>
          <w:tcPr>
            <w:tcW w:w="2719" w:type="pct"/>
            <w:tcBorders>
              <w:top w:val="nil"/>
              <w:left w:val="single" w:sz="4" w:space="0" w:color="auto"/>
              <w:bottom w:val="nil"/>
              <w:right w:val="single" w:sz="4" w:space="0" w:color="auto"/>
            </w:tcBorders>
            <w:vAlign w:val="center"/>
          </w:tcPr>
          <w:p w14:paraId="640E920A" w14:textId="77777777" w:rsidR="004F1ADE" w:rsidRPr="00BB59D8" w:rsidRDefault="004F1ADE" w:rsidP="002F6EC6">
            <w:pPr>
              <w:pStyle w:val="TableText0"/>
              <w:keepNext w:val="0"/>
              <w:rPr>
                <w:szCs w:val="18"/>
              </w:rPr>
            </w:pPr>
            <w:r w:rsidRPr="00BB59D8">
              <w:rPr>
                <w:szCs w:val="20"/>
              </w:rPr>
              <w:t>Woelfle J, Polak M, Hypoglycaemia adverse events in SPIGFD: Association with patient diagnosis, age, time-course and dosage of mecasermin: 10-year data from the European Increlex® growth forum database in Europe (EU-IGFD)</w:t>
            </w:r>
          </w:p>
        </w:tc>
        <w:tc>
          <w:tcPr>
            <w:tcW w:w="1340" w:type="pct"/>
            <w:tcBorders>
              <w:top w:val="nil"/>
              <w:left w:val="single" w:sz="4" w:space="0" w:color="auto"/>
              <w:bottom w:val="nil"/>
              <w:right w:val="single" w:sz="4" w:space="0" w:color="auto"/>
            </w:tcBorders>
            <w:vAlign w:val="center"/>
          </w:tcPr>
          <w:p w14:paraId="1E0573BC" w14:textId="77777777" w:rsidR="004F1ADE" w:rsidRPr="00BB59D8" w:rsidRDefault="004F1ADE" w:rsidP="002F6EC6">
            <w:pPr>
              <w:pStyle w:val="TableText0"/>
              <w:keepNext w:val="0"/>
              <w:rPr>
                <w:iCs/>
              </w:rPr>
            </w:pPr>
            <w:r w:rsidRPr="00BB59D8">
              <w:rPr>
                <w:iCs/>
                <w:szCs w:val="18"/>
              </w:rPr>
              <w:t xml:space="preserve">58th Annual Meeting of the European Society for Paediatric Endocrinology (ESPE). </w:t>
            </w:r>
            <w:r w:rsidRPr="00BB59D8">
              <w:rPr>
                <w:iCs/>
              </w:rPr>
              <w:t>Horm Res Paediatr 2019;91 (suppl 1):1–682</w:t>
            </w:r>
          </w:p>
          <w:p w14:paraId="5235AE90" w14:textId="77777777" w:rsidR="004F1ADE" w:rsidRPr="00BB59D8" w:rsidRDefault="004F1ADE" w:rsidP="002F6EC6">
            <w:pPr>
              <w:pStyle w:val="TableText0"/>
              <w:keepNext w:val="0"/>
              <w:rPr>
                <w:iCs/>
                <w:szCs w:val="18"/>
              </w:rPr>
            </w:pPr>
          </w:p>
        </w:tc>
      </w:tr>
      <w:tr w:rsidR="004F1ADE" w:rsidRPr="00BB59D8" w14:paraId="57E65A78" w14:textId="77777777" w:rsidTr="00DB4BC1">
        <w:trPr>
          <w:cantSplit/>
        </w:trPr>
        <w:tc>
          <w:tcPr>
            <w:tcW w:w="940" w:type="pct"/>
            <w:tcBorders>
              <w:top w:val="nil"/>
              <w:bottom w:val="nil"/>
              <w:right w:val="single" w:sz="4" w:space="0" w:color="auto"/>
            </w:tcBorders>
            <w:vAlign w:val="center"/>
          </w:tcPr>
          <w:p w14:paraId="1669B0F7" w14:textId="77777777" w:rsidR="004F1ADE" w:rsidRPr="00BB59D8" w:rsidRDefault="004F1ADE" w:rsidP="002F6EC6">
            <w:pPr>
              <w:pStyle w:val="TableText0"/>
              <w:keepNext w:val="0"/>
            </w:pPr>
          </w:p>
        </w:tc>
        <w:tc>
          <w:tcPr>
            <w:tcW w:w="2719" w:type="pct"/>
            <w:tcBorders>
              <w:top w:val="nil"/>
              <w:left w:val="single" w:sz="4" w:space="0" w:color="auto"/>
              <w:bottom w:val="single" w:sz="4" w:space="0" w:color="auto"/>
              <w:right w:val="single" w:sz="4" w:space="0" w:color="auto"/>
            </w:tcBorders>
            <w:vAlign w:val="center"/>
          </w:tcPr>
          <w:p w14:paraId="6FB6C2A1" w14:textId="77777777" w:rsidR="004F1ADE" w:rsidRPr="00BB59D8" w:rsidRDefault="004F1ADE" w:rsidP="002F6EC6">
            <w:pPr>
              <w:pStyle w:val="TableText0"/>
              <w:keepNext w:val="0"/>
              <w:rPr>
                <w:szCs w:val="18"/>
              </w:rPr>
            </w:pPr>
            <w:r w:rsidRPr="00BB59D8">
              <w:rPr>
                <w:szCs w:val="20"/>
              </w:rPr>
              <w:t>Woelfle J, Polak M, Characteristics, effectiveness and safety data from clinically relevant subgroups of patients with severe primary IGF-i deficiency (SPIGFD): Results from the European Increlex® growth forum database (EU-IGFD) Registry</w:t>
            </w:r>
          </w:p>
        </w:tc>
        <w:tc>
          <w:tcPr>
            <w:tcW w:w="1340" w:type="pct"/>
            <w:tcBorders>
              <w:top w:val="nil"/>
              <w:left w:val="single" w:sz="4" w:space="0" w:color="auto"/>
              <w:bottom w:val="single" w:sz="4" w:space="0" w:color="auto"/>
              <w:right w:val="single" w:sz="4" w:space="0" w:color="auto"/>
            </w:tcBorders>
            <w:vAlign w:val="center"/>
          </w:tcPr>
          <w:p w14:paraId="51557E97" w14:textId="77777777" w:rsidR="004F1ADE" w:rsidRPr="00BB59D8" w:rsidRDefault="004F1ADE" w:rsidP="002F6EC6">
            <w:pPr>
              <w:pStyle w:val="TableText0"/>
              <w:keepNext w:val="0"/>
              <w:rPr>
                <w:iCs/>
                <w:szCs w:val="18"/>
              </w:rPr>
            </w:pPr>
            <w:r w:rsidRPr="00BB59D8">
              <w:rPr>
                <w:iCs/>
                <w:szCs w:val="18"/>
              </w:rPr>
              <w:t xml:space="preserve">57th Annual Meeting of the European Society for Paediatric Endocrinology (ESPE). </w:t>
            </w:r>
            <w:r w:rsidRPr="00BB59D8">
              <w:rPr>
                <w:iCs/>
              </w:rPr>
              <w:t>Horm Res Paediatr 2018;90 (suppl 1):1–680</w:t>
            </w:r>
          </w:p>
        </w:tc>
      </w:tr>
      <w:tr w:rsidR="004F1ADE" w:rsidRPr="00BB59D8" w14:paraId="0EB824F5" w14:textId="77777777" w:rsidTr="00DB4BC1">
        <w:trPr>
          <w:cantSplit/>
        </w:trPr>
        <w:tc>
          <w:tcPr>
            <w:tcW w:w="940" w:type="pct"/>
            <w:tcBorders>
              <w:top w:val="single" w:sz="4" w:space="0" w:color="auto"/>
              <w:bottom w:val="nil"/>
            </w:tcBorders>
            <w:vAlign w:val="center"/>
          </w:tcPr>
          <w:p w14:paraId="3B2991D9" w14:textId="77777777" w:rsidR="004F1ADE" w:rsidRPr="00BB59D8" w:rsidRDefault="004F1ADE" w:rsidP="002F6EC6">
            <w:pPr>
              <w:pStyle w:val="TableText0"/>
              <w:keepNext w:val="0"/>
            </w:pPr>
            <w:r w:rsidRPr="00BB59D8">
              <w:t>Polish Study</w:t>
            </w:r>
          </w:p>
        </w:tc>
        <w:tc>
          <w:tcPr>
            <w:tcW w:w="2719" w:type="pct"/>
            <w:tcBorders>
              <w:top w:val="single" w:sz="4" w:space="0" w:color="auto"/>
              <w:bottom w:val="nil"/>
            </w:tcBorders>
            <w:vAlign w:val="center"/>
          </w:tcPr>
          <w:p w14:paraId="44CD0D05" w14:textId="77777777" w:rsidR="004F1ADE" w:rsidRPr="00BB59D8" w:rsidRDefault="004F1ADE" w:rsidP="002F6EC6">
            <w:pPr>
              <w:pStyle w:val="TableText0"/>
              <w:keepNext w:val="0"/>
              <w:rPr>
                <w:szCs w:val="18"/>
              </w:rPr>
            </w:pPr>
            <w:r w:rsidRPr="00BB59D8">
              <w:rPr>
                <w:szCs w:val="18"/>
              </w:rPr>
              <w:t>Petriczko E, Jackowski T et al. Treatment of severe primary IGF-1 deficiency using rhIGF-1 preparation - first three years of Polish experience.</w:t>
            </w:r>
          </w:p>
        </w:tc>
        <w:tc>
          <w:tcPr>
            <w:tcW w:w="1340" w:type="pct"/>
            <w:tcBorders>
              <w:top w:val="single" w:sz="4" w:space="0" w:color="auto"/>
              <w:bottom w:val="nil"/>
            </w:tcBorders>
            <w:vAlign w:val="center"/>
          </w:tcPr>
          <w:p w14:paraId="097954D5" w14:textId="77777777" w:rsidR="004F1ADE" w:rsidRPr="00BB59D8" w:rsidRDefault="004F1ADE" w:rsidP="002F6EC6">
            <w:pPr>
              <w:pStyle w:val="TableText0"/>
              <w:keepNext w:val="0"/>
            </w:pPr>
            <w:r w:rsidRPr="00BB59D8">
              <w:rPr>
                <w:szCs w:val="18"/>
              </w:rPr>
              <w:t>Endokrynol Pol. 2019;70(1):20-27</w:t>
            </w:r>
          </w:p>
        </w:tc>
      </w:tr>
      <w:tr w:rsidR="004F1ADE" w:rsidRPr="00BB59D8" w14:paraId="45266ED3" w14:textId="77777777" w:rsidTr="00DB4BC1">
        <w:trPr>
          <w:cantSplit/>
        </w:trPr>
        <w:tc>
          <w:tcPr>
            <w:tcW w:w="940" w:type="pct"/>
            <w:tcBorders>
              <w:top w:val="nil"/>
              <w:bottom w:val="single" w:sz="4" w:space="0" w:color="auto"/>
            </w:tcBorders>
            <w:vAlign w:val="center"/>
          </w:tcPr>
          <w:p w14:paraId="496E799C" w14:textId="77777777" w:rsidR="004F1ADE" w:rsidRPr="00BB59D8" w:rsidRDefault="004F1ADE" w:rsidP="002F6EC6">
            <w:pPr>
              <w:pStyle w:val="TableText0"/>
              <w:keepNext w:val="0"/>
            </w:pPr>
          </w:p>
        </w:tc>
        <w:tc>
          <w:tcPr>
            <w:tcW w:w="2719" w:type="pct"/>
            <w:tcBorders>
              <w:top w:val="nil"/>
              <w:bottom w:val="single" w:sz="4" w:space="0" w:color="auto"/>
            </w:tcBorders>
            <w:vAlign w:val="center"/>
          </w:tcPr>
          <w:p w14:paraId="2E3C2EC3" w14:textId="77777777" w:rsidR="004F1ADE" w:rsidRPr="00BB59D8" w:rsidRDefault="004F1ADE" w:rsidP="002F6EC6">
            <w:pPr>
              <w:pStyle w:val="TableText0"/>
              <w:keepNext w:val="0"/>
              <w:rPr>
                <w:szCs w:val="18"/>
              </w:rPr>
            </w:pPr>
            <w:r w:rsidRPr="00BB59D8">
              <w:rPr>
                <w:szCs w:val="20"/>
              </w:rPr>
              <w:t>Petriczko E., Horodnicka-Jozwa A et al. Effects of the two-year treatment with recombinant IGF-1(rhIGF-1) of children with primary IGF-1 deficiency in Poland: A multicenter study</w:t>
            </w:r>
          </w:p>
        </w:tc>
        <w:tc>
          <w:tcPr>
            <w:tcW w:w="1340" w:type="pct"/>
            <w:tcBorders>
              <w:top w:val="nil"/>
              <w:bottom w:val="single" w:sz="4" w:space="0" w:color="auto"/>
            </w:tcBorders>
            <w:vAlign w:val="center"/>
          </w:tcPr>
          <w:p w14:paraId="55DAC78E" w14:textId="77777777" w:rsidR="004F1ADE" w:rsidRPr="00BB59D8" w:rsidRDefault="004F1ADE" w:rsidP="002F6EC6">
            <w:pPr>
              <w:pStyle w:val="TableText0"/>
              <w:keepNext w:val="0"/>
              <w:rPr>
                <w:szCs w:val="18"/>
              </w:rPr>
            </w:pPr>
            <w:r w:rsidRPr="00BB59D8">
              <w:rPr>
                <w:szCs w:val="18"/>
              </w:rPr>
              <w:t>9th Joint Meeting of Paediatric Endocrinology.</w:t>
            </w:r>
            <w:r w:rsidRPr="00BB59D8">
              <w:t xml:space="preserve"> </w:t>
            </w:r>
            <w:r w:rsidRPr="00BB59D8">
              <w:rPr>
                <w:szCs w:val="18"/>
              </w:rPr>
              <w:t xml:space="preserve">Horm Res Paediatr 2013;80(suppl 1):1-489 </w:t>
            </w:r>
          </w:p>
        </w:tc>
      </w:tr>
    </w:tbl>
    <w:p w14:paraId="6E765F21" w14:textId="77777777" w:rsidR="0071553C" w:rsidRPr="00BB59D8" w:rsidRDefault="0071553C" w:rsidP="0071553C">
      <w:pPr>
        <w:pStyle w:val="TableFigureFooter"/>
      </w:pPr>
      <w:r w:rsidRPr="00BB59D8">
        <w:t>EU-IGFD = European Increlex® Growth Forum Database.</w:t>
      </w:r>
    </w:p>
    <w:p w14:paraId="4E2C63F5" w14:textId="77777777" w:rsidR="0071553C" w:rsidRPr="00BB59D8" w:rsidRDefault="0071553C" w:rsidP="0071553C">
      <w:pPr>
        <w:pStyle w:val="TableFigureFooter"/>
      </w:pPr>
      <w:r w:rsidRPr="00BB59D8">
        <w:t>Source: Table 2-4, pp37-38 of the submission.</w:t>
      </w:r>
    </w:p>
    <w:p w14:paraId="1803884C" w14:textId="77777777" w:rsidR="004F1ADE" w:rsidRPr="00BB59D8" w:rsidRDefault="004F1ADE" w:rsidP="0071553C">
      <w:pPr>
        <w:pStyle w:val="TableFigureFooter"/>
        <w:rPr>
          <w:iCs/>
          <w:sz w:val="20"/>
        </w:rPr>
      </w:pPr>
    </w:p>
    <w:p w14:paraId="5A907A5D" w14:textId="77777777" w:rsidR="007F1017" w:rsidRPr="00BB59D8" w:rsidRDefault="008F120A" w:rsidP="00EC5836">
      <w:pPr>
        <w:pStyle w:val="3-BodyText"/>
      </w:pPr>
      <w:r w:rsidRPr="00BB59D8">
        <w:t xml:space="preserve">The key features of the </w:t>
      </w:r>
      <w:r w:rsidR="00621ADA" w:rsidRPr="00BB59D8">
        <w:t>included evidence</w:t>
      </w:r>
      <w:r w:rsidRPr="00BB59D8">
        <w:t xml:space="preserve"> are summarised in </w:t>
      </w:r>
      <w:r w:rsidR="0071553C" w:rsidRPr="00BB59D8">
        <w:t>T</w:t>
      </w:r>
      <w:r w:rsidRPr="00BB59D8">
        <w:t xml:space="preserve">able </w:t>
      </w:r>
      <w:r w:rsidR="0071553C" w:rsidRPr="00BB59D8">
        <w:t>3</w:t>
      </w:r>
      <w:r w:rsidRPr="00BB59D8">
        <w:t>.</w:t>
      </w:r>
      <w:r w:rsidR="00BC591F" w:rsidRPr="00BB59D8">
        <w:t xml:space="preserve"> </w:t>
      </w:r>
    </w:p>
    <w:p w14:paraId="73B328CF" w14:textId="77777777" w:rsidR="007F1017" w:rsidRPr="00BB59D8" w:rsidRDefault="007F1017" w:rsidP="004F1ADE">
      <w:pPr>
        <w:pStyle w:val="TableFigureHeading"/>
        <w:keepNext w:val="0"/>
        <w:widowControl w:val="0"/>
        <w:rPr>
          <w:rStyle w:val="CommentReference"/>
          <w:b/>
          <w:szCs w:val="24"/>
        </w:rPr>
      </w:pPr>
      <w:r w:rsidRPr="00BB59D8">
        <w:rPr>
          <w:rStyle w:val="CommentReference"/>
          <w:b/>
          <w:szCs w:val="24"/>
        </w:rPr>
        <w:t xml:space="preserve">Table </w:t>
      </w:r>
      <w:r w:rsidR="0071553C" w:rsidRPr="00BB59D8">
        <w:rPr>
          <w:rStyle w:val="CommentReference"/>
          <w:b/>
          <w:szCs w:val="24"/>
        </w:rPr>
        <w:t>3</w:t>
      </w:r>
      <w:r w:rsidRPr="00BB59D8">
        <w:rPr>
          <w:rStyle w:val="CommentReference"/>
          <w:b/>
          <w:szCs w:val="24"/>
        </w:rPr>
        <w:t>: Key features of the included evidence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987"/>
        <w:gridCol w:w="426"/>
        <w:gridCol w:w="1417"/>
        <w:gridCol w:w="1434"/>
        <w:gridCol w:w="1118"/>
        <w:gridCol w:w="2692"/>
        <w:gridCol w:w="943"/>
      </w:tblGrid>
      <w:tr w:rsidR="0095484E" w:rsidRPr="00BB59D8" w14:paraId="0EE74F84" w14:textId="77777777" w:rsidTr="005378F4">
        <w:trPr>
          <w:cantSplit/>
          <w:tblHeader/>
        </w:trPr>
        <w:tc>
          <w:tcPr>
            <w:tcW w:w="547" w:type="pct"/>
            <w:shd w:val="clear" w:color="auto" w:fill="auto"/>
            <w:vAlign w:val="center"/>
          </w:tcPr>
          <w:p w14:paraId="3B318409" w14:textId="77777777" w:rsidR="007F1017" w:rsidRPr="00BB59D8" w:rsidRDefault="007F1017" w:rsidP="004F1ADE">
            <w:pPr>
              <w:pStyle w:val="In-tableHeading"/>
              <w:keepNext w:val="0"/>
              <w:widowControl w:val="0"/>
              <w:rPr>
                <w:lang w:val="en-AU"/>
              </w:rPr>
            </w:pPr>
            <w:r w:rsidRPr="00BB59D8">
              <w:rPr>
                <w:lang w:val="en-AU"/>
              </w:rPr>
              <w:t>Trial</w:t>
            </w:r>
          </w:p>
        </w:tc>
        <w:tc>
          <w:tcPr>
            <w:tcW w:w="236" w:type="pct"/>
            <w:shd w:val="clear" w:color="auto" w:fill="auto"/>
            <w:vAlign w:val="center"/>
          </w:tcPr>
          <w:p w14:paraId="75A32A67" w14:textId="77777777" w:rsidR="007F1017" w:rsidRPr="00BB59D8" w:rsidRDefault="007F1017" w:rsidP="004F1ADE">
            <w:pPr>
              <w:pStyle w:val="In-tableHeading"/>
              <w:keepNext w:val="0"/>
              <w:widowControl w:val="0"/>
              <w:rPr>
                <w:lang w:val="en-AU"/>
              </w:rPr>
            </w:pPr>
            <w:r w:rsidRPr="00BB59D8">
              <w:rPr>
                <w:lang w:val="en-AU"/>
              </w:rPr>
              <w:t>N</w:t>
            </w:r>
          </w:p>
        </w:tc>
        <w:tc>
          <w:tcPr>
            <w:tcW w:w="786" w:type="pct"/>
            <w:shd w:val="clear" w:color="auto" w:fill="auto"/>
            <w:vAlign w:val="center"/>
          </w:tcPr>
          <w:p w14:paraId="0F9EA928" w14:textId="77777777" w:rsidR="007F1017" w:rsidRPr="00BB59D8" w:rsidRDefault="007F1017" w:rsidP="004F1ADE">
            <w:pPr>
              <w:pStyle w:val="In-tableHeading"/>
              <w:keepNext w:val="0"/>
              <w:widowControl w:val="0"/>
              <w:rPr>
                <w:lang w:val="en-AU"/>
              </w:rPr>
            </w:pPr>
            <w:r w:rsidRPr="00BB59D8">
              <w:rPr>
                <w:lang w:val="en-AU"/>
              </w:rPr>
              <w:t>Design/ duration</w:t>
            </w:r>
          </w:p>
        </w:tc>
        <w:tc>
          <w:tcPr>
            <w:tcW w:w="795" w:type="pct"/>
            <w:shd w:val="clear" w:color="auto" w:fill="auto"/>
            <w:vAlign w:val="center"/>
          </w:tcPr>
          <w:p w14:paraId="54CC2132" w14:textId="77777777" w:rsidR="007F1017" w:rsidRPr="00BB59D8" w:rsidRDefault="007F1017" w:rsidP="004F1ADE">
            <w:pPr>
              <w:pStyle w:val="In-tableHeading"/>
              <w:keepNext w:val="0"/>
              <w:widowControl w:val="0"/>
              <w:rPr>
                <w:lang w:val="en-AU"/>
              </w:rPr>
            </w:pPr>
            <w:r w:rsidRPr="00BB59D8">
              <w:rPr>
                <w:lang w:val="en-AU"/>
              </w:rPr>
              <w:t>Risk of bias</w:t>
            </w:r>
          </w:p>
        </w:tc>
        <w:tc>
          <w:tcPr>
            <w:tcW w:w="620" w:type="pct"/>
            <w:shd w:val="clear" w:color="auto" w:fill="auto"/>
            <w:vAlign w:val="center"/>
          </w:tcPr>
          <w:p w14:paraId="362267D0" w14:textId="77777777" w:rsidR="007F1017" w:rsidRPr="00BB59D8" w:rsidRDefault="007F1017" w:rsidP="004F1ADE">
            <w:pPr>
              <w:pStyle w:val="In-tableHeading"/>
              <w:keepNext w:val="0"/>
              <w:widowControl w:val="0"/>
              <w:rPr>
                <w:lang w:val="en-AU"/>
              </w:rPr>
            </w:pPr>
            <w:r w:rsidRPr="00BB59D8">
              <w:rPr>
                <w:lang w:val="en-AU"/>
              </w:rPr>
              <w:t>Patient population</w:t>
            </w:r>
          </w:p>
        </w:tc>
        <w:tc>
          <w:tcPr>
            <w:tcW w:w="1493" w:type="pct"/>
            <w:shd w:val="clear" w:color="auto" w:fill="auto"/>
            <w:vAlign w:val="center"/>
          </w:tcPr>
          <w:p w14:paraId="60F55893" w14:textId="77777777" w:rsidR="007F1017" w:rsidRPr="00BB59D8" w:rsidRDefault="007F1017" w:rsidP="004F1ADE">
            <w:pPr>
              <w:pStyle w:val="In-tableHeading"/>
              <w:keepNext w:val="0"/>
              <w:widowControl w:val="0"/>
              <w:rPr>
                <w:lang w:val="en-AU"/>
              </w:rPr>
            </w:pPr>
            <w:r w:rsidRPr="00BB59D8">
              <w:rPr>
                <w:lang w:val="en-AU"/>
              </w:rPr>
              <w:t>Outcome(s)</w:t>
            </w:r>
          </w:p>
        </w:tc>
        <w:tc>
          <w:tcPr>
            <w:tcW w:w="523" w:type="pct"/>
            <w:shd w:val="clear" w:color="auto" w:fill="auto"/>
            <w:vAlign w:val="center"/>
          </w:tcPr>
          <w:p w14:paraId="3F53DA37" w14:textId="77777777" w:rsidR="007F1017" w:rsidRPr="00BB59D8" w:rsidRDefault="007F1017" w:rsidP="004F1ADE">
            <w:pPr>
              <w:pStyle w:val="In-tableHeading"/>
              <w:keepNext w:val="0"/>
              <w:widowControl w:val="0"/>
              <w:rPr>
                <w:lang w:val="en-AU"/>
              </w:rPr>
            </w:pPr>
            <w:r w:rsidRPr="00BB59D8">
              <w:rPr>
                <w:lang w:val="en-AU"/>
              </w:rPr>
              <w:t>Use in modelled evaluation</w:t>
            </w:r>
          </w:p>
        </w:tc>
      </w:tr>
      <w:tr w:rsidR="007F1017" w:rsidRPr="00BB59D8" w14:paraId="3582FC73" w14:textId="77777777" w:rsidTr="005378F4">
        <w:trPr>
          <w:cantSplit/>
        </w:trPr>
        <w:tc>
          <w:tcPr>
            <w:tcW w:w="5000" w:type="pct"/>
            <w:gridSpan w:val="7"/>
            <w:shd w:val="clear" w:color="auto" w:fill="auto"/>
            <w:vAlign w:val="center"/>
          </w:tcPr>
          <w:p w14:paraId="5AE24521" w14:textId="77777777" w:rsidR="007F1017" w:rsidRPr="00BB59D8" w:rsidRDefault="008533A2" w:rsidP="004F1ADE">
            <w:pPr>
              <w:pStyle w:val="In-tableHeading"/>
              <w:keepNext w:val="0"/>
              <w:widowControl w:val="0"/>
              <w:rPr>
                <w:lang w:val="en-AU"/>
              </w:rPr>
            </w:pPr>
            <w:r w:rsidRPr="00BB59D8">
              <w:rPr>
                <w:lang w:val="en-AU"/>
              </w:rPr>
              <w:t>Mecasermin</w:t>
            </w:r>
            <w:r w:rsidR="007F1017" w:rsidRPr="00BB59D8">
              <w:rPr>
                <w:lang w:val="en-AU"/>
              </w:rPr>
              <w:t xml:space="preserve"> vs. </w:t>
            </w:r>
            <w:r w:rsidRPr="00BB59D8">
              <w:rPr>
                <w:lang w:val="en-AU"/>
              </w:rPr>
              <w:t>no treatment</w:t>
            </w:r>
          </w:p>
        </w:tc>
      </w:tr>
      <w:tr w:rsidR="001370C7" w:rsidRPr="00BB59D8" w14:paraId="6241C7FE" w14:textId="77777777" w:rsidTr="005378F4">
        <w:trPr>
          <w:cantSplit/>
        </w:trPr>
        <w:tc>
          <w:tcPr>
            <w:tcW w:w="547" w:type="pct"/>
            <w:shd w:val="clear" w:color="auto" w:fill="auto"/>
            <w:vAlign w:val="center"/>
          </w:tcPr>
          <w:p w14:paraId="7D1B8C1C" w14:textId="77777777" w:rsidR="001370C7" w:rsidRPr="00BB59D8" w:rsidRDefault="008B3751" w:rsidP="004F1ADE">
            <w:pPr>
              <w:pStyle w:val="TableText0"/>
              <w:keepNext w:val="0"/>
              <w:widowControl w:val="0"/>
            </w:pPr>
            <w:r w:rsidRPr="00BB59D8">
              <w:t xml:space="preserve">Trial </w:t>
            </w:r>
            <w:r w:rsidR="001370C7" w:rsidRPr="00BB59D8">
              <w:t>MS301</w:t>
            </w:r>
          </w:p>
        </w:tc>
        <w:tc>
          <w:tcPr>
            <w:tcW w:w="236" w:type="pct"/>
            <w:shd w:val="clear" w:color="auto" w:fill="auto"/>
            <w:vAlign w:val="center"/>
          </w:tcPr>
          <w:p w14:paraId="24DB0130" w14:textId="77777777" w:rsidR="001370C7" w:rsidRPr="00BB59D8" w:rsidRDefault="001370C7" w:rsidP="004F1ADE">
            <w:pPr>
              <w:pStyle w:val="TableText0"/>
              <w:keepNext w:val="0"/>
              <w:widowControl w:val="0"/>
            </w:pPr>
            <w:r w:rsidRPr="00BB59D8">
              <w:t>137</w:t>
            </w:r>
          </w:p>
        </w:tc>
        <w:tc>
          <w:tcPr>
            <w:tcW w:w="786" w:type="pct"/>
            <w:shd w:val="clear" w:color="auto" w:fill="auto"/>
            <w:vAlign w:val="center"/>
          </w:tcPr>
          <w:p w14:paraId="00C96163" w14:textId="77777777" w:rsidR="001370C7" w:rsidRPr="00BB59D8" w:rsidRDefault="001370C7" w:rsidP="004F1ADE">
            <w:pPr>
              <w:pStyle w:val="TableText0"/>
              <w:keepNext w:val="0"/>
              <w:widowControl w:val="0"/>
            </w:pPr>
            <w:r w:rsidRPr="00BB59D8">
              <w:t>R, OL, MC</w:t>
            </w:r>
          </w:p>
          <w:p w14:paraId="48A9C95D" w14:textId="77777777" w:rsidR="001370C7" w:rsidRPr="00BB59D8" w:rsidRDefault="001370C7" w:rsidP="004F1ADE">
            <w:pPr>
              <w:pStyle w:val="TableText0"/>
              <w:keepNext w:val="0"/>
              <w:widowControl w:val="0"/>
            </w:pPr>
            <w:r w:rsidRPr="00BB59D8">
              <w:t>1 year</w:t>
            </w:r>
          </w:p>
        </w:tc>
        <w:tc>
          <w:tcPr>
            <w:tcW w:w="795" w:type="pct"/>
            <w:shd w:val="clear" w:color="auto" w:fill="auto"/>
            <w:vAlign w:val="center"/>
          </w:tcPr>
          <w:p w14:paraId="349EC9AE" w14:textId="77777777" w:rsidR="001370C7" w:rsidRPr="00BB59D8" w:rsidRDefault="007C787A" w:rsidP="00833168">
            <w:pPr>
              <w:pStyle w:val="TableText0"/>
              <w:keepNext w:val="0"/>
              <w:widowControl w:val="0"/>
              <w:rPr>
                <w:highlight w:val="yellow"/>
                <w:vertAlign w:val="superscript"/>
              </w:rPr>
            </w:pPr>
            <w:r w:rsidRPr="00BB59D8">
              <w:t>Moderate</w:t>
            </w:r>
            <w:r w:rsidR="007C6307" w:rsidRPr="00BB59D8">
              <w:rPr>
                <w:vertAlign w:val="superscript"/>
              </w:rPr>
              <w:t>a</w:t>
            </w:r>
          </w:p>
        </w:tc>
        <w:tc>
          <w:tcPr>
            <w:tcW w:w="620" w:type="pct"/>
            <w:shd w:val="clear" w:color="auto" w:fill="auto"/>
            <w:vAlign w:val="center"/>
          </w:tcPr>
          <w:p w14:paraId="4AABF5CC" w14:textId="77777777" w:rsidR="001370C7" w:rsidRPr="00BB59D8" w:rsidRDefault="001370C7" w:rsidP="004F1ADE">
            <w:pPr>
              <w:pStyle w:val="TableText0"/>
              <w:keepNext w:val="0"/>
              <w:widowControl w:val="0"/>
            </w:pPr>
            <w:r w:rsidRPr="00BB59D8">
              <w:t>PIGFD</w:t>
            </w:r>
          </w:p>
        </w:tc>
        <w:tc>
          <w:tcPr>
            <w:tcW w:w="1493" w:type="pct"/>
            <w:shd w:val="clear" w:color="auto" w:fill="auto"/>
            <w:vAlign w:val="center"/>
          </w:tcPr>
          <w:p w14:paraId="420167EE" w14:textId="77777777" w:rsidR="001370C7" w:rsidRPr="00BB59D8" w:rsidRDefault="001370C7" w:rsidP="004F1ADE">
            <w:pPr>
              <w:pStyle w:val="TableText0"/>
              <w:keepNext w:val="0"/>
              <w:widowControl w:val="0"/>
            </w:pPr>
            <w:r w:rsidRPr="00BB59D8">
              <w:t>Height velocity, HSDS</w:t>
            </w:r>
          </w:p>
        </w:tc>
        <w:tc>
          <w:tcPr>
            <w:tcW w:w="523" w:type="pct"/>
            <w:shd w:val="clear" w:color="auto" w:fill="auto"/>
            <w:vAlign w:val="center"/>
          </w:tcPr>
          <w:p w14:paraId="4AFCE09D" w14:textId="77777777" w:rsidR="001370C7" w:rsidRPr="00BB59D8" w:rsidRDefault="001370C7" w:rsidP="004F1ADE">
            <w:pPr>
              <w:pStyle w:val="TableText0"/>
              <w:keepNext w:val="0"/>
              <w:widowControl w:val="0"/>
            </w:pPr>
            <w:r w:rsidRPr="00BB59D8">
              <w:t>Not used</w:t>
            </w:r>
          </w:p>
        </w:tc>
      </w:tr>
      <w:tr w:rsidR="001370C7" w:rsidRPr="00BB59D8" w14:paraId="52EF6337" w14:textId="77777777" w:rsidTr="005378F4">
        <w:trPr>
          <w:cantSplit/>
        </w:trPr>
        <w:tc>
          <w:tcPr>
            <w:tcW w:w="547" w:type="pct"/>
            <w:shd w:val="clear" w:color="auto" w:fill="auto"/>
            <w:vAlign w:val="center"/>
          </w:tcPr>
          <w:p w14:paraId="10A236C4" w14:textId="77777777" w:rsidR="001370C7" w:rsidRPr="00BB59D8" w:rsidRDefault="001370C7" w:rsidP="004F1ADE">
            <w:pPr>
              <w:pStyle w:val="TableText0"/>
              <w:keepNext w:val="0"/>
              <w:widowControl w:val="0"/>
            </w:pPr>
            <w:r w:rsidRPr="00BB59D8">
              <w:t>Study 1419</w:t>
            </w:r>
          </w:p>
        </w:tc>
        <w:tc>
          <w:tcPr>
            <w:tcW w:w="236" w:type="pct"/>
            <w:shd w:val="clear" w:color="auto" w:fill="auto"/>
            <w:vAlign w:val="center"/>
          </w:tcPr>
          <w:p w14:paraId="3A1BA85D" w14:textId="77777777" w:rsidR="001370C7" w:rsidRPr="00BB59D8" w:rsidRDefault="001370C7" w:rsidP="004F1ADE">
            <w:pPr>
              <w:pStyle w:val="TableText0"/>
              <w:keepNext w:val="0"/>
              <w:widowControl w:val="0"/>
            </w:pPr>
            <w:r w:rsidRPr="00BB59D8">
              <w:t>91</w:t>
            </w:r>
          </w:p>
        </w:tc>
        <w:tc>
          <w:tcPr>
            <w:tcW w:w="786" w:type="pct"/>
            <w:shd w:val="clear" w:color="auto" w:fill="auto"/>
            <w:vAlign w:val="center"/>
          </w:tcPr>
          <w:p w14:paraId="5216C33D" w14:textId="77777777" w:rsidR="001370C7" w:rsidRPr="00BB59D8" w:rsidRDefault="001370C7" w:rsidP="004F1ADE">
            <w:pPr>
              <w:pStyle w:val="TableText0"/>
              <w:keepNext w:val="0"/>
              <w:widowControl w:val="0"/>
            </w:pPr>
            <w:r w:rsidRPr="00BB59D8">
              <w:t>S, OL, MC</w:t>
            </w:r>
          </w:p>
          <w:p w14:paraId="4E4CD1A0" w14:textId="77777777" w:rsidR="001370C7" w:rsidRPr="00BB59D8" w:rsidRDefault="001370C7" w:rsidP="004F1ADE">
            <w:pPr>
              <w:pStyle w:val="TableText0"/>
              <w:keepNext w:val="0"/>
              <w:widowControl w:val="0"/>
            </w:pPr>
            <w:r w:rsidRPr="00BB59D8">
              <w:t>Up to 19 years</w:t>
            </w:r>
          </w:p>
        </w:tc>
        <w:tc>
          <w:tcPr>
            <w:tcW w:w="795" w:type="pct"/>
            <w:shd w:val="clear" w:color="auto" w:fill="auto"/>
            <w:vAlign w:val="center"/>
          </w:tcPr>
          <w:p w14:paraId="7412D87D" w14:textId="77777777" w:rsidR="001370C7" w:rsidRPr="00BB59D8" w:rsidRDefault="00EA2A40" w:rsidP="004F1ADE">
            <w:pPr>
              <w:pStyle w:val="TableText0"/>
              <w:keepNext w:val="0"/>
              <w:widowControl w:val="0"/>
              <w:rPr>
                <w:vertAlign w:val="superscript"/>
              </w:rPr>
            </w:pPr>
            <w:r w:rsidRPr="00BB59D8">
              <w:t>Serious</w:t>
            </w:r>
          </w:p>
        </w:tc>
        <w:tc>
          <w:tcPr>
            <w:tcW w:w="620" w:type="pct"/>
            <w:shd w:val="clear" w:color="auto" w:fill="auto"/>
            <w:vAlign w:val="center"/>
          </w:tcPr>
          <w:p w14:paraId="12082CCC" w14:textId="77777777" w:rsidR="001370C7" w:rsidRPr="00BB59D8" w:rsidRDefault="001370C7" w:rsidP="004F1ADE">
            <w:pPr>
              <w:pStyle w:val="TableText0"/>
              <w:keepNext w:val="0"/>
              <w:widowControl w:val="0"/>
            </w:pPr>
            <w:r w:rsidRPr="00BB59D8">
              <w:t>PIGFD</w:t>
            </w:r>
          </w:p>
        </w:tc>
        <w:tc>
          <w:tcPr>
            <w:tcW w:w="1493" w:type="pct"/>
            <w:shd w:val="clear" w:color="auto" w:fill="auto"/>
            <w:vAlign w:val="center"/>
          </w:tcPr>
          <w:p w14:paraId="5EAB4B79" w14:textId="77777777" w:rsidR="001370C7" w:rsidRPr="00BB59D8" w:rsidRDefault="001370C7" w:rsidP="004F1ADE">
            <w:pPr>
              <w:pStyle w:val="TableText0"/>
              <w:keepNext w:val="0"/>
              <w:widowControl w:val="0"/>
            </w:pPr>
            <w:r w:rsidRPr="00BB59D8">
              <w:t xml:space="preserve">Height velocity, height velocity SDS, HSDS, </w:t>
            </w:r>
          </w:p>
        </w:tc>
        <w:tc>
          <w:tcPr>
            <w:tcW w:w="523" w:type="pct"/>
            <w:shd w:val="clear" w:color="auto" w:fill="auto"/>
            <w:vAlign w:val="center"/>
          </w:tcPr>
          <w:p w14:paraId="6C7B5817" w14:textId="77777777" w:rsidR="001370C7" w:rsidRPr="00BB59D8" w:rsidRDefault="001370C7" w:rsidP="004F1ADE">
            <w:pPr>
              <w:pStyle w:val="TableText0"/>
              <w:keepNext w:val="0"/>
              <w:widowControl w:val="0"/>
            </w:pPr>
            <w:r w:rsidRPr="00BB59D8">
              <w:t>Used</w:t>
            </w:r>
          </w:p>
        </w:tc>
      </w:tr>
      <w:tr w:rsidR="001370C7" w:rsidRPr="00BB59D8" w14:paraId="0C5A5C15" w14:textId="77777777" w:rsidTr="005378F4">
        <w:trPr>
          <w:cantSplit/>
        </w:trPr>
        <w:tc>
          <w:tcPr>
            <w:tcW w:w="547" w:type="pct"/>
            <w:shd w:val="clear" w:color="auto" w:fill="auto"/>
            <w:vAlign w:val="center"/>
          </w:tcPr>
          <w:p w14:paraId="44BE0E5F" w14:textId="77777777" w:rsidR="001370C7" w:rsidRPr="00BB59D8" w:rsidRDefault="001370C7" w:rsidP="004F1ADE">
            <w:pPr>
              <w:pStyle w:val="TableText0"/>
              <w:keepNext w:val="0"/>
              <w:widowControl w:val="0"/>
            </w:pPr>
            <w:r w:rsidRPr="00BB59D8">
              <w:t xml:space="preserve">EU-IGFD </w:t>
            </w:r>
            <w:r w:rsidR="008B3751" w:rsidRPr="00BB59D8">
              <w:t>R</w:t>
            </w:r>
            <w:r w:rsidRPr="00BB59D8">
              <w:t>egistry</w:t>
            </w:r>
          </w:p>
        </w:tc>
        <w:tc>
          <w:tcPr>
            <w:tcW w:w="236" w:type="pct"/>
            <w:shd w:val="clear" w:color="auto" w:fill="auto"/>
            <w:vAlign w:val="center"/>
          </w:tcPr>
          <w:p w14:paraId="4A3A20BD" w14:textId="77777777" w:rsidR="001370C7" w:rsidRPr="00BB59D8" w:rsidRDefault="001370C7" w:rsidP="004F1ADE">
            <w:pPr>
              <w:pStyle w:val="TableText0"/>
              <w:keepNext w:val="0"/>
              <w:widowControl w:val="0"/>
            </w:pPr>
            <w:r w:rsidRPr="00BB59D8">
              <w:t>281</w:t>
            </w:r>
          </w:p>
        </w:tc>
        <w:tc>
          <w:tcPr>
            <w:tcW w:w="786" w:type="pct"/>
            <w:shd w:val="clear" w:color="auto" w:fill="auto"/>
            <w:vAlign w:val="center"/>
          </w:tcPr>
          <w:p w14:paraId="3306BE6A" w14:textId="77777777" w:rsidR="001370C7" w:rsidRPr="00BB59D8" w:rsidRDefault="001370C7" w:rsidP="004F1ADE">
            <w:pPr>
              <w:pStyle w:val="TableText0"/>
              <w:keepNext w:val="0"/>
              <w:widowControl w:val="0"/>
            </w:pPr>
            <w:r w:rsidRPr="00BB59D8">
              <w:t>S, OL, MC</w:t>
            </w:r>
          </w:p>
          <w:p w14:paraId="24C3B47D" w14:textId="77777777" w:rsidR="001370C7" w:rsidRPr="00BB59D8" w:rsidRDefault="001370C7" w:rsidP="004F1ADE">
            <w:pPr>
              <w:pStyle w:val="TableText0"/>
              <w:keepNext w:val="0"/>
              <w:widowControl w:val="0"/>
            </w:pPr>
            <w:r w:rsidRPr="00BB59D8">
              <w:t>Up to 10 years</w:t>
            </w:r>
          </w:p>
        </w:tc>
        <w:tc>
          <w:tcPr>
            <w:tcW w:w="795" w:type="pct"/>
            <w:shd w:val="clear" w:color="auto" w:fill="auto"/>
            <w:vAlign w:val="center"/>
          </w:tcPr>
          <w:p w14:paraId="02EFD9EF" w14:textId="77777777" w:rsidR="001370C7" w:rsidRPr="00BB59D8" w:rsidRDefault="001370C7" w:rsidP="004F1ADE">
            <w:pPr>
              <w:pStyle w:val="TableText0"/>
              <w:keepNext w:val="0"/>
              <w:widowControl w:val="0"/>
              <w:rPr>
                <w:i/>
                <w:vertAlign w:val="superscript"/>
              </w:rPr>
            </w:pPr>
            <w:r w:rsidRPr="00BB59D8">
              <w:t>Serious</w:t>
            </w:r>
          </w:p>
        </w:tc>
        <w:tc>
          <w:tcPr>
            <w:tcW w:w="620" w:type="pct"/>
            <w:shd w:val="clear" w:color="auto" w:fill="auto"/>
            <w:vAlign w:val="center"/>
          </w:tcPr>
          <w:p w14:paraId="468853FB" w14:textId="77777777" w:rsidR="001370C7" w:rsidRPr="00BB59D8" w:rsidRDefault="001370C7" w:rsidP="004F1ADE">
            <w:pPr>
              <w:pStyle w:val="TableText0"/>
              <w:keepNext w:val="0"/>
              <w:widowControl w:val="0"/>
            </w:pPr>
            <w:r w:rsidRPr="00BB59D8">
              <w:t>PIGFD</w:t>
            </w:r>
          </w:p>
        </w:tc>
        <w:tc>
          <w:tcPr>
            <w:tcW w:w="1493" w:type="pct"/>
            <w:shd w:val="clear" w:color="auto" w:fill="auto"/>
            <w:vAlign w:val="center"/>
          </w:tcPr>
          <w:p w14:paraId="770A99D3" w14:textId="77777777" w:rsidR="001370C7" w:rsidRPr="00BB59D8" w:rsidRDefault="001370C7" w:rsidP="004F1ADE">
            <w:pPr>
              <w:pStyle w:val="TableText0"/>
              <w:keepNext w:val="0"/>
              <w:widowControl w:val="0"/>
            </w:pPr>
            <w:r w:rsidRPr="00BB59D8">
              <w:t>Height velocity, HSDS, height</w:t>
            </w:r>
          </w:p>
        </w:tc>
        <w:tc>
          <w:tcPr>
            <w:tcW w:w="523" w:type="pct"/>
            <w:shd w:val="clear" w:color="auto" w:fill="auto"/>
            <w:vAlign w:val="center"/>
          </w:tcPr>
          <w:p w14:paraId="6CBC3C18" w14:textId="77777777" w:rsidR="001370C7" w:rsidRPr="00BB59D8" w:rsidRDefault="001370C7" w:rsidP="004F1ADE">
            <w:pPr>
              <w:pStyle w:val="TableText0"/>
              <w:keepNext w:val="0"/>
              <w:widowControl w:val="0"/>
            </w:pPr>
            <w:r w:rsidRPr="00BB59D8">
              <w:t>Used</w:t>
            </w:r>
          </w:p>
        </w:tc>
      </w:tr>
      <w:tr w:rsidR="001370C7" w:rsidRPr="00BB59D8" w14:paraId="4B7C5E4B" w14:textId="77777777" w:rsidTr="005378F4">
        <w:trPr>
          <w:cantSplit/>
        </w:trPr>
        <w:tc>
          <w:tcPr>
            <w:tcW w:w="547" w:type="pct"/>
            <w:shd w:val="clear" w:color="auto" w:fill="auto"/>
            <w:vAlign w:val="center"/>
          </w:tcPr>
          <w:p w14:paraId="018B52BF" w14:textId="77777777" w:rsidR="001370C7" w:rsidRPr="00BB59D8" w:rsidRDefault="001370C7" w:rsidP="004F1ADE">
            <w:pPr>
              <w:pStyle w:val="TableText0"/>
              <w:keepNext w:val="0"/>
              <w:widowControl w:val="0"/>
            </w:pPr>
            <w:r w:rsidRPr="00BB59D8">
              <w:t>Polish Study</w:t>
            </w:r>
          </w:p>
        </w:tc>
        <w:tc>
          <w:tcPr>
            <w:tcW w:w="236" w:type="pct"/>
            <w:shd w:val="clear" w:color="auto" w:fill="auto"/>
            <w:vAlign w:val="center"/>
          </w:tcPr>
          <w:p w14:paraId="58F216F1" w14:textId="77777777" w:rsidR="001370C7" w:rsidRPr="00BB59D8" w:rsidRDefault="001370C7" w:rsidP="004F1ADE">
            <w:pPr>
              <w:pStyle w:val="TableText0"/>
              <w:keepNext w:val="0"/>
              <w:widowControl w:val="0"/>
            </w:pPr>
            <w:r w:rsidRPr="00BB59D8">
              <w:t>27</w:t>
            </w:r>
          </w:p>
        </w:tc>
        <w:tc>
          <w:tcPr>
            <w:tcW w:w="786" w:type="pct"/>
            <w:shd w:val="clear" w:color="auto" w:fill="auto"/>
            <w:vAlign w:val="center"/>
          </w:tcPr>
          <w:p w14:paraId="5A67062C" w14:textId="77777777" w:rsidR="001370C7" w:rsidRPr="00BB59D8" w:rsidRDefault="001370C7" w:rsidP="004F1ADE">
            <w:pPr>
              <w:pStyle w:val="TableText0"/>
              <w:keepNext w:val="0"/>
              <w:widowControl w:val="0"/>
            </w:pPr>
            <w:r w:rsidRPr="00BB59D8">
              <w:t>S, OL, MC</w:t>
            </w:r>
          </w:p>
          <w:p w14:paraId="3D64BD7F" w14:textId="77777777" w:rsidR="001370C7" w:rsidRPr="00BB59D8" w:rsidRDefault="001370C7" w:rsidP="004F1ADE">
            <w:pPr>
              <w:pStyle w:val="TableText0"/>
              <w:keepNext w:val="0"/>
              <w:widowControl w:val="0"/>
            </w:pPr>
            <w:r w:rsidRPr="00BB59D8">
              <w:t>3 years</w:t>
            </w:r>
          </w:p>
        </w:tc>
        <w:tc>
          <w:tcPr>
            <w:tcW w:w="795" w:type="pct"/>
            <w:shd w:val="clear" w:color="auto" w:fill="auto"/>
            <w:vAlign w:val="center"/>
          </w:tcPr>
          <w:p w14:paraId="5CC6801C" w14:textId="77777777" w:rsidR="001370C7" w:rsidRPr="00BB59D8" w:rsidRDefault="00EA2A40" w:rsidP="004F1ADE">
            <w:pPr>
              <w:pStyle w:val="TableText0"/>
              <w:keepNext w:val="0"/>
              <w:widowControl w:val="0"/>
              <w:rPr>
                <w:vertAlign w:val="superscript"/>
              </w:rPr>
            </w:pPr>
            <w:r w:rsidRPr="00BB59D8">
              <w:t>Moderate</w:t>
            </w:r>
          </w:p>
        </w:tc>
        <w:tc>
          <w:tcPr>
            <w:tcW w:w="620" w:type="pct"/>
            <w:shd w:val="clear" w:color="auto" w:fill="auto"/>
            <w:vAlign w:val="center"/>
          </w:tcPr>
          <w:p w14:paraId="462D9D3F" w14:textId="77777777" w:rsidR="001370C7" w:rsidRPr="00BB59D8" w:rsidRDefault="001370C7" w:rsidP="004F1ADE">
            <w:pPr>
              <w:pStyle w:val="TableText0"/>
              <w:keepNext w:val="0"/>
              <w:widowControl w:val="0"/>
            </w:pPr>
            <w:r w:rsidRPr="00BB59D8">
              <w:t>Severe PIGFD</w:t>
            </w:r>
          </w:p>
        </w:tc>
        <w:tc>
          <w:tcPr>
            <w:tcW w:w="1493" w:type="pct"/>
            <w:shd w:val="clear" w:color="auto" w:fill="auto"/>
            <w:vAlign w:val="center"/>
          </w:tcPr>
          <w:p w14:paraId="5EF64304" w14:textId="77777777" w:rsidR="001370C7" w:rsidRPr="00BB59D8" w:rsidRDefault="001370C7" w:rsidP="004F1ADE">
            <w:pPr>
              <w:pStyle w:val="TableText0"/>
              <w:keepNext w:val="0"/>
              <w:widowControl w:val="0"/>
            </w:pPr>
            <w:r w:rsidRPr="00BB59D8">
              <w:t>Height velocity, HSDS</w:t>
            </w:r>
          </w:p>
        </w:tc>
        <w:tc>
          <w:tcPr>
            <w:tcW w:w="523" w:type="pct"/>
            <w:shd w:val="clear" w:color="auto" w:fill="auto"/>
            <w:vAlign w:val="center"/>
          </w:tcPr>
          <w:p w14:paraId="2875D515" w14:textId="77777777" w:rsidR="001370C7" w:rsidRPr="00BB59D8" w:rsidRDefault="001370C7" w:rsidP="004F1ADE">
            <w:pPr>
              <w:pStyle w:val="TableText0"/>
              <w:keepNext w:val="0"/>
              <w:widowControl w:val="0"/>
            </w:pPr>
            <w:r w:rsidRPr="00BB59D8">
              <w:t>Not used</w:t>
            </w:r>
          </w:p>
        </w:tc>
      </w:tr>
    </w:tbl>
    <w:p w14:paraId="7D3A5103" w14:textId="77777777" w:rsidR="00A668F8" w:rsidRPr="00BB59D8" w:rsidRDefault="00A668F8" w:rsidP="004F1ADE">
      <w:pPr>
        <w:pStyle w:val="TableFigureFooter"/>
        <w:widowControl w:val="0"/>
      </w:pPr>
      <w:r w:rsidRPr="00BB59D8">
        <w:t xml:space="preserve">EU-IGFD = European Increlex® Growth Forum Database; </w:t>
      </w:r>
      <w:r w:rsidR="00355734" w:rsidRPr="00BB59D8">
        <w:t xml:space="preserve">HSDS = height standard deviation score; </w:t>
      </w:r>
      <w:r w:rsidRPr="00BB59D8">
        <w:t>MC = multi-centre; OL = open label; R</w:t>
      </w:r>
      <w:r w:rsidR="00E231E4" w:rsidRPr="00BB59D8">
        <w:t> </w:t>
      </w:r>
      <w:r w:rsidRPr="00BB59D8">
        <w:t xml:space="preserve">= randomised; S = single-arm; </w:t>
      </w:r>
      <w:r w:rsidR="00355734" w:rsidRPr="00BB59D8">
        <w:t xml:space="preserve">SDS = standard deviation score; </w:t>
      </w:r>
      <w:r w:rsidRPr="00BB59D8">
        <w:t>PIGFD = primary insulin-like growth factor deficiency.</w:t>
      </w:r>
    </w:p>
    <w:p w14:paraId="4142E443" w14:textId="77777777" w:rsidR="00045017" w:rsidRPr="00BB59D8" w:rsidRDefault="00045017" w:rsidP="004F1ADE">
      <w:pPr>
        <w:pStyle w:val="TableFigureFooter"/>
        <w:widowControl w:val="0"/>
      </w:pPr>
      <w:r w:rsidRPr="00BB59D8">
        <w:t xml:space="preserve">Source: </w:t>
      </w:r>
      <w:r w:rsidR="00A668F8" w:rsidRPr="00BB59D8">
        <w:t>Table 2-8, p45 of the submission, Table 2-7, p44 of the submission; p47 of the submission; p48 of the submission; Table 3, p30 of 'Attachment 3c - EU-IGFD Registry CSR' of the submission; Table 2-9, p46 of the Submission.</w:t>
      </w:r>
    </w:p>
    <w:p w14:paraId="1676F2F8" w14:textId="7412D61C" w:rsidR="004F1ADE" w:rsidRPr="00BB59D8" w:rsidRDefault="007C6307" w:rsidP="004F1ADE">
      <w:pPr>
        <w:pStyle w:val="TableFigureFooter"/>
        <w:widowControl w:val="0"/>
      </w:pPr>
      <w:r w:rsidRPr="00BB59D8">
        <w:rPr>
          <w:vertAlign w:val="superscript"/>
        </w:rPr>
        <w:t>a</w:t>
      </w:r>
      <w:r w:rsidRPr="00BB59D8">
        <w:t xml:space="preserve"> Revised after the evaluation.</w:t>
      </w:r>
    </w:p>
    <w:p w14:paraId="6C53CFCF" w14:textId="77777777" w:rsidR="007C787A" w:rsidRPr="00BB59D8" w:rsidRDefault="00E231E4" w:rsidP="00B044E8">
      <w:pPr>
        <w:pStyle w:val="3-BodyText"/>
        <w:rPr>
          <w:color w:val="0066FF"/>
        </w:rPr>
      </w:pPr>
      <w:r w:rsidRPr="00BB59D8">
        <w:rPr>
          <w:iCs/>
        </w:rPr>
        <w:t xml:space="preserve">The </w:t>
      </w:r>
      <w:r w:rsidR="007C787A" w:rsidRPr="00BB59D8">
        <w:rPr>
          <w:iCs/>
        </w:rPr>
        <w:t xml:space="preserve">PBAC considered that </w:t>
      </w:r>
      <w:r w:rsidR="00FD3942" w:rsidRPr="00BB59D8">
        <w:rPr>
          <w:iCs/>
        </w:rPr>
        <w:t xml:space="preserve">Trial MS301 had a </w:t>
      </w:r>
      <w:r w:rsidR="007C787A" w:rsidRPr="00BB59D8">
        <w:rPr>
          <w:iCs/>
        </w:rPr>
        <w:t xml:space="preserve">moderate </w:t>
      </w:r>
      <w:r w:rsidR="00FD3942" w:rsidRPr="00BB59D8">
        <w:rPr>
          <w:iCs/>
        </w:rPr>
        <w:t>risk of</w:t>
      </w:r>
      <w:r w:rsidR="00575308" w:rsidRPr="00BB59D8">
        <w:rPr>
          <w:iCs/>
        </w:rPr>
        <w:t xml:space="preserve"> </w:t>
      </w:r>
      <w:r w:rsidR="00FD3942" w:rsidRPr="00BB59D8">
        <w:rPr>
          <w:iCs/>
        </w:rPr>
        <w:t xml:space="preserve">bias </w:t>
      </w:r>
      <w:r w:rsidR="00575308" w:rsidRPr="00BB59D8">
        <w:rPr>
          <w:iCs/>
        </w:rPr>
        <w:t xml:space="preserve">because the trial was open-label, however the risk of bias was not considered high </w:t>
      </w:r>
      <w:r w:rsidR="00FE1EDE" w:rsidRPr="00BB59D8">
        <w:rPr>
          <w:iCs/>
        </w:rPr>
        <w:t>because</w:t>
      </w:r>
      <w:r w:rsidR="00575308" w:rsidRPr="00BB59D8">
        <w:rPr>
          <w:iCs/>
        </w:rPr>
        <w:t xml:space="preserve"> outcome measures relied on an objective </w:t>
      </w:r>
      <w:r w:rsidR="00B044E8" w:rsidRPr="00BB59D8">
        <w:rPr>
          <w:iCs/>
        </w:rPr>
        <w:t>outcome</w:t>
      </w:r>
      <w:r w:rsidR="00575308" w:rsidRPr="00BB59D8">
        <w:rPr>
          <w:iCs/>
        </w:rPr>
        <w:t xml:space="preserve"> (</w:t>
      </w:r>
      <w:r w:rsidR="00B044E8" w:rsidRPr="00BB59D8">
        <w:rPr>
          <w:iCs/>
        </w:rPr>
        <w:t xml:space="preserve">patient </w:t>
      </w:r>
      <w:r w:rsidR="00575308" w:rsidRPr="00BB59D8">
        <w:rPr>
          <w:iCs/>
        </w:rPr>
        <w:t>height).</w:t>
      </w:r>
      <w:r w:rsidR="00FD3942" w:rsidRPr="00BB59D8">
        <w:rPr>
          <w:iCs/>
        </w:rPr>
        <w:t xml:space="preserve"> </w:t>
      </w:r>
    </w:p>
    <w:p w14:paraId="66582F7C" w14:textId="21AF0F75" w:rsidR="00FD3942" w:rsidRPr="00BB59D8" w:rsidRDefault="00FD3942" w:rsidP="00FD3942">
      <w:pPr>
        <w:pStyle w:val="3-BodyText"/>
        <w:rPr>
          <w:color w:val="0066FF"/>
        </w:rPr>
      </w:pPr>
      <w:r w:rsidRPr="00BB59D8" w:rsidDel="00E306EF">
        <w:rPr>
          <w:iCs/>
        </w:rPr>
        <w:t xml:space="preserve">Study 1419 and the EU-IGFD </w:t>
      </w:r>
      <w:r w:rsidR="008B3751" w:rsidRPr="00BB59D8">
        <w:rPr>
          <w:iCs/>
        </w:rPr>
        <w:t>R</w:t>
      </w:r>
      <w:r w:rsidRPr="00BB59D8" w:rsidDel="00E306EF">
        <w:rPr>
          <w:iCs/>
        </w:rPr>
        <w:t>egistr</w:t>
      </w:r>
      <w:r w:rsidRPr="00BB59D8">
        <w:rPr>
          <w:iCs/>
        </w:rPr>
        <w:t>y</w:t>
      </w:r>
      <w:r w:rsidRPr="00BB59D8" w:rsidDel="00E306EF">
        <w:rPr>
          <w:iCs/>
        </w:rPr>
        <w:t xml:space="preserve"> </w:t>
      </w:r>
      <w:r w:rsidRPr="00BB59D8">
        <w:rPr>
          <w:iCs/>
        </w:rPr>
        <w:t>had</w:t>
      </w:r>
      <w:r w:rsidRPr="00BB59D8" w:rsidDel="00E306EF">
        <w:rPr>
          <w:iCs/>
        </w:rPr>
        <w:t xml:space="preserve"> a serious risk of bias </w:t>
      </w:r>
      <w:r w:rsidRPr="00BB59D8">
        <w:rPr>
          <w:iCs/>
        </w:rPr>
        <w:t>according to the ROBINS</w:t>
      </w:r>
      <w:r w:rsidRPr="00BB59D8">
        <w:rPr>
          <w:iCs/>
        </w:rPr>
        <w:noBreakHyphen/>
        <w:t xml:space="preserve">1 tool </w:t>
      </w:r>
      <w:r w:rsidRPr="00BB59D8" w:rsidDel="00E306EF">
        <w:rPr>
          <w:iCs/>
        </w:rPr>
        <w:t>as each</w:t>
      </w:r>
      <w:r w:rsidRPr="00BB59D8">
        <w:rPr>
          <w:iCs/>
        </w:rPr>
        <w:t xml:space="preserve"> study</w:t>
      </w:r>
      <w:r w:rsidRPr="00BB59D8" w:rsidDel="00E306EF">
        <w:rPr>
          <w:iCs/>
        </w:rPr>
        <w:t xml:space="preserve"> had at least one domain with a serious risk of bias</w:t>
      </w:r>
      <w:r w:rsidRPr="00BB59D8">
        <w:rPr>
          <w:iCs/>
        </w:rPr>
        <w:t>. Bias due to missing data was considered serious for Study 1419 and the EU-IGFD Registry, as withdrawal was significant (30/91 patients were lost to follow-up in Study 1419, and 46/281 in EU-IGFD</w:t>
      </w:r>
      <w:r w:rsidR="008B3751" w:rsidRPr="00BB59D8">
        <w:rPr>
          <w:iCs/>
        </w:rPr>
        <w:t xml:space="preserve"> Registry</w:t>
      </w:r>
      <w:r w:rsidRPr="00BB59D8">
        <w:rPr>
          <w:iCs/>
        </w:rPr>
        <w:t>), and no imputation was performed for these patients. Other domains were deemed as low risk. T</w:t>
      </w:r>
      <w:r w:rsidRPr="00BB59D8" w:rsidDel="00E306EF">
        <w:rPr>
          <w:iCs/>
        </w:rPr>
        <w:t xml:space="preserve">he Polish Study </w:t>
      </w:r>
      <w:r w:rsidRPr="00BB59D8">
        <w:rPr>
          <w:iCs/>
        </w:rPr>
        <w:t>had</w:t>
      </w:r>
      <w:r w:rsidRPr="00BB59D8" w:rsidDel="00E306EF">
        <w:rPr>
          <w:iCs/>
        </w:rPr>
        <w:t xml:space="preserve"> a moderate risk of </w:t>
      </w:r>
      <w:bookmarkStart w:id="19" w:name="_Hlk79673479"/>
      <w:r w:rsidRPr="00BB59D8" w:rsidDel="00E306EF">
        <w:rPr>
          <w:iCs/>
        </w:rPr>
        <w:t>bias</w:t>
      </w:r>
      <w:r w:rsidRPr="00BB59D8">
        <w:rPr>
          <w:iCs/>
        </w:rPr>
        <w:t xml:space="preserve"> </w:t>
      </w:r>
      <w:r w:rsidRPr="00BB59D8">
        <w:t>due to the open-label design, which might bias</w:t>
      </w:r>
      <w:r w:rsidR="003C1F77" w:rsidRPr="00BB59D8">
        <w:t xml:space="preserve"> height</w:t>
      </w:r>
      <w:r w:rsidRPr="00BB59D8">
        <w:t xml:space="preserve"> measur</w:t>
      </w:r>
      <w:r w:rsidR="00595F6F" w:rsidRPr="00BB59D8">
        <w:t>e</w:t>
      </w:r>
      <w:r w:rsidRPr="00BB59D8">
        <w:t>ment</w:t>
      </w:r>
      <w:bookmarkEnd w:id="19"/>
      <w:r w:rsidRPr="00BB59D8" w:rsidDel="00E306EF">
        <w:rPr>
          <w:iCs/>
        </w:rPr>
        <w:t>.</w:t>
      </w:r>
      <w:r w:rsidRPr="00BB59D8">
        <w:rPr>
          <w:iCs/>
        </w:rPr>
        <w:t xml:space="preserve"> </w:t>
      </w:r>
    </w:p>
    <w:p w14:paraId="6022887A" w14:textId="77777777" w:rsidR="00F6355A" w:rsidRPr="00BB59D8" w:rsidRDefault="00F6355A" w:rsidP="00CD4A0D">
      <w:pPr>
        <w:pStyle w:val="3-BodyText"/>
        <w:rPr>
          <w:iCs/>
        </w:rPr>
      </w:pPr>
      <w:r w:rsidRPr="00BB59D8">
        <w:rPr>
          <w:iCs/>
        </w:rPr>
        <w:t>The population in the trial and studies differed from the proposed PBS restriction:</w:t>
      </w:r>
    </w:p>
    <w:p w14:paraId="27DAA7C2" w14:textId="77777777" w:rsidR="0095484E" w:rsidRPr="00BB59D8" w:rsidRDefault="0095484E" w:rsidP="00C862ED">
      <w:pPr>
        <w:pStyle w:val="ListParagraph"/>
        <w:numPr>
          <w:ilvl w:val="0"/>
          <w:numId w:val="9"/>
        </w:numPr>
        <w:ind w:left="1077" w:hanging="357"/>
      </w:pPr>
      <w:r w:rsidRPr="00BB59D8">
        <w:t>Trial MS301 included patients with HSDS &lt;-2.0, IGF-1</w:t>
      </w:r>
      <w:r w:rsidR="00CE65B6" w:rsidRPr="00BB59D8">
        <w:t xml:space="preserve"> standard deviation (SD)</w:t>
      </w:r>
      <w:r w:rsidRPr="00BB59D8">
        <w:t xml:space="preserve"> score</w:t>
      </w:r>
      <w:r w:rsidR="00742EB9" w:rsidRPr="00BB59D8">
        <w:br/>
        <w:t>&lt;</w:t>
      </w:r>
      <w:r w:rsidR="00742EB9" w:rsidRPr="00BB59D8">
        <w:noBreakHyphen/>
      </w:r>
      <w:r w:rsidRPr="00BB59D8">
        <w:t>2.0, patients aged 3-12 years, bone age ≤11 years for girls and ≤12 years for boys, pre-pubertal stage 2 or less, GH sufficiency and adequate nutrition. Patients with Laron Syndrome or GH gene deletion were excluded. The impact of excluding these patients is uncertain. Trial MS301 eligibility criteria differ</w:t>
      </w:r>
      <w:r w:rsidRPr="00BB59D8">
        <w:rPr>
          <w:iCs/>
        </w:rPr>
        <w:t xml:space="preserve"> from the proposed PBS restriction. The proposed PBS restriction included HSDS &lt;-3.0 and different criteria </w:t>
      </w:r>
      <w:r w:rsidRPr="00C862ED">
        <w:t>for growth rate (height velocity less than the 25th percentile for bone age based on two measurements over 12 months) and IGF-1 levels (IGF-1 levels below the 2.5th percentile for age and gender). The mean baseline HSDS in Trial MS301 was -2.8 (max -1.7), which suggests that a large proportion of patients in the trial did not satisfy the PBS restriction</w:t>
      </w:r>
      <w:r w:rsidR="00E07489" w:rsidRPr="00C862ED">
        <w:t xml:space="preserve"> and neither would they be eligible for treatment according</w:t>
      </w:r>
      <w:r w:rsidR="00C51384" w:rsidRPr="00C862ED">
        <w:t xml:space="preserve"> to</w:t>
      </w:r>
      <w:r w:rsidR="00E07489" w:rsidRPr="00C862ED">
        <w:t xml:space="preserve"> the TGA-approved indication</w:t>
      </w:r>
      <w:r w:rsidRPr="00C862ED">
        <w:t xml:space="preserve">. </w:t>
      </w:r>
    </w:p>
    <w:p w14:paraId="0A62857C" w14:textId="77777777" w:rsidR="00EA2A40" w:rsidRPr="00BB59D8" w:rsidRDefault="00DF1746" w:rsidP="00C862ED">
      <w:pPr>
        <w:pStyle w:val="ListParagraph"/>
        <w:numPr>
          <w:ilvl w:val="0"/>
          <w:numId w:val="9"/>
        </w:numPr>
        <w:ind w:left="1077" w:hanging="357"/>
      </w:pPr>
      <w:r w:rsidRPr="00BB59D8">
        <w:t xml:space="preserve">Study 1419 included patients with HSDS &lt;-2.0 for age and sex, growth rate &lt;50th percentile for age and sex, IGF-1 SD score &lt;-2.0, age &gt; 18 months, diagnosis of growth hormone insensitivity syndrome (GHIS) caused by Laron syndrome or GH gene-deletion type. </w:t>
      </w:r>
      <w:r w:rsidR="00482562" w:rsidRPr="00BB59D8">
        <w:t xml:space="preserve">The </w:t>
      </w:r>
      <w:r w:rsidRPr="00BB59D8">
        <w:t>Study 1419 eligibility criteria differ</w:t>
      </w:r>
      <w:r w:rsidR="00F6355A" w:rsidRPr="00BB59D8">
        <w:t>ed</w:t>
      </w:r>
      <w:r w:rsidRPr="00BB59D8">
        <w:t xml:space="preserve"> from the proposed PBS restriction. The proposed PBS restriction include</w:t>
      </w:r>
      <w:r w:rsidR="00F6355A" w:rsidRPr="00BB59D8">
        <w:t>d</w:t>
      </w:r>
      <w:r w:rsidRPr="00BB59D8">
        <w:t xml:space="preserve"> HSDS &lt;-3.0 and different criteria for growth rate (height velocity less than the 25th percentile for bone age based on two measurements over 12 months) and IGF-1 levels (IGF-1 levels below the 2.5th percentile for age and gender). </w:t>
      </w:r>
      <w:r w:rsidRPr="00C862ED">
        <w:t xml:space="preserve">However, the mean baseline HSDS in Study 1419 was -6.9 (max -2.8), </w:t>
      </w:r>
      <w:r w:rsidR="00482562" w:rsidRPr="00C862ED">
        <w:t>consistent with</w:t>
      </w:r>
      <w:r w:rsidRPr="00C862ED">
        <w:t xml:space="preserve"> the proposed PBS restriction</w:t>
      </w:r>
      <w:r w:rsidRPr="00BB59D8">
        <w:t>.</w:t>
      </w:r>
    </w:p>
    <w:p w14:paraId="00A7AEE2" w14:textId="77777777" w:rsidR="00CD4A0D" w:rsidRPr="00BB59D8" w:rsidRDefault="00EA2A40" w:rsidP="00C862ED">
      <w:pPr>
        <w:pStyle w:val="ListParagraph"/>
        <w:numPr>
          <w:ilvl w:val="0"/>
          <w:numId w:val="9"/>
        </w:numPr>
        <w:ind w:left="1077" w:hanging="357"/>
      </w:pPr>
      <w:r w:rsidRPr="00BB59D8">
        <w:t>The EU-IGFD Registry included all subjects starting mecasermin therapy for growth retardation and subjects previously treated with mecasermin prescribed by a participating qualified practitioner with informed consent for Registry activities.</w:t>
      </w:r>
      <w:r w:rsidR="00BF165B" w:rsidRPr="00BB59D8">
        <w:t xml:space="preserve"> </w:t>
      </w:r>
      <w:bookmarkStart w:id="20" w:name="_Hlk79992147"/>
      <w:r w:rsidR="00BF165B" w:rsidRPr="00C862ED">
        <w:t>Specific criteria such as HSDS, height velocity, IGF-1 levels, GH sufficiency, or secondary causes of SPIGFD were not included.</w:t>
      </w:r>
      <w:bookmarkEnd w:id="20"/>
    </w:p>
    <w:p w14:paraId="3BECB67F" w14:textId="77777777" w:rsidR="00EA2A40" w:rsidRPr="00BB59D8" w:rsidRDefault="00EA2A40" w:rsidP="00C862ED">
      <w:pPr>
        <w:pStyle w:val="ListParagraph"/>
        <w:numPr>
          <w:ilvl w:val="0"/>
          <w:numId w:val="9"/>
        </w:numPr>
        <w:ind w:left="1077" w:hanging="357"/>
      </w:pPr>
      <w:r w:rsidRPr="00BB59D8">
        <w:t xml:space="preserve">The Polish study included patients with HSDS &lt;-3.0 and IGF-1 concentration below percentile 2.5 with normal GH levels. </w:t>
      </w:r>
      <w:bookmarkStart w:id="21" w:name="_Hlk79992157"/>
      <w:r w:rsidRPr="00C862ED">
        <w:t>This did not include height velocity</w:t>
      </w:r>
      <w:r w:rsidR="00BF165B" w:rsidRPr="00C862ED">
        <w:t xml:space="preserve"> or exclusion of secondary causes of SPIGFD. HSDS, IGF-1 levels and GH criterion were</w:t>
      </w:r>
      <w:r w:rsidRPr="00C862ED">
        <w:t xml:space="preserve"> consistent with the PBS restriction</w:t>
      </w:r>
      <w:r w:rsidR="00BF165B" w:rsidRPr="00C862ED">
        <w:t>.</w:t>
      </w:r>
      <w:bookmarkEnd w:id="21"/>
    </w:p>
    <w:p w14:paraId="0321E7EE" w14:textId="77777777" w:rsidR="00DF1746" w:rsidRPr="00BB59D8" w:rsidRDefault="00F04CB3" w:rsidP="00C862ED">
      <w:pPr>
        <w:pStyle w:val="ListParagraph"/>
        <w:numPr>
          <w:ilvl w:val="0"/>
          <w:numId w:val="9"/>
        </w:numPr>
        <w:ind w:left="1077" w:hanging="357"/>
      </w:pPr>
      <w:bookmarkStart w:id="22" w:name="_Hlk79407816"/>
      <w:r w:rsidRPr="00BB59D8">
        <w:t xml:space="preserve">Fifteen percent of patients in the EU-IGFD Registry had Laron syndrome, whereas 89% </w:t>
      </w:r>
      <w:r w:rsidR="00F6355A" w:rsidRPr="00BB59D8">
        <w:t xml:space="preserve">had Laron syndrome </w:t>
      </w:r>
      <w:r w:rsidRPr="00BB59D8">
        <w:t>in Study 1419. The implications of this are uncertain.</w:t>
      </w:r>
      <w:bookmarkEnd w:id="22"/>
    </w:p>
    <w:p w14:paraId="46CB4078" w14:textId="77777777" w:rsidR="008E0E72" w:rsidRPr="00BB59D8" w:rsidRDefault="00E33CAB" w:rsidP="00FD3942">
      <w:pPr>
        <w:pStyle w:val="3-BodyText"/>
        <w:rPr>
          <w:iCs/>
        </w:rPr>
      </w:pPr>
      <w:r w:rsidRPr="00BB59D8">
        <w:rPr>
          <w:iCs/>
        </w:rPr>
        <w:t>A</w:t>
      </w:r>
      <w:r w:rsidR="00E306EF" w:rsidRPr="00BB59D8">
        <w:rPr>
          <w:iCs/>
        </w:rPr>
        <w:t xml:space="preserve"> sub-group</w:t>
      </w:r>
      <w:r w:rsidRPr="00BB59D8">
        <w:rPr>
          <w:iCs/>
        </w:rPr>
        <w:t xml:space="preserve"> analysis considering only patients with HSDS &lt;-3.0 was not presented, particularly for Trial MS301 that had a mean (SD) HSDS of -2.8 (0.7). </w:t>
      </w:r>
      <w:r w:rsidR="001F38D9" w:rsidRPr="00BB59D8">
        <w:rPr>
          <w:iCs/>
        </w:rPr>
        <w:t xml:space="preserve">A sub-group analysis </w:t>
      </w:r>
      <w:r w:rsidRPr="00BB59D8">
        <w:rPr>
          <w:iCs/>
        </w:rPr>
        <w:t>would be in line with the requested PBS restriction</w:t>
      </w:r>
      <w:r w:rsidR="006E478D" w:rsidRPr="00BB59D8">
        <w:rPr>
          <w:iCs/>
        </w:rPr>
        <w:t>.</w:t>
      </w:r>
    </w:p>
    <w:p w14:paraId="7E751F79" w14:textId="77777777" w:rsidR="007B0891" w:rsidRPr="00BB59D8" w:rsidRDefault="008E0E72" w:rsidP="00646E0D">
      <w:pPr>
        <w:pStyle w:val="3-BodyText"/>
        <w:rPr>
          <w:color w:val="0066FF"/>
        </w:rPr>
      </w:pPr>
      <w:r w:rsidRPr="00BB59D8">
        <w:rPr>
          <w:iCs/>
        </w:rPr>
        <w:t>The sample size of Trial MS301 was small (n=136), and follow-up at one year was very limited relative to the duration over which patients would be treated (up to 16 years).</w:t>
      </w:r>
    </w:p>
    <w:p w14:paraId="6E455AAB" w14:textId="6B0D6030" w:rsidR="005C0685" w:rsidRPr="00BB59D8" w:rsidRDefault="00C40CB2" w:rsidP="00DF7ADF">
      <w:pPr>
        <w:pStyle w:val="3-BodyText"/>
        <w:autoSpaceDE w:val="0"/>
        <w:autoSpaceDN w:val="0"/>
        <w:adjustRightInd w:val="0"/>
        <w:rPr>
          <w:rFonts w:cs="Calibri"/>
          <w:color w:val="000000"/>
        </w:rPr>
      </w:pPr>
      <w:r w:rsidRPr="00BB59D8">
        <w:rPr>
          <w:iCs/>
        </w:rPr>
        <w:t xml:space="preserve">The pre-PBAC response also acknowledged that limited data are available beyond the key efficacy evidence that was included in the submission which was derived from registration trials that used height velocity as the primary outcome variable. </w:t>
      </w:r>
      <w:r w:rsidR="009211AD" w:rsidRPr="00BB59D8">
        <w:rPr>
          <w:iCs/>
        </w:rPr>
        <w:t>W</w:t>
      </w:r>
      <w:r w:rsidR="009211AD" w:rsidRPr="00BB59D8">
        <w:t>ith regard to treatment benefits other than height,</w:t>
      </w:r>
      <w:r w:rsidR="009211AD" w:rsidRPr="00BB59D8">
        <w:rPr>
          <w:color w:val="0066FF"/>
        </w:rPr>
        <w:t xml:space="preserve"> </w:t>
      </w:r>
      <w:r w:rsidR="009211AD" w:rsidRPr="00BB59D8">
        <w:rPr>
          <w:iCs/>
        </w:rPr>
        <w:t>the pre-PBAC response described the presentation of children with SPIGFD and described negative social impacts associated with the condition, which may be experienced in childhood and throughout adult life</w:t>
      </w:r>
      <w:r w:rsidRPr="00BB59D8">
        <w:rPr>
          <w:iCs/>
        </w:rPr>
        <w:t xml:space="preserve">. </w:t>
      </w:r>
      <w:r w:rsidR="009211AD" w:rsidRPr="00BB59D8">
        <w:rPr>
          <w:iCs/>
        </w:rPr>
        <w:t>The pre-PBAC response</w:t>
      </w:r>
      <w:r w:rsidRPr="00BB59D8">
        <w:rPr>
          <w:iCs/>
        </w:rPr>
        <w:t xml:space="preserve"> </w:t>
      </w:r>
      <w:r w:rsidR="009211AD" w:rsidRPr="00BB59D8">
        <w:rPr>
          <w:iCs/>
        </w:rPr>
        <w:t>also referred to treatment benefit</w:t>
      </w:r>
      <w:r w:rsidRPr="00BB59D8">
        <w:rPr>
          <w:iCs/>
        </w:rPr>
        <w:t>s</w:t>
      </w:r>
      <w:r w:rsidR="009211AD" w:rsidRPr="00BB59D8">
        <w:rPr>
          <w:iCs/>
        </w:rPr>
        <w:t xml:space="preserve"> beyond growth velocity</w:t>
      </w:r>
      <w:r w:rsidRPr="00BB59D8">
        <w:rPr>
          <w:iCs/>
        </w:rPr>
        <w:t xml:space="preserve"> </w:t>
      </w:r>
      <w:r w:rsidR="009211AD" w:rsidRPr="00BB59D8">
        <w:rPr>
          <w:iCs/>
        </w:rPr>
        <w:t>including bone maturation, organ growth, metabolic risks such as obesity and hypercholesterolemia, hypoglycaemia and hyperglycaemia, and psychosocial wellbeing.</w:t>
      </w:r>
    </w:p>
    <w:p w14:paraId="75B439BE" w14:textId="77777777" w:rsidR="00B60939" w:rsidRPr="00BB59D8" w:rsidRDefault="00B60939" w:rsidP="00EC5836">
      <w:pPr>
        <w:pStyle w:val="4-SubsectionHeading"/>
      </w:pPr>
      <w:bookmarkStart w:id="23" w:name="_Toc22897641"/>
      <w:bookmarkStart w:id="24" w:name="_Toc82536426"/>
      <w:r w:rsidRPr="00BB59D8">
        <w:t>Comparative effectiveness</w:t>
      </w:r>
      <w:bookmarkEnd w:id="23"/>
      <w:bookmarkEnd w:id="24"/>
    </w:p>
    <w:p w14:paraId="1E183652" w14:textId="77777777" w:rsidR="00247925" w:rsidRPr="00BB59D8" w:rsidRDefault="00937FCC" w:rsidP="002B2421">
      <w:pPr>
        <w:pStyle w:val="3-BodyText"/>
      </w:pPr>
      <w:r w:rsidRPr="00BB59D8">
        <w:t xml:space="preserve">Effectiveness results for the primary outcome </w:t>
      </w:r>
      <w:r w:rsidR="00C12D53" w:rsidRPr="00BB59D8">
        <w:t>(</w:t>
      </w:r>
      <w:r w:rsidRPr="00BB59D8">
        <w:t>height velocity</w:t>
      </w:r>
      <w:r w:rsidR="00C12D53" w:rsidRPr="00BB59D8">
        <w:t>)</w:t>
      </w:r>
      <w:r w:rsidRPr="00BB59D8">
        <w:t xml:space="preserve"> for</w:t>
      </w:r>
      <w:r w:rsidR="001370C7" w:rsidRPr="00BB59D8">
        <w:t xml:space="preserve"> Trial MS301 is presented in Table 4 a</w:t>
      </w:r>
      <w:r w:rsidR="00595F6F" w:rsidRPr="00BB59D8">
        <w:t>n</w:t>
      </w:r>
      <w:r w:rsidR="001370C7" w:rsidRPr="00BB59D8">
        <w:t>d</w:t>
      </w:r>
      <w:r w:rsidRPr="00BB59D8">
        <w:t xml:space="preserve"> </w:t>
      </w:r>
      <w:r w:rsidR="00FF4E00" w:rsidRPr="00BB59D8">
        <w:t xml:space="preserve">for the </w:t>
      </w:r>
      <w:r w:rsidRPr="00BB59D8">
        <w:t xml:space="preserve">single-arm studies are presented in Table </w:t>
      </w:r>
      <w:r w:rsidR="001370C7" w:rsidRPr="00BB59D8">
        <w:t>5</w:t>
      </w:r>
      <w:r w:rsidRPr="00BB59D8">
        <w:t>.</w:t>
      </w:r>
      <w:r w:rsidR="00E22868" w:rsidRPr="00BB59D8">
        <w:t xml:space="preserve"> </w:t>
      </w:r>
      <w:r w:rsidR="00E22868" w:rsidRPr="00BB59D8">
        <w:rPr>
          <w:iCs/>
          <w:snapToGrid/>
        </w:rPr>
        <w:t>The submission did not indicate what difference in height velocity was considered to be clinically meaningful.</w:t>
      </w:r>
      <w:r w:rsidR="00E22868" w:rsidRPr="00BB59D8">
        <w:rPr>
          <w:snapToGrid/>
        </w:rPr>
        <w:t> </w:t>
      </w:r>
      <w:r w:rsidR="00597D91" w:rsidRPr="00BB59D8">
        <w:rPr>
          <w:iCs/>
          <w:snapToGrid/>
        </w:rPr>
        <w:t xml:space="preserve">However, Bang 2021 defined responders to mecasermin </w:t>
      </w:r>
      <w:r w:rsidR="00294757" w:rsidRPr="00BB59D8">
        <w:rPr>
          <w:iCs/>
          <w:snapToGrid/>
        </w:rPr>
        <w:t>if</w:t>
      </w:r>
      <w:r w:rsidR="00597D91" w:rsidRPr="00BB59D8">
        <w:rPr>
          <w:iCs/>
          <w:snapToGrid/>
        </w:rPr>
        <w:t xml:space="preserve"> a change in HSDS in year one of </w:t>
      </w:r>
      <w:r w:rsidR="00597D91" w:rsidRPr="00BB59D8">
        <w:rPr>
          <w:rFonts w:cstheme="minorHAnsi"/>
          <w:iCs/>
          <w:snapToGrid/>
        </w:rPr>
        <w:t>≥</w:t>
      </w:r>
      <w:r w:rsidR="00597D91" w:rsidRPr="00BB59D8">
        <w:rPr>
          <w:iCs/>
          <w:snapToGrid/>
        </w:rPr>
        <w:t>0.3</w:t>
      </w:r>
      <w:r w:rsidR="00294757" w:rsidRPr="00BB59D8">
        <w:rPr>
          <w:iCs/>
          <w:snapToGrid/>
        </w:rPr>
        <w:t xml:space="preserve"> was observed</w:t>
      </w:r>
      <w:r w:rsidR="00597D91" w:rsidRPr="00BB59D8">
        <w:rPr>
          <w:iCs/>
          <w:snapToGrid/>
        </w:rPr>
        <w:t xml:space="preserve">. </w:t>
      </w:r>
    </w:p>
    <w:p w14:paraId="21E8AADA" w14:textId="77777777" w:rsidR="001370C7" w:rsidRPr="00BB59D8" w:rsidRDefault="001370C7" w:rsidP="002B2421">
      <w:pPr>
        <w:pStyle w:val="TableFigureHeading"/>
        <w:rPr>
          <w:rStyle w:val="CommentReference"/>
          <w:b/>
          <w:szCs w:val="24"/>
        </w:rPr>
      </w:pPr>
      <w:bookmarkStart w:id="25" w:name="_Toc51332515"/>
      <w:bookmarkStart w:id="26" w:name="_Toc76050371"/>
      <w:r w:rsidRPr="00BB59D8">
        <w:rPr>
          <w:rStyle w:val="CaptionChar"/>
          <w:b/>
          <w:color w:val="auto"/>
          <w:sz w:val="20"/>
          <w:szCs w:val="24"/>
          <w:lang w:eastAsia="en-AU"/>
        </w:rPr>
        <w:t>Table 4: Height velocity (cm/year) during the first year of treatment, Trial MS301, ITT population</w:t>
      </w:r>
      <w:bookmarkEnd w:id="25"/>
      <w:bookmarkEnd w:id="26"/>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Height velocity (cm/year) during the first year of treatment, Trial MS301, ITT population"/>
      </w:tblPr>
      <w:tblGrid>
        <w:gridCol w:w="1616"/>
        <w:gridCol w:w="2490"/>
        <w:gridCol w:w="1508"/>
        <w:gridCol w:w="1701"/>
        <w:gridCol w:w="1702"/>
      </w:tblGrid>
      <w:tr w:rsidR="001370C7" w:rsidRPr="00BB59D8" w14:paraId="557B9A6A" w14:textId="77777777" w:rsidTr="00524700">
        <w:trPr>
          <w:tblHeader/>
        </w:trPr>
        <w:tc>
          <w:tcPr>
            <w:tcW w:w="2277" w:type="pct"/>
            <w:gridSpan w:val="2"/>
            <w:vAlign w:val="center"/>
          </w:tcPr>
          <w:p w14:paraId="75EF3679" w14:textId="77777777" w:rsidR="001370C7" w:rsidRPr="00BB59D8" w:rsidRDefault="001370C7" w:rsidP="00524700">
            <w:pPr>
              <w:pStyle w:val="Tabletext"/>
              <w:keepNext/>
            </w:pPr>
          </w:p>
        </w:tc>
        <w:tc>
          <w:tcPr>
            <w:tcW w:w="836" w:type="pct"/>
            <w:vAlign w:val="center"/>
          </w:tcPr>
          <w:p w14:paraId="7509B285" w14:textId="77777777" w:rsidR="001370C7" w:rsidRPr="00BB59D8" w:rsidRDefault="001370C7" w:rsidP="00524700">
            <w:pPr>
              <w:pStyle w:val="Tabletext"/>
              <w:keepNext/>
              <w:rPr>
                <w:b/>
                <w:bCs/>
              </w:rPr>
            </w:pPr>
            <w:r w:rsidRPr="00BB59D8">
              <w:rPr>
                <w:b/>
                <w:bCs/>
              </w:rPr>
              <w:t>Untreated control</w:t>
            </w:r>
          </w:p>
          <w:p w14:paraId="10128E2F" w14:textId="77777777" w:rsidR="001370C7" w:rsidRPr="00BB59D8" w:rsidRDefault="001370C7" w:rsidP="00524700">
            <w:pPr>
              <w:pStyle w:val="Tabletext"/>
              <w:keepNext/>
              <w:rPr>
                <w:b/>
                <w:bCs/>
              </w:rPr>
            </w:pPr>
            <w:r w:rsidRPr="00BB59D8">
              <w:rPr>
                <w:b/>
                <w:bCs/>
              </w:rPr>
              <w:t>N=22</w:t>
            </w:r>
          </w:p>
        </w:tc>
        <w:tc>
          <w:tcPr>
            <w:tcW w:w="943" w:type="pct"/>
            <w:vAlign w:val="center"/>
          </w:tcPr>
          <w:p w14:paraId="32E549E9" w14:textId="77777777" w:rsidR="001370C7" w:rsidRPr="00BB59D8" w:rsidRDefault="001370C7" w:rsidP="00524700">
            <w:pPr>
              <w:pStyle w:val="Tabletext"/>
              <w:keepNext/>
              <w:rPr>
                <w:b/>
                <w:bCs/>
              </w:rPr>
            </w:pPr>
            <w:r w:rsidRPr="00BB59D8">
              <w:rPr>
                <w:b/>
                <w:bCs/>
              </w:rPr>
              <w:t>Mecasermin 80 µg/kg BID</w:t>
            </w:r>
          </w:p>
          <w:p w14:paraId="21514943" w14:textId="77777777" w:rsidR="001370C7" w:rsidRPr="00BB59D8" w:rsidRDefault="001370C7" w:rsidP="00524700">
            <w:pPr>
              <w:pStyle w:val="Tabletext"/>
              <w:keepNext/>
              <w:rPr>
                <w:b/>
                <w:bCs/>
              </w:rPr>
            </w:pPr>
            <w:r w:rsidRPr="00BB59D8">
              <w:rPr>
                <w:b/>
                <w:bCs/>
              </w:rPr>
              <w:t>N=42</w:t>
            </w:r>
          </w:p>
        </w:tc>
        <w:tc>
          <w:tcPr>
            <w:tcW w:w="944" w:type="pct"/>
            <w:vAlign w:val="center"/>
          </w:tcPr>
          <w:p w14:paraId="46744C1B" w14:textId="77777777" w:rsidR="001370C7" w:rsidRPr="00BB59D8" w:rsidRDefault="001370C7" w:rsidP="00524700">
            <w:pPr>
              <w:pStyle w:val="Tabletext"/>
              <w:keepNext/>
              <w:rPr>
                <w:b/>
                <w:bCs/>
              </w:rPr>
            </w:pPr>
            <w:r w:rsidRPr="00BB59D8">
              <w:rPr>
                <w:b/>
                <w:bCs/>
              </w:rPr>
              <w:t>Mecasermin 120 µg/kg BID</w:t>
            </w:r>
          </w:p>
          <w:p w14:paraId="76988D8F" w14:textId="77777777" w:rsidR="001370C7" w:rsidRPr="00BB59D8" w:rsidRDefault="001370C7" w:rsidP="00524700">
            <w:pPr>
              <w:pStyle w:val="Tabletext"/>
              <w:keepNext/>
              <w:rPr>
                <w:b/>
                <w:bCs/>
              </w:rPr>
            </w:pPr>
            <w:r w:rsidRPr="00BB59D8">
              <w:rPr>
                <w:b/>
                <w:bCs/>
              </w:rPr>
              <w:t>N=49</w:t>
            </w:r>
          </w:p>
        </w:tc>
      </w:tr>
      <w:tr w:rsidR="001370C7" w:rsidRPr="00BB59D8" w14:paraId="330B9002" w14:textId="77777777" w:rsidTr="00524700">
        <w:tc>
          <w:tcPr>
            <w:tcW w:w="896" w:type="pct"/>
            <w:vAlign w:val="center"/>
          </w:tcPr>
          <w:p w14:paraId="01DFAAE7" w14:textId="77777777" w:rsidR="001370C7" w:rsidRPr="00BB59D8" w:rsidRDefault="001370C7" w:rsidP="00524700">
            <w:pPr>
              <w:pStyle w:val="Tabletext"/>
              <w:keepNext/>
            </w:pPr>
            <w:r w:rsidRPr="00BB59D8">
              <w:t>Actual values</w:t>
            </w:r>
          </w:p>
        </w:tc>
        <w:tc>
          <w:tcPr>
            <w:tcW w:w="1381" w:type="pct"/>
            <w:vAlign w:val="center"/>
          </w:tcPr>
          <w:p w14:paraId="7CAC23F3" w14:textId="77777777" w:rsidR="001370C7" w:rsidRPr="00BB59D8" w:rsidRDefault="001370C7" w:rsidP="00524700">
            <w:pPr>
              <w:pStyle w:val="Tabletext"/>
              <w:keepNext/>
            </w:pPr>
            <w:r w:rsidRPr="00BB59D8">
              <w:t>Mean (SD)</w:t>
            </w:r>
          </w:p>
        </w:tc>
        <w:tc>
          <w:tcPr>
            <w:tcW w:w="836" w:type="pct"/>
            <w:vAlign w:val="center"/>
          </w:tcPr>
          <w:p w14:paraId="72EC1EC8" w14:textId="77777777" w:rsidR="001370C7" w:rsidRPr="00BB59D8" w:rsidRDefault="001370C7" w:rsidP="00524700">
            <w:pPr>
              <w:pStyle w:val="Tabletext"/>
              <w:keepNext/>
            </w:pPr>
            <w:r w:rsidRPr="00BB59D8">
              <w:t>5.2 (1.0)</w:t>
            </w:r>
          </w:p>
        </w:tc>
        <w:tc>
          <w:tcPr>
            <w:tcW w:w="943" w:type="pct"/>
            <w:vAlign w:val="center"/>
          </w:tcPr>
          <w:p w14:paraId="6765D903" w14:textId="77777777" w:rsidR="001370C7" w:rsidRPr="00BB59D8" w:rsidRDefault="001370C7" w:rsidP="00524700">
            <w:pPr>
              <w:pStyle w:val="Tabletext"/>
              <w:keepNext/>
            </w:pPr>
            <w:r w:rsidRPr="00BB59D8">
              <w:t>6.9 (1.0)</w:t>
            </w:r>
          </w:p>
        </w:tc>
        <w:tc>
          <w:tcPr>
            <w:tcW w:w="944" w:type="pct"/>
            <w:vAlign w:val="center"/>
          </w:tcPr>
          <w:p w14:paraId="494339C1" w14:textId="77777777" w:rsidR="001370C7" w:rsidRPr="00BB59D8" w:rsidRDefault="001370C7" w:rsidP="00524700">
            <w:pPr>
              <w:pStyle w:val="Tabletext"/>
              <w:keepNext/>
            </w:pPr>
            <w:r w:rsidRPr="00BB59D8">
              <w:t>7.7 (1.5)</w:t>
            </w:r>
          </w:p>
        </w:tc>
      </w:tr>
      <w:tr w:rsidR="001370C7" w:rsidRPr="00BB59D8" w14:paraId="54A99F5E" w14:textId="77777777" w:rsidTr="00524700">
        <w:trPr>
          <w:trHeight w:val="64"/>
        </w:trPr>
        <w:tc>
          <w:tcPr>
            <w:tcW w:w="896" w:type="pct"/>
            <w:vMerge w:val="restart"/>
            <w:vAlign w:val="center"/>
          </w:tcPr>
          <w:p w14:paraId="5DA06FF8" w14:textId="77777777" w:rsidR="001370C7" w:rsidRPr="00BB59D8" w:rsidRDefault="001370C7" w:rsidP="00524700">
            <w:pPr>
              <w:pStyle w:val="Tabletext"/>
              <w:keepNext/>
            </w:pPr>
            <w:r w:rsidRPr="00BB59D8">
              <w:t>Mecasermin vs untreated control</w:t>
            </w:r>
          </w:p>
        </w:tc>
        <w:tc>
          <w:tcPr>
            <w:tcW w:w="1381" w:type="pct"/>
            <w:vAlign w:val="center"/>
          </w:tcPr>
          <w:p w14:paraId="6EF475BA" w14:textId="77777777" w:rsidR="001370C7" w:rsidRPr="00BB59D8" w:rsidRDefault="001370C7" w:rsidP="00524700">
            <w:pPr>
              <w:pStyle w:val="Tabletext"/>
              <w:keepNext/>
            </w:pPr>
            <w:r w:rsidRPr="00BB59D8">
              <w:t>LS mean difference (95% CI)</w:t>
            </w:r>
          </w:p>
        </w:tc>
        <w:tc>
          <w:tcPr>
            <w:tcW w:w="836" w:type="pct"/>
            <w:vAlign w:val="center"/>
          </w:tcPr>
          <w:p w14:paraId="33554B58" w14:textId="77777777" w:rsidR="001370C7" w:rsidRPr="00BB59D8" w:rsidRDefault="001370C7" w:rsidP="00524700">
            <w:pPr>
              <w:pStyle w:val="Tabletext"/>
              <w:keepNext/>
            </w:pPr>
            <w:r w:rsidRPr="00BB59D8">
              <w:t>-</w:t>
            </w:r>
          </w:p>
        </w:tc>
        <w:tc>
          <w:tcPr>
            <w:tcW w:w="943" w:type="pct"/>
            <w:vAlign w:val="center"/>
          </w:tcPr>
          <w:p w14:paraId="6A3842A9" w14:textId="77777777" w:rsidR="001370C7" w:rsidRPr="00BB59D8" w:rsidRDefault="001370C7" w:rsidP="00524700">
            <w:pPr>
              <w:pStyle w:val="Tabletext"/>
              <w:keepNext/>
            </w:pPr>
            <w:r w:rsidRPr="00BB59D8">
              <w:t>1.79 (1.19, 2.39)</w:t>
            </w:r>
          </w:p>
        </w:tc>
        <w:tc>
          <w:tcPr>
            <w:tcW w:w="944" w:type="pct"/>
            <w:vAlign w:val="center"/>
          </w:tcPr>
          <w:p w14:paraId="0B62497B" w14:textId="77777777" w:rsidR="001370C7" w:rsidRPr="00BB59D8" w:rsidRDefault="001370C7" w:rsidP="00524700">
            <w:pPr>
              <w:pStyle w:val="Tabletext"/>
              <w:keepNext/>
            </w:pPr>
            <w:r w:rsidRPr="00BB59D8">
              <w:t>2.58 (1.99, 3.16)</w:t>
            </w:r>
          </w:p>
        </w:tc>
      </w:tr>
      <w:tr w:rsidR="001370C7" w:rsidRPr="00BB59D8" w14:paraId="4C149B2F" w14:textId="77777777" w:rsidTr="00524700">
        <w:trPr>
          <w:trHeight w:val="64"/>
        </w:trPr>
        <w:tc>
          <w:tcPr>
            <w:tcW w:w="896" w:type="pct"/>
            <w:vMerge/>
            <w:vAlign w:val="center"/>
          </w:tcPr>
          <w:p w14:paraId="0A53AF05" w14:textId="77777777" w:rsidR="001370C7" w:rsidRPr="00BB59D8" w:rsidRDefault="001370C7" w:rsidP="00524700">
            <w:pPr>
              <w:pStyle w:val="Tabletext"/>
              <w:keepNext/>
            </w:pPr>
          </w:p>
        </w:tc>
        <w:tc>
          <w:tcPr>
            <w:tcW w:w="1381" w:type="pct"/>
            <w:vAlign w:val="center"/>
          </w:tcPr>
          <w:p w14:paraId="476E0C70" w14:textId="77777777" w:rsidR="001370C7" w:rsidRPr="00BB59D8" w:rsidRDefault="001370C7" w:rsidP="00524700">
            <w:pPr>
              <w:pStyle w:val="Tabletext"/>
              <w:keepNext/>
            </w:pPr>
            <w:r w:rsidRPr="00BB59D8">
              <w:t>p-value</w:t>
            </w:r>
          </w:p>
        </w:tc>
        <w:tc>
          <w:tcPr>
            <w:tcW w:w="836" w:type="pct"/>
            <w:vAlign w:val="center"/>
          </w:tcPr>
          <w:p w14:paraId="63DFF250" w14:textId="77777777" w:rsidR="001370C7" w:rsidRPr="00BB59D8" w:rsidRDefault="001370C7" w:rsidP="00524700">
            <w:pPr>
              <w:pStyle w:val="Tabletext"/>
              <w:keepNext/>
            </w:pPr>
            <w:r w:rsidRPr="00BB59D8">
              <w:t>-</w:t>
            </w:r>
          </w:p>
        </w:tc>
        <w:tc>
          <w:tcPr>
            <w:tcW w:w="943" w:type="pct"/>
            <w:vAlign w:val="center"/>
          </w:tcPr>
          <w:p w14:paraId="215FC7CC" w14:textId="77777777" w:rsidR="001370C7" w:rsidRPr="00BB59D8" w:rsidRDefault="001370C7" w:rsidP="00524700">
            <w:pPr>
              <w:pStyle w:val="Tabletext"/>
              <w:keepNext/>
              <w:rPr>
                <w:b/>
                <w:bCs/>
              </w:rPr>
            </w:pPr>
            <w:r w:rsidRPr="00BB59D8">
              <w:rPr>
                <w:b/>
                <w:bCs/>
              </w:rPr>
              <w:t>&lt;0.0001</w:t>
            </w:r>
          </w:p>
        </w:tc>
        <w:tc>
          <w:tcPr>
            <w:tcW w:w="944" w:type="pct"/>
            <w:vAlign w:val="center"/>
          </w:tcPr>
          <w:p w14:paraId="7280A3B0" w14:textId="77777777" w:rsidR="001370C7" w:rsidRPr="00BB59D8" w:rsidRDefault="001370C7" w:rsidP="00524700">
            <w:pPr>
              <w:pStyle w:val="Tabletext"/>
              <w:keepNext/>
              <w:rPr>
                <w:b/>
                <w:bCs/>
              </w:rPr>
            </w:pPr>
            <w:r w:rsidRPr="00BB59D8">
              <w:rPr>
                <w:b/>
                <w:bCs/>
              </w:rPr>
              <w:t>&lt;0.0001</w:t>
            </w:r>
          </w:p>
        </w:tc>
      </w:tr>
      <w:tr w:rsidR="001370C7" w:rsidRPr="00BB59D8" w14:paraId="4B45BD2D" w14:textId="77777777" w:rsidTr="00524700">
        <w:tc>
          <w:tcPr>
            <w:tcW w:w="896" w:type="pct"/>
            <w:vMerge w:val="restart"/>
            <w:vAlign w:val="center"/>
          </w:tcPr>
          <w:p w14:paraId="4D924AD7" w14:textId="77777777" w:rsidR="001370C7" w:rsidRPr="00BB59D8" w:rsidRDefault="001370C7" w:rsidP="00524700">
            <w:pPr>
              <w:pStyle w:val="Tabletext"/>
              <w:keepNext/>
            </w:pPr>
            <w:r w:rsidRPr="00BB59D8">
              <w:t>Mecasermin 120 vs 80 µg/kg</w:t>
            </w:r>
          </w:p>
        </w:tc>
        <w:tc>
          <w:tcPr>
            <w:tcW w:w="1381" w:type="pct"/>
            <w:vAlign w:val="center"/>
          </w:tcPr>
          <w:p w14:paraId="004E021C" w14:textId="77777777" w:rsidR="001370C7" w:rsidRPr="00BB59D8" w:rsidRDefault="001370C7" w:rsidP="00524700">
            <w:pPr>
              <w:pStyle w:val="Tabletext"/>
              <w:keepNext/>
            </w:pPr>
            <w:r w:rsidRPr="00BB59D8">
              <w:t>LS mean difference (95% CI)</w:t>
            </w:r>
          </w:p>
        </w:tc>
        <w:tc>
          <w:tcPr>
            <w:tcW w:w="836" w:type="pct"/>
            <w:vAlign w:val="center"/>
          </w:tcPr>
          <w:p w14:paraId="4BB3A425" w14:textId="77777777" w:rsidR="001370C7" w:rsidRPr="00BB59D8" w:rsidRDefault="001370C7" w:rsidP="00524700">
            <w:pPr>
              <w:pStyle w:val="Tabletext"/>
              <w:keepNext/>
            </w:pPr>
            <w:r w:rsidRPr="00BB59D8">
              <w:t>-</w:t>
            </w:r>
          </w:p>
        </w:tc>
        <w:tc>
          <w:tcPr>
            <w:tcW w:w="943" w:type="pct"/>
            <w:vAlign w:val="center"/>
          </w:tcPr>
          <w:p w14:paraId="45ACED38" w14:textId="77777777" w:rsidR="001370C7" w:rsidRPr="00BB59D8" w:rsidRDefault="001370C7" w:rsidP="00524700">
            <w:pPr>
              <w:pStyle w:val="Tabletext"/>
              <w:keepNext/>
            </w:pPr>
            <w:r w:rsidRPr="00BB59D8">
              <w:t>-</w:t>
            </w:r>
          </w:p>
        </w:tc>
        <w:tc>
          <w:tcPr>
            <w:tcW w:w="944" w:type="pct"/>
            <w:vAlign w:val="center"/>
          </w:tcPr>
          <w:p w14:paraId="1615540A" w14:textId="77777777" w:rsidR="001370C7" w:rsidRPr="00BB59D8" w:rsidRDefault="001370C7" w:rsidP="00524700">
            <w:pPr>
              <w:pStyle w:val="Tabletext"/>
              <w:keepNext/>
            </w:pPr>
            <w:r w:rsidRPr="00BB59D8">
              <w:t>0.79 (0.27, 1.31)</w:t>
            </w:r>
          </w:p>
        </w:tc>
      </w:tr>
      <w:tr w:rsidR="001370C7" w:rsidRPr="00BB59D8" w14:paraId="7BCBE061" w14:textId="77777777" w:rsidTr="00524700">
        <w:trPr>
          <w:trHeight w:val="64"/>
        </w:trPr>
        <w:tc>
          <w:tcPr>
            <w:tcW w:w="896" w:type="pct"/>
            <w:vMerge/>
            <w:vAlign w:val="center"/>
          </w:tcPr>
          <w:p w14:paraId="4D77545E" w14:textId="77777777" w:rsidR="001370C7" w:rsidRPr="00BB59D8" w:rsidRDefault="001370C7" w:rsidP="00524700">
            <w:pPr>
              <w:pStyle w:val="Tabletext"/>
              <w:keepNext/>
            </w:pPr>
          </w:p>
        </w:tc>
        <w:tc>
          <w:tcPr>
            <w:tcW w:w="1381" w:type="pct"/>
            <w:vAlign w:val="center"/>
          </w:tcPr>
          <w:p w14:paraId="75EC7F00" w14:textId="77777777" w:rsidR="001370C7" w:rsidRPr="00BB59D8" w:rsidRDefault="001370C7" w:rsidP="00524700">
            <w:pPr>
              <w:pStyle w:val="Tabletext"/>
              <w:keepNext/>
            </w:pPr>
            <w:r w:rsidRPr="00BB59D8">
              <w:t>p-value</w:t>
            </w:r>
          </w:p>
        </w:tc>
        <w:tc>
          <w:tcPr>
            <w:tcW w:w="836" w:type="pct"/>
            <w:vAlign w:val="center"/>
          </w:tcPr>
          <w:p w14:paraId="0CD10F93" w14:textId="77777777" w:rsidR="001370C7" w:rsidRPr="00BB59D8" w:rsidRDefault="001370C7" w:rsidP="00524700">
            <w:pPr>
              <w:pStyle w:val="Tabletext"/>
              <w:keepNext/>
            </w:pPr>
            <w:r w:rsidRPr="00BB59D8">
              <w:t>-</w:t>
            </w:r>
          </w:p>
        </w:tc>
        <w:tc>
          <w:tcPr>
            <w:tcW w:w="943" w:type="pct"/>
            <w:vAlign w:val="center"/>
          </w:tcPr>
          <w:p w14:paraId="4B4F3585" w14:textId="77777777" w:rsidR="001370C7" w:rsidRPr="00BB59D8" w:rsidRDefault="001370C7" w:rsidP="00524700">
            <w:pPr>
              <w:pStyle w:val="Tabletext"/>
              <w:keepNext/>
            </w:pPr>
            <w:r w:rsidRPr="00BB59D8">
              <w:t>-</w:t>
            </w:r>
          </w:p>
        </w:tc>
        <w:tc>
          <w:tcPr>
            <w:tcW w:w="944" w:type="pct"/>
            <w:vAlign w:val="center"/>
          </w:tcPr>
          <w:p w14:paraId="38C51538" w14:textId="77777777" w:rsidR="001370C7" w:rsidRPr="00BB59D8" w:rsidRDefault="001370C7" w:rsidP="00524700">
            <w:pPr>
              <w:pStyle w:val="Tabletext"/>
              <w:keepNext/>
              <w:rPr>
                <w:b/>
                <w:bCs/>
              </w:rPr>
            </w:pPr>
            <w:r w:rsidRPr="00BB59D8">
              <w:rPr>
                <w:b/>
                <w:bCs/>
              </w:rPr>
              <w:t>0.0032</w:t>
            </w:r>
          </w:p>
        </w:tc>
      </w:tr>
    </w:tbl>
    <w:p w14:paraId="576BDDAD" w14:textId="77777777" w:rsidR="001370C7" w:rsidRPr="00BB59D8" w:rsidRDefault="001370C7" w:rsidP="00F3534E">
      <w:pPr>
        <w:pStyle w:val="TableFigureFooter"/>
        <w:keepNext/>
      </w:pPr>
      <w:r w:rsidRPr="00BB59D8">
        <w:t>BID = twice-daily; CI = confidence interval; ITT = intention to treat; LS = least squares; SD = standard deviation</w:t>
      </w:r>
    </w:p>
    <w:p w14:paraId="60241A2D" w14:textId="77777777" w:rsidR="001370C7" w:rsidRPr="00BB59D8" w:rsidRDefault="001370C7" w:rsidP="00F3534E">
      <w:pPr>
        <w:pStyle w:val="TableFigureFooter"/>
        <w:keepNext/>
      </w:pPr>
      <w:r w:rsidRPr="00BB59D8">
        <w:t>Source: Table 2-30, p69 of the submission.</w:t>
      </w:r>
    </w:p>
    <w:p w14:paraId="5E370C80" w14:textId="7C1669DC" w:rsidR="00DB4BC1" w:rsidRPr="00BB59D8" w:rsidRDefault="001370C7" w:rsidP="009750B5">
      <w:pPr>
        <w:pStyle w:val="TableFigureFooter"/>
      </w:pPr>
      <w:r w:rsidRPr="00BB59D8">
        <w:t xml:space="preserve">Note: Results presented in </w:t>
      </w:r>
      <w:r w:rsidRPr="00BB59D8">
        <w:rPr>
          <w:b/>
        </w:rPr>
        <w:t>bold</w:t>
      </w:r>
      <w:r w:rsidRPr="00BB59D8">
        <w:t xml:space="preserve"> are statistically significant.</w:t>
      </w:r>
      <w:r w:rsidR="00742EB9" w:rsidRPr="00BB59D8">
        <w:t xml:space="preserve"> </w:t>
      </w:r>
      <w:bookmarkStart w:id="27" w:name="_Hlk80027152"/>
    </w:p>
    <w:p w14:paraId="00E7792C" w14:textId="77777777" w:rsidR="00937FCC" w:rsidRPr="00BB59D8" w:rsidRDefault="00937FCC" w:rsidP="00DB4BC1">
      <w:pPr>
        <w:pStyle w:val="TableFigureHeading"/>
        <w:widowControl w:val="0"/>
        <w:rPr>
          <w:rStyle w:val="CommentReference"/>
          <w:b/>
          <w:szCs w:val="24"/>
        </w:rPr>
      </w:pPr>
      <w:r w:rsidRPr="00BB59D8">
        <w:rPr>
          <w:rStyle w:val="CommentReference"/>
          <w:b/>
          <w:szCs w:val="24"/>
        </w:rPr>
        <w:t xml:space="preserve">Table </w:t>
      </w:r>
      <w:r w:rsidR="001370C7" w:rsidRPr="00BB59D8">
        <w:rPr>
          <w:rStyle w:val="CommentReference"/>
          <w:b/>
          <w:szCs w:val="24"/>
        </w:rPr>
        <w:t>5</w:t>
      </w:r>
      <w:r w:rsidRPr="00BB59D8">
        <w:rPr>
          <w:rStyle w:val="CommentReference"/>
          <w:b/>
          <w:szCs w:val="24"/>
        </w:rPr>
        <w:t xml:space="preserve">: Annualised height velocity (cm/year) </w:t>
      </w:r>
      <w:r w:rsidR="009356FF" w:rsidRPr="00BB59D8">
        <w:rPr>
          <w:rStyle w:val="CommentReference"/>
          <w:b/>
          <w:szCs w:val="24"/>
        </w:rPr>
        <w:t xml:space="preserve">change from pre-treatment </w:t>
      </w:r>
      <w:r w:rsidRPr="00BB59D8">
        <w:rPr>
          <w:rStyle w:val="CommentReference"/>
          <w:b/>
          <w:szCs w:val="24"/>
        </w:rPr>
        <w:t xml:space="preserve">by treatment year, </w:t>
      </w:r>
      <w:r w:rsidR="00533076" w:rsidRPr="00BB59D8">
        <w:rPr>
          <w:rStyle w:val="CommentReference"/>
          <w:b/>
          <w:szCs w:val="24"/>
        </w:rPr>
        <w:t xml:space="preserve">single-arm </w:t>
      </w:r>
      <w:r w:rsidRPr="00BB59D8">
        <w:rPr>
          <w:rStyle w:val="CommentReference"/>
          <w:b/>
          <w:szCs w:val="24"/>
        </w:rPr>
        <w:t>studies</w:t>
      </w:r>
      <w:r w:rsidR="00DD3F5E" w:rsidRPr="00BB59D8">
        <w:rPr>
          <w:rStyle w:val="CommentReference"/>
          <w:b/>
          <w:szCs w:val="24"/>
        </w:rPr>
        <w:t>.</w:t>
      </w:r>
    </w:p>
    <w:tbl>
      <w:tblPr>
        <w:tblpPr w:leftFromText="180" w:rightFromText="180" w:vertAnchor="text" w:tblpY="1"/>
        <w:tblOverlap w:val="neve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Annualised height velocity (cm/year) change from pre-treatment by treatment year, single-arm studies."/>
      </w:tblPr>
      <w:tblGrid>
        <w:gridCol w:w="1135"/>
        <w:gridCol w:w="428"/>
        <w:gridCol w:w="849"/>
        <w:gridCol w:w="998"/>
        <w:gridCol w:w="565"/>
        <w:gridCol w:w="1131"/>
        <w:gridCol w:w="565"/>
        <w:gridCol w:w="1134"/>
        <w:gridCol w:w="425"/>
        <w:gridCol w:w="853"/>
        <w:gridCol w:w="1125"/>
      </w:tblGrid>
      <w:tr w:rsidR="00DD3F5E" w:rsidRPr="00BB59D8" w14:paraId="7287AEF5" w14:textId="77777777" w:rsidTr="006206C0">
        <w:trPr>
          <w:trHeight w:val="469"/>
        </w:trPr>
        <w:tc>
          <w:tcPr>
            <w:tcW w:w="616" w:type="pct"/>
            <w:vMerge w:val="restart"/>
            <w:vAlign w:val="center"/>
          </w:tcPr>
          <w:p w14:paraId="4B204B53" w14:textId="77777777" w:rsidR="00DD3F5E" w:rsidRPr="00BB59D8" w:rsidRDefault="00DD3F5E" w:rsidP="00DB4BC1">
            <w:pPr>
              <w:pStyle w:val="Tabletext"/>
              <w:keepNext/>
              <w:widowControl w:val="0"/>
              <w:rPr>
                <w:b/>
                <w:bCs/>
              </w:rPr>
            </w:pPr>
            <w:r w:rsidRPr="00BB59D8">
              <w:rPr>
                <w:b/>
                <w:bCs/>
              </w:rPr>
              <w:t>Treatment year</w:t>
            </w:r>
          </w:p>
        </w:tc>
        <w:tc>
          <w:tcPr>
            <w:tcW w:w="1235" w:type="pct"/>
            <w:gridSpan w:val="3"/>
            <w:vAlign w:val="center"/>
          </w:tcPr>
          <w:p w14:paraId="30F68DCA" w14:textId="77777777" w:rsidR="00DD3F5E" w:rsidRPr="00BB59D8" w:rsidRDefault="00DD3F5E" w:rsidP="00DB4BC1">
            <w:pPr>
              <w:pStyle w:val="Tabletext"/>
              <w:keepNext/>
              <w:widowControl w:val="0"/>
              <w:rPr>
                <w:b/>
                <w:bCs/>
                <w:vertAlign w:val="superscript"/>
              </w:rPr>
            </w:pPr>
            <w:r w:rsidRPr="00BB59D8">
              <w:rPr>
                <w:b/>
                <w:bCs/>
              </w:rPr>
              <w:t>Study 1419</w:t>
            </w:r>
            <w:r w:rsidRPr="00BB59D8">
              <w:rPr>
                <w:b/>
                <w:bCs/>
                <w:vertAlign w:val="superscript"/>
              </w:rPr>
              <w:t>a</w:t>
            </w:r>
          </w:p>
        </w:tc>
        <w:tc>
          <w:tcPr>
            <w:tcW w:w="1844" w:type="pct"/>
            <w:gridSpan w:val="4"/>
            <w:vAlign w:val="center"/>
          </w:tcPr>
          <w:p w14:paraId="7DAA4D21" w14:textId="77777777" w:rsidR="00DD3F5E" w:rsidRPr="00BB59D8" w:rsidRDefault="00DD3F5E" w:rsidP="00DB4BC1">
            <w:pPr>
              <w:pStyle w:val="Tabletext"/>
              <w:keepNext/>
              <w:widowControl w:val="0"/>
              <w:rPr>
                <w:b/>
                <w:bCs/>
                <w:vertAlign w:val="superscript"/>
              </w:rPr>
            </w:pPr>
            <w:r w:rsidRPr="00BB59D8">
              <w:rPr>
                <w:b/>
                <w:bCs/>
              </w:rPr>
              <w:t>EU-IGFD Registry</w:t>
            </w:r>
            <w:r w:rsidRPr="00BB59D8">
              <w:rPr>
                <w:b/>
                <w:bCs/>
                <w:vertAlign w:val="superscript"/>
              </w:rPr>
              <w:t>b</w:t>
            </w:r>
          </w:p>
        </w:tc>
        <w:tc>
          <w:tcPr>
            <w:tcW w:w="1306" w:type="pct"/>
            <w:gridSpan w:val="3"/>
            <w:vAlign w:val="center"/>
          </w:tcPr>
          <w:p w14:paraId="095DE786" w14:textId="77777777" w:rsidR="00DD3F5E" w:rsidRPr="00BB59D8" w:rsidRDefault="00DD3F5E" w:rsidP="00DB4BC1">
            <w:pPr>
              <w:pStyle w:val="Tabletext"/>
              <w:keepNext/>
              <w:widowControl w:val="0"/>
              <w:rPr>
                <w:b/>
                <w:bCs/>
                <w:vertAlign w:val="superscript"/>
              </w:rPr>
            </w:pPr>
            <w:r w:rsidRPr="00BB59D8">
              <w:rPr>
                <w:b/>
                <w:bCs/>
              </w:rPr>
              <w:t>Polish Study</w:t>
            </w:r>
            <w:r w:rsidRPr="00BB59D8">
              <w:rPr>
                <w:b/>
                <w:bCs/>
                <w:vertAlign w:val="superscript"/>
              </w:rPr>
              <w:t>c</w:t>
            </w:r>
          </w:p>
        </w:tc>
      </w:tr>
      <w:tr w:rsidR="00DD3F5E" w:rsidRPr="00BB59D8" w14:paraId="618F9985" w14:textId="77777777" w:rsidTr="006206C0">
        <w:trPr>
          <w:trHeight w:val="557"/>
        </w:trPr>
        <w:tc>
          <w:tcPr>
            <w:tcW w:w="616" w:type="pct"/>
            <w:vMerge/>
            <w:vAlign w:val="center"/>
          </w:tcPr>
          <w:p w14:paraId="5A4FDE72" w14:textId="77777777" w:rsidR="00DD3F5E" w:rsidRPr="00BB59D8" w:rsidRDefault="00DD3F5E" w:rsidP="00DB4BC1">
            <w:pPr>
              <w:pStyle w:val="Tabletext"/>
              <w:keepNext/>
              <w:widowControl w:val="0"/>
              <w:rPr>
                <w:b/>
                <w:bCs/>
              </w:rPr>
            </w:pPr>
          </w:p>
        </w:tc>
        <w:tc>
          <w:tcPr>
            <w:tcW w:w="232" w:type="pct"/>
            <w:vAlign w:val="center"/>
          </w:tcPr>
          <w:p w14:paraId="4515958E" w14:textId="77777777" w:rsidR="00DD3F5E" w:rsidRPr="00BB59D8" w:rsidRDefault="00DD3F5E" w:rsidP="00DB4BC1">
            <w:pPr>
              <w:pStyle w:val="Tabletext"/>
              <w:keepNext/>
              <w:widowControl w:val="0"/>
              <w:rPr>
                <w:b/>
                <w:bCs/>
              </w:rPr>
            </w:pPr>
            <w:r w:rsidRPr="00BB59D8">
              <w:rPr>
                <w:b/>
                <w:bCs/>
              </w:rPr>
              <w:t>N</w:t>
            </w:r>
          </w:p>
        </w:tc>
        <w:tc>
          <w:tcPr>
            <w:tcW w:w="461" w:type="pct"/>
            <w:vAlign w:val="center"/>
          </w:tcPr>
          <w:p w14:paraId="68172FC4" w14:textId="77777777" w:rsidR="00DD3F5E" w:rsidRPr="00BB59D8" w:rsidRDefault="00DD3F5E" w:rsidP="00DB4BC1">
            <w:pPr>
              <w:pStyle w:val="Tabletext"/>
              <w:keepNext/>
              <w:widowControl w:val="0"/>
              <w:rPr>
                <w:b/>
                <w:bCs/>
              </w:rPr>
            </w:pPr>
            <w:r w:rsidRPr="00BB59D8">
              <w:rPr>
                <w:b/>
                <w:bCs/>
              </w:rPr>
              <w:t>Mean height velocity (SD)</w:t>
            </w:r>
          </w:p>
        </w:tc>
        <w:tc>
          <w:tcPr>
            <w:tcW w:w="542" w:type="pct"/>
            <w:vAlign w:val="center"/>
          </w:tcPr>
          <w:p w14:paraId="5C906178" w14:textId="77777777" w:rsidR="00DD3F5E" w:rsidRPr="00BB59D8" w:rsidRDefault="00DD3F5E" w:rsidP="00DB4BC1">
            <w:pPr>
              <w:pStyle w:val="Tabletext"/>
              <w:keepNext/>
              <w:widowControl w:val="0"/>
              <w:rPr>
                <w:b/>
                <w:bCs/>
              </w:rPr>
            </w:pPr>
            <w:r w:rsidRPr="00BB59D8">
              <w:rPr>
                <w:b/>
                <w:bCs/>
              </w:rPr>
              <w:t>Mean (SD) change from pre-treatment</w:t>
            </w:r>
          </w:p>
        </w:tc>
        <w:tc>
          <w:tcPr>
            <w:tcW w:w="307" w:type="pct"/>
            <w:vAlign w:val="center"/>
          </w:tcPr>
          <w:p w14:paraId="29F82EAF" w14:textId="77777777" w:rsidR="00DD3F5E" w:rsidRPr="00BB59D8" w:rsidRDefault="00DD3F5E" w:rsidP="00DB4BC1">
            <w:pPr>
              <w:pStyle w:val="Tabletext"/>
              <w:keepNext/>
              <w:widowControl w:val="0"/>
              <w:rPr>
                <w:b/>
                <w:bCs/>
              </w:rPr>
            </w:pPr>
            <w:r w:rsidRPr="00BB59D8">
              <w:rPr>
                <w:b/>
                <w:bCs/>
              </w:rPr>
              <w:t>N</w:t>
            </w:r>
          </w:p>
        </w:tc>
        <w:tc>
          <w:tcPr>
            <w:tcW w:w="614" w:type="pct"/>
            <w:vAlign w:val="center"/>
          </w:tcPr>
          <w:p w14:paraId="3123AD3E" w14:textId="77777777" w:rsidR="00DD3F5E" w:rsidRPr="00BB59D8" w:rsidRDefault="00DD3F5E" w:rsidP="00DB4BC1">
            <w:pPr>
              <w:pStyle w:val="Tabletext"/>
              <w:keepNext/>
              <w:widowControl w:val="0"/>
              <w:rPr>
                <w:b/>
                <w:bCs/>
              </w:rPr>
            </w:pPr>
            <w:r w:rsidRPr="00BB59D8">
              <w:rPr>
                <w:b/>
                <w:bCs/>
              </w:rPr>
              <w:t>Mean height velocity (SD)</w:t>
            </w:r>
          </w:p>
        </w:tc>
        <w:tc>
          <w:tcPr>
            <w:tcW w:w="307" w:type="pct"/>
            <w:vAlign w:val="center"/>
          </w:tcPr>
          <w:p w14:paraId="40B9E9CE" w14:textId="77777777" w:rsidR="00DD3F5E" w:rsidRPr="00BB59D8" w:rsidRDefault="00DD3F5E" w:rsidP="00DB4BC1">
            <w:pPr>
              <w:pStyle w:val="Tabletext"/>
              <w:keepNext/>
              <w:widowControl w:val="0"/>
              <w:rPr>
                <w:b/>
                <w:bCs/>
              </w:rPr>
            </w:pPr>
            <w:r w:rsidRPr="00BB59D8">
              <w:rPr>
                <w:b/>
                <w:bCs/>
              </w:rPr>
              <w:t>N</w:t>
            </w:r>
          </w:p>
        </w:tc>
        <w:tc>
          <w:tcPr>
            <w:tcW w:w="616" w:type="pct"/>
            <w:vAlign w:val="center"/>
          </w:tcPr>
          <w:p w14:paraId="374B6C36" w14:textId="77777777" w:rsidR="00DD3F5E" w:rsidRPr="00BB59D8" w:rsidRDefault="00DD3F5E" w:rsidP="00DB4BC1">
            <w:pPr>
              <w:pStyle w:val="Tabletext"/>
              <w:keepNext/>
              <w:widowControl w:val="0"/>
              <w:rPr>
                <w:b/>
                <w:bCs/>
              </w:rPr>
            </w:pPr>
            <w:r w:rsidRPr="00BB59D8">
              <w:rPr>
                <w:b/>
                <w:bCs/>
              </w:rPr>
              <w:t>Mean (SD) change from pre-treatment</w:t>
            </w:r>
          </w:p>
        </w:tc>
        <w:tc>
          <w:tcPr>
            <w:tcW w:w="231" w:type="pct"/>
            <w:vAlign w:val="center"/>
          </w:tcPr>
          <w:p w14:paraId="63832E6E" w14:textId="77777777" w:rsidR="00DD3F5E" w:rsidRPr="00BB59D8" w:rsidRDefault="00DD3F5E" w:rsidP="00DB4BC1">
            <w:pPr>
              <w:pStyle w:val="Tabletext"/>
              <w:keepNext/>
              <w:widowControl w:val="0"/>
              <w:rPr>
                <w:b/>
                <w:bCs/>
              </w:rPr>
            </w:pPr>
            <w:r w:rsidRPr="00BB59D8">
              <w:rPr>
                <w:b/>
                <w:bCs/>
              </w:rPr>
              <w:t>N</w:t>
            </w:r>
          </w:p>
        </w:tc>
        <w:tc>
          <w:tcPr>
            <w:tcW w:w="463" w:type="pct"/>
            <w:vAlign w:val="center"/>
          </w:tcPr>
          <w:p w14:paraId="3A99117F" w14:textId="77777777" w:rsidR="00DD3F5E" w:rsidRPr="00BB59D8" w:rsidRDefault="00DD3F5E" w:rsidP="00DB4BC1">
            <w:pPr>
              <w:pStyle w:val="Tabletext"/>
              <w:keepNext/>
              <w:widowControl w:val="0"/>
              <w:rPr>
                <w:b/>
                <w:bCs/>
              </w:rPr>
            </w:pPr>
            <w:r w:rsidRPr="00BB59D8">
              <w:rPr>
                <w:b/>
                <w:bCs/>
              </w:rPr>
              <w:t>Mean height velocity (SD)</w:t>
            </w:r>
          </w:p>
        </w:tc>
        <w:tc>
          <w:tcPr>
            <w:tcW w:w="612" w:type="pct"/>
            <w:vAlign w:val="center"/>
          </w:tcPr>
          <w:p w14:paraId="1D40FF51" w14:textId="77777777" w:rsidR="00DD3F5E" w:rsidRPr="00BB59D8" w:rsidRDefault="00DD3F5E" w:rsidP="00DB4BC1">
            <w:pPr>
              <w:pStyle w:val="Tabletext"/>
              <w:keepNext/>
              <w:widowControl w:val="0"/>
              <w:rPr>
                <w:b/>
                <w:bCs/>
              </w:rPr>
            </w:pPr>
            <w:r w:rsidRPr="00BB59D8">
              <w:rPr>
                <w:b/>
                <w:bCs/>
              </w:rPr>
              <w:t>Mean change from pre-treatment</w:t>
            </w:r>
          </w:p>
        </w:tc>
      </w:tr>
      <w:tr w:rsidR="00533076" w:rsidRPr="00BB59D8" w14:paraId="49517A84" w14:textId="77777777" w:rsidTr="006206C0">
        <w:trPr>
          <w:trHeight w:val="557"/>
        </w:trPr>
        <w:tc>
          <w:tcPr>
            <w:tcW w:w="616" w:type="pct"/>
            <w:vAlign w:val="center"/>
          </w:tcPr>
          <w:p w14:paraId="5D016E03" w14:textId="77777777" w:rsidR="00533076" w:rsidRPr="00BB59D8" w:rsidRDefault="00533076" w:rsidP="00DB4BC1">
            <w:pPr>
              <w:pStyle w:val="Tabletext"/>
              <w:keepNext/>
              <w:widowControl w:val="0"/>
            </w:pPr>
            <w:r w:rsidRPr="00BB59D8">
              <w:t>Pre-treatment</w:t>
            </w:r>
          </w:p>
        </w:tc>
        <w:tc>
          <w:tcPr>
            <w:tcW w:w="232" w:type="pct"/>
            <w:vAlign w:val="center"/>
          </w:tcPr>
          <w:p w14:paraId="1AE65C1B" w14:textId="77777777" w:rsidR="00533076" w:rsidRPr="00BB59D8" w:rsidRDefault="00533076" w:rsidP="00DB4BC1">
            <w:pPr>
              <w:pStyle w:val="Tabletext"/>
              <w:keepNext/>
              <w:widowControl w:val="0"/>
            </w:pPr>
            <w:r w:rsidRPr="00BB59D8">
              <w:t>75</w:t>
            </w:r>
          </w:p>
        </w:tc>
        <w:tc>
          <w:tcPr>
            <w:tcW w:w="461" w:type="pct"/>
            <w:vAlign w:val="center"/>
          </w:tcPr>
          <w:p w14:paraId="12684AAF" w14:textId="77777777" w:rsidR="00533076" w:rsidRPr="00BB59D8" w:rsidRDefault="00533076" w:rsidP="00DB4BC1">
            <w:pPr>
              <w:pStyle w:val="Tabletext"/>
              <w:keepNext/>
              <w:widowControl w:val="0"/>
            </w:pPr>
            <w:r w:rsidRPr="00BB59D8">
              <w:t>2.6 (1.7)</w:t>
            </w:r>
          </w:p>
        </w:tc>
        <w:tc>
          <w:tcPr>
            <w:tcW w:w="542" w:type="pct"/>
            <w:vAlign w:val="center"/>
          </w:tcPr>
          <w:p w14:paraId="4605CB01" w14:textId="77777777" w:rsidR="00533076" w:rsidRPr="00BB59D8" w:rsidRDefault="00533076" w:rsidP="00DB4BC1">
            <w:pPr>
              <w:pStyle w:val="Tabletext"/>
              <w:keepNext/>
              <w:widowControl w:val="0"/>
            </w:pPr>
            <w:r w:rsidRPr="00BB59D8">
              <w:t>NA</w:t>
            </w:r>
          </w:p>
        </w:tc>
        <w:tc>
          <w:tcPr>
            <w:tcW w:w="307" w:type="pct"/>
            <w:vAlign w:val="center"/>
          </w:tcPr>
          <w:p w14:paraId="6749BE60" w14:textId="77777777" w:rsidR="00533076" w:rsidRPr="00BB59D8" w:rsidRDefault="00533076" w:rsidP="00DB4BC1">
            <w:pPr>
              <w:pStyle w:val="Tabletext"/>
              <w:keepNext/>
              <w:widowControl w:val="0"/>
            </w:pPr>
            <w:r w:rsidRPr="00BB59D8">
              <w:t>151</w:t>
            </w:r>
          </w:p>
        </w:tc>
        <w:tc>
          <w:tcPr>
            <w:tcW w:w="614" w:type="pct"/>
            <w:vAlign w:val="center"/>
          </w:tcPr>
          <w:p w14:paraId="131960FD" w14:textId="77777777" w:rsidR="00533076" w:rsidRPr="00BB59D8" w:rsidRDefault="00533076" w:rsidP="00DB4BC1">
            <w:pPr>
              <w:pStyle w:val="Tabletext"/>
              <w:keepNext/>
              <w:widowControl w:val="0"/>
            </w:pPr>
            <w:r w:rsidRPr="00BB59D8">
              <w:t>4.69 (1.73)</w:t>
            </w:r>
          </w:p>
        </w:tc>
        <w:tc>
          <w:tcPr>
            <w:tcW w:w="307" w:type="pct"/>
            <w:vAlign w:val="center"/>
          </w:tcPr>
          <w:p w14:paraId="4FAA83E7" w14:textId="77777777" w:rsidR="00533076" w:rsidRPr="00BB59D8" w:rsidRDefault="00533076" w:rsidP="00DB4BC1">
            <w:pPr>
              <w:pStyle w:val="Tabletext"/>
              <w:keepNext/>
              <w:widowControl w:val="0"/>
            </w:pPr>
            <w:r w:rsidRPr="00BB59D8">
              <w:t>NA</w:t>
            </w:r>
          </w:p>
        </w:tc>
        <w:tc>
          <w:tcPr>
            <w:tcW w:w="616" w:type="pct"/>
            <w:vAlign w:val="center"/>
          </w:tcPr>
          <w:p w14:paraId="5B932562" w14:textId="77777777" w:rsidR="00533076" w:rsidRPr="00BB59D8" w:rsidRDefault="00533076" w:rsidP="00DB4BC1">
            <w:pPr>
              <w:pStyle w:val="Tabletext"/>
              <w:keepNext/>
              <w:widowControl w:val="0"/>
            </w:pPr>
            <w:r w:rsidRPr="00BB59D8">
              <w:t>NA</w:t>
            </w:r>
          </w:p>
        </w:tc>
        <w:tc>
          <w:tcPr>
            <w:tcW w:w="231" w:type="pct"/>
            <w:vAlign w:val="center"/>
          </w:tcPr>
          <w:p w14:paraId="370E1318" w14:textId="77777777" w:rsidR="00533076" w:rsidRPr="00BB59D8" w:rsidRDefault="00533076" w:rsidP="00DB4BC1">
            <w:pPr>
              <w:pStyle w:val="Tabletext"/>
              <w:keepNext/>
              <w:widowControl w:val="0"/>
            </w:pPr>
            <w:r w:rsidRPr="00BB59D8">
              <w:t>25</w:t>
            </w:r>
          </w:p>
        </w:tc>
        <w:tc>
          <w:tcPr>
            <w:tcW w:w="463" w:type="pct"/>
            <w:vAlign w:val="center"/>
          </w:tcPr>
          <w:p w14:paraId="31FF482D" w14:textId="77777777" w:rsidR="00533076" w:rsidRPr="00BB59D8" w:rsidRDefault="00533076" w:rsidP="00DB4BC1">
            <w:pPr>
              <w:pStyle w:val="Tabletext"/>
              <w:keepNext/>
              <w:widowControl w:val="0"/>
            </w:pPr>
            <w:r w:rsidRPr="00BB59D8">
              <w:t>4.5 (1.6)</w:t>
            </w:r>
          </w:p>
        </w:tc>
        <w:tc>
          <w:tcPr>
            <w:tcW w:w="612" w:type="pct"/>
            <w:vAlign w:val="center"/>
          </w:tcPr>
          <w:p w14:paraId="2980B2A0" w14:textId="77777777" w:rsidR="00533076" w:rsidRPr="00BB59D8" w:rsidRDefault="00533076" w:rsidP="00DB4BC1">
            <w:pPr>
              <w:pStyle w:val="Tabletext"/>
              <w:keepNext/>
              <w:widowControl w:val="0"/>
            </w:pPr>
            <w:r w:rsidRPr="00BB59D8">
              <w:t>NA</w:t>
            </w:r>
          </w:p>
        </w:tc>
      </w:tr>
      <w:tr w:rsidR="00533076" w:rsidRPr="00BB59D8" w14:paraId="79AEE3CE" w14:textId="77777777" w:rsidTr="006206C0">
        <w:trPr>
          <w:trHeight w:val="234"/>
        </w:trPr>
        <w:tc>
          <w:tcPr>
            <w:tcW w:w="616" w:type="pct"/>
            <w:vAlign w:val="center"/>
          </w:tcPr>
          <w:p w14:paraId="55D6045A" w14:textId="77777777" w:rsidR="00533076" w:rsidRPr="00BB59D8" w:rsidRDefault="00533076" w:rsidP="00DB4BC1">
            <w:pPr>
              <w:pStyle w:val="Tabletext"/>
              <w:keepNext/>
              <w:widowControl w:val="0"/>
            </w:pPr>
            <w:r w:rsidRPr="00BB59D8">
              <w:t>Year 1</w:t>
            </w:r>
          </w:p>
        </w:tc>
        <w:tc>
          <w:tcPr>
            <w:tcW w:w="232" w:type="pct"/>
            <w:vAlign w:val="center"/>
          </w:tcPr>
          <w:p w14:paraId="0E71C7D7" w14:textId="77777777" w:rsidR="00533076" w:rsidRPr="00BB59D8" w:rsidRDefault="00533076" w:rsidP="00DB4BC1">
            <w:pPr>
              <w:pStyle w:val="Tabletext"/>
              <w:keepNext/>
              <w:widowControl w:val="0"/>
            </w:pPr>
            <w:r w:rsidRPr="00BB59D8">
              <w:t>75</w:t>
            </w:r>
          </w:p>
        </w:tc>
        <w:tc>
          <w:tcPr>
            <w:tcW w:w="461" w:type="pct"/>
            <w:vAlign w:val="center"/>
          </w:tcPr>
          <w:p w14:paraId="3E0C4019" w14:textId="77777777" w:rsidR="00533076" w:rsidRPr="00BB59D8" w:rsidRDefault="00533076" w:rsidP="00DB4BC1">
            <w:pPr>
              <w:pStyle w:val="Tabletext"/>
              <w:keepNext/>
              <w:widowControl w:val="0"/>
              <w:rPr>
                <w:b/>
                <w:bCs/>
              </w:rPr>
            </w:pPr>
            <w:r w:rsidRPr="00BB59D8">
              <w:t>8.0 (2.3)</w:t>
            </w:r>
          </w:p>
        </w:tc>
        <w:tc>
          <w:tcPr>
            <w:tcW w:w="542" w:type="pct"/>
            <w:vAlign w:val="center"/>
          </w:tcPr>
          <w:p w14:paraId="7703D360" w14:textId="77777777" w:rsidR="00533076" w:rsidRPr="00BB59D8" w:rsidRDefault="00533076" w:rsidP="00DB4BC1">
            <w:pPr>
              <w:pStyle w:val="Tabletext"/>
              <w:keepNext/>
              <w:widowControl w:val="0"/>
              <w:rPr>
                <w:b/>
                <w:bCs/>
              </w:rPr>
            </w:pPr>
            <w:r w:rsidRPr="00BB59D8">
              <w:rPr>
                <w:b/>
                <w:bCs/>
              </w:rPr>
              <w:t>5.4 (2.6)</w:t>
            </w:r>
          </w:p>
        </w:tc>
        <w:tc>
          <w:tcPr>
            <w:tcW w:w="307" w:type="pct"/>
            <w:vAlign w:val="center"/>
          </w:tcPr>
          <w:p w14:paraId="68D0F0F9" w14:textId="77777777" w:rsidR="00533076" w:rsidRPr="00BB59D8" w:rsidRDefault="00533076" w:rsidP="00DB4BC1">
            <w:pPr>
              <w:pStyle w:val="Tabletext"/>
              <w:keepNext/>
              <w:widowControl w:val="0"/>
            </w:pPr>
            <w:r w:rsidRPr="00BB59D8">
              <w:t>197</w:t>
            </w:r>
          </w:p>
        </w:tc>
        <w:tc>
          <w:tcPr>
            <w:tcW w:w="614" w:type="pct"/>
            <w:vAlign w:val="center"/>
          </w:tcPr>
          <w:p w14:paraId="32B97E43" w14:textId="77777777" w:rsidR="00533076" w:rsidRPr="00BB59D8" w:rsidRDefault="00533076" w:rsidP="00DB4BC1">
            <w:pPr>
              <w:pStyle w:val="Tabletext"/>
              <w:keepNext/>
              <w:widowControl w:val="0"/>
              <w:rPr>
                <w:b/>
                <w:bCs/>
              </w:rPr>
            </w:pPr>
            <w:r w:rsidRPr="00BB59D8">
              <w:t>6.87 (2.26)</w:t>
            </w:r>
          </w:p>
        </w:tc>
        <w:tc>
          <w:tcPr>
            <w:tcW w:w="307" w:type="pct"/>
            <w:vAlign w:val="center"/>
          </w:tcPr>
          <w:p w14:paraId="112DA935" w14:textId="77777777" w:rsidR="00533076" w:rsidRPr="00BB59D8" w:rsidRDefault="00533076" w:rsidP="00DB4BC1">
            <w:pPr>
              <w:pStyle w:val="Tabletext"/>
              <w:keepNext/>
              <w:widowControl w:val="0"/>
              <w:rPr>
                <w:b/>
                <w:bCs/>
              </w:rPr>
            </w:pPr>
            <w:r w:rsidRPr="00BB59D8">
              <w:t>123</w:t>
            </w:r>
          </w:p>
        </w:tc>
        <w:tc>
          <w:tcPr>
            <w:tcW w:w="616" w:type="pct"/>
            <w:vAlign w:val="center"/>
          </w:tcPr>
          <w:p w14:paraId="1FC11A11" w14:textId="77777777" w:rsidR="00533076" w:rsidRPr="00BB59D8" w:rsidRDefault="00533076" w:rsidP="00DB4BC1">
            <w:pPr>
              <w:pStyle w:val="Tabletext"/>
              <w:keepNext/>
              <w:widowControl w:val="0"/>
              <w:rPr>
                <w:b/>
                <w:bCs/>
              </w:rPr>
            </w:pPr>
            <w:r w:rsidRPr="00BB59D8">
              <w:rPr>
                <w:b/>
                <w:bCs/>
              </w:rPr>
              <w:t>2.03 (2.57)</w:t>
            </w:r>
          </w:p>
        </w:tc>
        <w:tc>
          <w:tcPr>
            <w:tcW w:w="231" w:type="pct"/>
            <w:vAlign w:val="center"/>
          </w:tcPr>
          <w:p w14:paraId="4E11C069" w14:textId="77777777" w:rsidR="00533076" w:rsidRPr="00BB59D8" w:rsidRDefault="00533076" w:rsidP="00DB4BC1">
            <w:pPr>
              <w:pStyle w:val="Tabletext"/>
              <w:keepNext/>
              <w:widowControl w:val="0"/>
            </w:pPr>
            <w:r w:rsidRPr="00BB59D8">
              <w:t>25</w:t>
            </w:r>
          </w:p>
        </w:tc>
        <w:tc>
          <w:tcPr>
            <w:tcW w:w="463" w:type="pct"/>
            <w:vAlign w:val="center"/>
          </w:tcPr>
          <w:p w14:paraId="1A0F6BDE" w14:textId="77777777" w:rsidR="00533076" w:rsidRPr="00BB59D8" w:rsidRDefault="00533076" w:rsidP="00DB4BC1">
            <w:pPr>
              <w:pStyle w:val="Tabletext"/>
              <w:keepNext/>
              <w:widowControl w:val="0"/>
              <w:rPr>
                <w:b/>
                <w:bCs/>
              </w:rPr>
            </w:pPr>
            <w:r w:rsidRPr="00BB59D8">
              <w:t>7.8 (1.9)</w:t>
            </w:r>
          </w:p>
        </w:tc>
        <w:tc>
          <w:tcPr>
            <w:tcW w:w="612" w:type="pct"/>
            <w:vAlign w:val="center"/>
          </w:tcPr>
          <w:p w14:paraId="5CA9D074" w14:textId="77777777" w:rsidR="00533076" w:rsidRPr="00BB59D8" w:rsidRDefault="00533076" w:rsidP="00DB4BC1">
            <w:pPr>
              <w:pStyle w:val="Tabletext"/>
              <w:keepNext/>
              <w:widowControl w:val="0"/>
              <w:rPr>
                <w:b/>
                <w:bCs/>
              </w:rPr>
            </w:pPr>
            <w:r w:rsidRPr="00BB59D8">
              <w:rPr>
                <w:b/>
                <w:bCs/>
              </w:rPr>
              <w:t>3.3</w:t>
            </w:r>
          </w:p>
        </w:tc>
      </w:tr>
      <w:tr w:rsidR="00533076" w:rsidRPr="00BB59D8" w14:paraId="6E070C1A" w14:textId="77777777" w:rsidTr="006206C0">
        <w:trPr>
          <w:trHeight w:val="234"/>
        </w:trPr>
        <w:tc>
          <w:tcPr>
            <w:tcW w:w="616" w:type="pct"/>
            <w:vAlign w:val="center"/>
          </w:tcPr>
          <w:p w14:paraId="456644BB" w14:textId="77777777" w:rsidR="00533076" w:rsidRPr="00BB59D8" w:rsidRDefault="00533076" w:rsidP="00DB4BC1">
            <w:pPr>
              <w:pStyle w:val="Tabletext"/>
              <w:keepNext/>
              <w:widowControl w:val="0"/>
            </w:pPr>
            <w:r w:rsidRPr="00BB59D8">
              <w:t>Year 2</w:t>
            </w:r>
          </w:p>
        </w:tc>
        <w:tc>
          <w:tcPr>
            <w:tcW w:w="232" w:type="pct"/>
            <w:vAlign w:val="center"/>
          </w:tcPr>
          <w:p w14:paraId="7F678D2D" w14:textId="77777777" w:rsidR="00533076" w:rsidRPr="00BB59D8" w:rsidRDefault="00533076" w:rsidP="00DB4BC1">
            <w:pPr>
              <w:pStyle w:val="Tabletext"/>
              <w:keepNext/>
              <w:widowControl w:val="0"/>
            </w:pPr>
            <w:r w:rsidRPr="00BB59D8">
              <w:t>63</w:t>
            </w:r>
          </w:p>
        </w:tc>
        <w:tc>
          <w:tcPr>
            <w:tcW w:w="461" w:type="pct"/>
            <w:vAlign w:val="center"/>
          </w:tcPr>
          <w:p w14:paraId="429FEFFB" w14:textId="77777777" w:rsidR="00533076" w:rsidRPr="00BB59D8" w:rsidRDefault="00533076" w:rsidP="00DB4BC1">
            <w:pPr>
              <w:pStyle w:val="Tabletext"/>
              <w:keepNext/>
              <w:widowControl w:val="0"/>
              <w:rPr>
                <w:b/>
                <w:bCs/>
              </w:rPr>
            </w:pPr>
            <w:r w:rsidRPr="00BB59D8">
              <w:t>5.9 (1.7)</w:t>
            </w:r>
          </w:p>
        </w:tc>
        <w:tc>
          <w:tcPr>
            <w:tcW w:w="542" w:type="pct"/>
            <w:vAlign w:val="center"/>
          </w:tcPr>
          <w:p w14:paraId="0CC65B1C" w14:textId="77777777" w:rsidR="00533076" w:rsidRPr="00BB59D8" w:rsidRDefault="00533076" w:rsidP="00DB4BC1">
            <w:pPr>
              <w:pStyle w:val="Tabletext"/>
              <w:keepNext/>
              <w:widowControl w:val="0"/>
              <w:rPr>
                <w:b/>
                <w:bCs/>
              </w:rPr>
            </w:pPr>
            <w:r w:rsidRPr="00BB59D8">
              <w:rPr>
                <w:b/>
                <w:bCs/>
              </w:rPr>
              <w:t>3.2 (2.6)</w:t>
            </w:r>
          </w:p>
        </w:tc>
        <w:tc>
          <w:tcPr>
            <w:tcW w:w="307" w:type="pct"/>
            <w:vAlign w:val="center"/>
          </w:tcPr>
          <w:p w14:paraId="30A1FC5E" w14:textId="77777777" w:rsidR="00533076" w:rsidRPr="00BB59D8" w:rsidRDefault="00533076" w:rsidP="00DB4BC1">
            <w:pPr>
              <w:pStyle w:val="Tabletext"/>
              <w:keepNext/>
              <w:widowControl w:val="0"/>
            </w:pPr>
            <w:r w:rsidRPr="00BB59D8">
              <w:t>138</w:t>
            </w:r>
          </w:p>
        </w:tc>
        <w:tc>
          <w:tcPr>
            <w:tcW w:w="614" w:type="pct"/>
            <w:vAlign w:val="center"/>
          </w:tcPr>
          <w:p w14:paraId="515B68A8" w14:textId="77777777" w:rsidR="00533076" w:rsidRPr="00BB59D8" w:rsidRDefault="00533076" w:rsidP="00DB4BC1">
            <w:pPr>
              <w:pStyle w:val="Tabletext"/>
              <w:keepNext/>
              <w:widowControl w:val="0"/>
              <w:rPr>
                <w:b/>
                <w:bCs/>
              </w:rPr>
            </w:pPr>
            <w:r w:rsidRPr="00BB59D8">
              <w:t>6.08 (1.93)</w:t>
            </w:r>
          </w:p>
        </w:tc>
        <w:tc>
          <w:tcPr>
            <w:tcW w:w="307" w:type="pct"/>
            <w:vAlign w:val="center"/>
          </w:tcPr>
          <w:p w14:paraId="3ACACBF3" w14:textId="77777777" w:rsidR="00533076" w:rsidRPr="00BB59D8" w:rsidRDefault="00533076" w:rsidP="00DB4BC1">
            <w:pPr>
              <w:pStyle w:val="Tabletext"/>
              <w:keepNext/>
              <w:widowControl w:val="0"/>
              <w:rPr>
                <w:b/>
                <w:bCs/>
              </w:rPr>
            </w:pPr>
            <w:r w:rsidRPr="00BB59D8">
              <w:t>82</w:t>
            </w:r>
          </w:p>
        </w:tc>
        <w:tc>
          <w:tcPr>
            <w:tcW w:w="616" w:type="pct"/>
            <w:vAlign w:val="center"/>
          </w:tcPr>
          <w:p w14:paraId="10FEF7BB" w14:textId="77777777" w:rsidR="00533076" w:rsidRPr="00BB59D8" w:rsidRDefault="00533076" w:rsidP="00DB4BC1">
            <w:pPr>
              <w:pStyle w:val="Tabletext"/>
              <w:keepNext/>
              <w:widowControl w:val="0"/>
              <w:rPr>
                <w:b/>
                <w:bCs/>
              </w:rPr>
            </w:pPr>
            <w:r w:rsidRPr="00BB59D8">
              <w:rPr>
                <w:b/>
                <w:bCs/>
              </w:rPr>
              <w:t>1.35 (2.35)</w:t>
            </w:r>
          </w:p>
        </w:tc>
        <w:tc>
          <w:tcPr>
            <w:tcW w:w="231" w:type="pct"/>
            <w:vAlign w:val="center"/>
          </w:tcPr>
          <w:p w14:paraId="20727B3B" w14:textId="77777777" w:rsidR="00533076" w:rsidRPr="00BB59D8" w:rsidRDefault="00533076" w:rsidP="00DB4BC1">
            <w:pPr>
              <w:pStyle w:val="Tabletext"/>
              <w:keepNext/>
              <w:widowControl w:val="0"/>
            </w:pPr>
            <w:r w:rsidRPr="00BB59D8">
              <w:t>25</w:t>
            </w:r>
          </w:p>
        </w:tc>
        <w:tc>
          <w:tcPr>
            <w:tcW w:w="463" w:type="pct"/>
            <w:vAlign w:val="center"/>
          </w:tcPr>
          <w:p w14:paraId="62EE460C" w14:textId="77777777" w:rsidR="00533076" w:rsidRPr="00BB59D8" w:rsidRDefault="00533076" w:rsidP="00DB4BC1">
            <w:pPr>
              <w:pStyle w:val="Tabletext"/>
              <w:keepNext/>
              <w:widowControl w:val="0"/>
              <w:rPr>
                <w:b/>
                <w:bCs/>
              </w:rPr>
            </w:pPr>
            <w:r w:rsidRPr="00BB59D8">
              <w:t>6.3 (0.8)</w:t>
            </w:r>
          </w:p>
        </w:tc>
        <w:tc>
          <w:tcPr>
            <w:tcW w:w="612" w:type="pct"/>
            <w:vAlign w:val="center"/>
          </w:tcPr>
          <w:p w14:paraId="6A021C5D" w14:textId="77777777" w:rsidR="00533076" w:rsidRPr="00BB59D8" w:rsidRDefault="00533076" w:rsidP="00DB4BC1">
            <w:pPr>
              <w:pStyle w:val="Tabletext"/>
              <w:keepNext/>
              <w:widowControl w:val="0"/>
              <w:rPr>
                <w:b/>
                <w:bCs/>
              </w:rPr>
            </w:pPr>
            <w:r w:rsidRPr="00BB59D8">
              <w:rPr>
                <w:b/>
                <w:bCs/>
              </w:rPr>
              <w:t>1.8</w:t>
            </w:r>
          </w:p>
        </w:tc>
      </w:tr>
      <w:tr w:rsidR="00533076" w:rsidRPr="00BB59D8" w14:paraId="2F7F49E1" w14:textId="77777777" w:rsidTr="006206C0">
        <w:trPr>
          <w:trHeight w:val="215"/>
        </w:trPr>
        <w:tc>
          <w:tcPr>
            <w:tcW w:w="616" w:type="pct"/>
            <w:vAlign w:val="center"/>
          </w:tcPr>
          <w:p w14:paraId="1F682600" w14:textId="77777777" w:rsidR="00533076" w:rsidRPr="00BB59D8" w:rsidRDefault="00533076" w:rsidP="00DB4BC1">
            <w:pPr>
              <w:pStyle w:val="Tabletext"/>
              <w:keepNext/>
              <w:widowControl w:val="0"/>
            </w:pPr>
            <w:r w:rsidRPr="00BB59D8">
              <w:t>Year 3</w:t>
            </w:r>
          </w:p>
        </w:tc>
        <w:tc>
          <w:tcPr>
            <w:tcW w:w="232" w:type="pct"/>
            <w:vAlign w:val="center"/>
          </w:tcPr>
          <w:p w14:paraId="79869ED8" w14:textId="77777777" w:rsidR="00533076" w:rsidRPr="00BB59D8" w:rsidRDefault="00533076" w:rsidP="00DB4BC1">
            <w:pPr>
              <w:pStyle w:val="Tabletext"/>
              <w:keepNext/>
              <w:widowControl w:val="0"/>
            </w:pPr>
            <w:r w:rsidRPr="00BB59D8">
              <w:t>62</w:t>
            </w:r>
          </w:p>
        </w:tc>
        <w:tc>
          <w:tcPr>
            <w:tcW w:w="461" w:type="pct"/>
            <w:vAlign w:val="center"/>
          </w:tcPr>
          <w:p w14:paraId="3C88C44C" w14:textId="77777777" w:rsidR="00533076" w:rsidRPr="00BB59D8" w:rsidRDefault="00533076" w:rsidP="00DB4BC1">
            <w:pPr>
              <w:pStyle w:val="Tabletext"/>
              <w:keepNext/>
              <w:widowControl w:val="0"/>
              <w:rPr>
                <w:b/>
                <w:bCs/>
              </w:rPr>
            </w:pPr>
            <w:r w:rsidRPr="00BB59D8">
              <w:t>5.5 (1.8)</w:t>
            </w:r>
          </w:p>
        </w:tc>
        <w:tc>
          <w:tcPr>
            <w:tcW w:w="542" w:type="pct"/>
            <w:vAlign w:val="center"/>
          </w:tcPr>
          <w:p w14:paraId="65DF6CF3" w14:textId="77777777" w:rsidR="00533076" w:rsidRPr="00BB59D8" w:rsidRDefault="00533076" w:rsidP="00DB4BC1">
            <w:pPr>
              <w:pStyle w:val="Tabletext"/>
              <w:keepNext/>
              <w:widowControl w:val="0"/>
              <w:rPr>
                <w:b/>
                <w:bCs/>
              </w:rPr>
            </w:pPr>
            <w:r w:rsidRPr="00BB59D8">
              <w:rPr>
                <w:b/>
                <w:bCs/>
              </w:rPr>
              <w:t>2.8 (2.4)</w:t>
            </w:r>
          </w:p>
        </w:tc>
        <w:tc>
          <w:tcPr>
            <w:tcW w:w="307" w:type="pct"/>
            <w:vAlign w:val="center"/>
          </w:tcPr>
          <w:p w14:paraId="4763A235" w14:textId="77777777" w:rsidR="00533076" w:rsidRPr="00BB59D8" w:rsidRDefault="00533076" w:rsidP="00DB4BC1">
            <w:pPr>
              <w:pStyle w:val="Tabletext"/>
              <w:keepNext/>
              <w:widowControl w:val="0"/>
            </w:pPr>
            <w:r w:rsidRPr="00BB59D8">
              <w:t>110</w:t>
            </w:r>
          </w:p>
        </w:tc>
        <w:tc>
          <w:tcPr>
            <w:tcW w:w="614" w:type="pct"/>
            <w:vAlign w:val="center"/>
          </w:tcPr>
          <w:p w14:paraId="5452B5BA" w14:textId="77777777" w:rsidR="00533076" w:rsidRPr="00BB59D8" w:rsidRDefault="00533076" w:rsidP="00DB4BC1">
            <w:pPr>
              <w:pStyle w:val="Tabletext"/>
              <w:keepNext/>
              <w:widowControl w:val="0"/>
              <w:rPr>
                <w:b/>
                <w:bCs/>
              </w:rPr>
            </w:pPr>
            <w:r w:rsidRPr="00BB59D8">
              <w:t>5.62 (2.12)</w:t>
            </w:r>
          </w:p>
        </w:tc>
        <w:tc>
          <w:tcPr>
            <w:tcW w:w="307" w:type="pct"/>
            <w:vAlign w:val="center"/>
          </w:tcPr>
          <w:p w14:paraId="04127EAF" w14:textId="77777777" w:rsidR="00533076" w:rsidRPr="00BB59D8" w:rsidRDefault="00533076" w:rsidP="00DB4BC1">
            <w:pPr>
              <w:pStyle w:val="Tabletext"/>
              <w:keepNext/>
              <w:widowControl w:val="0"/>
              <w:rPr>
                <w:b/>
                <w:bCs/>
              </w:rPr>
            </w:pPr>
            <w:r w:rsidRPr="00BB59D8">
              <w:t>61</w:t>
            </w:r>
          </w:p>
        </w:tc>
        <w:tc>
          <w:tcPr>
            <w:tcW w:w="616" w:type="pct"/>
            <w:vAlign w:val="center"/>
          </w:tcPr>
          <w:p w14:paraId="5492B872" w14:textId="77777777" w:rsidR="00533076" w:rsidRPr="00BB59D8" w:rsidRDefault="00533076" w:rsidP="00DB4BC1">
            <w:pPr>
              <w:pStyle w:val="Tabletext"/>
              <w:keepNext/>
              <w:widowControl w:val="0"/>
              <w:rPr>
                <w:b/>
                <w:bCs/>
              </w:rPr>
            </w:pPr>
            <w:r w:rsidRPr="00BB59D8">
              <w:rPr>
                <w:b/>
                <w:bCs/>
              </w:rPr>
              <w:t>0.73 (2.78)</w:t>
            </w:r>
          </w:p>
        </w:tc>
        <w:tc>
          <w:tcPr>
            <w:tcW w:w="231" w:type="pct"/>
            <w:vAlign w:val="center"/>
          </w:tcPr>
          <w:p w14:paraId="1BBAC216" w14:textId="77777777" w:rsidR="00533076" w:rsidRPr="00BB59D8" w:rsidRDefault="00533076" w:rsidP="00DB4BC1">
            <w:pPr>
              <w:pStyle w:val="Tabletext"/>
              <w:keepNext/>
              <w:widowControl w:val="0"/>
            </w:pPr>
            <w:r w:rsidRPr="00BB59D8">
              <w:t>25</w:t>
            </w:r>
          </w:p>
        </w:tc>
        <w:tc>
          <w:tcPr>
            <w:tcW w:w="463" w:type="pct"/>
            <w:vAlign w:val="center"/>
          </w:tcPr>
          <w:p w14:paraId="66B48335" w14:textId="77777777" w:rsidR="00533076" w:rsidRPr="00BB59D8" w:rsidRDefault="00533076" w:rsidP="00DB4BC1">
            <w:pPr>
              <w:pStyle w:val="Tabletext"/>
              <w:keepNext/>
              <w:widowControl w:val="0"/>
            </w:pPr>
            <w:r w:rsidRPr="00BB59D8">
              <w:t>4.9 (1.8)</w:t>
            </w:r>
          </w:p>
        </w:tc>
        <w:tc>
          <w:tcPr>
            <w:tcW w:w="612" w:type="pct"/>
            <w:vAlign w:val="center"/>
          </w:tcPr>
          <w:p w14:paraId="361A7174" w14:textId="77777777" w:rsidR="00533076" w:rsidRPr="00BB59D8" w:rsidRDefault="00533076" w:rsidP="00DB4BC1">
            <w:pPr>
              <w:pStyle w:val="Tabletext"/>
              <w:keepNext/>
              <w:widowControl w:val="0"/>
              <w:rPr>
                <w:b/>
                <w:bCs/>
              </w:rPr>
            </w:pPr>
            <w:r w:rsidRPr="00BB59D8">
              <w:t>0.4</w:t>
            </w:r>
          </w:p>
        </w:tc>
      </w:tr>
      <w:tr w:rsidR="00533076" w:rsidRPr="00BB59D8" w14:paraId="347D2C59" w14:textId="77777777" w:rsidTr="006206C0">
        <w:trPr>
          <w:trHeight w:val="234"/>
        </w:trPr>
        <w:tc>
          <w:tcPr>
            <w:tcW w:w="616" w:type="pct"/>
            <w:vAlign w:val="center"/>
          </w:tcPr>
          <w:p w14:paraId="4142154E" w14:textId="77777777" w:rsidR="00533076" w:rsidRPr="00BB59D8" w:rsidRDefault="00533076" w:rsidP="00DB4BC1">
            <w:pPr>
              <w:pStyle w:val="Tabletext"/>
              <w:keepNext/>
              <w:widowControl w:val="0"/>
            </w:pPr>
            <w:r w:rsidRPr="00BB59D8">
              <w:t>Year 4</w:t>
            </w:r>
          </w:p>
        </w:tc>
        <w:tc>
          <w:tcPr>
            <w:tcW w:w="232" w:type="pct"/>
            <w:vAlign w:val="center"/>
          </w:tcPr>
          <w:p w14:paraId="1F381FA3" w14:textId="77777777" w:rsidR="00533076" w:rsidRPr="00BB59D8" w:rsidRDefault="00533076" w:rsidP="00DB4BC1">
            <w:pPr>
              <w:pStyle w:val="Tabletext"/>
              <w:keepNext/>
              <w:widowControl w:val="0"/>
            </w:pPr>
            <w:r w:rsidRPr="00BB59D8">
              <w:t>60</w:t>
            </w:r>
          </w:p>
        </w:tc>
        <w:tc>
          <w:tcPr>
            <w:tcW w:w="461" w:type="pct"/>
            <w:vAlign w:val="center"/>
          </w:tcPr>
          <w:p w14:paraId="472282F0" w14:textId="77777777" w:rsidR="00533076" w:rsidRPr="00BB59D8" w:rsidRDefault="00533076" w:rsidP="00DB4BC1">
            <w:pPr>
              <w:pStyle w:val="Tabletext"/>
              <w:keepNext/>
              <w:widowControl w:val="0"/>
              <w:rPr>
                <w:b/>
                <w:bCs/>
              </w:rPr>
            </w:pPr>
            <w:r w:rsidRPr="00BB59D8">
              <w:t>5.2 (1.5)</w:t>
            </w:r>
          </w:p>
        </w:tc>
        <w:tc>
          <w:tcPr>
            <w:tcW w:w="542" w:type="pct"/>
            <w:vAlign w:val="center"/>
          </w:tcPr>
          <w:p w14:paraId="1205F90C" w14:textId="77777777" w:rsidR="00533076" w:rsidRPr="00BB59D8" w:rsidRDefault="00533076" w:rsidP="00DB4BC1">
            <w:pPr>
              <w:pStyle w:val="Tabletext"/>
              <w:keepNext/>
              <w:widowControl w:val="0"/>
              <w:rPr>
                <w:b/>
                <w:bCs/>
              </w:rPr>
            </w:pPr>
            <w:r w:rsidRPr="00BB59D8">
              <w:rPr>
                <w:b/>
                <w:bCs/>
              </w:rPr>
              <w:t>2.5 (2.5)</w:t>
            </w:r>
          </w:p>
        </w:tc>
        <w:tc>
          <w:tcPr>
            <w:tcW w:w="307" w:type="pct"/>
            <w:vAlign w:val="center"/>
          </w:tcPr>
          <w:p w14:paraId="0A2FFC42" w14:textId="77777777" w:rsidR="00533076" w:rsidRPr="00BB59D8" w:rsidRDefault="00533076" w:rsidP="00DB4BC1">
            <w:pPr>
              <w:pStyle w:val="Tabletext"/>
              <w:keepNext/>
              <w:widowControl w:val="0"/>
            </w:pPr>
            <w:r w:rsidRPr="00BB59D8">
              <w:t>74</w:t>
            </w:r>
          </w:p>
        </w:tc>
        <w:tc>
          <w:tcPr>
            <w:tcW w:w="614" w:type="pct"/>
            <w:vAlign w:val="center"/>
          </w:tcPr>
          <w:p w14:paraId="6DED1A9C" w14:textId="77777777" w:rsidR="00533076" w:rsidRPr="00BB59D8" w:rsidRDefault="00533076" w:rsidP="00DB4BC1">
            <w:pPr>
              <w:pStyle w:val="Tabletext"/>
              <w:keepNext/>
              <w:widowControl w:val="0"/>
            </w:pPr>
            <w:r w:rsidRPr="00BB59D8">
              <w:t>5.34 (1.78)</w:t>
            </w:r>
          </w:p>
        </w:tc>
        <w:tc>
          <w:tcPr>
            <w:tcW w:w="307" w:type="pct"/>
            <w:vAlign w:val="center"/>
          </w:tcPr>
          <w:p w14:paraId="3C22BA13" w14:textId="77777777" w:rsidR="00533076" w:rsidRPr="00BB59D8" w:rsidRDefault="00533076" w:rsidP="00DB4BC1">
            <w:pPr>
              <w:pStyle w:val="Tabletext"/>
              <w:keepNext/>
              <w:widowControl w:val="0"/>
            </w:pPr>
            <w:r w:rsidRPr="00BB59D8">
              <w:t>36</w:t>
            </w:r>
          </w:p>
        </w:tc>
        <w:tc>
          <w:tcPr>
            <w:tcW w:w="616" w:type="pct"/>
            <w:vAlign w:val="center"/>
          </w:tcPr>
          <w:p w14:paraId="1B4937DB" w14:textId="77777777" w:rsidR="00533076" w:rsidRPr="00BB59D8" w:rsidRDefault="00533076" w:rsidP="00DB4BC1">
            <w:pPr>
              <w:pStyle w:val="Tabletext"/>
              <w:keepNext/>
              <w:widowControl w:val="0"/>
            </w:pPr>
            <w:r w:rsidRPr="00BB59D8">
              <w:t>0.51 (2.23)</w:t>
            </w:r>
          </w:p>
        </w:tc>
        <w:tc>
          <w:tcPr>
            <w:tcW w:w="231" w:type="pct"/>
            <w:vAlign w:val="center"/>
          </w:tcPr>
          <w:p w14:paraId="62F094F0" w14:textId="77777777" w:rsidR="00533076" w:rsidRPr="00BB59D8" w:rsidRDefault="00533076" w:rsidP="00DB4BC1">
            <w:pPr>
              <w:pStyle w:val="Tabletext"/>
              <w:keepNext/>
              <w:widowControl w:val="0"/>
              <w:rPr>
                <w:b/>
                <w:bCs/>
              </w:rPr>
            </w:pPr>
          </w:p>
        </w:tc>
        <w:tc>
          <w:tcPr>
            <w:tcW w:w="463" w:type="pct"/>
            <w:vAlign w:val="center"/>
          </w:tcPr>
          <w:p w14:paraId="428EA6DC" w14:textId="77777777" w:rsidR="00533076" w:rsidRPr="00BB59D8" w:rsidRDefault="00533076" w:rsidP="00DB4BC1">
            <w:pPr>
              <w:pStyle w:val="Tabletext"/>
              <w:keepNext/>
              <w:widowControl w:val="0"/>
              <w:rPr>
                <w:b/>
                <w:bCs/>
              </w:rPr>
            </w:pPr>
          </w:p>
        </w:tc>
        <w:tc>
          <w:tcPr>
            <w:tcW w:w="612" w:type="pct"/>
            <w:vAlign w:val="center"/>
          </w:tcPr>
          <w:p w14:paraId="75A4206F" w14:textId="77777777" w:rsidR="00533076" w:rsidRPr="00BB59D8" w:rsidRDefault="00533076" w:rsidP="00DB4BC1">
            <w:pPr>
              <w:pStyle w:val="Tabletext"/>
              <w:keepNext/>
              <w:widowControl w:val="0"/>
              <w:rPr>
                <w:b/>
                <w:bCs/>
              </w:rPr>
            </w:pPr>
          </w:p>
        </w:tc>
      </w:tr>
      <w:tr w:rsidR="00533076" w:rsidRPr="00BB59D8" w14:paraId="4DFC49AC" w14:textId="77777777" w:rsidTr="006206C0">
        <w:trPr>
          <w:trHeight w:val="234"/>
        </w:trPr>
        <w:tc>
          <w:tcPr>
            <w:tcW w:w="616" w:type="pct"/>
            <w:vAlign w:val="center"/>
          </w:tcPr>
          <w:p w14:paraId="411B2D12" w14:textId="77777777" w:rsidR="00533076" w:rsidRPr="00BB59D8" w:rsidRDefault="00533076" w:rsidP="00DB4BC1">
            <w:pPr>
              <w:pStyle w:val="Tabletext"/>
              <w:keepNext/>
              <w:widowControl w:val="0"/>
            </w:pPr>
            <w:r w:rsidRPr="00BB59D8">
              <w:t>Year 5</w:t>
            </w:r>
          </w:p>
        </w:tc>
        <w:tc>
          <w:tcPr>
            <w:tcW w:w="232" w:type="pct"/>
            <w:vAlign w:val="center"/>
          </w:tcPr>
          <w:p w14:paraId="4A9CE41B" w14:textId="77777777" w:rsidR="00533076" w:rsidRPr="00BB59D8" w:rsidRDefault="00533076" w:rsidP="00DB4BC1">
            <w:pPr>
              <w:pStyle w:val="Tabletext"/>
              <w:keepNext/>
              <w:widowControl w:val="0"/>
            </w:pPr>
            <w:r w:rsidRPr="00BB59D8">
              <w:t>53</w:t>
            </w:r>
          </w:p>
        </w:tc>
        <w:tc>
          <w:tcPr>
            <w:tcW w:w="461" w:type="pct"/>
            <w:vAlign w:val="center"/>
          </w:tcPr>
          <w:p w14:paraId="7FE7AE1B" w14:textId="77777777" w:rsidR="00533076" w:rsidRPr="00BB59D8" w:rsidRDefault="00533076" w:rsidP="00DB4BC1">
            <w:pPr>
              <w:pStyle w:val="Tabletext"/>
              <w:keepNext/>
              <w:widowControl w:val="0"/>
              <w:rPr>
                <w:b/>
                <w:bCs/>
              </w:rPr>
            </w:pPr>
            <w:r w:rsidRPr="00BB59D8">
              <w:t>4.9 (1.5)</w:t>
            </w:r>
          </w:p>
        </w:tc>
        <w:tc>
          <w:tcPr>
            <w:tcW w:w="542" w:type="pct"/>
            <w:vAlign w:val="center"/>
          </w:tcPr>
          <w:p w14:paraId="760F3AE4" w14:textId="77777777" w:rsidR="00533076" w:rsidRPr="00BB59D8" w:rsidRDefault="00533076" w:rsidP="00DB4BC1">
            <w:pPr>
              <w:pStyle w:val="Tabletext"/>
              <w:keepNext/>
              <w:widowControl w:val="0"/>
              <w:rPr>
                <w:b/>
                <w:bCs/>
              </w:rPr>
            </w:pPr>
            <w:r w:rsidRPr="00BB59D8">
              <w:rPr>
                <w:b/>
                <w:bCs/>
              </w:rPr>
              <w:t>2.1 (2.1)</w:t>
            </w:r>
          </w:p>
        </w:tc>
        <w:tc>
          <w:tcPr>
            <w:tcW w:w="307" w:type="pct"/>
            <w:vAlign w:val="center"/>
          </w:tcPr>
          <w:p w14:paraId="41532B0C" w14:textId="77777777" w:rsidR="00533076" w:rsidRPr="00BB59D8" w:rsidRDefault="00533076" w:rsidP="00DB4BC1">
            <w:pPr>
              <w:pStyle w:val="Tabletext"/>
              <w:keepNext/>
              <w:widowControl w:val="0"/>
            </w:pPr>
            <w:r w:rsidRPr="00BB59D8">
              <w:t>47</w:t>
            </w:r>
          </w:p>
        </w:tc>
        <w:tc>
          <w:tcPr>
            <w:tcW w:w="614" w:type="pct"/>
            <w:vAlign w:val="center"/>
          </w:tcPr>
          <w:p w14:paraId="2EA74CB1" w14:textId="77777777" w:rsidR="00533076" w:rsidRPr="00BB59D8" w:rsidRDefault="00533076" w:rsidP="00DB4BC1">
            <w:pPr>
              <w:pStyle w:val="Tabletext"/>
              <w:keepNext/>
              <w:widowControl w:val="0"/>
            </w:pPr>
            <w:r w:rsidRPr="00BB59D8">
              <w:t>5.00 (1.75)</w:t>
            </w:r>
          </w:p>
        </w:tc>
        <w:tc>
          <w:tcPr>
            <w:tcW w:w="307" w:type="pct"/>
            <w:vAlign w:val="center"/>
          </w:tcPr>
          <w:p w14:paraId="6335FA44" w14:textId="77777777" w:rsidR="00533076" w:rsidRPr="00BB59D8" w:rsidRDefault="00533076" w:rsidP="00DB4BC1">
            <w:pPr>
              <w:pStyle w:val="Tabletext"/>
              <w:keepNext/>
              <w:widowControl w:val="0"/>
            </w:pPr>
            <w:r w:rsidRPr="00BB59D8">
              <w:t>23</w:t>
            </w:r>
          </w:p>
        </w:tc>
        <w:tc>
          <w:tcPr>
            <w:tcW w:w="616" w:type="pct"/>
            <w:vAlign w:val="center"/>
          </w:tcPr>
          <w:p w14:paraId="28CEE5FC" w14:textId="77777777" w:rsidR="00533076" w:rsidRPr="00BB59D8" w:rsidRDefault="00533076" w:rsidP="00DB4BC1">
            <w:pPr>
              <w:pStyle w:val="Tabletext"/>
              <w:keepNext/>
              <w:widowControl w:val="0"/>
            </w:pPr>
            <w:r w:rsidRPr="00BB59D8">
              <w:t>0.23 (1.85)</w:t>
            </w:r>
          </w:p>
        </w:tc>
        <w:tc>
          <w:tcPr>
            <w:tcW w:w="231" w:type="pct"/>
            <w:vAlign w:val="center"/>
          </w:tcPr>
          <w:p w14:paraId="2459C1E0" w14:textId="77777777" w:rsidR="00533076" w:rsidRPr="00BB59D8" w:rsidRDefault="00533076" w:rsidP="00DB4BC1">
            <w:pPr>
              <w:pStyle w:val="Tabletext"/>
              <w:keepNext/>
              <w:widowControl w:val="0"/>
              <w:rPr>
                <w:b/>
                <w:bCs/>
              </w:rPr>
            </w:pPr>
          </w:p>
        </w:tc>
        <w:tc>
          <w:tcPr>
            <w:tcW w:w="463" w:type="pct"/>
            <w:vAlign w:val="center"/>
          </w:tcPr>
          <w:p w14:paraId="226F733C" w14:textId="77777777" w:rsidR="00533076" w:rsidRPr="00BB59D8" w:rsidRDefault="00533076" w:rsidP="00DB4BC1">
            <w:pPr>
              <w:pStyle w:val="Tabletext"/>
              <w:keepNext/>
              <w:widowControl w:val="0"/>
              <w:rPr>
                <w:b/>
                <w:bCs/>
              </w:rPr>
            </w:pPr>
          </w:p>
        </w:tc>
        <w:tc>
          <w:tcPr>
            <w:tcW w:w="612" w:type="pct"/>
            <w:vAlign w:val="center"/>
          </w:tcPr>
          <w:p w14:paraId="28A49BDE" w14:textId="77777777" w:rsidR="00533076" w:rsidRPr="00BB59D8" w:rsidRDefault="00533076" w:rsidP="00DB4BC1">
            <w:pPr>
              <w:pStyle w:val="Tabletext"/>
              <w:keepNext/>
              <w:widowControl w:val="0"/>
              <w:rPr>
                <w:b/>
                <w:bCs/>
              </w:rPr>
            </w:pPr>
          </w:p>
        </w:tc>
      </w:tr>
      <w:tr w:rsidR="00533076" w:rsidRPr="00BB59D8" w14:paraId="65A5D7BC" w14:textId="77777777" w:rsidTr="006206C0">
        <w:trPr>
          <w:trHeight w:val="234"/>
        </w:trPr>
        <w:tc>
          <w:tcPr>
            <w:tcW w:w="616" w:type="pct"/>
            <w:vAlign w:val="center"/>
          </w:tcPr>
          <w:p w14:paraId="62A323E6" w14:textId="77777777" w:rsidR="00533076" w:rsidRPr="00BB59D8" w:rsidRDefault="00533076" w:rsidP="00DB4BC1">
            <w:pPr>
              <w:pStyle w:val="Tabletext"/>
              <w:keepNext/>
              <w:widowControl w:val="0"/>
            </w:pPr>
            <w:r w:rsidRPr="00BB59D8">
              <w:t>Year 6</w:t>
            </w:r>
          </w:p>
        </w:tc>
        <w:tc>
          <w:tcPr>
            <w:tcW w:w="232" w:type="pct"/>
            <w:vAlign w:val="center"/>
          </w:tcPr>
          <w:p w14:paraId="27A51548" w14:textId="77777777" w:rsidR="00533076" w:rsidRPr="00BB59D8" w:rsidRDefault="00533076" w:rsidP="00DB4BC1">
            <w:pPr>
              <w:pStyle w:val="Tabletext"/>
              <w:keepNext/>
              <w:widowControl w:val="0"/>
            </w:pPr>
            <w:r w:rsidRPr="00BB59D8">
              <w:t>39</w:t>
            </w:r>
          </w:p>
        </w:tc>
        <w:tc>
          <w:tcPr>
            <w:tcW w:w="461" w:type="pct"/>
            <w:vAlign w:val="center"/>
          </w:tcPr>
          <w:p w14:paraId="032E4620" w14:textId="77777777" w:rsidR="00533076" w:rsidRPr="00BB59D8" w:rsidRDefault="00533076" w:rsidP="00DB4BC1">
            <w:pPr>
              <w:pStyle w:val="Tabletext"/>
              <w:keepNext/>
              <w:widowControl w:val="0"/>
              <w:rPr>
                <w:b/>
                <w:bCs/>
              </w:rPr>
            </w:pPr>
            <w:r w:rsidRPr="00BB59D8">
              <w:t>4.8 (1.4)</w:t>
            </w:r>
          </w:p>
        </w:tc>
        <w:tc>
          <w:tcPr>
            <w:tcW w:w="542" w:type="pct"/>
            <w:vAlign w:val="center"/>
          </w:tcPr>
          <w:p w14:paraId="2144DA5F" w14:textId="77777777" w:rsidR="00533076" w:rsidRPr="00BB59D8" w:rsidRDefault="00533076" w:rsidP="00DB4BC1">
            <w:pPr>
              <w:pStyle w:val="Tabletext"/>
              <w:keepNext/>
              <w:widowControl w:val="0"/>
              <w:rPr>
                <w:b/>
                <w:bCs/>
              </w:rPr>
            </w:pPr>
            <w:r w:rsidRPr="00BB59D8">
              <w:rPr>
                <w:b/>
                <w:bCs/>
              </w:rPr>
              <w:t>1.9 (2.1)</w:t>
            </w:r>
          </w:p>
        </w:tc>
        <w:tc>
          <w:tcPr>
            <w:tcW w:w="307" w:type="pct"/>
            <w:vAlign w:val="center"/>
          </w:tcPr>
          <w:p w14:paraId="697A3073" w14:textId="77777777" w:rsidR="00533076" w:rsidRPr="00BB59D8" w:rsidRDefault="00533076" w:rsidP="00DB4BC1">
            <w:pPr>
              <w:pStyle w:val="Tabletext"/>
              <w:keepNext/>
              <w:widowControl w:val="0"/>
            </w:pPr>
            <w:r w:rsidRPr="00BB59D8">
              <w:t>37</w:t>
            </w:r>
          </w:p>
        </w:tc>
        <w:tc>
          <w:tcPr>
            <w:tcW w:w="614" w:type="pct"/>
            <w:vAlign w:val="center"/>
          </w:tcPr>
          <w:p w14:paraId="0FA196A1" w14:textId="77777777" w:rsidR="00533076" w:rsidRPr="00BB59D8" w:rsidRDefault="00533076" w:rsidP="00DB4BC1">
            <w:pPr>
              <w:pStyle w:val="Tabletext"/>
              <w:keepNext/>
              <w:widowControl w:val="0"/>
            </w:pPr>
            <w:r w:rsidRPr="00BB59D8">
              <w:t>5.04 (1.89)</w:t>
            </w:r>
          </w:p>
        </w:tc>
        <w:tc>
          <w:tcPr>
            <w:tcW w:w="307" w:type="pct"/>
            <w:vAlign w:val="center"/>
          </w:tcPr>
          <w:p w14:paraId="451C52B7" w14:textId="77777777" w:rsidR="00533076" w:rsidRPr="00BB59D8" w:rsidRDefault="00533076" w:rsidP="00DB4BC1">
            <w:pPr>
              <w:pStyle w:val="Tabletext"/>
              <w:keepNext/>
              <w:widowControl w:val="0"/>
            </w:pPr>
            <w:r w:rsidRPr="00BB59D8">
              <w:t>22</w:t>
            </w:r>
          </w:p>
        </w:tc>
        <w:tc>
          <w:tcPr>
            <w:tcW w:w="616" w:type="pct"/>
            <w:vAlign w:val="center"/>
          </w:tcPr>
          <w:p w14:paraId="6A9E011B" w14:textId="77777777" w:rsidR="00533076" w:rsidRPr="00BB59D8" w:rsidRDefault="00533076" w:rsidP="00DB4BC1">
            <w:pPr>
              <w:pStyle w:val="Tabletext"/>
              <w:keepNext/>
              <w:widowControl w:val="0"/>
            </w:pPr>
            <w:r w:rsidRPr="00BB59D8">
              <w:t>-0.35 (2.64)</w:t>
            </w:r>
          </w:p>
        </w:tc>
        <w:tc>
          <w:tcPr>
            <w:tcW w:w="231" w:type="pct"/>
            <w:vAlign w:val="center"/>
          </w:tcPr>
          <w:p w14:paraId="4A9D65B7" w14:textId="77777777" w:rsidR="00533076" w:rsidRPr="00BB59D8" w:rsidRDefault="00533076" w:rsidP="00DB4BC1">
            <w:pPr>
              <w:pStyle w:val="Tabletext"/>
              <w:keepNext/>
              <w:widowControl w:val="0"/>
              <w:rPr>
                <w:b/>
                <w:bCs/>
              </w:rPr>
            </w:pPr>
          </w:p>
        </w:tc>
        <w:tc>
          <w:tcPr>
            <w:tcW w:w="463" w:type="pct"/>
            <w:vAlign w:val="center"/>
          </w:tcPr>
          <w:p w14:paraId="1353EF74" w14:textId="77777777" w:rsidR="00533076" w:rsidRPr="00BB59D8" w:rsidRDefault="00533076" w:rsidP="00DB4BC1">
            <w:pPr>
              <w:pStyle w:val="Tabletext"/>
              <w:keepNext/>
              <w:widowControl w:val="0"/>
              <w:rPr>
                <w:b/>
                <w:bCs/>
              </w:rPr>
            </w:pPr>
          </w:p>
        </w:tc>
        <w:tc>
          <w:tcPr>
            <w:tcW w:w="612" w:type="pct"/>
            <w:vAlign w:val="center"/>
          </w:tcPr>
          <w:p w14:paraId="1616040B" w14:textId="77777777" w:rsidR="00533076" w:rsidRPr="00BB59D8" w:rsidRDefault="00533076" w:rsidP="00DB4BC1">
            <w:pPr>
              <w:pStyle w:val="Tabletext"/>
              <w:keepNext/>
              <w:widowControl w:val="0"/>
              <w:rPr>
                <w:b/>
                <w:bCs/>
              </w:rPr>
            </w:pPr>
          </w:p>
        </w:tc>
      </w:tr>
      <w:tr w:rsidR="00533076" w:rsidRPr="00BB59D8" w14:paraId="45CE4B8D" w14:textId="77777777" w:rsidTr="006206C0">
        <w:trPr>
          <w:trHeight w:val="234"/>
        </w:trPr>
        <w:tc>
          <w:tcPr>
            <w:tcW w:w="616" w:type="pct"/>
            <w:vAlign w:val="center"/>
          </w:tcPr>
          <w:p w14:paraId="26523AEA" w14:textId="77777777" w:rsidR="00533076" w:rsidRPr="00BB59D8" w:rsidRDefault="00533076" w:rsidP="00DB4BC1">
            <w:pPr>
              <w:pStyle w:val="Tabletext"/>
              <w:keepNext/>
              <w:widowControl w:val="0"/>
            </w:pPr>
            <w:r w:rsidRPr="00BB59D8">
              <w:t>Year 7</w:t>
            </w:r>
          </w:p>
        </w:tc>
        <w:tc>
          <w:tcPr>
            <w:tcW w:w="232" w:type="pct"/>
            <w:vAlign w:val="center"/>
          </w:tcPr>
          <w:p w14:paraId="3BAAE0E6" w14:textId="77777777" w:rsidR="00533076" w:rsidRPr="00BB59D8" w:rsidRDefault="00533076" w:rsidP="00DB4BC1">
            <w:pPr>
              <w:pStyle w:val="Tabletext"/>
              <w:keepNext/>
              <w:widowControl w:val="0"/>
            </w:pPr>
            <w:r w:rsidRPr="00BB59D8">
              <w:t>25</w:t>
            </w:r>
          </w:p>
        </w:tc>
        <w:tc>
          <w:tcPr>
            <w:tcW w:w="461" w:type="pct"/>
            <w:vAlign w:val="center"/>
          </w:tcPr>
          <w:p w14:paraId="2582B2BF" w14:textId="77777777" w:rsidR="00533076" w:rsidRPr="00BB59D8" w:rsidRDefault="00533076" w:rsidP="00DB4BC1">
            <w:pPr>
              <w:pStyle w:val="Tabletext"/>
              <w:keepNext/>
              <w:widowControl w:val="0"/>
              <w:rPr>
                <w:b/>
                <w:bCs/>
              </w:rPr>
            </w:pPr>
            <w:r w:rsidRPr="00BB59D8">
              <w:t>4.3 (1.5)</w:t>
            </w:r>
          </w:p>
        </w:tc>
        <w:tc>
          <w:tcPr>
            <w:tcW w:w="542" w:type="pct"/>
            <w:vAlign w:val="center"/>
          </w:tcPr>
          <w:p w14:paraId="220FFF0A" w14:textId="77777777" w:rsidR="00533076" w:rsidRPr="00BB59D8" w:rsidRDefault="00533076" w:rsidP="00DB4BC1">
            <w:pPr>
              <w:pStyle w:val="Tabletext"/>
              <w:keepNext/>
              <w:widowControl w:val="0"/>
              <w:rPr>
                <w:b/>
                <w:bCs/>
              </w:rPr>
            </w:pPr>
            <w:r w:rsidRPr="00BB59D8">
              <w:rPr>
                <w:b/>
                <w:bCs/>
              </w:rPr>
              <w:t>1.4 (2.3)</w:t>
            </w:r>
          </w:p>
        </w:tc>
        <w:tc>
          <w:tcPr>
            <w:tcW w:w="307" w:type="pct"/>
            <w:vAlign w:val="center"/>
          </w:tcPr>
          <w:p w14:paraId="5AB7D835" w14:textId="77777777" w:rsidR="00533076" w:rsidRPr="00BB59D8" w:rsidRDefault="00533076" w:rsidP="00DB4BC1">
            <w:pPr>
              <w:pStyle w:val="Tabletext"/>
              <w:keepNext/>
              <w:widowControl w:val="0"/>
            </w:pPr>
            <w:r w:rsidRPr="00BB59D8">
              <w:t>21</w:t>
            </w:r>
          </w:p>
        </w:tc>
        <w:tc>
          <w:tcPr>
            <w:tcW w:w="614" w:type="pct"/>
            <w:vAlign w:val="center"/>
          </w:tcPr>
          <w:p w14:paraId="59EE3E39" w14:textId="77777777" w:rsidR="00533076" w:rsidRPr="00BB59D8" w:rsidRDefault="00533076" w:rsidP="00DB4BC1">
            <w:pPr>
              <w:pStyle w:val="Tabletext"/>
              <w:keepNext/>
              <w:widowControl w:val="0"/>
            </w:pPr>
            <w:r w:rsidRPr="00BB59D8">
              <w:t>5.29 (2.34)</w:t>
            </w:r>
          </w:p>
        </w:tc>
        <w:tc>
          <w:tcPr>
            <w:tcW w:w="307" w:type="pct"/>
            <w:vAlign w:val="center"/>
          </w:tcPr>
          <w:p w14:paraId="23D5E9CC" w14:textId="77777777" w:rsidR="00533076" w:rsidRPr="00BB59D8" w:rsidRDefault="00533076" w:rsidP="00DB4BC1">
            <w:pPr>
              <w:pStyle w:val="Tabletext"/>
              <w:keepNext/>
              <w:widowControl w:val="0"/>
            </w:pPr>
            <w:r w:rsidRPr="00BB59D8">
              <w:t>12</w:t>
            </w:r>
          </w:p>
        </w:tc>
        <w:tc>
          <w:tcPr>
            <w:tcW w:w="616" w:type="pct"/>
            <w:vAlign w:val="center"/>
          </w:tcPr>
          <w:p w14:paraId="60770FD3" w14:textId="77777777" w:rsidR="00533076" w:rsidRPr="00BB59D8" w:rsidRDefault="00533076" w:rsidP="00DB4BC1">
            <w:pPr>
              <w:pStyle w:val="Tabletext"/>
              <w:keepNext/>
              <w:widowControl w:val="0"/>
            </w:pPr>
            <w:r w:rsidRPr="00BB59D8">
              <w:t>0.10 (3.11)</w:t>
            </w:r>
          </w:p>
        </w:tc>
        <w:tc>
          <w:tcPr>
            <w:tcW w:w="231" w:type="pct"/>
            <w:vAlign w:val="center"/>
          </w:tcPr>
          <w:p w14:paraId="52A6EDE3" w14:textId="77777777" w:rsidR="00533076" w:rsidRPr="00BB59D8" w:rsidRDefault="00533076" w:rsidP="00DB4BC1">
            <w:pPr>
              <w:pStyle w:val="Tabletext"/>
              <w:keepNext/>
              <w:widowControl w:val="0"/>
              <w:rPr>
                <w:b/>
                <w:bCs/>
              </w:rPr>
            </w:pPr>
          </w:p>
        </w:tc>
        <w:tc>
          <w:tcPr>
            <w:tcW w:w="463" w:type="pct"/>
            <w:vAlign w:val="center"/>
          </w:tcPr>
          <w:p w14:paraId="69010E4E" w14:textId="77777777" w:rsidR="00533076" w:rsidRPr="00BB59D8" w:rsidRDefault="00533076" w:rsidP="00DB4BC1">
            <w:pPr>
              <w:pStyle w:val="Tabletext"/>
              <w:keepNext/>
              <w:widowControl w:val="0"/>
              <w:rPr>
                <w:b/>
                <w:bCs/>
              </w:rPr>
            </w:pPr>
          </w:p>
        </w:tc>
        <w:tc>
          <w:tcPr>
            <w:tcW w:w="612" w:type="pct"/>
            <w:vAlign w:val="center"/>
          </w:tcPr>
          <w:p w14:paraId="688EB54D" w14:textId="77777777" w:rsidR="00533076" w:rsidRPr="00BB59D8" w:rsidRDefault="00533076" w:rsidP="00DB4BC1">
            <w:pPr>
              <w:pStyle w:val="Tabletext"/>
              <w:keepNext/>
              <w:widowControl w:val="0"/>
              <w:rPr>
                <w:b/>
                <w:bCs/>
              </w:rPr>
            </w:pPr>
          </w:p>
        </w:tc>
      </w:tr>
      <w:tr w:rsidR="00533076" w:rsidRPr="00BB59D8" w14:paraId="39A2ACA9" w14:textId="77777777" w:rsidTr="006206C0">
        <w:trPr>
          <w:trHeight w:val="215"/>
        </w:trPr>
        <w:tc>
          <w:tcPr>
            <w:tcW w:w="616" w:type="pct"/>
            <w:vAlign w:val="center"/>
          </w:tcPr>
          <w:p w14:paraId="16352E60" w14:textId="77777777" w:rsidR="00533076" w:rsidRPr="00BB59D8" w:rsidRDefault="00533076" w:rsidP="00DB4BC1">
            <w:pPr>
              <w:pStyle w:val="Tabletext"/>
              <w:keepNext/>
              <w:widowControl w:val="0"/>
            </w:pPr>
            <w:r w:rsidRPr="00BB59D8">
              <w:t>Year 8</w:t>
            </w:r>
          </w:p>
        </w:tc>
        <w:tc>
          <w:tcPr>
            <w:tcW w:w="232" w:type="pct"/>
            <w:vAlign w:val="center"/>
          </w:tcPr>
          <w:p w14:paraId="1140DDAA" w14:textId="77777777" w:rsidR="00533076" w:rsidRPr="00BB59D8" w:rsidRDefault="00533076" w:rsidP="00DB4BC1">
            <w:pPr>
              <w:pStyle w:val="Tabletext"/>
              <w:keepNext/>
              <w:widowControl w:val="0"/>
            </w:pPr>
            <w:r w:rsidRPr="00BB59D8">
              <w:t>19</w:t>
            </w:r>
          </w:p>
        </w:tc>
        <w:tc>
          <w:tcPr>
            <w:tcW w:w="461" w:type="pct"/>
            <w:vAlign w:val="center"/>
          </w:tcPr>
          <w:p w14:paraId="00846C7F" w14:textId="77777777" w:rsidR="00533076" w:rsidRPr="00BB59D8" w:rsidRDefault="00533076" w:rsidP="00DB4BC1">
            <w:pPr>
              <w:pStyle w:val="Tabletext"/>
              <w:keepNext/>
              <w:widowControl w:val="0"/>
              <w:rPr>
                <w:b/>
                <w:bCs/>
              </w:rPr>
            </w:pPr>
            <w:r w:rsidRPr="00BB59D8">
              <w:t>4.4 (1.5)</w:t>
            </w:r>
          </w:p>
        </w:tc>
        <w:tc>
          <w:tcPr>
            <w:tcW w:w="542" w:type="pct"/>
            <w:vAlign w:val="center"/>
          </w:tcPr>
          <w:p w14:paraId="7342FE47" w14:textId="77777777" w:rsidR="00533076" w:rsidRPr="00BB59D8" w:rsidRDefault="00533076" w:rsidP="00DB4BC1">
            <w:pPr>
              <w:pStyle w:val="Tabletext"/>
              <w:keepNext/>
              <w:widowControl w:val="0"/>
              <w:rPr>
                <w:b/>
                <w:bCs/>
              </w:rPr>
            </w:pPr>
            <w:r w:rsidRPr="00BB59D8">
              <w:rPr>
                <w:b/>
                <w:bCs/>
              </w:rPr>
              <w:t>1.3 (2.8)</w:t>
            </w:r>
          </w:p>
        </w:tc>
        <w:tc>
          <w:tcPr>
            <w:tcW w:w="307" w:type="pct"/>
            <w:vAlign w:val="center"/>
          </w:tcPr>
          <w:p w14:paraId="6C21E832" w14:textId="77777777" w:rsidR="00533076" w:rsidRPr="00BB59D8" w:rsidRDefault="00533076" w:rsidP="00DB4BC1">
            <w:pPr>
              <w:pStyle w:val="Tabletext"/>
              <w:keepNext/>
              <w:widowControl w:val="0"/>
            </w:pPr>
            <w:r w:rsidRPr="00BB59D8">
              <w:t>14</w:t>
            </w:r>
          </w:p>
        </w:tc>
        <w:tc>
          <w:tcPr>
            <w:tcW w:w="614" w:type="pct"/>
            <w:vAlign w:val="center"/>
          </w:tcPr>
          <w:p w14:paraId="6BD5BC06" w14:textId="77777777" w:rsidR="00533076" w:rsidRPr="00BB59D8" w:rsidRDefault="00533076" w:rsidP="00DB4BC1">
            <w:pPr>
              <w:pStyle w:val="Tabletext"/>
              <w:keepNext/>
              <w:widowControl w:val="0"/>
            </w:pPr>
            <w:r w:rsidRPr="00BB59D8">
              <w:t>5.65 (2.45)</w:t>
            </w:r>
          </w:p>
        </w:tc>
        <w:tc>
          <w:tcPr>
            <w:tcW w:w="307" w:type="pct"/>
            <w:vAlign w:val="center"/>
          </w:tcPr>
          <w:p w14:paraId="019B27BF" w14:textId="77777777" w:rsidR="00533076" w:rsidRPr="00BB59D8" w:rsidRDefault="00533076" w:rsidP="00DB4BC1">
            <w:pPr>
              <w:pStyle w:val="Tabletext"/>
              <w:keepNext/>
              <w:widowControl w:val="0"/>
            </w:pPr>
            <w:r w:rsidRPr="00BB59D8">
              <w:t>8</w:t>
            </w:r>
          </w:p>
        </w:tc>
        <w:tc>
          <w:tcPr>
            <w:tcW w:w="616" w:type="pct"/>
            <w:vAlign w:val="center"/>
          </w:tcPr>
          <w:p w14:paraId="38507DB7" w14:textId="77777777" w:rsidR="00533076" w:rsidRPr="00BB59D8" w:rsidRDefault="00533076" w:rsidP="00DB4BC1">
            <w:pPr>
              <w:pStyle w:val="Tabletext"/>
              <w:keepNext/>
              <w:widowControl w:val="0"/>
            </w:pPr>
            <w:r w:rsidRPr="00BB59D8">
              <w:t>-0.51 (2.67)</w:t>
            </w:r>
          </w:p>
        </w:tc>
        <w:tc>
          <w:tcPr>
            <w:tcW w:w="231" w:type="pct"/>
            <w:vAlign w:val="center"/>
          </w:tcPr>
          <w:p w14:paraId="02F39939" w14:textId="77777777" w:rsidR="00533076" w:rsidRPr="00BB59D8" w:rsidRDefault="00533076" w:rsidP="00DB4BC1">
            <w:pPr>
              <w:pStyle w:val="Tabletext"/>
              <w:keepNext/>
              <w:widowControl w:val="0"/>
              <w:rPr>
                <w:b/>
                <w:bCs/>
              </w:rPr>
            </w:pPr>
          </w:p>
        </w:tc>
        <w:tc>
          <w:tcPr>
            <w:tcW w:w="463" w:type="pct"/>
            <w:vAlign w:val="center"/>
          </w:tcPr>
          <w:p w14:paraId="5649C013" w14:textId="77777777" w:rsidR="00533076" w:rsidRPr="00BB59D8" w:rsidRDefault="00533076" w:rsidP="00DB4BC1">
            <w:pPr>
              <w:pStyle w:val="Tabletext"/>
              <w:keepNext/>
              <w:widowControl w:val="0"/>
              <w:rPr>
                <w:b/>
                <w:bCs/>
              </w:rPr>
            </w:pPr>
          </w:p>
        </w:tc>
        <w:tc>
          <w:tcPr>
            <w:tcW w:w="612" w:type="pct"/>
            <w:vAlign w:val="center"/>
          </w:tcPr>
          <w:p w14:paraId="665A84B9" w14:textId="77777777" w:rsidR="00533076" w:rsidRPr="00BB59D8" w:rsidRDefault="00533076" w:rsidP="00DB4BC1">
            <w:pPr>
              <w:pStyle w:val="Tabletext"/>
              <w:keepNext/>
              <w:widowControl w:val="0"/>
              <w:rPr>
                <w:b/>
                <w:bCs/>
              </w:rPr>
            </w:pPr>
          </w:p>
        </w:tc>
      </w:tr>
      <w:tr w:rsidR="00533076" w:rsidRPr="00BB59D8" w14:paraId="6CB7FBC8" w14:textId="77777777" w:rsidTr="006206C0">
        <w:trPr>
          <w:trHeight w:val="234"/>
        </w:trPr>
        <w:tc>
          <w:tcPr>
            <w:tcW w:w="616" w:type="pct"/>
            <w:vAlign w:val="center"/>
          </w:tcPr>
          <w:p w14:paraId="30C6A81C" w14:textId="77777777" w:rsidR="00533076" w:rsidRPr="00BB59D8" w:rsidRDefault="00533076" w:rsidP="00DB4BC1">
            <w:pPr>
              <w:pStyle w:val="Tabletext"/>
              <w:keepNext/>
              <w:widowControl w:val="0"/>
            </w:pPr>
            <w:r w:rsidRPr="00BB59D8">
              <w:t>Year 9</w:t>
            </w:r>
          </w:p>
        </w:tc>
        <w:tc>
          <w:tcPr>
            <w:tcW w:w="232" w:type="pct"/>
            <w:vAlign w:val="center"/>
          </w:tcPr>
          <w:p w14:paraId="502C1668" w14:textId="77777777" w:rsidR="00533076" w:rsidRPr="00BB59D8" w:rsidRDefault="00533076" w:rsidP="00DB4BC1">
            <w:pPr>
              <w:pStyle w:val="Tabletext"/>
              <w:keepNext/>
              <w:widowControl w:val="0"/>
            </w:pPr>
            <w:r w:rsidRPr="00BB59D8">
              <w:t>14</w:t>
            </w:r>
          </w:p>
        </w:tc>
        <w:tc>
          <w:tcPr>
            <w:tcW w:w="461" w:type="pct"/>
            <w:vAlign w:val="center"/>
          </w:tcPr>
          <w:p w14:paraId="466484A0" w14:textId="77777777" w:rsidR="00533076" w:rsidRPr="00BB59D8" w:rsidRDefault="00533076" w:rsidP="00DB4BC1">
            <w:pPr>
              <w:pStyle w:val="Tabletext"/>
              <w:keepNext/>
              <w:widowControl w:val="0"/>
            </w:pPr>
            <w:r w:rsidRPr="00BB59D8">
              <w:t>4.4 (1.7)</w:t>
            </w:r>
          </w:p>
        </w:tc>
        <w:tc>
          <w:tcPr>
            <w:tcW w:w="542" w:type="pct"/>
            <w:vAlign w:val="center"/>
          </w:tcPr>
          <w:p w14:paraId="1940B6BC" w14:textId="77777777" w:rsidR="00533076" w:rsidRPr="00BB59D8" w:rsidRDefault="00533076" w:rsidP="00DB4BC1">
            <w:pPr>
              <w:pStyle w:val="Tabletext"/>
              <w:keepNext/>
              <w:widowControl w:val="0"/>
            </w:pPr>
            <w:r w:rsidRPr="00BB59D8">
              <w:t>1.1 (3.2)</w:t>
            </w:r>
          </w:p>
        </w:tc>
        <w:tc>
          <w:tcPr>
            <w:tcW w:w="307" w:type="pct"/>
            <w:vAlign w:val="center"/>
          </w:tcPr>
          <w:p w14:paraId="62AEFE25" w14:textId="77777777" w:rsidR="00533076" w:rsidRPr="00BB59D8" w:rsidRDefault="00533076" w:rsidP="00DB4BC1">
            <w:pPr>
              <w:pStyle w:val="Tabletext"/>
              <w:keepNext/>
              <w:widowControl w:val="0"/>
            </w:pPr>
            <w:r w:rsidRPr="00BB59D8">
              <w:t>6</w:t>
            </w:r>
          </w:p>
        </w:tc>
        <w:tc>
          <w:tcPr>
            <w:tcW w:w="614" w:type="pct"/>
            <w:vAlign w:val="center"/>
          </w:tcPr>
          <w:p w14:paraId="6E58C5F4" w14:textId="77777777" w:rsidR="00533076" w:rsidRPr="00BB59D8" w:rsidRDefault="00533076" w:rsidP="00DB4BC1">
            <w:pPr>
              <w:pStyle w:val="Tabletext"/>
              <w:keepNext/>
              <w:widowControl w:val="0"/>
            </w:pPr>
            <w:r w:rsidRPr="00BB59D8">
              <w:t>3.15 (1.79)</w:t>
            </w:r>
          </w:p>
        </w:tc>
        <w:tc>
          <w:tcPr>
            <w:tcW w:w="307" w:type="pct"/>
            <w:vAlign w:val="center"/>
          </w:tcPr>
          <w:p w14:paraId="5EAF0CC9" w14:textId="77777777" w:rsidR="00533076" w:rsidRPr="00BB59D8" w:rsidRDefault="00533076" w:rsidP="00DB4BC1">
            <w:pPr>
              <w:pStyle w:val="Tabletext"/>
              <w:keepNext/>
              <w:widowControl w:val="0"/>
            </w:pPr>
            <w:r w:rsidRPr="00BB59D8">
              <w:t>2</w:t>
            </w:r>
          </w:p>
        </w:tc>
        <w:tc>
          <w:tcPr>
            <w:tcW w:w="616" w:type="pct"/>
            <w:vAlign w:val="center"/>
          </w:tcPr>
          <w:p w14:paraId="7C8A71A1" w14:textId="77777777" w:rsidR="00533076" w:rsidRPr="00BB59D8" w:rsidRDefault="00533076" w:rsidP="00DB4BC1">
            <w:pPr>
              <w:pStyle w:val="Tabletext"/>
              <w:keepNext/>
              <w:widowControl w:val="0"/>
            </w:pPr>
            <w:r w:rsidRPr="00BB59D8">
              <w:t>NR</w:t>
            </w:r>
          </w:p>
        </w:tc>
        <w:tc>
          <w:tcPr>
            <w:tcW w:w="231" w:type="pct"/>
            <w:vAlign w:val="center"/>
          </w:tcPr>
          <w:p w14:paraId="66361BEE" w14:textId="77777777" w:rsidR="00533076" w:rsidRPr="00BB59D8" w:rsidRDefault="00533076" w:rsidP="00DB4BC1">
            <w:pPr>
              <w:pStyle w:val="Tabletext"/>
              <w:keepNext/>
              <w:widowControl w:val="0"/>
            </w:pPr>
          </w:p>
        </w:tc>
        <w:tc>
          <w:tcPr>
            <w:tcW w:w="463" w:type="pct"/>
            <w:vAlign w:val="center"/>
          </w:tcPr>
          <w:p w14:paraId="44DA6FC6" w14:textId="77777777" w:rsidR="00533076" w:rsidRPr="00BB59D8" w:rsidRDefault="00533076" w:rsidP="00DB4BC1">
            <w:pPr>
              <w:pStyle w:val="Tabletext"/>
              <w:keepNext/>
              <w:widowControl w:val="0"/>
            </w:pPr>
          </w:p>
        </w:tc>
        <w:tc>
          <w:tcPr>
            <w:tcW w:w="612" w:type="pct"/>
            <w:vAlign w:val="center"/>
          </w:tcPr>
          <w:p w14:paraId="0AFED181" w14:textId="77777777" w:rsidR="00533076" w:rsidRPr="00BB59D8" w:rsidRDefault="00533076" w:rsidP="00DB4BC1">
            <w:pPr>
              <w:pStyle w:val="Tabletext"/>
              <w:keepNext/>
              <w:widowControl w:val="0"/>
            </w:pPr>
          </w:p>
        </w:tc>
      </w:tr>
      <w:tr w:rsidR="00533076" w:rsidRPr="00BB59D8" w14:paraId="74630AE2" w14:textId="77777777" w:rsidTr="006206C0">
        <w:trPr>
          <w:trHeight w:val="234"/>
        </w:trPr>
        <w:tc>
          <w:tcPr>
            <w:tcW w:w="616" w:type="pct"/>
            <w:vAlign w:val="center"/>
          </w:tcPr>
          <w:p w14:paraId="69431127" w14:textId="77777777" w:rsidR="00533076" w:rsidRPr="00BB59D8" w:rsidRDefault="00533076" w:rsidP="00DB4BC1">
            <w:pPr>
              <w:pStyle w:val="Tabletext"/>
              <w:keepNext/>
              <w:widowControl w:val="0"/>
            </w:pPr>
            <w:r w:rsidRPr="00BB59D8">
              <w:t>Year 10</w:t>
            </w:r>
          </w:p>
        </w:tc>
        <w:tc>
          <w:tcPr>
            <w:tcW w:w="232" w:type="pct"/>
            <w:vAlign w:val="center"/>
          </w:tcPr>
          <w:p w14:paraId="4CF5FBC7" w14:textId="77777777" w:rsidR="00533076" w:rsidRPr="00BB59D8" w:rsidRDefault="00533076" w:rsidP="00DB4BC1">
            <w:pPr>
              <w:pStyle w:val="Tabletext"/>
              <w:keepNext/>
              <w:widowControl w:val="0"/>
            </w:pPr>
            <w:r w:rsidRPr="00BB59D8">
              <w:t>13</w:t>
            </w:r>
          </w:p>
        </w:tc>
        <w:tc>
          <w:tcPr>
            <w:tcW w:w="461" w:type="pct"/>
            <w:vAlign w:val="center"/>
          </w:tcPr>
          <w:p w14:paraId="13C8EFBE" w14:textId="77777777" w:rsidR="00533076" w:rsidRPr="00BB59D8" w:rsidRDefault="00533076" w:rsidP="00DB4BC1">
            <w:pPr>
              <w:pStyle w:val="Tabletext"/>
              <w:keepNext/>
              <w:widowControl w:val="0"/>
            </w:pPr>
            <w:r w:rsidRPr="00BB59D8">
              <w:t>4.5 (2.0)</w:t>
            </w:r>
          </w:p>
        </w:tc>
        <w:tc>
          <w:tcPr>
            <w:tcW w:w="542" w:type="pct"/>
            <w:vAlign w:val="center"/>
          </w:tcPr>
          <w:p w14:paraId="1EA1F576" w14:textId="77777777" w:rsidR="00533076" w:rsidRPr="00BB59D8" w:rsidRDefault="00533076" w:rsidP="00DB4BC1">
            <w:pPr>
              <w:pStyle w:val="Tabletext"/>
              <w:keepNext/>
              <w:widowControl w:val="0"/>
            </w:pPr>
            <w:r w:rsidRPr="00BB59D8">
              <w:t>1.1 (3.5)</w:t>
            </w:r>
          </w:p>
        </w:tc>
        <w:tc>
          <w:tcPr>
            <w:tcW w:w="307" w:type="pct"/>
            <w:vAlign w:val="center"/>
          </w:tcPr>
          <w:p w14:paraId="46527480" w14:textId="77777777" w:rsidR="00533076" w:rsidRPr="00BB59D8" w:rsidRDefault="00533076" w:rsidP="00DB4BC1">
            <w:pPr>
              <w:pStyle w:val="Tabletext"/>
              <w:keepNext/>
              <w:widowControl w:val="0"/>
            </w:pPr>
            <w:r w:rsidRPr="00BB59D8">
              <w:t>3</w:t>
            </w:r>
          </w:p>
        </w:tc>
        <w:tc>
          <w:tcPr>
            <w:tcW w:w="614" w:type="pct"/>
            <w:vAlign w:val="center"/>
          </w:tcPr>
          <w:p w14:paraId="644C3B06" w14:textId="77777777" w:rsidR="00533076" w:rsidRPr="00BB59D8" w:rsidRDefault="00533076" w:rsidP="00DB4BC1">
            <w:pPr>
              <w:pStyle w:val="Tabletext"/>
              <w:keepNext/>
              <w:widowControl w:val="0"/>
            </w:pPr>
            <w:r w:rsidRPr="00BB59D8">
              <w:t>4.34 (1.27)</w:t>
            </w:r>
          </w:p>
        </w:tc>
        <w:tc>
          <w:tcPr>
            <w:tcW w:w="307" w:type="pct"/>
            <w:vAlign w:val="center"/>
          </w:tcPr>
          <w:p w14:paraId="5B813DEE" w14:textId="77777777" w:rsidR="00533076" w:rsidRPr="00BB59D8" w:rsidRDefault="00533076" w:rsidP="00DB4BC1">
            <w:pPr>
              <w:pStyle w:val="Tabletext"/>
              <w:keepNext/>
              <w:widowControl w:val="0"/>
            </w:pPr>
            <w:r w:rsidRPr="00BB59D8">
              <w:t>1</w:t>
            </w:r>
          </w:p>
        </w:tc>
        <w:tc>
          <w:tcPr>
            <w:tcW w:w="616" w:type="pct"/>
            <w:vAlign w:val="center"/>
          </w:tcPr>
          <w:p w14:paraId="0831AAC2" w14:textId="77777777" w:rsidR="00533076" w:rsidRPr="00BB59D8" w:rsidRDefault="00533076" w:rsidP="00DB4BC1">
            <w:pPr>
              <w:pStyle w:val="Tabletext"/>
              <w:keepNext/>
              <w:widowControl w:val="0"/>
            </w:pPr>
            <w:r w:rsidRPr="00BB59D8">
              <w:t>NR</w:t>
            </w:r>
          </w:p>
        </w:tc>
        <w:tc>
          <w:tcPr>
            <w:tcW w:w="231" w:type="pct"/>
            <w:vAlign w:val="center"/>
          </w:tcPr>
          <w:p w14:paraId="7470790A" w14:textId="77777777" w:rsidR="00533076" w:rsidRPr="00BB59D8" w:rsidRDefault="00533076" w:rsidP="00DB4BC1">
            <w:pPr>
              <w:pStyle w:val="Tabletext"/>
              <w:keepNext/>
              <w:widowControl w:val="0"/>
            </w:pPr>
          </w:p>
        </w:tc>
        <w:tc>
          <w:tcPr>
            <w:tcW w:w="463" w:type="pct"/>
            <w:vAlign w:val="center"/>
          </w:tcPr>
          <w:p w14:paraId="19E0670D" w14:textId="77777777" w:rsidR="00533076" w:rsidRPr="00BB59D8" w:rsidRDefault="00533076" w:rsidP="00DB4BC1">
            <w:pPr>
              <w:pStyle w:val="Tabletext"/>
              <w:keepNext/>
              <w:widowControl w:val="0"/>
            </w:pPr>
          </w:p>
        </w:tc>
        <w:tc>
          <w:tcPr>
            <w:tcW w:w="612" w:type="pct"/>
            <w:vAlign w:val="center"/>
          </w:tcPr>
          <w:p w14:paraId="50DE1F49" w14:textId="77777777" w:rsidR="00533076" w:rsidRPr="00BB59D8" w:rsidRDefault="00533076" w:rsidP="00DB4BC1">
            <w:pPr>
              <w:pStyle w:val="Tabletext"/>
              <w:keepNext/>
              <w:widowControl w:val="0"/>
            </w:pPr>
          </w:p>
        </w:tc>
      </w:tr>
      <w:tr w:rsidR="00533076" w:rsidRPr="00BB59D8" w14:paraId="05EBEEDE" w14:textId="77777777" w:rsidTr="006206C0">
        <w:trPr>
          <w:trHeight w:val="234"/>
        </w:trPr>
        <w:tc>
          <w:tcPr>
            <w:tcW w:w="616" w:type="pct"/>
            <w:vAlign w:val="center"/>
          </w:tcPr>
          <w:p w14:paraId="16A5785D" w14:textId="77777777" w:rsidR="00533076" w:rsidRPr="00BB59D8" w:rsidRDefault="00533076" w:rsidP="00DB4BC1">
            <w:pPr>
              <w:pStyle w:val="Tabletext"/>
              <w:keepNext/>
              <w:widowControl w:val="0"/>
            </w:pPr>
            <w:r w:rsidRPr="00BB59D8">
              <w:t>Year 11</w:t>
            </w:r>
          </w:p>
        </w:tc>
        <w:tc>
          <w:tcPr>
            <w:tcW w:w="232" w:type="pct"/>
            <w:vAlign w:val="center"/>
          </w:tcPr>
          <w:p w14:paraId="65074FCA" w14:textId="77777777" w:rsidR="00533076" w:rsidRPr="00BB59D8" w:rsidRDefault="00533076" w:rsidP="00DB4BC1">
            <w:pPr>
              <w:pStyle w:val="Tabletext"/>
              <w:keepNext/>
              <w:widowControl w:val="0"/>
            </w:pPr>
            <w:r w:rsidRPr="00BB59D8">
              <w:t>12</w:t>
            </w:r>
          </w:p>
        </w:tc>
        <w:tc>
          <w:tcPr>
            <w:tcW w:w="461" w:type="pct"/>
            <w:vAlign w:val="center"/>
          </w:tcPr>
          <w:p w14:paraId="648CE793" w14:textId="77777777" w:rsidR="00533076" w:rsidRPr="00BB59D8" w:rsidRDefault="00533076" w:rsidP="00DB4BC1">
            <w:pPr>
              <w:pStyle w:val="Tabletext"/>
              <w:keepNext/>
              <w:widowControl w:val="0"/>
            </w:pPr>
            <w:r w:rsidRPr="00BB59D8">
              <w:t>4.1 (2.0)</w:t>
            </w:r>
          </w:p>
        </w:tc>
        <w:tc>
          <w:tcPr>
            <w:tcW w:w="542" w:type="pct"/>
            <w:vAlign w:val="center"/>
          </w:tcPr>
          <w:p w14:paraId="0C9CE186" w14:textId="77777777" w:rsidR="00533076" w:rsidRPr="00BB59D8" w:rsidRDefault="00533076" w:rsidP="00DB4BC1">
            <w:pPr>
              <w:pStyle w:val="Tabletext"/>
              <w:keepNext/>
              <w:widowControl w:val="0"/>
            </w:pPr>
            <w:r w:rsidRPr="00BB59D8">
              <w:t>0.7 (3.3)</w:t>
            </w:r>
          </w:p>
        </w:tc>
        <w:tc>
          <w:tcPr>
            <w:tcW w:w="307" w:type="pct"/>
            <w:vAlign w:val="center"/>
          </w:tcPr>
          <w:p w14:paraId="79849377" w14:textId="77777777" w:rsidR="00533076" w:rsidRPr="00BB59D8" w:rsidRDefault="00533076" w:rsidP="00DB4BC1">
            <w:pPr>
              <w:pStyle w:val="Tabletext"/>
              <w:keepNext/>
              <w:widowControl w:val="0"/>
            </w:pPr>
          </w:p>
        </w:tc>
        <w:tc>
          <w:tcPr>
            <w:tcW w:w="614" w:type="pct"/>
            <w:vAlign w:val="center"/>
          </w:tcPr>
          <w:p w14:paraId="6E1A2880" w14:textId="77777777" w:rsidR="00533076" w:rsidRPr="00BB59D8" w:rsidRDefault="00533076" w:rsidP="00DB4BC1">
            <w:pPr>
              <w:pStyle w:val="Tabletext"/>
              <w:keepNext/>
              <w:widowControl w:val="0"/>
            </w:pPr>
          </w:p>
        </w:tc>
        <w:tc>
          <w:tcPr>
            <w:tcW w:w="307" w:type="pct"/>
            <w:vAlign w:val="center"/>
          </w:tcPr>
          <w:p w14:paraId="7C90A278" w14:textId="77777777" w:rsidR="00533076" w:rsidRPr="00BB59D8" w:rsidRDefault="00533076" w:rsidP="00DB4BC1">
            <w:pPr>
              <w:pStyle w:val="Tabletext"/>
              <w:keepNext/>
              <w:widowControl w:val="0"/>
            </w:pPr>
          </w:p>
        </w:tc>
        <w:tc>
          <w:tcPr>
            <w:tcW w:w="616" w:type="pct"/>
            <w:vAlign w:val="center"/>
          </w:tcPr>
          <w:p w14:paraId="53B5CC0E" w14:textId="77777777" w:rsidR="00533076" w:rsidRPr="00BB59D8" w:rsidRDefault="00533076" w:rsidP="00DB4BC1">
            <w:pPr>
              <w:pStyle w:val="Tabletext"/>
              <w:keepNext/>
              <w:widowControl w:val="0"/>
            </w:pPr>
          </w:p>
        </w:tc>
        <w:tc>
          <w:tcPr>
            <w:tcW w:w="231" w:type="pct"/>
            <w:vAlign w:val="center"/>
          </w:tcPr>
          <w:p w14:paraId="006215AC" w14:textId="77777777" w:rsidR="00533076" w:rsidRPr="00BB59D8" w:rsidRDefault="00533076" w:rsidP="00DB4BC1">
            <w:pPr>
              <w:pStyle w:val="Tabletext"/>
              <w:keepNext/>
              <w:widowControl w:val="0"/>
            </w:pPr>
          </w:p>
        </w:tc>
        <w:tc>
          <w:tcPr>
            <w:tcW w:w="463" w:type="pct"/>
            <w:vAlign w:val="center"/>
          </w:tcPr>
          <w:p w14:paraId="4DE62021" w14:textId="77777777" w:rsidR="00533076" w:rsidRPr="00BB59D8" w:rsidRDefault="00533076" w:rsidP="00DB4BC1">
            <w:pPr>
              <w:pStyle w:val="Tabletext"/>
              <w:keepNext/>
              <w:widowControl w:val="0"/>
            </w:pPr>
          </w:p>
        </w:tc>
        <w:tc>
          <w:tcPr>
            <w:tcW w:w="612" w:type="pct"/>
            <w:vAlign w:val="center"/>
          </w:tcPr>
          <w:p w14:paraId="106B781F" w14:textId="77777777" w:rsidR="00533076" w:rsidRPr="00BB59D8" w:rsidRDefault="00533076" w:rsidP="00DB4BC1">
            <w:pPr>
              <w:pStyle w:val="Tabletext"/>
              <w:keepNext/>
              <w:widowControl w:val="0"/>
            </w:pPr>
          </w:p>
        </w:tc>
      </w:tr>
      <w:tr w:rsidR="00533076" w:rsidRPr="00BB59D8" w14:paraId="7676B461" w14:textId="77777777" w:rsidTr="006206C0">
        <w:trPr>
          <w:trHeight w:val="234"/>
        </w:trPr>
        <w:tc>
          <w:tcPr>
            <w:tcW w:w="616" w:type="pct"/>
            <w:vAlign w:val="center"/>
          </w:tcPr>
          <w:p w14:paraId="47377791" w14:textId="77777777" w:rsidR="00533076" w:rsidRPr="00BB59D8" w:rsidRDefault="00533076" w:rsidP="00DB4BC1">
            <w:pPr>
              <w:pStyle w:val="Tabletext"/>
              <w:keepNext/>
              <w:widowControl w:val="0"/>
            </w:pPr>
            <w:r w:rsidRPr="00BB59D8">
              <w:t>Year 12</w:t>
            </w:r>
          </w:p>
        </w:tc>
        <w:tc>
          <w:tcPr>
            <w:tcW w:w="232" w:type="pct"/>
            <w:vAlign w:val="center"/>
          </w:tcPr>
          <w:p w14:paraId="35F2C301" w14:textId="77777777" w:rsidR="00533076" w:rsidRPr="00BB59D8" w:rsidRDefault="00533076" w:rsidP="00DB4BC1">
            <w:pPr>
              <w:pStyle w:val="Tabletext"/>
              <w:keepNext/>
              <w:widowControl w:val="0"/>
            </w:pPr>
            <w:r w:rsidRPr="00BB59D8">
              <w:t>10</w:t>
            </w:r>
          </w:p>
        </w:tc>
        <w:tc>
          <w:tcPr>
            <w:tcW w:w="461" w:type="pct"/>
            <w:vAlign w:val="center"/>
          </w:tcPr>
          <w:p w14:paraId="3D2FC239" w14:textId="77777777" w:rsidR="00533076" w:rsidRPr="00BB59D8" w:rsidRDefault="00533076" w:rsidP="00DB4BC1">
            <w:pPr>
              <w:pStyle w:val="Tabletext"/>
              <w:keepNext/>
              <w:widowControl w:val="0"/>
            </w:pPr>
            <w:r w:rsidRPr="00BB59D8">
              <w:t>3.9 (2.0)</w:t>
            </w:r>
          </w:p>
        </w:tc>
        <w:tc>
          <w:tcPr>
            <w:tcW w:w="542" w:type="pct"/>
            <w:vAlign w:val="center"/>
          </w:tcPr>
          <w:p w14:paraId="6C3ADBC5" w14:textId="77777777" w:rsidR="00533076" w:rsidRPr="00BB59D8" w:rsidRDefault="00533076" w:rsidP="00DB4BC1">
            <w:pPr>
              <w:pStyle w:val="Tabletext"/>
              <w:keepNext/>
              <w:widowControl w:val="0"/>
            </w:pPr>
            <w:r w:rsidRPr="00BB59D8">
              <w:t>-0.1 (3.2)</w:t>
            </w:r>
          </w:p>
        </w:tc>
        <w:tc>
          <w:tcPr>
            <w:tcW w:w="307" w:type="pct"/>
            <w:vAlign w:val="center"/>
          </w:tcPr>
          <w:p w14:paraId="290E1751" w14:textId="77777777" w:rsidR="00533076" w:rsidRPr="00BB59D8" w:rsidRDefault="00533076" w:rsidP="00DB4BC1">
            <w:pPr>
              <w:pStyle w:val="Tabletext"/>
              <w:keepNext/>
              <w:widowControl w:val="0"/>
            </w:pPr>
          </w:p>
        </w:tc>
        <w:tc>
          <w:tcPr>
            <w:tcW w:w="614" w:type="pct"/>
            <w:vAlign w:val="center"/>
          </w:tcPr>
          <w:p w14:paraId="1CA156EB" w14:textId="77777777" w:rsidR="00533076" w:rsidRPr="00BB59D8" w:rsidRDefault="00533076" w:rsidP="00DB4BC1">
            <w:pPr>
              <w:pStyle w:val="Tabletext"/>
              <w:keepNext/>
              <w:widowControl w:val="0"/>
            </w:pPr>
          </w:p>
        </w:tc>
        <w:tc>
          <w:tcPr>
            <w:tcW w:w="307" w:type="pct"/>
            <w:vAlign w:val="center"/>
          </w:tcPr>
          <w:p w14:paraId="74903CB3" w14:textId="77777777" w:rsidR="00533076" w:rsidRPr="00BB59D8" w:rsidRDefault="00533076" w:rsidP="00DB4BC1">
            <w:pPr>
              <w:pStyle w:val="Tabletext"/>
              <w:keepNext/>
              <w:widowControl w:val="0"/>
            </w:pPr>
          </w:p>
        </w:tc>
        <w:tc>
          <w:tcPr>
            <w:tcW w:w="616" w:type="pct"/>
            <w:vAlign w:val="center"/>
          </w:tcPr>
          <w:p w14:paraId="5C759C3B" w14:textId="77777777" w:rsidR="00533076" w:rsidRPr="00BB59D8" w:rsidRDefault="00533076" w:rsidP="00DB4BC1">
            <w:pPr>
              <w:pStyle w:val="Tabletext"/>
              <w:keepNext/>
              <w:widowControl w:val="0"/>
            </w:pPr>
          </w:p>
        </w:tc>
        <w:tc>
          <w:tcPr>
            <w:tcW w:w="231" w:type="pct"/>
            <w:vAlign w:val="center"/>
          </w:tcPr>
          <w:p w14:paraId="26F7715B" w14:textId="77777777" w:rsidR="00533076" w:rsidRPr="00BB59D8" w:rsidRDefault="00533076" w:rsidP="00DB4BC1">
            <w:pPr>
              <w:pStyle w:val="Tabletext"/>
              <w:keepNext/>
              <w:widowControl w:val="0"/>
            </w:pPr>
          </w:p>
        </w:tc>
        <w:tc>
          <w:tcPr>
            <w:tcW w:w="463" w:type="pct"/>
            <w:vAlign w:val="center"/>
          </w:tcPr>
          <w:p w14:paraId="7DC47570" w14:textId="77777777" w:rsidR="00533076" w:rsidRPr="00BB59D8" w:rsidRDefault="00533076" w:rsidP="00DB4BC1">
            <w:pPr>
              <w:pStyle w:val="Tabletext"/>
              <w:keepNext/>
              <w:widowControl w:val="0"/>
            </w:pPr>
          </w:p>
        </w:tc>
        <w:tc>
          <w:tcPr>
            <w:tcW w:w="612" w:type="pct"/>
            <w:vAlign w:val="center"/>
          </w:tcPr>
          <w:p w14:paraId="74DA5188" w14:textId="77777777" w:rsidR="00533076" w:rsidRPr="00BB59D8" w:rsidRDefault="00533076" w:rsidP="00DB4BC1">
            <w:pPr>
              <w:pStyle w:val="Tabletext"/>
              <w:keepNext/>
              <w:widowControl w:val="0"/>
            </w:pPr>
          </w:p>
        </w:tc>
      </w:tr>
      <w:tr w:rsidR="00533076" w:rsidRPr="00BB59D8" w14:paraId="0409C5E2" w14:textId="77777777" w:rsidTr="006206C0">
        <w:trPr>
          <w:trHeight w:val="234"/>
        </w:trPr>
        <w:tc>
          <w:tcPr>
            <w:tcW w:w="616" w:type="pct"/>
            <w:vAlign w:val="center"/>
          </w:tcPr>
          <w:p w14:paraId="42F2F5AF" w14:textId="77777777" w:rsidR="00533076" w:rsidRPr="00BB59D8" w:rsidRDefault="00533076" w:rsidP="00DB4BC1">
            <w:pPr>
              <w:pStyle w:val="Tabletext"/>
              <w:keepNext/>
              <w:widowControl w:val="0"/>
            </w:pPr>
            <w:r w:rsidRPr="00BB59D8">
              <w:t>Year 13</w:t>
            </w:r>
          </w:p>
        </w:tc>
        <w:tc>
          <w:tcPr>
            <w:tcW w:w="232" w:type="pct"/>
            <w:vAlign w:val="center"/>
          </w:tcPr>
          <w:p w14:paraId="7DC80B91" w14:textId="77777777" w:rsidR="00533076" w:rsidRPr="00BB59D8" w:rsidRDefault="00533076" w:rsidP="00DB4BC1">
            <w:pPr>
              <w:pStyle w:val="Tabletext"/>
              <w:keepNext/>
              <w:widowControl w:val="0"/>
            </w:pPr>
            <w:r w:rsidRPr="00BB59D8">
              <w:t>9</w:t>
            </w:r>
          </w:p>
        </w:tc>
        <w:tc>
          <w:tcPr>
            <w:tcW w:w="461" w:type="pct"/>
            <w:vAlign w:val="center"/>
          </w:tcPr>
          <w:p w14:paraId="7E70C770" w14:textId="77777777" w:rsidR="00533076" w:rsidRPr="00BB59D8" w:rsidRDefault="00533076" w:rsidP="00DB4BC1">
            <w:pPr>
              <w:pStyle w:val="Tabletext"/>
              <w:keepNext/>
              <w:widowControl w:val="0"/>
            </w:pPr>
            <w:r w:rsidRPr="00BB59D8">
              <w:t>3.3 (1.7)</w:t>
            </w:r>
          </w:p>
        </w:tc>
        <w:tc>
          <w:tcPr>
            <w:tcW w:w="542" w:type="pct"/>
            <w:vAlign w:val="center"/>
          </w:tcPr>
          <w:p w14:paraId="47A00701" w14:textId="77777777" w:rsidR="00533076" w:rsidRPr="00BB59D8" w:rsidRDefault="00533076" w:rsidP="00DB4BC1">
            <w:pPr>
              <w:pStyle w:val="Tabletext"/>
              <w:keepNext/>
              <w:widowControl w:val="0"/>
            </w:pPr>
            <w:r w:rsidRPr="00BB59D8">
              <w:t>-0.2 (2.0)</w:t>
            </w:r>
          </w:p>
        </w:tc>
        <w:tc>
          <w:tcPr>
            <w:tcW w:w="307" w:type="pct"/>
            <w:vAlign w:val="center"/>
          </w:tcPr>
          <w:p w14:paraId="613979D1" w14:textId="77777777" w:rsidR="00533076" w:rsidRPr="00BB59D8" w:rsidRDefault="00533076" w:rsidP="00DB4BC1">
            <w:pPr>
              <w:pStyle w:val="Tabletext"/>
              <w:keepNext/>
              <w:widowControl w:val="0"/>
            </w:pPr>
          </w:p>
        </w:tc>
        <w:tc>
          <w:tcPr>
            <w:tcW w:w="614" w:type="pct"/>
            <w:vAlign w:val="center"/>
          </w:tcPr>
          <w:p w14:paraId="75033990" w14:textId="77777777" w:rsidR="00533076" w:rsidRPr="00BB59D8" w:rsidRDefault="00533076" w:rsidP="00DB4BC1">
            <w:pPr>
              <w:pStyle w:val="Tabletext"/>
              <w:keepNext/>
              <w:widowControl w:val="0"/>
            </w:pPr>
          </w:p>
        </w:tc>
        <w:tc>
          <w:tcPr>
            <w:tcW w:w="307" w:type="pct"/>
            <w:vAlign w:val="center"/>
          </w:tcPr>
          <w:p w14:paraId="17C44612" w14:textId="77777777" w:rsidR="00533076" w:rsidRPr="00BB59D8" w:rsidRDefault="00533076" w:rsidP="00DB4BC1">
            <w:pPr>
              <w:pStyle w:val="Tabletext"/>
              <w:keepNext/>
              <w:widowControl w:val="0"/>
            </w:pPr>
          </w:p>
        </w:tc>
        <w:tc>
          <w:tcPr>
            <w:tcW w:w="616" w:type="pct"/>
            <w:vAlign w:val="center"/>
          </w:tcPr>
          <w:p w14:paraId="5FC0E4A6" w14:textId="77777777" w:rsidR="00533076" w:rsidRPr="00BB59D8" w:rsidRDefault="00533076" w:rsidP="00DB4BC1">
            <w:pPr>
              <w:pStyle w:val="Tabletext"/>
              <w:keepNext/>
              <w:widowControl w:val="0"/>
            </w:pPr>
          </w:p>
        </w:tc>
        <w:tc>
          <w:tcPr>
            <w:tcW w:w="231" w:type="pct"/>
            <w:vAlign w:val="center"/>
          </w:tcPr>
          <w:p w14:paraId="0610926B" w14:textId="77777777" w:rsidR="00533076" w:rsidRPr="00BB59D8" w:rsidRDefault="00533076" w:rsidP="00DB4BC1">
            <w:pPr>
              <w:pStyle w:val="Tabletext"/>
              <w:keepNext/>
              <w:widowControl w:val="0"/>
            </w:pPr>
          </w:p>
        </w:tc>
        <w:tc>
          <w:tcPr>
            <w:tcW w:w="463" w:type="pct"/>
            <w:vAlign w:val="center"/>
          </w:tcPr>
          <w:p w14:paraId="44CDCBBE" w14:textId="77777777" w:rsidR="00533076" w:rsidRPr="00BB59D8" w:rsidRDefault="00533076" w:rsidP="00DB4BC1">
            <w:pPr>
              <w:pStyle w:val="Tabletext"/>
              <w:keepNext/>
              <w:widowControl w:val="0"/>
            </w:pPr>
          </w:p>
        </w:tc>
        <w:tc>
          <w:tcPr>
            <w:tcW w:w="612" w:type="pct"/>
            <w:vAlign w:val="center"/>
          </w:tcPr>
          <w:p w14:paraId="260E0CB2" w14:textId="77777777" w:rsidR="00533076" w:rsidRPr="00BB59D8" w:rsidRDefault="00533076" w:rsidP="00DB4BC1">
            <w:pPr>
              <w:pStyle w:val="Tabletext"/>
              <w:keepNext/>
              <w:widowControl w:val="0"/>
            </w:pPr>
          </w:p>
        </w:tc>
      </w:tr>
      <w:tr w:rsidR="00533076" w:rsidRPr="00BB59D8" w14:paraId="734999B4" w14:textId="77777777" w:rsidTr="006206C0">
        <w:trPr>
          <w:trHeight w:val="215"/>
        </w:trPr>
        <w:tc>
          <w:tcPr>
            <w:tcW w:w="616" w:type="pct"/>
            <w:vAlign w:val="center"/>
          </w:tcPr>
          <w:p w14:paraId="05F931F1" w14:textId="77777777" w:rsidR="00533076" w:rsidRPr="00BB59D8" w:rsidRDefault="00533076" w:rsidP="00DB4BC1">
            <w:pPr>
              <w:pStyle w:val="Tabletext"/>
              <w:keepNext/>
              <w:widowControl w:val="0"/>
            </w:pPr>
            <w:r w:rsidRPr="00BB59D8">
              <w:t>Year 14</w:t>
            </w:r>
          </w:p>
        </w:tc>
        <w:tc>
          <w:tcPr>
            <w:tcW w:w="232" w:type="pct"/>
            <w:vAlign w:val="center"/>
          </w:tcPr>
          <w:p w14:paraId="43FD9EED" w14:textId="77777777" w:rsidR="00533076" w:rsidRPr="00BB59D8" w:rsidRDefault="00533076" w:rsidP="00DB4BC1">
            <w:pPr>
              <w:pStyle w:val="Tabletext"/>
              <w:keepNext/>
              <w:widowControl w:val="0"/>
            </w:pPr>
            <w:r w:rsidRPr="00BB59D8">
              <w:t>6</w:t>
            </w:r>
          </w:p>
        </w:tc>
        <w:tc>
          <w:tcPr>
            <w:tcW w:w="461" w:type="pct"/>
            <w:vAlign w:val="center"/>
          </w:tcPr>
          <w:p w14:paraId="73C6C2A9" w14:textId="77777777" w:rsidR="00533076" w:rsidRPr="00BB59D8" w:rsidRDefault="00533076" w:rsidP="00DB4BC1">
            <w:pPr>
              <w:pStyle w:val="Tabletext"/>
              <w:keepNext/>
              <w:widowControl w:val="0"/>
            </w:pPr>
            <w:r w:rsidRPr="00BB59D8">
              <w:t>2.3 (1.6)</w:t>
            </w:r>
          </w:p>
        </w:tc>
        <w:tc>
          <w:tcPr>
            <w:tcW w:w="542" w:type="pct"/>
            <w:vAlign w:val="center"/>
          </w:tcPr>
          <w:p w14:paraId="2B26C20F" w14:textId="77777777" w:rsidR="00533076" w:rsidRPr="00BB59D8" w:rsidRDefault="00533076" w:rsidP="00DB4BC1">
            <w:pPr>
              <w:pStyle w:val="Tabletext"/>
              <w:keepNext/>
              <w:widowControl w:val="0"/>
            </w:pPr>
            <w:r w:rsidRPr="00BB59D8">
              <w:t>-2.1 (2.9)</w:t>
            </w:r>
          </w:p>
        </w:tc>
        <w:tc>
          <w:tcPr>
            <w:tcW w:w="307" w:type="pct"/>
            <w:vAlign w:val="center"/>
          </w:tcPr>
          <w:p w14:paraId="08EF8C40" w14:textId="77777777" w:rsidR="00533076" w:rsidRPr="00BB59D8" w:rsidRDefault="00533076" w:rsidP="00DB4BC1">
            <w:pPr>
              <w:pStyle w:val="Tabletext"/>
              <w:keepNext/>
              <w:widowControl w:val="0"/>
            </w:pPr>
          </w:p>
        </w:tc>
        <w:tc>
          <w:tcPr>
            <w:tcW w:w="614" w:type="pct"/>
            <w:vAlign w:val="center"/>
          </w:tcPr>
          <w:p w14:paraId="68E41BB6" w14:textId="77777777" w:rsidR="00533076" w:rsidRPr="00BB59D8" w:rsidRDefault="00533076" w:rsidP="00DB4BC1">
            <w:pPr>
              <w:pStyle w:val="Tabletext"/>
              <w:keepNext/>
              <w:widowControl w:val="0"/>
            </w:pPr>
          </w:p>
        </w:tc>
        <w:tc>
          <w:tcPr>
            <w:tcW w:w="307" w:type="pct"/>
            <w:vAlign w:val="center"/>
          </w:tcPr>
          <w:p w14:paraId="1207F242" w14:textId="77777777" w:rsidR="00533076" w:rsidRPr="00BB59D8" w:rsidRDefault="00533076" w:rsidP="00DB4BC1">
            <w:pPr>
              <w:pStyle w:val="Tabletext"/>
              <w:keepNext/>
              <w:widowControl w:val="0"/>
            </w:pPr>
          </w:p>
        </w:tc>
        <w:tc>
          <w:tcPr>
            <w:tcW w:w="616" w:type="pct"/>
            <w:vAlign w:val="center"/>
          </w:tcPr>
          <w:p w14:paraId="55E578FC" w14:textId="77777777" w:rsidR="00533076" w:rsidRPr="00BB59D8" w:rsidRDefault="00533076" w:rsidP="00DB4BC1">
            <w:pPr>
              <w:pStyle w:val="Tabletext"/>
              <w:keepNext/>
              <w:widowControl w:val="0"/>
            </w:pPr>
          </w:p>
        </w:tc>
        <w:tc>
          <w:tcPr>
            <w:tcW w:w="231" w:type="pct"/>
            <w:vAlign w:val="center"/>
          </w:tcPr>
          <w:p w14:paraId="5F5F3F6D" w14:textId="77777777" w:rsidR="00533076" w:rsidRPr="00BB59D8" w:rsidRDefault="00533076" w:rsidP="00DB4BC1">
            <w:pPr>
              <w:pStyle w:val="Tabletext"/>
              <w:keepNext/>
              <w:widowControl w:val="0"/>
            </w:pPr>
          </w:p>
        </w:tc>
        <w:tc>
          <w:tcPr>
            <w:tcW w:w="463" w:type="pct"/>
            <w:vAlign w:val="center"/>
          </w:tcPr>
          <w:p w14:paraId="6411174E" w14:textId="77777777" w:rsidR="00533076" w:rsidRPr="00BB59D8" w:rsidRDefault="00533076" w:rsidP="00DB4BC1">
            <w:pPr>
              <w:pStyle w:val="Tabletext"/>
              <w:keepNext/>
              <w:widowControl w:val="0"/>
            </w:pPr>
          </w:p>
        </w:tc>
        <w:tc>
          <w:tcPr>
            <w:tcW w:w="612" w:type="pct"/>
            <w:vAlign w:val="center"/>
          </w:tcPr>
          <w:p w14:paraId="7EB7FBF3" w14:textId="77777777" w:rsidR="00533076" w:rsidRPr="00BB59D8" w:rsidRDefault="00533076" w:rsidP="00DB4BC1">
            <w:pPr>
              <w:pStyle w:val="Tabletext"/>
              <w:keepNext/>
              <w:widowControl w:val="0"/>
            </w:pPr>
          </w:p>
        </w:tc>
      </w:tr>
      <w:tr w:rsidR="00533076" w:rsidRPr="00BB59D8" w14:paraId="191B9075" w14:textId="77777777" w:rsidTr="006206C0">
        <w:trPr>
          <w:trHeight w:val="234"/>
        </w:trPr>
        <w:tc>
          <w:tcPr>
            <w:tcW w:w="616" w:type="pct"/>
            <w:vAlign w:val="center"/>
          </w:tcPr>
          <w:p w14:paraId="699A751D" w14:textId="77777777" w:rsidR="00533076" w:rsidRPr="00BB59D8" w:rsidRDefault="00533076" w:rsidP="00DB4BC1">
            <w:pPr>
              <w:pStyle w:val="Tabletext"/>
              <w:keepNext/>
              <w:widowControl w:val="0"/>
            </w:pPr>
            <w:r w:rsidRPr="00BB59D8">
              <w:t>Year 15</w:t>
            </w:r>
          </w:p>
        </w:tc>
        <w:tc>
          <w:tcPr>
            <w:tcW w:w="232" w:type="pct"/>
            <w:vAlign w:val="center"/>
          </w:tcPr>
          <w:p w14:paraId="658BDAEF" w14:textId="77777777" w:rsidR="00533076" w:rsidRPr="00BB59D8" w:rsidRDefault="00533076" w:rsidP="00DB4BC1">
            <w:pPr>
              <w:pStyle w:val="Tabletext"/>
              <w:keepNext/>
              <w:widowControl w:val="0"/>
            </w:pPr>
            <w:r w:rsidRPr="00BB59D8">
              <w:t>4</w:t>
            </w:r>
          </w:p>
        </w:tc>
        <w:tc>
          <w:tcPr>
            <w:tcW w:w="461" w:type="pct"/>
            <w:vAlign w:val="center"/>
          </w:tcPr>
          <w:p w14:paraId="415AF743" w14:textId="77777777" w:rsidR="00533076" w:rsidRPr="00BB59D8" w:rsidRDefault="00533076" w:rsidP="00DB4BC1">
            <w:pPr>
              <w:pStyle w:val="Tabletext"/>
              <w:keepNext/>
              <w:widowControl w:val="0"/>
            </w:pPr>
            <w:r w:rsidRPr="00BB59D8">
              <w:t>3.1 (1.8)</w:t>
            </w:r>
          </w:p>
        </w:tc>
        <w:tc>
          <w:tcPr>
            <w:tcW w:w="542" w:type="pct"/>
            <w:vAlign w:val="center"/>
          </w:tcPr>
          <w:p w14:paraId="59CCA985" w14:textId="77777777" w:rsidR="00533076" w:rsidRPr="00BB59D8" w:rsidRDefault="00533076" w:rsidP="00DB4BC1">
            <w:pPr>
              <w:pStyle w:val="Tabletext"/>
              <w:keepNext/>
              <w:widowControl w:val="0"/>
            </w:pPr>
            <w:r w:rsidRPr="00BB59D8">
              <w:t>-1.0 (3.1)</w:t>
            </w:r>
          </w:p>
        </w:tc>
        <w:tc>
          <w:tcPr>
            <w:tcW w:w="307" w:type="pct"/>
            <w:vAlign w:val="center"/>
          </w:tcPr>
          <w:p w14:paraId="1B90278A" w14:textId="77777777" w:rsidR="00533076" w:rsidRPr="00BB59D8" w:rsidRDefault="00533076" w:rsidP="00DB4BC1">
            <w:pPr>
              <w:pStyle w:val="Tabletext"/>
              <w:keepNext/>
              <w:widowControl w:val="0"/>
            </w:pPr>
          </w:p>
        </w:tc>
        <w:tc>
          <w:tcPr>
            <w:tcW w:w="614" w:type="pct"/>
            <w:vAlign w:val="center"/>
          </w:tcPr>
          <w:p w14:paraId="044992E8" w14:textId="77777777" w:rsidR="00533076" w:rsidRPr="00BB59D8" w:rsidRDefault="00533076" w:rsidP="00DB4BC1">
            <w:pPr>
              <w:pStyle w:val="Tabletext"/>
              <w:keepNext/>
              <w:widowControl w:val="0"/>
            </w:pPr>
          </w:p>
        </w:tc>
        <w:tc>
          <w:tcPr>
            <w:tcW w:w="307" w:type="pct"/>
            <w:vAlign w:val="center"/>
          </w:tcPr>
          <w:p w14:paraId="1595837C" w14:textId="77777777" w:rsidR="00533076" w:rsidRPr="00BB59D8" w:rsidRDefault="00533076" w:rsidP="00DB4BC1">
            <w:pPr>
              <w:pStyle w:val="Tabletext"/>
              <w:keepNext/>
              <w:widowControl w:val="0"/>
            </w:pPr>
          </w:p>
        </w:tc>
        <w:tc>
          <w:tcPr>
            <w:tcW w:w="616" w:type="pct"/>
            <w:vAlign w:val="center"/>
          </w:tcPr>
          <w:p w14:paraId="23E1DE2D" w14:textId="77777777" w:rsidR="00533076" w:rsidRPr="00BB59D8" w:rsidRDefault="00533076" w:rsidP="00DB4BC1">
            <w:pPr>
              <w:pStyle w:val="Tabletext"/>
              <w:keepNext/>
              <w:widowControl w:val="0"/>
            </w:pPr>
          </w:p>
        </w:tc>
        <w:tc>
          <w:tcPr>
            <w:tcW w:w="231" w:type="pct"/>
            <w:vAlign w:val="center"/>
          </w:tcPr>
          <w:p w14:paraId="2B152BAE" w14:textId="77777777" w:rsidR="00533076" w:rsidRPr="00BB59D8" w:rsidRDefault="00533076" w:rsidP="00DB4BC1">
            <w:pPr>
              <w:pStyle w:val="Tabletext"/>
              <w:keepNext/>
              <w:widowControl w:val="0"/>
            </w:pPr>
          </w:p>
        </w:tc>
        <w:tc>
          <w:tcPr>
            <w:tcW w:w="463" w:type="pct"/>
            <w:vAlign w:val="center"/>
          </w:tcPr>
          <w:p w14:paraId="6639890D" w14:textId="77777777" w:rsidR="00533076" w:rsidRPr="00BB59D8" w:rsidRDefault="00533076" w:rsidP="00DB4BC1">
            <w:pPr>
              <w:pStyle w:val="Tabletext"/>
              <w:keepNext/>
              <w:widowControl w:val="0"/>
            </w:pPr>
          </w:p>
        </w:tc>
        <w:tc>
          <w:tcPr>
            <w:tcW w:w="612" w:type="pct"/>
            <w:vAlign w:val="center"/>
          </w:tcPr>
          <w:p w14:paraId="484BA591" w14:textId="77777777" w:rsidR="00533076" w:rsidRPr="00BB59D8" w:rsidRDefault="00533076" w:rsidP="00DB4BC1">
            <w:pPr>
              <w:pStyle w:val="Tabletext"/>
              <w:keepNext/>
              <w:widowControl w:val="0"/>
            </w:pPr>
          </w:p>
        </w:tc>
      </w:tr>
      <w:tr w:rsidR="00533076" w:rsidRPr="00BB59D8" w14:paraId="120996F6" w14:textId="77777777" w:rsidTr="006206C0">
        <w:trPr>
          <w:trHeight w:val="234"/>
        </w:trPr>
        <w:tc>
          <w:tcPr>
            <w:tcW w:w="616" w:type="pct"/>
            <w:vAlign w:val="center"/>
          </w:tcPr>
          <w:p w14:paraId="518197BE" w14:textId="77777777" w:rsidR="00533076" w:rsidRPr="00BB59D8" w:rsidRDefault="00533076" w:rsidP="00DB4BC1">
            <w:pPr>
              <w:pStyle w:val="Tabletext"/>
              <w:keepNext/>
              <w:widowControl w:val="0"/>
            </w:pPr>
            <w:r w:rsidRPr="00BB59D8">
              <w:t>Year 16</w:t>
            </w:r>
          </w:p>
        </w:tc>
        <w:tc>
          <w:tcPr>
            <w:tcW w:w="232" w:type="pct"/>
            <w:vAlign w:val="center"/>
          </w:tcPr>
          <w:p w14:paraId="73A7398C" w14:textId="77777777" w:rsidR="00533076" w:rsidRPr="00BB59D8" w:rsidRDefault="00533076" w:rsidP="00DB4BC1">
            <w:pPr>
              <w:pStyle w:val="Tabletext"/>
              <w:keepNext/>
              <w:widowControl w:val="0"/>
            </w:pPr>
            <w:r w:rsidRPr="00BB59D8">
              <w:t>3</w:t>
            </w:r>
          </w:p>
        </w:tc>
        <w:tc>
          <w:tcPr>
            <w:tcW w:w="461" w:type="pct"/>
            <w:vAlign w:val="center"/>
          </w:tcPr>
          <w:p w14:paraId="7157B4C8" w14:textId="77777777" w:rsidR="00533076" w:rsidRPr="00BB59D8" w:rsidRDefault="00533076" w:rsidP="00DB4BC1">
            <w:pPr>
              <w:pStyle w:val="Tabletext"/>
              <w:keepNext/>
              <w:widowControl w:val="0"/>
            </w:pPr>
            <w:r w:rsidRPr="00BB59D8">
              <w:t>2.9 (1.4)</w:t>
            </w:r>
          </w:p>
        </w:tc>
        <w:tc>
          <w:tcPr>
            <w:tcW w:w="542" w:type="pct"/>
            <w:vAlign w:val="center"/>
          </w:tcPr>
          <w:p w14:paraId="4CBF3F7C" w14:textId="77777777" w:rsidR="00533076" w:rsidRPr="00BB59D8" w:rsidRDefault="00533076" w:rsidP="00DB4BC1">
            <w:pPr>
              <w:pStyle w:val="Tabletext"/>
              <w:keepNext/>
              <w:widowControl w:val="0"/>
            </w:pPr>
            <w:r w:rsidRPr="00BB59D8">
              <w:t>-0.8 (1.6)</w:t>
            </w:r>
          </w:p>
        </w:tc>
        <w:tc>
          <w:tcPr>
            <w:tcW w:w="307" w:type="pct"/>
            <w:vAlign w:val="center"/>
          </w:tcPr>
          <w:p w14:paraId="5FF3685D" w14:textId="77777777" w:rsidR="00533076" w:rsidRPr="00BB59D8" w:rsidRDefault="00533076" w:rsidP="00DB4BC1">
            <w:pPr>
              <w:pStyle w:val="Tabletext"/>
              <w:keepNext/>
              <w:widowControl w:val="0"/>
            </w:pPr>
          </w:p>
        </w:tc>
        <w:tc>
          <w:tcPr>
            <w:tcW w:w="614" w:type="pct"/>
            <w:vAlign w:val="center"/>
          </w:tcPr>
          <w:p w14:paraId="17F79C57" w14:textId="77777777" w:rsidR="00533076" w:rsidRPr="00BB59D8" w:rsidRDefault="00533076" w:rsidP="00DB4BC1">
            <w:pPr>
              <w:pStyle w:val="Tabletext"/>
              <w:keepNext/>
              <w:widowControl w:val="0"/>
            </w:pPr>
          </w:p>
        </w:tc>
        <w:tc>
          <w:tcPr>
            <w:tcW w:w="307" w:type="pct"/>
            <w:vAlign w:val="center"/>
          </w:tcPr>
          <w:p w14:paraId="1135864E" w14:textId="77777777" w:rsidR="00533076" w:rsidRPr="00BB59D8" w:rsidRDefault="00533076" w:rsidP="00DB4BC1">
            <w:pPr>
              <w:pStyle w:val="Tabletext"/>
              <w:keepNext/>
              <w:widowControl w:val="0"/>
            </w:pPr>
          </w:p>
        </w:tc>
        <w:tc>
          <w:tcPr>
            <w:tcW w:w="616" w:type="pct"/>
            <w:vAlign w:val="center"/>
          </w:tcPr>
          <w:p w14:paraId="4D6E29DD" w14:textId="77777777" w:rsidR="00533076" w:rsidRPr="00BB59D8" w:rsidRDefault="00533076" w:rsidP="00DB4BC1">
            <w:pPr>
              <w:pStyle w:val="Tabletext"/>
              <w:keepNext/>
              <w:widowControl w:val="0"/>
            </w:pPr>
          </w:p>
        </w:tc>
        <w:tc>
          <w:tcPr>
            <w:tcW w:w="231" w:type="pct"/>
            <w:vAlign w:val="center"/>
          </w:tcPr>
          <w:p w14:paraId="1648E0B9" w14:textId="77777777" w:rsidR="00533076" w:rsidRPr="00BB59D8" w:rsidRDefault="00533076" w:rsidP="00DB4BC1">
            <w:pPr>
              <w:pStyle w:val="Tabletext"/>
              <w:keepNext/>
              <w:widowControl w:val="0"/>
            </w:pPr>
          </w:p>
        </w:tc>
        <w:tc>
          <w:tcPr>
            <w:tcW w:w="463" w:type="pct"/>
            <w:vAlign w:val="center"/>
          </w:tcPr>
          <w:p w14:paraId="04E1E018" w14:textId="77777777" w:rsidR="00533076" w:rsidRPr="00BB59D8" w:rsidRDefault="00533076" w:rsidP="00DB4BC1">
            <w:pPr>
              <w:pStyle w:val="Tabletext"/>
              <w:keepNext/>
              <w:widowControl w:val="0"/>
            </w:pPr>
          </w:p>
        </w:tc>
        <w:tc>
          <w:tcPr>
            <w:tcW w:w="612" w:type="pct"/>
            <w:vAlign w:val="center"/>
          </w:tcPr>
          <w:p w14:paraId="685EA5C0" w14:textId="77777777" w:rsidR="00533076" w:rsidRPr="00BB59D8" w:rsidRDefault="00533076" w:rsidP="00DB4BC1">
            <w:pPr>
              <w:pStyle w:val="Tabletext"/>
              <w:keepNext/>
              <w:widowControl w:val="0"/>
            </w:pPr>
          </w:p>
        </w:tc>
      </w:tr>
      <w:tr w:rsidR="00533076" w:rsidRPr="00BB59D8" w14:paraId="10935DD4" w14:textId="77777777" w:rsidTr="006206C0">
        <w:trPr>
          <w:trHeight w:val="234"/>
        </w:trPr>
        <w:tc>
          <w:tcPr>
            <w:tcW w:w="616" w:type="pct"/>
            <w:vAlign w:val="center"/>
          </w:tcPr>
          <w:p w14:paraId="14F1178A" w14:textId="77777777" w:rsidR="00533076" w:rsidRPr="00BB59D8" w:rsidRDefault="00533076" w:rsidP="00DB4BC1">
            <w:pPr>
              <w:pStyle w:val="Tabletext"/>
              <w:keepNext/>
              <w:widowControl w:val="0"/>
            </w:pPr>
            <w:r w:rsidRPr="00BB59D8">
              <w:t>Year 17</w:t>
            </w:r>
          </w:p>
        </w:tc>
        <w:tc>
          <w:tcPr>
            <w:tcW w:w="232" w:type="pct"/>
            <w:vAlign w:val="center"/>
          </w:tcPr>
          <w:p w14:paraId="0020B725" w14:textId="77777777" w:rsidR="00533076" w:rsidRPr="00BB59D8" w:rsidRDefault="00533076" w:rsidP="00DB4BC1">
            <w:pPr>
              <w:pStyle w:val="Tabletext"/>
              <w:keepNext/>
              <w:widowControl w:val="0"/>
            </w:pPr>
            <w:r w:rsidRPr="00BB59D8">
              <w:t>2</w:t>
            </w:r>
          </w:p>
        </w:tc>
        <w:tc>
          <w:tcPr>
            <w:tcW w:w="461" w:type="pct"/>
            <w:vAlign w:val="center"/>
          </w:tcPr>
          <w:p w14:paraId="021EA7CA" w14:textId="77777777" w:rsidR="00533076" w:rsidRPr="00BB59D8" w:rsidRDefault="00533076" w:rsidP="00DB4BC1">
            <w:pPr>
              <w:pStyle w:val="Tabletext"/>
              <w:keepNext/>
              <w:widowControl w:val="0"/>
            </w:pPr>
            <w:r w:rsidRPr="00BB59D8">
              <w:t>1.7 (0.8)</w:t>
            </w:r>
          </w:p>
        </w:tc>
        <w:tc>
          <w:tcPr>
            <w:tcW w:w="542" w:type="pct"/>
            <w:vAlign w:val="center"/>
          </w:tcPr>
          <w:p w14:paraId="6D179D57" w14:textId="77777777" w:rsidR="00533076" w:rsidRPr="00BB59D8" w:rsidRDefault="00533076" w:rsidP="00DB4BC1">
            <w:pPr>
              <w:pStyle w:val="Tabletext"/>
              <w:keepNext/>
              <w:widowControl w:val="0"/>
            </w:pPr>
            <w:r w:rsidRPr="00BB59D8">
              <w:t>-3.3 (0.7)</w:t>
            </w:r>
          </w:p>
        </w:tc>
        <w:tc>
          <w:tcPr>
            <w:tcW w:w="307" w:type="pct"/>
            <w:vAlign w:val="center"/>
          </w:tcPr>
          <w:p w14:paraId="3DFBFA38" w14:textId="77777777" w:rsidR="00533076" w:rsidRPr="00BB59D8" w:rsidRDefault="00533076" w:rsidP="00DB4BC1">
            <w:pPr>
              <w:pStyle w:val="Tabletext"/>
              <w:keepNext/>
              <w:widowControl w:val="0"/>
            </w:pPr>
          </w:p>
        </w:tc>
        <w:tc>
          <w:tcPr>
            <w:tcW w:w="614" w:type="pct"/>
            <w:vAlign w:val="center"/>
          </w:tcPr>
          <w:p w14:paraId="06BB186E" w14:textId="77777777" w:rsidR="00533076" w:rsidRPr="00BB59D8" w:rsidRDefault="00533076" w:rsidP="00DB4BC1">
            <w:pPr>
              <w:pStyle w:val="Tabletext"/>
              <w:keepNext/>
              <w:widowControl w:val="0"/>
            </w:pPr>
          </w:p>
        </w:tc>
        <w:tc>
          <w:tcPr>
            <w:tcW w:w="307" w:type="pct"/>
            <w:vAlign w:val="center"/>
          </w:tcPr>
          <w:p w14:paraId="52A4DE85" w14:textId="77777777" w:rsidR="00533076" w:rsidRPr="00BB59D8" w:rsidRDefault="00533076" w:rsidP="00DB4BC1">
            <w:pPr>
              <w:pStyle w:val="Tabletext"/>
              <w:keepNext/>
              <w:widowControl w:val="0"/>
            </w:pPr>
          </w:p>
        </w:tc>
        <w:tc>
          <w:tcPr>
            <w:tcW w:w="616" w:type="pct"/>
            <w:vAlign w:val="center"/>
          </w:tcPr>
          <w:p w14:paraId="19F974C0" w14:textId="77777777" w:rsidR="00533076" w:rsidRPr="00BB59D8" w:rsidRDefault="00533076" w:rsidP="00DB4BC1">
            <w:pPr>
              <w:pStyle w:val="Tabletext"/>
              <w:keepNext/>
              <w:widowControl w:val="0"/>
            </w:pPr>
          </w:p>
        </w:tc>
        <w:tc>
          <w:tcPr>
            <w:tcW w:w="231" w:type="pct"/>
            <w:vAlign w:val="center"/>
          </w:tcPr>
          <w:p w14:paraId="1200BAD3" w14:textId="77777777" w:rsidR="00533076" w:rsidRPr="00BB59D8" w:rsidRDefault="00533076" w:rsidP="00DB4BC1">
            <w:pPr>
              <w:pStyle w:val="Tabletext"/>
              <w:keepNext/>
              <w:widowControl w:val="0"/>
            </w:pPr>
          </w:p>
        </w:tc>
        <w:tc>
          <w:tcPr>
            <w:tcW w:w="463" w:type="pct"/>
            <w:vAlign w:val="center"/>
          </w:tcPr>
          <w:p w14:paraId="410BF8A9" w14:textId="77777777" w:rsidR="00533076" w:rsidRPr="00BB59D8" w:rsidRDefault="00533076" w:rsidP="00DB4BC1">
            <w:pPr>
              <w:pStyle w:val="Tabletext"/>
              <w:keepNext/>
              <w:widowControl w:val="0"/>
            </w:pPr>
          </w:p>
        </w:tc>
        <w:tc>
          <w:tcPr>
            <w:tcW w:w="612" w:type="pct"/>
            <w:vAlign w:val="center"/>
          </w:tcPr>
          <w:p w14:paraId="034F343B" w14:textId="77777777" w:rsidR="00533076" w:rsidRPr="00BB59D8" w:rsidRDefault="00533076" w:rsidP="00DB4BC1">
            <w:pPr>
              <w:pStyle w:val="Tabletext"/>
              <w:keepNext/>
              <w:widowControl w:val="0"/>
            </w:pPr>
          </w:p>
        </w:tc>
      </w:tr>
      <w:tr w:rsidR="00533076" w:rsidRPr="00BB59D8" w14:paraId="1E480AB5" w14:textId="77777777" w:rsidTr="006206C0">
        <w:trPr>
          <w:trHeight w:val="234"/>
        </w:trPr>
        <w:tc>
          <w:tcPr>
            <w:tcW w:w="616" w:type="pct"/>
            <w:vAlign w:val="center"/>
          </w:tcPr>
          <w:p w14:paraId="00834FCF" w14:textId="77777777" w:rsidR="00533076" w:rsidRPr="00BB59D8" w:rsidRDefault="00533076" w:rsidP="00DB4BC1">
            <w:pPr>
              <w:pStyle w:val="Tabletext"/>
              <w:keepNext/>
              <w:widowControl w:val="0"/>
            </w:pPr>
            <w:r w:rsidRPr="00BB59D8">
              <w:t>Year 18</w:t>
            </w:r>
          </w:p>
        </w:tc>
        <w:tc>
          <w:tcPr>
            <w:tcW w:w="232" w:type="pct"/>
            <w:vAlign w:val="center"/>
          </w:tcPr>
          <w:p w14:paraId="48996EBF" w14:textId="77777777" w:rsidR="00533076" w:rsidRPr="00BB59D8" w:rsidRDefault="00533076" w:rsidP="00DB4BC1">
            <w:pPr>
              <w:pStyle w:val="Tabletext"/>
              <w:keepNext/>
              <w:widowControl w:val="0"/>
            </w:pPr>
            <w:r w:rsidRPr="00BB59D8">
              <w:t>1</w:t>
            </w:r>
          </w:p>
        </w:tc>
        <w:tc>
          <w:tcPr>
            <w:tcW w:w="461" w:type="pct"/>
            <w:vAlign w:val="center"/>
          </w:tcPr>
          <w:p w14:paraId="413A7838" w14:textId="77777777" w:rsidR="00533076" w:rsidRPr="00BB59D8" w:rsidRDefault="00533076" w:rsidP="00DB4BC1">
            <w:pPr>
              <w:pStyle w:val="Tabletext"/>
              <w:keepNext/>
              <w:widowControl w:val="0"/>
            </w:pPr>
            <w:r w:rsidRPr="00BB59D8">
              <w:t>0.2 (NA)</w:t>
            </w:r>
          </w:p>
        </w:tc>
        <w:tc>
          <w:tcPr>
            <w:tcW w:w="542" w:type="pct"/>
            <w:vAlign w:val="center"/>
          </w:tcPr>
          <w:p w14:paraId="7B22D1AF" w14:textId="77777777" w:rsidR="00533076" w:rsidRPr="00BB59D8" w:rsidRDefault="00533076" w:rsidP="00DB4BC1">
            <w:pPr>
              <w:pStyle w:val="Tabletext"/>
              <w:keepNext/>
              <w:widowControl w:val="0"/>
            </w:pPr>
            <w:r w:rsidRPr="00BB59D8">
              <w:t>-5.8 (NA)</w:t>
            </w:r>
          </w:p>
        </w:tc>
        <w:tc>
          <w:tcPr>
            <w:tcW w:w="307" w:type="pct"/>
            <w:vAlign w:val="center"/>
          </w:tcPr>
          <w:p w14:paraId="01D32282" w14:textId="77777777" w:rsidR="00533076" w:rsidRPr="00BB59D8" w:rsidRDefault="00533076" w:rsidP="00DB4BC1">
            <w:pPr>
              <w:pStyle w:val="Tabletext"/>
              <w:keepNext/>
              <w:widowControl w:val="0"/>
            </w:pPr>
          </w:p>
        </w:tc>
        <w:tc>
          <w:tcPr>
            <w:tcW w:w="614" w:type="pct"/>
            <w:vAlign w:val="center"/>
          </w:tcPr>
          <w:p w14:paraId="1BDF997D" w14:textId="77777777" w:rsidR="00533076" w:rsidRPr="00BB59D8" w:rsidRDefault="00533076" w:rsidP="00DB4BC1">
            <w:pPr>
              <w:pStyle w:val="Tabletext"/>
              <w:keepNext/>
              <w:widowControl w:val="0"/>
            </w:pPr>
          </w:p>
        </w:tc>
        <w:tc>
          <w:tcPr>
            <w:tcW w:w="307" w:type="pct"/>
            <w:vAlign w:val="center"/>
          </w:tcPr>
          <w:p w14:paraId="6C101618" w14:textId="77777777" w:rsidR="00533076" w:rsidRPr="00BB59D8" w:rsidRDefault="00533076" w:rsidP="00DB4BC1">
            <w:pPr>
              <w:pStyle w:val="Tabletext"/>
              <w:keepNext/>
              <w:widowControl w:val="0"/>
            </w:pPr>
          </w:p>
        </w:tc>
        <w:tc>
          <w:tcPr>
            <w:tcW w:w="616" w:type="pct"/>
            <w:vAlign w:val="center"/>
          </w:tcPr>
          <w:p w14:paraId="402C84B7" w14:textId="77777777" w:rsidR="00533076" w:rsidRPr="00BB59D8" w:rsidRDefault="00533076" w:rsidP="00DB4BC1">
            <w:pPr>
              <w:pStyle w:val="Tabletext"/>
              <w:keepNext/>
              <w:widowControl w:val="0"/>
            </w:pPr>
          </w:p>
        </w:tc>
        <w:tc>
          <w:tcPr>
            <w:tcW w:w="231" w:type="pct"/>
            <w:vAlign w:val="center"/>
          </w:tcPr>
          <w:p w14:paraId="06EC2CD6" w14:textId="77777777" w:rsidR="00533076" w:rsidRPr="00BB59D8" w:rsidRDefault="00533076" w:rsidP="00DB4BC1">
            <w:pPr>
              <w:pStyle w:val="Tabletext"/>
              <w:keepNext/>
              <w:widowControl w:val="0"/>
            </w:pPr>
          </w:p>
        </w:tc>
        <w:tc>
          <w:tcPr>
            <w:tcW w:w="463" w:type="pct"/>
            <w:vAlign w:val="center"/>
          </w:tcPr>
          <w:p w14:paraId="2D80C4BE" w14:textId="77777777" w:rsidR="00533076" w:rsidRPr="00BB59D8" w:rsidRDefault="00533076" w:rsidP="00DB4BC1">
            <w:pPr>
              <w:pStyle w:val="Tabletext"/>
              <w:keepNext/>
              <w:widowControl w:val="0"/>
            </w:pPr>
          </w:p>
        </w:tc>
        <w:tc>
          <w:tcPr>
            <w:tcW w:w="612" w:type="pct"/>
            <w:vAlign w:val="center"/>
          </w:tcPr>
          <w:p w14:paraId="40086CF0" w14:textId="77777777" w:rsidR="00533076" w:rsidRPr="00BB59D8" w:rsidRDefault="00533076" w:rsidP="00DB4BC1">
            <w:pPr>
              <w:pStyle w:val="Tabletext"/>
              <w:keepNext/>
              <w:widowControl w:val="0"/>
            </w:pPr>
          </w:p>
        </w:tc>
      </w:tr>
      <w:tr w:rsidR="00533076" w:rsidRPr="00BB59D8" w14:paraId="1219DF43" w14:textId="77777777" w:rsidTr="006206C0">
        <w:trPr>
          <w:trHeight w:val="215"/>
        </w:trPr>
        <w:tc>
          <w:tcPr>
            <w:tcW w:w="616" w:type="pct"/>
            <w:vAlign w:val="center"/>
          </w:tcPr>
          <w:p w14:paraId="4CCF7B39" w14:textId="77777777" w:rsidR="00533076" w:rsidRPr="00BB59D8" w:rsidRDefault="00533076" w:rsidP="00DB4BC1">
            <w:pPr>
              <w:pStyle w:val="Tabletext"/>
              <w:keepNext/>
              <w:widowControl w:val="0"/>
            </w:pPr>
            <w:r w:rsidRPr="00BB59D8">
              <w:t>Year 19</w:t>
            </w:r>
          </w:p>
        </w:tc>
        <w:tc>
          <w:tcPr>
            <w:tcW w:w="232" w:type="pct"/>
            <w:vAlign w:val="center"/>
          </w:tcPr>
          <w:p w14:paraId="4EB71FC2" w14:textId="77777777" w:rsidR="00533076" w:rsidRPr="00BB59D8" w:rsidRDefault="00533076" w:rsidP="00DB4BC1">
            <w:pPr>
              <w:pStyle w:val="Tabletext"/>
              <w:keepNext/>
              <w:widowControl w:val="0"/>
            </w:pPr>
            <w:r w:rsidRPr="00BB59D8">
              <w:t>1</w:t>
            </w:r>
          </w:p>
        </w:tc>
        <w:tc>
          <w:tcPr>
            <w:tcW w:w="461" w:type="pct"/>
            <w:vAlign w:val="center"/>
          </w:tcPr>
          <w:p w14:paraId="624A3E73" w14:textId="77777777" w:rsidR="00533076" w:rsidRPr="00BB59D8" w:rsidRDefault="00533076" w:rsidP="00DB4BC1">
            <w:pPr>
              <w:pStyle w:val="Tabletext"/>
              <w:keepNext/>
              <w:widowControl w:val="0"/>
            </w:pPr>
            <w:r w:rsidRPr="00BB59D8">
              <w:t>0.2 (NA)</w:t>
            </w:r>
          </w:p>
        </w:tc>
        <w:tc>
          <w:tcPr>
            <w:tcW w:w="542" w:type="pct"/>
            <w:vAlign w:val="center"/>
          </w:tcPr>
          <w:p w14:paraId="554AADF9" w14:textId="77777777" w:rsidR="00533076" w:rsidRPr="00BB59D8" w:rsidRDefault="00533076" w:rsidP="00DB4BC1">
            <w:pPr>
              <w:pStyle w:val="Tabletext"/>
              <w:keepNext/>
              <w:widowControl w:val="0"/>
            </w:pPr>
            <w:r w:rsidRPr="00BB59D8">
              <w:t>-5.8 (NA)</w:t>
            </w:r>
          </w:p>
        </w:tc>
        <w:tc>
          <w:tcPr>
            <w:tcW w:w="307" w:type="pct"/>
            <w:vAlign w:val="center"/>
          </w:tcPr>
          <w:p w14:paraId="2D010E63" w14:textId="77777777" w:rsidR="00533076" w:rsidRPr="00BB59D8" w:rsidRDefault="00533076" w:rsidP="00DB4BC1">
            <w:pPr>
              <w:pStyle w:val="Tabletext"/>
              <w:keepNext/>
              <w:widowControl w:val="0"/>
            </w:pPr>
          </w:p>
        </w:tc>
        <w:tc>
          <w:tcPr>
            <w:tcW w:w="614" w:type="pct"/>
            <w:vAlign w:val="center"/>
          </w:tcPr>
          <w:p w14:paraId="1C91B925" w14:textId="77777777" w:rsidR="00533076" w:rsidRPr="00BB59D8" w:rsidRDefault="00533076" w:rsidP="00DB4BC1">
            <w:pPr>
              <w:pStyle w:val="Tabletext"/>
              <w:keepNext/>
              <w:widowControl w:val="0"/>
            </w:pPr>
          </w:p>
        </w:tc>
        <w:tc>
          <w:tcPr>
            <w:tcW w:w="307" w:type="pct"/>
            <w:vAlign w:val="center"/>
          </w:tcPr>
          <w:p w14:paraId="1D78775E" w14:textId="77777777" w:rsidR="00533076" w:rsidRPr="00BB59D8" w:rsidRDefault="00533076" w:rsidP="00DB4BC1">
            <w:pPr>
              <w:pStyle w:val="Tabletext"/>
              <w:keepNext/>
              <w:widowControl w:val="0"/>
            </w:pPr>
          </w:p>
        </w:tc>
        <w:tc>
          <w:tcPr>
            <w:tcW w:w="616" w:type="pct"/>
            <w:vAlign w:val="center"/>
          </w:tcPr>
          <w:p w14:paraId="31880A18" w14:textId="77777777" w:rsidR="00533076" w:rsidRPr="00BB59D8" w:rsidRDefault="00533076" w:rsidP="00DB4BC1">
            <w:pPr>
              <w:pStyle w:val="Tabletext"/>
              <w:keepNext/>
              <w:widowControl w:val="0"/>
            </w:pPr>
          </w:p>
        </w:tc>
        <w:tc>
          <w:tcPr>
            <w:tcW w:w="231" w:type="pct"/>
            <w:vAlign w:val="center"/>
          </w:tcPr>
          <w:p w14:paraId="4AF8165B" w14:textId="77777777" w:rsidR="00533076" w:rsidRPr="00BB59D8" w:rsidRDefault="00533076" w:rsidP="00DB4BC1">
            <w:pPr>
              <w:pStyle w:val="Tabletext"/>
              <w:keepNext/>
              <w:widowControl w:val="0"/>
            </w:pPr>
          </w:p>
        </w:tc>
        <w:tc>
          <w:tcPr>
            <w:tcW w:w="463" w:type="pct"/>
            <w:vAlign w:val="center"/>
          </w:tcPr>
          <w:p w14:paraId="2A7E8085" w14:textId="77777777" w:rsidR="00533076" w:rsidRPr="00BB59D8" w:rsidRDefault="00533076" w:rsidP="00DB4BC1">
            <w:pPr>
              <w:pStyle w:val="Tabletext"/>
              <w:keepNext/>
              <w:widowControl w:val="0"/>
            </w:pPr>
          </w:p>
        </w:tc>
        <w:tc>
          <w:tcPr>
            <w:tcW w:w="612" w:type="pct"/>
            <w:vAlign w:val="center"/>
          </w:tcPr>
          <w:p w14:paraId="52153187" w14:textId="77777777" w:rsidR="00533076" w:rsidRPr="00BB59D8" w:rsidRDefault="00533076" w:rsidP="00DB4BC1">
            <w:pPr>
              <w:pStyle w:val="Tabletext"/>
              <w:keepNext/>
              <w:widowControl w:val="0"/>
            </w:pPr>
          </w:p>
        </w:tc>
      </w:tr>
    </w:tbl>
    <w:p w14:paraId="0596D14E" w14:textId="77777777" w:rsidR="00533076" w:rsidRPr="00BB59D8" w:rsidRDefault="00533076" w:rsidP="00AC5648">
      <w:pPr>
        <w:pStyle w:val="TableFooter"/>
        <w:keepNext/>
        <w:widowControl w:val="0"/>
      </w:pPr>
      <w:r w:rsidRPr="00BB59D8">
        <w:t>N = number of subjects completing years of treatment; NA = not applicable; SD = standard deviation</w:t>
      </w:r>
    </w:p>
    <w:p w14:paraId="05E84726" w14:textId="77777777" w:rsidR="00533076" w:rsidRPr="00BB59D8" w:rsidRDefault="00533076" w:rsidP="00AC5648">
      <w:pPr>
        <w:pStyle w:val="TableFooter"/>
        <w:keepNext/>
        <w:widowControl w:val="0"/>
      </w:pPr>
      <w:r w:rsidRPr="00BB59D8">
        <w:t xml:space="preserve">Source: Table 2-26, p63 of the submission; Table 2-31, p70 of the submission; Table 2-32, p72 of the submission. </w:t>
      </w:r>
    </w:p>
    <w:p w14:paraId="3AFE3DEB" w14:textId="77777777" w:rsidR="00533076" w:rsidRPr="00BB59D8" w:rsidRDefault="00533076" w:rsidP="00AC5648">
      <w:pPr>
        <w:pStyle w:val="TableFooter"/>
        <w:keepNext/>
        <w:widowControl w:val="0"/>
      </w:pPr>
      <w:r w:rsidRPr="00BB59D8">
        <w:t xml:space="preserve">Note: Results presented in </w:t>
      </w:r>
      <w:r w:rsidRPr="00BB59D8">
        <w:rPr>
          <w:b/>
          <w:bCs/>
        </w:rPr>
        <w:t>bold</w:t>
      </w:r>
      <w:r w:rsidRPr="00BB59D8">
        <w:t xml:space="preserve"> are statistically significant. Comparison of each year was made against patients still enrolled in the study at the time of measurement, i.e., the 62 patients in year 3 of Study 1419 were compared against those 62 patients' values at baseline.</w:t>
      </w:r>
    </w:p>
    <w:p w14:paraId="469A344A" w14:textId="77777777" w:rsidR="00533076" w:rsidRPr="00BB59D8" w:rsidRDefault="00BC363F" w:rsidP="00AC5648">
      <w:pPr>
        <w:pStyle w:val="TableFooter"/>
        <w:keepNext/>
        <w:widowControl w:val="0"/>
      </w:pPr>
      <w:r w:rsidRPr="00BB59D8">
        <w:rPr>
          <w:vertAlign w:val="superscript"/>
        </w:rPr>
        <w:t>a</w:t>
      </w:r>
      <w:r w:rsidR="00533076" w:rsidRPr="00BB59D8">
        <w:t xml:space="preserve"> Baseline age range 1.7-15.2</w:t>
      </w:r>
    </w:p>
    <w:p w14:paraId="24D4E582" w14:textId="77777777" w:rsidR="00533076" w:rsidRPr="00BB59D8" w:rsidRDefault="00BC363F" w:rsidP="00AC5648">
      <w:pPr>
        <w:pStyle w:val="TableFooter"/>
        <w:keepNext/>
        <w:widowControl w:val="0"/>
      </w:pPr>
      <w:r w:rsidRPr="00BB59D8">
        <w:rPr>
          <w:vertAlign w:val="superscript"/>
        </w:rPr>
        <w:t>b</w:t>
      </w:r>
      <w:r w:rsidR="00533076" w:rsidRPr="00BB59D8">
        <w:t xml:space="preserve"> Baseline age range 0.4-19.1</w:t>
      </w:r>
    </w:p>
    <w:p w14:paraId="167571EA" w14:textId="77777777" w:rsidR="00937FCC" w:rsidRPr="00BB59D8" w:rsidRDefault="00BC363F" w:rsidP="00DD3F5E">
      <w:pPr>
        <w:pStyle w:val="TableFooter"/>
      </w:pPr>
      <w:r w:rsidRPr="00BB59D8">
        <w:rPr>
          <w:vertAlign w:val="superscript"/>
        </w:rPr>
        <w:t>c</w:t>
      </w:r>
      <w:r w:rsidRPr="00BB59D8">
        <w:t xml:space="preserve"> </w:t>
      </w:r>
      <w:r w:rsidR="00533076" w:rsidRPr="00BB59D8">
        <w:t>Calculated by the submission. Details of how this was estimated were not provided. Baseline age range 2.8-16.2</w:t>
      </w:r>
    </w:p>
    <w:bookmarkEnd w:id="27"/>
    <w:p w14:paraId="329FCEA3" w14:textId="77777777" w:rsidR="00DD3F5E" w:rsidRPr="00BB59D8" w:rsidRDefault="00DD3F5E" w:rsidP="00DD3F5E">
      <w:pPr>
        <w:pStyle w:val="TableFooter"/>
      </w:pPr>
    </w:p>
    <w:p w14:paraId="37C718A2" w14:textId="77777777" w:rsidR="00357A4E" w:rsidRPr="00BB59D8" w:rsidRDefault="008D599A" w:rsidP="00646E0D">
      <w:pPr>
        <w:pStyle w:val="3-BodyText"/>
      </w:pPr>
      <w:r w:rsidRPr="00BB59D8">
        <w:t xml:space="preserve">Trial MS301 provided the only within-trial comparison of mecasermin versus no treatment in a randomised, </w:t>
      </w:r>
      <w:r w:rsidR="00294757" w:rsidRPr="00BB59D8">
        <w:t>open-label</w:t>
      </w:r>
      <w:r w:rsidRPr="00BB59D8">
        <w:t xml:space="preserve"> design</w:t>
      </w:r>
      <w:r w:rsidRPr="00BB59D8">
        <w:rPr>
          <w:iCs/>
        </w:rPr>
        <w:t xml:space="preserve">. </w:t>
      </w:r>
      <w:r w:rsidRPr="00BB59D8">
        <w:t>However, the trial duration was only one year</w:t>
      </w:r>
      <w:r w:rsidRPr="00BB59D8">
        <w:rPr>
          <w:iCs/>
        </w:rPr>
        <w:t xml:space="preserve">. </w:t>
      </w:r>
      <w:r w:rsidR="00357A4E" w:rsidRPr="00BB59D8">
        <w:t xml:space="preserve">The difference in height velocity from baseline and the difference between </w:t>
      </w:r>
      <w:r w:rsidR="000D58DF" w:rsidRPr="00BB59D8">
        <w:t xml:space="preserve">no treatment and </w:t>
      </w:r>
      <w:r w:rsidR="00357A4E" w:rsidRPr="00BB59D8">
        <w:t>80 µg/kg BID and 120 µg/kg BID were both statistically significant in Trial MS301.</w:t>
      </w:r>
    </w:p>
    <w:p w14:paraId="6C08DB63" w14:textId="77777777" w:rsidR="001A48FB" w:rsidRPr="00BB59D8" w:rsidRDefault="003F02A1" w:rsidP="00CD13FF">
      <w:pPr>
        <w:pStyle w:val="3-BodyText"/>
        <w:rPr>
          <w:color w:val="0066FF"/>
        </w:rPr>
      </w:pPr>
      <w:r w:rsidRPr="00BB59D8">
        <w:t xml:space="preserve">The difference in height velocity from baseline </w:t>
      </w:r>
      <w:r w:rsidR="00357A4E" w:rsidRPr="00BB59D8">
        <w:t xml:space="preserve">in </w:t>
      </w:r>
      <w:r w:rsidRPr="00BB59D8">
        <w:t>Study 1419 was statistically significant from year one to eight</w:t>
      </w:r>
      <w:r w:rsidR="009B58FF" w:rsidRPr="00BB59D8">
        <w:t>.</w:t>
      </w:r>
      <w:r w:rsidRPr="00BB59D8">
        <w:t xml:space="preserve"> </w:t>
      </w:r>
      <w:r w:rsidR="00357A4E" w:rsidRPr="00BB59D8">
        <w:t xml:space="preserve">This </w:t>
      </w:r>
      <w:r w:rsidRPr="00BB59D8">
        <w:t xml:space="preserve">was </w:t>
      </w:r>
      <w:r w:rsidR="00357A4E" w:rsidRPr="00BB59D8">
        <w:t xml:space="preserve">also </w:t>
      </w:r>
      <w:r w:rsidRPr="00BB59D8">
        <w:t>true for the first three years</w:t>
      </w:r>
      <w:r w:rsidR="00357A4E" w:rsidRPr="00BB59D8">
        <w:t xml:space="preserve"> in the EU-IGFD Registry</w:t>
      </w:r>
      <w:r w:rsidRPr="00BB59D8">
        <w:t xml:space="preserve"> and the first two years </w:t>
      </w:r>
      <w:r w:rsidR="00357A4E" w:rsidRPr="00BB59D8">
        <w:t xml:space="preserve">in the Polish Study </w:t>
      </w:r>
      <w:r w:rsidRPr="00BB59D8">
        <w:t>(p&lt;0.05). The highest increase in height velocity was observed in year one in each study.</w:t>
      </w:r>
      <w:r w:rsidR="000A0379" w:rsidRPr="00BB59D8">
        <w:rPr>
          <w:iCs/>
        </w:rPr>
        <w:t xml:space="preserve"> </w:t>
      </w:r>
      <w:r w:rsidR="000A0379" w:rsidRPr="00BB59D8">
        <w:t>The height velocities versus control for the first treatment year in Trial MS301 (1.79 cm/year for 80 µg/kg BID and 2.58 for 120 µg/kg BID) were similar to the velocities versus pre-treatment in the EU-IGFD Registry (2.03 cm/year), but substantially lower than Study 1419 (5.4 cm/year). A similar trend was observed with HSDS between Trial MS301, Study 1419 and the EU-IGFD Registry</w:t>
      </w:r>
      <w:r w:rsidR="00CD13FF" w:rsidRPr="00BB59D8">
        <w:t xml:space="preserve"> (Table </w:t>
      </w:r>
      <w:r w:rsidR="00393AA3" w:rsidRPr="00BB59D8">
        <w:t>6</w:t>
      </w:r>
      <w:r w:rsidR="00CD13FF" w:rsidRPr="00BB59D8">
        <w:t>)</w:t>
      </w:r>
      <w:r w:rsidR="000A0379" w:rsidRPr="00BB59D8">
        <w:t xml:space="preserve">, which was sustained for more extended periods. </w:t>
      </w:r>
      <w:r w:rsidR="007D6968" w:rsidRPr="00BB59D8">
        <w:t xml:space="preserve">The </w:t>
      </w:r>
      <w:r w:rsidR="00294757" w:rsidRPr="00BB59D8">
        <w:rPr>
          <w:iCs/>
          <w:snapToGrid/>
        </w:rPr>
        <w:t>Bang 2021 criterion for mecasermin responders was met in Trial MS301, Study 1419 and the EU-IGFD Registry. The Polish study did not report year one data.</w:t>
      </w:r>
    </w:p>
    <w:p w14:paraId="2AD54B52" w14:textId="77777777" w:rsidR="003F02A1" w:rsidRPr="00BB59D8" w:rsidRDefault="00CD13FF" w:rsidP="00CD13FF">
      <w:pPr>
        <w:pStyle w:val="3-BodyText"/>
      </w:pPr>
      <w:r w:rsidRPr="00BB59D8">
        <w:rPr>
          <w:iCs/>
          <w:snapToGrid/>
        </w:rPr>
        <w:t>The ESC noted that Study 1419 had the longest follow-up period and showed reducing HSDS over time, indicating that patient height was gradually approaching the height of the age- and sex-matched general population with continued mecasermin treatment (</w:t>
      </w:r>
      <w:r w:rsidRPr="00BB59D8">
        <w:t xml:space="preserve">Table </w:t>
      </w:r>
      <w:r w:rsidR="00393AA3" w:rsidRPr="00BB59D8">
        <w:t>6</w:t>
      </w:r>
      <w:r w:rsidRPr="00BB59D8">
        <w:t>)</w:t>
      </w:r>
      <w:r w:rsidRPr="00BB59D8">
        <w:rPr>
          <w:iCs/>
          <w:snapToGrid/>
        </w:rPr>
        <w:t>.</w:t>
      </w:r>
    </w:p>
    <w:p w14:paraId="53B7410F" w14:textId="77777777" w:rsidR="00CD13FF" w:rsidRPr="00BB59D8" w:rsidRDefault="00CD13FF" w:rsidP="00CD13FF">
      <w:pPr>
        <w:pStyle w:val="TableFigureHeading"/>
      </w:pPr>
      <w:r w:rsidRPr="00BB59D8">
        <w:t xml:space="preserve">Table </w:t>
      </w:r>
      <w:r w:rsidR="00393AA3" w:rsidRPr="00BB59D8">
        <w:t>6</w:t>
      </w:r>
      <w:r w:rsidRPr="00BB59D8">
        <w:t>: Change in height standard deviation score from pre-treatment by treatment year</w:t>
      </w: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Change in height standard deviation score from pre-treatment by treatment year"/>
      </w:tblPr>
      <w:tblGrid>
        <w:gridCol w:w="1127"/>
        <w:gridCol w:w="426"/>
        <w:gridCol w:w="992"/>
        <w:gridCol w:w="1138"/>
        <w:gridCol w:w="564"/>
        <w:gridCol w:w="1136"/>
        <w:gridCol w:w="564"/>
        <w:gridCol w:w="1142"/>
        <w:gridCol w:w="424"/>
        <w:gridCol w:w="1126"/>
        <w:gridCol w:w="988"/>
      </w:tblGrid>
      <w:tr w:rsidR="00CD13FF" w:rsidRPr="00BB59D8" w14:paraId="420969F8" w14:textId="77777777" w:rsidTr="00F227A5">
        <w:trPr>
          <w:trHeight w:val="469"/>
          <w:tblHeader/>
        </w:trPr>
        <w:tc>
          <w:tcPr>
            <w:tcW w:w="586" w:type="pct"/>
            <w:vAlign w:val="center"/>
          </w:tcPr>
          <w:p w14:paraId="3847C619" w14:textId="77777777" w:rsidR="00CD13FF" w:rsidRPr="00BB59D8" w:rsidRDefault="00CD13FF" w:rsidP="000F2712">
            <w:pPr>
              <w:pStyle w:val="Tabletext"/>
              <w:keepNext/>
              <w:rPr>
                <w:b/>
                <w:bCs/>
              </w:rPr>
            </w:pPr>
            <w:r w:rsidRPr="00BB59D8">
              <w:rPr>
                <w:b/>
                <w:bCs/>
              </w:rPr>
              <w:t>Treatment year</w:t>
            </w:r>
          </w:p>
        </w:tc>
        <w:tc>
          <w:tcPr>
            <w:tcW w:w="1326" w:type="pct"/>
            <w:gridSpan w:val="3"/>
          </w:tcPr>
          <w:p w14:paraId="34878B45" w14:textId="77777777" w:rsidR="00CD13FF" w:rsidRPr="00BB59D8" w:rsidRDefault="00CD13FF" w:rsidP="000F2712">
            <w:pPr>
              <w:pStyle w:val="Tabletext"/>
              <w:keepNext/>
              <w:rPr>
                <w:b/>
                <w:bCs/>
                <w:vertAlign w:val="superscript"/>
              </w:rPr>
            </w:pPr>
            <w:r w:rsidRPr="00BB59D8">
              <w:rPr>
                <w:b/>
                <w:bCs/>
              </w:rPr>
              <w:t>Study 1419</w:t>
            </w:r>
            <w:r w:rsidRPr="00BB59D8">
              <w:rPr>
                <w:b/>
                <w:bCs/>
                <w:vertAlign w:val="superscript"/>
              </w:rPr>
              <w:t>a</w:t>
            </w:r>
          </w:p>
        </w:tc>
        <w:tc>
          <w:tcPr>
            <w:tcW w:w="1769" w:type="pct"/>
            <w:gridSpan w:val="4"/>
          </w:tcPr>
          <w:p w14:paraId="4EF695E8" w14:textId="77777777" w:rsidR="00CD13FF" w:rsidRPr="00BB59D8" w:rsidRDefault="00CD13FF" w:rsidP="000F2712">
            <w:pPr>
              <w:pStyle w:val="Tabletext"/>
              <w:keepNext/>
              <w:rPr>
                <w:b/>
                <w:bCs/>
                <w:vertAlign w:val="superscript"/>
              </w:rPr>
            </w:pPr>
            <w:r w:rsidRPr="00BB59D8">
              <w:rPr>
                <w:b/>
                <w:bCs/>
              </w:rPr>
              <w:t>EU-IGFD Registry</w:t>
            </w:r>
            <w:r w:rsidRPr="00BB59D8">
              <w:rPr>
                <w:b/>
                <w:bCs/>
                <w:vertAlign w:val="superscript"/>
              </w:rPr>
              <w:t>b</w:t>
            </w:r>
          </w:p>
        </w:tc>
        <w:tc>
          <w:tcPr>
            <w:tcW w:w="1319" w:type="pct"/>
            <w:gridSpan w:val="3"/>
          </w:tcPr>
          <w:p w14:paraId="64E1B5D4" w14:textId="77777777" w:rsidR="00CD13FF" w:rsidRPr="00BB59D8" w:rsidRDefault="00CD13FF" w:rsidP="000F2712">
            <w:pPr>
              <w:pStyle w:val="Tabletext"/>
              <w:keepNext/>
              <w:rPr>
                <w:b/>
                <w:bCs/>
                <w:vertAlign w:val="superscript"/>
              </w:rPr>
            </w:pPr>
            <w:r w:rsidRPr="00BB59D8">
              <w:rPr>
                <w:b/>
                <w:bCs/>
              </w:rPr>
              <w:t>Polish Study</w:t>
            </w:r>
            <w:r w:rsidRPr="00BB59D8">
              <w:rPr>
                <w:b/>
                <w:bCs/>
                <w:vertAlign w:val="superscript"/>
              </w:rPr>
              <w:t>c</w:t>
            </w:r>
          </w:p>
        </w:tc>
      </w:tr>
      <w:tr w:rsidR="00E53311" w:rsidRPr="00BB59D8" w14:paraId="74086C62" w14:textId="77777777" w:rsidTr="00F227A5">
        <w:trPr>
          <w:trHeight w:val="557"/>
          <w:tblHeader/>
        </w:trPr>
        <w:tc>
          <w:tcPr>
            <w:tcW w:w="586" w:type="pct"/>
            <w:vAlign w:val="center"/>
          </w:tcPr>
          <w:p w14:paraId="7E3334C5" w14:textId="77777777" w:rsidR="00CD13FF" w:rsidRPr="00BB59D8" w:rsidRDefault="00CD13FF" w:rsidP="000F2712">
            <w:pPr>
              <w:pStyle w:val="Tabletext"/>
              <w:keepNext/>
              <w:rPr>
                <w:b/>
                <w:bCs/>
              </w:rPr>
            </w:pPr>
          </w:p>
        </w:tc>
        <w:tc>
          <w:tcPr>
            <w:tcW w:w="221" w:type="pct"/>
            <w:vAlign w:val="center"/>
          </w:tcPr>
          <w:p w14:paraId="0D7C5611" w14:textId="77777777" w:rsidR="00CD13FF" w:rsidRPr="00BB59D8" w:rsidRDefault="00CD13FF" w:rsidP="000F2712">
            <w:pPr>
              <w:pStyle w:val="Tabletext"/>
              <w:keepNext/>
              <w:rPr>
                <w:b/>
                <w:bCs/>
              </w:rPr>
            </w:pPr>
            <w:r w:rsidRPr="00BB59D8">
              <w:rPr>
                <w:b/>
                <w:bCs/>
              </w:rPr>
              <w:t>N</w:t>
            </w:r>
          </w:p>
        </w:tc>
        <w:tc>
          <w:tcPr>
            <w:tcW w:w="515" w:type="pct"/>
            <w:vAlign w:val="center"/>
          </w:tcPr>
          <w:p w14:paraId="75FE7E3F" w14:textId="77777777" w:rsidR="00CD13FF" w:rsidRPr="00BB59D8" w:rsidRDefault="00CD13FF" w:rsidP="000F2712">
            <w:pPr>
              <w:pStyle w:val="Tabletext"/>
              <w:keepNext/>
              <w:rPr>
                <w:b/>
                <w:bCs/>
              </w:rPr>
            </w:pPr>
            <w:r w:rsidRPr="00BB59D8">
              <w:rPr>
                <w:b/>
                <w:bCs/>
              </w:rPr>
              <w:t>Mean HSDS (SD)</w:t>
            </w:r>
          </w:p>
        </w:tc>
        <w:tc>
          <w:tcPr>
            <w:tcW w:w="591" w:type="pct"/>
            <w:vAlign w:val="center"/>
          </w:tcPr>
          <w:p w14:paraId="3F3E404E" w14:textId="77777777" w:rsidR="00CD13FF" w:rsidRPr="00BB59D8" w:rsidRDefault="00CD13FF" w:rsidP="000F2712">
            <w:pPr>
              <w:pStyle w:val="Tabletext"/>
              <w:keepNext/>
              <w:rPr>
                <w:b/>
                <w:bCs/>
              </w:rPr>
            </w:pPr>
            <w:r w:rsidRPr="00BB59D8">
              <w:rPr>
                <w:b/>
                <w:bCs/>
              </w:rPr>
              <w:t>Mean (SD) change from pre-treatment</w:t>
            </w:r>
          </w:p>
        </w:tc>
        <w:tc>
          <w:tcPr>
            <w:tcW w:w="293" w:type="pct"/>
            <w:vAlign w:val="center"/>
          </w:tcPr>
          <w:p w14:paraId="5235CF45" w14:textId="77777777" w:rsidR="00CD13FF" w:rsidRPr="00BB59D8" w:rsidRDefault="00CD13FF" w:rsidP="000F2712">
            <w:pPr>
              <w:pStyle w:val="Tabletext"/>
              <w:keepNext/>
              <w:rPr>
                <w:b/>
                <w:bCs/>
              </w:rPr>
            </w:pPr>
            <w:r w:rsidRPr="00BB59D8">
              <w:rPr>
                <w:b/>
                <w:bCs/>
              </w:rPr>
              <w:t>N</w:t>
            </w:r>
          </w:p>
        </w:tc>
        <w:tc>
          <w:tcPr>
            <w:tcW w:w="590" w:type="pct"/>
            <w:vAlign w:val="center"/>
          </w:tcPr>
          <w:p w14:paraId="755D6939" w14:textId="77777777" w:rsidR="00CD13FF" w:rsidRPr="00BB59D8" w:rsidRDefault="00CD13FF" w:rsidP="000F2712">
            <w:pPr>
              <w:pStyle w:val="Tabletext"/>
              <w:keepNext/>
              <w:rPr>
                <w:b/>
                <w:bCs/>
              </w:rPr>
            </w:pPr>
            <w:r w:rsidRPr="00BB59D8">
              <w:rPr>
                <w:b/>
                <w:bCs/>
              </w:rPr>
              <w:t>Mean HSDS (SD)</w:t>
            </w:r>
          </w:p>
        </w:tc>
        <w:tc>
          <w:tcPr>
            <w:tcW w:w="293" w:type="pct"/>
            <w:vAlign w:val="center"/>
          </w:tcPr>
          <w:p w14:paraId="1B9AA3C6" w14:textId="77777777" w:rsidR="00CD13FF" w:rsidRPr="00BB59D8" w:rsidRDefault="00CD13FF" w:rsidP="000F2712">
            <w:pPr>
              <w:pStyle w:val="Tabletext"/>
              <w:keepNext/>
              <w:rPr>
                <w:b/>
                <w:bCs/>
              </w:rPr>
            </w:pPr>
            <w:r w:rsidRPr="00BB59D8">
              <w:rPr>
                <w:b/>
                <w:bCs/>
              </w:rPr>
              <w:t>N</w:t>
            </w:r>
          </w:p>
        </w:tc>
        <w:tc>
          <w:tcPr>
            <w:tcW w:w="592" w:type="pct"/>
            <w:vAlign w:val="center"/>
          </w:tcPr>
          <w:p w14:paraId="1689A458" w14:textId="77777777" w:rsidR="00CD13FF" w:rsidRPr="00BB59D8" w:rsidRDefault="00CD13FF" w:rsidP="000F2712">
            <w:pPr>
              <w:pStyle w:val="Tabletext"/>
              <w:keepNext/>
              <w:rPr>
                <w:b/>
                <w:bCs/>
              </w:rPr>
            </w:pPr>
            <w:r w:rsidRPr="00BB59D8">
              <w:rPr>
                <w:b/>
                <w:bCs/>
              </w:rPr>
              <w:t>Mean (SD) change from pre-treatment</w:t>
            </w:r>
          </w:p>
        </w:tc>
        <w:tc>
          <w:tcPr>
            <w:tcW w:w="220" w:type="pct"/>
            <w:vAlign w:val="center"/>
          </w:tcPr>
          <w:p w14:paraId="39728D66" w14:textId="77777777" w:rsidR="00CD13FF" w:rsidRPr="00BB59D8" w:rsidRDefault="00CD13FF" w:rsidP="000F2712">
            <w:pPr>
              <w:pStyle w:val="Tabletext"/>
              <w:keepNext/>
              <w:rPr>
                <w:b/>
                <w:bCs/>
              </w:rPr>
            </w:pPr>
            <w:r w:rsidRPr="00BB59D8">
              <w:rPr>
                <w:b/>
                <w:bCs/>
              </w:rPr>
              <w:t>N</w:t>
            </w:r>
          </w:p>
        </w:tc>
        <w:tc>
          <w:tcPr>
            <w:tcW w:w="585" w:type="pct"/>
            <w:vAlign w:val="center"/>
          </w:tcPr>
          <w:p w14:paraId="7AA75C31" w14:textId="77777777" w:rsidR="00CD13FF" w:rsidRPr="00BB59D8" w:rsidRDefault="00CD13FF" w:rsidP="000F2712">
            <w:pPr>
              <w:pStyle w:val="Tabletext"/>
              <w:keepNext/>
              <w:rPr>
                <w:b/>
                <w:bCs/>
              </w:rPr>
            </w:pPr>
            <w:r w:rsidRPr="00BB59D8">
              <w:rPr>
                <w:b/>
                <w:bCs/>
              </w:rPr>
              <w:t>Mean HSDS (SD)</w:t>
            </w:r>
          </w:p>
        </w:tc>
        <w:tc>
          <w:tcPr>
            <w:tcW w:w="514" w:type="pct"/>
            <w:vAlign w:val="center"/>
          </w:tcPr>
          <w:p w14:paraId="0188B15A" w14:textId="77777777" w:rsidR="00CD13FF" w:rsidRPr="00BB59D8" w:rsidRDefault="00CD13FF" w:rsidP="000F2712">
            <w:pPr>
              <w:pStyle w:val="Tabletext"/>
              <w:keepNext/>
              <w:rPr>
                <w:b/>
                <w:bCs/>
              </w:rPr>
            </w:pPr>
            <w:r w:rsidRPr="00BB59D8">
              <w:rPr>
                <w:b/>
                <w:bCs/>
              </w:rPr>
              <w:t>Mean change from pre-treatment</w:t>
            </w:r>
          </w:p>
        </w:tc>
      </w:tr>
      <w:tr w:rsidR="00E53311" w:rsidRPr="00BB59D8" w14:paraId="29F5B476" w14:textId="77777777" w:rsidTr="00F227A5">
        <w:trPr>
          <w:trHeight w:val="557"/>
          <w:tblHeader/>
        </w:trPr>
        <w:tc>
          <w:tcPr>
            <w:tcW w:w="586" w:type="pct"/>
            <w:vAlign w:val="center"/>
          </w:tcPr>
          <w:p w14:paraId="0232EFA1" w14:textId="77777777" w:rsidR="00CD13FF" w:rsidRPr="00BB59D8" w:rsidRDefault="00CD13FF" w:rsidP="000F2712">
            <w:pPr>
              <w:pStyle w:val="Tabletext"/>
              <w:keepNext/>
            </w:pPr>
            <w:r w:rsidRPr="00BB59D8">
              <w:t>Pre-treatment</w:t>
            </w:r>
          </w:p>
        </w:tc>
        <w:tc>
          <w:tcPr>
            <w:tcW w:w="221" w:type="pct"/>
            <w:vAlign w:val="center"/>
          </w:tcPr>
          <w:p w14:paraId="771FB473" w14:textId="77777777" w:rsidR="00CD13FF" w:rsidRPr="00BB59D8" w:rsidRDefault="00CD13FF" w:rsidP="000F2712">
            <w:pPr>
              <w:pStyle w:val="Tabletext"/>
              <w:keepNext/>
              <w:jc w:val="center"/>
            </w:pPr>
            <w:r w:rsidRPr="00BB59D8">
              <w:t>81</w:t>
            </w:r>
          </w:p>
        </w:tc>
        <w:tc>
          <w:tcPr>
            <w:tcW w:w="515" w:type="pct"/>
            <w:vAlign w:val="center"/>
          </w:tcPr>
          <w:p w14:paraId="165A8C21" w14:textId="77777777" w:rsidR="00CD13FF" w:rsidRPr="00BB59D8" w:rsidRDefault="00CD13FF" w:rsidP="000F2712">
            <w:pPr>
              <w:pStyle w:val="Tabletext"/>
              <w:keepNext/>
              <w:jc w:val="center"/>
            </w:pPr>
            <w:r w:rsidRPr="00BB59D8">
              <w:t>-6.9 (1.8)</w:t>
            </w:r>
          </w:p>
        </w:tc>
        <w:tc>
          <w:tcPr>
            <w:tcW w:w="591" w:type="pct"/>
            <w:vAlign w:val="center"/>
          </w:tcPr>
          <w:p w14:paraId="2ABE8B35" w14:textId="77777777" w:rsidR="00CD13FF" w:rsidRPr="00BB59D8" w:rsidRDefault="00CD13FF" w:rsidP="000F2712">
            <w:pPr>
              <w:pStyle w:val="Tabletext"/>
              <w:keepNext/>
              <w:jc w:val="center"/>
            </w:pPr>
          </w:p>
        </w:tc>
        <w:tc>
          <w:tcPr>
            <w:tcW w:w="293" w:type="pct"/>
            <w:vAlign w:val="center"/>
          </w:tcPr>
          <w:p w14:paraId="6AEF3316" w14:textId="77777777" w:rsidR="00CD13FF" w:rsidRPr="00BB59D8" w:rsidRDefault="00CD13FF" w:rsidP="000F2712">
            <w:pPr>
              <w:pStyle w:val="Tabletext"/>
              <w:keepNext/>
              <w:jc w:val="center"/>
            </w:pPr>
            <w:r w:rsidRPr="00BB59D8">
              <w:t>249</w:t>
            </w:r>
          </w:p>
        </w:tc>
        <w:tc>
          <w:tcPr>
            <w:tcW w:w="590" w:type="pct"/>
            <w:vAlign w:val="center"/>
          </w:tcPr>
          <w:p w14:paraId="7587D417" w14:textId="77777777" w:rsidR="00CD13FF" w:rsidRPr="00BB59D8" w:rsidRDefault="00CD13FF" w:rsidP="000F2712">
            <w:pPr>
              <w:pStyle w:val="Tabletext"/>
              <w:keepNext/>
              <w:jc w:val="center"/>
            </w:pPr>
            <w:r w:rsidRPr="00BB59D8">
              <w:t>-3.79 (1.34)</w:t>
            </w:r>
          </w:p>
        </w:tc>
        <w:tc>
          <w:tcPr>
            <w:tcW w:w="293" w:type="pct"/>
            <w:vAlign w:val="center"/>
          </w:tcPr>
          <w:p w14:paraId="76E0755B" w14:textId="77777777" w:rsidR="00CD13FF" w:rsidRPr="00BB59D8" w:rsidRDefault="00CD13FF" w:rsidP="000F2712">
            <w:pPr>
              <w:pStyle w:val="Tabletext"/>
              <w:keepNext/>
              <w:jc w:val="center"/>
            </w:pPr>
            <w:r w:rsidRPr="00BB59D8">
              <w:t>NA</w:t>
            </w:r>
          </w:p>
        </w:tc>
        <w:tc>
          <w:tcPr>
            <w:tcW w:w="592" w:type="pct"/>
            <w:vAlign w:val="center"/>
          </w:tcPr>
          <w:p w14:paraId="1C031FC5" w14:textId="77777777" w:rsidR="00CD13FF" w:rsidRPr="00BB59D8" w:rsidRDefault="00CD13FF" w:rsidP="000F2712">
            <w:pPr>
              <w:pStyle w:val="Tabletext"/>
              <w:keepNext/>
              <w:jc w:val="center"/>
            </w:pPr>
            <w:r w:rsidRPr="00BB59D8">
              <w:t>NA</w:t>
            </w:r>
          </w:p>
        </w:tc>
        <w:tc>
          <w:tcPr>
            <w:tcW w:w="220" w:type="pct"/>
            <w:vAlign w:val="center"/>
          </w:tcPr>
          <w:p w14:paraId="3EE677D9" w14:textId="77777777" w:rsidR="00CD13FF" w:rsidRPr="00BB59D8" w:rsidRDefault="00CD13FF" w:rsidP="000F2712">
            <w:pPr>
              <w:pStyle w:val="Tabletext"/>
              <w:keepNext/>
              <w:jc w:val="center"/>
            </w:pPr>
            <w:r w:rsidRPr="00BB59D8">
              <w:t>25</w:t>
            </w:r>
          </w:p>
        </w:tc>
        <w:tc>
          <w:tcPr>
            <w:tcW w:w="585" w:type="pct"/>
            <w:vAlign w:val="center"/>
          </w:tcPr>
          <w:p w14:paraId="2A908AE9" w14:textId="77777777" w:rsidR="00CD13FF" w:rsidRPr="00BB59D8" w:rsidRDefault="00CD13FF" w:rsidP="000F2712">
            <w:pPr>
              <w:pStyle w:val="Tabletext"/>
              <w:keepNext/>
              <w:jc w:val="center"/>
            </w:pPr>
            <w:r w:rsidRPr="00BB59D8">
              <w:t>-3.52 (0.82)</w:t>
            </w:r>
          </w:p>
        </w:tc>
        <w:tc>
          <w:tcPr>
            <w:tcW w:w="514" w:type="pct"/>
            <w:vAlign w:val="center"/>
          </w:tcPr>
          <w:p w14:paraId="062DE6A3" w14:textId="77777777" w:rsidR="00CD13FF" w:rsidRPr="00BB59D8" w:rsidRDefault="00CD13FF" w:rsidP="000F2712">
            <w:pPr>
              <w:pStyle w:val="Tabletext"/>
              <w:keepNext/>
              <w:jc w:val="center"/>
            </w:pPr>
            <w:r w:rsidRPr="00BB59D8">
              <w:t>NA</w:t>
            </w:r>
          </w:p>
        </w:tc>
      </w:tr>
      <w:tr w:rsidR="00E53311" w:rsidRPr="00BB59D8" w14:paraId="039022DD" w14:textId="77777777" w:rsidTr="00F227A5">
        <w:trPr>
          <w:trHeight w:val="234"/>
        </w:trPr>
        <w:tc>
          <w:tcPr>
            <w:tcW w:w="586" w:type="pct"/>
            <w:vAlign w:val="center"/>
          </w:tcPr>
          <w:p w14:paraId="5218E404" w14:textId="77777777" w:rsidR="00CD13FF" w:rsidRPr="00BB59D8" w:rsidRDefault="00CD13FF" w:rsidP="000F2712">
            <w:pPr>
              <w:pStyle w:val="Tabletext"/>
              <w:keepNext/>
            </w:pPr>
            <w:r w:rsidRPr="00BB59D8">
              <w:t>Year 1</w:t>
            </w:r>
          </w:p>
        </w:tc>
        <w:tc>
          <w:tcPr>
            <w:tcW w:w="221" w:type="pct"/>
            <w:vAlign w:val="center"/>
          </w:tcPr>
          <w:p w14:paraId="1FF03C6E" w14:textId="77777777" w:rsidR="00CD13FF" w:rsidRPr="00BB59D8" w:rsidRDefault="00CD13FF" w:rsidP="000F2712">
            <w:pPr>
              <w:pStyle w:val="Tabletext"/>
              <w:keepNext/>
              <w:jc w:val="center"/>
            </w:pPr>
            <w:r w:rsidRPr="00BB59D8">
              <w:t>81</w:t>
            </w:r>
          </w:p>
        </w:tc>
        <w:tc>
          <w:tcPr>
            <w:tcW w:w="515" w:type="pct"/>
            <w:vAlign w:val="center"/>
          </w:tcPr>
          <w:p w14:paraId="5E4B0CAB" w14:textId="77777777" w:rsidR="00CD13FF" w:rsidRPr="00BB59D8" w:rsidRDefault="00CD13FF" w:rsidP="000F2712">
            <w:pPr>
              <w:pStyle w:val="Tabletext"/>
              <w:keepNext/>
              <w:jc w:val="center"/>
              <w:rPr>
                <w:b/>
                <w:bCs/>
              </w:rPr>
            </w:pPr>
            <w:r w:rsidRPr="00BB59D8">
              <w:t>-6.1 (1.8)</w:t>
            </w:r>
          </w:p>
        </w:tc>
        <w:tc>
          <w:tcPr>
            <w:tcW w:w="591" w:type="pct"/>
            <w:vAlign w:val="center"/>
          </w:tcPr>
          <w:p w14:paraId="0031EB9E" w14:textId="77777777" w:rsidR="00CD13FF" w:rsidRPr="00BB59D8" w:rsidRDefault="00CD13FF" w:rsidP="000F2712">
            <w:pPr>
              <w:pStyle w:val="Tabletext"/>
              <w:keepNext/>
              <w:jc w:val="center"/>
              <w:rPr>
                <w:b/>
                <w:bCs/>
              </w:rPr>
            </w:pPr>
            <w:r w:rsidRPr="00BB59D8">
              <w:rPr>
                <w:b/>
                <w:bCs/>
              </w:rPr>
              <w:t>0.8 (0.6)</w:t>
            </w:r>
          </w:p>
        </w:tc>
        <w:tc>
          <w:tcPr>
            <w:tcW w:w="293" w:type="pct"/>
            <w:vAlign w:val="center"/>
          </w:tcPr>
          <w:p w14:paraId="1628CAAB" w14:textId="77777777" w:rsidR="00CD13FF" w:rsidRPr="00BB59D8" w:rsidRDefault="00CD13FF" w:rsidP="000F2712">
            <w:pPr>
              <w:pStyle w:val="Tabletext"/>
              <w:keepNext/>
              <w:jc w:val="center"/>
            </w:pPr>
            <w:r w:rsidRPr="00BB59D8">
              <w:t>225</w:t>
            </w:r>
          </w:p>
        </w:tc>
        <w:tc>
          <w:tcPr>
            <w:tcW w:w="590" w:type="pct"/>
            <w:vAlign w:val="center"/>
          </w:tcPr>
          <w:p w14:paraId="35F3B36D" w14:textId="77777777" w:rsidR="00CD13FF" w:rsidRPr="00BB59D8" w:rsidRDefault="00CD13FF" w:rsidP="000F2712">
            <w:pPr>
              <w:pStyle w:val="Tabletext"/>
              <w:keepNext/>
              <w:jc w:val="center"/>
              <w:rPr>
                <w:b/>
                <w:bCs/>
              </w:rPr>
            </w:pPr>
            <w:r w:rsidRPr="00BB59D8">
              <w:t>-3.46 (1.36)</w:t>
            </w:r>
          </w:p>
        </w:tc>
        <w:tc>
          <w:tcPr>
            <w:tcW w:w="293" w:type="pct"/>
            <w:vAlign w:val="center"/>
          </w:tcPr>
          <w:p w14:paraId="6137325F" w14:textId="77777777" w:rsidR="00CD13FF" w:rsidRPr="00BB59D8" w:rsidRDefault="00CD13FF" w:rsidP="000F2712">
            <w:pPr>
              <w:pStyle w:val="Tabletext"/>
              <w:keepNext/>
              <w:jc w:val="center"/>
              <w:rPr>
                <w:b/>
                <w:bCs/>
              </w:rPr>
            </w:pPr>
            <w:r w:rsidRPr="00BB59D8">
              <w:t>204</w:t>
            </w:r>
          </w:p>
        </w:tc>
        <w:tc>
          <w:tcPr>
            <w:tcW w:w="592" w:type="pct"/>
            <w:vAlign w:val="center"/>
          </w:tcPr>
          <w:p w14:paraId="1D944765" w14:textId="77777777" w:rsidR="00CD13FF" w:rsidRPr="00BB59D8" w:rsidRDefault="00CD13FF" w:rsidP="000F2712">
            <w:pPr>
              <w:pStyle w:val="Tabletext"/>
              <w:keepNext/>
              <w:jc w:val="center"/>
              <w:rPr>
                <w:b/>
                <w:bCs/>
              </w:rPr>
            </w:pPr>
            <w:r w:rsidRPr="00BB59D8">
              <w:rPr>
                <w:b/>
                <w:bCs/>
              </w:rPr>
              <w:t>0.35 (0.46)</w:t>
            </w:r>
          </w:p>
        </w:tc>
        <w:tc>
          <w:tcPr>
            <w:tcW w:w="220" w:type="pct"/>
            <w:vAlign w:val="center"/>
          </w:tcPr>
          <w:p w14:paraId="5C83C236" w14:textId="77777777" w:rsidR="00CD13FF" w:rsidRPr="00BB59D8" w:rsidRDefault="00CD13FF" w:rsidP="000F2712">
            <w:pPr>
              <w:pStyle w:val="Tabletext"/>
              <w:keepNext/>
              <w:jc w:val="center"/>
            </w:pPr>
            <w:r w:rsidRPr="00BB59D8">
              <w:t>25</w:t>
            </w:r>
          </w:p>
        </w:tc>
        <w:tc>
          <w:tcPr>
            <w:tcW w:w="585" w:type="pct"/>
            <w:vAlign w:val="center"/>
          </w:tcPr>
          <w:p w14:paraId="45BE6743" w14:textId="77777777" w:rsidR="00CD13FF" w:rsidRPr="00BB59D8" w:rsidRDefault="00CD13FF" w:rsidP="000F2712">
            <w:pPr>
              <w:pStyle w:val="Tabletext"/>
              <w:keepNext/>
              <w:jc w:val="center"/>
            </w:pPr>
            <w:r w:rsidRPr="00BB59D8">
              <w:t>NR</w:t>
            </w:r>
          </w:p>
        </w:tc>
        <w:tc>
          <w:tcPr>
            <w:tcW w:w="514" w:type="pct"/>
            <w:vAlign w:val="center"/>
          </w:tcPr>
          <w:p w14:paraId="348C406B" w14:textId="77777777" w:rsidR="00CD13FF" w:rsidRPr="00BB59D8" w:rsidRDefault="00CD13FF" w:rsidP="000F2712">
            <w:pPr>
              <w:pStyle w:val="Tabletext"/>
              <w:keepNext/>
              <w:jc w:val="center"/>
              <w:rPr>
                <w:b/>
                <w:bCs/>
              </w:rPr>
            </w:pPr>
            <w:r w:rsidRPr="00BB59D8">
              <w:t>NR</w:t>
            </w:r>
          </w:p>
        </w:tc>
      </w:tr>
      <w:tr w:rsidR="00E53311" w:rsidRPr="00BB59D8" w14:paraId="3CED24F7" w14:textId="77777777" w:rsidTr="00F227A5">
        <w:trPr>
          <w:trHeight w:val="234"/>
        </w:trPr>
        <w:tc>
          <w:tcPr>
            <w:tcW w:w="586" w:type="pct"/>
            <w:vAlign w:val="center"/>
          </w:tcPr>
          <w:p w14:paraId="4B963188" w14:textId="77777777" w:rsidR="00CD13FF" w:rsidRPr="00BB59D8" w:rsidRDefault="00CD13FF" w:rsidP="000F2712">
            <w:pPr>
              <w:pStyle w:val="Tabletext"/>
              <w:keepNext/>
            </w:pPr>
            <w:r w:rsidRPr="00BB59D8">
              <w:t>Year 2</w:t>
            </w:r>
          </w:p>
        </w:tc>
        <w:tc>
          <w:tcPr>
            <w:tcW w:w="221" w:type="pct"/>
            <w:vAlign w:val="center"/>
          </w:tcPr>
          <w:p w14:paraId="5BF6FF8D" w14:textId="77777777" w:rsidR="00CD13FF" w:rsidRPr="00BB59D8" w:rsidRDefault="00CD13FF" w:rsidP="000F2712">
            <w:pPr>
              <w:pStyle w:val="Tabletext"/>
              <w:keepNext/>
              <w:jc w:val="center"/>
            </w:pPr>
            <w:r w:rsidRPr="00BB59D8">
              <w:t>67</w:t>
            </w:r>
          </w:p>
        </w:tc>
        <w:tc>
          <w:tcPr>
            <w:tcW w:w="515" w:type="pct"/>
            <w:vAlign w:val="center"/>
          </w:tcPr>
          <w:p w14:paraId="2DB6B990" w14:textId="77777777" w:rsidR="00CD13FF" w:rsidRPr="00BB59D8" w:rsidRDefault="00CD13FF" w:rsidP="000F2712">
            <w:pPr>
              <w:pStyle w:val="Tabletext"/>
              <w:keepNext/>
              <w:jc w:val="center"/>
              <w:rPr>
                <w:b/>
                <w:bCs/>
              </w:rPr>
            </w:pPr>
            <w:r w:rsidRPr="00BB59D8">
              <w:t>-5.6 (1.7)</w:t>
            </w:r>
          </w:p>
        </w:tc>
        <w:tc>
          <w:tcPr>
            <w:tcW w:w="591" w:type="pct"/>
            <w:vAlign w:val="center"/>
          </w:tcPr>
          <w:p w14:paraId="55F98E05" w14:textId="77777777" w:rsidR="00CD13FF" w:rsidRPr="00BB59D8" w:rsidRDefault="00CD13FF" w:rsidP="000F2712">
            <w:pPr>
              <w:pStyle w:val="Tabletext"/>
              <w:keepNext/>
              <w:jc w:val="center"/>
              <w:rPr>
                <w:b/>
                <w:bCs/>
              </w:rPr>
            </w:pPr>
            <w:r w:rsidRPr="00BB59D8">
              <w:rPr>
                <w:b/>
                <w:bCs/>
              </w:rPr>
              <w:t>1.2 (0.9)</w:t>
            </w:r>
          </w:p>
        </w:tc>
        <w:tc>
          <w:tcPr>
            <w:tcW w:w="293" w:type="pct"/>
            <w:vAlign w:val="center"/>
          </w:tcPr>
          <w:p w14:paraId="61CA454F" w14:textId="77777777" w:rsidR="00CD13FF" w:rsidRPr="00BB59D8" w:rsidRDefault="00CD13FF" w:rsidP="000F2712">
            <w:pPr>
              <w:pStyle w:val="Tabletext"/>
              <w:keepNext/>
              <w:jc w:val="center"/>
            </w:pPr>
            <w:r w:rsidRPr="00BB59D8">
              <w:t>176</w:t>
            </w:r>
          </w:p>
        </w:tc>
        <w:tc>
          <w:tcPr>
            <w:tcW w:w="590" w:type="pct"/>
            <w:vAlign w:val="center"/>
          </w:tcPr>
          <w:p w14:paraId="27D1CC54" w14:textId="77777777" w:rsidR="00CD13FF" w:rsidRPr="00BB59D8" w:rsidRDefault="00CD13FF" w:rsidP="000F2712">
            <w:pPr>
              <w:pStyle w:val="Tabletext"/>
              <w:keepNext/>
              <w:jc w:val="center"/>
              <w:rPr>
                <w:b/>
                <w:bCs/>
              </w:rPr>
            </w:pPr>
            <w:r w:rsidRPr="00BB59D8">
              <w:t>-3.26 (1.48)</w:t>
            </w:r>
          </w:p>
        </w:tc>
        <w:tc>
          <w:tcPr>
            <w:tcW w:w="293" w:type="pct"/>
            <w:vAlign w:val="center"/>
          </w:tcPr>
          <w:p w14:paraId="36988A2F" w14:textId="77777777" w:rsidR="00CD13FF" w:rsidRPr="00BB59D8" w:rsidRDefault="00CD13FF" w:rsidP="000F2712">
            <w:pPr>
              <w:pStyle w:val="Tabletext"/>
              <w:keepNext/>
              <w:jc w:val="center"/>
              <w:rPr>
                <w:b/>
                <w:bCs/>
              </w:rPr>
            </w:pPr>
            <w:r w:rsidRPr="00BB59D8">
              <w:t>161</w:t>
            </w:r>
          </w:p>
        </w:tc>
        <w:tc>
          <w:tcPr>
            <w:tcW w:w="592" w:type="pct"/>
            <w:vAlign w:val="center"/>
          </w:tcPr>
          <w:p w14:paraId="14F9F47C" w14:textId="77777777" w:rsidR="00CD13FF" w:rsidRPr="00BB59D8" w:rsidRDefault="00CD13FF" w:rsidP="000F2712">
            <w:pPr>
              <w:pStyle w:val="Tabletext"/>
              <w:keepNext/>
              <w:jc w:val="center"/>
              <w:rPr>
                <w:b/>
                <w:bCs/>
              </w:rPr>
            </w:pPr>
            <w:r w:rsidRPr="00BB59D8">
              <w:rPr>
                <w:b/>
                <w:bCs/>
              </w:rPr>
              <w:t>0.66 (0.67)</w:t>
            </w:r>
          </w:p>
        </w:tc>
        <w:tc>
          <w:tcPr>
            <w:tcW w:w="220" w:type="pct"/>
            <w:vAlign w:val="center"/>
          </w:tcPr>
          <w:p w14:paraId="5424F07E" w14:textId="77777777" w:rsidR="00CD13FF" w:rsidRPr="00BB59D8" w:rsidRDefault="00CD13FF" w:rsidP="000F2712">
            <w:pPr>
              <w:pStyle w:val="Tabletext"/>
              <w:keepNext/>
              <w:jc w:val="center"/>
            </w:pPr>
            <w:r w:rsidRPr="00BB59D8">
              <w:t>25</w:t>
            </w:r>
          </w:p>
        </w:tc>
        <w:tc>
          <w:tcPr>
            <w:tcW w:w="585" w:type="pct"/>
            <w:vAlign w:val="center"/>
          </w:tcPr>
          <w:p w14:paraId="282AFB80" w14:textId="77777777" w:rsidR="00CD13FF" w:rsidRPr="00BB59D8" w:rsidRDefault="00CD13FF" w:rsidP="000F2712">
            <w:pPr>
              <w:pStyle w:val="Tabletext"/>
              <w:keepNext/>
              <w:jc w:val="center"/>
            </w:pPr>
            <w:r w:rsidRPr="00BB59D8">
              <w:t>NR</w:t>
            </w:r>
          </w:p>
        </w:tc>
        <w:tc>
          <w:tcPr>
            <w:tcW w:w="514" w:type="pct"/>
            <w:vAlign w:val="center"/>
          </w:tcPr>
          <w:p w14:paraId="13FF1C4B" w14:textId="77777777" w:rsidR="00CD13FF" w:rsidRPr="00BB59D8" w:rsidRDefault="00CD13FF" w:rsidP="000F2712">
            <w:pPr>
              <w:pStyle w:val="Tabletext"/>
              <w:keepNext/>
              <w:jc w:val="center"/>
              <w:rPr>
                <w:b/>
                <w:bCs/>
              </w:rPr>
            </w:pPr>
            <w:r w:rsidRPr="00BB59D8">
              <w:t>NR</w:t>
            </w:r>
          </w:p>
        </w:tc>
      </w:tr>
      <w:tr w:rsidR="00E53311" w:rsidRPr="00BB59D8" w14:paraId="63651D10" w14:textId="77777777" w:rsidTr="00F227A5">
        <w:trPr>
          <w:trHeight w:val="215"/>
        </w:trPr>
        <w:tc>
          <w:tcPr>
            <w:tcW w:w="586" w:type="pct"/>
            <w:vAlign w:val="center"/>
          </w:tcPr>
          <w:p w14:paraId="70AFE8A6" w14:textId="77777777" w:rsidR="00CD13FF" w:rsidRPr="00BB59D8" w:rsidRDefault="00CD13FF" w:rsidP="000F2712">
            <w:pPr>
              <w:pStyle w:val="Tabletext"/>
              <w:keepNext/>
            </w:pPr>
            <w:r w:rsidRPr="00BB59D8">
              <w:t>Year 3</w:t>
            </w:r>
          </w:p>
        </w:tc>
        <w:tc>
          <w:tcPr>
            <w:tcW w:w="221" w:type="pct"/>
            <w:vAlign w:val="center"/>
          </w:tcPr>
          <w:p w14:paraId="277D2F1A" w14:textId="77777777" w:rsidR="00CD13FF" w:rsidRPr="00BB59D8" w:rsidRDefault="00CD13FF" w:rsidP="000F2712">
            <w:pPr>
              <w:pStyle w:val="Tabletext"/>
              <w:keepNext/>
              <w:jc w:val="center"/>
            </w:pPr>
            <w:r w:rsidRPr="00BB59D8">
              <w:t>66</w:t>
            </w:r>
          </w:p>
        </w:tc>
        <w:tc>
          <w:tcPr>
            <w:tcW w:w="515" w:type="pct"/>
            <w:vAlign w:val="center"/>
          </w:tcPr>
          <w:p w14:paraId="0884C999" w14:textId="77777777" w:rsidR="00CD13FF" w:rsidRPr="00BB59D8" w:rsidRDefault="00CD13FF" w:rsidP="000F2712">
            <w:pPr>
              <w:pStyle w:val="Tabletext"/>
              <w:keepNext/>
              <w:jc w:val="center"/>
              <w:rPr>
                <w:b/>
                <w:bCs/>
              </w:rPr>
            </w:pPr>
            <w:r w:rsidRPr="00BB59D8">
              <w:t>-5.3 (1.7)</w:t>
            </w:r>
          </w:p>
        </w:tc>
        <w:tc>
          <w:tcPr>
            <w:tcW w:w="591" w:type="pct"/>
            <w:vAlign w:val="center"/>
          </w:tcPr>
          <w:p w14:paraId="69369B31" w14:textId="77777777" w:rsidR="00CD13FF" w:rsidRPr="00BB59D8" w:rsidRDefault="00CD13FF" w:rsidP="000F2712">
            <w:pPr>
              <w:pStyle w:val="Tabletext"/>
              <w:keepNext/>
              <w:jc w:val="center"/>
              <w:rPr>
                <w:b/>
                <w:bCs/>
              </w:rPr>
            </w:pPr>
            <w:r w:rsidRPr="00BB59D8">
              <w:rPr>
                <w:b/>
                <w:bCs/>
              </w:rPr>
              <w:t>1.4 (1.1)</w:t>
            </w:r>
          </w:p>
        </w:tc>
        <w:tc>
          <w:tcPr>
            <w:tcW w:w="293" w:type="pct"/>
            <w:vAlign w:val="center"/>
          </w:tcPr>
          <w:p w14:paraId="6EEC91DF" w14:textId="77777777" w:rsidR="00CD13FF" w:rsidRPr="00BB59D8" w:rsidRDefault="00CD13FF" w:rsidP="000F2712">
            <w:pPr>
              <w:pStyle w:val="Tabletext"/>
              <w:keepNext/>
              <w:jc w:val="center"/>
            </w:pPr>
            <w:r w:rsidRPr="00BB59D8">
              <w:t>131</w:t>
            </w:r>
          </w:p>
        </w:tc>
        <w:tc>
          <w:tcPr>
            <w:tcW w:w="590" w:type="pct"/>
            <w:vAlign w:val="center"/>
          </w:tcPr>
          <w:p w14:paraId="04A50782" w14:textId="77777777" w:rsidR="00CD13FF" w:rsidRPr="00BB59D8" w:rsidRDefault="00CD13FF" w:rsidP="000F2712">
            <w:pPr>
              <w:pStyle w:val="Tabletext"/>
              <w:keepNext/>
              <w:jc w:val="center"/>
              <w:rPr>
                <w:b/>
                <w:bCs/>
              </w:rPr>
            </w:pPr>
            <w:r w:rsidRPr="00BB59D8">
              <w:t>-3.04 (1.62)</w:t>
            </w:r>
          </w:p>
        </w:tc>
        <w:tc>
          <w:tcPr>
            <w:tcW w:w="293" w:type="pct"/>
            <w:vAlign w:val="center"/>
          </w:tcPr>
          <w:p w14:paraId="4A1DC47E" w14:textId="77777777" w:rsidR="00CD13FF" w:rsidRPr="00BB59D8" w:rsidRDefault="00CD13FF" w:rsidP="000F2712">
            <w:pPr>
              <w:pStyle w:val="Tabletext"/>
              <w:keepNext/>
              <w:jc w:val="center"/>
              <w:rPr>
                <w:b/>
                <w:bCs/>
              </w:rPr>
            </w:pPr>
            <w:r w:rsidRPr="00BB59D8">
              <w:t>119</w:t>
            </w:r>
          </w:p>
        </w:tc>
        <w:tc>
          <w:tcPr>
            <w:tcW w:w="592" w:type="pct"/>
            <w:vAlign w:val="center"/>
          </w:tcPr>
          <w:p w14:paraId="7307ED70" w14:textId="77777777" w:rsidR="00CD13FF" w:rsidRPr="00BB59D8" w:rsidRDefault="00CD13FF" w:rsidP="000F2712">
            <w:pPr>
              <w:pStyle w:val="Tabletext"/>
              <w:keepNext/>
              <w:jc w:val="center"/>
              <w:rPr>
                <w:b/>
                <w:bCs/>
              </w:rPr>
            </w:pPr>
            <w:r w:rsidRPr="00BB59D8">
              <w:rPr>
                <w:b/>
                <w:bCs/>
              </w:rPr>
              <w:t>0.81 (0.72)</w:t>
            </w:r>
          </w:p>
        </w:tc>
        <w:tc>
          <w:tcPr>
            <w:tcW w:w="220" w:type="pct"/>
            <w:vAlign w:val="center"/>
          </w:tcPr>
          <w:p w14:paraId="122CCF76" w14:textId="77777777" w:rsidR="00CD13FF" w:rsidRPr="00BB59D8" w:rsidRDefault="00CD13FF" w:rsidP="000F2712">
            <w:pPr>
              <w:pStyle w:val="Tabletext"/>
              <w:keepNext/>
              <w:jc w:val="center"/>
            </w:pPr>
            <w:r w:rsidRPr="00BB59D8">
              <w:t>25</w:t>
            </w:r>
          </w:p>
        </w:tc>
        <w:tc>
          <w:tcPr>
            <w:tcW w:w="585" w:type="pct"/>
            <w:vAlign w:val="center"/>
          </w:tcPr>
          <w:p w14:paraId="5C1F9963" w14:textId="77777777" w:rsidR="00CD13FF" w:rsidRPr="00BB59D8" w:rsidRDefault="00CD13FF" w:rsidP="000F2712">
            <w:pPr>
              <w:pStyle w:val="Tabletext"/>
              <w:keepNext/>
              <w:jc w:val="center"/>
              <w:rPr>
                <w:b/>
                <w:bCs/>
              </w:rPr>
            </w:pPr>
            <w:r w:rsidRPr="00BB59D8">
              <w:rPr>
                <w:b/>
                <w:bCs/>
              </w:rPr>
              <w:t>-2.25 (0.91)</w:t>
            </w:r>
          </w:p>
        </w:tc>
        <w:tc>
          <w:tcPr>
            <w:tcW w:w="514" w:type="pct"/>
            <w:vAlign w:val="center"/>
          </w:tcPr>
          <w:p w14:paraId="434C5BA8" w14:textId="77777777" w:rsidR="00CD13FF" w:rsidRPr="00BB59D8" w:rsidRDefault="00CD13FF" w:rsidP="000F2712">
            <w:pPr>
              <w:pStyle w:val="Tabletext"/>
              <w:keepNext/>
              <w:jc w:val="center"/>
              <w:rPr>
                <w:b/>
                <w:bCs/>
                <w:iCs/>
              </w:rPr>
            </w:pPr>
            <w:r w:rsidRPr="00BB59D8">
              <w:rPr>
                <w:b/>
                <w:bCs/>
                <w:iCs/>
              </w:rPr>
              <w:t>NR</w:t>
            </w:r>
          </w:p>
        </w:tc>
      </w:tr>
      <w:tr w:rsidR="00E53311" w:rsidRPr="00BB59D8" w14:paraId="51D073AD" w14:textId="77777777" w:rsidTr="00F227A5">
        <w:trPr>
          <w:trHeight w:val="234"/>
        </w:trPr>
        <w:tc>
          <w:tcPr>
            <w:tcW w:w="586" w:type="pct"/>
            <w:vAlign w:val="center"/>
          </w:tcPr>
          <w:p w14:paraId="3918D145" w14:textId="77777777" w:rsidR="00CD13FF" w:rsidRPr="00BB59D8" w:rsidRDefault="00CD13FF" w:rsidP="000F2712">
            <w:pPr>
              <w:pStyle w:val="Tabletext"/>
              <w:keepNext/>
            </w:pPr>
            <w:r w:rsidRPr="00BB59D8">
              <w:t>Year 4</w:t>
            </w:r>
          </w:p>
        </w:tc>
        <w:tc>
          <w:tcPr>
            <w:tcW w:w="221" w:type="pct"/>
            <w:vAlign w:val="center"/>
          </w:tcPr>
          <w:p w14:paraId="08211179" w14:textId="77777777" w:rsidR="00CD13FF" w:rsidRPr="00BB59D8" w:rsidRDefault="00CD13FF" w:rsidP="000F2712">
            <w:pPr>
              <w:pStyle w:val="Tabletext"/>
              <w:keepNext/>
              <w:jc w:val="center"/>
            </w:pPr>
            <w:r w:rsidRPr="00BB59D8">
              <w:t>64</w:t>
            </w:r>
          </w:p>
        </w:tc>
        <w:tc>
          <w:tcPr>
            <w:tcW w:w="515" w:type="pct"/>
            <w:vAlign w:val="center"/>
          </w:tcPr>
          <w:p w14:paraId="77A7F46B" w14:textId="77777777" w:rsidR="00CD13FF" w:rsidRPr="00BB59D8" w:rsidRDefault="00CD13FF" w:rsidP="000F2712">
            <w:pPr>
              <w:pStyle w:val="Tabletext"/>
              <w:keepNext/>
              <w:jc w:val="center"/>
              <w:rPr>
                <w:b/>
                <w:bCs/>
              </w:rPr>
            </w:pPr>
            <w:r w:rsidRPr="00BB59D8">
              <w:t>-</w:t>
            </w:r>
            <w:r w:rsidRPr="00BB59D8">
              <w:rPr>
                <w:iCs/>
              </w:rPr>
              <w:t>5.1</w:t>
            </w:r>
            <w:r w:rsidRPr="00BB59D8">
              <w:t xml:space="preserve"> (1.7)</w:t>
            </w:r>
          </w:p>
        </w:tc>
        <w:tc>
          <w:tcPr>
            <w:tcW w:w="591" w:type="pct"/>
            <w:vAlign w:val="center"/>
          </w:tcPr>
          <w:p w14:paraId="0158A62F" w14:textId="77777777" w:rsidR="00CD13FF" w:rsidRPr="00BB59D8" w:rsidRDefault="00CD13FF" w:rsidP="000F2712">
            <w:pPr>
              <w:pStyle w:val="Tabletext"/>
              <w:keepNext/>
              <w:jc w:val="center"/>
              <w:rPr>
                <w:b/>
                <w:bCs/>
              </w:rPr>
            </w:pPr>
            <w:r w:rsidRPr="00BB59D8">
              <w:rPr>
                <w:b/>
                <w:bCs/>
              </w:rPr>
              <w:t>1.6 (1.2)</w:t>
            </w:r>
          </w:p>
        </w:tc>
        <w:tc>
          <w:tcPr>
            <w:tcW w:w="293" w:type="pct"/>
            <w:vAlign w:val="center"/>
          </w:tcPr>
          <w:p w14:paraId="40EC0F8C" w14:textId="77777777" w:rsidR="00CD13FF" w:rsidRPr="00BB59D8" w:rsidRDefault="00CD13FF" w:rsidP="000F2712">
            <w:pPr>
              <w:pStyle w:val="Tabletext"/>
              <w:keepNext/>
              <w:jc w:val="center"/>
            </w:pPr>
            <w:r w:rsidRPr="00BB59D8">
              <w:t>97</w:t>
            </w:r>
          </w:p>
        </w:tc>
        <w:tc>
          <w:tcPr>
            <w:tcW w:w="590" w:type="pct"/>
            <w:vAlign w:val="center"/>
          </w:tcPr>
          <w:p w14:paraId="3B1D49B9" w14:textId="77777777" w:rsidR="00CD13FF" w:rsidRPr="00BB59D8" w:rsidRDefault="00CD13FF" w:rsidP="000F2712">
            <w:pPr>
              <w:pStyle w:val="Tabletext"/>
              <w:keepNext/>
              <w:jc w:val="center"/>
            </w:pPr>
            <w:r w:rsidRPr="00BB59D8">
              <w:t>-2.99 (1.67)</w:t>
            </w:r>
          </w:p>
        </w:tc>
        <w:tc>
          <w:tcPr>
            <w:tcW w:w="293" w:type="pct"/>
            <w:vAlign w:val="center"/>
          </w:tcPr>
          <w:p w14:paraId="6DA217AB" w14:textId="77777777" w:rsidR="00CD13FF" w:rsidRPr="00BB59D8" w:rsidRDefault="00CD13FF" w:rsidP="000F2712">
            <w:pPr>
              <w:pStyle w:val="Tabletext"/>
              <w:keepNext/>
              <w:jc w:val="center"/>
            </w:pPr>
            <w:r w:rsidRPr="00BB59D8">
              <w:t>87</w:t>
            </w:r>
          </w:p>
        </w:tc>
        <w:tc>
          <w:tcPr>
            <w:tcW w:w="592" w:type="pct"/>
            <w:vAlign w:val="center"/>
          </w:tcPr>
          <w:p w14:paraId="7E72F6AD" w14:textId="77777777" w:rsidR="00CD13FF" w:rsidRPr="00BB59D8" w:rsidRDefault="00CD13FF" w:rsidP="000F2712">
            <w:pPr>
              <w:pStyle w:val="Tabletext"/>
              <w:keepNext/>
              <w:jc w:val="center"/>
            </w:pPr>
            <w:r w:rsidRPr="00BB59D8">
              <w:rPr>
                <w:b/>
                <w:bCs/>
              </w:rPr>
              <w:t>0.98 (0.68)</w:t>
            </w:r>
          </w:p>
        </w:tc>
        <w:tc>
          <w:tcPr>
            <w:tcW w:w="220" w:type="pct"/>
            <w:vAlign w:val="center"/>
          </w:tcPr>
          <w:p w14:paraId="1B6E38EB" w14:textId="77777777" w:rsidR="00CD13FF" w:rsidRPr="00BB59D8" w:rsidRDefault="00CD13FF" w:rsidP="000F2712">
            <w:pPr>
              <w:pStyle w:val="Tabletext"/>
              <w:keepNext/>
              <w:jc w:val="center"/>
              <w:rPr>
                <w:b/>
                <w:bCs/>
              </w:rPr>
            </w:pPr>
          </w:p>
        </w:tc>
        <w:tc>
          <w:tcPr>
            <w:tcW w:w="585" w:type="pct"/>
            <w:vAlign w:val="center"/>
          </w:tcPr>
          <w:p w14:paraId="6E8A62C4" w14:textId="77777777" w:rsidR="00CD13FF" w:rsidRPr="00BB59D8" w:rsidRDefault="00CD13FF" w:rsidP="000F2712">
            <w:pPr>
              <w:pStyle w:val="Tabletext"/>
              <w:keepNext/>
              <w:jc w:val="center"/>
              <w:rPr>
                <w:b/>
                <w:bCs/>
              </w:rPr>
            </w:pPr>
          </w:p>
        </w:tc>
        <w:tc>
          <w:tcPr>
            <w:tcW w:w="514" w:type="pct"/>
            <w:vAlign w:val="center"/>
          </w:tcPr>
          <w:p w14:paraId="4DFBD969" w14:textId="77777777" w:rsidR="00CD13FF" w:rsidRPr="00BB59D8" w:rsidRDefault="00CD13FF" w:rsidP="000F2712">
            <w:pPr>
              <w:pStyle w:val="Tabletext"/>
              <w:keepNext/>
              <w:jc w:val="center"/>
              <w:rPr>
                <w:b/>
                <w:bCs/>
              </w:rPr>
            </w:pPr>
          </w:p>
        </w:tc>
      </w:tr>
      <w:tr w:rsidR="00E53311" w:rsidRPr="00BB59D8" w14:paraId="53F0C168" w14:textId="77777777" w:rsidTr="00F227A5">
        <w:trPr>
          <w:trHeight w:val="234"/>
        </w:trPr>
        <w:tc>
          <w:tcPr>
            <w:tcW w:w="586" w:type="pct"/>
            <w:vAlign w:val="center"/>
          </w:tcPr>
          <w:p w14:paraId="44F28838" w14:textId="77777777" w:rsidR="00CD13FF" w:rsidRPr="00BB59D8" w:rsidRDefault="00CD13FF" w:rsidP="000F2712">
            <w:pPr>
              <w:pStyle w:val="Tabletext"/>
              <w:keepNext/>
            </w:pPr>
            <w:r w:rsidRPr="00BB59D8">
              <w:t>Year 5</w:t>
            </w:r>
          </w:p>
        </w:tc>
        <w:tc>
          <w:tcPr>
            <w:tcW w:w="221" w:type="pct"/>
            <w:vAlign w:val="center"/>
          </w:tcPr>
          <w:p w14:paraId="2760940D" w14:textId="77777777" w:rsidR="00CD13FF" w:rsidRPr="00BB59D8" w:rsidRDefault="00CD13FF" w:rsidP="000F2712">
            <w:pPr>
              <w:pStyle w:val="Tabletext"/>
              <w:keepNext/>
              <w:jc w:val="center"/>
            </w:pPr>
            <w:r w:rsidRPr="00BB59D8">
              <w:t>57</w:t>
            </w:r>
          </w:p>
        </w:tc>
        <w:tc>
          <w:tcPr>
            <w:tcW w:w="515" w:type="pct"/>
            <w:vAlign w:val="center"/>
          </w:tcPr>
          <w:p w14:paraId="3F1C8A0B" w14:textId="77777777" w:rsidR="00CD13FF" w:rsidRPr="00BB59D8" w:rsidRDefault="00CD13FF" w:rsidP="000F2712">
            <w:pPr>
              <w:pStyle w:val="Tabletext"/>
              <w:keepNext/>
              <w:jc w:val="center"/>
              <w:rPr>
                <w:b/>
                <w:bCs/>
              </w:rPr>
            </w:pPr>
            <w:r w:rsidRPr="00BB59D8">
              <w:t>-5.0 (1.7)</w:t>
            </w:r>
          </w:p>
        </w:tc>
        <w:tc>
          <w:tcPr>
            <w:tcW w:w="591" w:type="pct"/>
            <w:vAlign w:val="center"/>
          </w:tcPr>
          <w:p w14:paraId="44E8A13C" w14:textId="77777777" w:rsidR="00CD13FF" w:rsidRPr="00BB59D8" w:rsidRDefault="00CD13FF" w:rsidP="000F2712">
            <w:pPr>
              <w:pStyle w:val="Tabletext"/>
              <w:keepNext/>
              <w:jc w:val="center"/>
              <w:rPr>
                <w:b/>
                <w:bCs/>
              </w:rPr>
            </w:pPr>
            <w:r w:rsidRPr="00BB59D8">
              <w:rPr>
                <w:b/>
                <w:bCs/>
              </w:rPr>
              <w:t>1.7 (1.3)</w:t>
            </w:r>
          </w:p>
        </w:tc>
        <w:tc>
          <w:tcPr>
            <w:tcW w:w="293" w:type="pct"/>
            <w:vAlign w:val="center"/>
          </w:tcPr>
          <w:p w14:paraId="2B7E6173" w14:textId="77777777" w:rsidR="00CD13FF" w:rsidRPr="00BB59D8" w:rsidRDefault="00CD13FF" w:rsidP="000F2712">
            <w:pPr>
              <w:pStyle w:val="Tabletext"/>
              <w:keepNext/>
              <w:jc w:val="center"/>
            </w:pPr>
            <w:r w:rsidRPr="00BB59D8">
              <w:t>70</w:t>
            </w:r>
          </w:p>
        </w:tc>
        <w:tc>
          <w:tcPr>
            <w:tcW w:w="590" w:type="pct"/>
            <w:vAlign w:val="center"/>
          </w:tcPr>
          <w:p w14:paraId="2A6D4CC6" w14:textId="77777777" w:rsidR="00CD13FF" w:rsidRPr="00BB59D8" w:rsidRDefault="00CD13FF" w:rsidP="000F2712">
            <w:pPr>
              <w:pStyle w:val="Tabletext"/>
              <w:keepNext/>
              <w:jc w:val="center"/>
            </w:pPr>
            <w:r w:rsidRPr="00BB59D8">
              <w:t>-2.79 (1.82)</w:t>
            </w:r>
          </w:p>
        </w:tc>
        <w:tc>
          <w:tcPr>
            <w:tcW w:w="293" w:type="pct"/>
            <w:vAlign w:val="center"/>
          </w:tcPr>
          <w:p w14:paraId="3E271328" w14:textId="77777777" w:rsidR="00CD13FF" w:rsidRPr="00BB59D8" w:rsidRDefault="00CD13FF" w:rsidP="000F2712">
            <w:pPr>
              <w:pStyle w:val="Tabletext"/>
              <w:keepNext/>
              <w:jc w:val="center"/>
            </w:pPr>
            <w:r w:rsidRPr="00BB59D8">
              <w:t>62</w:t>
            </w:r>
          </w:p>
        </w:tc>
        <w:tc>
          <w:tcPr>
            <w:tcW w:w="592" w:type="pct"/>
            <w:vAlign w:val="center"/>
          </w:tcPr>
          <w:p w14:paraId="7C16CD74" w14:textId="77777777" w:rsidR="00CD13FF" w:rsidRPr="00BB59D8" w:rsidRDefault="00CD13FF" w:rsidP="000F2712">
            <w:pPr>
              <w:pStyle w:val="Tabletext"/>
              <w:keepNext/>
              <w:jc w:val="center"/>
              <w:rPr>
                <w:b/>
                <w:bCs/>
              </w:rPr>
            </w:pPr>
            <w:r w:rsidRPr="00BB59D8">
              <w:rPr>
                <w:b/>
                <w:bCs/>
              </w:rPr>
              <w:t>1.08 (0.78)</w:t>
            </w:r>
          </w:p>
        </w:tc>
        <w:tc>
          <w:tcPr>
            <w:tcW w:w="220" w:type="pct"/>
            <w:vAlign w:val="center"/>
          </w:tcPr>
          <w:p w14:paraId="11D4D8E0" w14:textId="77777777" w:rsidR="00CD13FF" w:rsidRPr="00BB59D8" w:rsidRDefault="00CD13FF" w:rsidP="000F2712">
            <w:pPr>
              <w:pStyle w:val="Tabletext"/>
              <w:keepNext/>
              <w:jc w:val="center"/>
              <w:rPr>
                <w:b/>
                <w:bCs/>
              </w:rPr>
            </w:pPr>
          </w:p>
        </w:tc>
        <w:tc>
          <w:tcPr>
            <w:tcW w:w="585" w:type="pct"/>
            <w:vAlign w:val="center"/>
          </w:tcPr>
          <w:p w14:paraId="2D90B50F" w14:textId="77777777" w:rsidR="00CD13FF" w:rsidRPr="00BB59D8" w:rsidRDefault="00CD13FF" w:rsidP="000F2712">
            <w:pPr>
              <w:pStyle w:val="Tabletext"/>
              <w:keepNext/>
              <w:jc w:val="center"/>
              <w:rPr>
                <w:b/>
                <w:bCs/>
              </w:rPr>
            </w:pPr>
          </w:p>
        </w:tc>
        <w:tc>
          <w:tcPr>
            <w:tcW w:w="514" w:type="pct"/>
            <w:vAlign w:val="center"/>
          </w:tcPr>
          <w:p w14:paraId="237ED652" w14:textId="77777777" w:rsidR="00CD13FF" w:rsidRPr="00BB59D8" w:rsidRDefault="00CD13FF" w:rsidP="000F2712">
            <w:pPr>
              <w:pStyle w:val="Tabletext"/>
              <w:keepNext/>
              <w:jc w:val="center"/>
              <w:rPr>
                <w:b/>
                <w:bCs/>
              </w:rPr>
            </w:pPr>
          </w:p>
        </w:tc>
      </w:tr>
      <w:tr w:rsidR="00E53311" w:rsidRPr="00BB59D8" w14:paraId="59EA1F0E" w14:textId="77777777" w:rsidTr="00F227A5">
        <w:trPr>
          <w:trHeight w:val="234"/>
        </w:trPr>
        <w:tc>
          <w:tcPr>
            <w:tcW w:w="586" w:type="pct"/>
            <w:vAlign w:val="center"/>
          </w:tcPr>
          <w:p w14:paraId="5638A6C5" w14:textId="77777777" w:rsidR="00CD13FF" w:rsidRPr="00BB59D8" w:rsidRDefault="00CD13FF" w:rsidP="000F2712">
            <w:pPr>
              <w:pStyle w:val="Tabletext"/>
              <w:keepNext/>
            </w:pPr>
            <w:r w:rsidRPr="00BB59D8">
              <w:t>Year 6</w:t>
            </w:r>
          </w:p>
        </w:tc>
        <w:tc>
          <w:tcPr>
            <w:tcW w:w="221" w:type="pct"/>
            <w:vAlign w:val="center"/>
          </w:tcPr>
          <w:p w14:paraId="5662B44C" w14:textId="77777777" w:rsidR="00CD13FF" w:rsidRPr="00BB59D8" w:rsidRDefault="00CD13FF" w:rsidP="000F2712">
            <w:pPr>
              <w:pStyle w:val="Tabletext"/>
              <w:keepNext/>
              <w:jc w:val="center"/>
            </w:pPr>
            <w:r w:rsidRPr="00BB59D8">
              <w:t>41</w:t>
            </w:r>
          </w:p>
        </w:tc>
        <w:tc>
          <w:tcPr>
            <w:tcW w:w="515" w:type="pct"/>
            <w:vAlign w:val="center"/>
          </w:tcPr>
          <w:p w14:paraId="23ABB48F" w14:textId="77777777" w:rsidR="00CD13FF" w:rsidRPr="00BB59D8" w:rsidRDefault="00CD13FF" w:rsidP="000F2712">
            <w:pPr>
              <w:pStyle w:val="Tabletext"/>
              <w:keepNext/>
              <w:jc w:val="center"/>
              <w:rPr>
                <w:b/>
                <w:bCs/>
              </w:rPr>
            </w:pPr>
            <w:r w:rsidRPr="00BB59D8">
              <w:t>-4.9 (1.6)</w:t>
            </w:r>
          </w:p>
        </w:tc>
        <w:tc>
          <w:tcPr>
            <w:tcW w:w="591" w:type="pct"/>
            <w:vAlign w:val="center"/>
          </w:tcPr>
          <w:p w14:paraId="0D3A8979" w14:textId="77777777" w:rsidR="00CD13FF" w:rsidRPr="00BB59D8" w:rsidRDefault="00CD13FF" w:rsidP="000F2712">
            <w:pPr>
              <w:pStyle w:val="Tabletext"/>
              <w:keepNext/>
              <w:jc w:val="center"/>
              <w:rPr>
                <w:b/>
                <w:bCs/>
              </w:rPr>
            </w:pPr>
            <w:r w:rsidRPr="00BB59D8">
              <w:rPr>
                <w:b/>
                <w:bCs/>
              </w:rPr>
              <w:t>1.8 (1.1)</w:t>
            </w:r>
          </w:p>
        </w:tc>
        <w:tc>
          <w:tcPr>
            <w:tcW w:w="293" w:type="pct"/>
            <w:vAlign w:val="center"/>
          </w:tcPr>
          <w:p w14:paraId="19B8B14A" w14:textId="77777777" w:rsidR="00CD13FF" w:rsidRPr="00BB59D8" w:rsidRDefault="00CD13FF" w:rsidP="000F2712">
            <w:pPr>
              <w:pStyle w:val="Tabletext"/>
              <w:keepNext/>
              <w:jc w:val="center"/>
            </w:pPr>
            <w:r w:rsidRPr="00BB59D8">
              <w:t>50</w:t>
            </w:r>
          </w:p>
        </w:tc>
        <w:tc>
          <w:tcPr>
            <w:tcW w:w="590" w:type="pct"/>
            <w:vAlign w:val="center"/>
          </w:tcPr>
          <w:p w14:paraId="5D761E8D" w14:textId="77777777" w:rsidR="00CD13FF" w:rsidRPr="00BB59D8" w:rsidRDefault="00CD13FF" w:rsidP="000F2712">
            <w:pPr>
              <w:pStyle w:val="Tabletext"/>
              <w:keepNext/>
              <w:jc w:val="center"/>
            </w:pPr>
            <w:r w:rsidRPr="00BB59D8">
              <w:t>-3.01 (1.92)</w:t>
            </w:r>
          </w:p>
        </w:tc>
        <w:tc>
          <w:tcPr>
            <w:tcW w:w="293" w:type="pct"/>
            <w:vAlign w:val="center"/>
          </w:tcPr>
          <w:p w14:paraId="177EE9AE" w14:textId="77777777" w:rsidR="00CD13FF" w:rsidRPr="00BB59D8" w:rsidRDefault="00CD13FF" w:rsidP="000F2712">
            <w:pPr>
              <w:pStyle w:val="Tabletext"/>
              <w:keepNext/>
              <w:jc w:val="center"/>
            </w:pPr>
            <w:r w:rsidRPr="00BB59D8">
              <w:t>46</w:t>
            </w:r>
          </w:p>
        </w:tc>
        <w:tc>
          <w:tcPr>
            <w:tcW w:w="592" w:type="pct"/>
            <w:vAlign w:val="center"/>
          </w:tcPr>
          <w:p w14:paraId="7AD7859C" w14:textId="77777777" w:rsidR="00CD13FF" w:rsidRPr="00BB59D8" w:rsidRDefault="00CD13FF" w:rsidP="000F2712">
            <w:pPr>
              <w:pStyle w:val="Tabletext"/>
              <w:keepNext/>
              <w:jc w:val="center"/>
              <w:rPr>
                <w:b/>
                <w:bCs/>
              </w:rPr>
            </w:pPr>
            <w:r w:rsidRPr="00BB59D8">
              <w:rPr>
                <w:b/>
                <w:bCs/>
              </w:rPr>
              <w:t>1.01 (0.82)</w:t>
            </w:r>
          </w:p>
        </w:tc>
        <w:tc>
          <w:tcPr>
            <w:tcW w:w="220" w:type="pct"/>
            <w:vAlign w:val="center"/>
          </w:tcPr>
          <w:p w14:paraId="392DA3DD" w14:textId="77777777" w:rsidR="00CD13FF" w:rsidRPr="00BB59D8" w:rsidRDefault="00CD13FF" w:rsidP="000F2712">
            <w:pPr>
              <w:pStyle w:val="Tabletext"/>
              <w:keepNext/>
              <w:jc w:val="center"/>
              <w:rPr>
                <w:b/>
                <w:bCs/>
              </w:rPr>
            </w:pPr>
          </w:p>
        </w:tc>
        <w:tc>
          <w:tcPr>
            <w:tcW w:w="585" w:type="pct"/>
            <w:vAlign w:val="center"/>
          </w:tcPr>
          <w:p w14:paraId="26F4283C" w14:textId="77777777" w:rsidR="00CD13FF" w:rsidRPr="00BB59D8" w:rsidRDefault="00CD13FF" w:rsidP="000F2712">
            <w:pPr>
              <w:pStyle w:val="Tabletext"/>
              <w:keepNext/>
              <w:jc w:val="center"/>
              <w:rPr>
                <w:b/>
                <w:bCs/>
              </w:rPr>
            </w:pPr>
          </w:p>
        </w:tc>
        <w:tc>
          <w:tcPr>
            <w:tcW w:w="514" w:type="pct"/>
            <w:vAlign w:val="center"/>
          </w:tcPr>
          <w:p w14:paraId="7FB83C31" w14:textId="77777777" w:rsidR="00CD13FF" w:rsidRPr="00BB59D8" w:rsidRDefault="00CD13FF" w:rsidP="000F2712">
            <w:pPr>
              <w:pStyle w:val="Tabletext"/>
              <w:keepNext/>
              <w:jc w:val="center"/>
              <w:rPr>
                <w:b/>
                <w:bCs/>
              </w:rPr>
            </w:pPr>
          </w:p>
        </w:tc>
      </w:tr>
      <w:tr w:rsidR="00E53311" w:rsidRPr="00BB59D8" w14:paraId="1D1721B0" w14:textId="77777777" w:rsidTr="00F227A5">
        <w:trPr>
          <w:trHeight w:val="234"/>
        </w:trPr>
        <w:tc>
          <w:tcPr>
            <w:tcW w:w="586" w:type="pct"/>
            <w:vAlign w:val="center"/>
          </w:tcPr>
          <w:p w14:paraId="05B654A6" w14:textId="77777777" w:rsidR="00CD13FF" w:rsidRPr="00BB59D8" w:rsidRDefault="00CD13FF" w:rsidP="000F2712">
            <w:pPr>
              <w:pStyle w:val="Tabletext"/>
              <w:keepNext/>
            </w:pPr>
            <w:r w:rsidRPr="00BB59D8">
              <w:t>Year 7</w:t>
            </w:r>
          </w:p>
        </w:tc>
        <w:tc>
          <w:tcPr>
            <w:tcW w:w="221" w:type="pct"/>
            <w:vAlign w:val="center"/>
          </w:tcPr>
          <w:p w14:paraId="3EDA21BF" w14:textId="77777777" w:rsidR="00CD13FF" w:rsidRPr="00BB59D8" w:rsidRDefault="00CD13FF" w:rsidP="000F2712">
            <w:pPr>
              <w:pStyle w:val="Tabletext"/>
              <w:keepNext/>
              <w:jc w:val="center"/>
            </w:pPr>
            <w:r w:rsidRPr="00BB59D8">
              <w:t>26</w:t>
            </w:r>
          </w:p>
        </w:tc>
        <w:tc>
          <w:tcPr>
            <w:tcW w:w="515" w:type="pct"/>
            <w:vAlign w:val="center"/>
          </w:tcPr>
          <w:p w14:paraId="514D7421" w14:textId="77777777" w:rsidR="00CD13FF" w:rsidRPr="00BB59D8" w:rsidRDefault="00CD13FF" w:rsidP="000F2712">
            <w:pPr>
              <w:pStyle w:val="Tabletext"/>
              <w:keepNext/>
              <w:jc w:val="center"/>
              <w:rPr>
                <w:b/>
                <w:bCs/>
              </w:rPr>
            </w:pPr>
            <w:r w:rsidRPr="00BB59D8">
              <w:t>-4.9 (1.7)</w:t>
            </w:r>
          </w:p>
        </w:tc>
        <w:tc>
          <w:tcPr>
            <w:tcW w:w="591" w:type="pct"/>
            <w:vAlign w:val="center"/>
          </w:tcPr>
          <w:p w14:paraId="236CE45E" w14:textId="77777777" w:rsidR="00CD13FF" w:rsidRPr="00BB59D8" w:rsidRDefault="00CD13FF" w:rsidP="000F2712">
            <w:pPr>
              <w:pStyle w:val="Tabletext"/>
              <w:keepNext/>
              <w:jc w:val="center"/>
              <w:rPr>
                <w:b/>
                <w:bCs/>
              </w:rPr>
            </w:pPr>
            <w:r w:rsidRPr="00BB59D8">
              <w:rPr>
                <w:b/>
                <w:bCs/>
              </w:rPr>
              <w:t>1.7 (1.0)</w:t>
            </w:r>
          </w:p>
        </w:tc>
        <w:tc>
          <w:tcPr>
            <w:tcW w:w="293" w:type="pct"/>
            <w:vAlign w:val="center"/>
          </w:tcPr>
          <w:p w14:paraId="23819D7A" w14:textId="77777777" w:rsidR="00CD13FF" w:rsidRPr="00BB59D8" w:rsidRDefault="00CD13FF" w:rsidP="000F2712">
            <w:pPr>
              <w:pStyle w:val="Tabletext"/>
              <w:keepNext/>
              <w:jc w:val="center"/>
            </w:pPr>
            <w:r w:rsidRPr="00BB59D8">
              <w:t>29</w:t>
            </w:r>
          </w:p>
        </w:tc>
        <w:tc>
          <w:tcPr>
            <w:tcW w:w="590" w:type="pct"/>
            <w:vAlign w:val="center"/>
          </w:tcPr>
          <w:p w14:paraId="3E83150E" w14:textId="77777777" w:rsidR="00CD13FF" w:rsidRPr="00BB59D8" w:rsidRDefault="00CD13FF" w:rsidP="000F2712">
            <w:pPr>
              <w:pStyle w:val="Tabletext"/>
              <w:keepNext/>
              <w:jc w:val="center"/>
            </w:pPr>
            <w:r w:rsidRPr="00BB59D8">
              <w:t>-2.70 (1.97)</w:t>
            </w:r>
          </w:p>
        </w:tc>
        <w:tc>
          <w:tcPr>
            <w:tcW w:w="293" w:type="pct"/>
            <w:vAlign w:val="center"/>
          </w:tcPr>
          <w:p w14:paraId="45CB9BB8" w14:textId="77777777" w:rsidR="00CD13FF" w:rsidRPr="00BB59D8" w:rsidRDefault="00CD13FF" w:rsidP="000F2712">
            <w:pPr>
              <w:pStyle w:val="Tabletext"/>
              <w:keepNext/>
              <w:jc w:val="center"/>
            </w:pPr>
            <w:r w:rsidRPr="00BB59D8">
              <w:t>25</w:t>
            </w:r>
          </w:p>
        </w:tc>
        <w:tc>
          <w:tcPr>
            <w:tcW w:w="592" w:type="pct"/>
            <w:vAlign w:val="center"/>
          </w:tcPr>
          <w:p w14:paraId="2F21AF52" w14:textId="77777777" w:rsidR="00CD13FF" w:rsidRPr="00BB59D8" w:rsidRDefault="00CD13FF" w:rsidP="000F2712">
            <w:pPr>
              <w:pStyle w:val="Tabletext"/>
              <w:keepNext/>
              <w:jc w:val="center"/>
              <w:rPr>
                <w:b/>
                <w:bCs/>
              </w:rPr>
            </w:pPr>
            <w:r w:rsidRPr="00BB59D8">
              <w:rPr>
                <w:b/>
                <w:bCs/>
              </w:rPr>
              <w:t>1.22 (0.87)</w:t>
            </w:r>
          </w:p>
        </w:tc>
        <w:tc>
          <w:tcPr>
            <w:tcW w:w="220" w:type="pct"/>
            <w:vAlign w:val="center"/>
          </w:tcPr>
          <w:p w14:paraId="3A4FAF96" w14:textId="77777777" w:rsidR="00CD13FF" w:rsidRPr="00BB59D8" w:rsidRDefault="00CD13FF" w:rsidP="000F2712">
            <w:pPr>
              <w:pStyle w:val="Tabletext"/>
              <w:keepNext/>
              <w:jc w:val="center"/>
              <w:rPr>
                <w:b/>
                <w:bCs/>
              </w:rPr>
            </w:pPr>
          </w:p>
        </w:tc>
        <w:tc>
          <w:tcPr>
            <w:tcW w:w="585" w:type="pct"/>
            <w:vAlign w:val="center"/>
          </w:tcPr>
          <w:p w14:paraId="1E0FDC52" w14:textId="77777777" w:rsidR="00CD13FF" w:rsidRPr="00BB59D8" w:rsidRDefault="00CD13FF" w:rsidP="000F2712">
            <w:pPr>
              <w:pStyle w:val="Tabletext"/>
              <w:keepNext/>
              <w:jc w:val="center"/>
              <w:rPr>
                <w:b/>
                <w:bCs/>
              </w:rPr>
            </w:pPr>
          </w:p>
        </w:tc>
        <w:tc>
          <w:tcPr>
            <w:tcW w:w="514" w:type="pct"/>
            <w:vAlign w:val="center"/>
          </w:tcPr>
          <w:p w14:paraId="6183EC8F" w14:textId="77777777" w:rsidR="00CD13FF" w:rsidRPr="00BB59D8" w:rsidRDefault="00CD13FF" w:rsidP="000F2712">
            <w:pPr>
              <w:pStyle w:val="Tabletext"/>
              <w:keepNext/>
              <w:jc w:val="center"/>
              <w:rPr>
                <w:b/>
                <w:bCs/>
              </w:rPr>
            </w:pPr>
          </w:p>
        </w:tc>
      </w:tr>
      <w:tr w:rsidR="00E53311" w:rsidRPr="00BB59D8" w14:paraId="1BC4386D" w14:textId="77777777" w:rsidTr="00F227A5">
        <w:trPr>
          <w:trHeight w:val="215"/>
        </w:trPr>
        <w:tc>
          <w:tcPr>
            <w:tcW w:w="586" w:type="pct"/>
            <w:vAlign w:val="center"/>
          </w:tcPr>
          <w:p w14:paraId="1B741A75" w14:textId="77777777" w:rsidR="00CD13FF" w:rsidRPr="00BB59D8" w:rsidRDefault="00CD13FF" w:rsidP="000F2712">
            <w:pPr>
              <w:pStyle w:val="Tabletext"/>
              <w:keepNext/>
            </w:pPr>
            <w:r w:rsidRPr="00BB59D8">
              <w:t>Year 8</w:t>
            </w:r>
          </w:p>
        </w:tc>
        <w:tc>
          <w:tcPr>
            <w:tcW w:w="221" w:type="pct"/>
            <w:vAlign w:val="center"/>
          </w:tcPr>
          <w:p w14:paraId="5027B2D9" w14:textId="77777777" w:rsidR="00CD13FF" w:rsidRPr="00BB59D8" w:rsidRDefault="00CD13FF" w:rsidP="000F2712">
            <w:pPr>
              <w:pStyle w:val="Tabletext"/>
              <w:keepNext/>
              <w:jc w:val="center"/>
            </w:pPr>
            <w:r w:rsidRPr="00BB59D8">
              <w:t>19</w:t>
            </w:r>
          </w:p>
        </w:tc>
        <w:tc>
          <w:tcPr>
            <w:tcW w:w="515" w:type="pct"/>
            <w:vAlign w:val="center"/>
          </w:tcPr>
          <w:p w14:paraId="1E051F74" w14:textId="77777777" w:rsidR="00CD13FF" w:rsidRPr="00BB59D8" w:rsidRDefault="00CD13FF" w:rsidP="000F2712">
            <w:pPr>
              <w:pStyle w:val="Tabletext"/>
              <w:keepNext/>
              <w:jc w:val="center"/>
              <w:rPr>
                <w:b/>
                <w:bCs/>
              </w:rPr>
            </w:pPr>
            <w:r w:rsidRPr="00BB59D8">
              <w:t>-5.1 (1.7)</w:t>
            </w:r>
          </w:p>
        </w:tc>
        <w:tc>
          <w:tcPr>
            <w:tcW w:w="591" w:type="pct"/>
            <w:vAlign w:val="center"/>
          </w:tcPr>
          <w:p w14:paraId="459458D7" w14:textId="77777777" w:rsidR="00CD13FF" w:rsidRPr="00BB59D8" w:rsidRDefault="00CD13FF" w:rsidP="000F2712">
            <w:pPr>
              <w:pStyle w:val="Tabletext"/>
              <w:keepNext/>
              <w:jc w:val="center"/>
              <w:rPr>
                <w:b/>
                <w:bCs/>
              </w:rPr>
            </w:pPr>
            <w:r w:rsidRPr="00BB59D8">
              <w:rPr>
                <w:b/>
                <w:bCs/>
              </w:rPr>
              <w:t>1.7 (1.0)</w:t>
            </w:r>
          </w:p>
        </w:tc>
        <w:tc>
          <w:tcPr>
            <w:tcW w:w="293" w:type="pct"/>
            <w:vAlign w:val="center"/>
          </w:tcPr>
          <w:p w14:paraId="672116AE" w14:textId="77777777" w:rsidR="00CD13FF" w:rsidRPr="00BB59D8" w:rsidRDefault="00CD13FF" w:rsidP="000F2712">
            <w:pPr>
              <w:pStyle w:val="Tabletext"/>
              <w:keepNext/>
              <w:jc w:val="center"/>
            </w:pPr>
            <w:r w:rsidRPr="00BB59D8">
              <w:t>19</w:t>
            </w:r>
          </w:p>
        </w:tc>
        <w:tc>
          <w:tcPr>
            <w:tcW w:w="590" w:type="pct"/>
            <w:vAlign w:val="center"/>
          </w:tcPr>
          <w:p w14:paraId="7B700499" w14:textId="77777777" w:rsidR="00CD13FF" w:rsidRPr="00BB59D8" w:rsidRDefault="00CD13FF" w:rsidP="000F2712">
            <w:pPr>
              <w:pStyle w:val="Tabletext"/>
              <w:keepNext/>
              <w:jc w:val="center"/>
            </w:pPr>
            <w:r w:rsidRPr="00BB59D8">
              <w:t>-2.86 (2.12)</w:t>
            </w:r>
          </w:p>
        </w:tc>
        <w:tc>
          <w:tcPr>
            <w:tcW w:w="293" w:type="pct"/>
            <w:vAlign w:val="center"/>
          </w:tcPr>
          <w:p w14:paraId="136D574C" w14:textId="77777777" w:rsidR="00CD13FF" w:rsidRPr="00BB59D8" w:rsidRDefault="00CD13FF" w:rsidP="000F2712">
            <w:pPr>
              <w:pStyle w:val="Tabletext"/>
              <w:keepNext/>
              <w:jc w:val="center"/>
            </w:pPr>
            <w:r w:rsidRPr="00BB59D8">
              <w:t>17</w:t>
            </w:r>
          </w:p>
        </w:tc>
        <w:tc>
          <w:tcPr>
            <w:tcW w:w="592" w:type="pct"/>
            <w:vAlign w:val="center"/>
          </w:tcPr>
          <w:p w14:paraId="64BABFDF" w14:textId="77777777" w:rsidR="00CD13FF" w:rsidRPr="00BB59D8" w:rsidRDefault="00CD13FF" w:rsidP="000F2712">
            <w:pPr>
              <w:pStyle w:val="Tabletext"/>
              <w:keepNext/>
              <w:jc w:val="center"/>
              <w:rPr>
                <w:b/>
                <w:bCs/>
              </w:rPr>
            </w:pPr>
            <w:r w:rsidRPr="00BB59D8">
              <w:rPr>
                <w:b/>
                <w:bCs/>
              </w:rPr>
              <w:t>1.33 (1.04)</w:t>
            </w:r>
          </w:p>
        </w:tc>
        <w:tc>
          <w:tcPr>
            <w:tcW w:w="220" w:type="pct"/>
            <w:vAlign w:val="center"/>
          </w:tcPr>
          <w:p w14:paraId="6B5FAFDE" w14:textId="77777777" w:rsidR="00CD13FF" w:rsidRPr="00BB59D8" w:rsidRDefault="00CD13FF" w:rsidP="000F2712">
            <w:pPr>
              <w:pStyle w:val="Tabletext"/>
              <w:keepNext/>
              <w:jc w:val="center"/>
              <w:rPr>
                <w:b/>
                <w:bCs/>
              </w:rPr>
            </w:pPr>
          </w:p>
        </w:tc>
        <w:tc>
          <w:tcPr>
            <w:tcW w:w="585" w:type="pct"/>
            <w:vAlign w:val="center"/>
          </w:tcPr>
          <w:p w14:paraId="50EABA07" w14:textId="77777777" w:rsidR="00CD13FF" w:rsidRPr="00BB59D8" w:rsidRDefault="00CD13FF" w:rsidP="000F2712">
            <w:pPr>
              <w:pStyle w:val="Tabletext"/>
              <w:keepNext/>
              <w:jc w:val="center"/>
              <w:rPr>
                <w:b/>
                <w:bCs/>
              </w:rPr>
            </w:pPr>
          </w:p>
        </w:tc>
        <w:tc>
          <w:tcPr>
            <w:tcW w:w="514" w:type="pct"/>
            <w:vAlign w:val="center"/>
          </w:tcPr>
          <w:p w14:paraId="57EF8B6A" w14:textId="77777777" w:rsidR="00CD13FF" w:rsidRPr="00BB59D8" w:rsidRDefault="00CD13FF" w:rsidP="000F2712">
            <w:pPr>
              <w:pStyle w:val="Tabletext"/>
              <w:keepNext/>
              <w:jc w:val="center"/>
              <w:rPr>
                <w:b/>
                <w:bCs/>
              </w:rPr>
            </w:pPr>
          </w:p>
        </w:tc>
      </w:tr>
      <w:tr w:rsidR="00E53311" w:rsidRPr="00BB59D8" w14:paraId="179F6E51" w14:textId="77777777" w:rsidTr="00F227A5">
        <w:trPr>
          <w:trHeight w:val="234"/>
        </w:trPr>
        <w:tc>
          <w:tcPr>
            <w:tcW w:w="586" w:type="pct"/>
            <w:vAlign w:val="center"/>
          </w:tcPr>
          <w:p w14:paraId="51B57C0C" w14:textId="77777777" w:rsidR="00CD13FF" w:rsidRPr="00BB59D8" w:rsidRDefault="00CD13FF" w:rsidP="000F2712">
            <w:pPr>
              <w:pStyle w:val="Tabletext"/>
              <w:keepNext/>
            </w:pPr>
            <w:r w:rsidRPr="00BB59D8">
              <w:t>Year 9</w:t>
            </w:r>
          </w:p>
        </w:tc>
        <w:tc>
          <w:tcPr>
            <w:tcW w:w="221" w:type="pct"/>
            <w:vAlign w:val="center"/>
          </w:tcPr>
          <w:p w14:paraId="3A64B904" w14:textId="77777777" w:rsidR="00CD13FF" w:rsidRPr="00BB59D8" w:rsidRDefault="00CD13FF" w:rsidP="000F2712">
            <w:pPr>
              <w:pStyle w:val="Tabletext"/>
              <w:keepNext/>
              <w:jc w:val="center"/>
            </w:pPr>
            <w:r w:rsidRPr="00BB59D8">
              <w:t>14</w:t>
            </w:r>
          </w:p>
        </w:tc>
        <w:tc>
          <w:tcPr>
            <w:tcW w:w="515" w:type="pct"/>
            <w:vAlign w:val="center"/>
          </w:tcPr>
          <w:p w14:paraId="451AB46E" w14:textId="77777777" w:rsidR="00CD13FF" w:rsidRPr="00BB59D8" w:rsidRDefault="00CD13FF" w:rsidP="000F2712">
            <w:pPr>
              <w:pStyle w:val="Tabletext"/>
              <w:keepNext/>
              <w:jc w:val="center"/>
            </w:pPr>
            <w:r w:rsidRPr="00BB59D8">
              <w:t>-5.0 (1.6)</w:t>
            </w:r>
          </w:p>
        </w:tc>
        <w:tc>
          <w:tcPr>
            <w:tcW w:w="591" w:type="pct"/>
            <w:vAlign w:val="center"/>
          </w:tcPr>
          <w:p w14:paraId="2C88C1F8" w14:textId="77777777" w:rsidR="00CD13FF" w:rsidRPr="00BB59D8" w:rsidRDefault="00CD13FF" w:rsidP="000F2712">
            <w:pPr>
              <w:pStyle w:val="Tabletext"/>
              <w:keepNext/>
              <w:jc w:val="center"/>
            </w:pPr>
            <w:r w:rsidRPr="00BB59D8">
              <w:rPr>
                <w:b/>
                <w:bCs/>
              </w:rPr>
              <w:t>1.8 (0.9)</w:t>
            </w:r>
          </w:p>
        </w:tc>
        <w:tc>
          <w:tcPr>
            <w:tcW w:w="293" w:type="pct"/>
            <w:vAlign w:val="center"/>
          </w:tcPr>
          <w:p w14:paraId="1586110D" w14:textId="77777777" w:rsidR="00CD13FF" w:rsidRPr="00BB59D8" w:rsidRDefault="00CD13FF" w:rsidP="000F2712">
            <w:pPr>
              <w:pStyle w:val="Tabletext"/>
              <w:keepNext/>
              <w:jc w:val="center"/>
            </w:pPr>
            <w:r w:rsidRPr="00BB59D8">
              <w:t>9</w:t>
            </w:r>
          </w:p>
        </w:tc>
        <w:tc>
          <w:tcPr>
            <w:tcW w:w="590" w:type="pct"/>
            <w:vAlign w:val="center"/>
          </w:tcPr>
          <w:p w14:paraId="5348DDEA" w14:textId="77777777" w:rsidR="00CD13FF" w:rsidRPr="00BB59D8" w:rsidRDefault="00CD13FF" w:rsidP="000F2712">
            <w:pPr>
              <w:pStyle w:val="Tabletext"/>
              <w:keepNext/>
              <w:jc w:val="center"/>
            </w:pPr>
            <w:r w:rsidRPr="00BB59D8">
              <w:t>-3.01 (1.58)</w:t>
            </w:r>
          </w:p>
        </w:tc>
        <w:tc>
          <w:tcPr>
            <w:tcW w:w="293" w:type="pct"/>
            <w:vAlign w:val="center"/>
          </w:tcPr>
          <w:p w14:paraId="2D762AB5" w14:textId="77777777" w:rsidR="00CD13FF" w:rsidRPr="00BB59D8" w:rsidRDefault="00CD13FF" w:rsidP="000F2712">
            <w:pPr>
              <w:pStyle w:val="Tabletext"/>
              <w:keepNext/>
              <w:jc w:val="center"/>
            </w:pPr>
            <w:r w:rsidRPr="00BB59D8">
              <w:t>7</w:t>
            </w:r>
          </w:p>
        </w:tc>
        <w:tc>
          <w:tcPr>
            <w:tcW w:w="592" w:type="pct"/>
            <w:vAlign w:val="center"/>
          </w:tcPr>
          <w:p w14:paraId="29512D49" w14:textId="77777777" w:rsidR="00CD13FF" w:rsidRPr="00BB59D8" w:rsidRDefault="00CD13FF" w:rsidP="000F2712">
            <w:pPr>
              <w:pStyle w:val="Tabletext"/>
              <w:keepNext/>
              <w:jc w:val="center"/>
              <w:rPr>
                <w:b/>
                <w:bCs/>
              </w:rPr>
            </w:pPr>
            <w:r w:rsidRPr="00BB59D8">
              <w:rPr>
                <w:b/>
                <w:bCs/>
              </w:rPr>
              <w:t>1.39 (0.71)</w:t>
            </w:r>
          </w:p>
        </w:tc>
        <w:tc>
          <w:tcPr>
            <w:tcW w:w="220" w:type="pct"/>
            <w:vAlign w:val="center"/>
          </w:tcPr>
          <w:p w14:paraId="2A430098" w14:textId="77777777" w:rsidR="00CD13FF" w:rsidRPr="00BB59D8" w:rsidRDefault="00CD13FF" w:rsidP="000F2712">
            <w:pPr>
              <w:pStyle w:val="Tabletext"/>
              <w:keepNext/>
              <w:jc w:val="center"/>
            </w:pPr>
          </w:p>
        </w:tc>
        <w:tc>
          <w:tcPr>
            <w:tcW w:w="585" w:type="pct"/>
            <w:vAlign w:val="center"/>
          </w:tcPr>
          <w:p w14:paraId="677A8E19" w14:textId="77777777" w:rsidR="00CD13FF" w:rsidRPr="00BB59D8" w:rsidRDefault="00CD13FF" w:rsidP="000F2712">
            <w:pPr>
              <w:pStyle w:val="Tabletext"/>
              <w:keepNext/>
              <w:jc w:val="center"/>
            </w:pPr>
          </w:p>
        </w:tc>
        <w:tc>
          <w:tcPr>
            <w:tcW w:w="514" w:type="pct"/>
            <w:vAlign w:val="center"/>
          </w:tcPr>
          <w:p w14:paraId="63AA4ED7" w14:textId="77777777" w:rsidR="00CD13FF" w:rsidRPr="00BB59D8" w:rsidRDefault="00CD13FF" w:rsidP="000F2712">
            <w:pPr>
              <w:pStyle w:val="Tabletext"/>
              <w:keepNext/>
              <w:jc w:val="center"/>
            </w:pPr>
          </w:p>
        </w:tc>
      </w:tr>
      <w:tr w:rsidR="00E53311" w:rsidRPr="00BB59D8" w14:paraId="10029144" w14:textId="77777777" w:rsidTr="00F227A5">
        <w:trPr>
          <w:trHeight w:val="234"/>
        </w:trPr>
        <w:tc>
          <w:tcPr>
            <w:tcW w:w="586" w:type="pct"/>
            <w:vAlign w:val="center"/>
          </w:tcPr>
          <w:p w14:paraId="5A57D598" w14:textId="77777777" w:rsidR="00CD13FF" w:rsidRPr="00BB59D8" w:rsidRDefault="00CD13FF" w:rsidP="000F2712">
            <w:pPr>
              <w:pStyle w:val="Tabletext"/>
              <w:keepNext/>
            </w:pPr>
            <w:r w:rsidRPr="00BB59D8">
              <w:t>Year 10</w:t>
            </w:r>
          </w:p>
        </w:tc>
        <w:tc>
          <w:tcPr>
            <w:tcW w:w="221" w:type="pct"/>
            <w:vAlign w:val="center"/>
          </w:tcPr>
          <w:p w14:paraId="76A9FC96" w14:textId="77777777" w:rsidR="00CD13FF" w:rsidRPr="00BB59D8" w:rsidRDefault="00CD13FF" w:rsidP="000F2712">
            <w:pPr>
              <w:pStyle w:val="Tabletext"/>
              <w:keepNext/>
              <w:jc w:val="center"/>
            </w:pPr>
            <w:r w:rsidRPr="00BB59D8">
              <w:t>13</w:t>
            </w:r>
          </w:p>
        </w:tc>
        <w:tc>
          <w:tcPr>
            <w:tcW w:w="515" w:type="pct"/>
            <w:vAlign w:val="center"/>
          </w:tcPr>
          <w:p w14:paraId="724BF48F" w14:textId="77777777" w:rsidR="00CD13FF" w:rsidRPr="00BB59D8" w:rsidRDefault="00CD13FF" w:rsidP="000F2712">
            <w:pPr>
              <w:pStyle w:val="Tabletext"/>
              <w:keepNext/>
              <w:jc w:val="center"/>
            </w:pPr>
            <w:r w:rsidRPr="00BB59D8">
              <w:t>-5.0 (1.7)</w:t>
            </w:r>
          </w:p>
        </w:tc>
        <w:tc>
          <w:tcPr>
            <w:tcW w:w="591" w:type="pct"/>
            <w:vAlign w:val="center"/>
          </w:tcPr>
          <w:p w14:paraId="66F20BB5" w14:textId="77777777" w:rsidR="00CD13FF" w:rsidRPr="00BB59D8" w:rsidRDefault="00CD13FF" w:rsidP="000F2712">
            <w:pPr>
              <w:pStyle w:val="Tabletext"/>
              <w:keepNext/>
              <w:jc w:val="center"/>
            </w:pPr>
            <w:r w:rsidRPr="00BB59D8">
              <w:rPr>
                <w:b/>
                <w:bCs/>
              </w:rPr>
              <w:t>1.9 (1.0)</w:t>
            </w:r>
          </w:p>
        </w:tc>
        <w:tc>
          <w:tcPr>
            <w:tcW w:w="293" w:type="pct"/>
            <w:vAlign w:val="center"/>
          </w:tcPr>
          <w:p w14:paraId="6EB7FF09" w14:textId="77777777" w:rsidR="00CD13FF" w:rsidRPr="00BB59D8" w:rsidRDefault="00CD13FF" w:rsidP="000F2712">
            <w:pPr>
              <w:pStyle w:val="Tabletext"/>
              <w:keepNext/>
              <w:jc w:val="center"/>
            </w:pPr>
            <w:r w:rsidRPr="00BB59D8">
              <w:t>4</w:t>
            </w:r>
          </w:p>
        </w:tc>
        <w:tc>
          <w:tcPr>
            <w:tcW w:w="590" w:type="pct"/>
            <w:vAlign w:val="center"/>
          </w:tcPr>
          <w:p w14:paraId="23BFE5C5" w14:textId="77777777" w:rsidR="00CD13FF" w:rsidRPr="00BB59D8" w:rsidRDefault="00CD13FF" w:rsidP="000F2712">
            <w:pPr>
              <w:pStyle w:val="Tabletext"/>
              <w:keepNext/>
              <w:jc w:val="center"/>
            </w:pPr>
            <w:r w:rsidRPr="00BB59D8">
              <w:t>-3.34 (1.75)</w:t>
            </w:r>
          </w:p>
        </w:tc>
        <w:tc>
          <w:tcPr>
            <w:tcW w:w="293" w:type="pct"/>
            <w:vAlign w:val="center"/>
          </w:tcPr>
          <w:p w14:paraId="13DE86D1" w14:textId="77777777" w:rsidR="00CD13FF" w:rsidRPr="00BB59D8" w:rsidRDefault="00CD13FF" w:rsidP="000F2712">
            <w:pPr>
              <w:pStyle w:val="Tabletext"/>
              <w:keepNext/>
              <w:jc w:val="center"/>
            </w:pPr>
            <w:r w:rsidRPr="00BB59D8">
              <w:t>2</w:t>
            </w:r>
          </w:p>
        </w:tc>
        <w:tc>
          <w:tcPr>
            <w:tcW w:w="592" w:type="pct"/>
            <w:vAlign w:val="center"/>
          </w:tcPr>
          <w:p w14:paraId="5AE6C801" w14:textId="77777777" w:rsidR="00CD13FF" w:rsidRPr="00BB59D8" w:rsidRDefault="00CD13FF" w:rsidP="000F2712">
            <w:pPr>
              <w:pStyle w:val="Tabletext"/>
              <w:keepNext/>
              <w:jc w:val="center"/>
            </w:pPr>
            <w:r w:rsidRPr="00BB59D8">
              <w:t>NR</w:t>
            </w:r>
          </w:p>
        </w:tc>
        <w:tc>
          <w:tcPr>
            <w:tcW w:w="220" w:type="pct"/>
            <w:vAlign w:val="center"/>
          </w:tcPr>
          <w:p w14:paraId="6293C486" w14:textId="77777777" w:rsidR="00CD13FF" w:rsidRPr="00BB59D8" w:rsidRDefault="00CD13FF" w:rsidP="000F2712">
            <w:pPr>
              <w:pStyle w:val="Tabletext"/>
              <w:keepNext/>
              <w:jc w:val="center"/>
            </w:pPr>
          </w:p>
        </w:tc>
        <w:tc>
          <w:tcPr>
            <w:tcW w:w="585" w:type="pct"/>
            <w:vAlign w:val="center"/>
          </w:tcPr>
          <w:p w14:paraId="59E733AD" w14:textId="77777777" w:rsidR="00CD13FF" w:rsidRPr="00BB59D8" w:rsidRDefault="00CD13FF" w:rsidP="000F2712">
            <w:pPr>
              <w:pStyle w:val="Tabletext"/>
              <w:keepNext/>
              <w:jc w:val="center"/>
            </w:pPr>
          </w:p>
        </w:tc>
        <w:tc>
          <w:tcPr>
            <w:tcW w:w="514" w:type="pct"/>
            <w:vAlign w:val="center"/>
          </w:tcPr>
          <w:p w14:paraId="15B65C60" w14:textId="77777777" w:rsidR="00CD13FF" w:rsidRPr="00BB59D8" w:rsidRDefault="00CD13FF" w:rsidP="000F2712">
            <w:pPr>
              <w:pStyle w:val="Tabletext"/>
              <w:keepNext/>
              <w:jc w:val="center"/>
            </w:pPr>
          </w:p>
        </w:tc>
      </w:tr>
      <w:tr w:rsidR="00E53311" w:rsidRPr="00BB59D8" w14:paraId="6045F202" w14:textId="77777777" w:rsidTr="00F227A5">
        <w:trPr>
          <w:trHeight w:val="234"/>
        </w:trPr>
        <w:tc>
          <w:tcPr>
            <w:tcW w:w="586" w:type="pct"/>
            <w:vAlign w:val="center"/>
          </w:tcPr>
          <w:p w14:paraId="4D8B8EA1" w14:textId="77777777" w:rsidR="00CD13FF" w:rsidRPr="00BB59D8" w:rsidRDefault="00CD13FF" w:rsidP="000F2712">
            <w:pPr>
              <w:pStyle w:val="Tabletext"/>
              <w:keepNext/>
            </w:pPr>
            <w:r w:rsidRPr="00BB59D8">
              <w:t>Year 11</w:t>
            </w:r>
          </w:p>
        </w:tc>
        <w:tc>
          <w:tcPr>
            <w:tcW w:w="221" w:type="pct"/>
            <w:vAlign w:val="center"/>
          </w:tcPr>
          <w:p w14:paraId="7DEBA7C7" w14:textId="77777777" w:rsidR="00CD13FF" w:rsidRPr="00BB59D8" w:rsidRDefault="00CD13FF" w:rsidP="000F2712">
            <w:pPr>
              <w:pStyle w:val="Tabletext"/>
              <w:keepNext/>
              <w:jc w:val="center"/>
            </w:pPr>
            <w:r w:rsidRPr="00BB59D8">
              <w:t>12</w:t>
            </w:r>
          </w:p>
        </w:tc>
        <w:tc>
          <w:tcPr>
            <w:tcW w:w="515" w:type="pct"/>
            <w:vAlign w:val="center"/>
          </w:tcPr>
          <w:p w14:paraId="54906FB5" w14:textId="77777777" w:rsidR="00CD13FF" w:rsidRPr="00BB59D8" w:rsidRDefault="00CD13FF" w:rsidP="000F2712">
            <w:pPr>
              <w:pStyle w:val="Tabletext"/>
              <w:keepNext/>
              <w:jc w:val="center"/>
            </w:pPr>
            <w:r w:rsidRPr="00BB59D8">
              <w:t>-4.7 (1.2)</w:t>
            </w:r>
          </w:p>
        </w:tc>
        <w:tc>
          <w:tcPr>
            <w:tcW w:w="591" w:type="pct"/>
            <w:vAlign w:val="center"/>
          </w:tcPr>
          <w:p w14:paraId="441A5AAE" w14:textId="77777777" w:rsidR="00CD13FF" w:rsidRPr="00BB59D8" w:rsidRDefault="00CD13FF" w:rsidP="000F2712">
            <w:pPr>
              <w:pStyle w:val="Tabletext"/>
              <w:keepNext/>
              <w:jc w:val="center"/>
            </w:pPr>
            <w:r w:rsidRPr="00BB59D8">
              <w:rPr>
                <w:b/>
                <w:bCs/>
              </w:rPr>
              <w:t>1.9 (1.0)</w:t>
            </w:r>
          </w:p>
        </w:tc>
        <w:tc>
          <w:tcPr>
            <w:tcW w:w="293" w:type="pct"/>
            <w:vAlign w:val="center"/>
          </w:tcPr>
          <w:p w14:paraId="42159C94" w14:textId="77777777" w:rsidR="00CD13FF" w:rsidRPr="00BB59D8" w:rsidRDefault="00CD13FF" w:rsidP="000F2712">
            <w:pPr>
              <w:pStyle w:val="Tabletext"/>
              <w:keepNext/>
              <w:jc w:val="center"/>
            </w:pPr>
          </w:p>
        </w:tc>
        <w:tc>
          <w:tcPr>
            <w:tcW w:w="590" w:type="pct"/>
            <w:vAlign w:val="center"/>
          </w:tcPr>
          <w:p w14:paraId="5224ABA9" w14:textId="77777777" w:rsidR="00CD13FF" w:rsidRPr="00BB59D8" w:rsidRDefault="00CD13FF" w:rsidP="000F2712">
            <w:pPr>
              <w:pStyle w:val="Tabletext"/>
              <w:keepNext/>
              <w:jc w:val="center"/>
            </w:pPr>
          </w:p>
        </w:tc>
        <w:tc>
          <w:tcPr>
            <w:tcW w:w="293" w:type="pct"/>
            <w:vAlign w:val="center"/>
          </w:tcPr>
          <w:p w14:paraId="63DA60B0" w14:textId="77777777" w:rsidR="00CD13FF" w:rsidRPr="00BB59D8" w:rsidRDefault="00CD13FF" w:rsidP="000F2712">
            <w:pPr>
              <w:pStyle w:val="Tabletext"/>
              <w:keepNext/>
              <w:jc w:val="center"/>
            </w:pPr>
          </w:p>
        </w:tc>
        <w:tc>
          <w:tcPr>
            <w:tcW w:w="592" w:type="pct"/>
            <w:vAlign w:val="center"/>
          </w:tcPr>
          <w:p w14:paraId="4BBC282A" w14:textId="77777777" w:rsidR="00CD13FF" w:rsidRPr="00BB59D8" w:rsidRDefault="00CD13FF" w:rsidP="000F2712">
            <w:pPr>
              <w:pStyle w:val="Tabletext"/>
              <w:keepNext/>
              <w:jc w:val="center"/>
            </w:pPr>
          </w:p>
        </w:tc>
        <w:tc>
          <w:tcPr>
            <w:tcW w:w="220" w:type="pct"/>
            <w:vAlign w:val="center"/>
          </w:tcPr>
          <w:p w14:paraId="0C5DA023" w14:textId="77777777" w:rsidR="00CD13FF" w:rsidRPr="00BB59D8" w:rsidRDefault="00CD13FF" w:rsidP="000F2712">
            <w:pPr>
              <w:pStyle w:val="Tabletext"/>
              <w:keepNext/>
              <w:jc w:val="center"/>
            </w:pPr>
          </w:p>
        </w:tc>
        <w:tc>
          <w:tcPr>
            <w:tcW w:w="585" w:type="pct"/>
            <w:vAlign w:val="center"/>
          </w:tcPr>
          <w:p w14:paraId="7ED52020" w14:textId="77777777" w:rsidR="00CD13FF" w:rsidRPr="00BB59D8" w:rsidRDefault="00CD13FF" w:rsidP="000F2712">
            <w:pPr>
              <w:pStyle w:val="Tabletext"/>
              <w:keepNext/>
              <w:jc w:val="center"/>
            </w:pPr>
          </w:p>
        </w:tc>
        <w:tc>
          <w:tcPr>
            <w:tcW w:w="514" w:type="pct"/>
            <w:vAlign w:val="center"/>
          </w:tcPr>
          <w:p w14:paraId="513E5B6B" w14:textId="77777777" w:rsidR="00CD13FF" w:rsidRPr="00BB59D8" w:rsidRDefault="00CD13FF" w:rsidP="000F2712">
            <w:pPr>
              <w:pStyle w:val="Tabletext"/>
              <w:keepNext/>
              <w:jc w:val="center"/>
            </w:pPr>
          </w:p>
        </w:tc>
      </w:tr>
      <w:tr w:rsidR="00E53311" w:rsidRPr="00BB59D8" w14:paraId="2F945F68" w14:textId="77777777" w:rsidTr="00F227A5">
        <w:trPr>
          <w:trHeight w:val="234"/>
        </w:trPr>
        <w:tc>
          <w:tcPr>
            <w:tcW w:w="586" w:type="pct"/>
            <w:vAlign w:val="center"/>
          </w:tcPr>
          <w:p w14:paraId="76622445" w14:textId="77777777" w:rsidR="00CD13FF" w:rsidRPr="00BB59D8" w:rsidRDefault="00CD13FF" w:rsidP="000F2712">
            <w:pPr>
              <w:pStyle w:val="Tabletext"/>
              <w:keepNext/>
            </w:pPr>
            <w:r w:rsidRPr="00BB59D8">
              <w:t>Year 12</w:t>
            </w:r>
          </w:p>
        </w:tc>
        <w:tc>
          <w:tcPr>
            <w:tcW w:w="221" w:type="pct"/>
            <w:vAlign w:val="center"/>
          </w:tcPr>
          <w:p w14:paraId="2E165A56" w14:textId="77777777" w:rsidR="00CD13FF" w:rsidRPr="00BB59D8" w:rsidRDefault="00CD13FF" w:rsidP="000F2712">
            <w:pPr>
              <w:pStyle w:val="Tabletext"/>
              <w:keepNext/>
              <w:jc w:val="center"/>
            </w:pPr>
            <w:r w:rsidRPr="00BB59D8">
              <w:t>10</w:t>
            </w:r>
          </w:p>
        </w:tc>
        <w:tc>
          <w:tcPr>
            <w:tcW w:w="515" w:type="pct"/>
            <w:vAlign w:val="center"/>
          </w:tcPr>
          <w:p w14:paraId="2A94650B" w14:textId="77777777" w:rsidR="00CD13FF" w:rsidRPr="00BB59D8" w:rsidRDefault="00CD13FF" w:rsidP="000F2712">
            <w:pPr>
              <w:pStyle w:val="Tabletext"/>
              <w:keepNext/>
              <w:jc w:val="center"/>
            </w:pPr>
            <w:r w:rsidRPr="00BB59D8">
              <w:t>-4.4 (1.3)</w:t>
            </w:r>
          </w:p>
        </w:tc>
        <w:tc>
          <w:tcPr>
            <w:tcW w:w="591" w:type="pct"/>
            <w:vAlign w:val="center"/>
          </w:tcPr>
          <w:p w14:paraId="19F51BA2" w14:textId="77777777" w:rsidR="00CD13FF" w:rsidRPr="00BB59D8" w:rsidRDefault="00CD13FF" w:rsidP="000F2712">
            <w:pPr>
              <w:pStyle w:val="Tabletext"/>
              <w:keepNext/>
              <w:jc w:val="center"/>
            </w:pPr>
            <w:r w:rsidRPr="00BB59D8">
              <w:rPr>
                <w:b/>
                <w:bCs/>
              </w:rPr>
              <w:t>2.0 (0.9)</w:t>
            </w:r>
          </w:p>
        </w:tc>
        <w:tc>
          <w:tcPr>
            <w:tcW w:w="293" w:type="pct"/>
            <w:vAlign w:val="center"/>
          </w:tcPr>
          <w:p w14:paraId="6B31D803" w14:textId="77777777" w:rsidR="00CD13FF" w:rsidRPr="00BB59D8" w:rsidRDefault="00CD13FF" w:rsidP="000F2712">
            <w:pPr>
              <w:pStyle w:val="Tabletext"/>
              <w:keepNext/>
              <w:jc w:val="center"/>
            </w:pPr>
          </w:p>
        </w:tc>
        <w:tc>
          <w:tcPr>
            <w:tcW w:w="590" w:type="pct"/>
            <w:vAlign w:val="center"/>
          </w:tcPr>
          <w:p w14:paraId="7238D3D6" w14:textId="77777777" w:rsidR="00CD13FF" w:rsidRPr="00BB59D8" w:rsidRDefault="00CD13FF" w:rsidP="000F2712">
            <w:pPr>
              <w:pStyle w:val="Tabletext"/>
              <w:keepNext/>
              <w:jc w:val="center"/>
            </w:pPr>
          </w:p>
        </w:tc>
        <w:tc>
          <w:tcPr>
            <w:tcW w:w="293" w:type="pct"/>
            <w:vAlign w:val="center"/>
          </w:tcPr>
          <w:p w14:paraId="0923B68D" w14:textId="77777777" w:rsidR="00CD13FF" w:rsidRPr="00BB59D8" w:rsidRDefault="00CD13FF" w:rsidP="000F2712">
            <w:pPr>
              <w:pStyle w:val="Tabletext"/>
              <w:keepNext/>
              <w:jc w:val="center"/>
            </w:pPr>
          </w:p>
        </w:tc>
        <w:tc>
          <w:tcPr>
            <w:tcW w:w="592" w:type="pct"/>
            <w:vAlign w:val="center"/>
          </w:tcPr>
          <w:p w14:paraId="3A1EF1CD" w14:textId="77777777" w:rsidR="00CD13FF" w:rsidRPr="00BB59D8" w:rsidRDefault="00CD13FF" w:rsidP="000F2712">
            <w:pPr>
              <w:pStyle w:val="Tabletext"/>
              <w:keepNext/>
              <w:jc w:val="center"/>
            </w:pPr>
          </w:p>
        </w:tc>
        <w:tc>
          <w:tcPr>
            <w:tcW w:w="220" w:type="pct"/>
            <w:vAlign w:val="center"/>
          </w:tcPr>
          <w:p w14:paraId="502F1040" w14:textId="77777777" w:rsidR="00CD13FF" w:rsidRPr="00BB59D8" w:rsidRDefault="00CD13FF" w:rsidP="000F2712">
            <w:pPr>
              <w:pStyle w:val="Tabletext"/>
              <w:keepNext/>
              <w:jc w:val="center"/>
            </w:pPr>
          </w:p>
        </w:tc>
        <w:tc>
          <w:tcPr>
            <w:tcW w:w="585" w:type="pct"/>
            <w:vAlign w:val="center"/>
          </w:tcPr>
          <w:p w14:paraId="388F4BBB" w14:textId="77777777" w:rsidR="00CD13FF" w:rsidRPr="00BB59D8" w:rsidRDefault="00CD13FF" w:rsidP="000F2712">
            <w:pPr>
              <w:pStyle w:val="Tabletext"/>
              <w:keepNext/>
              <w:jc w:val="center"/>
            </w:pPr>
          </w:p>
        </w:tc>
        <w:tc>
          <w:tcPr>
            <w:tcW w:w="514" w:type="pct"/>
            <w:vAlign w:val="center"/>
          </w:tcPr>
          <w:p w14:paraId="6C590EA9" w14:textId="77777777" w:rsidR="00CD13FF" w:rsidRPr="00BB59D8" w:rsidRDefault="00CD13FF" w:rsidP="000F2712">
            <w:pPr>
              <w:pStyle w:val="Tabletext"/>
              <w:keepNext/>
              <w:jc w:val="center"/>
            </w:pPr>
          </w:p>
        </w:tc>
      </w:tr>
      <w:tr w:rsidR="00E53311" w:rsidRPr="00BB59D8" w14:paraId="3C05CF57" w14:textId="77777777" w:rsidTr="00F227A5">
        <w:trPr>
          <w:trHeight w:val="234"/>
        </w:trPr>
        <w:tc>
          <w:tcPr>
            <w:tcW w:w="586" w:type="pct"/>
            <w:vAlign w:val="center"/>
          </w:tcPr>
          <w:p w14:paraId="6A1CF5EA" w14:textId="77777777" w:rsidR="00CD13FF" w:rsidRPr="00BB59D8" w:rsidRDefault="00CD13FF" w:rsidP="000F2712">
            <w:pPr>
              <w:pStyle w:val="Tabletext"/>
              <w:keepNext/>
            </w:pPr>
            <w:r w:rsidRPr="00BB59D8">
              <w:t>Year 13</w:t>
            </w:r>
          </w:p>
        </w:tc>
        <w:tc>
          <w:tcPr>
            <w:tcW w:w="221" w:type="pct"/>
            <w:vAlign w:val="center"/>
          </w:tcPr>
          <w:p w14:paraId="741309BE" w14:textId="77777777" w:rsidR="00CD13FF" w:rsidRPr="00BB59D8" w:rsidRDefault="00CD13FF" w:rsidP="000F2712">
            <w:pPr>
              <w:pStyle w:val="Tabletext"/>
              <w:keepNext/>
              <w:jc w:val="center"/>
            </w:pPr>
            <w:r w:rsidRPr="00BB59D8">
              <w:t>9</w:t>
            </w:r>
          </w:p>
        </w:tc>
        <w:tc>
          <w:tcPr>
            <w:tcW w:w="515" w:type="pct"/>
            <w:vAlign w:val="center"/>
          </w:tcPr>
          <w:p w14:paraId="1969A1E8" w14:textId="77777777" w:rsidR="00CD13FF" w:rsidRPr="00BB59D8" w:rsidRDefault="00CD13FF" w:rsidP="000F2712">
            <w:pPr>
              <w:pStyle w:val="Tabletext"/>
              <w:keepNext/>
              <w:jc w:val="center"/>
            </w:pPr>
            <w:r w:rsidRPr="00BB59D8">
              <w:t>-4.7 (1.0)</w:t>
            </w:r>
          </w:p>
        </w:tc>
        <w:tc>
          <w:tcPr>
            <w:tcW w:w="591" w:type="pct"/>
            <w:vAlign w:val="center"/>
          </w:tcPr>
          <w:p w14:paraId="0474F9B5" w14:textId="77777777" w:rsidR="00CD13FF" w:rsidRPr="00BB59D8" w:rsidRDefault="00CD13FF" w:rsidP="000F2712">
            <w:pPr>
              <w:pStyle w:val="Tabletext"/>
              <w:keepNext/>
              <w:jc w:val="center"/>
            </w:pPr>
            <w:r w:rsidRPr="00BB59D8">
              <w:rPr>
                <w:b/>
                <w:bCs/>
              </w:rPr>
              <w:t>2.1 (0.9)</w:t>
            </w:r>
          </w:p>
        </w:tc>
        <w:tc>
          <w:tcPr>
            <w:tcW w:w="293" w:type="pct"/>
            <w:vAlign w:val="center"/>
          </w:tcPr>
          <w:p w14:paraId="169C3F9E" w14:textId="77777777" w:rsidR="00CD13FF" w:rsidRPr="00BB59D8" w:rsidRDefault="00CD13FF" w:rsidP="000F2712">
            <w:pPr>
              <w:pStyle w:val="Tabletext"/>
              <w:keepNext/>
              <w:jc w:val="center"/>
            </w:pPr>
          </w:p>
        </w:tc>
        <w:tc>
          <w:tcPr>
            <w:tcW w:w="590" w:type="pct"/>
            <w:vAlign w:val="center"/>
          </w:tcPr>
          <w:p w14:paraId="03413FFB" w14:textId="77777777" w:rsidR="00CD13FF" w:rsidRPr="00BB59D8" w:rsidRDefault="00CD13FF" w:rsidP="000F2712">
            <w:pPr>
              <w:pStyle w:val="Tabletext"/>
              <w:keepNext/>
              <w:jc w:val="center"/>
            </w:pPr>
          </w:p>
        </w:tc>
        <w:tc>
          <w:tcPr>
            <w:tcW w:w="293" w:type="pct"/>
            <w:vAlign w:val="center"/>
          </w:tcPr>
          <w:p w14:paraId="794040C5" w14:textId="77777777" w:rsidR="00CD13FF" w:rsidRPr="00BB59D8" w:rsidRDefault="00CD13FF" w:rsidP="000F2712">
            <w:pPr>
              <w:pStyle w:val="Tabletext"/>
              <w:keepNext/>
              <w:jc w:val="center"/>
            </w:pPr>
          </w:p>
        </w:tc>
        <w:tc>
          <w:tcPr>
            <w:tcW w:w="592" w:type="pct"/>
            <w:vAlign w:val="center"/>
          </w:tcPr>
          <w:p w14:paraId="3101B570" w14:textId="77777777" w:rsidR="00CD13FF" w:rsidRPr="00BB59D8" w:rsidRDefault="00CD13FF" w:rsidP="000F2712">
            <w:pPr>
              <w:pStyle w:val="Tabletext"/>
              <w:keepNext/>
              <w:jc w:val="center"/>
            </w:pPr>
          </w:p>
        </w:tc>
        <w:tc>
          <w:tcPr>
            <w:tcW w:w="220" w:type="pct"/>
            <w:vAlign w:val="center"/>
          </w:tcPr>
          <w:p w14:paraId="299A5B70" w14:textId="77777777" w:rsidR="00CD13FF" w:rsidRPr="00BB59D8" w:rsidRDefault="00CD13FF" w:rsidP="000F2712">
            <w:pPr>
              <w:pStyle w:val="Tabletext"/>
              <w:keepNext/>
              <w:jc w:val="center"/>
            </w:pPr>
          </w:p>
        </w:tc>
        <w:tc>
          <w:tcPr>
            <w:tcW w:w="585" w:type="pct"/>
            <w:vAlign w:val="center"/>
          </w:tcPr>
          <w:p w14:paraId="21B291AF" w14:textId="77777777" w:rsidR="00CD13FF" w:rsidRPr="00BB59D8" w:rsidRDefault="00CD13FF" w:rsidP="000F2712">
            <w:pPr>
              <w:pStyle w:val="Tabletext"/>
              <w:keepNext/>
              <w:jc w:val="center"/>
            </w:pPr>
          </w:p>
        </w:tc>
        <w:tc>
          <w:tcPr>
            <w:tcW w:w="514" w:type="pct"/>
            <w:vAlign w:val="center"/>
          </w:tcPr>
          <w:p w14:paraId="5A8BB0AD" w14:textId="77777777" w:rsidR="00CD13FF" w:rsidRPr="00BB59D8" w:rsidRDefault="00CD13FF" w:rsidP="000F2712">
            <w:pPr>
              <w:pStyle w:val="Tabletext"/>
              <w:keepNext/>
              <w:jc w:val="center"/>
            </w:pPr>
          </w:p>
        </w:tc>
      </w:tr>
      <w:tr w:rsidR="00E53311" w:rsidRPr="00BB59D8" w14:paraId="49E9B639" w14:textId="77777777" w:rsidTr="00F227A5">
        <w:trPr>
          <w:trHeight w:val="215"/>
        </w:trPr>
        <w:tc>
          <w:tcPr>
            <w:tcW w:w="586" w:type="pct"/>
            <w:vAlign w:val="center"/>
          </w:tcPr>
          <w:p w14:paraId="45F00510" w14:textId="77777777" w:rsidR="00CD13FF" w:rsidRPr="00BB59D8" w:rsidRDefault="00CD13FF" w:rsidP="000F2712">
            <w:pPr>
              <w:pStyle w:val="Tabletext"/>
              <w:keepNext/>
            </w:pPr>
            <w:r w:rsidRPr="00BB59D8">
              <w:t>Year 14</w:t>
            </w:r>
          </w:p>
        </w:tc>
        <w:tc>
          <w:tcPr>
            <w:tcW w:w="221" w:type="pct"/>
            <w:vAlign w:val="center"/>
          </w:tcPr>
          <w:p w14:paraId="23FF0317" w14:textId="77777777" w:rsidR="00CD13FF" w:rsidRPr="00BB59D8" w:rsidRDefault="00CD13FF" w:rsidP="000F2712">
            <w:pPr>
              <w:pStyle w:val="Tabletext"/>
              <w:keepNext/>
              <w:jc w:val="center"/>
            </w:pPr>
            <w:r w:rsidRPr="00BB59D8">
              <w:t>6</w:t>
            </w:r>
          </w:p>
        </w:tc>
        <w:tc>
          <w:tcPr>
            <w:tcW w:w="515" w:type="pct"/>
            <w:vAlign w:val="center"/>
          </w:tcPr>
          <w:p w14:paraId="09265FC0" w14:textId="77777777" w:rsidR="00CD13FF" w:rsidRPr="00BB59D8" w:rsidRDefault="00CD13FF" w:rsidP="000F2712">
            <w:pPr>
              <w:pStyle w:val="Tabletext"/>
              <w:keepNext/>
              <w:jc w:val="center"/>
            </w:pPr>
            <w:r w:rsidRPr="00BB59D8">
              <w:t>-4.3 (1.0)</w:t>
            </w:r>
          </w:p>
        </w:tc>
        <w:tc>
          <w:tcPr>
            <w:tcW w:w="591" w:type="pct"/>
            <w:vAlign w:val="center"/>
          </w:tcPr>
          <w:p w14:paraId="20340CCA" w14:textId="77777777" w:rsidR="00CD13FF" w:rsidRPr="00BB59D8" w:rsidRDefault="00CD13FF" w:rsidP="000F2712">
            <w:pPr>
              <w:pStyle w:val="Tabletext"/>
              <w:keepNext/>
              <w:jc w:val="center"/>
            </w:pPr>
            <w:r w:rsidRPr="00BB59D8">
              <w:rPr>
                <w:b/>
                <w:bCs/>
              </w:rPr>
              <w:t>2.3 (1.0)</w:t>
            </w:r>
          </w:p>
        </w:tc>
        <w:tc>
          <w:tcPr>
            <w:tcW w:w="293" w:type="pct"/>
            <w:vAlign w:val="center"/>
          </w:tcPr>
          <w:p w14:paraId="07DB522A" w14:textId="77777777" w:rsidR="00CD13FF" w:rsidRPr="00BB59D8" w:rsidRDefault="00CD13FF" w:rsidP="000F2712">
            <w:pPr>
              <w:pStyle w:val="Tabletext"/>
              <w:keepNext/>
              <w:jc w:val="center"/>
            </w:pPr>
          </w:p>
        </w:tc>
        <w:tc>
          <w:tcPr>
            <w:tcW w:w="590" w:type="pct"/>
            <w:vAlign w:val="center"/>
          </w:tcPr>
          <w:p w14:paraId="03EBD241" w14:textId="77777777" w:rsidR="00CD13FF" w:rsidRPr="00BB59D8" w:rsidRDefault="00CD13FF" w:rsidP="000F2712">
            <w:pPr>
              <w:pStyle w:val="Tabletext"/>
              <w:keepNext/>
              <w:jc w:val="center"/>
            </w:pPr>
          </w:p>
        </w:tc>
        <w:tc>
          <w:tcPr>
            <w:tcW w:w="293" w:type="pct"/>
            <w:vAlign w:val="center"/>
          </w:tcPr>
          <w:p w14:paraId="08EDB58C" w14:textId="77777777" w:rsidR="00CD13FF" w:rsidRPr="00BB59D8" w:rsidRDefault="00CD13FF" w:rsidP="000F2712">
            <w:pPr>
              <w:pStyle w:val="Tabletext"/>
              <w:keepNext/>
              <w:jc w:val="center"/>
            </w:pPr>
          </w:p>
        </w:tc>
        <w:tc>
          <w:tcPr>
            <w:tcW w:w="592" w:type="pct"/>
            <w:vAlign w:val="center"/>
          </w:tcPr>
          <w:p w14:paraId="225A7C99" w14:textId="77777777" w:rsidR="00CD13FF" w:rsidRPr="00BB59D8" w:rsidRDefault="00CD13FF" w:rsidP="000F2712">
            <w:pPr>
              <w:pStyle w:val="Tabletext"/>
              <w:keepNext/>
              <w:jc w:val="center"/>
            </w:pPr>
          </w:p>
        </w:tc>
        <w:tc>
          <w:tcPr>
            <w:tcW w:w="220" w:type="pct"/>
            <w:vAlign w:val="center"/>
          </w:tcPr>
          <w:p w14:paraId="046AD107" w14:textId="77777777" w:rsidR="00CD13FF" w:rsidRPr="00BB59D8" w:rsidRDefault="00CD13FF" w:rsidP="000F2712">
            <w:pPr>
              <w:pStyle w:val="Tabletext"/>
              <w:keepNext/>
              <w:jc w:val="center"/>
            </w:pPr>
          </w:p>
        </w:tc>
        <w:tc>
          <w:tcPr>
            <w:tcW w:w="585" w:type="pct"/>
            <w:vAlign w:val="center"/>
          </w:tcPr>
          <w:p w14:paraId="10E1AC0C" w14:textId="77777777" w:rsidR="00CD13FF" w:rsidRPr="00BB59D8" w:rsidRDefault="00CD13FF" w:rsidP="000F2712">
            <w:pPr>
              <w:pStyle w:val="Tabletext"/>
              <w:keepNext/>
              <w:jc w:val="center"/>
            </w:pPr>
          </w:p>
        </w:tc>
        <w:tc>
          <w:tcPr>
            <w:tcW w:w="514" w:type="pct"/>
            <w:vAlign w:val="center"/>
          </w:tcPr>
          <w:p w14:paraId="3C920C2C" w14:textId="77777777" w:rsidR="00CD13FF" w:rsidRPr="00BB59D8" w:rsidRDefault="00CD13FF" w:rsidP="000F2712">
            <w:pPr>
              <w:pStyle w:val="Tabletext"/>
              <w:keepNext/>
              <w:jc w:val="center"/>
            </w:pPr>
          </w:p>
        </w:tc>
      </w:tr>
      <w:tr w:rsidR="00E53311" w:rsidRPr="00BB59D8" w14:paraId="59ADA9C9" w14:textId="77777777" w:rsidTr="00F227A5">
        <w:trPr>
          <w:trHeight w:val="234"/>
        </w:trPr>
        <w:tc>
          <w:tcPr>
            <w:tcW w:w="586" w:type="pct"/>
            <w:vAlign w:val="center"/>
          </w:tcPr>
          <w:p w14:paraId="26007210" w14:textId="77777777" w:rsidR="00CD13FF" w:rsidRPr="00BB59D8" w:rsidRDefault="00CD13FF" w:rsidP="000F2712">
            <w:pPr>
              <w:pStyle w:val="Tabletext"/>
              <w:keepNext/>
            </w:pPr>
            <w:r w:rsidRPr="00BB59D8">
              <w:t>Year 15</w:t>
            </w:r>
          </w:p>
        </w:tc>
        <w:tc>
          <w:tcPr>
            <w:tcW w:w="221" w:type="pct"/>
            <w:vAlign w:val="center"/>
          </w:tcPr>
          <w:p w14:paraId="7A24A2FB" w14:textId="77777777" w:rsidR="00CD13FF" w:rsidRPr="00BB59D8" w:rsidRDefault="00CD13FF" w:rsidP="000F2712">
            <w:pPr>
              <w:pStyle w:val="Tabletext"/>
              <w:keepNext/>
              <w:jc w:val="center"/>
            </w:pPr>
            <w:r w:rsidRPr="00BB59D8">
              <w:t>4</w:t>
            </w:r>
          </w:p>
        </w:tc>
        <w:tc>
          <w:tcPr>
            <w:tcW w:w="515" w:type="pct"/>
            <w:vAlign w:val="center"/>
          </w:tcPr>
          <w:p w14:paraId="6A8D68D9" w14:textId="77777777" w:rsidR="00CD13FF" w:rsidRPr="00BB59D8" w:rsidRDefault="00CD13FF" w:rsidP="000F2712">
            <w:pPr>
              <w:pStyle w:val="Tabletext"/>
              <w:keepNext/>
              <w:jc w:val="center"/>
            </w:pPr>
            <w:r w:rsidRPr="00BB59D8">
              <w:t>-4.7 (1.6)</w:t>
            </w:r>
          </w:p>
        </w:tc>
        <w:tc>
          <w:tcPr>
            <w:tcW w:w="591" w:type="pct"/>
            <w:vAlign w:val="center"/>
          </w:tcPr>
          <w:p w14:paraId="4DFC3BCD" w14:textId="77777777" w:rsidR="00CD13FF" w:rsidRPr="00BB59D8" w:rsidRDefault="00CD13FF" w:rsidP="000F2712">
            <w:pPr>
              <w:pStyle w:val="Tabletext"/>
              <w:keepNext/>
              <w:jc w:val="center"/>
            </w:pPr>
            <w:r w:rsidRPr="00BB59D8">
              <w:t>1.9 (1.5)</w:t>
            </w:r>
          </w:p>
        </w:tc>
        <w:tc>
          <w:tcPr>
            <w:tcW w:w="293" w:type="pct"/>
            <w:vAlign w:val="center"/>
          </w:tcPr>
          <w:p w14:paraId="608F01AF" w14:textId="77777777" w:rsidR="00CD13FF" w:rsidRPr="00BB59D8" w:rsidRDefault="00CD13FF" w:rsidP="000F2712">
            <w:pPr>
              <w:pStyle w:val="Tabletext"/>
              <w:keepNext/>
              <w:jc w:val="center"/>
            </w:pPr>
          </w:p>
        </w:tc>
        <w:tc>
          <w:tcPr>
            <w:tcW w:w="590" w:type="pct"/>
            <w:vAlign w:val="center"/>
          </w:tcPr>
          <w:p w14:paraId="69408B16" w14:textId="77777777" w:rsidR="00CD13FF" w:rsidRPr="00BB59D8" w:rsidRDefault="00CD13FF" w:rsidP="000F2712">
            <w:pPr>
              <w:pStyle w:val="Tabletext"/>
              <w:keepNext/>
              <w:jc w:val="center"/>
            </w:pPr>
          </w:p>
        </w:tc>
        <w:tc>
          <w:tcPr>
            <w:tcW w:w="293" w:type="pct"/>
            <w:vAlign w:val="center"/>
          </w:tcPr>
          <w:p w14:paraId="6C24B623" w14:textId="77777777" w:rsidR="00CD13FF" w:rsidRPr="00BB59D8" w:rsidRDefault="00CD13FF" w:rsidP="000F2712">
            <w:pPr>
              <w:pStyle w:val="Tabletext"/>
              <w:keepNext/>
              <w:jc w:val="center"/>
            </w:pPr>
          </w:p>
        </w:tc>
        <w:tc>
          <w:tcPr>
            <w:tcW w:w="592" w:type="pct"/>
            <w:vAlign w:val="center"/>
          </w:tcPr>
          <w:p w14:paraId="576C532D" w14:textId="77777777" w:rsidR="00CD13FF" w:rsidRPr="00BB59D8" w:rsidRDefault="00CD13FF" w:rsidP="000F2712">
            <w:pPr>
              <w:pStyle w:val="Tabletext"/>
              <w:keepNext/>
              <w:jc w:val="center"/>
            </w:pPr>
          </w:p>
        </w:tc>
        <w:tc>
          <w:tcPr>
            <w:tcW w:w="220" w:type="pct"/>
            <w:vAlign w:val="center"/>
          </w:tcPr>
          <w:p w14:paraId="71BFC5ED" w14:textId="77777777" w:rsidR="00CD13FF" w:rsidRPr="00BB59D8" w:rsidRDefault="00CD13FF" w:rsidP="000F2712">
            <w:pPr>
              <w:pStyle w:val="Tabletext"/>
              <w:keepNext/>
              <w:jc w:val="center"/>
            </w:pPr>
          </w:p>
        </w:tc>
        <w:tc>
          <w:tcPr>
            <w:tcW w:w="585" w:type="pct"/>
            <w:vAlign w:val="center"/>
          </w:tcPr>
          <w:p w14:paraId="65191A78" w14:textId="77777777" w:rsidR="00CD13FF" w:rsidRPr="00BB59D8" w:rsidRDefault="00CD13FF" w:rsidP="000F2712">
            <w:pPr>
              <w:pStyle w:val="Tabletext"/>
              <w:keepNext/>
              <w:jc w:val="center"/>
            </w:pPr>
          </w:p>
        </w:tc>
        <w:tc>
          <w:tcPr>
            <w:tcW w:w="514" w:type="pct"/>
            <w:vAlign w:val="center"/>
          </w:tcPr>
          <w:p w14:paraId="0F1953B9" w14:textId="77777777" w:rsidR="00CD13FF" w:rsidRPr="00BB59D8" w:rsidRDefault="00CD13FF" w:rsidP="000F2712">
            <w:pPr>
              <w:pStyle w:val="Tabletext"/>
              <w:keepNext/>
              <w:jc w:val="center"/>
            </w:pPr>
          </w:p>
        </w:tc>
      </w:tr>
      <w:tr w:rsidR="00E53311" w:rsidRPr="00BB59D8" w14:paraId="05F49D9D" w14:textId="77777777" w:rsidTr="00F227A5">
        <w:trPr>
          <w:trHeight w:val="234"/>
        </w:trPr>
        <w:tc>
          <w:tcPr>
            <w:tcW w:w="586" w:type="pct"/>
            <w:vAlign w:val="center"/>
          </w:tcPr>
          <w:p w14:paraId="76576C18" w14:textId="77777777" w:rsidR="00CD13FF" w:rsidRPr="00BB59D8" w:rsidRDefault="00CD13FF" w:rsidP="000F2712">
            <w:pPr>
              <w:pStyle w:val="Tabletext"/>
              <w:keepNext/>
            </w:pPr>
            <w:r w:rsidRPr="00BB59D8">
              <w:t>Year 16</w:t>
            </w:r>
          </w:p>
        </w:tc>
        <w:tc>
          <w:tcPr>
            <w:tcW w:w="221" w:type="pct"/>
            <w:vAlign w:val="center"/>
          </w:tcPr>
          <w:p w14:paraId="12DABA06" w14:textId="77777777" w:rsidR="00CD13FF" w:rsidRPr="00BB59D8" w:rsidRDefault="00CD13FF" w:rsidP="000F2712">
            <w:pPr>
              <w:pStyle w:val="Tabletext"/>
              <w:keepNext/>
              <w:jc w:val="center"/>
            </w:pPr>
            <w:r w:rsidRPr="00BB59D8">
              <w:t>3</w:t>
            </w:r>
          </w:p>
        </w:tc>
        <w:tc>
          <w:tcPr>
            <w:tcW w:w="515" w:type="pct"/>
            <w:vAlign w:val="center"/>
          </w:tcPr>
          <w:p w14:paraId="6C1F41D5" w14:textId="77777777" w:rsidR="00CD13FF" w:rsidRPr="00BB59D8" w:rsidRDefault="00CD13FF" w:rsidP="000F2712">
            <w:pPr>
              <w:pStyle w:val="Tabletext"/>
              <w:keepNext/>
              <w:jc w:val="center"/>
            </w:pPr>
            <w:r w:rsidRPr="00BB59D8">
              <w:t>-4.0 (1.5)</w:t>
            </w:r>
          </w:p>
        </w:tc>
        <w:tc>
          <w:tcPr>
            <w:tcW w:w="591" w:type="pct"/>
            <w:vAlign w:val="center"/>
          </w:tcPr>
          <w:p w14:paraId="062D776D" w14:textId="77777777" w:rsidR="00CD13FF" w:rsidRPr="00BB59D8" w:rsidRDefault="00CD13FF" w:rsidP="000F2712">
            <w:pPr>
              <w:pStyle w:val="Tabletext"/>
              <w:keepNext/>
              <w:jc w:val="center"/>
            </w:pPr>
            <w:r w:rsidRPr="00BB59D8">
              <w:t>2.2 (1.9)</w:t>
            </w:r>
          </w:p>
        </w:tc>
        <w:tc>
          <w:tcPr>
            <w:tcW w:w="293" w:type="pct"/>
            <w:vAlign w:val="center"/>
          </w:tcPr>
          <w:p w14:paraId="194B4B92" w14:textId="77777777" w:rsidR="00CD13FF" w:rsidRPr="00BB59D8" w:rsidRDefault="00CD13FF" w:rsidP="000F2712">
            <w:pPr>
              <w:pStyle w:val="Tabletext"/>
              <w:keepNext/>
              <w:jc w:val="center"/>
            </w:pPr>
          </w:p>
        </w:tc>
        <w:tc>
          <w:tcPr>
            <w:tcW w:w="590" w:type="pct"/>
            <w:vAlign w:val="center"/>
          </w:tcPr>
          <w:p w14:paraId="789ED1A3" w14:textId="77777777" w:rsidR="00CD13FF" w:rsidRPr="00BB59D8" w:rsidRDefault="00CD13FF" w:rsidP="000F2712">
            <w:pPr>
              <w:pStyle w:val="Tabletext"/>
              <w:keepNext/>
              <w:jc w:val="center"/>
            </w:pPr>
          </w:p>
        </w:tc>
        <w:tc>
          <w:tcPr>
            <w:tcW w:w="293" w:type="pct"/>
            <w:vAlign w:val="center"/>
          </w:tcPr>
          <w:p w14:paraId="7FDD63DB" w14:textId="77777777" w:rsidR="00CD13FF" w:rsidRPr="00BB59D8" w:rsidRDefault="00CD13FF" w:rsidP="000F2712">
            <w:pPr>
              <w:pStyle w:val="Tabletext"/>
              <w:keepNext/>
              <w:jc w:val="center"/>
            </w:pPr>
          </w:p>
        </w:tc>
        <w:tc>
          <w:tcPr>
            <w:tcW w:w="592" w:type="pct"/>
            <w:vAlign w:val="center"/>
          </w:tcPr>
          <w:p w14:paraId="6B4CBC52" w14:textId="77777777" w:rsidR="00CD13FF" w:rsidRPr="00BB59D8" w:rsidRDefault="00CD13FF" w:rsidP="000F2712">
            <w:pPr>
              <w:pStyle w:val="Tabletext"/>
              <w:keepNext/>
              <w:jc w:val="center"/>
            </w:pPr>
          </w:p>
        </w:tc>
        <w:tc>
          <w:tcPr>
            <w:tcW w:w="220" w:type="pct"/>
            <w:vAlign w:val="center"/>
          </w:tcPr>
          <w:p w14:paraId="79E1880D" w14:textId="77777777" w:rsidR="00CD13FF" w:rsidRPr="00BB59D8" w:rsidRDefault="00CD13FF" w:rsidP="000F2712">
            <w:pPr>
              <w:pStyle w:val="Tabletext"/>
              <w:keepNext/>
              <w:jc w:val="center"/>
            </w:pPr>
          </w:p>
        </w:tc>
        <w:tc>
          <w:tcPr>
            <w:tcW w:w="585" w:type="pct"/>
            <w:vAlign w:val="center"/>
          </w:tcPr>
          <w:p w14:paraId="5C2D5B13" w14:textId="77777777" w:rsidR="00CD13FF" w:rsidRPr="00BB59D8" w:rsidRDefault="00CD13FF" w:rsidP="000F2712">
            <w:pPr>
              <w:pStyle w:val="Tabletext"/>
              <w:keepNext/>
              <w:jc w:val="center"/>
            </w:pPr>
          </w:p>
        </w:tc>
        <w:tc>
          <w:tcPr>
            <w:tcW w:w="514" w:type="pct"/>
            <w:vAlign w:val="center"/>
          </w:tcPr>
          <w:p w14:paraId="530BC796" w14:textId="77777777" w:rsidR="00CD13FF" w:rsidRPr="00BB59D8" w:rsidRDefault="00CD13FF" w:rsidP="000F2712">
            <w:pPr>
              <w:pStyle w:val="Tabletext"/>
              <w:keepNext/>
              <w:jc w:val="center"/>
            </w:pPr>
          </w:p>
        </w:tc>
      </w:tr>
      <w:tr w:rsidR="00E53311" w:rsidRPr="00BB59D8" w14:paraId="79576E32" w14:textId="77777777" w:rsidTr="00F227A5">
        <w:trPr>
          <w:trHeight w:val="234"/>
        </w:trPr>
        <w:tc>
          <w:tcPr>
            <w:tcW w:w="586" w:type="pct"/>
            <w:vAlign w:val="center"/>
          </w:tcPr>
          <w:p w14:paraId="144F3487" w14:textId="77777777" w:rsidR="00CD13FF" w:rsidRPr="00BB59D8" w:rsidRDefault="00CD13FF" w:rsidP="000F2712">
            <w:pPr>
              <w:pStyle w:val="Tabletext"/>
              <w:keepNext/>
            </w:pPr>
            <w:r w:rsidRPr="00BB59D8">
              <w:t>Year 17</w:t>
            </w:r>
          </w:p>
        </w:tc>
        <w:tc>
          <w:tcPr>
            <w:tcW w:w="221" w:type="pct"/>
            <w:vAlign w:val="center"/>
          </w:tcPr>
          <w:p w14:paraId="3D9EE421" w14:textId="77777777" w:rsidR="00CD13FF" w:rsidRPr="00BB59D8" w:rsidRDefault="00CD13FF" w:rsidP="000F2712">
            <w:pPr>
              <w:pStyle w:val="Tabletext"/>
              <w:keepNext/>
              <w:jc w:val="center"/>
            </w:pPr>
            <w:r w:rsidRPr="00BB59D8">
              <w:t>2</w:t>
            </w:r>
          </w:p>
        </w:tc>
        <w:tc>
          <w:tcPr>
            <w:tcW w:w="515" w:type="pct"/>
            <w:vAlign w:val="center"/>
          </w:tcPr>
          <w:p w14:paraId="13A28B9A" w14:textId="77777777" w:rsidR="00CD13FF" w:rsidRPr="00BB59D8" w:rsidRDefault="00CD13FF" w:rsidP="000F2712">
            <w:pPr>
              <w:pStyle w:val="Tabletext"/>
              <w:keepNext/>
              <w:jc w:val="center"/>
            </w:pPr>
            <w:r w:rsidRPr="00BB59D8">
              <w:t>-3.4 (2.0)</w:t>
            </w:r>
          </w:p>
        </w:tc>
        <w:tc>
          <w:tcPr>
            <w:tcW w:w="591" w:type="pct"/>
            <w:vAlign w:val="center"/>
          </w:tcPr>
          <w:p w14:paraId="5DD23C9B" w14:textId="77777777" w:rsidR="00CD13FF" w:rsidRPr="00BB59D8" w:rsidRDefault="00CD13FF" w:rsidP="000F2712">
            <w:pPr>
              <w:pStyle w:val="Tabletext"/>
              <w:keepNext/>
              <w:jc w:val="center"/>
            </w:pPr>
            <w:r w:rsidRPr="00BB59D8">
              <w:t>3.0 (2.4)</w:t>
            </w:r>
          </w:p>
        </w:tc>
        <w:tc>
          <w:tcPr>
            <w:tcW w:w="293" w:type="pct"/>
            <w:vAlign w:val="center"/>
          </w:tcPr>
          <w:p w14:paraId="656BDFD9" w14:textId="77777777" w:rsidR="00CD13FF" w:rsidRPr="00BB59D8" w:rsidRDefault="00CD13FF" w:rsidP="000F2712">
            <w:pPr>
              <w:pStyle w:val="Tabletext"/>
              <w:keepNext/>
              <w:jc w:val="center"/>
            </w:pPr>
          </w:p>
        </w:tc>
        <w:tc>
          <w:tcPr>
            <w:tcW w:w="590" w:type="pct"/>
            <w:vAlign w:val="center"/>
          </w:tcPr>
          <w:p w14:paraId="767763FE" w14:textId="77777777" w:rsidR="00CD13FF" w:rsidRPr="00BB59D8" w:rsidRDefault="00CD13FF" w:rsidP="000F2712">
            <w:pPr>
              <w:pStyle w:val="Tabletext"/>
              <w:keepNext/>
              <w:jc w:val="center"/>
            </w:pPr>
          </w:p>
        </w:tc>
        <w:tc>
          <w:tcPr>
            <w:tcW w:w="293" w:type="pct"/>
            <w:vAlign w:val="center"/>
          </w:tcPr>
          <w:p w14:paraId="5D43F125" w14:textId="77777777" w:rsidR="00CD13FF" w:rsidRPr="00BB59D8" w:rsidRDefault="00CD13FF" w:rsidP="000F2712">
            <w:pPr>
              <w:pStyle w:val="Tabletext"/>
              <w:keepNext/>
              <w:jc w:val="center"/>
            </w:pPr>
          </w:p>
        </w:tc>
        <w:tc>
          <w:tcPr>
            <w:tcW w:w="592" w:type="pct"/>
            <w:vAlign w:val="center"/>
          </w:tcPr>
          <w:p w14:paraId="12870B9C" w14:textId="77777777" w:rsidR="00CD13FF" w:rsidRPr="00BB59D8" w:rsidRDefault="00CD13FF" w:rsidP="000F2712">
            <w:pPr>
              <w:pStyle w:val="Tabletext"/>
              <w:keepNext/>
              <w:jc w:val="center"/>
            </w:pPr>
          </w:p>
        </w:tc>
        <w:tc>
          <w:tcPr>
            <w:tcW w:w="220" w:type="pct"/>
            <w:vAlign w:val="center"/>
          </w:tcPr>
          <w:p w14:paraId="61D51A1D" w14:textId="77777777" w:rsidR="00CD13FF" w:rsidRPr="00BB59D8" w:rsidRDefault="00CD13FF" w:rsidP="000F2712">
            <w:pPr>
              <w:pStyle w:val="Tabletext"/>
              <w:keepNext/>
              <w:jc w:val="center"/>
            </w:pPr>
          </w:p>
        </w:tc>
        <w:tc>
          <w:tcPr>
            <w:tcW w:w="585" w:type="pct"/>
            <w:vAlign w:val="center"/>
          </w:tcPr>
          <w:p w14:paraId="4757BE73" w14:textId="77777777" w:rsidR="00CD13FF" w:rsidRPr="00BB59D8" w:rsidRDefault="00CD13FF" w:rsidP="000F2712">
            <w:pPr>
              <w:pStyle w:val="Tabletext"/>
              <w:keepNext/>
              <w:jc w:val="center"/>
            </w:pPr>
          </w:p>
        </w:tc>
        <w:tc>
          <w:tcPr>
            <w:tcW w:w="514" w:type="pct"/>
            <w:vAlign w:val="center"/>
          </w:tcPr>
          <w:p w14:paraId="0C321B8C" w14:textId="77777777" w:rsidR="00CD13FF" w:rsidRPr="00BB59D8" w:rsidRDefault="00CD13FF" w:rsidP="000F2712">
            <w:pPr>
              <w:pStyle w:val="Tabletext"/>
              <w:keepNext/>
              <w:jc w:val="center"/>
            </w:pPr>
          </w:p>
        </w:tc>
      </w:tr>
      <w:tr w:rsidR="00E53311" w:rsidRPr="00BB59D8" w14:paraId="3DE48F7C" w14:textId="77777777" w:rsidTr="00F227A5">
        <w:trPr>
          <w:trHeight w:val="234"/>
        </w:trPr>
        <w:tc>
          <w:tcPr>
            <w:tcW w:w="586" w:type="pct"/>
            <w:vAlign w:val="center"/>
          </w:tcPr>
          <w:p w14:paraId="2A2B780A" w14:textId="77777777" w:rsidR="00CD13FF" w:rsidRPr="00BB59D8" w:rsidRDefault="00CD13FF" w:rsidP="000F2712">
            <w:pPr>
              <w:pStyle w:val="Tabletext"/>
              <w:keepNext/>
            </w:pPr>
            <w:r w:rsidRPr="00BB59D8">
              <w:t>Year 18</w:t>
            </w:r>
          </w:p>
        </w:tc>
        <w:tc>
          <w:tcPr>
            <w:tcW w:w="221" w:type="pct"/>
            <w:vAlign w:val="center"/>
          </w:tcPr>
          <w:p w14:paraId="60A8E57B" w14:textId="77777777" w:rsidR="00CD13FF" w:rsidRPr="00BB59D8" w:rsidRDefault="00CD13FF" w:rsidP="000F2712">
            <w:pPr>
              <w:pStyle w:val="Tabletext"/>
              <w:keepNext/>
              <w:jc w:val="center"/>
            </w:pPr>
            <w:r w:rsidRPr="00BB59D8">
              <w:t>1</w:t>
            </w:r>
          </w:p>
        </w:tc>
        <w:tc>
          <w:tcPr>
            <w:tcW w:w="515" w:type="pct"/>
            <w:vAlign w:val="center"/>
          </w:tcPr>
          <w:p w14:paraId="4A789552" w14:textId="77777777" w:rsidR="00CD13FF" w:rsidRPr="00BB59D8" w:rsidRDefault="00CD13FF" w:rsidP="000F2712">
            <w:pPr>
              <w:pStyle w:val="Tabletext"/>
              <w:keepNext/>
              <w:jc w:val="center"/>
            </w:pPr>
            <w:r w:rsidRPr="00BB59D8">
              <w:t>-2.0 (NA)</w:t>
            </w:r>
          </w:p>
        </w:tc>
        <w:tc>
          <w:tcPr>
            <w:tcW w:w="591" w:type="pct"/>
            <w:vAlign w:val="center"/>
          </w:tcPr>
          <w:p w14:paraId="0F054B60" w14:textId="77777777" w:rsidR="00CD13FF" w:rsidRPr="00BB59D8" w:rsidRDefault="00CD13FF" w:rsidP="000F2712">
            <w:pPr>
              <w:pStyle w:val="Tabletext"/>
              <w:keepNext/>
              <w:jc w:val="center"/>
            </w:pPr>
            <w:r w:rsidRPr="00BB59D8">
              <w:t>4.7 (NA)</w:t>
            </w:r>
          </w:p>
        </w:tc>
        <w:tc>
          <w:tcPr>
            <w:tcW w:w="293" w:type="pct"/>
            <w:vAlign w:val="center"/>
          </w:tcPr>
          <w:p w14:paraId="59295A85" w14:textId="77777777" w:rsidR="00CD13FF" w:rsidRPr="00BB59D8" w:rsidRDefault="00CD13FF" w:rsidP="000F2712">
            <w:pPr>
              <w:pStyle w:val="Tabletext"/>
              <w:keepNext/>
              <w:jc w:val="center"/>
            </w:pPr>
          </w:p>
        </w:tc>
        <w:tc>
          <w:tcPr>
            <w:tcW w:w="590" w:type="pct"/>
            <w:vAlign w:val="center"/>
          </w:tcPr>
          <w:p w14:paraId="22828672" w14:textId="77777777" w:rsidR="00CD13FF" w:rsidRPr="00BB59D8" w:rsidRDefault="00CD13FF" w:rsidP="000F2712">
            <w:pPr>
              <w:pStyle w:val="Tabletext"/>
              <w:keepNext/>
              <w:jc w:val="center"/>
            </w:pPr>
          </w:p>
        </w:tc>
        <w:tc>
          <w:tcPr>
            <w:tcW w:w="293" w:type="pct"/>
            <w:vAlign w:val="center"/>
          </w:tcPr>
          <w:p w14:paraId="046C8CFF" w14:textId="77777777" w:rsidR="00CD13FF" w:rsidRPr="00BB59D8" w:rsidRDefault="00CD13FF" w:rsidP="000F2712">
            <w:pPr>
              <w:pStyle w:val="Tabletext"/>
              <w:keepNext/>
              <w:jc w:val="center"/>
            </w:pPr>
          </w:p>
        </w:tc>
        <w:tc>
          <w:tcPr>
            <w:tcW w:w="592" w:type="pct"/>
            <w:vAlign w:val="center"/>
          </w:tcPr>
          <w:p w14:paraId="5369D459" w14:textId="77777777" w:rsidR="00CD13FF" w:rsidRPr="00BB59D8" w:rsidRDefault="00CD13FF" w:rsidP="000F2712">
            <w:pPr>
              <w:pStyle w:val="Tabletext"/>
              <w:keepNext/>
              <w:jc w:val="center"/>
            </w:pPr>
          </w:p>
        </w:tc>
        <w:tc>
          <w:tcPr>
            <w:tcW w:w="220" w:type="pct"/>
            <w:vAlign w:val="center"/>
          </w:tcPr>
          <w:p w14:paraId="1E043FA3" w14:textId="77777777" w:rsidR="00CD13FF" w:rsidRPr="00BB59D8" w:rsidRDefault="00CD13FF" w:rsidP="000F2712">
            <w:pPr>
              <w:pStyle w:val="Tabletext"/>
              <w:keepNext/>
              <w:jc w:val="center"/>
            </w:pPr>
          </w:p>
        </w:tc>
        <w:tc>
          <w:tcPr>
            <w:tcW w:w="585" w:type="pct"/>
            <w:vAlign w:val="center"/>
          </w:tcPr>
          <w:p w14:paraId="240A19DF" w14:textId="77777777" w:rsidR="00CD13FF" w:rsidRPr="00BB59D8" w:rsidRDefault="00CD13FF" w:rsidP="000F2712">
            <w:pPr>
              <w:pStyle w:val="Tabletext"/>
              <w:keepNext/>
              <w:jc w:val="center"/>
            </w:pPr>
          </w:p>
        </w:tc>
        <w:tc>
          <w:tcPr>
            <w:tcW w:w="514" w:type="pct"/>
            <w:vAlign w:val="center"/>
          </w:tcPr>
          <w:p w14:paraId="328F48B1" w14:textId="77777777" w:rsidR="00CD13FF" w:rsidRPr="00BB59D8" w:rsidRDefault="00CD13FF" w:rsidP="000F2712">
            <w:pPr>
              <w:pStyle w:val="Tabletext"/>
              <w:keepNext/>
              <w:jc w:val="center"/>
            </w:pPr>
          </w:p>
        </w:tc>
      </w:tr>
      <w:tr w:rsidR="00E53311" w:rsidRPr="00BB59D8" w14:paraId="4A2C8AF4" w14:textId="77777777" w:rsidTr="00F227A5">
        <w:trPr>
          <w:trHeight w:val="215"/>
        </w:trPr>
        <w:tc>
          <w:tcPr>
            <w:tcW w:w="586" w:type="pct"/>
            <w:vAlign w:val="center"/>
          </w:tcPr>
          <w:p w14:paraId="04615214" w14:textId="77777777" w:rsidR="00CD13FF" w:rsidRPr="00BB59D8" w:rsidRDefault="00CD13FF" w:rsidP="000F2712">
            <w:pPr>
              <w:pStyle w:val="Tabletext"/>
              <w:keepNext/>
            </w:pPr>
            <w:r w:rsidRPr="00BB59D8">
              <w:t>Year 19</w:t>
            </w:r>
          </w:p>
        </w:tc>
        <w:tc>
          <w:tcPr>
            <w:tcW w:w="221" w:type="pct"/>
            <w:vAlign w:val="center"/>
          </w:tcPr>
          <w:p w14:paraId="24968E6D" w14:textId="77777777" w:rsidR="00CD13FF" w:rsidRPr="00BB59D8" w:rsidRDefault="00CD13FF" w:rsidP="000F2712">
            <w:pPr>
              <w:pStyle w:val="Tabletext"/>
              <w:keepNext/>
              <w:jc w:val="center"/>
            </w:pPr>
            <w:r w:rsidRPr="00BB59D8">
              <w:t>1</w:t>
            </w:r>
          </w:p>
        </w:tc>
        <w:tc>
          <w:tcPr>
            <w:tcW w:w="515" w:type="pct"/>
            <w:vAlign w:val="center"/>
          </w:tcPr>
          <w:p w14:paraId="3EE2B82D" w14:textId="77777777" w:rsidR="00CD13FF" w:rsidRPr="00BB59D8" w:rsidRDefault="00CD13FF" w:rsidP="000F2712">
            <w:pPr>
              <w:pStyle w:val="Tabletext"/>
              <w:keepNext/>
              <w:jc w:val="center"/>
            </w:pPr>
            <w:r w:rsidRPr="00BB59D8">
              <w:t>-1.9 (NA)</w:t>
            </w:r>
          </w:p>
        </w:tc>
        <w:tc>
          <w:tcPr>
            <w:tcW w:w="591" w:type="pct"/>
            <w:vAlign w:val="center"/>
          </w:tcPr>
          <w:p w14:paraId="1AC06241" w14:textId="77777777" w:rsidR="00CD13FF" w:rsidRPr="00BB59D8" w:rsidRDefault="00CD13FF" w:rsidP="000F2712">
            <w:pPr>
              <w:pStyle w:val="Tabletext"/>
              <w:keepNext/>
              <w:jc w:val="center"/>
            </w:pPr>
            <w:r w:rsidRPr="00BB59D8">
              <w:t>4.7 (NA)</w:t>
            </w:r>
          </w:p>
        </w:tc>
        <w:tc>
          <w:tcPr>
            <w:tcW w:w="293" w:type="pct"/>
            <w:vAlign w:val="center"/>
          </w:tcPr>
          <w:p w14:paraId="61860B2A" w14:textId="77777777" w:rsidR="00CD13FF" w:rsidRPr="00BB59D8" w:rsidRDefault="00CD13FF" w:rsidP="000F2712">
            <w:pPr>
              <w:pStyle w:val="Tabletext"/>
              <w:keepNext/>
              <w:jc w:val="center"/>
            </w:pPr>
          </w:p>
        </w:tc>
        <w:tc>
          <w:tcPr>
            <w:tcW w:w="590" w:type="pct"/>
            <w:vAlign w:val="center"/>
          </w:tcPr>
          <w:p w14:paraId="6E6722E5" w14:textId="77777777" w:rsidR="00CD13FF" w:rsidRPr="00BB59D8" w:rsidRDefault="00CD13FF" w:rsidP="000F2712">
            <w:pPr>
              <w:pStyle w:val="Tabletext"/>
              <w:keepNext/>
              <w:jc w:val="center"/>
            </w:pPr>
          </w:p>
        </w:tc>
        <w:tc>
          <w:tcPr>
            <w:tcW w:w="293" w:type="pct"/>
            <w:vAlign w:val="center"/>
          </w:tcPr>
          <w:p w14:paraId="05B2A6D4" w14:textId="77777777" w:rsidR="00CD13FF" w:rsidRPr="00BB59D8" w:rsidRDefault="00CD13FF" w:rsidP="000F2712">
            <w:pPr>
              <w:pStyle w:val="Tabletext"/>
              <w:keepNext/>
              <w:jc w:val="center"/>
            </w:pPr>
          </w:p>
        </w:tc>
        <w:tc>
          <w:tcPr>
            <w:tcW w:w="592" w:type="pct"/>
            <w:vAlign w:val="center"/>
          </w:tcPr>
          <w:p w14:paraId="31B6BB67" w14:textId="77777777" w:rsidR="00CD13FF" w:rsidRPr="00BB59D8" w:rsidRDefault="00CD13FF" w:rsidP="000F2712">
            <w:pPr>
              <w:pStyle w:val="Tabletext"/>
              <w:keepNext/>
              <w:jc w:val="center"/>
            </w:pPr>
          </w:p>
        </w:tc>
        <w:tc>
          <w:tcPr>
            <w:tcW w:w="220" w:type="pct"/>
            <w:vAlign w:val="center"/>
          </w:tcPr>
          <w:p w14:paraId="4A403496" w14:textId="77777777" w:rsidR="00CD13FF" w:rsidRPr="00BB59D8" w:rsidRDefault="00CD13FF" w:rsidP="000F2712">
            <w:pPr>
              <w:pStyle w:val="Tabletext"/>
              <w:keepNext/>
              <w:jc w:val="center"/>
            </w:pPr>
          </w:p>
        </w:tc>
        <w:tc>
          <w:tcPr>
            <w:tcW w:w="585" w:type="pct"/>
            <w:vAlign w:val="center"/>
          </w:tcPr>
          <w:p w14:paraId="1C2E33FD" w14:textId="77777777" w:rsidR="00CD13FF" w:rsidRPr="00BB59D8" w:rsidRDefault="00CD13FF" w:rsidP="000F2712">
            <w:pPr>
              <w:pStyle w:val="Tabletext"/>
              <w:keepNext/>
              <w:jc w:val="center"/>
            </w:pPr>
          </w:p>
        </w:tc>
        <w:tc>
          <w:tcPr>
            <w:tcW w:w="514" w:type="pct"/>
            <w:vAlign w:val="center"/>
          </w:tcPr>
          <w:p w14:paraId="338D2E0D" w14:textId="77777777" w:rsidR="00CD13FF" w:rsidRPr="00BB59D8" w:rsidRDefault="00CD13FF" w:rsidP="000F2712">
            <w:pPr>
              <w:pStyle w:val="Tabletext"/>
              <w:keepNext/>
              <w:jc w:val="center"/>
            </w:pPr>
          </w:p>
        </w:tc>
      </w:tr>
    </w:tbl>
    <w:p w14:paraId="29DB9180" w14:textId="77777777" w:rsidR="00CD13FF" w:rsidRPr="00BB59D8" w:rsidRDefault="00CD13FF" w:rsidP="00CD13FF">
      <w:pPr>
        <w:pStyle w:val="TableFooter"/>
        <w:keepNext/>
      </w:pPr>
      <w:r w:rsidRPr="00BB59D8">
        <w:t>HSDS = height standard deviation score; N = subjects completing years of treatment; NA = not applicable; SD = standard deviation</w:t>
      </w:r>
    </w:p>
    <w:p w14:paraId="6769B3B0" w14:textId="77777777" w:rsidR="00CD13FF" w:rsidRPr="00BB59D8" w:rsidRDefault="00CD13FF" w:rsidP="00CD13FF">
      <w:pPr>
        <w:pStyle w:val="TableFooter"/>
        <w:keepNext/>
      </w:pPr>
      <w:r w:rsidRPr="00BB59D8">
        <w:t>Source: Table 2-28, p66 of the submission; p70 of the submission; Table 2-33; p73 of the submission</w:t>
      </w:r>
      <w:r w:rsidR="00E53311" w:rsidRPr="00BB59D8">
        <w:t xml:space="preserve"> (Table 2.5.5: in the Commentary)</w:t>
      </w:r>
      <w:r w:rsidRPr="00BB59D8">
        <w:t xml:space="preserve">. </w:t>
      </w:r>
    </w:p>
    <w:p w14:paraId="5D1F5F1F" w14:textId="77777777" w:rsidR="00CD13FF" w:rsidRPr="00BB59D8" w:rsidRDefault="00CD13FF" w:rsidP="00CD13FF">
      <w:pPr>
        <w:pStyle w:val="TableFooter"/>
        <w:keepNext/>
      </w:pPr>
      <w:r w:rsidRPr="00BB59D8">
        <w:t xml:space="preserve">Note: Results presented in </w:t>
      </w:r>
      <w:r w:rsidRPr="00BB59D8">
        <w:rPr>
          <w:b/>
          <w:bCs/>
        </w:rPr>
        <w:t>bold</w:t>
      </w:r>
      <w:r w:rsidRPr="00BB59D8">
        <w:t xml:space="preserve"> are statistically significant. Results presented in </w:t>
      </w:r>
      <w:r w:rsidRPr="00BB59D8">
        <w:rPr>
          <w:iCs/>
        </w:rPr>
        <w:t>italics</w:t>
      </w:r>
      <w:r w:rsidRPr="00BB59D8">
        <w:t xml:space="preserve"> were corrected in the Commentary. Comparison of each year was made against patients still enrolled in the study at the time of measurement, i.e., the 62 patients in year 3 of Study 1419 were compared against those 62 patients' values at baseline.</w:t>
      </w:r>
    </w:p>
    <w:p w14:paraId="17910F97" w14:textId="77777777" w:rsidR="00CD13FF" w:rsidRPr="00BB59D8" w:rsidRDefault="00CD13FF" w:rsidP="00CD13FF">
      <w:pPr>
        <w:pStyle w:val="TableFooter"/>
        <w:keepNext/>
      </w:pPr>
      <w:r w:rsidRPr="00BB59D8">
        <w:rPr>
          <w:vertAlign w:val="superscript"/>
        </w:rPr>
        <w:t>a</w:t>
      </w:r>
      <w:r w:rsidRPr="00BB59D8">
        <w:t xml:space="preserve"> Baseline age range 1.7-15.2</w:t>
      </w:r>
    </w:p>
    <w:p w14:paraId="330FD9D7" w14:textId="77777777" w:rsidR="00CD13FF" w:rsidRPr="00BB59D8" w:rsidRDefault="00CD13FF" w:rsidP="00CD13FF">
      <w:pPr>
        <w:pStyle w:val="TableFooter"/>
        <w:keepNext/>
      </w:pPr>
      <w:r w:rsidRPr="00BB59D8">
        <w:rPr>
          <w:vertAlign w:val="superscript"/>
        </w:rPr>
        <w:t>b</w:t>
      </w:r>
      <w:r w:rsidRPr="00BB59D8">
        <w:t xml:space="preserve"> Baseline age range 0.4-19.1</w:t>
      </w:r>
    </w:p>
    <w:p w14:paraId="5ABCFA9B" w14:textId="334DE1FE" w:rsidR="002F6EC6" w:rsidRPr="00BB59D8" w:rsidRDefault="00CD13FF" w:rsidP="009750B5">
      <w:pPr>
        <w:pStyle w:val="TableFooter"/>
        <w:spacing w:after="120"/>
      </w:pPr>
      <w:r w:rsidRPr="00BB59D8">
        <w:rPr>
          <w:vertAlign w:val="superscript"/>
        </w:rPr>
        <w:t>c</w:t>
      </w:r>
      <w:r w:rsidRPr="00BB59D8">
        <w:t xml:space="preserve"> Calculated by the submission. Details of how this was estimated were not provided. Baseline age range 2.8-16.2</w:t>
      </w:r>
    </w:p>
    <w:p w14:paraId="1EE6EA59" w14:textId="77777777" w:rsidR="00643021" w:rsidRPr="00BB59D8" w:rsidRDefault="00073565" w:rsidP="007428D1">
      <w:pPr>
        <w:pStyle w:val="3-BodyText"/>
        <w:rPr>
          <w:iCs/>
        </w:rPr>
      </w:pPr>
      <w:r w:rsidRPr="00BB59D8">
        <w:t>The submission presented three subgroup analyses</w:t>
      </w:r>
      <w:r w:rsidR="00643021" w:rsidRPr="00BB59D8">
        <w:t>:</w:t>
      </w:r>
    </w:p>
    <w:p w14:paraId="1BB9213D" w14:textId="77777777" w:rsidR="00643021" w:rsidRPr="00BB59D8" w:rsidRDefault="00643021" w:rsidP="00DB4BC1">
      <w:pPr>
        <w:pStyle w:val="ListParagraph"/>
        <w:numPr>
          <w:ilvl w:val="0"/>
          <w:numId w:val="7"/>
        </w:numPr>
        <w:ind w:left="1077" w:hanging="357"/>
        <w:rPr>
          <w:iCs/>
        </w:rPr>
      </w:pPr>
      <w:r w:rsidRPr="00BB59D8">
        <w:t>A</w:t>
      </w:r>
      <w:r w:rsidR="00073565" w:rsidRPr="00BB59D8">
        <w:t xml:space="preserve"> separate analysis was conducted in Study 1419 for </w:t>
      </w:r>
      <w:r w:rsidR="006B06A4" w:rsidRPr="00BB59D8">
        <w:t xml:space="preserve">mecasermin </w:t>
      </w:r>
      <w:r w:rsidR="00073565" w:rsidRPr="00BB59D8">
        <w:t>naïve subjects</w:t>
      </w:r>
      <w:r w:rsidR="00E011FE" w:rsidRPr="00BB59D8">
        <w:t xml:space="preserve"> (n=52)</w:t>
      </w:r>
      <w:r w:rsidR="00073565" w:rsidRPr="00BB59D8">
        <w:t xml:space="preserve">, excluding subjects enrolled in </w:t>
      </w:r>
      <w:r w:rsidR="009B58FF" w:rsidRPr="00BB59D8">
        <w:t xml:space="preserve">the </w:t>
      </w:r>
      <w:r w:rsidR="00073565" w:rsidRPr="00BB59D8">
        <w:t xml:space="preserve">previous four studies </w:t>
      </w:r>
      <w:r w:rsidR="00533076" w:rsidRPr="00BB59D8">
        <w:t>that received mecasermin</w:t>
      </w:r>
      <w:r w:rsidR="00073565" w:rsidRPr="00BB59D8">
        <w:t>.</w:t>
      </w:r>
      <w:r w:rsidR="006B06A4" w:rsidRPr="00BB59D8">
        <w:t xml:space="preserve"> </w:t>
      </w:r>
      <w:r w:rsidR="003D3C11" w:rsidRPr="00BB59D8">
        <w:rPr>
          <w:iCs/>
        </w:rPr>
        <w:t>Results for height velocity were slightly higher in each treatment year</w:t>
      </w:r>
      <w:r w:rsidR="00294757" w:rsidRPr="00BB59D8">
        <w:rPr>
          <w:iCs/>
        </w:rPr>
        <w:t xml:space="preserve"> compared to the whole trial population</w:t>
      </w:r>
      <w:r w:rsidR="003D3C11" w:rsidRPr="00BB59D8">
        <w:rPr>
          <w:iCs/>
        </w:rPr>
        <w:t>.</w:t>
      </w:r>
    </w:p>
    <w:p w14:paraId="283CF0E3" w14:textId="77777777" w:rsidR="00643021" w:rsidRPr="00BB59D8" w:rsidRDefault="00643021" w:rsidP="00DB4BC1">
      <w:pPr>
        <w:pStyle w:val="ListParagraph"/>
        <w:numPr>
          <w:ilvl w:val="0"/>
          <w:numId w:val="7"/>
        </w:numPr>
        <w:ind w:left="1077" w:hanging="357"/>
        <w:rPr>
          <w:iCs/>
        </w:rPr>
      </w:pPr>
      <w:r w:rsidRPr="00BB59D8">
        <w:t xml:space="preserve">A </w:t>
      </w:r>
      <w:r w:rsidR="00073565" w:rsidRPr="00BB59D8">
        <w:t>subgroup analysis of the EU-IGFD Registry was conducted for pre-pubertal subjects only</w:t>
      </w:r>
      <w:r w:rsidR="00B62267" w:rsidRPr="00BB59D8">
        <w:t xml:space="preserve"> (n=118)</w:t>
      </w:r>
      <w:r w:rsidR="00073565" w:rsidRPr="00BB59D8">
        <w:t>.</w:t>
      </w:r>
      <w:r w:rsidR="00B62267" w:rsidRPr="00BB59D8">
        <w:rPr>
          <w:iCs/>
        </w:rPr>
        <w:t xml:space="preserve"> R</w:t>
      </w:r>
      <w:r w:rsidR="003D3C11" w:rsidRPr="00BB59D8">
        <w:rPr>
          <w:iCs/>
        </w:rPr>
        <w:t>esults for height velocity were slightly higher in each treatment year</w:t>
      </w:r>
      <w:r w:rsidR="00294757" w:rsidRPr="00BB59D8">
        <w:rPr>
          <w:iCs/>
        </w:rPr>
        <w:t xml:space="preserve"> compared to the whole trial population</w:t>
      </w:r>
      <w:r w:rsidR="003D3C11" w:rsidRPr="00BB59D8">
        <w:rPr>
          <w:iCs/>
        </w:rPr>
        <w:t>.</w:t>
      </w:r>
    </w:p>
    <w:p w14:paraId="44F1F221" w14:textId="77777777" w:rsidR="00643021" w:rsidRPr="00BB59D8" w:rsidRDefault="00643021" w:rsidP="00DB4BC1">
      <w:pPr>
        <w:pStyle w:val="ListParagraph"/>
        <w:numPr>
          <w:ilvl w:val="0"/>
          <w:numId w:val="7"/>
        </w:numPr>
        <w:ind w:left="1077" w:hanging="357"/>
      </w:pPr>
      <w:r w:rsidRPr="00BB59D8">
        <w:t>T</w:t>
      </w:r>
      <w:r w:rsidR="00073565" w:rsidRPr="00BB59D8">
        <w:t xml:space="preserve">he submission presented an analysis comparing patients that attained near-adult height to what would be expected from </w:t>
      </w:r>
      <w:r w:rsidR="00533076" w:rsidRPr="00BB59D8">
        <w:t>patients with Laron syndrome without treatment</w:t>
      </w:r>
      <w:r w:rsidR="00073565" w:rsidRPr="00BB59D8">
        <w:t xml:space="preserve">. </w:t>
      </w:r>
      <w:r w:rsidR="003D3C11" w:rsidRPr="00BB59D8">
        <w:t>An estimated improvement in height of 13.4 (9.9-16.6 95%</w:t>
      </w:r>
      <w:r w:rsidR="000D0513" w:rsidRPr="00BB59D8">
        <w:t xml:space="preserve"> </w:t>
      </w:r>
      <w:r w:rsidR="003D3C11" w:rsidRPr="00BB59D8">
        <w:t>CI) centimetres after an average of 11 years of treatment was observed.</w:t>
      </w:r>
    </w:p>
    <w:p w14:paraId="10E2C8A3" w14:textId="77777777" w:rsidR="003F02A1" w:rsidRPr="00BB59D8" w:rsidRDefault="003F02A1" w:rsidP="005F4F10">
      <w:pPr>
        <w:pStyle w:val="4-SubsectionHeading"/>
      </w:pPr>
      <w:bookmarkStart w:id="28" w:name="_Toc22897642"/>
      <w:bookmarkStart w:id="29" w:name="_Toc82536427"/>
      <w:r w:rsidRPr="00BB59D8">
        <w:t>Comparative harms</w:t>
      </w:r>
      <w:bookmarkEnd w:id="28"/>
      <w:bookmarkEnd w:id="29"/>
    </w:p>
    <w:p w14:paraId="6737D739" w14:textId="77777777" w:rsidR="003F02A1" w:rsidRPr="00BB59D8" w:rsidRDefault="003F02A1" w:rsidP="00646E0D">
      <w:pPr>
        <w:pStyle w:val="3-BodyText"/>
        <w:rPr>
          <w:rFonts w:ascii="Arial Narrow" w:hAnsi="Arial Narrow"/>
          <w:b/>
          <w:sz w:val="20"/>
        </w:rPr>
      </w:pPr>
      <w:r w:rsidRPr="00BB59D8">
        <w:t>Table</w:t>
      </w:r>
      <w:r w:rsidR="0047450A" w:rsidRPr="00BB59D8">
        <w:t xml:space="preserve"> 7</w:t>
      </w:r>
      <w:r w:rsidRPr="00BB59D8">
        <w:t xml:space="preserve"> present</w:t>
      </w:r>
      <w:r w:rsidR="0047450A" w:rsidRPr="00BB59D8">
        <w:t>s</w:t>
      </w:r>
      <w:r w:rsidRPr="00BB59D8">
        <w:t xml:space="preserve"> the safety results of mecasermin in Trial MS301, Study 1419 and the EU-IGFD Registry</w:t>
      </w:r>
      <w:r w:rsidR="002A3201" w:rsidRPr="00BB59D8">
        <w:t>.</w:t>
      </w:r>
    </w:p>
    <w:p w14:paraId="6448A6E2" w14:textId="77777777" w:rsidR="003F02A1" w:rsidRPr="00BB59D8" w:rsidRDefault="003F02A1" w:rsidP="00646E0D">
      <w:pPr>
        <w:pStyle w:val="3-BodyText"/>
        <w:rPr>
          <w:rFonts w:ascii="Arial Narrow" w:hAnsi="Arial Narrow"/>
          <w:b/>
          <w:sz w:val="20"/>
        </w:rPr>
      </w:pPr>
      <w:r w:rsidRPr="00BB59D8">
        <w:t xml:space="preserve">The submission noted that the Polish </w:t>
      </w:r>
      <w:r w:rsidR="008B3751" w:rsidRPr="00BB59D8">
        <w:t>S</w:t>
      </w:r>
      <w:r w:rsidRPr="00BB59D8">
        <w:t>tudy did not present comprehensive safety data other than reporting eight (30%) patients having an adverse event (AE) over the three-year study (p74 of the submission). Two of these patients ended treatment before year three because of an AE.</w:t>
      </w:r>
    </w:p>
    <w:p w14:paraId="52370BA2" w14:textId="77777777" w:rsidR="003F02A1" w:rsidRPr="00BB59D8" w:rsidRDefault="003F02A1" w:rsidP="004F1ADE">
      <w:pPr>
        <w:pStyle w:val="TableFigureHeading"/>
      </w:pPr>
      <w:bookmarkStart w:id="30" w:name="_Hlk78548866"/>
      <w:r w:rsidRPr="00BB59D8">
        <w:t xml:space="preserve">Table </w:t>
      </w:r>
      <w:r w:rsidR="0047450A" w:rsidRPr="00BB59D8">
        <w:t>7</w:t>
      </w:r>
      <w:r w:rsidRPr="00BB59D8">
        <w:t>: Summary of key adverse events in Trial MS301, Study 1419 and the EU-IGFD Registry</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Trial MS301, Study 1419 and the EU-IGFD Registry"/>
      </w:tblPr>
      <w:tblGrid>
        <w:gridCol w:w="1918"/>
        <w:gridCol w:w="1132"/>
        <w:gridCol w:w="1340"/>
        <w:gridCol w:w="1340"/>
        <w:gridCol w:w="1345"/>
        <w:gridCol w:w="938"/>
        <w:gridCol w:w="1004"/>
      </w:tblGrid>
      <w:tr w:rsidR="001370C7" w:rsidRPr="00BB59D8" w14:paraId="1BD34E03" w14:textId="77777777" w:rsidTr="00913A3B">
        <w:trPr>
          <w:tblHeader/>
        </w:trPr>
        <w:tc>
          <w:tcPr>
            <w:tcW w:w="1063" w:type="pct"/>
            <w:vMerge w:val="restart"/>
            <w:vAlign w:val="center"/>
          </w:tcPr>
          <w:p w14:paraId="24C63665" w14:textId="77777777" w:rsidR="001370C7" w:rsidRPr="00BB59D8" w:rsidRDefault="001370C7" w:rsidP="004F1ADE">
            <w:pPr>
              <w:pStyle w:val="Tabletext"/>
              <w:keepNext/>
              <w:rPr>
                <w:b/>
                <w:bCs/>
              </w:rPr>
            </w:pPr>
            <w:r w:rsidRPr="00BB59D8">
              <w:rPr>
                <w:b/>
                <w:bCs/>
              </w:rPr>
              <w:t>Category</w:t>
            </w:r>
          </w:p>
        </w:tc>
        <w:tc>
          <w:tcPr>
            <w:tcW w:w="2859" w:type="pct"/>
            <w:gridSpan w:val="4"/>
            <w:vAlign w:val="center"/>
          </w:tcPr>
          <w:p w14:paraId="632193C9" w14:textId="77777777" w:rsidR="001370C7" w:rsidRPr="00BB59D8" w:rsidRDefault="008B3751" w:rsidP="004F1ADE">
            <w:pPr>
              <w:pStyle w:val="Tabletext"/>
              <w:keepNext/>
              <w:jc w:val="center"/>
              <w:rPr>
                <w:b/>
                <w:bCs/>
              </w:rPr>
            </w:pPr>
            <w:r w:rsidRPr="00BB59D8">
              <w:rPr>
                <w:b/>
                <w:bCs/>
              </w:rPr>
              <w:t xml:space="preserve">Trial </w:t>
            </w:r>
            <w:r w:rsidR="001370C7" w:rsidRPr="00BB59D8">
              <w:rPr>
                <w:b/>
                <w:bCs/>
              </w:rPr>
              <w:t>MS301</w:t>
            </w:r>
          </w:p>
        </w:tc>
        <w:tc>
          <w:tcPr>
            <w:tcW w:w="520" w:type="pct"/>
            <w:vMerge w:val="restart"/>
            <w:vAlign w:val="center"/>
          </w:tcPr>
          <w:p w14:paraId="1A2F70B8" w14:textId="77777777" w:rsidR="001370C7" w:rsidRPr="00BB59D8" w:rsidRDefault="001370C7" w:rsidP="004F1ADE">
            <w:pPr>
              <w:pStyle w:val="Tabletext"/>
              <w:keepNext/>
              <w:rPr>
                <w:b/>
                <w:bCs/>
              </w:rPr>
            </w:pPr>
            <w:r w:rsidRPr="00BB59D8">
              <w:rPr>
                <w:b/>
                <w:bCs/>
              </w:rPr>
              <w:t>Study 1419</w:t>
            </w:r>
          </w:p>
        </w:tc>
        <w:tc>
          <w:tcPr>
            <w:tcW w:w="557" w:type="pct"/>
            <w:vMerge w:val="restart"/>
            <w:vAlign w:val="center"/>
          </w:tcPr>
          <w:p w14:paraId="29040F7F" w14:textId="77777777" w:rsidR="001370C7" w:rsidRPr="00BB59D8" w:rsidRDefault="001370C7" w:rsidP="004F1ADE">
            <w:pPr>
              <w:pStyle w:val="Tabletext"/>
              <w:keepNext/>
              <w:rPr>
                <w:b/>
                <w:bCs/>
              </w:rPr>
            </w:pPr>
            <w:r w:rsidRPr="00BB59D8">
              <w:rPr>
                <w:b/>
                <w:bCs/>
              </w:rPr>
              <w:t>EU-IGFD Registry</w:t>
            </w:r>
          </w:p>
        </w:tc>
      </w:tr>
      <w:tr w:rsidR="001370C7" w:rsidRPr="00BB59D8" w14:paraId="3EE3FA1E" w14:textId="77777777" w:rsidTr="00913A3B">
        <w:trPr>
          <w:tblHeader/>
        </w:trPr>
        <w:tc>
          <w:tcPr>
            <w:tcW w:w="1063" w:type="pct"/>
            <w:vMerge/>
            <w:vAlign w:val="center"/>
          </w:tcPr>
          <w:p w14:paraId="14647886" w14:textId="77777777" w:rsidR="001370C7" w:rsidRPr="00BB59D8" w:rsidRDefault="001370C7" w:rsidP="004F1ADE">
            <w:pPr>
              <w:pStyle w:val="Tabletext"/>
              <w:keepNext/>
              <w:rPr>
                <w:b/>
                <w:bCs/>
              </w:rPr>
            </w:pPr>
          </w:p>
        </w:tc>
        <w:tc>
          <w:tcPr>
            <w:tcW w:w="627" w:type="pct"/>
            <w:vAlign w:val="center"/>
          </w:tcPr>
          <w:p w14:paraId="6D705F54" w14:textId="77777777" w:rsidR="001370C7" w:rsidRPr="00BB59D8" w:rsidRDefault="001370C7" w:rsidP="004F1ADE">
            <w:pPr>
              <w:pStyle w:val="Tabletext"/>
              <w:keepNext/>
              <w:rPr>
                <w:b/>
                <w:bCs/>
              </w:rPr>
            </w:pPr>
            <w:r w:rsidRPr="00BB59D8">
              <w:rPr>
                <w:b/>
                <w:bCs/>
              </w:rPr>
              <w:t>Untreated</w:t>
            </w:r>
          </w:p>
        </w:tc>
        <w:tc>
          <w:tcPr>
            <w:tcW w:w="743" w:type="pct"/>
            <w:vAlign w:val="center"/>
          </w:tcPr>
          <w:p w14:paraId="0B0611A1" w14:textId="77777777" w:rsidR="001370C7" w:rsidRPr="00BB59D8" w:rsidRDefault="001370C7" w:rsidP="004F1ADE">
            <w:pPr>
              <w:pStyle w:val="Tabletext"/>
              <w:keepNext/>
              <w:rPr>
                <w:b/>
                <w:bCs/>
              </w:rPr>
            </w:pPr>
            <w:r w:rsidRPr="00BB59D8">
              <w:rPr>
                <w:b/>
                <w:bCs/>
              </w:rPr>
              <w:t>Mecasermin 40 µg/kg BID</w:t>
            </w:r>
          </w:p>
        </w:tc>
        <w:tc>
          <w:tcPr>
            <w:tcW w:w="743" w:type="pct"/>
            <w:vAlign w:val="center"/>
          </w:tcPr>
          <w:p w14:paraId="02DF0790" w14:textId="77777777" w:rsidR="001370C7" w:rsidRPr="00BB59D8" w:rsidRDefault="001370C7" w:rsidP="004F1ADE">
            <w:pPr>
              <w:pStyle w:val="Tabletext"/>
              <w:keepNext/>
              <w:rPr>
                <w:b/>
                <w:bCs/>
              </w:rPr>
            </w:pPr>
            <w:r w:rsidRPr="00BB59D8">
              <w:rPr>
                <w:b/>
                <w:bCs/>
              </w:rPr>
              <w:t>Mecasermin 80 µg/kg BID</w:t>
            </w:r>
          </w:p>
        </w:tc>
        <w:tc>
          <w:tcPr>
            <w:tcW w:w="743" w:type="pct"/>
            <w:vAlign w:val="center"/>
          </w:tcPr>
          <w:p w14:paraId="4131CA06" w14:textId="77777777" w:rsidR="001370C7" w:rsidRPr="00BB59D8" w:rsidRDefault="001370C7" w:rsidP="004F1ADE">
            <w:pPr>
              <w:pStyle w:val="Tabletext"/>
              <w:keepNext/>
              <w:rPr>
                <w:b/>
                <w:bCs/>
              </w:rPr>
            </w:pPr>
            <w:r w:rsidRPr="00BB59D8">
              <w:rPr>
                <w:b/>
                <w:bCs/>
              </w:rPr>
              <w:t>Mecasermin 120 µg/kg BID</w:t>
            </w:r>
          </w:p>
        </w:tc>
        <w:tc>
          <w:tcPr>
            <w:tcW w:w="520" w:type="pct"/>
            <w:vMerge/>
            <w:vAlign w:val="center"/>
          </w:tcPr>
          <w:p w14:paraId="2E201031" w14:textId="77777777" w:rsidR="001370C7" w:rsidRPr="00BB59D8" w:rsidRDefault="001370C7" w:rsidP="004F1ADE">
            <w:pPr>
              <w:pStyle w:val="Tabletext"/>
              <w:keepNext/>
            </w:pPr>
          </w:p>
        </w:tc>
        <w:tc>
          <w:tcPr>
            <w:tcW w:w="557" w:type="pct"/>
            <w:vMerge/>
            <w:vAlign w:val="center"/>
          </w:tcPr>
          <w:p w14:paraId="1F19E146" w14:textId="77777777" w:rsidR="001370C7" w:rsidRPr="00BB59D8" w:rsidRDefault="001370C7" w:rsidP="004F1ADE">
            <w:pPr>
              <w:pStyle w:val="Tabletext"/>
              <w:keepNext/>
            </w:pPr>
          </w:p>
        </w:tc>
      </w:tr>
      <w:tr w:rsidR="001370C7" w:rsidRPr="00BB59D8" w14:paraId="1CED7461" w14:textId="77777777" w:rsidTr="00913A3B">
        <w:tc>
          <w:tcPr>
            <w:tcW w:w="1063" w:type="pct"/>
            <w:vAlign w:val="center"/>
          </w:tcPr>
          <w:p w14:paraId="4AFF39DF" w14:textId="77777777" w:rsidR="001370C7" w:rsidRPr="00BB59D8" w:rsidRDefault="001370C7" w:rsidP="004F1ADE">
            <w:pPr>
              <w:pStyle w:val="Tabletext"/>
              <w:keepNext/>
            </w:pPr>
            <w:r w:rsidRPr="00BB59D8">
              <w:t>N</w:t>
            </w:r>
          </w:p>
        </w:tc>
        <w:tc>
          <w:tcPr>
            <w:tcW w:w="627" w:type="pct"/>
            <w:vAlign w:val="center"/>
          </w:tcPr>
          <w:p w14:paraId="3C5C0C35" w14:textId="77777777" w:rsidR="001370C7" w:rsidRPr="00BB59D8" w:rsidRDefault="001370C7" w:rsidP="004F1ADE">
            <w:pPr>
              <w:pStyle w:val="Tabletext"/>
              <w:keepNext/>
            </w:pPr>
            <w:r w:rsidRPr="00BB59D8">
              <w:t>25</w:t>
            </w:r>
          </w:p>
        </w:tc>
        <w:tc>
          <w:tcPr>
            <w:tcW w:w="743" w:type="pct"/>
            <w:vAlign w:val="center"/>
          </w:tcPr>
          <w:p w14:paraId="324D322F" w14:textId="77777777" w:rsidR="001370C7" w:rsidRPr="00BB59D8" w:rsidRDefault="001370C7" w:rsidP="004F1ADE">
            <w:pPr>
              <w:pStyle w:val="Tabletext"/>
              <w:keepNext/>
            </w:pPr>
            <w:r w:rsidRPr="00BB59D8">
              <w:t>16</w:t>
            </w:r>
          </w:p>
        </w:tc>
        <w:tc>
          <w:tcPr>
            <w:tcW w:w="743" w:type="pct"/>
            <w:vAlign w:val="center"/>
          </w:tcPr>
          <w:p w14:paraId="568B0240" w14:textId="77777777" w:rsidR="001370C7" w:rsidRPr="00BB59D8" w:rsidRDefault="001370C7" w:rsidP="004F1ADE">
            <w:pPr>
              <w:pStyle w:val="Tabletext"/>
              <w:keepNext/>
            </w:pPr>
            <w:r w:rsidRPr="00BB59D8">
              <w:t>44</w:t>
            </w:r>
          </w:p>
        </w:tc>
        <w:tc>
          <w:tcPr>
            <w:tcW w:w="743" w:type="pct"/>
            <w:vAlign w:val="center"/>
          </w:tcPr>
          <w:p w14:paraId="2DE22E8A" w14:textId="77777777" w:rsidR="001370C7" w:rsidRPr="00BB59D8" w:rsidRDefault="001370C7" w:rsidP="004F1ADE">
            <w:pPr>
              <w:pStyle w:val="Tabletext"/>
              <w:keepNext/>
            </w:pPr>
            <w:r w:rsidRPr="00BB59D8">
              <w:t>51</w:t>
            </w:r>
          </w:p>
        </w:tc>
        <w:tc>
          <w:tcPr>
            <w:tcW w:w="520" w:type="pct"/>
            <w:vAlign w:val="center"/>
          </w:tcPr>
          <w:p w14:paraId="59201D14" w14:textId="77777777" w:rsidR="001370C7" w:rsidRPr="00BB59D8" w:rsidRDefault="001370C7" w:rsidP="004F1ADE">
            <w:pPr>
              <w:pStyle w:val="Tabletext"/>
              <w:keepNext/>
            </w:pPr>
            <w:r w:rsidRPr="00BB59D8">
              <w:t>92</w:t>
            </w:r>
          </w:p>
        </w:tc>
        <w:tc>
          <w:tcPr>
            <w:tcW w:w="557" w:type="pct"/>
            <w:vAlign w:val="center"/>
          </w:tcPr>
          <w:p w14:paraId="400863E7" w14:textId="77777777" w:rsidR="001370C7" w:rsidRPr="00BB59D8" w:rsidRDefault="001370C7" w:rsidP="004F1ADE">
            <w:pPr>
              <w:pStyle w:val="Tabletext"/>
              <w:keepNext/>
            </w:pPr>
            <w:r w:rsidRPr="00BB59D8">
              <w:t>277</w:t>
            </w:r>
          </w:p>
        </w:tc>
      </w:tr>
      <w:tr w:rsidR="001370C7" w:rsidRPr="00BB59D8" w14:paraId="177A6F46" w14:textId="77777777" w:rsidTr="00913A3B">
        <w:tc>
          <w:tcPr>
            <w:tcW w:w="1063" w:type="pct"/>
            <w:vAlign w:val="center"/>
          </w:tcPr>
          <w:p w14:paraId="5C967073" w14:textId="77777777" w:rsidR="001370C7" w:rsidRPr="00BB59D8" w:rsidRDefault="001370C7" w:rsidP="004F1ADE">
            <w:pPr>
              <w:pStyle w:val="Tabletext"/>
              <w:keepNext/>
            </w:pPr>
            <w:r w:rsidRPr="00BB59D8">
              <w:t>Mean duration of treatment (years)</w:t>
            </w:r>
          </w:p>
        </w:tc>
        <w:tc>
          <w:tcPr>
            <w:tcW w:w="627" w:type="pct"/>
            <w:vAlign w:val="center"/>
          </w:tcPr>
          <w:p w14:paraId="1264C2FF" w14:textId="77777777" w:rsidR="001370C7" w:rsidRPr="00BB59D8" w:rsidRDefault="001370C7" w:rsidP="004F1ADE">
            <w:pPr>
              <w:pStyle w:val="Tabletext"/>
              <w:keepNext/>
            </w:pPr>
            <w:r w:rsidRPr="00BB59D8">
              <w:t>1.0</w:t>
            </w:r>
          </w:p>
        </w:tc>
        <w:tc>
          <w:tcPr>
            <w:tcW w:w="743" w:type="pct"/>
            <w:vAlign w:val="center"/>
          </w:tcPr>
          <w:p w14:paraId="3E997499" w14:textId="77777777" w:rsidR="001370C7" w:rsidRPr="00BB59D8" w:rsidRDefault="001370C7" w:rsidP="004F1ADE">
            <w:pPr>
              <w:pStyle w:val="Tabletext"/>
              <w:keepNext/>
            </w:pPr>
            <w:r w:rsidRPr="00BB59D8">
              <w:t>1.0</w:t>
            </w:r>
          </w:p>
        </w:tc>
        <w:tc>
          <w:tcPr>
            <w:tcW w:w="743" w:type="pct"/>
            <w:vAlign w:val="center"/>
          </w:tcPr>
          <w:p w14:paraId="201AE1C2" w14:textId="77777777" w:rsidR="001370C7" w:rsidRPr="00BB59D8" w:rsidRDefault="001370C7" w:rsidP="004F1ADE">
            <w:pPr>
              <w:pStyle w:val="Tabletext"/>
              <w:keepNext/>
            </w:pPr>
            <w:r w:rsidRPr="00BB59D8">
              <w:t>0.9</w:t>
            </w:r>
          </w:p>
        </w:tc>
        <w:tc>
          <w:tcPr>
            <w:tcW w:w="743" w:type="pct"/>
            <w:vAlign w:val="center"/>
          </w:tcPr>
          <w:p w14:paraId="42539097" w14:textId="77777777" w:rsidR="001370C7" w:rsidRPr="00BB59D8" w:rsidRDefault="001370C7" w:rsidP="004F1ADE">
            <w:pPr>
              <w:pStyle w:val="Tabletext"/>
              <w:keepNext/>
            </w:pPr>
            <w:r w:rsidRPr="00BB59D8">
              <w:t>0.9</w:t>
            </w:r>
          </w:p>
        </w:tc>
        <w:tc>
          <w:tcPr>
            <w:tcW w:w="520" w:type="pct"/>
            <w:vAlign w:val="center"/>
          </w:tcPr>
          <w:p w14:paraId="1ADEC4C7" w14:textId="77777777" w:rsidR="001370C7" w:rsidRPr="00BB59D8" w:rsidRDefault="001370C7" w:rsidP="004F1ADE">
            <w:pPr>
              <w:pStyle w:val="Tabletext"/>
              <w:keepNext/>
            </w:pPr>
            <w:r w:rsidRPr="00BB59D8">
              <w:t>6.0</w:t>
            </w:r>
          </w:p>
        </w:tc>
        <w:tc>
          <w:tcPr>
            <w:tcW w:w="557" w:type="pct"/>
            <w:vAlign w:val="center"/>
          </w:tcPr>
          <w:p w14:paraId="6F2FCA8D" w14:textId="77777777" w:rsidR="001370C7" w:rsidRPr="00BB59D8" w:rsidRDefault="001370C7" w:rsidP="004F1ADE">
            <w:pPr>
              <w:pStyle w:val="Tabletext"/>
              <w:keepNext/>
            </w:pPr>
            <w:r w:rsidRPr="00BB59D8">
              <w:t>3.7</w:t>
            </w:r>
          </w:p>
        </w:tc>
      </w:tr>
      <w:tr w:rsidR="001370C7" w:rsidRPr="00BB59D8" w14:paraId="74D4627D" w14:textId="77777777" w:rsidTr="00913A3B">
        <w:tc>
          <w:tcPr>
            <w:tcW w:w="1063" w:type="pct"/>
            <w:vAlign w:val="center"/>
          </w:tcPr>
          <w:p w14:paraId="4F0B8135" w14:textId="77777777" w:rsidR="001370C7" w:rsidRPr="00BB59D8" w:rsidRDefault="001370C7" w:rsidP="004F1ADE">
            <w:pPr>
              <w:pStyle w:val="Tabletext"/>
              <w:keepNext/>
            </w:pPr>
            <w:r w:rsidRPr="00BB59D8">
              <w:t>Any adverse event</w:t>
            </w:r>
          </w:p>
        </w:tc>
        <w:tc>
          <w:tcPr>
            <w:tcW w:w="627" w:type="pct"/>
            <w:vAlign w:val="center"/>
          </w:tcPr>
          <w:p w14:paraId="0768B19D" w14:textId="77777777" w:rsidR="001370C7" w:rsidRPr="00BB59D8" w:rsidRDefault="001370C7" w:rsidP="004F1ADE">
            <w:pPr>
              <w:pStyle w:val="Tabletext"/>
              <w:keepNext/>
            </w:pPr>
            <w:r w:rsidRPr="00BB59D8">
              <w:t>23 (92%)</w:t>
            </w:r>
          </w:p>
        </w:tc>
        <w:tc>
          <w:tcPr>
            <w:tcW w:w="743" w:type="pct"/>
            <w:vAlign w:val="center"/>
          </w:tcPr>
          <w:p w14:paraId="567281F7" w14:textId="77777777" w:rsidR="001370C7" w:rsidRPr="00BB59D8" w:rsidRDefault="001370C7" w:rsidP="004F1ADE">
            <w:pPr>
              <w:pStyle w:val="Tabletext"/>
              <w:keepNext/>
            </w:pPr>
            <w:r w:rsidRPr="00BB59D8">
              <w:t>16 (100%)</w:t>
            </w:r>
          </w:p>
        </w:tc>
        <w:tc>
          <w:tcPr>
            <w:tcW w:w="743" w:type="pct"/>
            <w:vAlign w:val="center"/>
          </w:tcPr>
          <w:p w14:paraId="01F0C7D6" w14:textId="77777777" w:rsidR="001370C7" w:rsidRPr="00BB59D8" w:rsidRDefault="001370C7" w:rsidP="004F1ADE">
            <w:pPr>
              <w:pStyle w:val="Tabletext"/>
              <w:keepNext/>
            </w:pPr>
            <w:r w:rsidRPr="00BB59D8">
              <w:t>40 (91%)</w:t>
            </w:r>
          </w:p>
        </w:tc>
        <w:tc>
          <w:tcPr>
            <w:tcW w:w="743" w:type="pct"/>
            <w:vAlign w:val="center"/>
          </w:tcPr>
          <w:p w14:paraId="0D2F0DD3" w14:textId="77777777" w:rsidR="001370C7" w:rsidRPr="00BB59D8" w:rsidRDefault="001370C7" w:rsidP="004F1ADE">
            <w:pPr>
              <w:pStyle w:val="Tabletext"/>
              <w:keepNext/>
            </w:pPr>
            <w:r w:rsidRPr="00BB59D8">
              <w:t>50 (98%)</w:t>
            </w:r>
          </w:p>
        </w:tc>
        <w:tc>
          <w:tcPr>
            <w:tcW w:w="520" w:type="pct"/>
            <w:vAlign w:val="center"/>
          </w:tcPr>
          <w:p w14:paraId="61320A28" w14:textId="77777777" w:rsidR="001370C7" w:rsidRPr="00BB59D8" w:rsidRDefault="001370C7" w:rsidP="004F1ADE">
            <w:pPr>
              <w:pStyle w:val="Tabletext"/>
              <w:keepNext/>
            </w:pPr>
            <w:r w:rsidRPr="00BB59D8">
              <w:t>76 (83%)</w:t>
            </w:r>
          </w:p>
        </w:tc>
        <w:tc>
          <w:tcPr>
            <w:tcW w:w="557" w:type="pct"/>
            <w:vAlign w:val="center"/>
          </w:tcPr>
          <w:p w14:paraId="57BC7B55" w14:textId="77777777" w:rsidR="001370C7" w:rsidRPr="00BB59D8" w:rsidRDefault="001370C7" w:rsidP="004F1ADE">
            <w:pPr>
              <w:pStyle w:val="Tabletext"/>
              <w:keepNext/>
            </w:pPr>
            <w:r w:rsidRPr="00BB59D8">
              <w:t>185 (67%)</w:t>
            </w:r>
          </w:p>
        </w:tc>
      </w:tr>
      <w:tr w:rsidR="001370C7" w:rsidRPr="00BB59D8" w14:paraId="0C246006" w14:textId="77777777" w:rsidTr="00913A3B">
        <w:tc>
          <w:tcPr>
            <w:tcW w:w="1063" w:type="pct"/>
            <w:vAlign w:val="center"/>
          </w:tcPr>
          <w:p w14:paraId="12D343DC" w14:textId="77777777" w:rsidR="001370C7" w:rsidRPr="00BB59D8" w:rsidRDefault="001370C7" w:rsidP="004F1ADE">
            <w:pPr>
              <w:pStyle w:val="Tabletext"/>
              <w:keepNext/>
            </w:pPr>
            <w:r w:rsidRPr="00BB59D8">
              <w:t>Serious adverse event</w:t>
            </w:r>
          </w:p>
        </w:tc>
        <w:tc>
          <w:tcPr>
            <w:tcW w:w="627" w:type="pct"/>
            <w:vAlign w:val="center"/>
          </w:tcPr>
          <w:p w14:paraId="4DDEF882" w14:textId="77777777" w:rsidR="001370C7" w:rsidRPr="00BB59D8" w:rsidRDefault="001370C7" w:rsidP="004F1ADE">
            <w:pPr>
              <w:pStyle w:val="Tabletext"/>
              <w:keepNext/>
            </w:pPr>
            <w:r w:rsidRPr="00BB59D8">
              <w:t>1 (4%)</w:t>
            </w:r>
          </w:p>
        </w:tc>
        <w:tc>
          <w:tcPr>
            <w:tcW w:w="743" w:type="pct"/>
            <w:vAlign w:val="center"/>
          </w:tcPr>
          <w:p w14:paraId="7DF065CB" w14:textId="77777777" w:rsidR="001370C7" w:rsidRPr="00BB59D8" w:rsidRDefault="001370C7" w:rsidP="004F1ADE">
            <w:pPr>
              <w:pStyle w:val="Tabletext"/>
              <w:keepNext/>
            </w:pPr>
            <w:r w:rsidRPr="00BB59D8">
              <w:t>1 (6%)</w:t>
            </w:r>
          </w:p>
        </w:tc>
        <w:tc>
          <w:tcPr>
            <w:tcW w:w="743" w:type="pct"/>
            <w:vAlign w:val="center"/>
          </w:tcPr>
          <w:p w14:paraId="0A7E2365" w14:textId="77777777" w:rsidR="001370C7" w:rsidRPr="00BB59D8" w:rsidRDefault="001370C7" w:rsidP="004F1ADE">
            <w:pPr>
              <w:pStyle w:val="Tabletext"/>
              <w:keepNext/>
            </w:pPr>
            <w:r w:rsidRPr="00BB59D8">
              <w:t>2 (5%)</w:t>
            </w:r>
          </w:p>
        </w:tc>
        <w:tc>
          <w:tcPr>
            <w:tcW w:w="743" w:type="pct"/>
            <w:vAlign w:val="center"/>
          </w:tcPr>
          <w:p w14:paraId="24209CE7" w14:textId="77777777" w:rsidR="001370C7" w:rsidRPr="00BB59D8" w:rsidRDefault="001370C7" w:rsidP="004F1ADE">
            <w:pPr>
              <w:pStyle w:val="Tabletext"/>
              <w:keepNext/>
            </w:pPr>
            <w:r w:rsidRPr="00BB59D8">
              <w:t>5 (10%)</w:t>
            </w:r>
          </w:p>
        </w:tc>
        <w:tc>
          <w:tcPr>
            <w:tcW w:w="520" w:type="pct"/>
            <w:vAlign w:val="center"/>
          </w:tcPr>
          <w:p w14:paraId="12302123" w14:textId="77777777" w:rsidR="001370C7" w:rsidRPr="00BB59D8" w:rsidRDefault="001370C7" w:rsidP="004F1ADE">
            <w:pPr>
              <w:pStyle w:val="Tabletext"/>
              <w:keepNext/>
            </w:pPr>
            <w:r w:rsidRPr="00BB59D8">
              <w:t>18 (20%)</w:t>
            </w:r>
          </w:p>
        </w:tc>
        <w:tc>
          <w:tcPr>
            <w:tcW w:w="557" w:type="pct"/>
            <w:vAlign w:val="center"/>
          </w:tcPr>
          <w:p w14:paraId="5B73FFAC" w14:textId="77777777" w:rsidR="001370C7" w:rsidRPr="00BB59D8" w:rsidRDefault="001370C7" w:rsidP="004F1ADE">
            <w:pPr>
              <w:pStyle w:val="Tabletext"/>
              <w:keepNext/>
            </w:pPr>
            <w:r w:rsidRPr="00BB59D8">
              <w:t>59 (21%)</w:t>
            </w:r>
          </w:p>
        </w:tc>
      </w:tr>
      <w:tr w:rsidR="001370C7" w:rsidRPr="00BB59D8" w14:paraId="181EC791" w14:textId="77777777" w:rsidTr="00913A3B">
        <w:tc>
          <w:tcPr>
            <w:tcW w:w="1063" w:type="pct"/>
            <w:vAlign w:val="center"/>
          </w:tcPr>
          <w:p w14:paraId="6A84874A" w14:textId="77777777" w:rsidR="001370C7" w:rsidRPr="00BB59D8" w:rsidRDefault="001370C7" w:rsidP="004F1ADE">
            <w:pPr>
              <w:pStyle w:val="Tabletext"/>
              <w:keepNext/>
            </w:pPr>
            <w:r w:rsidRPr="00BB59D8">
              <w:t>Treatment-related adverse event</w:t>
            </w:r>
          </w:p>
        </w:tc>
        <w:tc>
          <w:tcPr>
            <w:tcW w:w="627" w:type="pct"/>
            <w:vAlign w:val="center"/>
          </w:tcPr>
          <w:p w14:paraId="79471C2A" w14:textId="77777777" w:rsidR="001370C7" w:rsidRPr="00BB59D8" w:rsidRDefault="001370C7" w:rsidP="004F1ADE">
            <w:pPr>
              <w:pStyle w:val="Tabletext"/>
              <w:keepNext/>
            </w:pPr>
            <w:r w:rsidRPr="00BB59D8">
              <w:t>0</w:t>
            </w:r>
          </w:p>
        </w:tc>
        <w:tc>
          <w:tcPr>
            <w:tcW w:w="743" w:type="pct"/>
            <w:vAlign w:val="center"/>
          </w:tcPr>
          <w:p w14:paraId="381061E2" w14:textId="77777777" w:rsidR="001370C7" w:rsidRPr="00BB59D8" w:rsidRDefault="001370C7" w:rsidP="004F1ADE">
            <w:pPr>
              <w:pStyle w:val="Tabletext"/>
              <w:keepNext/>
            </w:pPr>
            <w:r w:rsidRPr="00BB59D8">
              <w:t>9 (56%)</w:t>
            </w:r>
          </w:p>
        </w:tc>
        <w:tc>
          <w:tcPr>
            <w:tcW w:w="743" w:type="pct"/>
            <w:vAlign w:val="center"/>
          </w:tcPr>
          <w:p w14:paraId="6787E0DC" w14:textId="77777777" w:rsidR="001370C7" w:rsidRPr="00BB59D8" w:rsidRDefault="001370C7" w:rsidP="004F1ADE">
            <w:pPr>
              <w:pStyle w:val="Tabletext"/>
              <w:keepNext/>
            </w:pPr>
            <w:r w:rsidRPr="00BB59D8">
              <w:t>23 (52%)</w:t>
            </w:r>
          </w:p>
        </w:tc>
        <w:tc>
          <w:tcPr>
            <w:tcW w:w="743" w:type="pct"/>
            <w:vAlign w:val="center"/>
          </w:tcPr>
          <w:p w14:paraId="62CA35E1" w14:textId="77777777" w:rsidR="001370C7" w:rsidRPr="00BB59D8" w:rsidRDefault="001370C7" w:rsidP="004F1ADE">
            <w:pPr>
              <w:pStyle w:val="Tabletext"/>
              <w:keepNext/>
            </w:pPr>
            <w:r w:rsidRPr="00BB59D8">
              <w:t>31 (61%)</w:t>
            </w:r>
          </w:p>
        </w:tc>
        <w:tc>
          <w:tcPr>
            <w:tcW w:w="520" w:type="pct"/>
            <w:vAlign w:val="center"/>
          </w:tcPr>
          <w:p w14:paraId="0281F067" w14:textId="77777777" w:rsidR="001370C7" w:rsidRPr="00BB59D8" w:rsidRDefault="001370C7" w:rsidP="004F1ADE">
            <w:pPr>
              <w:pStyle w:val="Tabletext"/>
              <w:keepNext/>
            </w:pPr>
            <w:r w:rsidRPr="00BB59D8">
              <w:t>68 (74%)</w:t>
            </w:r>
          </w:p>
        </w:tc>
        <w:tc>
          <w:tcPr>
            <w:tcW w:w="557" w:type="pct"/>
            <w:vAlign w:val="center"/>
          </w:tcPr>
          <w:p w14:paraId="4DF055F7" w14:textId="77777777" w:rsidR="001370C7" w:rsidRPr="00BB59D8" w:rsidRDefault="001370C7" w:rsidP="004F1ADE">
            <w:pPr>
              <w:pStyle w:val="Tabletext"/>
              <w:keepNext/>
            </w:pPr>
            <w:r w:rsidRPr="00BB59D8">
              <w:t>141 (51%)</w:t>
            </w:r>
          </w:p>
        </w:tc>
      </w:tr>
      <w:tr w:rsidR="001370C7" w:rsidRPr="00BB59D8" w14:paraId="6845E560" w14:textId="77777777" w:rsidTr="00913A3B">
        <w:tc>
          <w:tcPr>
            <w:tcW w:w="1063" w:type="pct"/>
            <w:vAlign w:val="center"/>
          </w:tcPr>
          <w:p w14:paraId="6FDAC031" w14:textId="77777777" w:rsidR="001370C7" w:rsidRPr="00BB59D8" w:rsidRDefault="001370C7" w:rsidP="004F1ADE">
            <w:pPr>
              <w:pStyle w:val="Tabletext"/>
              <w:keepNext/>
            </w:pPr>
            <w:r w:rsidRPr="00BB59D8">
              <w:t>Adverse event leading to discontinuation</w:t>
            </w:r>
          </w:p>
        </w:tc>
        <w:tc>
          <w:tcPr>
            <w:tcW w:w="627" w:type="pct"/>
            <w:vAlign w:val="center"/>
          </w:tcPr>
          <w:p w14:paraId="360C12AF" w14:textId="77777777" w:rsidR="001370C7" w:rsidRPr="00BB59D8" w:rsidRDefault="001370C7" w:rsidP="004F1ADE">
            <w:pPr>
              <w:pStyle w:val="Tabletext"/>
              <w:keepNext/>
            </w:pPr>
            <w:r w:rsidRPr="00BB59D8">
              <w:t>0</w:t>
            </w:r>
          </w:p>
        </w:tc>
        <w:tc>
          <w:tcPr>
            <w:tcW w:w="743" w:type="pct"/>
            <w:vAlign w:val="center"/>
          </w:tcPr>
          <w:p w14:paraId="08359939" w14:textId="77777777" w:rsidR="001370C7" w:rsidRPr="00BB59D8" w:rsidRDefault="001370C7" w:rsidP="004F1ADE">
            <w:pPr>
              <w:pStyle w:val="Tabletext"/>
              <w:keepNext/>
            </w:pPr>
            <w:r w:rsidRPr="00BB59D8">
              <w:t>0</w:t>
            </w:r>
          </w:p>
        </w:tc>
        <w:tc>
          <w:tcPr>
            <w:tcW w:w="743" w:type="pct"/>
            <w:vAlign w:val="center"/>
          </w:tcPr>
          <w:p w14:paraId="0B43C46D" w14:textId="77777777" w:rsidR="001370C7" w:rsidRPr="00BB59D8" w:rsidRDefault="001370C7" w:rsidP="004F1ADE">
            <w:pPr>
              <w:pStyle w:val="Tabletext"/>
              <w:keepNext/>
            </w:pPr>
            <w:r w:rsidRPr="00BB59D8">
              <w:t>2 (5%)</w:t>
            </w:r>
          </w:p>
        </w:tc>
        <w:tc>
          <w:tcPr>
            <w:tcW w:w="743" w:type="pct"/>
            <w:vAlign w:val="center"/>
          </w:tcPr>
          <w:p w14:paraId="41D33D39" w14:textId="77777777" w:rsidR="001370C7" w:rsidRPr="00BB59D8" w:rsidRDefault="001370C7" w:rsidP="004F1ADE">
            <w:pPr>
              <w:pStyle w:val="Tabletext"/>
              <w:keepNext/>
            </w:pPr>
            <w:r w:rsidRPr="00BB59D8">
              <w:t>5 (10%)</w:t>
            </w:r>
          </w:p>
        </w:tc>
        <w:tc>
          <w:tcPr>
            <w:tcW w:w="520" w:type="pct"/>
            <w:vAlign w:val="center"/>
          </w:tcPr>
          <w:p w14:paraId="5FE09350" w14:textId="77777777" w:rsidR="001370C7" w:rsidRPr="00BB59D8" w:rsidRDefault="001370C7" w:rsidP="004F1ADE">
            <w:pPr>
              <w:pStyle w:val="Tabletext"/>
              <w:keepNext/>
            </w:pPr>
            <w:r w:rsidRPr="00BB59D8">
              <w:t>0</w:t>
            </w:r>
          </w:p>
        </w:tc>
        <w:tc>
          <w:tcPr>
            <w:tcW w:w="557" w:type="pct"/>
            <w:vAlign w:val="center"/>
          </w:tcPr>
          <w:p w14:paraId="45805B93" w14:textId="77777777" w:rsidR="001370C7" w:rsidRPr="00BB59D8" w:rsidRDefault="001370C7" w:rsidP="004F1ADE">
            <w:pPr>
              <w:pStyle w:val="Tabletext"/>
              <w:keepNext/>
            </w:pPr>
            <w:r w:rsidRPr="00BB59D8">
              <w:t>15 (5%)</w:t>
            </w:r>
          </w:p>
        </w:tc>
      </w:tr>
      <w:tr w:rsidR="001370C7" w:rsidRPr="00BB59D8" w14:paraId="3FAB02BB" w14:textId="77777777" w:rsidTr="00913A3B">
        <w:tc>
          <w:tcPr>
            <w:tcW w:w="1063" w:type="pct"/>
            <w:vAlign w:val="center"/>
          </w:tcPr>
          <w:p w14:paraId="5C7D7EF2" w14:textId="77777777" w:rsidR="001370C7" w:rsidRPr="00BB59D8" w:rsidRDefault="001370C7" w:rsidP="004F1ADE">
            <w:pPr>
              <w:pStyle w:val="Tabletext"/>
              <w:keepNext/>
            </w:pPr>
            <w:r w:rsidRPr="00BB59D8">
              <w:t>Death</w:t>
            </w:r>
          </w:p>
        </w:tc>
        <w:tc>
          <w:tcPr>
            <w:tcW w:w="627" w:type="pct"/>
            <w:vAlign w:val="center"/>
          </w:tcPr>
          <w:p w14:paraId="557BF968" w14:textId="77777777" w:rsidR="001370C7" w:rsidRPr="00BB59D8" w:rsidRDefault="001370C7" w:rsidP="004F1ADE">
            <w:pPr>
              <w:pStyle w:val="Tabletext"/>
              <w:keepNext/>
            </w:pPr>
            <w:r w:rsidRPr="00BB59D8">
              <w:t>0</w:t>
            </w:r>
          </w:p>
        </w:tc>
        <w:tc>
          <w:tcPr>
            <w:tcW w:w="743" w:type="pct"/>
            <w:vAlign w:val="center"/>
          </w:tcPr>
          <w:p w14:paraId="101BEF6A" w14:textId="77777777" w:rsidR="001370C7" w:rsidRPr="00BB59D8" w:rsidRDefault="001370C7" w:rsidP="004F1ADE">
            <w:pPr>
              <w:pStyle w:val="Tabletext"/>
              <w:keepNext/>
            </w:pPr>
            <w:r w:rsidRPr="00BB59D8">
              <w:t>0</w:t>
            </w:r>
          </w:p>
        </w:tc>
        <w:tc>
          <w:tcPr>
            <w:tcW w:w="743" w:type="pct"/>
            <w:vAlign w:val="center"/>
          </w:tcPr>
          <w:p w14:paraId="1ABC66D0" w14:textId="77777777" w:rsidR="001370C7" w:rsidRPr="00BB59D8" w:rsidRDefault="001370C7" w:rsidP="004F1ADE">
            <w:pPr>
              <w:pStyle w:val="Tabletext"/>
              <w:keepNext/>
            </w:pPr>
            <w:r w:rsidRPr="00BB59D8">
              <w:t>0</w:t>
            </w:r>
          </w:p>
        </w:tc>
        <w:tc>
          <w:tcPr>
            <w:tcW w:w="743" w:type="pct"/>
            <w:vAlign w:val="center"/>
          </w:tcPr>
          <w:p w14:paraId="48C100F8" w14:textId="77777777" w:rsidR="001370C7" w:rsidRPr="00BB59D8" w:rsidRDefault="001370C7" w:rsidP="004F1ADE">
            <w:pPr>
              <w:pStyle w:val="Tabletext"/>
              <w:keepNext/>
            </w:pPr>
            <w:r w:rsidRPr="00BB59D8">
              <w:t>0</w:t>
            </w:r>
          </w:p>
        </w:tc>
        <w:tc>
          <w:tcPr>
            <w:tcW w:w="520" w:type="pct"/>
            <w:vAlign w:val="center"/>
          </w:tcPr>
          <w:p w14:paraId="2F4F07E8" w14:textId="77777777" w:rsidR="001370C7" w:rsidRPr="00BB59D8" w:rsidRDefault="001370C7" w:rsidP="004F1ADE">
            <w:pPr>
              <w:pStyle w:val="Tabletext"/>
              <w:keepNext/>
            </w:pPr>
            <w:r w:rsidRPr="00BB59D8">
              <w:t>0</w:t>
            </w:r>
          </w:p>
        </w:tc>
        <w:tc>
          <w:tcPr>
            <w:tcW w:w="557" w:type="pct"/>
            <w:vAlign w:val="center"/>
          </w:tcPr>
          <w:p w14:paraId="05EF12A5" w14:textId="77777777" w:rsidR="001370C7" w:rsidRPr="00BB59D8" w:rsidRDefault="001370C7" w:rsidP="004F1ADE">
            <w:pPr>
              <w:pStyle w:val="Tabletext"/>
              <w:keepNext/>
            </w:pPr>
            <w:r w:rsidRPr="00BB59D8">
              <w:t>2 (1%)</w:t>
            </w:r>
          </w:p>
        </w:tc>
      </w:tr>
    </w:tbl>
    <w:p w14:paraId="1E94A204" w14:textId="77777777" w:rsidR="003F02A1" w:rsidRPr="00BB59D8" w:rsidRDefault="003F02A1" w:rsidP="004F1ADE">
      <w:pPr>
        <w:pStyle w:val="TableFigureFooter"/>
        <w:keepNext/>
      </w:pPr>
      <w:r w:rsidRPr="00BB59D8">
        <w:t>BID = twice daily; EU-IGFD = European Increlex® Growth Forum Database.</w:t>
      </w:r>
    </w:p>
    <w:p w14:paraId="47184460" w14:textId="77777777" w:rsidR="003F02A1" w:rsidRPr="00BB59D8" w:rsidRDefault="003F02A1" w:rsidP="004F1ADE">
      <w:pPr>
        <w:pStyle w:val="TableFigureFooter"/>
        <w:keepNext/>
      </w:pPr>
      <w:r w:rsidRPr="00BB59D8">
        <w:t>Source: Table 2-35, p75 of the submission.</w:t>
      </w:r>
    </w:p>
    <w:p w14:paraId="0903F750" w14:textId="77777777" w:rsidR="008675D9" w:rsidRPr="00BB59D8" w:rsidRDefault="003F02A1" w:rsidP="00D279EF">
      <w:pPr>
        <w:pStyle w:val="3-BodyText"/>
      </w:pPr>
      <w:bookmarkStart w:id="31" w:name="_Toc22897643"/>
      <w:bookmarkEnd w:id="30"/>
      <w:r w:rsidRPr="00BB59D8">
        <w:t>A statistical analysis presented by the submission noted that</w:t>
      </w:r>
      <w:r w:rsidR="00286727" w:rsidRPr="00BB59D8">
        <w:t xml:space="preserve">, in </w:t>
      </w:r>
      <w:r w:rsidR="008675D9" w:rsidRPr="00BB59D8">
        <w:t xml:space="preserve">Trial </w:t>
      </w:r>
      <w:r w:rsidR="00286727" w:rsidRPr="00BB59D8">
        <w:t>MS301,</w:t>
      </w:r>
      <w:r w:rsidRPr="00BB59D8">
        <w:t xml:space="preserve"> the rates of </w:t>
      </w:r>
      <w:r w:rsidR="00C12D53" w:rsidRPr="00BB59D8">
        <w:t>AE</w:t>
      </w:r>
      <w:r w:rsidRPr="00BB59D8">
        <w:t>,</w:t>
      </w:r>
      <w:r w:rsidR="00C12D53" w:rsidRPr="00BB59D8">
        <w:t xml:space="preserve"> </w:t>
      </w:r>
      <w:r w:rsidRPr="00BB59D8">
        <w:t xml:space="preserve">serious </w:t>
      </w:r>
      <w:r w:rsidR="00C12D53" w:rsidRPr="00BB59D8">
        <w:t>AE (SAE)</w:t>
      </w:r>
      <w:r w:rsidRPr="00BB59D8">
        <w:t xml:space="preserve">, </w:t>
      </w:r>
      <w:r w:rsidR="00C12D53" w:rsidRPr="00BB59D8">
        <w:t>AE</w:t>
      </w:r>
      <w:r w:rsidR="00286727" w:rsidRPr="00BB59D8">
        <w:t xml:space="preserve"> </w:t>
      </w:r>
      <w:r w:rsidRPr="00BB59D8">
        <w:t xml:space="preserve">leading to withdrawal, and deaths were not statistically significantly higher </w:t>
      </w:r>
      <w:r w:rsidR="00D279EF" w:rsidRPr="00BB59D8">
        <w:t xml:space="preserve">in </w:t>
      </w:r>
      <w:r w:rsidRPr="00BB59D8">
        <w:t xml:space="preserve">any </w:t>
      </w:r>
      <w:r w:rsidR="00D279EF" w:rsidRPr="00BB59D8">
        <w:t xml:space="preserve">of the </w:t>
      </w:r>
      <w:r w:rsidRPr="00BB59D8">
        <w:t>mecasermin group</w:t>
      </w:r>
      <w:r w:rsidR="00D279EF" w:rsidRPr="00BB59D8">
        <w:t>s compared to the untreated group</w:t>
      </w:r>
      <w:r w:rsidRPr="00BB59D8">
        <w:t xml:space="preserve">. </w:t>
      </w:r>
      <w:r w:rsidR="00286727" w:rsidRPr="00BB59D8">
        <w:rPr>
          <w:iCs/>
        </w:rPr>
        <w:t>The submission provided no further description of th</w:t>
      </w:r>
      <w:r w:rsidR="00C51E14" w:rsidRPr="00BB59D8">
        <w:rPr>
          <w:iCs/>
        </w:rPr>
        <w:t>e</w:t>
      </w:r>
      <w:r w:rsidR="00286727" w:rsidRPr="00BB59D8">
        <w:rPr>
          <w:iCs/>
        </w:rPr>
        <w:t xml:space="preserve"> analysis</w:t>
      </w:r>
      <w:r w:rsidR="00C51E14" w:rsidRPr="00BB59D8">
        <w:rPr>
          <w:iCs/>
        </w:rPr>
        <w:t xml:space="preserve"> method</w:t>
      </w:r>
      <w:r w:rsidRPr="00BB59D8">
        <w:rPr>
          <w:iCs/>
        </w:rPr>
        <w:t>.</w:t>
      </w:r>
      <w:r w:rsidRPr="00BB59D8">
        <w:t xml:space="preserve"> </w:t>
      </w:r>
      <w:r w:rsidR="00686D39" w:rsidRPr="00BB59D8">
        <w:t xml:space="preserve">The submission claimed that all SAE were resolved by the end of the </w:t>
      </w:r>
      <w:r w:rsidR="00D555A6" w:rsidRPr="00BB59D8">
        <w:t>T</w:t>
      </w:r>
      <w:r w:rsidR="00686D39" w:rsidRPr="00BB59D8">
        <w:t>rial</w:t>
      </w:r>
      <w:r w:rsidR="00D555A6" w:rsidRPr="00BB59D8">
        <w:t xml:space="preserve"> MS301</w:t>
      </w:r>
      <w:r w:rsidR="00686D39" w:rsidRPr="00BB59D8">
        <w:t>.</w:t>
      </w:r>
    </w:p>
    <w:p w14:paraId="783362C5" w14:textId="77777777" w:rsidR="003F02A1" w:rsidRPr="00BB59D8" w:rsidRDefault="003F02A1" w:rsidP="003F02A1">
      <w:pPr>
        <w:pStyle w:val="3-BodyText"/>
      </w:pPr>
      <w:r w:rsidRPr="00BB59D8">
        <w:t xml:space="preserve">Study 1419 </w:t>
      </w:r>
      <w:r w:rsidR="00865BF7" w:rsidRPr="00BB59D8">
        <w:t xml:space="preserve">and the EU-IGFD Registry </w:t>
      </w:r>
      <w:r w:rsidRPr="00BB59D8">
        <w:t>reported that 20%</w:t>
      </w:r>
      <w:r w:rsidR="00865BF7" w:rsidRPr="00BB59D8">
        <w:t xml:space="preserve"> and 21%</w:t>
      </w:r>
      <w:r w:rsidRPr="00BB59D8">
        <w:t xml:space="preserve"> of subjects</w:t>
      </w:r>
      <w:r w:rsidR="00865BF7" w:rsidRPr="00BB59D8">
        <w:t>, respectively,</w:t>
      </w:r>
      <w:r w:rsidRPr="00BB59D8">
        <w:t xml:space="preserve"> had at least one SAE</w:t>
      </w:r>
      <w:r w:rsidR="00286727" w:rsidRPr="00BB59D8">
        <w:t>.</w:t>
      </w:r>
      <w:r w:rsidR="00D54898" w:rsidRPr="00BB59D8">
        <w:t xml:space="preserve"> These rates were substantially higher than in all arms of </w:t>
      </w:r>
      <w:r w:rsidR="008675D9" w:rsidRPr="00BB59D8">
        <w:t>Trial</w:t>
      </w:r>
      <w:r w:rsidR="00C12D53" w:rsidRPr="00BB59D8">
        <w:t> </w:t>
      </w:r>
      <w:r w:rsidR="00D54898" w:rsidRPr="00BB59D8">
        <w:t>MS301</w:t>
      </w:r>
      <w:r w:rsidR="00595F6F" w:rsidRPr="00BB59D8">
        <w:t>. H</w:t>
      </w:r>
      <w:r w:rsidR="00D54898" w:rsidRPr="00BB59D8">
        <w:t>owever</w:t>
      </w:r>
      <w:r w:rsidR="00131BF9" w:rsidRPr="00BB59D8">
        <w:t>,</w:t>
      </w:r>
      <w:r w:rsidR="00D54898" w:rsidRPr="00BB59D8">
        <w:t xml:space="preserve"> follow-up times </w:t>
      </w:r>
      <w:r w:rsidR="008675D9" w:rsidRPr="00BB59D8">
        <w:t>differed</w:t>
      </w:r>
      <w:r w:rsidR="00D54898" w:rsidRPr="00BB59D8">
        <w:t xml:space="preserve"> (6.0 years for Study 1419 and 3.7 years for the EU-IGFD Registry).</w:t>
      </w:r>
      <w:r w:rsidR="00492F36" w:rsidRPr="00BB59D8">
        <w:t xml:space="preserve"> The most common SAE in Study 1419 were adenoidal hypertrophy </w:t>
      </w:r>
      <w:r w:rsidR="00F66F54" w:rsidRPr="00BB59D8">
        <w:t>with 3 events</w:t>
      </w:r>
      <w:r w:rsidR="00492F36" w:rsidRPr="00BB59D8">
        <w:t xml:space="preserve">, </w:t>
      </w:r>
      <w:r w:rsidR="00F66F54" w:rsidRPr="00BB59D8">
        <w:t xml:space="preserve">and </w:t>
      </w:r>
      <w:r w:rsidR="00492F36" w:rsidRPr="00BB59D8">
        <w:t xml:space="preserve">tonsillar hypertrophy and appendicitis </w:t>
      </w:r>
      <w:r w:rsidR="00F66F54" w:rsidRPr="00BB59D8">
        <w:t xml:space="preserve">both with </w:t>
      </w:r>
      <w:r w:rsidR="00492F36" w:rsidRPr="00BB59D8">
        <w:t>2</w:t>
      </w:r>
      <w:r w:rsidR="00865BF7" w:rsidRPr="00BB59D8">
        <w:t xml:space="preserve"> events</w:t>
      </w:r>
      <w:r w:rsidR="00492F36" w:rsidRPr="00BB59D8">
        <w:t xml:space="preserve">, whereas for the EU-IGFD Registry </w:t>
      </w:r>
      <w:r w:rsidR="00865BF7" w:rsidRPr="00BB59D8">
        <w:t xml:space="preserve">the common SAEs </w:t>
      </w:r>
      <w:r w:rsidR="00492F36" w:rsidRPr="00BB59D8">
        <w:t xml:space="preserve">were hypoglycaemia </w:t>
      </w:r>
      <w:r w:rsidR="00F66F54" w:rsidRPr="00BB59D8">
        <w:t xml:space="preserve">presenting </w:t>
      </w:r>
      <w:r w:rsidR="00492F36" w:rsidRPr="00BB59D8">
        <w:t>12</w:t>
      </w:r>
      <w:r w:rsidR="00F66F54" w:rsidRPr="00BB59D8">
        <w:t xml:space="preserve"> events</w:t>
      </w:r>
      <w:r w:rsidR="00492F36" w:rsidRPr="00BB59D8">
        <w:t xml:space="preserve">, tonsillar hypertrophy </w:t>
      </w:r>
      <w:r w:rsidR="00F66F54" w:rsidRPr="00BB59D8">
        <w:t xml:space="preserve">with </w:t>
      </w:r>
      <w:r w:rsidR="00492F36" w:rsidRPr="00BB59D8">
        <w:t xml:space="preserve">5 and adenoidal hypertrophy </w:t>
      </w:r>
      <w:r w:rsidR="00F66F54" w:rsidRPr="00BB59D8">
        <w:t xml:space="preserve">with </w:t>
      </w:r>
      <w:r w:rsidR="00492F36" w:rsidRPr="00BB59D8">
        <w:t>4.</w:t>
      </w:r>
    </w:p>
    <w:p w14:paraId="66610DEF" w14:textId="77777777" w:rsidR="00B816A1" w:rsidRPr="00BB59D8" w:rsidRDefault="00B816A1" w:rsidP="00646E0D">
      <w:pPr>
        <w:pStyle w:val="3-BodyText"/>
      </w:pPr>
      <w:bookmarkStart w:id="32" w:name="_Hlk79766364"/>
      <w:r w:rsidRPr="00BB59D8">
        <w:rPr>
          <w:iCs/>
        </w:rPr>
        <w:t xml:space="preserve">Two deaths occurred in the EU-IGFD Registry. These were not described in the </w:t>
      </w:r>
      <w:r w:rsidR="001710C9" w:rsidRPr="00BB59D8">
        <w:rPr>
          <w:iCs/>
        </w:rPr>
        <w:t>submission but</w:t>
      </w:r>
      <w:r w:rsidRPr="00BB59D8">
        <w:rPr>
          <w:iCs/>
        </w:rPr>
        <w:t xml:space="preserve"> were reported in the</w:t>
      </w:r>
      <w:r w:rsidR="006010AE" w:rsidRPr="00BB59D8">
        <w:rPr>
          <w:iCs/>
        </w:rPr>
        <w:t xml:space="preserve"> clinical study report</w:t>
      </w:r>
      <w:r w:rsidRPr="00BB59D8">
        <w:rPr>
          <w:iCs/>
        </w:rPr>
        <w:t xml:space="preserve"> </w:t>
      </w:r>
      <w:r w:rsidR="006010AE" w:rsidRPr="00BB59D8">
        <w:rPr>
          <w:iCs/>
        </w:rPr>
        <w:t>(</w:t>
      </w:r>
      <w:r w:rsidR="00C12D53" w:rsidRPr="00BB59D8">
        <w:rPr>
          <w:iCs/>
        </w:rPr>
        <w:t>CSR</w:t>
      </w:r>
      <w:r w:rsidR="006010AE" w:rsidRPr="00BB59D8">
        <w:rPr>
          <w:iCs/>
        </w:rPr>
        <w:t>)</w:t>
      </w:r>
      <w:r w:rsidRPr="00BB59D8">
        <w:rPr>
          <w:iCs/>
        </w:rPr>
        <w:t xml:space="preserve">. One of them was </w:t>
      </w:r>
      <w:r w:rsidR="00FF2A50" w:rsidRPr="00BB59D8">
        <w:rPr>
          <w:iCs/>
        </w:rPr>
        <w:t xml:space="preserve">deemed as </w:t>
      </w:r>
      <w:r w:rsidRPr="00BB59D8">
        <w:rPr>
          <w:iCs/>
        </w:rPr>
        <w:t xml:space="preserve">not related to mecasermin (severe complications of a bone marrow transplant, three years after discontinuing mecasermin). </w:t>
      </w:r>
      <w:r w:rsidR="001710C9" w:rsidRPr="00BB59D8">
        <w:rPr>
          <w:iCs/>
        </w:rPr>
        <w:t xml:space="preserve">The second event was considered as not related to mecasermin by the </w:t>
      </w:r>
      <w:r w:rsidR="00FF2A50" w:rsidRPr="00BB59D8">
        <w:rPr>
          <w:iCs/>
        </w:rPr>
        <w:t>i</w:t>
      </w:r>
      <w:r w:rsidR="001710C9" w:rsidRPr="00BB59D8">
        <w:rPr>
          <w:iCs/>
        </w:rPr>
        <w:t>nvestigator but assessed as treatment related by the Sponsor based on the data review committee conclusions (</w:t>
      </w:r>
      <w:r w:rsidRPr="00BB59D8">
        <w:rPr>
          <w:iCs/>
        </w:rPr>
        <w:t>myelodysplastic syndrome, 1.6 years after mecasermin initiation).</w:t>
      </w:r>
      <w:bookmarkEnd w:id="32"/>
    </w:p>
    <w:p w14:paraId="34607918" w14:textId="77777777" w:rsidR="003F02A1" w:rsidRPr="00BB59D8" w:rsidRDefault="003F02A1" w:rsidP="00646E0D">
      <w:pPr>
        <w:pStyle w:val="3-BodyText"/>
      </w:pPr>
      <w:r w:rsidRPr="00BB59D8">
        <w:t>The submission conducted a statistical analysis on Trial MS301</w:t>
      </w:r>
      <w:r w:rsidR="00286727" w:rsidRPr="00BB59D8">
        <w:t>,</w:t>
      </w:r>
      <w:r w:rsidRPr="00BB59D8">
        <w:t xml:space="preserve"> showing that rates of </w:t>
      </w:r>
      <w:r w:rsidR="00ED6F47" w:rsidRPr="00BB59D8">
        <w:t xml:space="preserve">‘metabolism and nutrition disorders’, </w:t>
      </w:r>
      <w:r w:rsidRPr="00BB59D8">
        <w:t>'general disorders and administration site conditions', 'gastrointestinal disorders' and 'nervous system disorders' were statistically significant</w:t>
      </w:r>
      <w:r w:rsidR="00286727" w:rsidRPr="00BB59D8">
        <w:t>ly higher</w:t>
      </w:r>
      <w:r w:rsidRPr="00BB59D8">
        <w:t xml:space="preserve"> with any of the </w:t>
      </w:r>
      <w:r w:rsidR="00286727" w:rsidRPr="00BB59D8">
        <w:t xml:space="preserve">mecasermin </w:t>
      </w:r>
      <w:r w:rsidRPr="00BB59D8">
        <w:t xml:space="preserve">doses </w:t>
      </w:r>
      <w:r w:rsidR="00286727" w:rsidRPr="00BB59D8">
        <w:t>compared to the untreated group</w:t>
      </w:r>
      <w:r w:rsidRPr="00BB59D8">
        <w:t>.</w:t>
      </w:r>
      <w:r w:rsidRPr="00BB59D8">
        <w:rPr>
          <w:iCs/>
        </w:rPr>
        <w:t xml:space="preserve"> </w:t>
      </w:r>
      <w:r w:rsidR="00286727" w:rsidRPr="00BB59D8">
        <w:rPr>
          <w:iCs/>
        </w:rPr>
        <w:t>The submission provided no further description of th</w:t>
      </w:r>
      <w:r w:rsidR="00C51E14" w:rsidRPr="00BB59D8">
        <w:rPr>
          <w:iCs/>
        </w:rPr>
        <w:t>e</w:t>
      </w:r>
      <w:r w:rsidR="00286727" w:rsidRPr="00BB59D8">
        <w:rPr>
          <w:iCs/>
        </w:rPr>
        <w:t xml:space="preserve"> analysis</w:t>
      </w:r>
      <w:r w:rsidR="00C51E14" w:rsidRPr="00BB59D8">
        <w:rPr>
          <w:iCs/>
        </w:rPr>
        <w:t xml:space="preserve"> method</w:t>
      </w:r>
      <w:r w:rsidRPr="00BB59D8">
        <w:rPr>
          <w:iCs/>
        </w:rPr>
        <w:t>.</w:t>
      </w:r>
    </w:p>
    <w:p w14:paraId="74125D71" w14:textId="02E8127D" w:rsidR="003F02A1" w:rsidRPr="00BB59D8" w:rsidRDefault="003F02A1" w:rsidP="003F02A1">
      <w:pPr>
        <w:pStyle w:val="3-BodyText"/>
      </w:pPr>
      <w:r w:rsidRPr="00BB59D8">
        <w:t xml:space="preserve">The submission noted that the most frequent </w:t>
      </w:r>
      <w:r w:rsidR="00C12D53" w:rsidRPr="00BB59D8">
        <w:t>AE</w:t>
      </w:r>
      <w:r w:rsidR="00286727" w:rsidRPr="00BB59D8">
        <w:t xml:space="preserve"> </w:t>
      </w:r>
      <w:r w:rsidRPr="00BB59D8">
        <w:t xml:space="preserve">was hypoglycaemia (related to metabolism and nutrition disorders) but was avoidable considering meals timing with mecasermin administration. </w:t>
      </w:r>
      <w:r w:rsidRPr="00BB59D8">
        <w:rPr>
          <w:iCs/>
        </w:rPr>
        <w:t>However, seven subjects in Study 1419 presented severe hypoglycaemia and seven presented hypoglycaemic seizures.</w:t>
      </w:r>
      <w:r w:rsidR="00D274C3" w:rsidRPr="00BB59D8">
        <w:rPr>
          <w:iCs/>
        </w:rPr>
        <w:t xml:space="preserve"> </w:t>
      </w:r>
      <w:r w:rsidR="00D274C3" w:rsidRPr="00BB59D8">
        <w:t>The TGA had noted that the main safety concern was hypoglycaemia</w:t>
      </w:r>
      <w:r w:rsidR="001572AB" w:rsidRPr="00BB59D8">
        <w:t>.</w:t>
      </w:r>
      <w:r w:rsidR="00223E66" w:rsidRPr="00BB59D8">
        <w:t xml:space="preserve"> The ESC considered that hypoglycaemia could be managed, however education of patie</w:t>
      </w:r>
      <w:r w:rsidR="003C1B03" w:rsidRPr="00BB59D8">
        <w:t>n</w:t>
      </w:r>
      <w:r w:rsidR="00393AA3" w:rsidRPr="00BB59D8">
        <w:t>t</w:t>
      </w:r>
      <w:r w:rsidR="00223E66" w:rsidRPr="00BB59D8">
        <w:t>s and carers would be important, highlighting the need for a Quality Use of Medicine Program.</w:t>
      </w:r>
    </w:p>
    <w:p w14:paraId="7F979C14" w14:textId="77777777" w:rsidR="001E2132" w:rsidRPr="00BB59D8" w:rsidRDefault="001E2132" w:rsidP="001E2132">
      <w:pPr>
        <w:pStyle w:val="3-BodyText"/>
        <w:rPr>
          <w:iCs/>
        </w:rPr>
      </w:pPr>
      <w:r w:rsidRPr="00BB59D8">
        <w:rPr>
          <w:iCs/>
        </w:rPr>
        <w:t xml:space="preserve">The EU signal report noted a neoplasia incidence rate 4.5 times higher than the normal population for mecasermin users. However, the TGA Clinical Evaluation Report </w:t>
      </w:r>
      <w:r w:rsidR="001F3EA9" w:rsidRPr="00BB59D8">
        <w:rPr>
          <w:iCs/>
        </w:rPr>
        <w:t xml:space="preserve">stated </w:t>
      </w:r>
      <w:r w:rsidRPr="00BB59D8">
        <w:rPr>
          <w:iCs/>
        </w:rPr>
        <w:t>that patients that developed neoplasia were using mecasermin for reasons other than SPIGFD, had other risk factors for malignancy, or used doses higher than recommended.</w:t>
      </w:r>
    </w:p>
    <w:p w14:paraId="764B97FC" w14:textId="77777777" w:rsidR="006C04DF" w:rsidRPr="00BB59D8" w:rsidRDefault="006C04DF" w:rsidP="006C04DF">
      <w:pPr>
        <w:pStyle w:val="3-BodyText"/>
      </w:pPr>
      <w:bookmarkStart w:id="33" w:name="_Hlk81569125"/>
      <w:r w:rsidRPr="00BB59D8">
        <w:t>The US Pediatric Endocrine Society guideline published by Grimberg 2016 (p386) notes that other than hypoglycaemia, the potential side effects of IGF-1 treatment are similar to those of GH including: intracranial hypertension, slipped capital femoral epiphysis (SCFE), and progression of scoliosis. As for GH, IGF-1 treatment is contraindicated in patients with active malignancy. In addition, the guideline notes the following potential side effects of IGF-1 treatment: lymphoid tissue hypertrophy (such as enlargement of tonsils and adenoids), hypersensitivity/allergic reactions, and reactions to the benzyl alcohol component of the diluent.</w:t>
      </w:r>
    </w:p>
    <w:p w14:paraId="4D128DF7" w14:textId="77777777" w:rsidR="002E1071" w:rsidRPr="00BB59D8" w:rsidRDefault="007F1017" w:rsidP="007F6541">
      <w:pPr>
        <w:pStyle w:val="4-SubsectionHeading"/>
      </w:pPr>
      <w:bookmarkStart w:id="34" w:name="_Toc82536428"/>
      <w:bookmarkEnd w:id="33"/>
      <w:r w:rsidRPr="00BB59D8">
        <w:t>Benefits/harms</w:t>
      </w:r>
      <w:bookmarkEnd w:id="31"/>
      <w:bookmarkEnd w:id="34"/>
    </w:p>
    <w:p w14:paraId="5BDD1A77" w14:textId="77777777" w:rsidR="00E723BA" w:rsidRPr="00BB59D8" w:rsidRDefault="00EC00C9" w:rsidP="00D2155B">
      <w:pPr>
        <w:pStyle w:val="3-BodyText"/>
        <w:rPr>
          <w:rFonts w:ascii="Arial Narrow" w:hAnsi="Arial Narrow"/>
          <w:b/>
          <w:sz w:val="20"/>
          <w:szCs w:val="16"/>
        </w:rPr>
      </w:pPr>
      <w:r w:rsidRPr="00BB59D8">
        <w:t xml:space="preserve">A summary of the comparative benefits and harms for </w:t>
      </w:r>
      <w:r w:rsidR="007E784D" w:rsidRPr="00BB59D8">
        <w:t xml:space="preserve">mecasermin </w:t>
      </w:r>
      <w:r w:rsidRPr="00BB59D8">
        <w:t xml:space="preserve">versus </w:t>
      </w:r>
      <w:r w:rsidR="007E784D" w:rsidRPr="00BB59D8">
        <w:t>no treatment</w:t>
      </w:r>
      <w:r w:rsidRPr="00BB59D8">
        <w:t xml:space="preserve"> is presented in the table below.</w:t>
      </w:r>
    </w:p>
    <w:p w14:paraId="4C4D29FC" w14:textId="77777777" w:rsidR="00B62715" w:rsidRPr="00BB59D8" w:rsidRDefault="00B62715" w:rsidP="009750B5">
      <w:pPr>
        <w:pStyle w:val="TableFigureHeading"/>
        <w:rPr>
          <w:rStyle w:val="CommentReference"/>
          <w:b/>
          <w:szCs w:val="24"/>
        </w:rPr>
      </w:pPr>
      <w:r w:rsidRPr="00BB59D8">
        <w:rPr>
          <w:rStyle w:val="CommentReference"/>
          <w:b/>
          <w:szCs w:val="24"/>
        </w:rPr>
        <w:t xml:space="preserve">Table </w:t>
      </w:r>
      <w:r w:rsidR="0047450A" w:rsidRPr="00BB59D8">
        <w:rPr>
          <w:rStyle w:val="CommentReference"/>
          <w:b/>
          <w:szCs w:val="24"/>
        </w:rPr>
        <w:t>8</w:t>
      </w:r>
      <w:r w:rsidRPr="00BB59D8">
        <w:rPr>
          <w:rStyle w:val="CommentReference"/>
          <w:b/>
          <w:szCs w:val="24"/>
        </w:rPr>
        <w:t xml:space="preserve">: Summary of comparative benefits and harms for </w:t>
      </w:r>
      <w:r w:rsidR="00956A47" w:rsidRPr="00BB59D8">
        <w:rPr>
          <w:rStyle w:val="CommentReference"/>
          <w:b/>
          <w:szCs w:val="24"/>
        </w:rPr>
        <w:t>mecasermin and no treatment</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mecasermin and no treatment"/>
      </w:tblPr>
      <w:tblGrid>
        <w:gridCol w:w="1980"/>
        <w:gridCol w:w="426"/>
        <w:gridCol w:w="566"/>
        <w:gridCol w:w="142"/>
        <w:gridCol w:w="849"/>
        <w:gridCol w:w="426"/>
        <w:gridCol w:w="709"/>
        <w:gridCol w:w="283"/>
        <w:gridCol w:w="144"/>
        <w:gridCol w:w="992"/>
        <w:gridCol w:w="426"/>
        <w:gridCol w:w="429"/>
        <w:gridCol w:w="1645"/>
      </w:tblGrid>
      <w:tr w:rsidR="00B62715" w:rsidRPr="00BB59D8" w14:paraId="78F706FE" w14:textId="77777777" w:rsidTr="00DB4BC1">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5091D2" w14:textId="77777777" w:rsidR="00B62715" w:rsidRPr="00BB59D8" w:rsidRDefault="00B62715" w:rsidP="009750B5">
            <w:pPr>
              <w:pStyle w:val="In-tableHeading"/>
              <w:widowControl w:val="0"/>
              <w:rPr>
                <w:lang w:val="en-AU"/>
              </w:rPr>
            </w:pPr>
            <w:r w:rsidRPr="00BB59D8">
              <w:rPr>
                <w:lang w:val="en-AU"/>
              </w:rPr>
              <w:t xml:space="preserve">Continuous </w:t>
            </w:r>
            <w:r w:rsidR="00B24DF6" w:rsidRPr="00BB59D8">
              <w:rPr>
                <w:lang w:val="en-AU"/>
              </w:rPr>
              <w:t>o</w:t>
            </w:r>
            <w:r w:rsidRPr="00BB59D8">
              <w:rPr>
                <w:lang w:val="en-AU"/>
              </w:rPr>
              <w:t xml:space="preserve">utcome I: change from baseline </w:t>
            </w:r>
            <w:r w:rsidR="00956A47" w:rsidRPr="00BB59D8">
              <w:rPr>
                <w:lang w:val="en-AU"/>
              </w:rPr>
              <w:t xml:space="preserve">height velocity </w:t>
            </w:r>
            <w:r w:rsidR="00A45416" w:rsidRPr="00BB59D8">
              <w:rPr>
                <w:lang w:val="en-AU"/>
              </w:rPr>
              <w:t>(</w:t>
            </w:r>
            <w:r w:rsidR="00635FCC" w:rsidRPr="00BB59D8">
              <w:rPr>
                <w:lang w:val="en-AU"/>
              </w:rPr>
              <w:t>cm/year</w:t>
            </w:r>
            <w:r w:rsidR="00A45416" w:rsidRPr="00BB59D8">
              <w:rPr>
                <w:lang w:val="en-AU"/>
              </w:rPr>
              <w:t xml:space="preserve">) </w:t>
            </w:r>
            <w:r w:rsidR="00956A47" w:rsidRPr="00BB59D8">
              <w:rPr>
                <w:lang w:val="en-AU"/>
              </w:rPr>
              <w:t>at year 1</w:t>
            </w:r>
          </w:p>
        </w:tc>
      </w:tr>
      <w:tr w:rsidR="00DB4BC1" w:rsidRPr="00BB59D8" w14:paraId="6A4279F1" w14:textId="77777777" w:rsidTr="00DB4BC1">
        <w:trPr>
          <w:trHeight w:val="225"/>
        </w:trPr>
        <w:tc>
          <w:tcPr>
            <w:tcW w:w="133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43915" w14:textId="77777777" w:rsidR="00B62715" w:rsidRPr="00BB59D8" w:rsidRDefault="00E3482E" w:rsidP="009750B5">
            <w:pPr>
              <w:pStyle w:val="TableText0"/>
              <w:widowControl w:val="0"/>
              <w:rPr>
                <w:b/>
                <w:bCs w:val="0"/>
              </w:rPr>
            </w:pPr>
            <w:r w:rsidRPr="00BB59D8">
              <w:rPr>
                <w:b/>
                <w:bCs w:val="0"/>
              </w:rPr>
              <w:t>Trial</w:t>
            </w:r>
            <w:r w:rsidR="00956A47" w:rsidRPr="00BB59D8">
              <w:rPr>
                <w:b/>
                <w:bCs w:val="0"/>
              </w:rPr>
              <w:t>/Study</w:t>
            </w:r>
          </w:p>
        </w:tc>
        <w:tc>
          <w:tcPr>
            <w:tcW w:w="1493" w:type="pct"/>
            <w:gridSpan w:val="5"/>
            <w:tcBorders>
              <w:top w:val="single" w:sz="4" w:space="0" w:color="auto"/>
              <w:left w:val="single" w:sz="4" w:space="0" w:color="auto"/>
              <w:bottom w:val="single" w:sz="4" w:space="0" w:color="auto"/>
              <w:right w:val="single" w:sz="4" w:space="0" w:color="auto"/>
            </w:tcBorders>
            <w:vAlign w:val="center"/>
          </w:tcPr>
          <w:p w14:paraId="639EA960" w14:textId="77777777" w:rsidR="00B62715" w:rsidRPr="00BB59D8" w:rsidRDefault="00E3482E" w:rsidP="009750B5">
            <w:pPr>
              <w:pStyle w:val="In-tableHeading"/>
              <w:widowControl w:val="0"/>
              <w:jc w:val="center"/>
              <w:rPr>
                <w:lang w:val="en-AU"/>
              </w:rPr>
            </w:pPr>
            <w:r w:rsidRPr="00BB59D8">
              <w:rPr>
                <w:lang w:val="en-AU"/>
              </w:rPr>
              <w:t>Mecasermin</w:t>
            </w:r>
          </w:p>
        </w:tc>
        <w:tc>
          <w:tcPr>
            <w:tcW w:w="1261" w:type="pct"/>
            <w:gridSpan w:val="5"/>
            <w:tcBorders>
              <w:top w:val="single" w:sz="4" w:space="0" w:color="auto"/>
              <w:left w:val="single" w:sz="4" w:space="0" w:color="auto"/>
              <w:bottom w:val="single" w:sz="4" w:space="0" w:color="auto"/>
              <w:right w:val="single" w:sz="4" w:space="0" w:color="auto"/>
            </w:tcBorders>
            <w:vAlign w:val="center"/>
          </w:tcPr>
          <w:p w14:paraId="58D4C468" w14:textId="77777777" w:rsidR="00B62715" w:rsidRPr="00BB59D8" w:rsidRDefault="00E3482E" w:rsidP="009750B5">
            <w:pPr>
              <w:pStyle w:val="In-tableHeading"/>
              <w:widowControl w:val="0"/>
              <w:jc w:val="center"/>
              <w:rPr>
                <w:lang w:val="en-AU"/>
              </w:rPr>
            </w:pPr>
            <w:r w:rsidRPr="00BB59D8">
              <w:rPr>
                <w:lang w:val="en-AU"/>
              </w:rPr>
              <w:t>No treatment</w:t>
            </w:r>
          </w:p>
        </w:tc>
        <w:tc>
          <w:tcPr>
            <w:tcW w:w="912" w:type="pct"/>
            <w:vMerge w:val="restart"/>
            <w:tcBorders>
              <w:top w:val="single" w:sz="4" w:space="0" w:color="auto"/>
              <w:left w:val="single" w:sz="4" w:space="0" w:color="auto"/>
              <w:bottom w:val="single" w:sz="4" w:space="0" w:color="auto"/>
              <w:right w:val="single" w:sz="4" w:space="0" w:color="auto"/>
            </w:tcBorders>
            <w:vAlign w:val="center"/>
          </w:tcPr>
          <w:p w14:paraId="757F9F46" w14:textId="77777777" w:rsidR="00B62715" w:rsidRPr="00BB59D8" w:rsidRDefault="00B62715" w:rsidP="009750B5">
            <w:pPr>
              <w:pStyle w:val="In-tableHeading"/>
              <w:widowControl w:val="0"/>
              <w:rPr>
                <w:lang w:val="en-AU"/>
              </w:rPr>
            </w:pPr>
            <w:r w:rsidRPr="00BB59D8">
              <w:rPr>
                <w:lang w:val="en-AU"/>
              </w:rPr>
              <w:t>Mean difference:</w:t>
            </w:r>
          </w:p>
          <w:p w14:paraId="3C0E23EF" w14:textId="77777777" w:rsidR="00B62715" w:rsidRPr="00BB59D8" w:rsidRDefault="00956A47" w:rsidP="009750B5">
            <w:pPr>
              <w:pStyle w:val="In-tableHeading"/>
              <w:widowControl w:val="0"/>
              <w:rPr>
                <w:szCs w:val="18"/>
                <w:lang w:val="en-AU"/>
              </w:rPr>
            </w:pPr>
            <w:r w:rsidRPr="00BB59D8">
              <w:rPr>
                <w:szCs w:val="18"/>
                <w:lang w:val="en-AU"/>
              </w:rPr>
              <w:t>mecasermin</w:t>
            </w:r>
            <w:r w:rsidR="00B62715" w:rsidRPr="00BB59D8">
              <w:rPr>
                <w:szCs w:val="18"/>
                <w:lang w:val="en-AU"/>
              </w:rPr>
              <w:t xml:space="preserve"> vs. </w:t>
            </w:r>
            <w:r w:rsidRPr="00BB59D8">
              <w:rPr>
                <w:szCs w:val="18"/>
                <w:lang w:val="en-AU"/>
              </w:rPr>
              <w:t>no treatment</w:t>
            </w:r>
          </w:p>
          <w:p w14:paraId="05856A0F" w14:textId="77777777" w:rsidR="00B62715" w:rsidRPr="00BB59D8" w:rsidRDefault="00B62715" w:rsidP="009750B5">
            <w:pPr>
              <w:pStyle w:val="In-tableHeading"/>
              <w:widowControl w:val="0"/>
              <w:rPr>
                <w:szCs w:val="18"/>
                <w:lang w:val="en-AU"/>
              </w:rPr>
            </w:pPr>
            <w:r w:rsidRPr="00BB59D8">
              <w:rPr>
                <w:szCs w:val="18"/>
                <w:lang w:val="en-AU"/>
              </w:rPr>
              <w:t>(95% CI)</w:t>
            </w:r>
          </w:p>
        </w:tc>
      </w:tr>
      <w:tr w:rsidR="00DB4BC1" w:rsidRPr="00BB59D8" w14:paraId="6573A840" w14:textId="77777777" w:rsidTr="00DB4BC1">
        <w:trPr>
          <w:trHeight w:val="225"/>
        </w:trPr>
        <w:tc>
          <w:tcPr>
            <w:tcW w:w="133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34D111C" w14:textId="77777777" w:rsidR="00B62715" w:rsidRPr="00BB59D8" w:rsidRDefault="00B62715" w:rsidP="009750B5">
            <w:pPr>
              <w:keepNext/>
              <w:widowControl w:val="0"/>
              <w:jc w:val="left"/>
              <w:rPr>
                <w:rFonts w:ascii="Arial Narrow" w:hAnsi="Arial Narrow"/>
                <w:color w:val="000000"/>
                <w:sz w:val="20"/>
                <w:szCs w:val="18"/>
              </w:rPr>
            </w:pPr>
          </w:p>
        </w:tc>
        <w:tc>
          <w:tcPr>
            <w:tcW w:w="314" w:type="pct"/>
            <w:tcBorders>
              <w:top w:val="single" w:sz="4" w:space="0" w:color="auto"/>
              <w:left w:val="single" w:sz="4" w:space="0" w:color="auto"/>
              <w:bottom w:val="single" w:sz="4" w:space="0" w:color="auto"/>
              <w:right w:val="single" w:sz="4" w:space="0" w:color="auto"/>
            </w:tcBorders>
            <w:vAlign w:val="center"/>
          </w:tcPr>
          <w:p w14:paraId="0E960AA2" w14:textId="77777777" w:rsidR="00B62715" w:rsidRPr="00BB59D8" w:rsidRDefault="00B24DF6" w:rsidP="009750B5">
            <w:pPr>
              <w:pStyle w:val="In-tableHeading"/>
              <w:widowControl w:val="0"/>
              <w:rPr>
                <w:lang w:val="en-AU"/>
              </w:rPr>
            </w:pPr>
            <w:r w:rsidRPr="00BB59D8">
              <w:rPr>
                <w:lang w:val="en-AU"/>
              </w:rPr>
              <w:t>N</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2D22A9D1" w14:textId="77777777" w:rsidR="00B62715" w:rsidRPr="00BB59D8" w:rsidRDefault="00B62715" w:rsidP="009750B5">
            <w:pPr>
              <w:pStyle w:val="In-tableHeading"/>
              <w:widowControl w:val="0"/>
              <w:rPr>
                <w:lang w:val="en-AU"/>
              </w:rPr>
            </w:pPr>
            <w:r w:rsidRPr="00BB59D8">
              <w:rPr>
                <w:lang w:val="en-AU"/>
              </w:rPr>
              <w:t xml:space="preserve">Mean ∆ baseline </w:t>
            </w:r>
            <w:r w:rsidR="00956A47" w:rsidRPr="00BB59D8">
              <w:rPr>
                <w:lang w:val="en-AU"/>
              </w:rPr>
              <w:t>height velocity</w:t>
            </w:r>
          </w:p>
        </w:tc>
        <w:tc>
          <w:tcPr>
            <w:tcW w:w="393" w:type="pct"/>
            <w:tcBorders>
              <w:top w:val="single" w:sz="4" w:space="0" w:color="auto"/>
              <w:left w:val="single" w:sz="4" w:space="0" w:color="auto"/>
              <w:bottom w:val="single" w:sz="4" w:space="0" w:color="auto"/>
              <w:right w:val="single" w:sz="4" w:space="0" w:color="auto"/>
            </w:tcBorders>
            <w:vAlign w:val="center"/>
          </w:tcPr>
          <w:p w14:paraId="25D97CE9" w14:textId="77777777" w:rsidR="00B62715" w:rsidRPr="00BB59D8" w:rsidRDefault="00B62715" w:rsidP="009750B5">
            <w:pPr>
              <w:pStyle w:val="In-tableHeading"/>
              <w:widowControl w:val="0"/>
              <w:rPr>
                <w:lang w:val="en-AU"/>
              </w:rPr>
            </w:pPr>
            <w:r w:rsidRPr="00BB59D8">
              <w:rPr>
                <w:lang w:val="en-AU"/>
              </w:rPr>
              <w:t>SD</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399C326" w14:textId="77777777" w:rsidR="00B62715" w:rsidRPr="00BB59D8" w:rsidRDefault="00B24DF6" w:rsidP="009750B5">
            <w:pPr>
              <w:pStyle w:val="In-tableHeading"/>
              <w:widowControl w:val="0"/>
              <w:rPr>
                <w:lang w:val="en-AU"/>
              </w:rPr>
            </w:pPr>
            <w:r w:rsidRPr="00BB59D8">
              <w:rPr>
                <w:lang w:val="en-AU"/>
              </w:rPr>
              <w:t>N</w:t>
            </w:r>
          </w:p>
        </w:tc>
        <w:tc>
          <w:tcPr>
            <w:tcW w:w="786" w:type="pct"/>
            <w:gridSpan w:val="2"/>
            <w:tcBorders>
              <w:top w:val="single" w:sz="4" w:space="0" w:color="auto"/>
              <w:left w:val="single" w:sz="4" w:space="0" w:color="auto"/>
              <w:bottom w:val="single" w:sz="4" w:space="0" w:color="auto"/>
              <w:right w:val="single" w:sz="4" w:space="0" w:color="auto"/>
            </w:tcBorders>
            <w:vAlign w:val="center"/>
          </w:tcPr>
          <w:p w14:paraId="5CE04DBD" w14:textId="77777777" w:rsidR="00B62715" w:rsidRPr="00BB59D8" w:rsidRDefault="00B62715" w:rsidP="009750B5">
            <w:pPr>
              <w:pStyle w:val="In-tableHeading"/>
              <w:widowControl w:val="0"/>
              <w:rPr>
                <w:lang w:val="en-AU"/>
              </w:rPr>
            </w:pPr>
            <w:r w:rsidRPr="00BB59D8">
              <w:rPr>
                <w:lang w:val="en-AU"/>
              </w:rPr>
              <w:t xml:space="preserve">Mean ∆ baseline </w:t>
            </w:r>
            <w:r w:rsidR="00956A47" w:rsidRPr="00BB59D8">
              <w:rPr>
                <w:lang w:val="en-AU"/>
              </w:rPr>
              <w:t>height velocity</w:t>
            </w:r>
          </w:p>
        </w:tc>
        <w:tc>
          <w:tcPr>
            <w:tcW w:w="238" w:type="pct"/>
            <w:tcBorders>
              <w:top w:val="single" w:sz="4" w:space="0" w:color="auto"/>
              <w:left w:val="single" w:sz="4" w:space="0" w:color="auto"/>
              <w:bottom w:val="single" w:sz="4" w:space="0" w:color="auto"/>
              <w:right w:val="single" w:sz="4" w:space="0" w:color="auto"/>
            </w:tcBorders>
            <w:vAlign w:val="center"/>
          </w:tcPr>
          <w:p w14:paraId="241329B2" w14:textId="77777777" w:rsidR="00B62715" w:rsidRPr="00BB59D8" w:rsidRDefault="00B62715" w:rsidP="009750B5">
            <w:pPr>
              <w:pStyle w:val="In-tableHeading"/>
              <w:widowControl w:val="0"/>
              <w:rPr>
                <w:lang w:val="en-AU"/>
              </w:rPr>
            </w:pPr>
            <w:r w:rsidRPr="00BB59D8">
              <w:rPr>
                <w:lang w:val="en-AU"/>
              </w:rPr>
              <w:t>SD</w:t>
            </w:r>
          </w:p>
        </w:tc>
        <w:tc>
          <w:tcPr>
            <w:tcW w:w="912" w:type="pct"/>
            <w:vMerge/>
            <w:tcBorders>
              <w:top w:val="single" w:sz="4" w:space="0" w:color="auto"/>
              <w:left w:val="single" w:sz="4" w:space="0" w:color="auto"/>
              <w:bottom w:val="single" w:sz="4" w:space="0" w:color="auto"/>
              <w:right w:val="single" w:sz="4" w:space="0" w:color="auto"/>
            </w:tcBorders>
            <w:vAlign w:val="center"/>
          </w:tcPr>
          <w:p w14:paraId="0E3369EF" w14:textId="77777777" w:rsidR="00B62715" w:rsidRPr="00BB59D8" w:rsidRDefault="00B62715" w:rsidP="009750B5">
            <w:pPr>
              <w:keepNext/>
              <w:widowControl w:val="0"/>
              <w:jc w:val="left"/>
              <w:rPr>
                <w:rFonts w:ascii="Arial Narrow" w:hAnsi="Arial Narrow"/>
                <w:b/>
                <w:sz w:val="20"/>
                <w:szCs w:val="18"/>
              </w:rPr>
            </w:pPr>
          </w:p>
        </w:tc>
      </w:tr>
      <w:tr w:rsidR="00DB4BC1" w:rsidRPr="00BB59D8" w14:paraId="5327889E" w14:textId="77777777" w:rsidTr="00DB4BC1">
        <w:tc>
          <w:tcPr>
            <w:tcW w:w="1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A8275" w14:textId="77777777" w:rsidR="001370C7" w:rsidRPr="00BB59D8" w:rsidRDefault="008B3751" w:rsidP="009750B5">
            <w:pPr>
              <w:pStyle w:val="TableText0"/>
              <w:widowControl w:val="0"/>
            </w:pPr>
            <w:r w:rsidRPr="00BB59D8">
              <w:t xml:space="preserve">Trial </w:t>
            </w:r>
            <w:r w:rsidR="001370C7" w:rsidRPr="00BB59D8">
              <w:t>MS301 80 µg/kg BID</w:t>
            </w:r>
          </w:p>
        </w:tc>
        <w:tc>
          <w:tcPr>
            <w:tcW w:w="314" w:type="pct"/>
            <w:tcBorders>
              <w:top w:val="single" w:sz="4" w:space="0" w:color="auto"/>
              <w:left w:val="single" w:sz="4" w:space="0" w:color="auto"/>
              <w:bottom w:val="single" w:sz="4" w:space="0" w:color="auto"/>
              <w:right w:val="single" w:sz="4" w:space="0" w:color="auto"/>
            </w:tcBorders>
            <w:vAlign w:val="center"/>
          </w:tcPr>
          <w:p w14:paraId="2B3B88DD" w14:textId="77777777" w:rsidR="001370C7" w:rsidRPr="00BB59D8" w:rsidRDefault="001370C7" w:rsidP="009750B5">
            <w:pPr>
              <w:pStyle w:val="TableText0"/>
              <w:widowControl w:val="0"/>
            </w:pPr>
            <w:r w:rsidRPr="00BB59D8">
              <w:t>42</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25FE4F44" w14:textId="77777777" w:rsidR="001370C7" w:rsidRPr="00BB59D8" w:rsidRDefault="001370C7" w:rsidP="009750B5">
            <w:pPr>
              <w:pStyle w:val="TableText0"/>
              <w:widowControl w:val="0"/>
            </w:pPr>
            <w:r w:rsidRPr="00BB59D8">
              <w:t>NR</w:t>
            </w:r>
          </w:p>
        </w:tc>
        <w:tc>
          <w:tcPr>
            <w:tcW w:w="393" w:type="pct"/>
            <w:tcBorders>
              <w:top w:val="single" w:sz="4" w:space="0" w:color="auto"/>
              <w:left w:val="single" w:sz="4" w:space="0" w:color="auto"/>
              <w:bottom w:val="single" w:sz="4" w:space="0" w:color="auto"/>
              <w:right w:val="single" w:sz="4" w:space="0" w:color="auto"/>
            </w:tcBorders>
            <w:vAlign w:val="center"/>
          </w:tcPr>
          <w:p w14:paraId="2833BA66" w14:textId="77777777" w:rsidR="001370C7" w:rsidRPr="00BB59D8" w:rsidRDefault="001370C7" w:rsidP="009750B5">
            <w:pPr>
              <w:pStyle w:val="TableText0"/>
              <w:widowControl w:val="0"/>
            </w:pPr>
            <w:r w:rsidRPr="00BB59D8">
              <w:t>NR</w:t>
            </w:r>
          </w:p>
        </w:tc>
        <w:tc>
          <w:tcPr>
            <w:tcW w:w="237" w:type="pct"/>
            <w:gridSpan w:val="2"/>
            <w:vMerge w:val="restart"/>
            <w:tcBorders>
              <w:top w:val="single" w:sz="4" w:space="0" w:color="auto"/>
              <w:left w:val="single" w:sz="4" w:space="0" w:color="auto"/>
              <w:right w:val="single" w:sz="4" w:space="0" w:color="auto"/>
            </w:tcBorders>
            <w:vAlign w:val="center"/>
          </w:tcPr>
          <w:p w14:paraId="63829499" w14:textId="77777777" w:rsidR="001370C7" w:rsidRPr="00BB59D8" w:rsidRDefault="001370C7" w:rsidP="009750B5">
            <w:pPr>
              <w:pStyle w:val="TableText0"/>
              <w:widowControl w:val="0"/>
            </w:pPr>
            <w:r w:rsidRPr="00BB59D8">
              <w:t>22</w:t>
            </w:r>
          </w:p>
        </w:tc>
        <w:tc>
          <w:tcPr>
            <w:tcW w:w="786" w:type="pct"/>
            <w:gridSpan w:val="2"/>
            <w:vMerge w:val="restart"/>
            <w:tcBorders>
              <w:top w:val="single" w:sz="4" w:space="0" w:color="auto"/>
              <w:left w:val="single" w:sz="4" w:space="0" w:color="auto"/>
              <w:right w:val="single" w:sz="4" w:space="0" w:color="auto"/>
            </w:tcBorders>
            <w:vAlign w:val="center"/>
          </w:tcPr>
          <w:p w14:paraId="238B9E9B" w14:textId="77777777" w:rsidR="001370C7" w:rsidRPr="00BB59D8" w:rsidRDefault="001370C7" w:rsidP="009750B5">
            <w:pPr>
              <w:pStyle w:val="TableText0"/>
              <w:widowControl w:val="0"/>
            </w:pPr>
            <w:r w:rsidRPr="00BB59D8">
              <w:t>NR</w:t>
            </w:r>
          </w:p>
        </w:tc>
        <w:tc>
          <w:tcPr>
            <w:tcW w:w="238" w:type="pct"/>
            <w:vMerge w:val="restart"/>
            <w:tcBorders>
              <w:top w:val="single" w:sz="4" w:space="0" w:color="auto"/>
              <w:left w:val="single" w:sz="4" w:space="0" w:color="auto"/>
              <w:right w:val="single" w:sz="4" w:space="0" w:color="auto"/>
            </w:tcBorders>
            <w:vAlign w:val="center"/>
          </w:tcPr>
          <w:p w14:paraId="3E505ECD" w14:textId="77777777" w:rsidR="001370C7" w:rsidRPr="00BB59D8" w:rsidRDefault="001370C7" w:rsidP="009750B5">
            <w:pPr>
              <w:pStyle w:val="TableText0"/>
              <w:widowControl w:val="0"/>
            </w:pPr>
            <w:r w:rsidRPr="00BB59D8">
              <w:t>NR</w:t>
            </w:r>
          </w:p>
        </w:tc>
        <w:tc>
          <w:tcPr>
            <w:tcW w:w="912" w:type="pct"/>
            <w:tcBorders>
              <w:top w:val="single" w:sz="4" w:space="0" w:color="auto"/>
              <w:left w:val="single" w:sz="4" w:space="0" w:color="auto"/>
              <w:bottom w:val="single" w:sz="4" w:space="0" w:color="auto"/>
              <w:right w:val="single" w:sz="4" w:space="0" w:color="auto"/>
            </w:tcBorders>
            <w:vAlign w:val="center"/>
          </w:tcPr>
          <w:p w14:paraId="2C51A4AF" w14:textId="77777777" w:rsidR="001370C7" w:rsidRPr="00BB59D8" w:rsidRDefault="001370C7" w:rsidP="009750B5">
            <w:pPr>
              <w:pStyle w:val="TableText0"/>
              <w:widowControl w:val="0"/>
            </w:pPr>
            <w:r w:rsidRPr="00BB59D8">
              <w:t>1.79 (1.19, 2.39)</w:t>
            </w:r>
          </w:p>
        </w:tc>
      </w:tr>
      <w:tr w:rsidR="00DB4BC1" w:rsidRPr="00BB59D8" w14:paraId="799B8FD1" w14:textId="77777777" w:rsidTr="00DB4BC1">
        <w:tc>
          <w:tcPr>
            <w:tcW w:w="1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0F455" w14:textId="77777777" w:rsidR="001370C7" w:rsidRPr="00BB59D8" w:rsidRDefault="008B3751" w:rsidP="009750B5">
            <w:pPr>
              <w:pStyle w:val="TableText0"/>
              <w:widowControl w:val="0"/>
            </w:pPr>
            <w:r w:rsidRPr="00BB59D8">
              <w:t xml:space="preserve">Trial </w:t>
            </w:r>
            <w:r w:rsidR="001370C7" w:rsidRPr="00BB59D8">
              <w:t>MS301 120 µg/kg BID</w:t>
            </w:r>
          </w:p>
        </w:tc>
        <w:tc>
          <w:tcPr>
            <w:tcW w:w="314" w:type="pct"/>
            <w:tcBorders>
              <w:top w:val="single" w:sz="4" w:space="0" w:color="auto"/>
              <w:left w:val="single" w:sz="4" w:space="0" w:color="auto"/>
              <w:bottom w:val="single" w:sz="4" w:space="0" w:color="auto"/>
              <w:right w:val="single" w:sz="4" w:space="0" w:color="auto"/>
            </w:tcBorders>
            <w:vAlign w:val="center"/>
          </w:tcPr>
          <w:p w14:paraId="559A4009" w14:textId="77777777" w:rsidR="001370C7" w:rsidRPr="00BB59D8" w:rsidRDefault="001370C7" w:rsidP="009750B5">
            <w:pPr>
              <w:pStyle w:val="TableText0"/>
              <w:widowControl w:val="0"/>
            </w:pPr>
            <w:r w:rsidRPr="00BB59D8">
              <w:t>49</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9978D56" w14:textId="77777777" w:rsidR="001370C7" w:rsidRPr="00BB59D8" w:rsidRDefault="001370C7" w:rsidP="009750B5">
            <w:pPr>
              <w:pStyle w:val="TableText0"/>
              <w:widowControl w:val="0"/>
            </w:pPr>
            <w:r w:rsidRPr="00BB59D8">
              <w:t>NR</w:t>
            </w:r>
          </w:p>
        </w:tc>
        <w:tc>
          <w:tcPr>
            <w:tcW w:w="393" w:type="pct"/>
            <w:tcBorders>
              <w:top w:val="single" w:sz="4" w:space="0" w:color="auto"/>
              <w:left w:val="single" w:sz="4" w:space="0" w:color="auto"/>
              <w:bottom w:val="single" w:sz="4" w:space="0" w:color="auto"/>
              <w:right w:val="single" w:sz="4" w:space="0" w:color="auto"/>
            </w:tcBorders>
            <w:vAlign w:val="center"/>
          </w:tcPr>
          <w:p w14:paraId="6615DD94" w14:textId="77777777" w:rsidR="001370C7" w:rsidRPr="00BB59D8" w:rsidRDefault="001370C7" w:rsidP="009750B5">
            <w:pPr>
              <w:pStyle w:val="TableText0"/>
              <w:widowControl w:val="0"/>
            </w:pPr>
            <w:r w:rsidRPr="00BB59D8">
              <w:t>NR</w:t>
            </w:r>
          </w:p>
        </w:tc>
        <w:tc>
          <w:tcPr>
            <w:tcW w:w="237" w:type="pct"/>
            <w:gridSpan w:val="2"/>
            <w:vMerge/>
            <w:tcBorders>
              <w:left w:val="single" w:sz="4" w:space="0" w:color="auto"/>
              <w:bottom w:val="single" w:sz="4" w:space="0" w:color="auto"/>
              <w:right w:val="single" w:sz="4" w:space="0" w:color="auto"/>
            </w:tcBorders>
            <w:vAlign w:val="center"/>
          </w:tcPr>
          <w:p w14:paraId="6FE25F96" w14:textId="77777777" w:rsidR="001370C7" w:rsidRPr="00BB59D8" w:rsidRDefault="001370C7" w:rsidP="009750B5">
            <w:pPr>
              <w:pStyle w:val="TableText0"/>
              <w:widowControl w:val="0"/>
            </w:pPr>
          </w:p>
        </w:tc>
        <w:tc>
          <w:tcPr>
            <w:tcW w:w="786" w:type="pct"/>
            <w:gridSpan w:val="2"/>
            <w:vMerge/>
            <w:tcBorders>
              <w:left w:val="single" w:sz="4" w:space="0" w:color="auto"/>
              <w:bottom w:val="single" w:sz="4" w:space="0" w:color="auto"/>
              <w:right w:val="single" w:sz="4" w:space="0" w:color="auto"/>
            </w:tcBorders>
            <w:vAlign w:val="center"/>
          </w:tcPr>
          <w:p w14:paraId="5A7A021D" w14:textId="77777777" w:rsidR="001370C7" w:rsidRPr="00BB59D8" w:rsidRDefault="001370C7" w:rsidP="009750B5">
            <w:pPr>
              <w:pStyle w:val="TableText0"/>
              <w:widowControl w:val="0"/>
            </w:pPr>
          </w:p>
        </w:tc>
        <w:tc>
          <w:tcPr>
            <w:tcW w:w="238" w:type="pct"/>
            <w:vMerge/>
            <w:tcBorders>
              <w:left w:val="single" w:sz="4" w:space="0" w:color="auto"/>
              <w:bottom w:val="single" w:sz="4" w:space="0" w:color="auto"/>
              <w:right w:val="single" w:sz="4" w:space="0" w:color="auto"/>
            </w:tcBorders>
            <w:vAlign w:val="center"/>
          </w:tcPr>
          <w:p w14:paraId="15AFFFDC" w14:textId="77777777" w:rsidR="001370C7" w:rsidRPr="00BB59D8" w:rsidRDefault="001370C7" w:rsidP="009750B5">
            <w:pPr>
              <w:pStyle w:val="TableText0"/>
              <w:widowControl w:val="0"/>
            </w:pPr>
          </w:p>
        </w:tc>
        <w:tc>
          <w:tcPr>
            <w:tcW w:w="912" w:type="pct"/>
            <w:tcBorders>
              <w:top w:val="single" w:sz="4" w:space="0" w:color="auto"/>
              <w:left w:val="single" w:sz="4" w:space="0" w:color="auto"/>
              <w:bottom w:val="single" w:sz="4" w:space="0" w:color="auto"/>
              <w:right w:val="single" w:sz="4" w:space="0" w:color="auto"/>
            </w:tcBorders>
            <w:vAlign w:val="center"/>
          </w:tcPr>
          <w:p w14:paraId="1BF74EED" w14:textId="77777777" w:rsidR="001370C7" w:rsidRPr="00BB59D8" w:rsidRDefault="001370C7" w:rsidP="009750B5">
            <w:pPr>
              <w:pStyle w:val="TableText0"/>
              <w:widowControl w:val="0"/>
            </w:pPr>
            <w:r w:rsidRPr="00BB59D8">
              <w:t>2.58 (1.99, 3.16)</w:t>
            </w:r>
          </w:p>
        </w:tc>
      </w:tr>
      <w:tr w:rsidR="00DB4BC1" w:rsidRPr="00BB59D8" w14:paraId="1D74B3CB" w14:textId="77777777" w:rsidTr="00DB4BC1">
        <w:tc>
          <w:tcPr>
            <w:tcW w:w="1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94E31" w14:textId="77777777" w:rsidR="001370C7" w:rsidRPr="00BB59D8" w:rsidRDefault="001370C7" w:rsidP="009750B5">
            <w:pPr>
              <w:pStyle w:val="TableText0"/>
              <w:widowControl w:val="0"/>
            </w:pPr>
            <w:r w:rsidRPr="00BB59D8">
              <w:t>Study 1419</w:t>
            </w:r>
          </w:p>
        </w:tc>
        <w:tc>
          <w:tcPr>
            <w:tcW w:w="314" w:type="pct"/>
            <w:tcBorders>
              <w:top w:val="single" w:sz="4" w:space="0" w:color="auto"/>
              <w:left w:val="single" w:sz="4" w:space="0" w:color="auto"/>
              <w:bottom w:val="single" w:sz="4" w:space="0" w:color="auto"/>
              <w:right w:val="single" w:sz="4" w:space="0" w:color="auto"/>
            </w:tcBorders>
            <w:vAlign w:val="center"/>
          </w:tcPr>
          <w:p w14:paraId="1469A504" w14:textId="77777777" w:rsidR="001370C7" w:rsidRPr="00BB59D8" w:rsidRDefault="001370C7" w:rsidP="009750B5">
            <w:pPr>
              <w:pStyle w:val="TableText0"/>
              <w:widowControl w:val="0"/>
            </w:pPr>
            <w:r w:rsidRPr="00BB59D8">
              <w:t>75</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33EC3D8E" w14:textId="77777777" w:rsidR="001370C7" w:rsidRPr="00BB59D8" w:rsidRDefault="001370C7" w:rsidP="009750B5">
            <w:pPr>
              <w:pStyle w:val="TableText0"/>
              <w:widowControl w:val="0"/>
            </w:pPr>
            <w:r w:rsidRPr="00BB59D8">
              <w:t>5.4</w:t>
            </w:r>
          </w:p>
        </w:tc>
        <w:tc>
          <w:tcPr>
            <w:tcW w:w="393" w:type="pct"/>
            <w:tcBorders>
              <w:top w:val="single" w:sz="4" w:space="0" w:color="auto"/>
              <w:left w:val="single" w:sz="4" w:space="0" w:color="auto"/>
              <w:bottom w:val="single" w:sz="4" w:space="0" w:color="auto"/>
              <w:right w:val="single" w:sz="4" w:space="0" w:color="auto"/>
            </w:tcBorders>
            <w:vAlign w:val="center"/>
          </w:tcPr>
          <w:p w14:paraId="090245C8" w14:textId="77777777" w:rsidR="001370C7" w:rsidRPr="00BB59D8" w:rsidRDefault="001370C7" w:rsidP="009750B5">
            <w:pPr>
              <w:pStyle w:val="TableText0"/>
              <w:widowControl w:val="0"/>
            </w:pPr>
            <w:r w:rsidRPr="00BB59D8">
              <w:t>2.6</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373BD14A" w14:textId="77777777" w:rsidR="001370C7" w:rsidRPr="00BB59D8" w:rsidRDefault="001370C7" w:rsidP="009750B5">
            <w:pPr>
              <w:pStyle w:val="TableText0"/>
              <w:widowControl w:val="0"/>
            </w:pPr>
            <w:r w:rsidRPr="00BB59D8">
              <w:t>NA</w:t>
            </w:r>
          </w:p>
        </w:tc>
        <w:tc>
          <w:tcPr>
            <w:tcW w:w="786" w:type="pct"/>
            <w:gridSpan w:val="2"/>
            <w:tcBorders>
              <w:top w:val="single" w:sz="4" w:space="0" w:color="auto"/>
              <w:left w:val="single" w:sz="4" w:space="0" w:color="auto"/>
              <w:bottom w:val="single" w:sz="4" w:space="0" w:color="auto"/>
              <w:right w:val="single" w:sz="4" w:space="0" w:color="auto"/>
            </w:tcBorders>
            <w:vAlign w:val="center"/>
          </w:tcPr>
          <w:p w14:paraId="0CD8D03D" w14:textId="77777777" w:rsidR="001370C7" w:rsidRPr="00BB59D8" w:rsidRDefault="001370C7" w:rsidP="009750B5">
            <w:pPr>
              <w:pStyle w:val="TableText0"/>
              <w:widowControl w:val="0"/>
            </w:pPr>
            <w:r w:rsidRPr="00BB59D8">
              <w:t>NA</w:t>
            </w:r>
          </w:p>
        </w:tc>
        <w:tc>
          <w:tcPr>
            <w:tcW w:w="238" w:type="pct"/>
            <w:tcBorders>
              <w:top w:val="single" w:sz="4" w:space="0" w:color="auto"/>
              <w:left w:val="single" w:sz="4" w:space="0" w:color="auto"/>
              <w:bottom w:val="single" w:sz="4" w:space="0" w:color="auto"/>
              <w:right w:val="single" w:sz="4" w:space="0" w:color="auto"/>
            </w:tcBorders>
            <w:vAlign w:val="center"/>
          </w:tcPr>
          <w:p w14:paraId="74B96B28" w14:textId="77777777" w:rsidR="001370C7" w:rsidRPr="00BB59D8" w:rsidRDefault="001370C7"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0850C3D0" w14:textId="77777777" w:rsidR="001370C7" w:rsidRPr="00BB59D8" w:rsidRDefault="001370C7" w:rsidP="009750B5">
            <w:pPr>
              <w:pStyle w:val="TableText0"/>
              <w:widowControl w:val="0"/>
            </w:pPr>
            <w:r w:rsidRPr="00BB59D8">
              <w:t>NA</w:t>
            </w:r>
          </w:p>
        </w:tc>
      </w:tr>
      <w:tr w:rsidR="00DB4BC1" w:rsidRPr="00BB59D8" w14:paraId="3C62F10A" w14:textId="77777777" w:rsidTr="00DB4BC1">
        <w:tc>
          <w:tcPr>
            <w:tcW w:w="1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23330" w14:textId="77777777" w:rsidR="001370C7" w:rsidRPr="00BB59D8" w:rsidRDefault="001370C7" w:rsidP="009750B5">
            <w:pPr>
              <w:pStyle w:val="TableText0"/>
              <w:widowControl w:val="0"/>
            </w:pPr>
            <w:r w:rsidRPr="00BB59D8">
              <w:t>Polish Study</w:t>
            </w:r>
          </w:p>
        </w:tc>
        <w:tc>
          <w:tcPr>
            <w:tcW w:w="314" w:type="pct"/>
            <w:tcBorders>
              <w:top w:val="single" w:sz="4" w:space="0" w:color="auto"/>
              <w:left w:val="single" w:sz="4" w:space="0" w:color="auto"/>
              <w:bottom w:val="single" w:sz="4" w:space="0" w:color="auto"/>
              <w:right w:val="single" w:sz="4" w:space="0" w:color="auto"/>
            </w:tcBorders>
            <w:vAlign w:val="center"/>
          </w:tcPr>
          <w:p w14:paraId="38127402" w14:textId="77777777" w:rsidR="001370C7" w:rsidRPr="00BB59D8" w:rsidRDefault="001370C7" w:rsidP="009750B5">
            <w:pPr>
              <w:pStyle w:val="TableText0"/>
              <w:widowControl w:val="0"/>
            </w:pPr>
            <w:r w:rsidRPr="00BB59D8">
              <w:t>25</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36F933B7" w14:textId="77777777" w:rsidR="001370C7" w:rsidRPr="00BB59D8" w:rsidRDefault="001370C7" w:rsidP="009750B5">
            <w:pPr>
              <w:pStyle w:val="TableText0"/>
              <w:widowControl w:val="0"/>
            </w:pPr>
            <w:r w:rsidRPr="00BB59D8">
              <w:t>3.3</w:t>
            </w:r>
          </w:p>
        </w:tc>
        <w:tc>
          <w:tcPr>
            <w:tcW w:w="393" w:type="pct"/>
            <w:tcBorders>
              <w:top w:val="single" w:sz="4" w:space="0" w:color="auto"/>
              <w:left w:val="single" w:sz="4" w:space="0" w:color="auto"/>
              <w:bottom w:val="single" w:sz="4" w:space="0" w:color="auto"/>
              <w:right w:val="single" w:sz="4" w:space="0" w:color="auto"/>
            </w:tcBorders>
            <w:vAlign w:val="center"/>
          </w:tcPr>
          <w:p w14:paraId="1141B5CC" w14:textId="77777777" w:rsidR="001370C7" w:rsidRPr="00BB59D8" w:rsidRDefault="001370C7" w:rsidP="009750B5">
            <w:pPr>
              <w:pStyle w:val="TableText0"/>
              <w:widowControl w:val="0"/>
            </w:pPr>
            <w:r w:rsidRPr="00BB59D8">
              <w:t>NR</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0E7FD12" w14:textId="77777777" w:rsidR="001370C7" w:rsidRPr="00BB59D8" w:rsidRDefault="001370C7" w:rsidP="009750B5">
            <w:pPr>
              <w:pStyle w:val="TableText0"/>
              <w:widowControl w:val="0"/>
            </w:pPr>
            <w:r w:rsidRPr="00BB59D8">
              <w:t>NA</w:t>
            </w:r>
          </w:p>
        </w:tc>
        <w:tc>
          <w:tcPr>
            <w:tcW w:w="786" w:type="pct"/>
            <w:gridSpan w:val="2"/>
            <w:tcBorders>
              <w:top w:val="single" w:sz="4" w:space="0" w:color="auto"/>
              <w:left w:val="single" w:sz="4" w:space="0" w:color="auto"/>
              <w:bottom w:val="single" w:sz="4" w:space="0" w:color="auto"/>
              <w:right w:val="single" w:sz="4" w:space="0" w:color="auto"/>
            </w:tcBorders>
            <w:vAlign w:val="center"/>
          </w:tcPr>
          <w:p w14:paraId="7EE46A96" w14:textId="77777777" w:rsidR="001370C7" w:rsidRPr="00BB59D8" w:rsidRDefault="001370C7" w:rsidP="009750B5">
            <w:pPr>
              <w:pStyle w:val="TableText0"/>
              <w:widowControl w:val="0"/>
            </w:pPr>
            <w:r w:rsidRPr="00BB59D8">
              <w:t>NA</w:t>
            </w:r>
          </w:p>
        </w:tc>
        <w:tc>
          <w:tcPr>
            <w:tcW w:w="238" w:type="pct"/>
            <w:tcBorders>
              <w:top w:val="single" w:sz="4" w:space="0" w:color="auto"/>
              <w:left w:val="single" w:sz="4" w:space="0" w:color="auto"/>
              <w:bottom w:val="single" w:sz="4" w:space="0" w:color="auto"/>
              <w:right w:val="single" w:sz="4" w:space="0" w:color="auto"/>
            </w:tcBorders>
            <w:vAlign w:val="center"/>
          </w:tcPr>
          <w:p w14:paraId="1BD9EE89" w14:textId="77777777" w:rsidR="001370C7" w:rsidRPr="00BB59D8" w:rsidRDefault="001370C7"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12A0C2EE" w14:textId="77777777" w:rsidR="001370C7" w:rsidRPr="00BB59D8" w:rsidRDefault="001370C7" w:rsidP="009750B5">
            <w:pPr>
              <w:pStyle w:val="TableText0"/>
              <w:widowControl w:val="0"/>
            </w:pPr>
            <w:r w:rsidRPr="00BB59D8">
              <w:t>NA</w:t>
            </w:r>
          </w:p>
        </w:tc>
      </w:tr>
      <w:tr w:rsidR="00DB4BC1" w:rsidRPr="00BB59D8" w14:paraId="7288D846" w14:textId="77777777" w:rsidTr="00DB4BC1">
        <w:tc>
          <w:tcPr>
            <w:tcW w:w="133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3AC5D889" w14:textId="77777777" w:rsidR="001370C7" w:rsidRPr="00BB59D8" w:rsidRDefault="001370C7" w:rsidP="009750B5">
            <w:pPr>
              <w:pStyle w:val="TableText0"/>
              <w:widowControl w:val="0"/>
            </w:pPr>
            <w:r w:rsidRPr="00BB59D8">
              <w:t>EU-IGFD Registry</w:t>
            </w:r>
          </w:p>
        </w:tc>
        <w:tc>
          <w:tcPr>
            <w:tcW w:w="314" w:type="pct"/>
            <w:tcBorders>
              <w:top w:val="single" w:sz="4" w:space="0" w:color="auto"/>
              <w:left w:val="single" w:sz="4" w:space="0" w:color="auto"/>
              <w:bottom w:val="double" w:sz="4" w:space="0" w:color="auto"/>
              <w:right w:val="single" w:sz="4" w:space="0" w:color="auto"/>
            </w:tcBorders>
            <w:vAlign w:val="center"/>
          </w:tcPr>
          <w:p w14:paraId="5310D9AF" w14:textId="77777777" w:rsidR="001370C7" w:rsidRPr="00BB59D8" w:rsidRDefault="001370C7" w:rsidP="009750B5">
            <w:pPr>
              <w:pStyle w:val="TableText0"/>
              <w:widowControl w:val="0"/>
            </w:pPr>
            <w:r w:rsidRPr="00BB59D8">
              <w:t>123</w:t>
            </w:r>
          </w:p>
        </w:tc>
        <w:tc>
          <w:tcPr>
            <w:tcW w:w="786" w:type="pct"/>
            <w:gridSpan w:val="3"/>
            <w:tcBorders>
              <w:top w:val="single" w:sz="4" w:space="0" w:color="auto"/>
              <w:left w:val="single" w:sz="4" w:space="0" w:color="auto"/>
              <w:bottom w:val="double" w:sz="4" w:space="0" w:color="auto"/>
              <w:right w:val="single" w:sz="4" w:space="0" w:color="auto"/>
            </w:tcBorders>
            <w:vAlign w:val="center"/>
          </w:tcPr>
          <w:p w14:paraId="487BE737" w14:textId="77777777" w:rsidR="001370C7" w:rsidRPr="00BB59D8" w:rsidRDefault="001370C7" w:rsidP="009750B5">
            <w:pPr>
              <w:pStyle w:val="TableText0"/>
              <w:widowControl w:val="0"/>
            </w:pPr>
            <w:r w:rsidRPr="00BB59D8">
              <w:t>2.03</w:t>
            </w:r>
          </w:p>
        </w:tc>
        <w:tc>
          <w:tcPr>
            <w:tcW w:w="393" w:type="pct"/>
            <w:tcBorders>
              <w:top w:val="single" w:sz="4" w:space="0" w:color="auto"/>
              <w:left w:val="single" w:sz="4" w:space="0" w:color="auto"/>
              <w:bottom w:val="double" w:sz="4" w:space="0" w:color="auto"/>
              <w:right w:val="single" w:sz="4" w:space="0" w:color="auto"/>
            </w:tcBorders>
            <w:vAlign w:val="center"/>
          </w:tcPr>
          <w:p w14:paraId="5461FE3F" w14:textId="77777777" w:rsidR="001370C7" w:rsidRPr="00BB59D8" w:rsidRDefault="001370C7" w:rsidP="009750B5">
            <w:pPr>
              <w:pStyle w:val="TableText0"/>
              <w:widowControl w:val="0"/>
            </w:pPr>
            <w:r w:rsidRPr="00BB59D8">
              <w:t>2.57</w:t>
            </w:r>
          </w:p>
        </w:tc>
        <w:tc>
          <w:tcPr>
            <w:tcW w:w="237" w:type="pct"/>
            <w:gridSpan w:val="2"/>
            <w:tcBorders>
              <w:top w:val="single" w:sz="4" w:space="0" w:color="auto"/>
              <w:left w:val="single" w:sz="4" w:space="0" w:color="auto"/>
              <w:bottom w:val="double" w:sz="4" w:space="0" w:color="auto"/>
              <w:right w:val="single" w:sz="4" w:space="0" w:color="auto"/>
            </w:tcBorders>
            <w:vAlign w:val="center"/>
          </w:tcPr>
          <w:p w14:paraId="4E63ABD9" w14:textId="77777777" w:rsidR="001370C7" w:rsidRPr="00BB59D8" w:rsidRDefault="001370C7" w:rsidP="009750B5">
            <w:pPr>
              <w:pStyle w:val="TableText0"/>
              <w:widowControl w:val="0"/>
            </w:pPr>
            <w:r w:rsidRPr="00BB59D8">
              <w:t>NA</w:t>
            </w:r>
          </w:p>
        </w:tc>
        <w:tc>
          <w:tcPr>
            <w:tcW w:w="786" w:type="pct"/>
            <w:gridSpan w:val="2"/>
            <w:tcBorders>
              <w:top w:val="single" w:sz="4" w:space="0" w:color="auto"/>
              <w:left w:val="single" w:sz="4" w:space="0" w:color="auto"/>
              <w:bottom w:val="double" w:sz="4" w:space="0" w:color="auto"/>
              <w:right w:val="single" w:sz="4" w:space="0" w:color="auto"/>
            </w:tcBorders>
            <w:vAlign w:val="center"/>
          </w:tcPr>
          <w:p w14:paraId="60C4926D" w14:textId="77777777" w:rsidR="001370C7" w:rsidRPr="00BB59D8" w:rsidRDefault="001370C7" w:rsidP="009750B5">
            <w:pPr>
              <w:pStyle w:val="TableText0"/>
              <w:widowControl w:val="0"/>
            </w:pPr>
            <w:r w:rsidRPr="00BB59D8">
              <w:t>NA</w:t>
            </w:r>
          </w:p>
        </w:tc>
        <w:tc>
          <w:tcPr>
            <w:tcW w:w="238" w:type="pct"/>
            <w:tcBorders>
              <w:top w:val="single" w:sz="4" w:space="0" w:color="auto"/>
              <w:left w:val="single" w:sz="4" w:space="0" w:color="auto"/>
              <w:bottom w:val="double" w:sz="4" w:space="0" w:color="auto"/>
              <w:right w:val="single" w:sz="4" w:space="0" w:color="auto"/>
            </w:tcBorders>
            <w:vAlign w:val="center"/>
          </w:tcPr>
          <w:p w14:paraId="70323D55" w14:textId="77777777" w:rsidR="001370C7" w:rsidRPr="00BB59D8" w:rsidRDefault="001370C7" w:rsidP="009750B5">
            <w:pPr>
              <w:pStyle w:val="TableText0"/>
              <w:widowControl w:val="0"/>
            </w:pPr>
            <w:r w:rsidRPr="00BB59D8">
              <w:t>NA</w:t>
            </w:r>
          </w:p>
        </w:tc>
        <w:tc>
          <w:tcPr>
            <w:tcW w:w="912" w:type="pct"/>
            <w:tcBorders>
              <w:top w:val="single" w:sz="4" w:space="0" w:color="auto"/>
              <w:left w:val="single" w:sz="4" w:space="0" w:color="auto"/>
              <w:bottom w:val="double" w:sz="4" w:space="0" w:color="auto"/>
              <w:right w:val="single" w:sz="4" w:space="0" w:color="auto"/>
            </w:tcBorders>
            <w:vAlign w:val="center"/>
          </w:tcPr>
          <w:p w14:paraId="5267C8A2" w14:textId="77777777" w:rsidR="001370C7" w:rsidRPr="00BB59D8" w:rsidRDefault="001370C7" w:rsidP="009750B5">
            <w:pPr>
              <w:pStyle w:val="TableText0"/>
              <w:widowControl w:val="0"/>
            </w:pPr>
            <w:r w:rsidRPr="00BB59D8">
              <w:t>NA</w:t>
            </w:r>
          </w:p>
        </w:tc>
      </w:tr>
      <w:tr w:rsidR="001370C7" w:rsidRPr="00BB59D8" w14:paraId="09A9D642" w14:textId="77777777" w:rsidTr="009F73A9">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06DDE514" w14:textId="77777777" w:rsidR="001370C7" w:rsidRPr="00BB59D8" w:rsidRDefault="001370C7" w:rsidP="009750B5">
            <w:pPr>
              <w:pStyle w:val="In-tableHeading"/>
              <w:widowControl w:val="0"/>
              <w:rPr>
                <w:vertAlign w:val="superscript"/>
                <w:lang w:val="en-AU"/>
              </w:rPr>
            </w:pPr>
            <w:r w:rsidRPr="00BB59D8">
              <w:rPr>
                <w:lang w:val="en-AU"/>
              </w:rPr>
              <w:t>Harms</w:t>
            </w:r>
            <w:r w:rsidR="00BC363F" w:rsidRPr="00BB59D8">
              <w:rPr>
                <w:vertAlign w:val="superscript"/>
                <w:lang w:val="en-AU"/>
              </w:rPr>
              <w:t>a</w:t>
            </w:r>
          </w:p>
        </w:tc>
      </w:tr>
      <w:tr w:rsidR="00DB4BC1" w:rsidRPr="00BB59D8" w14:paraId="2505CAC8" w14:textId="77777777" w:rsidTr="00DB4BC1">
        <w:trPr>
          <w:trHeight w:val="70"/>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8D58F9" w14:textId="77777777" w:rsidR="001370C7" w:rsidRPr="00BB59D8" w:rsidRDefault="001370C7" w:rsidP="009750B5">
            <w:pPr>
              <w:pStyle w:val="In-tableHeading"/>
              <w:widowControl w:val="0"/>
              <w:rPr>
                <w:lang w:val="en-AU"/>
              </w:rPr>
            </w:pPr>
          </w:p>
        </w:tc>
        <w:tc>
          <w:tcPr>
            <w:tcW w:w="629" w:type="pct"/>
            <w:gridSpan w:val="3"/>
            <w:vMerge w:val="restart"/>
            <w:tcBorders>
              <w:top w:val="single" w:sz="4" w:space="0" w:color="auto"/>
              <w:left w:val="single" w:sz="4" w:space="0" w:color="auto"/>
              <w:bottom w:val="single" w:sz="4" w:space="0" w:color="auto"/>
              <w:right w:val="single" w:sz="4" w:space="0" w:color="auto"/>
            </w:tcBorders>
            <w:vAlign w:val="center"/>
          </w:tcPr>
          <w:p w14:paraId="709B2EBB" w14:textId="77777777" w:rsidR="001370C7" w:rsidRPr="00BB59D8" w:rsidRDefault="001370C7" w:rsidP="009750B5">
            <w:pPr>
              <w:pStyle w:val="In-tableHeading"/>
              <w:widowControl w:val="0"/>
              <w:rPr>
                <w:lang w:val="en-AU"/>
              </w:rPr>
            </w:pPr>
            <w:r w:rsidRPr="00BB59D8">
              <w:rPr>
                <w:lang w:val="en-AU"/>
              </w:rPr>
              <w:t>Mecasermin</w:t>
            </w:r>
          </w:p>
          <w:p w14:paraId="0C5CB9D1" w14:textId="77777777" w:rsidR="001370C7" w:rsidRPr="00BB59D8" w:rsidRDefault="001370C7" w:rsidP="009750B5">
            <w:pPr>
              <w:pStyle w:val="In-tableHeading"/>
              <w:widowControl w:val="0"/>
              <w:rPr>
                <w:lang w:val="en-AU"/>
              </w:rPr>
            </w:pPr>
            <w:r w:rsidRPr="00BB59D8">
              <w:rPr>
                <w:lang w:val="en-AU"/>
              </w:rPr>
              <w:t>n/N</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5C514065" w14:textId="77777777" w:rsidR="001370C7" w:rsidRPr="00BB59D8" w:rsidRDefault="001370C7" w:rsidP="009750B5">
            <w:pPr>
              <w:pStyle w:val="In-tableHeading"/>
              <w:widowControl w:val="0"/>
              <w:rPr>
                <w:lang w:val="en-AU"/>
              </w:rPr>
            </w:pPr>
            <w:r w:rsidRPr="00BB59D8">
              <w:rPr>
                <w:lang w:val="en-AU"/>
              </w:rPr>
              <w:t>No treatment</w:t>
            </w:r>
          </w:p>
          <w:p w14:paraId="342048BF" w14:textId="77777777" w:rsidR="001370C7" w:rsidRPr="00BB59D8" w:rsidRDefault="001370C7" w:rsidP="009750B5">
            <w:pPr>
              <w:pStyle w:val="In-tableHeading"/>
              <w:widowControl w:val="0"/>
              <w:rPr>
                <w:lang w:val="en-AU"/>
              </w:rPr>
            </w:pPr>
            <w:r w:rsidRPr="00BB59D8">
              <w:rPr>
                <w:lang w:val="en-AU"/>
              </w:rPr>
              <w:t>n/N</w:t>
            </w:r>
          </w:p>
        </w:tc>
        <w:tc>
          <w:tcPr>
            <w:tcW w:w="786" w:type="pct"/>
            <w:gridSpan w:val="3"/>
            <w:vMerge w:val="restart"/>
            <w:tcBorders>
              <w:top w:val="single" w:sz="4" w:space="0" w:color="auto"/>
              <w:left w:val="single" w:sz="4" w:space="0" w:color="auto"/>
              <w:bottom w:val="single" w:sz="4" w:space="0" w:color="auto"/>
              <w:right w:val="single" w:sz="4" w:space="0" w:color="auto"/>
            </w:tcBorders>
            <w:vAlign w:val="center"/>
          </w:tcPr>
          <w:p w14:paraId="559389FF" w14:textId="77777777" w:rsidR="001370C7" w:rsidRPr="00BB59D8" w:rsidRDefault="001370C7" w:rsidP="009750B5">
            <w:pPr>
              <w:pStyle w:val="In-tableHeading"/>
              <w:widowControl w:val="0"/>
              <w:rPr>
                <w:lang w:val="en-AU"/>
              </w:rPr>
            </w:pPr>
            <w:r w:rsidRPr="00BB59D8">
              <w:rPr>
                <w:lang w:val="en-AU"/>
              </w:rPr>
              <w:t>RR</w:t>
            </w:r>
            <w:r w:rsidR="004B0A89" w:rsidRPr="00BB59D8">
              <w:rPr>
                <w:vertAlign w:val="superscript"/>
                <w:lang w:val="en-AU"/>
              </w:rPr>
              <w:t>b</w:t>
            </w:r>
          </w:p>
          <w:p w14:paraId="1821E7D6" w14:textId="77777777" w:rsidR="001370C7" w:rsidRPr="00BB59D8" w:rsidRDefault="001370C7" w:rsidP="009750B5">
            <w:pPr>
              <w:pStyle w:val="In-tableHeading"/>
              <w:widowControl w:val="0"/>
              <w:rPr>
                <w:lang w:val="en-AU"/>
              </w:rPr>
            </w:pPr>
            <w:r w:rsidRPr="00BB59D8">
              <w:rPr>
                <w:lang w:val="en-AU"/>
              </w:rPr>
              <w:t>(95% CI)</w:t>
            </w:r>
          </w:p>
        </w:tc>
        <w:tc>
          <w:tcPr>
            <w:tcW w:w="1104" w:type="pct"/>
            <w:gridSpan w:val="4"/>
            <w:tcBorders>
              <w:top w:val="single" w:sz="4" w:space="0" w:color="auto"/>
              <w:left w:val="single" w:sz="4" w:space="0" w:color="auto"/>
              <w:bottom w:val="single" w:sz="4" w:space="0" w:color="auto"/>
              <w:right w:val="single" w:sz="4" w:space="0" w:color="auto"/>
            </w:tcBorders>
            <w:vAlign w:val="center"/>
          </w:tcPr>
          <w:p w14:paraId="67C7BB4E" w14:textId="77777777" w:rsidR="001370C7" w:rsidRPr="00BB59D8" w:rsidRDefault="001370C7" w:rsidP="009750B5">
            <w:pPr>
              <w:pStyle w:val="In-tableHeading"/>
              <w:widowControl w:val="0"/>
              <w:rPr>
                <w:lang w:val="en-AU"/>
              </w:rPr>
            </w:pPr>
            <w:r w:rsidRPr="00BB59D8">
              <w:rPr>
                <w:lang w:val="en-AU"/>
              </w:rPr>
              <w:t>Event rate/100 patients</w:t>
            </w:r>
          </w:p>
        </w:tc>
        <w:tc>
          <w:tcPr>
            <w:tcW w:w="912" w:type="pct"/>
            <w:vMerge w:val="restart"/>
            <w:tcBorders>
              <w:top w:val="single" w:sz="4" w:space="0" w:color="auto"/>
              <w:left w:val="single" w:sz="4" w:space="0" w:color="auto"/>
              <w:bottom w:val="single" w:sz="4" w:space="0" w:color="auto"/>
              <w:right w:val="single" w:sz="4" w:space="0" w:color="auto"/>
            </w:tcBorders>
            <w:vAlign w:val="center"/>
          </w:tcPr>
          <w:p w14:paraId="746992DF" w14:textId="77777777" w:rsidR="001370C7" w:rsidRPr="00BB59D8" w:rsidRDefault="001370C7" w:rsidP="009750B5">
            <w:pPr>
              <w:pStyle w:val="In-tableHeading"/>
              <w:widowControl w:val="0"/>
              <w:rPr>
                <w:lang w:val="en-AU"/>
              </w:rPr>
            </w:pPr>
            <w:r w:rsidRPr="00BB59D8">
              <w:rPr>
                <w:lang w:val="en-AU"/>
              </w:rPr>
              <w:t>RD</w:t>
            </w:r>
            <w:r w:rsidR="004B0A89" w:rsidRPr="00BB59D8">
              <w:rPr>
                <w:vertAlign w:val="superscript"/>
                <w:lang w:val="en-AU"/>
              </w:rPr>
              <w:t>b</w:t>
            </w:r>
            <w:r w:rsidR="00FF63C5" w:rsidRPr="00BB59D8">
              <w:rPr>
                <w:lang w:val="en-AU"/>
              </w:rPr>
              <w:t xml:space="preserve">, % </w:t>
            </w:r>
          </w:p>
          <w:p w14:paraId="113478AA" w14:textId="77777777" w:rsidR="001370C7" w:rsidRPr="00BB59D8" w:rsidRDefault="001370C7" w:rsidP="009750B5">
            <w:pPr>
              <w:pStyle w:val="In-tableHeading"/>
              <w:widowControl w:val="0"/>
              <w:rPr>
                <w:lang w:val="en-AU"/>
              </w:rPr>
            </w:pPr>
            <w:r w:rsidRPr="00BB59D8">
              <w:rPr>
                <w:lang w:val="en-AU"/>
              </w:rPr>
              <w:t>(95% CI)</w:t>
            </w:r>
          </w:p>
        </w:tc>
      </w:tr>
      <w:tr w:rsidR="00DB4BC1" w:rsidRPr="00BB59D8" w14:paraId="75CCDC32" w14:textId="77777777" w:rsidTr="00DB4BC1">
        <w:trPr>
          <w:trHeight w:val="390"/>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4116E5" w14:textId="77777777" w:rsidR="001370C7" w:rsidRPr="00BB59D8" w:rsidRDefault="001370C7" w:rsidP="009750B5">
            <w:pPr>
              <w:pStyle w:val="In-tableHeading"/>
              <w:widowControl w:val="0"/>
              <w:rPr>
                <w:lang w:val="en-AU"/>
              </w:rPr>
            </w:pPr>
          </w:p>
        </w:tc>
        <w:tc>
          <w:tcPr>
            <w:tcW w:w="629" w:type="pct"/>
            <w:gridSpan w:val="3"/>
            <w:vMerge/>
            <w:tcBorders>
              <w:top w:val="single" w:sz="4" w:space="0" w:color="auto"/>
              <w:left w:val="single" w:sz="4" w:space="0" w:color="auto"/>
              <w:bottom w:val="single" w:sz="4" w:space="0" w:color="auto"/>
              <w:right w:val="single" w:sz="4" w:space="0" w:color="auto"/>
            </w:tcBorders>
            <w:vAlign w:val="center"/>
          </w:tcPr>
          <w:p w14:paraId="5E1850E4" w14:textId="77777777" w:rsidR="001370C7" w:rsidRPr="00BB59D8" w:rsidRDefault="001370C7" w:rsidP="009750B5">
            <w:pPr>
              <w:pStyle w:val="In-tableHeading"/>
              <w:widowControl w:val="0"/>
              <w:rPr>
                <w:lang w:val="en-AU"/>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65E424C6" w14:textId="77777777" w:rsidR="001370C7" w:rsidRPr="00BB59D8" w:rsidRDefault="001370C7" w:rsidP="009750B5">
            <w:pPr>
              <w:pStyle w:val="In-tableHeading"/>
              <w:widowControl w:val="0"/>
              <w:rPr>
                <w:lang w:val="en-AU"/>
              </w:rPr>
            </w:pPr>
          </w:p>
        </w:tc>
        <w:tc>
          <w:tcPr>
            <w:tcW w:w="786" w:type="pct"/>
            <w:gridSpan w:val="3"/>
            <w:vMerge/>
            <w:tcBorders>
              <w:top w:val="single" w:sz="4" w:space="0" w:color="auto"/>
              <w:left w:val="single" w:sz="4" w:space="0" w:color="auto"/>
              <w:bottom w:val="single" w:sz="4" w:space="0" w:color="auto"/>
              <w:right w:val="single" w:sz="4" w:space="0" w:color="auto"/>
            </w:tcBorders>
            <w:vAlign w:val="center"/>
          </w:tcPr>
          <w:p w14:paraId="7C63B9FC" w14:textId="77777777" w:rsidR="001370C7" w:rsidRPr="00BB59D8" w:rsidRDefault="001370C7" w:rsidP="009750B5">
            <w:pPr>
              <w:pStyle w:val="In-tableHeading"/>
              <w:widowControl w:val="0"/>
              <w:rPr>
                <w:lang w:val="en-AU"/>
              </w:rPr>
            </w:pP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8E2F4A1" w14:textId="77777777" w:rsidR="001370C7" w:rsidRPr="00BB59D8" w:rsidRDefault="001370C7" w:rsidP="009750B5">
            <w:pPr>
              <w:pStyle w:val="In-tableHeading"/>
              <w:widowControl w:val="0"/>
              <w:rPr>
                <w:lang w:val="en-AU"/>
              </w:rPr>
            </w:pPr>
            <w:r w:rsidRPr="00BB59D8">
              <w:rPr>
                <w:lang w:val="en-AU"/>
              </w:rPr>
              <w:t>Mecasermin</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55CF9689" w14:textId="77777777" w:rsidR="001370C7" w:rsidRPr="00BB59D8" w:rsidRDefault="001370C7" w:rsidP="009750B5">
            <w:pPr>
              <w:pStyle w:val="In-tableHeading"/>
              <w:widowControl w:val="0"/>
              <w:rPr>
                <w:lang w:val="en-AU"/>
              </w:rPr>
            </w:pPr>
            <w:r w:rsidRPr="00BB59D8">
              <w:rPr>
                <w:lang w:val="en-AU"/>
              </w:rPr>
              <w:t>No treatment</w:t>
            </w:r>
          </w:p>
        </w:tc>
        <w:tc>
          <w:tcPr>
            <w:tcW w:w="912" w:type="pct"/>
            <w:vMerge/>
            <w:tcBorders>
              <w:top w:val="single" w:sz="4" w:space="0" w:color="auto"/>
              <w:left w:val="single" w:sz="4" w:space="0" w:color="auto"/>
              <w:bottom w:val="single" w:sz="4" w:space="0" w:color="auto"/>
              <w:right w:val="single" w:sz="4" w:space="0" w:color="auto"/>
            </w:tcBorders>
            <w:vAlign w:val="center"/>
          </w:tcPr>
          <w:p w14:paraId="17CEDBA4" w14:textId="77777777" w:rsidR="001370C7" w:rsidRPr="00BB59D8" w:rsidRDefault="001370C7" w:rsidP="009750B5">
            <w:pPr>
              <w:pStyle w:val="In-tableHeading"/>
              <w:widowControl w:val="0"/>
              <w:rPr>
                <w:lang w:val="en-AU"/>
              </w:rPr>
            </w:pPr>
          </w:p>
        </w:tc>
      </w:tr>
      <w:tr w:rsidR="001370C7" w:rsidRPr="00BB59D8" w14:paraId="5AB0DEE6" w14:textId="77777777" w:rsidTr="009F73A9">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F285E27" w14:textId="77777777" w:rsidR="001370C7" w:rsidRPr="00BB59D8" w:rsidRDefault="001370C7" w:rsidP="009750B5">
            <w:pPr>
              <w:pStyle w:val="In-tableHeading"/>
              <w:widowControl w:val="0"/>
              <w:rPr>
                <w:lang w:val="en-AU"/>
              </w:rPr>
            </w:pPr>
            <w:r w:rsidRPr="00BB59D8">
              <w:rPr>
                <w:lang w:val="en-AU"/>
              </w:rPr>
              <w:t>Adverse event I: Metabolism and nutrition disorders</w:t>
            </w:r>
          </w:p>
        </w:tc>
      </w:tr>
      <w:tr w:rsidR="00DB4BC1" w:rsidRPr="00BB59D8" w14:paraId="4598E315"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E640A80" w14:textId="77777777" w:rsidR="005B036A" w:rsidRPr="00BB59D8" w:rsidRDefault="008B3751" w:rsidP="009750B5">
            <w:pPr>
              <w:pStyle w:val="TableText0"/>
              <w:widowControl w:val="0"/>
            </w:pPr>
            <w:r w:rsidRPr="00BB59D8">
              <w:t xml:space="preserve">Trial </w:t>
            </w:r>
            <w:r w:rsidR="005B036A" w:rsidRPr="00BB59D8">
              <w:t>MS301 40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6EF3AE62" w14:textId="77777777" w:rsidR="005B036A" w:rsidRPr="00BB59D8" w:rsidRDefault="005B036A" w:rsidP="009750B5">
            <w:pPr>
              <w:pStyle w:val="TableText0"/>
              <w:widowControl w:val="0"/>
            </w:pPr>
            <w:r w:rsidRPr="00BB59D8">
              <w:t>2/16</w:t>
            </w:r>
          </w:p>
        </w:tc>
        <w:tc>
          <w:tcPr>
            <w:tcW w:w="471" w:type="pct"/>
            <w:vMerge w:val="restart"/>
            <w:tcBorders>
              <w:top w:val="single" w:sz="4" w:space="0" w:color="auto"/>
              <w:left w:val="single" w:sz="4" w:space="0" w:color="auto"/>
              <w:right w:val="single" w:sz="4" w:space="0" w:color="auto"/>
            </w:tcBorders>
            <w:vAlign w:val="center"/>
          </w:tcPr>
          <w:p w14:paraId="1575D64C" w14:textId="77777777" w:rsidR="005B036A" w:rsidRPr="00BB59D8" w:rsidRDefault="005B036A" w:rsidP="009750B5">
            <w:pPr>
              <w:pStyle w:val="TableText0"/>
              <w:widowControl w:val="0"/>
            </w:pPr>
            <w:r w:rsidRPr="00BB59D8">
              <w:t>2/25</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64AADC47" w14:textId="77777777" w:rsidR="005B036A" w:rsidRPr="00BB59D8" w:rsidRDefault="005B036A" w:rsidP="009750B5">
            <w:pPr>
              <w:pStyle w:val="TableText0"/>
              <w:widowControl w:val="0"/>
              <w:rPr>
                <w:iCs/>
              </w:rPr>
            </w:pPr>
            <w:r w:rsidRPr="00BB59D8">
              <w:rPr>
                <w:iCs/>
              </w:rPr>
              <w:t>1.56 (0.24, 10.01)</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9D17241" w14:textId="77777777" w:rsidR="005B036A" w:rsidRPr="00BB59D8" w:rsidRDefault="005B036A" w:rsidP="009750B5">
            <w:pPr>
              <w:pStyle w:val="TableText0"/>
              <w:widowControl w:val="0"/>
              <w:rPr>
                <w:iCs/>
              </w:rPr>
            </w:pPr>
            <w:r w:rsidRPr="00BB59D8">
              <w:rPr>
                <w:iCs/>
              </w:rPr>
              <w:t>12.50</w:t>
            </w:r>
          </w:p>
        </w:tc>
        <w:tc>
          <w:tcPr>
            <w:tcW w:w="474" w:type="pct"/>
            <w:gridSpan w:val="2"/>
            <w:vMerge w:val="restart"/>
            <w:tcBorders>
              <w:top w:val="single" w:sz="4" w:space="0" w:color="auto"/>
              <w:left w:val="single" w:sz="4" w:space="0" w:color="auto"/>
              <w:right w:val="single" w:sz="4" w:space="0" w:color="auto"/>
            </w:tcBorders>
            <w:vAlign w:val="center"/>
          </w:tcPr>
          <w:p w14:paraId="4318CEA7" w14:textId="77777777" w:rsidR="005B036A" w:rsidRPr="00BB59D8" w:rsidRDefault="005B036A" w:rsidP="009750B5">
            <w:pPr>
              <w:pStyle w:val="TableText0"/>
              <w:widowControl w:val="0"/>
              <w:rPr>
                <w:iCs/>
              </w:rPr>
            </w:pPr>
            <w:r w:rsidRPr="00BB59D8">
              <w:rPr>
                <w:iCs/>
              </w:rPr>
              <w:t>8.00</w:t>
            </w:r>
          </w:p>
        </w:tc>
        <w:tc>
          <w:tcPr>
            <w:tcW w:w="912" w:type="pct"/>
            <w:tcBorders>
              <w:top w:val="single" w:sz="4" w:space="0" w:color="auto"/>
              <w:left w:val="single" w:sz="4" w:space="0" w:color="auto"/>
              <w:bottom w:val="single" w:sz="4" w:space="0" w:color="auto"/>
              <w:right w:val="single" w:sz="4" w:space="0" w:color="auto"/>
            </w:tcBorders>
            <w:vAlign w:val="center"/>
          </w:tcPr>
          <w:p w14:paraId="29BCA87F" w14:textId="77777777" w:rsidR="005B036A" w:rsidRPr="00BB59D8" w:rsidRDefault="00D307EF" w:rsidP="009750B5">
            <w:pPr>
              <w:pStyle w:val="TableText0"/>
              <w:widowControl w:val="0"/>
              <w:rPr>
                <w:iCs/>
              </w:rPr>
            </w:pPr>
            <w:r w:rsidRPr="00BB59D8">
              <w:rPr>
                <w:iCs/>
              </w:rPr>
              <w:t>4.5% (-14.88, 23.88)</w:t>
            </w:r>
          </w:p>
        </w:tc>
      </w:tr>
      <w:tr w:rsidR="00DB4BC1" w:rsidRPr="00BB59D8" w14:paraId="15284541"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154C7965" w14:textId="77777777" w:rsidR="005B036A" w:rsidRPr="00BB59D8" w:rsidRDefault="008B3751" w:rsidP="009750B5">
            <w:pPr>
              <w:pStyle w:val="TableText0"/>
              <w:widowControl w:val="0"/>
            </w:pPr>
            <w:r w:rsidRPr="00BB59D8">
              <w:t xml:space="preserve">Trial </w:t>
            </w:r>
            <w:r w:rsidR="005B036A" w:rsidRPr="00BB59D8">
              <w:t>MS301 80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31D9C639" w14:textId="77777777" w:rsidR="005B036A" w:rsidRPr="00BB59D8" w:rsidRDefault="005B036A" w:rsidP="009750B5">
            <w:pPr>
              <w:pStyle w:val="TableText0"/>
              <w:widowControl w:val="0"/>
            </w:pPr>
            <w:r w:rsidRPr="00BB59D8">
              <w:t>8/44</w:t>
            </w:r>
          </w:p>
        </w:tc>
        <w:tc>
          <w:tcPr>
            <w:tcW w:w="471" w:type="pct"/>
            <w:vMerge/>
            <w:tcBorders>
              <w:left w:val="single" w:sz="4" w:space="0" w:color="auto"/>
              <w:right w:val="single" w:sz="4" w:space="0" w:color="auto"/>
            </w:tcBorders>
            <w:vAlign w:val="center"/>
          </w:tcPr>
          <w:p w14:paraId="0A964AD5" w14:textId="77777777" w:rsidR="005B036A" w:rsidRPr="00BB59D8" w:rsidRDefault="005B036A"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42C183DA" w14:textId="77777777" w:rsidR="005B036A" w:rsidRPr="00BB59D8" w:rsidRDefault="005B036A" w:rsidP="009750B5">
            <w:pPr>
              <w:pStyle w:val="TableText0"/>
              <w:widowControl w:val="0"/>
              <w:rPr>
                <w:iCs/>
              </w:rPr>
            </w:pPr>
            <w:r w:rsidRPr="00BB59D8">
              <w:rPr>
                <w:iCs/>
              </w:rPr>
              <w:t>2.27 (0.52, 9.88)</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4EC1E0F" w14:textId="77777777" w:rsidR="005B036A" w:rsidRPr="00BB59D8" w:rsidRDefault="00D307EF" w:rsidP="009750B5">
            <w:pPr>
              <w:pStyle w:val="TableText0"/>
              <w:widowControl w:val="0"/>
              <w:rPr>
                <w:iCs/>
              </w:rPr>
            </w:pPr>
            <w:r w:rsidRPr="00BB59D8">
              <w:rPr>
                <w:iCs/>
              </w:rPr>
              <w:t>18.18</w:t>
            </w:r>
          </w:p>
        </w:tc>
        <w:tc>
          <w:tcPr>
            <w:tcW w:w="474" w:type="pct"/>
            <w:gridSpan w:val="2"/>
            <w:vMerge/>
            <w:tcBorders>
              <w:left w:val="single" w:sz="4" w:space="0" w:color="auto"/>
              <w:right w:val="single" w:sz="4" w:space="0" w:color="auto"/>
            </w:tcBorders>
            <w:vAlign w:val="center"/>
          </w:tcPr>
          <w:p w14:paraId="4149F373" w14:textId="77777777" w:rsidR="005B036A" w:rsidRPr="00BB59D8" w:rsidRDefault="005B036A"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4D0D5FFD" w14:textId="77777777" w:rsidR="005B036A" w:rsidRPr="00BB59D8" w:rsidRDefault="00D307EF" w:rsidP="009750B5">
            <w:pPr>
              <w:pStyle w:val="TableText0"/>
              <w:widowControl w:val="0"/>
              <w:rPr>
                <w:iCs/>
              </w:rPr>
            </w:pPr>
            <w:r w:rsidRPr="00BB59D8">
              <w:rPr>
                <w:iCs/>
              </w:rPr>
              <w:t>10.18 (-5.41, 25.77)</w:t>
            </w:r>
          </w:p>
        </w:tc>
      </w:tr>
      <w:tr w:rsidR="00DB4BC1" w:rsidRPr="00BB59D8" w14:paraId="298F4F38"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4F58802" w14:textId="77777777" w:rsidR="005B036A" w:rsidRPr="00BB59D8" w:rsidRDefault="008B3751" w:rsidP="009750B5">
            <w:pPr>
              <w:pStyle w:val="TableText0"/>
              <w:widowControl w:val="0"/>
            </w:pPr>
            <w:r w:rsidRPr="00BB59D8">
              <w:t xml:space="preserve">Trial </w:t>
            </w:r>
            <w:r w:rsidR="005B036A" w:rsidRPr="00BB59D8">
              <w:t>MS301 120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1A6F93D0" w14:textId="77777777" w:rsidR="005B036A" w:rsidRPr="00BB59D8" w:rsidRDefault="005B036A" w:rsidP="009750B5">
            <w:pPr>
              <w:pStyle w:val="TableText0"/>
              <w:widowControl w:val="0"/>
            </w:pPr>
            <w:r w:rsidRPr="00BB59D8">
              <w:t>17/51</w:t>
            </w:r>
          </w:p>
        </w:tc>
        <w:tc>
          <w:tcPr>
            <w:tcW w:w="471" w:type="pct"/>
            <w:vMerge/>
            <w:tcBorders>
              <w:left w:val="single" w:sz="4" w:space="0" w:color="auto"/>
              <w:bottom w:val="single" w:sz="4" w:space="0" w:color="auto"/>
              <w:right w:val="single" w:sz="4" w:space="0" w:color="auto"/>
            </w:tcBorders>
            <w:vAlign w:val="center"/>
          </w:tcPr>
          <w:p w14:paraId="4586594B" w14:textId="77777777" w:rsidR="005B036A" w:rsidRPr="00BB59D8" w:rsidRDefault="005B036A"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4E1C7E11" w14:textId="77777777" w:rsidR="005B036A" w:rsidRPr="00BB59D8" w:rsidRDefault="005B036A" w:rsidP="009750B5">
            <w:pPr>
              <w:pStyle w:val="TableText0"/>
              <w:widowControl w:val="0"/>
              <w:rPr>
                <w:bCs w:val="0"/>
                <w:iCs/>
              </w:rPr>
            </w:pPr>
            <w:r w:rsidRPr="00BB59D8">
              <w:rPr>
                <w:bCs w:val="0"/>
                <w:iCs/>
              </w:rPr>
              <w:t>4.18 (1.04, 16.64)</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361D3AA0" w14:textId="77777777" w:rsidR="005B036A" w:rsidRPr="00BB59D8" w:rsidRDefault="00D307EF" w:rsidP="009750B5">
            <w:pPr>
              <w:pStyle w:val="TableText0"/>
              <w:widowControl w:val="0"/>
              <w:rPr>
                <w:iCs/>
              </w:rPr>
            </w:pPr>
            <w:r w:rsidRPr="00BB59D8">
              <w:rPr>
                <w:iCs/>
              </w:rPr>
              <w:t>33.33</w:t>
            </w:r>
          </w:p>
        </w:tc>
        <w:tc>
          <w:tcPr>
            <w:tcW w:w="474" w:type="pct"/>
            <w:gridSpan w:val="2"/>
            <w:vMerge/>
            <w:tcBorders>
              <w:left w:val="single" w:sz="4" w:space="0" w:color="auto"/>
              <w:bottom w:val="single" w:sz="4" w:space="0" w:color="auto"/>
              <w:right w:val="single" w:sz="4" w:space="0" w:color="auto"/>
            </w:tcBorders>
            <w:vAlign w:val="center"/>
          </w:tcPr>
          <w:p w14:paraId="1A5EEDE9" w14:textId="77777777" w:rsidR="005B036A" w:rsidRPr="00BB59D8" w:rsidRDefault="005B036A"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46D9B8B2" w14:textId="77777777" w:rsidR="005B036A" w:rsidRPr="00BB59D8" w:rsidRDefault="00D307EF" w:rsidP="009750B5">
            <w:pPr>
              <w:pStyle w:val="TableText0"/>
              <w:widowControl w:val="0"/>
              <w:rPr>
                <w:bCs w:val="0"/>
                <w:iCs/>
              </w:rPr>
            </w:pPr>
            <w:r w:rsidRPr="00BB59D8">
              <w:rPr>
                <w:bCs w:val="0"/>
                <w:iCs/>
              </w:rPr>
              <w:t>25.33 (8.59, 42.08)</w:t>
            </w:r>
          </w:p>
        </w:tc>
      </w:tr>
      <w:tr w:rsidR="00DB4BC1" w:rsidRPr="00BB59D8" w14:paraId="6B175759"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79DEE6EA" w14:textId="77777777" w:rsidR="00635FCC" w:rsidRPr="00BB59D8" w:rsidRDefault="00635FCC" w:rsidP="009750B5">
            <w:pPr>
              <w:pStyle w:val="TableText0"/>
              <w:widowControl w:val="0"/>
            </w:pPr>
            <w:r w:rsidRPr="00BB59D8">
              <w:t>Study 1419</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774D9B76" w14:textId="77777777" w:rsidR="00635FCC" w:rsidRPr="00BB59D8" w:rsidRDefault="00635FCC" w:rsidP="009750B5">
            <w:pPr>
              <w:pStyle w:val="TableText0"/>
              <w:widowControl w:val="0"/>
            </w:pPr>
            <w:r w:rsidRPr="00BB59D8">
              <w:t>48/92</w:t>
            </w:r>
          </w:p>
        </w:tc>
        <w:tc>
          <w:tcPr>
            <w:tcW w:w="471" w:type="pct"/>
            <w:tcBorders>
              <w:left w:val="single" w:sz="4" w:space="0" w:color="auto"/>
              <w:bottom w:val="single" w:sz="4" w:space="0" w:color="auto"/>
              <w:right w:val="single" w:sz="4" w:space="0" w:color="auto"/>
            </w:tcBorders>
            <w:vAlign w:val="center"/>
          </w:tcPr>
          <w:p w14:paraId="7751F2D4"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DDD9DB0"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9F7275A" w14:textId="77777777" w:rsidR="00635FCC" w:rsidRPr="00BB59D8" w:rsidRDefault="00635FCC" w:rsidP="009750B5">
            <w:pPr>
              <w:pStyle w:val="TableText0"/>
              <w:widowControl w:val="0"/>
            </w:pPr>
            <w:r w:rsidRPr="00BB59D8">
              <w:t>52.17</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79AD8D4B"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12128224" w14:textId="77777777" w:rsidR="00635FCC" w:rsidRPr="00BB59D8" w:rsidRDefault="00635FCC" w:rsidP="009750B5">
            <w:pPr>
              <w:pStyle w:val="TableText0"/>
              <w:widowControl w:val="0"/>
            </w:pPr>
            <w:r w:rsidRPr="00BB59D8">
              <w:t>NA</w:t>
            </w:r>
          </w:p>
        </w:tc>
      </w:tr>
      <w:tr w:rsidR="00DB4BC1" w:rsidRPr="00BB59D8" w14:paraId="3084B615"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797EDAFA" w14:textId="77777777" w:rsidR="00635FCC" w:rsidRPr="00BB59D8" w:rsidRDefault="00635FCC" w:rsidP="009750B5">
            <w:pPr>
              <w:pStyle w:val="TableText0"/>
              <w:widowControl w:val="0"/>
            </w:pPr>
            <w:r w:rsidRPr="00BB59D8">
              <w:t>EU-IGFD Registry</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12A3AD85" w14:textId="77777777" w:rsidR="00635FCC" w:rsidRPr="00BB59D8" w:rsidRDefault="00635FCC" w:rsidP="009750B5">
            <w:pPr>
              <w:pStyle w:val="TableText0"/>
              <w:widowControl w:val="0"/>
            </w:pPr>
            <w:r w:rsidRPr="00BB59D8">
              <w:t>73/277</w:t>
            </w:r>
          </w:p>
        </w:tc>
        <w:tc>
          <w:tcPr>
            <w:tcW w:w="471" w:type="pct"/>
            <w:tcBorders>
              <w:top w:val="single" w:sz="4" w:space="0" w:color="auto"/>
              <w:left w:val="single" w:sz="4" w:space="0" w:color="auto"/>
              <w:bottom w:val="single" w:sz="4" w:space="0" w:color="auto"/>
              <w:right w:val="single" w:sz="4" w:space="0" w:color="auto"/>
            </w:tcBorders>
            <w:vAlign w:val="center"/>
          </w:tcPr>
          <w:p w14:paraId="2C44952B"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5E1B61E5"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B876EC6" w14:textId="77777777" w:rsidR="00635FCC" w:rsidRPr="00BB59D8" w:rsidRDefault="00635FCC" w:rsidP="009750B5">
            <w:pPr>
              <w:pStyle w:val="TableText0"/>
              <w:widowControl w:val="0"/>
            </w:pPr>
            <w:r w:rsidRPr="00BB59D8">
              <w:t>26.35</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75B180F0"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35AC5D51" w14:textId="77777777" w:rsidR="00635FCC" w:rsidRPr="00BB59D8" w:rsidRDefault="00635FCC" w:rsidP="009750B5">
            <w:pPr>
              <w:pStyle w:val="TableText0"/>
              <w:widowControl w:val="0"/>
            </w:pPr>
            <w:r w:rsidRPr="00BB59D8">
              <w:t>NA</w:t>
            </w:r>
          </w:p>
        </w:tc>
      </w:tr>
      <w:tr w:rsidR="00635FCC" w:rsidRPr="00BB59D8" w14:paraId="29C713E2" w14:textId="77777777" w:rsidTr="009F73A9">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E4A0C4F" w14:textId="77777777" w:rsidR="00635FCC" w:rsidRPr="00BB59D8" w:rsidRDefault="00635FCC" w:rsidP="009750B5">
            <w:pPr>
              <w:pStyle w:val="In-tableHeading"/>
              <w:widowControl w:val="0"/>
              <w:rPr>
                <w:lang w:val="en-AU"/>
              </w:rPr>
            </w:pPr>
            <w:r w:rsidRPr="00BB59D8">
              <w:rPr>
                <w:lang w:val="en-AU"/>
              </w:rPr>
              <w:t>Adverse event II: General disorders and administration site conditions</w:t>
            </w:r>
          </w:p>
        </w:tc>
      </w:tr>
      <w:tr w:rsidR="00DB4BC1" w:rsidRPr="00BB59D8" w14:paraId="41B09072"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55528F34" w14:textId="77777777" w:rsidR="00635FCC" w:rsidRPr="00BB59D8" w:rsidRDefault="008B3751" w:rsidP="009750B5">
            <w:pPr>
              <w:pStyle w:val="TableText0"/>
              <w:widowControl w:val="0"/>
            </w:pPr>
            <w:r w:rsidRPr="00BB59D8">
              <w:t xml:space="preserve">Trial </w:t>
            </w:r>
            <w:r w:rsidR="00635FCC" w:rsidRPr="00BB59D8">
              <w:t>MS301 40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5B4CB061" w14:textId="77777777" w:rsidR="00635FCC" w:rsidRPr="00BB59D8" w:rsidRDefault="00635FCC" w:rsidP="009750B5">
            <w:pPr>
              <w:pStyle w:val="TableText0"/>
              <w:widowControl w:val="0"/>
            </w:pPr>
            <w:r w:rsidRPr="00BB59D8">
              <w:t>9/16</w:t>
            </w:r>
          </w:p>
        </w:tc>
        <w:tc>
          <w:tcPr>
            <w:tcW w:w="471" w:type="pct"/>
            <w:vMerge w:val="restart"/>
            <w:tcBorders>
              <w:top w:val="single" w:sz="4" w:space="0" w:color="auto"/>
              <w:left w:val="single" w:sz="4" w:space="0" w:color="auto"/>
              <w:right w:val="single" w:sz="4" w:space="0" w:color="auto"/>
            </w:tcBorders>
            <w:vAlign w:val="center"/>
          </w:tcPr>
          <w:p w14:paraId="2817680F" w14:textId="77777777" w:rsidR="00635FCC" w:rsidRPr="00BB59D8" w:rsidRDefault="00635FCC" w:rsidP="009750B5">
            <w:pPr>
              <w:pStyle w:val="TableText0"/>
              <w:widowControl w:val="0"/>
            </w:pPr>
          </w:p>
          <w:p w14:paraId="24FFD3BA" w14:textId="77777777" w:rsidR="00635FCC" w:rsidRPr="00BB59D8" w:rsidRDefault="00635FCC" w:rsidP="009750B5">
            <w:pPr>
              <w:pStyle w:val="TableText0"/>
              <w:widowControl w:val="0"/>
            </w:pPr>
            <w:r w:rsidRPr="00BB59D8">
              <w:t>5/25</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056A5CF7" w14:textId="77777777" w:rsidR="00635FCC" w:rsidRPr="00BB59D8" w:rsidRDefault="00635FCC" w:rsidP="009750B5">
            <w:pPr>
              <w:pStyle w:val="TableText0"/>
              <w:widowControl w:val="0"/>
              <w:rPr>
                <w:bCs w:val="0"/>
                <w:iCs/>
              </w:rPr>
            </w:pPr>
            <w:r w:rsidRPr="00BB59D8">
              <w:rPr>
                <w:bCs w:val="0"/>
                <w:iCs/>
              </w:rPr>
              <w:t>2.81 (1.15, 6.89)</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C7D33C4" w14:textId="77777777" w:rsidR="00635FCC" w:rsidRPr="00BB59D8" w:rsidRDefault="00635FCC" w:rsidP="009750B5">
            <w:pPr>
              <w:pStyle w:val="TableText0"/>
              <w:widowControl w:val="0"/>
              <w:rPr>
                <w:iCs/>
              </w:rPr>
            </w:pPr>
            <w:r w:rsidRPr="00BB59D8">
              <w:rPr>
                <w:iCs/>
              </w:rPr>
              <w:t>56.25</w:t>
            </w:r>
          </w:p>
        </w:tc>
        <w:tc>
          <w:tcPr>
            <w:tcW w:w="474" w:type="pct"/>
            <w:gridSpan w:val="2"/>
            <w:vMerge w:val="restart"/>
            <w:tcBorders>
              <w:top w:val="single" w:sz="4" w:space="0" w:color="auto"/>
              <w:left w:val="single" w:sz="4" w:space="0" w:color="auto"/>
              <w:right w:val="single" w:sz="4" w:space="0" w:color="auto"/>
            </w:tcBorders>
            <w:vAlign w:val="center"/>
          </w:tcPr>
          <w:p w14:paraId="4A37BD58" w14:textId="77777777" w:rsidR="00635FCC" w:rsidRPr="00BB59D8" w:rsidRDefault="00635FCC" w:rsidP="009750B5">
            <w:pPr>
              <w:pStyle w:val="TableText0"/>
              <w:widowControl w:val="0"/>
              <w:rPr>
                <w:iCs/>
              </w:rPr>
            </w:pPr>
            <w:r w:rsidRPr="00BB59D8">
              <w:rPr>
                <w:iCs/>
              </w:rPr>
              <w:t>2.00</w:t>
            </w:r>
          </w:p>
        </w:tc>
        <w:tc>
          <w:tcPr>
            <w:tcW w:w="912" w:type="pct"/>
            <w:tcBorders>
              <w:top w:val="single" w:sz="4" w:space="0" w:color="auto"/>
              <w:left w:val="single" w:sz="4" w:space="0" w:color="auto"/>
              <w:bottom w:val="single" w:sz="4" w:space="0" w:color="auto"/>
              <w:right w:val="single" w:sz="4" w:space="0" w:color="auto"/>
            </w:tcBorders>
            <w:vAlign w:val="center"/>
          </w:tcPr>
          <w:p w14:paraId="5767BC53" w14:textId="77777777" w:rsidR="00635FCC" w:rsidRPr="00BB59D8" w:rsidRDefault="00635FCC" w:rsidP="009750B5">
            <w:pPr>
              <w:pStyle w:val="TableText0"/>
              <w:widowControl w:val="0"/>
              <w:rPr>
                <w:bCs w:val="0"/>
                <w:iCs/>
              </w:rPr>
            </w:pPr>
            <w:r w:rsidRPr="00BB59D8">
              <w:rPr>
                <w:bCs w:val="0"/>
                <w:iCs/>
              </w:rPr>
              <w:t>36.25 (7.32, 65.18)</w:t>
            </w:r>
          </w:p>
        </w:tc>
      </w:tr>
      <w:tr w:rsidR="00DB4BC1" w:rsidRPr="00BB59D8" w14:paraId="191AFC21"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2DA24C84" w14:textId="77777777" w:rsidR="00635FCC" w:rsidRPr="00BB59D8" w:rsidRDefault="008B3751" w:rsidP="009750B5">
            <w:pPr>
              <w:pStyle w:val="TableText0"/>
              <w:widowControl w:val="0"/>
            </w:pPr>
            <w:r w:rsidRPr="00BB59D8">
              <w:t xml:space="preserve">Trial </w:t>
            </w:r>
            <w:r w:rsidR="00635FCC" w:rsidRPr="00BB59D8">
              <w:t>MS301 80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465E3B65" w14:textId="77777777" w:rsidR="00635FCC" w:rsidRPr="00BB59D8" w:rsidRDefault="00635FCC" w:rsidP="009750B5">
            <w:pPr>
              <w:pStyle w:val="TableText0"/>
              <w:widowControl w:val="0"/>
            </w:pPr>
            <w:r w:rsidRPr="00BB59D8">
              <w:t>26/44</w:t>
            </w:r>
          </w:p>
        </w:tc>
        <w:tc>
          <w:tcPr>
            <w:tcW w:w="471" w:type="pct"/>
            <w:vMerge/>
            <w:tcBorders>
              <w:left w:val="single" w:sz="4" w:space="0" w:color="auto"/>
              <w:right w:val="single" w:sz="4" w:space="0" w:color="auto"/>
            </w:tcBorders>
            <w:vAlign w:val="center"/>
          </w:tcPr>
          <w:p w14:paraId="28196A8F" w14:textId="77777777" w:rsidR="00635FCC" w:rsidRPr="00BB59D8" w:rsidRDefault="00635FCC"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7219B3C2" w14:textId="77777777" w:rsidR="00635FCC" w:rsidRPr="00BB59D8" w:rsidRDefault="00635FCC" w:rsidP="009750B5">
            <w:pPr>
              <w:pStyle w:val="TableText0"/>
              <w:widowControl w:val="0"/>
              <w:rPr>
                <w:bCs w:val="0"/>
                <w:iCs/>
              </w:rPr>
            </w:pPr>
            <w:r w:rsidRPr="00BB59D8">
              <w:rPr>
                <w:bCs w:val="0"/>
                <w:iCs/>
              </w:rPr>
              <w:t>2.96 (1.30, 6.72)</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F120213" w14:textId="77777777" w:rsidR="00635FCC" w:rsidRPr="00BB59D8" w:rsidRDefault="00635FCC" w:rsidP="009750B5">
            <w:pPr>
              <w:pStyle w:val="TableText0"/>
              <w:widowControl w:val="0"/>
              <w:rPr>
                <w:iCs/>
              </w:rPr>
            </w:pPr>
            <w:r w:rsidRPr="00BB59D8">
              <w:rPr>
                <w:iCs/>
              </w:rPr>
              <w:t>59.09</w:t>
            </w:r>
          </w:p>
        </w:tc>
        <w:tc>
          <w:tcPr>
            <w:tcW w:w="474" w:type="pct"/>
            <w:gridSpan w:val="2"/>
            <w:vMerge/>
            <w:tcBorders>
              <w:left w:val="single" w:sz="4" w:space="0" w:color="auto"/>
              <w:right w:val="single" w:sz="4" w:space="0" w:color="auto"/>
            </w:tcBorders>
            <w:vAlign w:val="center"/>
          </w:tcPr>
          <w:p w14:paraId="50E6829F" w14:textId="77777777" w:rsidR="00635FCC" w:rsidRPr="00BB59D8" w:rsidRDefault="00635FCC"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362DE0EF" w14:textId="77777777" w:rsidR="00635FCC" w:rsidRPr="00BB59D8" w:rsidRDefault="00635FCC" w:rsidP="009750B5">
            <w:pPr>
              <w:pStyle w:val="TableText0"/>
              <w:widowControl w:val="0"/>
              <w:rPr>
                <w:bCs w:val="0"/>
                <w:iCs/>
              </w:rPr>
            </w:pPr>
            <w:r w:rsidRPr="00BB59D8">
              <w:rPr>
                <w:bCs w:val="0"/>
                <w:iCs/>
              </w:rPr>
              <w:t>39.09 (17.72, 60.47)</w:t>
            </w:r>
          </w:p>
        </w:tc>
      </w:tr>
      <w:tr w:rsidR="00DB4BC1" w:rsidRPr="00BB59D8" w14:paraId="5DBFDB90"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B474685" w14:textId="77777777" w:rsidR="00635FCC" w:rsidRPr="00BB59D8" w:rsidRDefault="008B3751" w:rsidP="009750B5">
            <w:pPr>
              <w:pStyle w:val="TableText0"/>
              <w:widowControl w:val="0"/>
            </w:pPr>
            <w:r w:rsidRPr="00BB59D8">
              <w:t xml:space="preserve">Trial </w:t>
            </w:r>
            <w:r w:rsidR="00635FCC" w:rsidRPr="00BB59D8">
              <w:t>MS301 120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38692F90" w14:textId="77777777" w:rsidR="00635FCC" w:rsidRPr="00BB59D8" w:rsidRDefault="00635FCC" w:rsidP="009750B5">
            <w:pPr>
              <w:pStyle w:val="TableText0"/>
              <w:widowControl w:val="0"/>
            </w:pPr>
            <w:r w:rsidRPr="00BB59D8">
              <w:t>27/51</w:t>
            </w:r>
          </w:p>
        </w:tc>
        <w:tc>
          <w:tcPr>
            <w:tcW w:w="471" w:type="pct"/>
            <w:vMerge/>
            <w:tcBorders>
              <w:left w:val="single" w:sz="4" w:space="0" w:color="auto"/>
              <w:bottom w:val="single" w:sz="4" w:space="0" w:color="auto"/>
              <w:right w:val="single" w:sz="4" w:space="0" w:color="auto"/>
            </w:tcBorders>
            <w:vAlign w:val="center"/>
          </w:tcPr>
          <w:p w14:paraId="36527996" w14:textId="77777777" w:rsidR="00635FCC" w:rsidRPr="00BB59D8" w:rsidRDefault="00635FCC"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50F33E8" w14:textId="77777777" w:rsidR="00635FCC" w:rsidRPr="00BB59D8" w:rsidRDefault="00635FCC" w:rsidP="009750B5">
            <w:pPr>
              <w:pStyle w:val="TableText0"/>
              <w:widowControl w:val="0"/>
              <w:rPr>
                <w:bCs w:val="0"/>
                <w:iCs/>
              </w:rPr>
            </w:pPr>
            <w:r w:rsidRPr="00BB59D8">
              <w:rPr>
                <w:bCs w:val="0"/>
                <w:iCs/>
              </w:rPr>
              <w:t>2.65 (1.16, 6.04)</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346F88B" w14:textId="77777777" w:rsidR="00635FCC" w:rsidRPr="00BB59D8" w:rsidRDefault="00635FCC" w:rsidP="009750B5">
            <w:pPr>
              <w:pStyle w:val="TableText0"/>
              <w:widowControl w:val="0"/>
              <w:rPr>
                <w:iCs/>
              </w:rPr>
            </w:pPr>
            <w:r w:rsidRPr="00BB59D8">
              <w:rPr>
                <w:iCs/>
              </w:rPr>
              <w:t>52.94</w:t>
            </w:r>
          </w:p>
        </w:tc>
        <w:tc>
          <w:tcPr>
            <w:tcW w:w="474" w:type="pct"/>
            <w:gridSpan w:val="2"/>
            <w:vMerge/>
            <w:tcBorders>
              <w:left w:val="single" w:sz="4" w:space="0" w:color="auto"/>
              <w:bottom w:val="single" w:sz="4" w:space="0" w:color="auto"/>
              <w:right w:val="single" w:sz="4" w:space="0" w:color="auto"/>
            </w:tcBorders>
            <w:vAlign w:val="center"/>
          </w:tcPr>
          <w:p w14:paraId="54B994E2" w14:textId="77777777" w:rsidR="00635FCC" w:rsidRPr="00BB59D8" w:rsidRDefault="00635FCC"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6E917845" w14:textId="77777777" w:rsidR="00635FCC" w:rsidRPr="00BB59D8" w:rsidRDefault="00635FCC" w:rsidP="009750B5">
            <w:pPr>
              <w:pStyle w:val="TableText0"/>
              <w:widowControl w:val="0"/>
              <w:rPr>
                <w:bCs w:val="0"/>
                <w:iCs/>
              </w:rPr>
            </w:pPr>
            <w:r w:rsidRPr="00BB59D8">
              <w:rPr>
                <w:bCs w:val="0"/>
                <w:iCs/>
              </w:rPr>
              <w:t>32.94 (12.12, 53.76)</w:t>
            </w:r>
          </w:p>
        </w:tc>
      </w:tr>
      <w:tr w:rsidR="00DB4BC1" w:rsidRPr="00BB59D8" w14:paraId="582F61FD"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2456FDC1" w14:textId="77777777" w:rsidR="00635FCC" w:rsidRPr="00BB59D8" w:rsidRDefault="00635FCC" w:rsidP="009750B5">
            <w:pPr>
              <w:pStyle w:val="TableText0"/>
              <w:widowControl w:val="0"/>
            </w:pPr>
            <w:r w:rsidRPr="00BB59D8">
              <w:t>Study 1419</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385191CE" w14:textId="77777777" w:rsidR="00635FCC" w:rsidRPr="00BB59D8" w:rsidRDefault="00635FCC" w:rsidP="009750B5">
            <w:pPr>
              <w:pStyle w:val="TableText0"/>
              <w:widowControl w:val="0"/>
            </w:pPr>
            <w:r w:rsidRPr="00BB59D8">
              <w:t>42/92</w:t>
            </w:r>
          </w:p>
        </w:tc>
        <w:tc>
          <w:tcPr>
            <w:tcW w:w="471" w:type="pct"/>
            <w:tcBorders>
              <w:left w:val="single" w:sz="4" w:space="0" w:color="auto"/>
              <w:bottom w:val="single" w:sz="4" w:space="0" w:color="auto"/>
              <w:right w:val="single" w:sz="4" w:space="0" w:color="auto"/>
            </w:tcBorders>
            <w:vAlign w:val="center"/>
          </w:tcPr>
          <w:p w14:paraId="2C536A9F"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72E26FD"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09A677D" w14:textId="77777777" w:rsidR="00635FCC" w:rsidRPr="00BB59D8" w:rsidRDefault="00635FCC" w:rsidP="009750B5">
            <w:pPr>
              <w:pStyle w:val="TableText0"/>
              <w:widowControl w:val="0"/>
            </w:pPr>
            <w:r w:rsidRPr="00BB59D8">
              <w:t>45.65</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1E810D5D"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57EA724A" w14:textId="77777777" w:rsidR="00635FCC" w:rsidRPr="00BB59D8" w:rsidRDefault="00635FCC" w:rsidP="009750B5">
            <w:pPr>
              <w:pStyle w:val="TableText0"/>
              <w:widowControl w:val="0"/>
            </w:pPr>
            <w:r w:rsidRPr="00BB59D8">
              <w:t>NA</w:t>
            </w:r>
          </w:p>
        </w:tc>
      </w:tr>
      <w:tr w:rsidR="00DB4BC1" w:rsidRPr="00BB59D8" w14:paraId="04E2FD3D"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2CCF1056" w14:textId="77777777" w:rsidR="00635FCC" w:rsidRPr="00BB59D8" w:rsidRDefault="00635FCC" w:rsidP="009750B5">
            <w:pPr>
              <w:pStyle w:val="TableText0"/>
              <w:widowControl w:val="0"/>
            </w:pPr>
            <w:r w:rsidRPr="00BB59D8">
              <w:t>EU-IGFD Registry</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1EB27C86" w14:textId="77777777" w:rsidR="00635FCC" w:rsidRPr="00BB59D8" w:rsidRDefault="00635FCC" w:rsidP="009750B5">
            <w:pPr>
              <w:pStyle w:val="TableText0"/>
              <w:widowControl w:val="0"/>
            </w:pPr>
            <w:r w:rsidRPr="00BB59D8">
              <w:t>32/277</w:t>
            </w:r>
          </w:p>
        </w:tc>
        <w:tc>
          <w:tcPr>
            <w:tcW w:w="471" w:type="pct"/>
            <w:tcBorders>
              <w:top w:val="single" w:sz="4" w:space="0" w:color="auto"/>
              <w:left w:val="single" w:sz="4" w:space="0" w:color="auto"/>
              <w:bottom w:val="single" w:sz="4" w:space="0" w:color="auto"/>
              <w:right w:val="single" w:sz="4" w:space="0" w:color="auto"/>
            </w:tcBorders>
            <w:vAlign w:val="center"/>
          </w:tcPr>
          <w:p w14:paraId="405FECE2"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3B0F6987"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9502833" w14:textId="77777777" w:rsidR="00635FCC" w:rsidRPr="00BB59D8" w:rsidRDefault="00635FCC" w:rsidP="009750B5">
            <w:pPr>
              <w:pStyle w:val="TableText0"/>
              <w:widowControl w:val="0"/>
            </w:pPr>
            <w:r w:rsidRPr="00BB59D8">
              <w:t>11.55</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7323034B"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21423B20" w14:textId="77777777" w:rsidR="00635FCC" w:rsidRPr="00BB59D8" w:rsidRDefault="00635FCC" w:rsidP="009750B5">
            <w:pPr>
              <w:pStyle w:val="TableText0"/>
              <w:widowControl w:val="0"/>
            </w:pPr>
            <w:r w:rsidRPr="00BB59D8">
              <w:t>NA</w:t>
            </w:r>
          </w:p>
        </w:tc>
      </w:tr>
      <w:tr w:rsidR="00635FCC" w:rsidRPr="00BB59D8" w14:paraId="60C03F33" w14:textId="77777777" w:rsidTr="009F73A9">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319D2FF" w14:textId="77777777" w:rsidR="00635FCC" w:rsidRPr="00BB59D8" w:rsidRDefault="00635FCC" w:rsidP="009750B5">
            <w:pPr>
              <w:pStyle w:val="TableText0"/>
              <w:widowControl w:val="0"/>
            </w:pPr>
            <w:r w:rsidRPr="00BB59D8">
              <w:rPr>
                <w:b/>
                <w:bCs w:val="0"/>
              </w:rPr>
              <w:t>Adverse event I</w:t>
            </w:r>
            <w:r w:rsidR="00F31827" w:rsidRPr="00BB59D8">
              <w:rPr>
                <w:b/>
                <w:bCs w:val="0"/>
              </w:rPr>
              <w:t>II</w:t>
            </w:r>
            <w:r w:rsidRPr="00BB59D8">
              <w:rPr>
                <w:b/>
                <w:bCs w:val="0"/>
              </w:rPr>
              <w:t>: Gastrointestinal disorders</w:t>
            </w:r>
          </w:p>
        </w:tc>
      </w:tr>
      <w:tr w:rsidR="00DB4BC1" w:rsidRPr="00BB59D8" w14:paraId="29ADDCBE"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A457B11" w14:textId="77777777" w:rsidR="00635FCC" w:rsidRPr="00BB59D8" w:rsidRDefault="008B3751" w:rsidP="009750B5">
            <w:pPr>
              <w:pStyle w:val="TableText0"/>
              <w:widowControl w:val="0"/>
            </w:pPr>
            <w:r w:rsidRPr="00BB59D8">
              <w:t xml:space="preserve">Trial </w:t>
            </w:r>
            <w:r w:rsidR="00635FCC" w:rsidRPr="00BB59D8">
              <w:t>MS301 40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668F1876" w14:textId="77777777" w:rsidR="00635FCC" w:rsidRPr="00BB59D8" w:rsidRDefault="00635FCC" w:rsidP="009750B5">
            <w:pPr>
              <w:pStyle w:val="TableText0"/>
              <w:widowControl w:val="0"/>
            </w:pPr>
            <w:r w:rsidRPr="00BB59D8">
              <w:t>12/16</w:t>
            </w:r>
          </w:p>
        </w:tc>
        <w:tc>
          <w:tcPr>
            <w:tcW w:w="471" w:type="pct"/>
            <w:vMerge w:val="restart"/>
            <w:tcBorders>
              <w:top w:val="single" w:sz="4" w:space="0" w:color="auto"/>
              <w:left w:val="single" w:sz="4" w:space="0" w:color="auto"/>
              <w:right w:val="single" w:sz="4" w:space="0" w:color="auto"/>
            </w:tcBorders>
            <w:vAlign w:val="center"/>
          </w:tcPr>
          <w:p w14:paraId="1AAA462E" w14:textId="77777777" w:rsidR="00635FCC" w:rsidRPr="00BB59D8" w:rsidRDefault="00635FCC" w:rsidP="009750B5">
            <w:pPr>
              <w:pStyle w:val="TableText0"/>
              <w:widowControl w:val="0"/>
            </w:pPr>
            <w:r w:rsidRPr="00BB59D8">
              <w:t>3/25</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15307FD" w14:textId="77777777" w:rsidR="00635FCC" w:rsidRPr="00BB59D8" w:rsidRDefault="00635FCC" w:rsidP="009750B5">
            <w:pPr>
              <w:pStyle w:val="TableText0"/>
              <w:widowControl w:val="0"/>
              <w:rPr>
                <w:bCs w:val="0"/>
                <w:iCs/>
              </w:rPr>
            </w:pPr>
            <w:r w:rsidRPr="00BB59D8">
              <w:rPr>
                <w:bCs w:val="0"/>
                <w:iCs/>
              </w:rPr>
              <w:t>6.25 (2.08, 18.75)</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39662E02" w14:textId="77777777" w:rsidR="00635FCC" w:rsidRPr="00BB59D8" w:rsidRDefault="00635FCC" w:rsidP="009750B5">
            <w:pPr>
              <w:pStyle w:val="TableText0"/>
              <w:widowControl w:val="0"/>
              <w:rPr>
                <w:iCs/>
              </w:rPr>
            </w:pPr>
            <w:r w:rsidRPr="00BB59D8">
              <w:rPr>
                <w:iCs/>
              </w:rPr>
              <w:t>75.00</w:t>
            </w:r>
          </w:p>
        </w:tc>
        <w:tc>
          <w:tcPr>
            <w:tcW w:w="474" w:type="pct"/>
            <w:gridSpan w:val="2"/>
            <w:vMerge w:val="restart"/>
            <w:tcBorders>
              <w:top w:val="single" w:sz="4" w:space="0" w:color="auto"/>
              <w:left w:val="single" w:sz="4" w:space="0" w:color="auto"/>
              <w:right w:val="single" w:sz="4" w:space="0" w:color="auto"/>
            </w:tcBorders>
            <w:vAlign w:val="center"/>
          </w:tcPr>
          <w:p w14:paraId="1FFFC5F1" w14:textId="77777777" w:rsidR="00635FCC" w:rsidRPr="00BB59D8" w:rsidRDefault="00635FCC" w:rsidP="009750B5">
            <w:pPr>
              <w:pStyle w:val="TableText0"/>
              <w:widowControl w:val="0"/>
              <w:rPr>
                <w:iCs/>
              </w:rPr>
            </w:pPr>
            <w:r w:rsidRPr="00BB59D8">
              <w:rPr>
                <w:iCs/>
              </w:rPr>
              <w:t>12.00</w:t>
            </w:r>
          </w:p>
        </w:tc>
        <w:tc>
          <w:tcPr>
            <w:tcW w:w="912" w:type="pct"/>
            <w:tcBorders>
              <w:top w:val="single" w:sz="4" w:space="0" w:color="auto"/>
              <w:left w:val="single" w:sz="4" w:space="0" w:color="auto"/>
              <w:bottom w:val="single" w:sz="4" w:space="0" w:color="auto"/>
              <w:right w:val="single" w:sz="4" w:space="0" w:color="auto"/>
            </w:tcBorders>
            <w:vAlign w:val="center"/>
          </w:tcPr>
          <w:p w14:paraId="32595F68" w14:textId="77777777" w:rsidR="00635FCC" w:rsidRPr="00BB59D8" w:rsidRDefault="00635FCC" w:rsidP="009750B5">
            <w:pPr>
              <w:pStyle w:val="TableText0"/>
              <w:widowControl w:val="0"/>
              <w:rPr>
                <w:bCs w:val="0"/>
                <w:iCs/>
              </w:rPr>
            </w:pPr>
            <w:r w:rsidRPr="00BB59D8">
              <w:rPr>
                <w:bCs w:val="0"/>
                <w:iCs/>
              </w:rPr>
              <w:t>63.00 (38.25, 87.75)</w:t>
            </w:r>
          </w:p>
        </w:tc>
      </w:tr>
      <w:tr w:rsidR="00DB4BC1" w:rsidRPr="00BB59D8" w14:paraId="39776575"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DFA3533" w14:textId="77777777" w:rsidR="00635FCC" w:rsidRPr="00BB59D8" w:rsidRDefault="008B3751" w:rsidP="009750B5">
            <w:pPr>
              <w:pStyle w:val="TableText0"/>
              <w:widowControl w:val="0"/>
            </w:pPr>
            <w:r w:rsidRPr="00BB59D8">
              <w:t xml:space="preserve">Trial </w:t>
            </w:r>
            <w:r w:rsidR="00635FCC" w:rsidRPr="00BB59D8">
              <w:t>MS301 80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52D7A6A4" w14:textId="77777777" w:rsidR="00635FCC" w:rsidRPr="00BB59D8" w:rsidRDefault="00635FCC" w:rsidP="009750B5">
            <w:pPr>
              <w:pStyle w:val="TableText0"/>
              <w:widowControl w:val="0"/>
            </w:pPr>
            <w:r w:rsidRPr="00BB59D8">
              <w:t>18/44</w:t>
            </w:r>
          </w:p>
        </w:tc>
        <w:tc>
          <w:tcPr>
            <w:tcW w:w="471" w:type="pct"/>
            <w:vMerge/>
            <w:tcBorders>
              <w:left w:val="single" w:sz="4" w:space="0" w:color="auto"/>
              <w:right w:val="single" w:sz="4" w:space="0" w:color="auto"/>
            </w:tcBorders>
            <w:vAlign w:val="center"/>
          </w:tcPr>
          <w:p w14:paraId="3620B580" w14:textId="77777777" w:rsidR="00635FCC" w:rsidRPr="00BB59D8" w:rsidRDefault="00635FCC"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1FDFB3C3" w14:textId="77777777" w:rsidR="00635FCC" w:rsidRPr="00BB59D8" w:rsidRDefault="00635FCC" w:rsidP="009750B5">
            <w:pPr>
              <w:pStyle w:val="TableText0"/>
              <w:widowControl w:val="0"/>
              <w:rPr>
                <w:bCs w:val="0"/>
                <w:iCs/>
              </w:rPr>
            </w:pPr>
            <w:r w:rsidRPr="00BB59D8">
              <w:rPr>
                <w:bCs w:val="0"/>
                <w:iCs/>
              </w:rPr>
              <w:t>3.41 (1.11, 10.44)</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4000585" w14:textId="77777777" w:rsidR="00635FCC" w:rsidRPr="00BB59D8" w:rsidRDefault="00635FCC" w:rsidP="009750B5">
            <w:pPr>
              <w:pStyle w:val="TableText0"/>
              <w:widowControl w:val="0"/>
              <w:rPr>
                <w:iCs/>
              </w:rPr>
            </w:pPr>
            <w:r w:rsidRPr="00BB59D8">
              <w:rPr>
                <w:iCs/>
              </w:rPr>
              <w:t>40.91</w:t>
            </w:r>
          </w:p>
        </w:tc>
        <w:tc>
          <w:tcPr>
            <w:tcW w:w="474" w:type="pct"/>
            <w:gridSpan w:val="2"/>
            <w:vMerge/>
            <w:tcBorders>
              <w:left w:val="single" w:sz="4" w:space="0" w:color="auto"/>
              <w:right w:val="single" w:sz="4" w:space="0" w:color="auto"/>
            </w:tcBorders>
            <w:vAlign w:val="center"/>
          </w:tcPr>
          <w:p w14:paraId="6FE0BCAB" w14:textId="77777777" w:rsidR="00635FCC" w:rsidRPr="00BB59D8" w:rsidRDefault="00635FCC"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1BB2E7E8" w14:textId="77777777" w:rsidR="00635FCC" w:rsidRPr="00BB59D8" w:rsidRDefault="00635FCC" w:rsidP="009750B5">
            <w:pPr>
              <w:pStyle w:val="TableText0"/>
              <w:widowControl w:val="0"/>
              <w:rPr>
                <w:bCs w:val="0"/>
                <w:iCs/>
              </w:rPr>
            </w:pPr>
            <w:r w:rsidRPr="00BB59D8">
              <w:rPr>
                <w:bCs w:val="0"/>
                <w:iCs/>
              </w:rPr>
              <w:t>28.91 (9.59, 48.23)</w:t>
            </w:r>
          </w:p>
        </w:tc>
      </w:tr>
      <w:tr w:rsidR="00DB4BC1" w:rsidRPr="00BB59D8" w14:paraId="6A82B515"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47BF97E" w14:textId="77777777" w:rsidR="00635FCC" w:rsidRPr="00BB59D8" w:rsidRDefault="008B3751" w:rsidP="009750B5">
            <w:pPr>
              <w:pStyle w:val="TableText0"/>
              <w:widowControl w:val="0"/>
            </w:pPr>
            <w:r w:rsidRPr="00BB59D8">
              <w:t xml:space="preserve">Trial </w:t>
            </w:r>
            <w:r w:rsidR="00635FCC" w:rsidRPr="00BB59D8">
              <w:t>MS301 120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131F3543" w14:textId="77777777" w:rsidR="00635FCC" w:rsidRPr="00BB59D8" w:rsidRDefault="00635FCC" w:rsidP="009750B5">
            <w:pPr>
              <w:pStyle w:val="TableText0"/>
              <w:widowControl w:val="0"/>
            </w:pPr>
            <w:r w:rsidRPr="00BB59D8">
              <w:t>27/51</w:t>
            </w:r>
          </w:p>
        </w:tc>
        <w:tc>
          <w:tcPr>
            <w:tcW w:w="471" w:type="pct"/>
            <w:vMerge/>
            <w:tcBorders>
              <w:left w:val="single" w:sz="4" w:space="0" w:color="auto"/>
              <w:bottom w:val="single" w:sz="4" w:space="0" w:color="auto"/>
              <w:right w:val="single" w:sz="4" w:space="0" w:color="auto"/>
            </w:tcBorders>
            <w:vAlign w:val="center"/>
          </w:tcPr>
          <w:p w14:paraId="2F4B00B1" w14:textId="77777777" w:rsidR="00635FCC" w:rsidRPr="00BB59D8" w:rsidRDefault="00635FCC"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6B66465D" w14:textId="77777777" w:rsidR="00635FCC" w:rsidRPr="00BB59D8" w:rsidRDefault="00635FCC" w:rsidP="009750B5">
            <w:pPr>
              <w:pStyle w:val="TableText0"/>
              <w:widowControl w:val="0"/>
              <w:rPr>
                <w:bCs w:val="0"/>
                <w:iCs/>
              </w:rPr>
            </w:pPr>
            <w:r w:rsidRPr="00BB59D8">
              <w:rPr>
                <w:bCs w:val="0"/>
                <w:iCs/>
              </w:rPr>
              <w:t>4.41 (2.19, 31.06)</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4DA6433D" w14:textId="77777777" w:rsidR="00635FCC" w:rsidRPr="00BB59D8" w:rsidRDefault="00635FCC" w:rsidP="009750B5">
            <w:pPr>
              <w:pStyle w:val="TableText0"/>
              <w:widowControl w:val="0"/>
              <w:rPr>
                <w:iCs/>
              </w:rPr>
            </w:pPr>
            <w:r w:rsidRPr="00BB59D8">
              <w:rPr>
                <w:iCs/>
              </w:rPr>
              <w:t>52.94</w:t>
            </w:r>
          </w:p>
        </w:tc>
        <w:tc>
          <w:tcPr>
            <w:tcW w:w="474" w:type="pct"/>
            <w:gridSpan w:val="2"/>
            <w:vMerge/>
            <w:tcBorders>
              <w:left w:val="single" w:sz="4" w:space="0" w:color="auto"/>
              <w:bottom w:val="single" w:sz="4" w:space="0" w:color="auto"/>
              <w:right w:val="single" w:sz="4" w:space="0" w:color="auto"/>
            </w:tcBorders>
            <w:vAlign w:val="center"/>
          </w:tcPr>
          <w:p w14:paraId="7E6E52E6" w14:textId="77777777" w:rsidR="00635FCC" w:rsidRPr="00BB59D8" w:rsidRDefault="00635FCC"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696F364A" w14:textId="77777777" w:rsidR="00635FCC" w:rsidRPr="00BB59D8" w:rsidRDefault="00635FCC" w:rsidP="009750B5">
            <w:pPr>
              <w:pStyle w:val="TableText0"/>
              <w:widowControl w:val="0"/>
              <w:rPr>
                <w:bCs w:val="0"/>
                <w:iCs/>
              </w:rPr>
            </w:pPr>
            <w:r w:rsidRPr="00BB59D8">
              <w:rPr>
                <w:bCs w:val="0"/>
                <w:iCs/>
              </w:rPr>
              <w:t>40.94 (22.23, 59.65)</w:t>
            </w:r>
          </w:p>
        </w:tc>
      </w:tr>
      <w:tr w:rsidR="00DB4BC1" w:rsidRPr="00BB59D8" w14:paraId="51AF3742"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369DEAA" w14:textId="77777777" w:rsidR="00635FCC" w:rsidRPr="00BB59D8" w:rsidRDefault="00635FCC" w:rsidP="009750B5">
            <w:pPr>
              <w:pStyle w:val="TableText0"/>
              <w:widowControl w:val="0"/>
            </w:pPr>
            <w:r w:rsidRPr="00BB59D8">
              <w:t>Study 1419</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7F8FF925" w14:textId="77777777" w:rsidR="00635FCC" w:rsidRPr="00BB59D8" w:rsidRDefault="00635FCC" w:rsidP="009750B5">
            <w:pPr>
              <w:pStyle w:val="TableText0"/>
              <w:widowControl w:val="0"/>
            </w:pPr>
            <w:r w:rsidRPr="00BB59D8">
              <w:t>33/92</w:t>
            </w:r>
          </w:p>
        </w:tc>
        <w:tc>
          <w:tcPr>
            <w:tcW w:w="471" w:type="pct"/>
            <w:tcBorders>
              <w:left w:val="single" w:sz="4" w:space="0" w:color="auto"/>
              <w:bottom w:val="single" w:sz="4" w:space="0" w:color="auto"/>
              <w:right w:val="single" w:sz="4" w:space="0" w:color="auto"/>
            </w:tcBorders>
            <w:vAlign w:val="center"/>
          </w:tcPr>
          <w:p w14:paraId="5155F507"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69A5FFA8"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204DC260" w14:textId="77777777" w:rsidR="00635FCC" w:rsidRPr="00BB59D8" w:rsidRDefault="00635FCC" w:rsidP="009750B5">
            <w:pPr>
              <w:pStyle w:val="TableText0"/>
              <w:widowControl w:val="0"/>
            </w:pPr>
            <w:r w:rsidRPr="00BB59D8">
              <w:t>35.87</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62269764"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7D8AD235" w14:textId="77777777" w:rsidR="00635FCC" w:rsidRPr="00BB59D8" w:rsidRDefault="00635FCC" w:rsidP="009750B5">
            <w:pPr>
              <w:pStyle w:val="TableText0"/>
              <w:widowControl w:val="0"/>
            </w:pPr>
            <w:r w:rsidRPr="00BB59D8">
              <w:t>NA</w:t>
            </w:r>
          </w:p>
        </w:tc>
      </w:tr>
      <w:tr w:rsidR="00DB4BC1" w:rsidRPr="00BB59D8" w14:paraId="7849A16B"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9E7D07E" w14:textId="77777777" w:rsidR="00635FCC" w:rsidRPr="00BB59D8" w:rsidRDefault="00635FCC" w:rsidP="009750B5">
            <w:pPr>
              <w:pStyle w:val="TableText0"/>
              <w:widowControl w:val="0"/>
            </w:pPr>
            <w:r w:rsidRPr="00BB59D8">
              <w:t>EU-IGFD Registry</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5D3652BB" w14:textId="77777777" w:rsidR="00635FCC" w:rsidRPr="00BB59D8" w:rsidRDefault="00635FCC" w:rsidP="009750B5">
            <w:pPr>
              <w:pStyle w:val="TableText0"/>
              <w:widowControl w:val="0"/>
            </w:pPr>
            <w:r w:rsidRPr="00BB59D8">
              <w:t>13/277</w:t>
            </w:r>
          </w:p>
        </w:tc>
        <w:tc>
          <w:tcPr>
            <w:tcW w:w="471" w:type="pct"/>
            <w:tcBorders>
              <w:top w:val="single" w:sz="4" w:space="0" w:color="auto"/>
              <w:left w:val="single" w:sz="4" w:space="0" w:color="auto"/>
              <w:bottom w:val="single" w:sz="4" w:space="0" w:color="auto"/>
              <w:right w:val="single" w:sz="4" w:space="0" w:color="auto"/>
            </w:tcBorders>
            <w:vAlign w:val="center"/>
          </w:tcPr>
          <w:p w14:paraId="0810AB6D"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028D1FC3"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B0820ED" w14:textId="77777777" w:rsidR="00635FCC" w:rsidRPr="00BB59D8" w:rsidRDefault="00635FCC" w:rsidP="009750B5">
            <w:pPr>
              <w:pStyle w:val="TableText0"/>
              <w:widowControl w:val="0"/>
            </w:pPr>
            <w:r w:rsidRPr="00BB59D8">
              <w:t>4.69</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01E420EF"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27D02C8B" w14:textId="77777777" w:rsidR="00635FCC" w:rsidRPr="00BB59D8" w:rsidRDefault="00635FCC" w:rsidP="009750B5">
            <w:pPr>
              <w:pStyle w:val="TableText0"/>
              <w:widowControl w:val="0"/>
            </w:pPr>
            <w:r w:rsidRPr="00BB59D8">
              <w:t>NA</w:t>
            </w:r>
          </w:p>
        </w:tc>
      </w:tr>
      <w:tr w:rsidR="00635FCC" w:rsidRPr="00BB59D8" w14:paraId="2F4E07DB" w14:textId="77777777" w:rsidTr="009F73A9">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BC27D4F" w14:textId="77777777" w:rsidR="00635FCC" w:rsidRPr="00BB59D8" w:rsidRDefault="00635FCC" w:rsidP="009750B5">
            <w:pPr>
              <w:pStyle w:val="TableText0"/>
              <w:widowControl w:val="0"/>
              <w:rPr>
                <w:b/>
                <w:bCs w:val="0"/>
              </w:rPr>
            </w:pPr>
            <w:r w:rsidRPr="00BB59D8">
              <w:rPr>
                <w:b/>
                <w:bCs w:val="0"/>
              </w:rPr>
              <w:t xml:space="preserve">Adverse event </w:t>
            </w:r>
            <w:r w:rsidR="00F31827" w:rsidRPr="00BB59D8">
              <w:rPr>
                <w:b/>
                <w:bCs w:val="0"/>
              </w:rPr>
              <w:t>I</w:t>
            </w:r>
            <w:r w:rsidRPr="00BB59D8">
              <w:rPr>
                <w:b/>
                <w:bCs w:val="0"/>
              </w:rPr>
              <w:t>V: Nervous system disorders</w:t>
            </w:r>
          </w:p>
        </w:tc>
      </w:tr>
      <w:tr w:rsidR="00DB4BC1" w:rsidRPr="00BB59D8" w14:paraId="11983FB6"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5F903353" w14:textId="77777777" w:rsidR="00635FCC" w:rsidRPr="00BB59D8" w:rsidRDefault="008B3751" w:rsidP="009750B5">
            <w:pPr>
              <w:pStyle w:val="TableText0"/>
              <w:widowControl w:val="0"/>
            </w:pPr>
            <w:r w:rsidRPr="00BB59D8">
              <w:t xml:space="preserve">Trial </w:t>
            </w:r>
            <w:r w:rsidR="00635FCC" w:rsidRPr="00BB59D8">
              <w:t>MS301 40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3A0DDE08" w14:textId="77777777" w:rsidR="00635FCC" w:rsidRPr="00BB59D8" w:rsidRDefault="00635FCC" w:rsidP="009750B5">
            <w:pPr>
              <w:pStyle w:val="TableText0"/>
              <w:widowControl w:val="0"/>
            </w:pPr>
            <w:r w:rsidRPr="00BB59D8">
              <w:t>9/16</w:t>
            </w:r>
          </w:p>
        </w:tc>
        <w:tc>
          <w:tcPr>
            <w:tcW w:w="471" w:type="pct"/>
            <w:vMerge w:val="restart"/>
            <w:tcBorders>
              <w:top w:val="single" w:sz="4" w:space="0" w:color="auto"/>
              <w:left w:val="single" w:sz="4" w:space="0" w:color="auto"/>
              <w:right w:val="single" w:sz="4" w:space="0" w:color="auto"/>
            </w:tcBorders>
            <w:vAlign w:val="center"/>
          </w:tcPr>
          <w:p w14:paraId="410B9B71" w14:textId="77777777" w:rsidR="00635FCC" w:rsidRPr="00BB59D8" w:rsidRDefault="00635FCC" w:rsidP="009750B5">
            <w:pPr>
              <w:pStyle w:val="TableText0"/>
              <w:widowControl w:val="0"/>
            </w:pPr>
            <w:r w:rsidRPr="00BB59D8">
              <w:t>4/25</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75572347" w14:textId="77777777" w:rsidR="00635FCC" w:rsidRPr="00BB59D8" w:rsidRDefault="00635FCC" w:rsidP="009750B5">
            <w:pPr>
              <w:pStyle w:val="TableText0"/>
              <w:widowControl w:val="0"/>
              <w:rPr>
                <w:bCs w:val="0"/>
                <w:iCs/>
              </w:rPr>
            </w:pPr>
            <w:r w:rsidRPr="00BB59D8">
              <w:rPr>
                <w:bCs w:val="0"/>
                <w:iCs/>
              </w:rPr>
              <w:t>3.52 (1.30, 9.53)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2AF143D8" w14:textId="77777777" w:rsidR="00635FCC" w:rsidRPr="00BB59D8" w:rsidRDefault="00635FCC" w:rsidP="009750B5">
            <w:pPr>
              <w:pStyle w:val="TableText0"/>
              <w:widowControl w:val="0"/>
              <w:rPr>
                <w:iCs/>
              </w:rPr>
            </w:pPr>
            <w:r w:rsidRPr="00BB59D8">
              <w:rPr>
                <w:iCs/>
              </w:rPr>
              <w:t>56.25</w:t>
            </w:r>
          </w:p>
        </w:tc>
        <w:tc>
          <w:tcPr>
            <w:tcW w:w="474" w:type="pct"/>
            <w:gridSpan w:val="2"/>
            <w:vMerge w:val="restart"/>
            <w:tcBorders>
              <w:top w:val="single" w:sz="4" w:space="0" w:color="auto"/>
              <w:left w:val="single" w:sz="4" w:space="0" w:color="auto"/>
              <w:right w:val="single" w:sz="4" w:space="0" w:color="auto"/>
            </w:tcBorders>
            <w:vAlign w:val="center"/>
          </w:tcPr>
          <w:p w14:paraId="04C4826D" w14:textId="77777777" w:rsidR="00635FCC" w:rsidRPr="00BB59D8" w:rsidRDefault="00635FCC" w:rsidP="009750B5">
            <w:pPr>
              <w:pStyle w:val="TableText0"/>
              <w:widowControl w:val="0"/>
              <w:rPr>
                <w:iCs/>
              </w:rPr>
            </w:pPr>
            <w:r w:rsidRPr="00BB59D8">
              <w:rPr>
                <w:iCs/>
              </w:rPr>
              <w:t>16.00</w:t>
            </w:r>
          </w:p>
        </w:tc>
        <w:tc>
          <w:tcPr>
            <w:tcW w:w="912" w:type="pct"/>
            <w:tcBorders>
              <w:top w:val="single" w:sz="4" w:space="0" w:color="auto"/>
              <w:left w:val="single" w:sz="4" w:space="0" w:color="auto"/>
              <w:bottom w:val="single" w:sz="4" w:space="0" w:color="auto"/>
              <w:right w:val="single" w:sz="4" w:space="0" w:color="auto"/>
            </w:tcBorders>
            <w:vAlign w:val="center"/>
          </w:tcPr>
          <w:p w14:paraId="01CC319F" w14:textId="77777777" w:rsidR="00635FCC" w:rsidRPr="00BB59D8" w:rsidRDefault="00635FCC" w:rsidP="009750B5">
            <w:pPr>
              <w:pStyle w:val="TableText0"/>
              <w:widowControl w:val="0"/>
              <w:rPr>
                <w:bCs w:val="0"/>
                <w:iCs/>
              </w:rPr>
            </w:pPr>
            <w:r w:rsidRPr="00BB59D8">
              <w:rPr>
                <w:bCs w:val="0"/>
                <w:iCs/>
              </w:rPr>
              <w:t>40.25 (12.01, 68.49)</w:t>
            </w:r>
          </w:p>
        </w:tc>
      </w:tr>
      <w:tr w:rsidR="00DB4BC1" w:rsidRPr="00BB59D8" w14:paraId="3894B19A"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18D0DD46" w14:textId="77777777" w:rsidR="00635FCC" w:rsidRPr="00BB59D8" w:rsidRDefault="008B3751" w:rsidP="009750B5">
            <w:pPr>
              <w:pStyle w:val="TableText0"/>
              <w:widowControl w:val="0"/>
            </w:pPr>
            <w:r w:rsidRPr="00BB59D8">
              <w:t xml:space="preserve">Trial </w:t>
            </w:r>
            <w:r w:rsidR="00635FCC" w:rsidRPr="00BB59D8">
              <w:t>MS301 80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1FC57ABB" w14:textId="77777777" w:rsidR="00635FCC" w:rsidRPr="00BB59D8" w:rsidRDefault="00635FCC" w:rsidP="009750B5">
            <w:pPr>
              <w:pStyle w:val="TableText0"/>
              <w:widowControl w:val="0"/>
            </w:pPr>
            <w:r w:rsidRPr="00BB59D8">
              <w:t>15/44</w:t>
            </w:r>
          </w:p>
        </w:tc>
        <w:tc>
          <w:tcPr>
            <w:tcW w:w="471" w:type="pct"/>
            <w:vMerge/>
            <w:tcBorders>
              <w:left w:val="single" w:sz="4" w:space="0" w:color="auto"/>
              <w:right w:val="single" w:sz="4" w:space="0" w:color="auto"/>
            </w:tcBorders>
            <w:vAlign w:val="center"/>
          </w:tcPr>
          <w:p w14:paraId="76022987" w14:textId="77777777" w:rsidR="00635FCC" w:rsidRPr="00BB59D8" w:rsidRDefault="00635FCC"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4C0018D4" w14:textId="77777777" w:rsidR="00635FCC" w:rsidRPr="00BB59D8" w:rsidRDefault="00635FCC" w:rsidP="009750B5">
            <w:pPr>
              <w:pStyle w:val="TableText0"/>
              <w:widowControl w:val="0"/>
              <w:rPr>
                <w:iCs/>
              </w:rPr>
            </w:pPr>
            <w:r w:rsidRPr="00BB59D8">
              <w:rPr>
                <w:iCs/>
              </w:rPr>
              <w:t>2.13 (0.79, 5.72)</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3AC54F5D" w14:textId="77777777" w:rsidR="00635FCC" w:rsidRPr="00BB59D8" w:rsidRDefault="00635FCC" w:rsidP="009750B5">
            <w:pPr>
              <w:pStyle w:val="TableText0"/>
              <w:widowControl w:val="0"/>
              <w:rPr>
                <w:iCs/>
              </w:rPr>
            </w:pPr>
            <w:r w:rsidRPr="00BB59D8">
              <w:rPr>
                <w:iCs/>
              </w:rPr>
              <w:t>34.09</w:t>
            </w:r>
          </w:p>
        </w:tc>
        <w:tc>
          <w:tcPr>
            <w:tcW w:w="474" w:type="pct"/>
            <w:gridSpan w:val="2"/>
            <w:vMerge/>
            <w:tcBorders>
              <w:left w:val="single" w:sz="4" w:space="0" w:color="auto"/>
              <w:right w:val="single" w:sz="4" w:space="0" w:color="auto"/>
            </w:tcBorders>
            <w:vAlign w:val="center"/>
          </w:tcPr>
          <w:p w14:paraId="3E826E2A" w14:textId="77777777" w:rsidR="00635FCC" w:rsidRPr="00BB59D8" w:rsidRDefault="00635FCC"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2CC910C2" w14:textId="77777777" w:rsidR="00635FCC" w:rsidRPr="00BB59D8" w:rsidRDefault="00635FCC" w:rsidP="009750B5">
            <w:pPr>
              <w:pStyle w:val="TableText0"/>
              <w:widowControl w:val="0"/>
              <w:rPr>
                <w:iCs/>
              </w:rPr>
            </w:pPr>
            <w:r w:rsidRPr="00BB59D8">
              <w:rPr>
                <w:iCs/>
              </w:rPr>
              <w:t>18.09 (-1.98, 38.16)</w:t>
            </w:r>
          </w:p>
        </w:tc>
      </w:tr>
      <w:tr w:rsidR="00DB4BC1" w:rsidRPr="00BB59D8" w14:paraId="2DBE2E47"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B6E3398" w14:textId="77777777" w:rsidR="00635FCC" w:rsidRPr="00BB59D8" w:rsidRDefault="008B3751" w:rsidP="009750B5">
            <w:pPr>
              <w:pStyle w:val="TableText0"/>
              <w:widowControl w:val="0"/>
            </w:pPr>
            <w:r w:rsidRPr="00BB59D8">
              <w:t xml:space="preserve">Trial </w:t>
            </w:r>
            <w:r w:rsidR="00635FCC" w:rsidRPr="00BB59D8">
              <w:t>MS301 120 µg/kg BID</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0DBE0F1C" w14:textId="77777777" w:rsidR="00635FCC" w:rsidRPr="00BB59D8" w:rsidRDefault="00635FCC" w:rsidP="009750B5">
            <w:pPr>
              <w:pStyle w:val="TableText0"/>
              <w:widowControl w:val="0"/>
            </w:pPr>
            <w:r w:rsidRPr="00BB59D8">
              <w:t>23/51</w:t>
            </w:r>
          </w:p>
        </w:tc>
        <w:tc>
          <w:tcPr>
            <w:tcW w:w="471" w:type="pct"/>
            <w:vMerge/>
            <w:tcBorders>
              <w:left w:val="single" w:sz="4" w:space="0" w:color="auto"/>
              <w:bottom w:val="single" w:sz="4" w:space="0" w:color="auto"/>
              <w:right w:val="single" w:sz="4" w:space="0" w:color="auto"/>
            </w:tcBorders>
            <w:vAlign w:val="center"/>
          </w:tcPr>
          <w:p w14:paraId="4F566430" w14:textId="77777777" w:rsidR="00635FCC" w:rsidRPr="00BB59D8" w:rsidRDefault="00635FCC" w:rsidP="009750B5">
            <w:pPr>
              <w:pStyle w:val="TableText0"/>
              <w:widowControl w:val="0"/>
            </w:pP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404E5610" w14:textId="77777777" w:rsidR="00635FCC" w:rsidRPr="00BB59D8" w:rsidRDefault="00635FCC" w:rsidP="009750B5">
            <w:pPr>
              <w:pStyle w:val="TableText0"/>
              <w:widowControl w:val="0"/>
              <w:rPr>
                <w:bCs w:val="0"/>
                <w:iCs/>
              </w:rPr>
            </w:pPr>
            <w:r w:rsidRPr="00BB59D8">
              <w:rPr>
                <w:bCs w:val="0"/>
                <w:iCs/>
              </w:rPr>
              <w:t>2.82 (1.09, 7.27)</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8486860" w14:textId="77777777" w:rsidR="00635FCC" w:rsidRPr="00BB59D8" w:rsidRDefault="00635FCC" w:rsidP="009750B5">
            <w:pPr>
              <w:pStyle w:val="TableText0"/>
              <w:widowControl w:val="0"/>
              <w:rPr>
                <w:iCs/>
              </w:rPr>
            </w:pPr>
            <w:r w:rsidRPr="00BB59D8">
              <w:rPr>
                <w:iCs/>
              </w:rPr>
              <w:t>45.10</w:t>
            </w:r>
          </w:p>
        </w:tc>
        <w:tc>
          <w:tcPr>
            <w:tcW w:w="474" w:type="pct"/>
            <w:gridSpan w:val="2"/>
            <w:vMerge/>
            <w:tcBorders>
              <w:left w:val="single" w:sz="4" w:space="0" w:color="auto"/>
              <w:bottom w:val="single" w:sz="4" w:space="0" w:color="auto"/>
              <w:right w:val="single" w:sz="4" w:space="0" w:color="auto"/>
            </w:tcBorders>
            <w:vAlign w:val="center"/>
          </w:tcPr>
          <w:p w14:paraId="2CD8E612" w14:textId="77777777" w:rsidR="00635FCC" w:rsidRPr="00BB59D8" w:rsidRDefault="00635FCC" w:rsidP="009750B5">
            <w:pPr>
              <w:pStyle w:val="TableText0"/>
              <w:widowControl w:val="0"/>
              <w:rPr>
                <w:iCs/>
              </w:rPr>
            </w:pPr>
          </w:p>
        </w:tc>
        <w:tc>
          <w:tcPr>
            <w:tcW w:w="912" w:type="pct"/>
            <w:tcBorders>
              <w:top w:val="single" w:sz="4" w:space="0" w:color="auto"/>
              <w:left w:val="single" w:sz="4" w:space="0" w:color="auto"/>
              <w:bottom w:val="single" w:sz="4" w:space="0" w:color="auto"/>
              <w:right w:val="single" w:sz="4" w:space="0" w:color="auto"/>
            </w:tcBorders>
            <w:vAlign w:val="center"/>
          </w:tcPr>
          <w:p w14:paraId="17FF070D" w14:textId="77777777" w:rsidR="00635FCC" w:rsidRPr="00BB59D8" w:rsidRDefault="00635FCC" w:rsidP="009750B5">
            <w:pPr>
              <w:pStyle w:val="TableText0"/>
              <w:widowControl w:val="0"/>
              <w:rPr>
                <w:bCs w:val="0"/>
                <w:iCs/>
              </w:rPr>
            </w:pPr>
            <w:r w:rsidRPr="00BB59D8">
              <w:rPr>
                <w:bCs w:val="0"/>
                <w:iCs/>
              </w:rPr>
              <w:t>29.10 (9.27, 48.92)</w:t>
            </w:r>
          </w:p>
        </w:tc>
      </w:tr>
      <w:tr w:rsidR="00DB4BC1" w:rsidRPr="00BB59D8" w14:paraId="4E8B4132"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7402283D" w14:textId="77777777" w:rsidR="00635FCC" w:rsidRPr="00BB59D8" w:rsidRDefault="00635FCC" w:rsidP="009750B5">
            <w:pPr>
              <w:pStyle w:val="TableText0"/>
              <w:widowControl w:val="0"/>
            </w:pPr>
            <w:r w:rsidRPr="00BB59D8">
              <w:t>Study 1419</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11CEB32F" w14:textId="77777777" w:rsidR="00635FCC" w:rsidRPr="00BB59D8" w:rsidRDefault="00635FCC" w:rsidP="009750B5">
            <w:pPr>
              <w:pStyle w:val="TableText0"/>
              <w:widowControl w:val="0"/>
            </w:pPr>
            <w:r w:rsidRPr="00BB59D8">
              <w:t>31/92</w:t>
            </w:r>
          </w:p>
        </w:tc>
        <w:tc>
          <w:tcPr>
            <w:tcW w:w="471" w:type="pct"/>
            <w:tcBorders>
              <w:left w:val="single" w:sz="4" w:space="0" w:color="auto"/>
              <w:bottom w:val="single" w:sz="4" w:space="0" w:color="auto"/>
              <w:right w:val="single" w:sz="4" w:space="0" w:color="auto"/>
            </w:tcBorders>
            <w:vAlign w:val="center"/>
          </w:tcPr>
          <w:p w14:paraId="41BCD1D7"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03CAEEB0"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B3397A7" w14:textId="77777777" w:rsidR="00635FCC" w:rsidRPr="00BB59D8" w:rsidRDefault="00635FCC" w:rsidP="009750B5">
            <w:pPr>
              <w:pStyle w:val="TableText0"/>
              <w:widowControl w:val="0"/>
            </w:pPr>
            <w:r w:rsidRPr="00BB59D8">
              <w:t>33.70</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254DA09C"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2E174A54" w14:textId="77777777" w:rsidR="00635FCC" w:rsidRPr="00BB59D8" w:rsidRDefault="00635FCC" w:rsidP="009750B5">
            <w:pPr>
              <w:pStyle w:val="TableText0"/>
              <w:widowControl w:val="0"/>
            </w:pPr>
            <w:r w:rsidRPr="00BB59D8">
              <w:t>NA</w:t>
            </w:r>
          </w:p>
        </w:tc>
      </w:tr>
      <w:tr w:rsidR="00DB4BC1" w:rsidRPr="00BB59D8" w14:paraId="43509F52" w14:textId="77777777" w:rsidTr="00DB4BC1">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F50FC58" w14:textId="77777777" w:rsidR="00635FCC" w:rsidRPr="00BB59D8" w:rsidRDefault="00635FCC" w:rsidP="009750B5">
            <w:pPr>
              <w:pStyle w:val="TableText0"/>
              <w:widowControl w:val="0"/>
            </w:pPr>
            <w:r w:rsidRPr="00BB59D8">
              <w:t>EU-IGFD Registry</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70EDAC5C" w14:textId="77777777" w:rsidR="00635FCC" w:rsidRPr="00BB59D8" w:rsidRDefault="00635FCC" w:rsidP="009750B5">
            <w:pPr>
              <w:pStyle w:val="TableText0"/>
              <w:widowControl w:val="0"/>
            </w:pPr>
            <w:r w:rsidRPr="00BB59D8">
              <w:t>38/277</w:t>
            </w:r>
          </w:p>
        </w:tc>
        <w:tc>
          <w:tcPr>
            <w:tcW w:w="471" w:type="pct"/>
            <w:tcBorders>
              <w:top w:val="single" w:sz="4" w:space="0" w:color="auto"/>
              <w:left w:val="single" w:sz="4" w:space="0" w:color="auto"/>
              <w:bottom w:val="single" w:sz="4" w:space="0" w:color="auto"/>
              <w:right w:val="single" w:sz="4" w:space="0" w:color="auto"/>
            </w:tcBorders>
            <w:vAlign w:val="center"/>
          </w:tcPr>
          <w:p w14:paraId="68FA30F1" w14:textId="77777777" w:rsidR="00635FCC" w:rsidRPr="00BB59D8" w:rsidRDefault="00635FCC" w:rsidP="009750B5">
            <w:pPr>
              <w:pStyle w:val="TableText0"/>
              <w:widowControl w:val="0"/>
            </w:pPr>
            <w:r w:rsidRPr="00BB59D8">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61348090" w14:textId="77777777" w:rsidR="00635FCC" w:rsidRPr="00BB59D8" w:rsidRDefault="00635FCC" w:rsidP="009750B5">
            <w:pPr>
              <w:pStyle w:val="TableText0"/>
              <w:widowControl w:val="0"/>
            </w:pPr>
            <w:r w:rsidRPr="00BB59D8">
              <w:t>NA</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36350D8C" w14:textId="77777777" w:rsidR="00635FCC" w:rsidRPr="00BB59D8" w:rsidRDefault="00635FCC" w:rsidP="009750B5">
            <w:pPr>
              <w:pStyle w:val="TableText0"/>
              <w:widowControl w:val="0"/>
            </w:pPr>
            <w:r w:rsidRPr="00BB59D8">
              <w:t>13.72</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2C5589A7" w14:textId="77777777" w:rsidR="00635FCC" w:rsidRPr="00BB59D8" w:rsidRDefault="00635FCC" w:rsidP="009750B5">
            <w:pPr>
              <w:pStyle w:val="TableText0"/>
              <w:widowControl w:val="0"/>
            </w:pPr>
            <w:r w:rsidRPr="00BB59D8">
              <w:t>NA</w:t>
            </w:r>
          </w:p>
        </w:tc>
        <w:tc>
          <w:tcPr>
            <w:tcW w:w="912" w:type="pct"/>
            <w:tcBorders>
              <w:top w:val="single" w:sz="4" w:space="0" w:color="auto"/>
              <w:left w:val="single" w:sz="4" w:space="0" w:color="auto"/>
              <w:bottom w:val="single" w:sz="4" w:space="0" w:color="auto"/>
              <w:right w:val="single" w:sz="4" w:space="0" w:color="auto"/>
            </w:tcBorders>
            <w:vAlign w:val="center"/>
          </w:tcPr>
          <w:p w14:paraId="688EA4AE" w14:textId="77777777" w:rsidR="00635FCC" w:rsidRPr="00BB59D8" w:rsidRDefault="00635FCC" w:rsidP="009750B5">
            <w:pPr>
              <w:pStyle w:val="TableText0"/>
              <w:widowControl w:val="0"/>
            </w:pPr>
            <w:r w:rsidRPr="00BB59D8">
              <w:t>NA</w:t>
            </w:r>
          </w:p>
        </w:tc>
      </w:tr>
    </w:tbl>
    <w:p w14:paraId="06FCED27" w14:textId="77777777" w:rsidR="00BC363F" w:rsidRPr="00BB59D8" w:rsidRDefault="00BC363F" w:rsidP="00BC363F">
      <w:pPr>
        <w:pStyle w:val="TableFooter"/>
      </w:pPr>
      <w:r w:rsidRPr="00BB59D8">
        <w:t>CI = confidence interval; NA = not applicable; NR = not reported; RD = risk difference; RR = risk ratio</w:t>
      </w:r>
    </w:p>
    <w:p w14:paraId="302294E9" w14:textId="77777777" w:rsidR="00620C25" w:rsidRPr="00BB59D8" w:rsidRDefault="00620C25" w:rsidP="00BC363F">
      <w:pPr>
        <w:pStyle w:val="TableFooter"/>
      </w:pPr>
      <w:r w:rsidRPr="00BB59D8">
        <w:t xml:space="preserve">Source: </w:t>
      </w:r>
      <w:r w:rsidR="00797F96" w:rsidRPr="00BB59D8">
        <w:t>Table 2-26, p63 of the submission; Table 2-31, p70 of the submission; Table 2-32, p72 of the submission; Table 2-30, p69 of the submission; Table 2-36, p76 of the submission</w:t>
      </w:r>
    </w:p>
    <w:p w14:paraId="39B77AC6" w14:textId="77777777" w:rsidR="00BF622D" w:rsidRPr="00BB59D8" w:rsidRDefault="00BC363F" w:rsidP="004B0A89">
      <w:pPr>
        <w:pStyle w:val="TableFooter"/>
      </w:pPr>
      <w:r w:rsidRPr="00BB59D8">
        <w:rPr>
          <w:vertAlign w:val="superscript"/>
        </w:rPr>
        <w:t>a</w:t>
      </w:r>
      <w:r w:rsidRPr="00BB59D8">
        <w:t xml:space="preserve"> Only statistically significant events by system organ class were added.</w:t>
      </w:r>
    </w:p>
    <w:p w14:paraId="12E0903F" w14:textId="70C20D13" w:rsidR="00BC363F" w:rsidRPr="00BB59D8" w:rsidRDefault="004B0A89" w:rsidP="009750B5">
      <w:pPr>
        <w:pStyle w:val="TableFooter"/>
        <w:spacing w:after="120"/>
      </w:pPr>
      <w:r w:rsidRPr="00BB59D8">
        <w:rPr>
          <w:vertAlign w:val="superscript"/>
        </w:rPr>
        <w:t>b</w:t>
      </w:r>
      <w:r w:rsidRPr="00BB59D8">
        <w:t xml:space="preserve"> RR and RD were calculated during the evaluation.</w:t>
      </w:r>
    </w:p>
    <w:p w14:paraId="4C0A70EA" w14:textId="77777777" w:rsidR="003D4A30" w:rsidRPr="00BB59D8" w:rsidRDefault="00595F6F" w:rsidP="00B83510">
      <w:pPr>
        <w:pStyle w:val="3-BodyText"/>
      </w:pPr>
      <w:r w:rsidRPr="00BB59D8">
        <w:t>Based on</w:t>
      </w:r>
      <w:r w:rsidR="00AA02D6" w:rsidRPr="00BB59D8">
        <w:t xml:space="preserve"> the</w:t>
      </w:r>
      <w:r w:rsidR="00B83510" w:rsidRPr="00BB59D8">
        <w:t xml:space="preserve"> direct </w:t>
      </w:r>
      <w:r w:rsidR="004F7E74" w:rsidRPr="00BB59D8">
        <w:t xml:space="preserve">comparative </w:t>
      </w:r>
      <w:r w:rsidR="00B83510" w:rsidRPr="00BB59D8">
        <w:t>evidence presented by the submission</w:t>
      </w:r>
      <w:r w:rsidR="009832B8" w:rsidRPr="00BB59D8">
        <w:t xml:space="preserve"> (MS301)</w:t>
      </w:r>
      <w:r w:rsidR="00B83510" w:rsidRPr="00BB59D8">
        <w:t>, the comparison of mecasermin and no treatment resulted in:</w:t>
      </w:r>
    </w:p>
    <w:p w14:paraId="479AAB68" w14:textId="77777777" w:rsidR="002E0496" w:rsidRPr="00BB59D8" w:rsidRDefault="009832B8" w:rsidP="00065DE4">
      <w:pPr>
        <w:pStyle w:val="ListParagraph"/>
        <w:numPr>
          <w:ilvl w:val="0"/>
          <w:numId w:val="9"/>
        </w:numPr>
        <w:ind w:left="1077" w:hanging="357"/>
      </w:pPr>
      <w:r w:rsidRPr="00BB59D8">
        <w:t>A</w:t>
      </w:r>
      <w:r w:rsidR="003270E4" w:rsidRPr="00BB59D8">
        <w:t xml:space="preserve">pproximately a </w:t>
      </w:r>
      <w:r w:rsidR="00BB0397" w:rsidRPr="00BB59D8">
        <w:t xml:space="preserve">1.79 </w:t>
      </w:r>
      <w:r w:rsidR="00DC7D6C" w:rsidRPr="00BB59D8">
        <w:t xml:space="preserve">cm per year </w:t>
      </w:r>
      <w:r w:rsidR="003270E4" w:rsidRPr="00BB59D8">
        <w:t xml:space="preserve">improvement in </w:t>
      </w:r>
      <w:r w:rsidR="00B83510" w:rsidRPr="00BB59D8">
        <w:t>height velocity</w:t>
      </w:r>
      <w:r w:rsidR="003270E4" w:rsidRPr="00BB59D8">
        <w:t xml:space="preserve"> over a </w:t>
      </w:r>
      <w:r w:rsidR="003710CF" w:rsidRPr="00BB59D8">
        <w:t>m</w:t>
      </w:r>
      <w:r w:rsidR="003270E4" w:rsidRPr="00BB59D8">
        <w:t xml:space="preserve">aximum duration of follow-up of </w:t>
      </w:r>
      <w:r w:rsidR="00DC7D6C" w:rsidRPr="00BB59D8">
        <w:t xml:space="preserve">12 </w:t>
      </w:r>
      <w:r w:rsidR="003270E4" w:rsidRPr="00BB59D8">
        <w:t>months</w:t>
      </w:r>
      <w:r w:rsidR="00A45416" w:rsidRPr="00BB59D8">
        <w:t xml:space="preserve"> for 80 µg/kg BID dosing</w:t>
      </w:r>
      <w:r w:rsidR="003270E4" w:rsidRPr="00BB59D8">
        <w:t>.</w:t>
      </w:r>
      <w:r w:rsidR="00BC591F" w:rsidRPr="00BB59D8">
        <w:t xml:space="preserve"> </w:t>
      </w:r>
    </w:p>
    <w:p w14:paraId="13AE8BED" w14:textId="77777777" w:rsidR="004B4F74" w:rsidRPr="00BB59D8" w:rsidRDefault="009832B8" w:rsidP="00065DE4">
      <w:pPr>
        <w:pStyle w:val="ListParagraph"/>
        <w:numPr>
          <w:ilvl w:val="0"/>
          <w:numId w:val="9"/>
        </w:numPr>
        <w:ind w:left="1077" w:hanging="357"/>
      </w:pPr>
      <w:r w:rsidRPr="00BB59D8">
        <w:t>A</w:t>
      </w:r>
      <w:r w:rsidR="00DC7D6C" w:rsidRPr="00BB59D8">
        <w:t>pproximately a 2.58 cm per year improvement in height velocity over a maximum duration of follow-up of 12 months</w:t>
      </w:r>
      <w:r w:rsidR="00A45416" w:rsidRPr="00BB59D8">
        <w:t xml:space="preserve"> for 120 µg/kg BID dosing</w:t>
      </w:r>
      <w:r w:rsidR="00DC7D6C" w:rsidRPr="00BB59D8">
        <w:t xml:space="preserve">. </w:t>
      </w:r>
    </w:p>
    <w:p w14:paraId="2A3AC017" w14:textId="77777777" w:rsidR="002E0496" w:rsidRPr="00BB59D8" w:rsidRDefault="004B4F74" w:rsidP="004B4F74">
      <w:pPr>
        <w:pStyle w:val="3-BodyText"/>
      </w:pPr>
      <w:r w:rsidRPr="00BB59D8">
        <w:t>Based on the evidence presented in the submission</w:t>
      </w:r>
      <w:r w:rsidR="00F41506" w:rsidRPr="00BB59D8">
        <w:t>,</w:t>
      </w:r>
      <w:r w:rsidRPr="00BB59D8">
        <w:t xml:space="preserve"> treatment with mecasermin resulted in an increase in adverse events classified as ‘metabolism and nutrition disorders’, 'general disorders and administration site conditions', 'gastrointestinal disorders' and 'nervous system disorders'. It was not possible to quantify the extent of the increase in specific events.</w:t>
      </w:r>
    </w:p>
    <w:p w14:paraId="2AE806A7" w14:textId="77777777" w:rsidR="00B60939" w:rsidRPr="00BB59D8" w:rsidRDefault="00B60939" w:rsidP="00E9094A">
      <w:pPr>
        <w:pStyle w:val="4-SubsectionHeading"/>
      </w:pPr>
      <w:bookmarkStart w:id="35" w:name="_Toc22897644"/>
      <w:bookmarkStart w:id="36" w:name="_Toc82536429"/>
      <w:r w:rsidRPr="00BB59D8">
        <w:t>Clinical claim</w:t>
      </w:r>
      <w:bookmarkEnd w:id="35"/>
      <w:bookmarkEnd w:id="36"/>
    </w:p>
    <w:p w14:paraId="2253F568" w14:textId="77777777" w:rsidR="006A6FC3" w:rsidRPr="00BB59D8" w:rsidRDefault="006A6FC3" w:rsidP="00E9094A">
      <w:pPr>
        <w:pStyle w:val="3-BodyText"/>
        <w:rPr>
          <w:rFonts w:eastAsia="Calibri"/>
        </w:rPr>
      </w:pPr>
      <w:r w:rsidRPr="00BB59D8">
        <w:t>The submission described mecasermin as superior in terms of effectiveness compared with no treatment, based on changes in height over time and near-adult height</w:t>
      </w:r>
      <w:r w:rsidRPr="00BB59D8">
        <w:rPr>
          <w:rFonts w:eastAsia="Calibri"/>
        </w:rPr>
        <w:t xml:space="preserve">. </w:t>
      </w:r>
    </w:p>
    <w:p w14:paraId="09FA6E3A" w14:textId="1C19F8BD" w:rsidR="00A45416" w:rsidRPr="00BB59D8" w:rsidRDefault="00A45416" w:rsidP="000A0379">
      <w:pPr>
        <w:pStyle w:val="3-BodyText"/>
        <w:rPr>
          <w:color w:val="0066FF"/>
        </w:rPr>
      </w:pPr>
      <w:r w:rsidRPr="00BB59D8">
        <w:t>Each single-arm study and Trial MS301 showed improvement in height velocity, either compared to pre-treatment (single-arm studies) or compared to control treatment (</w:t>
      </w:r>
      <w:r w:rsidR="008B3751" w:rsidRPr="00BB59D8">
        <w:t xml:space="preserve">Trial </w:t>
      </w:r>
      <w:r w:rsidRPr="00BB59D8">
        <w:t xml:space="preserve">MS301). This improvement was sustained at least for three years in single-arm studies. </w:t>
      </w:r>
      <w:bookmarkStart w:id="37" w:name="_Hlk79754479"/>
      <w:r w:rsidR="000A0379" w:rsidRPr="00BB59D8">
        <w:rPr>
          <w:iCs/>
        </w:rPr>
        <w:t>The height velocity and HSDS in trial MS301 after one year of mecasermin treatment was similar to the EU-IGFD Registry but lower than Study 1419.</w:t>
      </w:r>
      <w:r w:rsidR="000A0379" w:rsidRPr="00BB59D8">
        <w:t xml:space="preserve"> </w:t>
      </w:r>
      <w:bookmarkEnd w:id="37"/>
      <w:r w:rsidRPr="00BB59D8">
        <w:t>The following issues were identified:</w:t>
      </w:r>
    </w:p>
    <w:p w14:paraId="67635992" w14:textId="2B682E66" w:rsidR="00A45416" w:rsidRPr="00065DE4" w:rsidRDefault="005F4E2A" w:rsidP="00065DE4">
      <w:pPr>
        <w:pStyle w:val="ListParagraph"/>
        <w:numPr>
          <w:ilvl w:val="0"/>
          <w:numId w:val="9"/>
        </w:numPr>
        <w:ind w:left="1077" w:hanging="357"/>
      </w:pPr>
      <w:r w:rsidRPr="00BB59D8">
        <w:rPr>
          <w:iCs/>
        </w:rPr>
        <w:t>There was only one randomised trial of mecasermin versus no treatment. This trial was small (n=13</w:t>
      </w:r>
      <w:r w:rsidR="003F5E84" w:rsidRPr="00BB59D8">
        <w:rPr>
          <w:iCs/>
        </w:rPr>
        <w:t>7</w:t>
      </w:r>
      <w:r w:rsidRPr="00BB59D8">
        <w:rPr>
          <w:iCs/>
        </w:rPr>
        <w:t>) and the follow-up at one year was limited relative to the duration over which patients would be treated (up to 16 years).</w:t>
      </w:r>
      <w:r w:rsidR="003F5E84" w:rsidRPr="00BB59D8">
        <w:rPr>
          <w:iCs/>
        </w:rPr>
        <w:t xml:space="preserve"> </w:t>
      </w:r>
      <w:r w:rsidR="003F5E84" w:rsidRPr="00BB59D8">
        <w:t xml:space="preserve">Trial MS301 switched patients from the 40 </w:t>
      </w:r>
      <w:r w:rsidR="003F5E84" w:rsidRPr="00065DE4">
        <w:t>µ</w:t>
      </w:r>
      <w:r w:rsidR="003F5E84" w:rsidRPr="00BB59D8">
        <w:t xml:space="preserve">g/kg BID group to the 120 </w:t>
      </w:r>
      <w:r w:rsidR="003F5E84" w:rsidRPr="00065DE4">
        <w:t>µ</w:t>
      </w:r>
      <w:r w:rsidR="003F5E84" w:rsidRPr="00BB59D8">
        <w:t xml:space="preserve">g/kg BID group due to the 40 µg/kg BID not reaching adequate serum IGF-1 levels. </w:t>
      </w:r>
      <w:r w:rsidR="00A45416" w:rsidRPr="00065DE4">
        <w:t xml:space="preserve">However, </w:t>
      </w:r>
      <w:r w:rsidR="003F5E84" w:rsidRPr="00065DE4">
        <w:t>the lack of randomised trials</w:t>
      </w:r>
      <w:r w:rsidR="00A45416" w:rsidRPr="00065DE4">
        <w:t xml:space="preserve"> is reasonable considering the rarity of the condition.</w:t>
      </w:r>
    </w:p>
    <w:p w14:paraId="69702036" w14:textId="77777777" w:rsidR="003F5E84" w:rsidRPr="00BB59D8" w:rsidRDefault="003F5E84" w:rsidP="00065DE4">
      <w:pPr>
        <w:pStyle w:val="ListParagraph"/>
        <w:numPr>
          <w:ilvl w:val="0"/>
          <w:numId w:val="9"/>
        </w:numPr>
        <w:ind w:left="1077" w:hanging="357"/>
        <w:rPr>
          <w:iCs/>
        </w:rPr>
      </w:pPr>
      <w:r w:rsidRPr="00065DE4">
        <w:t>Three single-arm studies were also presented. Study 1419 and the EU-IGFD Registry included patients with HSDS &lt;-2.0, which hinders their applicability to the proposed PBS restriction</w:t>
      </w:r>
      <w:r w:rsidR="001B138A" w:rsidRPr="00065DE4">
        <w:t xml:space="preserve"> (HSDS &lt;-3.0)</w:t>
      </w:r>
      <w:r w:rsidRPr="00065DE4">
        <w:t>. The number of patients that did not meet the PBS restriction in Study 1419 was not described</w:t>
      </w:r>
      <w:r w:rsidR="00855D41" w:rsidRPr="00065DE4">
        <w:t xml:space="preserve">. </w:t>
      </w:r>
      <w:bookmarkStart w:id="38" w:name="_Hlk79754638"/>
      <w:r w:rsidR="00855D41" w:rsidRPr="00065DE4">
        <w:t>However, this number is expected to be low as the mean HSDS was -6.8 (minimum -2.8</w:t>
      </w:r>
      <w:r w:rsidR="003F6161" w:rsidRPr="00065DE4">
        <w:t>)</w:t>
      </w:r>
      <w:r w:rsidR="00855D41" w:rsidRPr="00065DE4">
        <w:t>.</w:t>
      </w:r>
      <w:r w:rsidRPr="00065DE4">
        <w:t xml:space="preserve"> </w:t>
      </w:r>
      <w:bookmarkEnd w:id="38"/>
      <w:r w:rsidR="00855D41" w:rsidRPr="00065DE4">
        <w:t>T</w:t>
      </w:r>
      <w:r w:rsidRPr="00065DE4">
        <w:t>he EU-IGFD Registry included</w:t>
      </w:r>
      <w:r w:rsidRPr="00BB59D8">
        <w:rPr>
          <w:iCs/>
        </w:rPr>
        <w:t xml:space="preserve"> 36 </w:t>
      </w:r>
      <w:r w:rsidR="001B138A" w:rsidRPr="00BB59D8">
        <w:rPr>
          <w:iCs/>
        </w:rPr>
        <w:t xml:space="preserve">such </w:t>
      </w:r>
      <w:r w:rsidRPr="00BB59D8">
        <w:rPr>
          <w:iCs/>
        </w:rPr>
        <w:t>patients out of a total of 281 patients. A Polish Study was also presented. However, it had a small sample size (N=27).</w:t>
      </w:r>
    </w:p>
    <w:p w14:paraId="0D90A038" w14:textId="77777777" w:rsidR="00A45416" w:rsidRPr="00BB59D8" w:rsidRDefault="00B651D8" w:rsidP="00B651D8">
      <w:pPr>
        <w:pStyle w:val="3-BodyText"/>
        <w:rPr>
          <w:rFonts w:eastAsia="Calibri"/>
        </w:rPr>
      </w:pPr>
      <w:r w:rsidRPr="00BB59D8">
        <w:t>The submission described mecasermin as non-inferior in terms of safety compared to no treatment</w:t>
      </w:r>
      <w:r w:rsidR="0009313E" w:rsidRPr="00BB59D8">
        <w:t>,</w:t>
      </w:r>
      <w:r w:rsidRPr="00BB59D8">
        <w:t xml:space="preserve"> based on overall </w:t>
      </w:r>
      <w:r w:rsidR="00C12D53" w:rsidRPr="00BB59D8">
        <w:t>AE</w:t>
      </w:r>
      <w:r w:rsidR="0009313E" w:rsidRPr="00BB59D8">
        <w:t xml:space="preserve"> </w:t>
      </w:r>
      <w:r w:rsidRPr="00BB59D8">
        <w:t xml:space="preserve">and </w:t>
      </w:r>
      <w:r w:rsidR="00C12D53" w:rsidRPr="00BB59D8">
        <w:t>SAE</w:t>
      </w:r>
      <w:r w:rsidR="0009313E" w:rsidRPr="00BB59D8">
        <w:t xml:space="preserve"> </w:t>
      </w:r>
      <w:r w:rsidRPr="00BB59D8">
        <w:t xml:space="preserve">rates. </w:t>
      </w:r>
      <w:r w:rsidR="00A45416" w:rsidRPr="00BB59D8">
        <w:t>The following issues were identified:</w:t>
      </w:r>
    </w:p>
    <w:p w14:paraId="005F4DB4" w14:textId="77777777" w:rsidR="00F60C0B" w:rsidRPr="00065DE4" w:rsidRDefault="004C76C6" w:rsidP="00065DE4">
      <w:pPr>
        <w:pStyle w:val="ListParagraph"/>
        <w:numPr>
          <w:ilvl w:val="0"/>
          <w:numId w:val="9"/>
        </w:numPr>
        <w:ind w:left="1077" w:hanging="357"/>
      </w:pPr>
      <w:r w:rsidRPr="00BB59D8">
        <w:rPr>
          <w:iCs/>
        </w:rPr>
        <w:t xml:space="preserve">Trial MS301 was the only comparative study and found that patients in at least one of </w:t>
      </w:r>
      <w:r w:rsidRPr="00065DE4">
        <w:t>the three mecasermin treatment arms had statistically significantly more AE</w:t>
      </w:r>
      <w:r w:rsidR="00F54E27" w:rsidRPr="00065DE4">
        <w:t>s</w:t>
      </w:r>
      <w:r w:rsidR="001B138A" w:rsidRPr="00065DE4">
        <w:t xml:space="preserve"> compared to the control arm</w:t>
      </w:r>
      <w:r w:rsidRPr="00065DE4">
        <w:t xml:space="preserve"> in different system organ class, such as </w:t>
      </w:r>
      <w:r w:rsidR="00ED6F47" w:rsidRPr="00BB59D8">
        <w:t xml:space="preserve">‘metabolism and nutrition disorders’, </w:t>
      </w:r>
      <w:r w:rsidRPr="00065DE4">
        <w:t>'general disorders and administration site conditions', 'gastrointestinal disorders' and 'nervous system disorders'.</w:t>
      </w:r>
      <w:bookmarkStart w:id="39" w:name="_Hlk79992702"/>
    </w:p>
    <w:p w14:paraId="63349F32" w14:textId="77777777" w:rsidR="00F60C0B" w:rsidRPr="00BB59D8" w:rsidRDefault="00A45416" w:rsidP="00065DE4">
      <w:pPr>
        <w:pStyle w:val="ListParagraph"/>
        <w:numPr>
          <w:ilvl w:val="0"/>
          <w:numId w:val="9"/>
        </w:numPr>
        <w:ind w:left="1077" w:hanging="357"/>
        <w:rPr>
          <w:iCs/>
        </w:rPr>
      </w:pPr>
      <w:r w:rsidRPr="00065DE4">
        <w:t>O</w:t>
      </w:r>
      <w:r w:rsidR="00B651D8" w:rsidRPr="00065DE4">
        <w:t xml:space="preserve">ne death was </w:t>
      </w:r>
      <w:r w:rsidR="006005DA" w:rsidRPr="00065DE4">
        <w:t xml:space="preserve">associated </w:t>
      </w:r>
      <w:r w:rsidR="00C83B29" w:rsidRPr="00065DE4">
        <w:t xml:space="preserve">with </w:t>
      </w:r>
      <w:r w:rsidR="005F4E2A" w:rsidRPr="00065DE4">
        <w:t xml:space="preserve">mecasermin </w:t>
      </w:r>
      <w:r w:rsidR="00B651D8" w:rsidRPr="00065DE4">
        <w:t>treatment in the EU-IGFD Registry</w:t>
      </w:r>
      <w:r w:rsidR="00C33A2D" w:rsidRPr="00065DE4">
        <w:t xml:space="preserve"> (patient</w:t>
      </w:r>
      <w:r w:rsidR="00C33A2D" w:rsidRPr="00BB59D8">
        <w:rPr>
          <w:iCs/>
        </w:rPr>
        <w:t xml:space="preserve"> developed </w:t>
      </w:r>
      <w:r w:rsidR="004F7E74" w:rsidRPr="00BB59D8">
        <w:rPr>
          <w:iCs/>
        </w:rPr>
        <w:t>myelodysplastic syndrome</w:t>
      </w:r>
      <w:r w:rsidR="00C33A2D" w:rsidRPr="00BB59D8">
        <w:rPr>
          <w:iCs/>
        </w:rPr>
        <w:t>).</w:t>
      </w:r>
      <w:r w:rsidR="536BCA19" w:rsidRPr="00BB59D8">
        <w:t xml:space="preserve"> </w:t>
      </w:r>
      <w:bookmarkEnd w:id="39"/>
    </w:p>
    <w:p w14:paraId="74CC32D4" w14:textId="711347EC" w:rsidR="00533A54" w:rsidRPr="00BB59D8" w:rsidRDefault="006943B6" w:rsidP="00533A54">
      <w:pPr>
        <w:pStyle w:val="3-BodyText"/>
        <w:rPr>
          <w:rFonts w:eastAsia="Calibri"/>
        </w:rPr>
      </w:pPr>
      <w:r w:rsidRPr="00BB59D8">
        <w:rPr>
          <w:szCs w:val="20"/>
        </w:rPr>
        <w:t xml:space="preserve">The PBAC considered that the submission’s claim of superior comparative effectiveness was reasonable however the claim of non-inferior comparative safety was not adequately supported by the data. The PBAC considered that </w:t>
      </w:r>
      <w:r w:rsidRPr="00BB59D8">
        <w:rPr>
          <w:rFonts w:eastAsia="Calibri"/>
        </w:rPr>
        <w:t>mecasermin has inferior safety when compared with no treatment</w:t>
      </w:r>
      <w:r w:rsidR="00533A54" w:rsidRPr="00BB59D8">
        <w:rPr>
          <w:rFonts w:eastAsia="Calibri"/>
        </w:rPr>
        <w:t xml:space="preserve"> based on MS301, </w:t>
      </w:r>
      <w:r w:rsidR="00533A54" w:rsidRPr="00BB59D8">
        <w:t>with reported adverse events including hypoglycaemia, headache, tonsil enlargement and vomiting (Midyett 2010, p616). PBAC also noted the potential neoplasia risk described in the TGA product information.</w:t>
      </w:r>
    </w:p>
    <w:p w14:paraId="58C6EC4B" w14:textId="77777777" w:rsidR="00A167A4" w:rsidRPr="00BB59D8" w:rsidRDefault="00A167A4" w:rsidP="00A167A4">
      <w:pPr>
        <w:pStyle w:val="4-SubsectionHeading"/>
      </w:pPr>
      <w:bookmarkStart w:id="40" w:name="_Toc22897645"/>
      <w:bookmarkStart w:id="41" w:name="_Toc82536430"/>
      <w:r w:rsidRPr="00BB59D8">
        <w:t>Economic analysis</w:t>
      </w:r>
      <w:bookmarkEnd w:id="40"/>
      <w:bookmarkEnd w:id="41"/>
    </w:p>
    <w:p w14:paraId="6263EE0F" w14:textId="77777777" w:rsidR="00A167A4" w:rsidRPr="00BB59D8" w:rsidRDefault="00A167A4" w:rsidP="00A167A4">
      <w:pPr>
        <w:pStyle w:val="3-BodyText"/>
        <w:rPr>
          <w:b/>
          <w:bCs/>
        </w:rPr>
      </w:pPr>
      <w:r w:rsidRPr="00BB59D8">
        <w:t xml:space="preserve">The submission presented a cost-utility analysis comparing mecasermin with no treatment. A stepped economic evaluation </w:t>
      </w:r>
      <w:r w:rsidR="001F3EA9" w:rsidRPr="00BB59D8">
        <w:t>was presented based on two single-arm studies, EU-IGFD Registry (base case) and Study 1419 (sensitivity analysis)</w:t>
      </w:r>
      <w:r w:rsidRPr="00BB59D8">
        <w:t xml:space="preserve">. </w:t>
      </w:r>
    </w:p>
    <w:p w14:paraId="2EB0961C" w14:textId="77777777" w:rsidR="00A167A4" w:rsidRPr="00BB59D8" w:rsidRDefault="00FE19AB" w:rsidP="00A167A4">
      <w:pPr>
        <w:pStyle w:val="3-BodyText"/>
      </w:pPr>
      <w:r w:rsidRPr="00BB59D8">
        <w:t>K</w:t>
      </w:r>
      <w:r w:rsidR="00A167A4" w:rsidRPr="00BB59D8">
        <w:t>ey components of the economic model</w:t>
      </w:r>
      <w:r w:rsidRPr="00BB59D8">
        <w:t xml:space="preserve"> are presented in Table </w:t>
      </w:r>
      <w:r w:rsidR="0047450A" w:rsidRPr="00BB59D8">
        <w:t>9</w:t>
      </w:r>
      <w:r w:rsidR="00A167A4" w:rsidRPr="00BB59D8">
        <w:t xml:space="preserve">. </w:t>
      </w:r>
    </w:p>
    <w:p w14:paraId="477B6FC9" w14:textId="77777777" w:rsidR="00A167A4" w:rsidRPr="00BB59D8" w:rsidRDefault="00A167A4" w:rsidP="00A167A4">
      <w:pPr>
        <w:pStyle w:val="TableFigureHeading"/>
        <w:rPr>
          <w:rStyle w:val="CommentReference"/>
          <w:b/>
          <w:szCs w:val="24"/>
        </w:rPr>
      </w:pPr>
      <w:r w:rsidRPr="00BB59D8">
        <w:rPr>
          <w:rStyle w:val="CommentReference"/>
          <w:b/>
          <w:szCs w:val="24"/>
        </w:rPr>
        <w:t xml:space="preserve">Table </w:t>
      </w:r>
      <w:r w:rsidR="0047450A" w:rsidRPr="00BB59D8">
        <w:rPr>
          <w:rStyle w:val="CommentReference"/>
          <w:b/>
          <w:szCs w:val="24"/>
        </w:rPr>
        <w:t>9</w:t>
      </w:r>
      <w:r w:rsidRPr="00BB59D8">
        <w:rPr>
          <w:rStyle w:val="CommentReference"/>
          <w:b/>
          <w:szCs w:val="24"/>
        </w:rPr>
        <w:t>: Summary of model structure, key inputs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Summary of model structure, key inputs and rationale"/>
      </w:tblPr>
      <w:tblGrid>
        <w:gridCol w:w="1413"/>
        <w:gridCol w:w="7604"/>
      </w:tblGrid>
      <w:tr w:rsidR="00572CD9" w:rsidRPr="00BB59D8" w14:paraId="218C9EB1" w14:textId="77777777" w:rsidTr="00B422DC">
        <w:trPr>
          <w:tblHeader/>
        </w:trPr>
        <w:tc>
          <w:tcPr>
            <w:tcW w:w="1413" w:type="dxa"/>
            <w:shd w:val="clear" w:color="auto" w:fill="auto"/>
            <w:vAlign w:val="center"/>
          </w:tcPr>
          <w:p w14:paraId="657C5406" w14:textId="77777777" w:rsidR="00572CD9" w:rsidRPr="00BB59D8" w:rsidRDefault="00572CD9" w:rsidP="00B422DC">
            <w:pPr>
              <w:jc w:val="left"/>
              <w:rPr>
                <w:rFonts w:ascii="Arial Narrow" w:hAnsi="Arial Narrow"/>
                <w:b/>
                <w:sz w:val="20"/>
                <w:szCs w:val="20"/>
              </w:rPr>
            </w:pPr>
            <w:r w:rsidRPr="00BB59D8">
              <w:rPr>
                <w:rFonts w:ascii="Arial Narrow" w:hAnsi="Arial Narrow"/>
                <w:b/>
                <w:sz w:val="20"/>
                <w:szCs w:val="20"/>
              </w:rPr>
              <w:t>Component</w:t>
            </w:r>
          </w:p>
        </w:tc>
        <w:tc>
          <w:tcPr>
            <w:tcW w:w="7604" w:type="dxa"/>
            <w:shd w:val="clear" w:color="auto" w:fill="auto"/>
            <w:vAlign w:val="center"/>
          </w:tcPr>
          <w:p w14:paraId="6DB05A7F" w14:textId="77777777" w:rsidR="00572CD9" w:rsidRPr="00BB59D8" w:rsidRDefault="00572CD9" w:rsidP="00572CD9">
            <w:pPr>
              <w:rPr>
                <w:rFonts w:ascii="Arial Narrow" w:hAnsi="Arial Narrow"/>
                <w:b/>
                <w:sz w:val="20"/>
                <w:szCs w:val="20"/>
              </w:rPr>
            </w:pPr>
            <w:r w:rsidRPr="00BB59D8">
              <w:rPr>
                <w:rFonts w:ascii="Arial Narrow" w:hAnsi="Arial Narrow"/>
                <w:b/>
                <w:sz w:val="20"/>
                <w:szCs w:val="20"/>
              </w:rPr>
              <w:t>Summary</w:t>
            </w:r>
          </w:p>
        </w:tc>
      </w:tr>
      <w:tr w:rsidR="00572CD9" w:rsidRPr="00BB59D8" w14:paraId="34C31043" w14:textId="77777777" w:rsidTr="00B422DC">
        <w:tc>
          <w:tcPr>
            <w:tcW w:w="1413" w:type="dxa"/>
            <w:shd w:val="clear" w:color="auto" w:fill="auto"/>
            <w:vAlign w:val="center"/>
          </w:tcPr>
          <w:p w14:paraId="2AB0BD26"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Type of analysis</w:t>
            </w:r>
          </w:p>
        </w:tc>
        <w:tc>
          <w:tcPr>
            <w:tcW w:w="7604" w:type="dxa"/>
            <w:shd w:val="clear" w:color="auto" w:fill="auto"/>
            <w:vAlign w:val="center"/>
          </w:tcPr>
          <w:p w14:paraId="59553445"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Cost-utility analysis</w:t>
            </w:r>
          </w:p>
        </w:tc>
      </w:tr>
      <w:tr w:rsidR="00572CD9" w:rsidRPr="00BB59D8" w14:paraId="4F989B34" w14:textId="77777777" w:rsidTr="00B422DC">
        <w:tc>
          <w:tcPr>
            <w:tcW w:w="1413" w:type="dxa"/>
            <w:shd w:val="clear" w:color="auto" w:fill="auto"/>
            <w:vAlign w:val="center"/>
          </w:tcPr>
          <w:p w14:paraId="3A53A1F9"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Population</w:t>
            </w:r>
          </w:p>
        </w:tc>
        <w:tc>
          <w:tcPr>
            <w:tcW w:w="7604" w:type="dxa"/>
            <w:shd w:val="clear" w:color="auto" w:fill="auto"/>
            <w:vAlign w:val="center"/>
          </w:tcPr>
          <w:p w14:paraId="357999CF"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Proposed PBS restriction: 2-18 years (inclusive)</w:t>
            </w:r>
          </w:p>
          <w:p w14:paraId="150E7790" w14:textId="77777777" w:rsidR="00572CD9" w:rsidRPr="00BB59D8" w:rsidRDefault="00572CD9" w:rsidP="00572CD9">
            <w:pPr>
              <w:rPr>
                <w:rFonts w:ascii="Arial Narrow" w:hAnsi="Arial Narrow"/>
                <w:sz w:val="20"/>
                <w:szCs w:val="20"/>
              </w:rPr>
            </w:pPr>
          </w:p>
          <w:p w14:paraId="670D8F39"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The economic model included 36 different cohorts: 18 cohorts for each arm (mecasermin and no treatment) defined by treatment starting ages ranging between 2 and 10 years and biological sex. Total costs, QALYs, and ICERs were calculated for each cohort over a lifetime horizon and weighted according to chronological age and biological sex starting distributions. The minimum treatment start age was 2 years old and the maximum treatment time permitted by the model structure was 19 years.</w:t>
            </w:r>
          </w:p>
          <w:p w14:paraId="0E3C7B97" w14:textId="77777777" w:rsidR="00572CD9" w:rsidRPr="00BB59D8" w:rsidRDefault="00572CD9" w:rsidP="00572CD9">
            <w:pPr>
              <w:rPr>
                <w:rFonts w:ascii="Arial Narrow" w:hAnsi="Arial Narrow"/>
                <w:sz w:val="20"/>
                <w:szCs w:val="20"/>
              </w:rPr>
            </w:pPr>
          </w:p>
          <w:p w14:paraId="415E0953"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The economic model varies from the proposed PBS restriction which allows mecasermin treatment for children aged 2 to 18. The model assumed 90% of the children starting treatment at age 2 and the remaining 10% at age 5. This does not capture the full range of proposed PBS population.</w:t>
            </w:r>
          </w:p>
        </w:tc>
      </w:tr>
      <w:tr w:rsidR="00572CD9" w:rsidRPr="00BB59D8" w14:paraId="5E5B780D" w14:textId="77777777" w:rsidTr="00B422DC">
        <w:tc>
          <w:tcPr>
            <w:tcW w:w="1413" w:type="dxa"/>
            <w:shd w:val="clear" w:color="auto" w:fill="auto"/>
            <w:vAlign w:val="center"/>
          </w:tcPr>
          <w:p w14:paraId="2C8702DE"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Time horizon</w:t>
            </w:r>
          </w:p>
        </w:tc>
        <w:tc>
          <w:tcPr>
            <w:tcW w:w="7604" w:type="dxa"/>
            <w:shd w:val="clear" w:color="auto" w:fill="auto"/>
            <w:vAlign w:val="center"/>
          </w:tcPr>
          <w:p w14:paraId="5285C47B"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Lifetime (100 years).</w:t>
            </w:r>
          </w:p>
          <w:p w14:paraId="70CF879C" w14:textId="77777777" w:rsidR="00572CD9" w:rsidRPr="00BB59D8" w:rsidRDefault="00572CD9" w:rsidP="00572CD9">
            <w:pPr>
              <w:rPr>
                <w:rFonts w:ascii="Arial Narrow" w:hAnsi="Arial Narrow"/>
                <w:sz w:val="20"/>
                <w:szCs w:val="20"/>
              </w:rPr>
            </w:pPr>
          </w:p>
          <w:p w14:paraId="64925F36"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The lifetime time horizon was long compared to the duration of follow-up in Study 1419 and the EU-IGFD Registry (until near adult age). The ICER was mildly sensitive to a shorter time horizon of 50 years (</w:t>
            </w:r>
            <w:r w:rsidR="002707AA">
              <w:rPr>
                <w:rFonts w:ascii="Arial Narrow" w:hAnsi="Arial Narrow"/>
                <w:noProof/>
                <w:color w:val="000000"/>
                <w:sz w:val="20"/>
                <w:szCs w:val="20"/>
                <w:highlight w:val="black"/>
              </w:rPr>
              <w:t>''''''''''''''''''''''</w:t>
            </w:r>
            <w:r w:rsidR="00276576" w:rsidRPr="00276576">
              <w:rPr>
                <w:rFonts w:ascii="Arial Narrow" w:hAnsi="Arial Narrow"/>
                <w:sz w:val="20"/>
                <w:vertAlign w:val="superscript"/>
              </w:rPr>
              <w:t>1</w:t>
            </w:r>
            <w:r w:rsidRPr="00BB59D8">
              <w:rPr>
                <w:rFonts w:ascii="Arial Narrow" w:hAnsi="Arial Narrow"/>
                <w:sz w:val="20"/>
                <w:szCs w:val="20"/>
              </w:rPr>
              <w:t xml:space="preserve"> / QALY gained) and highly sensitive to a 25-year time horizon (</w:t>
            </w:r>
            <w:r w:rsidR="002707AA">
              <w:rPr>
                <w:rFonts w:ascii="Arial Narrow" w:hAnsi="Arial Narrow"/>
                <w:noProof/>
                <w:color w:val="000000"/>
                <w:sz w:val="20"/>
                <w:szCs w:val="20"/>
                <w:highlight w:val="black"/>
              </w:rPr>
              <w:t>'''''''''''''''''''''''</w:t>
            </w:r>
            <w:r w:rsidR="00556135" w:rsidRPr="00556135">
              <w:rPr>
                <w:rFonts w:ascii="Arial Narrow" w:hAnsi="Arial Narrow"/>
                <w:sz w:val="20"/>
                <w:vertAlign w:val="superscript"/>
              </w:rPr>
              <w:t>2</w:t>
            </w:r>
            <w:r w:rsidRPr="00BB59D8">
              <w:rPr>
                <w:rFonts w:ascii="Arial Narrow" w:hAnsi="Arial Narrow"/>
                <w:sz w:val="20"/>
                <w:szCs w:val="20"/>
              </w:rPr>
              <w:t xml:space="preserve"> / QALY gained), versus </w:t>
            </w:r>
            <w:r w:rsidR="002707AA">
              <w:rPr>
                <w:rFonts w:ascii="Arial Narrow" w:hAnsi="Arial Narrow"/>
                <w:noProof/>
                <w:color w:val="000000"/>
                <w:sz w:val="20"/>
                <w:szCs w:val="20"/>
                <w:highlight w:val="black"/>
              </w:rPr>
              <w:t>''''''''''''''''''</w:t>
            </w:r>
            <w:r w:rsidR="00D606D3" w:rsidRPr="00276576">
              <w:rPr>
                <w:rFonts w:ascii="Arial Narrow" w:hAnsi="Arial Narrow"/>
                <w:sz w:val="20"/>
                <w:vertAlign w:val="superscript"/>
              </w:rPr>
              <w:t>1</w:t>
            </w:r>
            <w:r w:rsidRPr="00BB59D8">
              <w:rPr>
                <w:rFonts w:ascii="Arial Narrow" w:hAnsi="Arial Narrow"/>
                <w:sz w:val="20"/>
                <w:szCs w:val="20"/>
              </w:rPr>
              <w:t xml:space="preserve"> /QALY gained in the base case. </w:t>
            </w:r>
          </w:p>
        </w:tc>
      </w:tr>
      <w:tr w:rsidR="00572CD9" w:rsidRPr="00BB59D8" w14:paraId="37AFF3B2" w14:textId="77777777" w:rsidTr="00B422DC">
        <w:tc>
          <w:tcPr>
            <w:tcW w:w="1413" w:type="dxa"/>
            <w:shd w:val="clear" w:color="auto" w:fill="auto"/>
            <w:vAlign w:val="center"/>
          </w:tcPr>
          <w:p w14:paraId="761977F7"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Outcomes</w:t>
            </w:r>
          </w:p>
        </w:tc>
        <w:tc>
          <w:tcPr>
            <w:tcW w:w="7604" w:type="dxa"/>
            <w:shd w:val="clear" w:color="auto" w:fill="auto"/>
            <w:vAlign w:val="center"/>
          </w:tcPr>
          <w:p w14:paraId="4A1C387D"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QALYs gained</w:t>
            </w:r>
          </w:p>
        </w:tc>
      </w:tr>
      <w:tr w:rsidR="00572CD9" w:rsidRPr="00BB59D8" w14:paraId="0559CF5E" w14:textId="77777777" w:rsidTr="00B422DC">
        <w:tc>
          <w:tcPr>
            <w:tcW w:w="1413" w:type="dxa"/>
            <w:shd w:val="clear" w:color="auto" w:fill="auto"/>
            <w:vAlign w:val="center"/>
          </w:tcPr>
          <w:p w14:paraId="7424B6CC"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Methods used to generate results</w:t>
            </w:r>
          </w:p>
        </w:tc>
        <w:tc>
          <w:tcPr>
            <w:tcW w:w="7604" w:type="dxa"/>
            <w:shd w:val="clear" w:color="auto" w:fill="auto"/>
            <w:vAlign w:val="center"/>
          </w:tcPr>
          <w:p w14:paraId="3F85A6B9"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Decision analytic model</w:t>
            </w:r>
          </w:p>
        </w:tc>
      </w:tr>
      <w:tr w:rsidR="00572CD9" w:rsidRPr="00BB59D8" w14:paraId="2B4A10FC" w14:textId="77777777" w:rsidTr="00B422DC">
        <w:tc>
          <w:tcPr>
            <w:tcW w:w="1413" w:type="dxa"/>
            <w:shd w:val="clear" w:color="auto" w:fill="auto"/>
            <w:vAlign w:val="center"/>
          </w:tcPr>
          <w:p w14:paraId="6174F98D"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Health states</w:t>
            </w:r>
          </w:p>
        </w:tc>
        <w:tc>
          <w:tcPr>
            <w:tcW w:w="7604" w:type="dxa"/>
            <w:shd w:val="clear" w:color="auto" w:fill="auto"/>
            <w:vAlign w:val="center"/>
          </w:tcPr>
          <w:p w14:paraId="5F967D19"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On treatment, not on treatment, dead</w:t>
            </w:r>
          </w:p>
        </w:tc>
      </w:tr>
      <w:tr w:rsidR="00572CD9" w:rsidRPr="00BB59D8" w14:paraId="3C8E9DF7" w14:textId="77777777" w:rsidTr="00B422DC">
        <w:tc>
          <w:tcPr>
            <w:tcW w:w="1413" w:type="dxa"/>
            <w:shd w:val="clear" w:color="auto" w:fill="auto"/>
            <w:vAlign w:val="center"/>
          </w:tcPr>
          <w:p w14:paraId="537A5269"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Cycle length</w:t>
            </w:r>
          </w:p>
        </w:tc>
        <w:tc>
          <w:tcPr>
            <w:tcW w:w="7604" w:type="dxa"/>
            <w:shd w:val="clear" w:color="auto" w:fill="auto"/>
            <w:vAlign w:val="center"/>
          </w:tcPr>
          <w:p w14:paraId="16B86F32"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One year</w:t>
            </w:r>
          </w:p>
        </w:tc>
      </w:tr>
      <w:tr w:rsidR="00572CD9" w:rsidRPr="00BB59D8" w14:paraId="3F5CED71" w14:textId="77777777" w:rsidTr="00B422DC">
        <w:tc>
          <w:tcPr>
            <w:tcW w:w="1413" w:type="dxa"/>
            <w:shd w:val="clear" w:color="auto" w:fill="auto"/>
            <w:vAlign w:val="center"/>
          </w:tcPr>
          <w:p w14:paraId="464EED8A"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Transition probabilities</w:t>
            </w:r>
          </w:p>
          <w:p w14:paraId="5CFB94AF" w14:textId="77777777" w:rsidR="00572CD9" w:rsidRPr="00BB59D8" w:rsidRDefault="00572CD9" w:rsidP="00B422DC">
            <w:pPr>
              <w:jc w:val="left"/>
              <w:rPr>
                <w:rFonts w:ascii="Arial Narrow" w:hAnsi="Arial Narrow"/>
                <w:sz w:val="20"/>
                <w:szCs w:val="20"/>
              </w:rPr>
            </w:pPr>
          </w:p>
        </w:tc>
        <w:tc>
          <w:tcPr>
            <w:tcW w:w="7604" w:type="dxa"/>
            <w:shd w:val="clear" w:color="auto" w:fill="auto"/>
            <w:vAlign w:val="center"/>
          </w:tcPr>
          <w:p w14:paraId="3A83D757"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Discontinuation and adverse event rates: Based on the EU-IGFD Registry (base case) and Study 1419 (sensitivity analysis)</w:t>
            </w:r>
            <w:r w:rsidR="001053D7" w:rsidRPr="00BB59D8">
              <w:rPr>
                <w:rFonts w:ascii="Arial Narrow" w:hAnsi="Arial Narrow"/>
                <w:sz w:val="20"/>
                <w:szCs w:val="20"/>
              </w:rPr>
              <w:t>.</w:t>
            </w:r>
          </w:p>
          <w:p w14:paraId="6EE8EF4E" w14:textId="77777777" w:rsidR="00572CD9" w:rsidRPr="00BB59D8" w:rsidRDefault="00572CD9" w:rsidP="00572CD9">
            <w:pPr>
              <w:rPr>
                <w:rFonts w:ascii="Arial Narrow" w:hAnsi="Arial Narrow"/>
                <w:sz w:val="20"/>
                <w:szCs w:val="20"/>
              </w:rPr>
            </w:pPr>
          </w:p>
          <w:p w14:paraId="79318735"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Mortality rates: General mortality was based on Australian life expectancy tables for treated and untreated groups.</w:t>
            </w:r>
          </w:p>
          <w:p w14:paraId="7C1CF077" w14:textId="77777777" w:rsidR="00572CD9" w:rsidRPr="00BB59D8" w:rsidRDefault="00572CD9" w:rsidP="00572CD9">
            <w:pPr>
              <w:rPr>
                <w:rFonts w:ascii="Arial Narrow" w:hAnsi="Arial Narrow"/>
                <w:sz w:val="20"/>
                <w:szCs w:val="20"/>
              </w:rPr>
            </w:pPr>
          </w:p>
          <w:p w14:paraId="7D41FAF0"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Height velocity, untreated patients: Laron 1993 study</w:t>
            </w:r>
          </w:p>
          <w:p w14:paraId="6744D72D"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Height velocity, mecasermin treated patients: the EU-IGFD Registry (treatment naïve prepubertal patients).</w:t>
            </w:r>
          </w:p>
          <w:p w14:paraId="56FFBB47" w14:textId="77777777" w:rsidR="00572CD9" w:rsidRPr="00BB59D8" w:rsidRDefault="00572CD9" w:rsidP="00572CD9">
            <w:pPr>
              <w:rPr>
                <w:rFonts w:ascii="Arial Narrow" w:hAnsi="Arial Narrow"/>
                <w:sz w:val="20"/>
                <w:szCs w:val="20"/>
              </w:rPr>
            </w:pPr>
          </w:p>
          <w:p w14:paraId="2BC07C25"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The relative treatment effect between mecasermin and no treatment was based on an unrandomised, unadjusted naïve comparison. Trial MS301 provided the only within-study comparison of mecasermin versus no treatment in a randomised, open-label design. However, the trial duration was only one year. The height velocity in trial MS301 after one year of mecasermin treatment was similar to EU-IGFD but slightly lower than Study 1419.</w:t>
            </w:r>
          </w:p>
          <w:p w14:paraId="126759C2" w14:textId="77777777" w:rsidR="00572CD9" w:rsidRPr="00BB59D8" w:rsidRDefault="00572CD9" w:rsidP="00572CD9">
            <w:pPr>
              <w:rPr>
                <w:rFonts w:ascii="Arial Narrow" w:hAnsi="Arial Narrow"/>
                <w:sz w:val="20"/>
                <w:szCs w:val="20"/>
              </w:rPr>
            </w:pPr>
          </w:p>
          <w:p w14:paraId="21EB1170"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 xml:space="preserve">The submission did not justify using the EU-IGFD Registry in the base case. Study 1419 had potentially more relevant inclusion criteria than </w:t>
            </w:r>
            <w:r w:rsidR="00D50528" w:rsidRPr="00BB59D8">
              <w:rPr>
                <w:rFonts w:ascii="Arial Narrow" w:hAnsi="Arial Narrow"/>
                <w:sz w:val="20"/>
                <w:szCs w:val="20"/>
              </w:rPr>
              <w:t xml:space="preserve">EU-IGFD </w:t>
            </w:r>
            <w:r w:rsidRPr="00BB59D8">
              <w:rPr>
                <w:rFonts w:ascii="Arial Narrow" w:hAnsi="Arial Narrow"/>
                <w:sz w:val="20"/>
                <w:szCs w:val="20"/>
              </w:rPr>
              <w:t xml:space="preserve">in terms of HSDS, growth hormone sufficiency and exclusion of secondary forms of IGF-1 deficiency. The HSDS scores in Study 1419 (-6.9, range: -12.1, -2.8) were closer to those in the proposed PBS restriction (≤-3.0) than those in EU-IGFD (mean -3.8, range: -9.4 to -1.3). </w:t>
            </w:r>
          </w:p>
          <w:p w14:paraId="5208C4BC" w14:textId="77777777" w:rsidR="00572CD9" w:rsidRPr="00BB59D8" w:rsidRDefault="00572CD9" w:rsidP="00572CD9">
            <w:pPr>
              <w:rPr>
                <w:rFonts w:ascii="Arial Narrow" w:hAnsi="Arial Narrow"/>
                <w:sz w:val="20"/>
                <w:szCs w:val="20"/>
              </w:rPr>
            </w:pPr>
          </w:p>
          <w:p w14:paraId="35705257" w14:textId="333C8C63" w:rsidR="00572CD9" w:rsidRPr="00BB59D8" w:rsidRDefault="00572CD9" w:rsidP="00572CD9">
            <w:pPr>
              <w:rPr>
                <w:rFonts w:ascii="Arial Narrow" w:hAnsi="Arial Narrow"/>
                <w:sz w:val="20"/>
                <w:szCs w:val="20"/>
              </w:rPr>
            </w:pPr>
            <w:r w:rsidRPr="00BB59D8">
              <w:rPr>
                <w:rFonts w:ascii="Arial Narrow" w:hAnsi="Arial Narrow"/>
                <w:sz w:val="20"/>
                <w:szCs w:val="20"/>
              </w:rPr>
              <w:t>For the untreated patients, a change in height from one year to the next was used in the model. For the mecasermin treated patients, instead of the change in height from the pre-treatment height, the yearly mean absolute height values from the EU-IGFD registry were implemented as the baseline values for each age cohort. Although the submission did not discuss or justify this assumption, it was probably due to the different treatment ages in the mecasermin treated patients and the differences in baseline height. For example, the pre-treatment baseline mean height in EU-IGFD was 114</w:t>
            </w:r>
            <w:r w:rsidR="001B5157" w:rsidRPr="00BB59D8">
              <w:rPr>
                <w:rFonts w:ascii="Arial Narrow" w:hAnsi="Arial Narrow"/>
                <w:sz w:val="20"/>
                <w:szCs w:val="20"/>
              </w:rPr>
              <w:t xml:space="preserve"> </w:t>
            </w:r>
            <w:r w:rsidRPr="00BB59D8">
              <w:rPr>
                <w:rFonts w:ascii="Arial Narrow" w:hAnsi="Arial Narrow"/>
                <w:sz w:val="20"/>
                <w:szCs w:val="20"/>
              </w:rPr>
              <w:t>cm (mean age 9.5 years) compared with 88 to 100 cm in the Laron 1993 (untreated) cohort (for patients aged 9 to 10). Although the absolute height gains were superior in the EU-IGFD Registry than Study 1419, the reverse was true when comparing the change in height from the pre-treatment baseline. This approach introduces structural uncertainty. No sensitivity analysis was conducted on this approach.</w:t>
            </w:r>
          </w:p>
          <w:p w14:paraId="3113989E" w14:textId="77777777" w:rsidR="00572CD9" w:rsidRPr="00BB59D8" w:rsidRDefault="00572CD9" w:rsidP="00572CD9">
            <w:pPr>
              <w:rPr>
                <w:rFonts w:ascii="Arial Narrow" w:hAnsi="Arial Narrow"/>
                <w:sz w:val="20"/>
                <w:szCs w:val="20"/>
              </w:rPr>
            </w:pPr>
          </w:p>
          <w:p w14:paraId="57D2A40A"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 xml:space="preserve">HSDS values: Based on WHO height charts for the general population for the treated and untreated groups. </w:t>
            </w:r>
          </w:p>
          <w:p w14:paraId="46EBE7C7" w14:textId="77777777" w:rsidR="00572CD9" w:rsidRPr="00BB59D8" w:rsidRDefault="00572CD9" w:rsidP="00572CD9">
            <w:pPr>
              <w:rPr>
                <w:rFonts w:ascii="Arial Narrow" w:hAnsi="Arial Narrow"/>
                <w:sz w:val="20"/>
                <w:szCs w:val="20"/>
              </w:rPr>
            </w:pPr>
          </w:p>
          <w:p w14:paraId="63279675"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Probability of an AE: The AEs associated with mecasermin treatment were based on the EU-IGFD Registry.</w:t>
            </w:r>
          </w:p>
          <w:p w14:paraId="00C3E631" w14:textId="77777777" w:rsidR="00572CD9" w:rsidRPr="00BB59D8" w:rsidRDefault="00572CD9" w:rsidP="00572CD9">
            <w:pPr>
              <w:rPr>
                <w:rFonts w:ascii="Arial Narrow" w:hAnsi="Arial Narrow"/>
                <w:sz w:val="20"/>
                <w:szCs w:val="20"/>
              </w:rPr>
            </w:pPr>
          </w:p>
          <w:p w14:paraId="7662978D"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Some common adverse events presented in the safety analysis were not included in the model, and a justification for their exclusion was also not provided. These included snoring, sleep apnoea, myalgia, and arthralgia. Inclusion of the costs associated with managing these adverse events will potentially increase the total cost. However, these costs are likely to be small. One death was associated with mecasermin treatment in the EU-IGFD Registry. This was not discussed or modelled in the submission.</w:t>
            </w:r>
          </w:p>
        </w:tc>
      </w:tr>
      <w:tr w:rsidR="00572CD9" w:rsidRPr="00BB59D8" w14:paraId="0265D2D3" w14:textId="77777777" w:rsidTr="00B422DC">
        <w:tc>
          <w:tcPr>
            <w:tcW w:w="1413" w:type="dxa"/>
            <w:shd w:val="clear" w:color="auto" w:fill="auto"/>
            <w:vAlign w:val="center"/>
          </w:tcPr>
          <w:p w14:paraId="6B0DD8BF" w14:textId="77777777" w:rsidR="00572CD9" w:rsidRPr="00BB59D8" w:rsidRDefault="00572CD9" w:rsidP="00B422DC">
            <w:pPr>
              <w:jc w:val="left"/>
              <w:rPr>
                <w:rFonts w:ascii="Arial Narrow" w:hAnsi="Arial Narrow"/>
                <w:sz w:val="20"/>
                <w:szCs w:val="20"/>
              </w:rPr>
            </w:pPr>
            <w:r w:rsidRPr="00BB59D8">
              <w:rPr>
                <w:rFonts w:ascii="Arial Narrow" w:hAnsi="Arial Narrow"/>
                <w:sz w:val="20"/>
                <w:szCs w:val="20"/>
              </w:rPr>
              <w:t>Health-related quality of life</w:t>
            </w:r>
          </w:p>
        </w:tc>
        <w:tc>
          <w:tcPr>
            <w:tcW w:w="7604" w:type="dxa"/>
            <w:shd w:val="clear" w:color="auto" w:fill="auto"/>
            <w:vAlign w:val="center"/>
          </w:tcPr>
          <w:p w14:paraId="0D410948" w14:textId="252FBB98" w:rsidR="00572CD9" w:rsidRPr="00BB59D8" w:rsidRDefault="00572CD9" w:rsidP="00572CD9">
            <w:pPr>
              <w:rPr>
                <w:rFonts w:ascii="Arial Narrow" w:hAnsi="Arial Narrow"/>
                <w:sz w:val="20"/>
                <w:szCs w:val="20"/>
              </w:rPr>
            </w:pPr>
            <w:r w:rsidRPr="00BB59D8">
              <w:rPr>
                <w:rFonts w:ascii="Arial Narrow" w:hAnsi="Arial Narrow"/>
                <w:sz w:val="20"/>
                <w:szCs w:val="20"/>
              </w:rPr>
              <w:t xml:space="preserve">Utilities: Utilities were based on a published study (Christensen 2007), which analysed the utility (measured with EQ-5D) of the UK general population. The relationship between qualify of life and HSDS was extrapolated for HSDS less than -3.5. </w:t>
            </w:r>
          </w:p>
          <w:p w14:paraId="130DC63B" w14:textId="77777777" w:rsidR="00572CD9" w:rsidRPr="00BB59D8" w:rsidRDefault="00572CD9" w:rsidP="00572CD9">
            <w:pPr>
              <w:rPr>
                <w:rFonts w:ascii="Arial Narrow" w:hAnsi="Arial Narrow"/>
                <w:sz w:val="20"/>
                <w:szCs w:val="20"/>
              </w:rPr>
            </w:pPr>
          </w:p>
          <w:p w14:paraId="127A8C52" w14:textId="77777777" w:rsidR="00572CD9" w:rsidRPr="00BB59D8" w:rsidRDefault="00572CD9" w:rsidP="00572CD9">
            <w:pPr>
              <w:rPr>
                <w:rFonts w:ascii="Arial Narrow" w:hAnsi="Arial Narrow"/>
                <w:sz w:val="20"/>
                <w:szCs w:val="20"/>
              </w:rPr>
            </w:pPr>
            <w:r w:rsidRPr="00BB59D8">
              <w:rPr>
                <w:rFonts w:ascii="Arial Narrow" w:hAnsi="Arial Narrow"/>
                <w:sz w:val="20"/>
                <w:szCs w:val="20"/>
              </w:rPr>
              <w:t xml:space="preserve">Disutilities associated with adverse events from mecasermin treatment were not included in the model. </w:t>
            </w:r>
          </w:p>
        </w:tc>
      </w:tr>
    </w:tbl>
    <w:p w14:paraId="1755A280" w14:textId="77777777" w:rsidR="00A167A4" w:rsidRPr="00BB59D8" w:rsidRDefault="00A167A4" w:rsidP="00A167A4">
      <w:pPr>
        <w:pStyle w:val="TableFigureFooter"/>
      </w:pPr>
      <w:r w:rsidRPr="00BB59D8">
        <w:t>ICER</w:t>
      </w:r>
      <w:r w:rsidR="00C631EA" w:rsidRPr="00BB59D8">
        <w:t xml:space="preserve"> </w:t>
      </w:r>
      <w:r w:rsidRPr="00BB59D8">
        <w:t>=</w:t>
      </w:r>
      <w:r w:rsidR="00C631EA" w:rsidRPr="00BB59D8">
        <w:t xml:space="preserve"> </w:t>
      </w:r>
      <w:r w:rsidRPr="00BB59D8">
        <w:t>incremental cost-effectiveness ratio; QALY</w:t>
      </w:r>
      <w:r w:rsidR="00C631EA" w:rsidRPr="00BB59D8">
        <w:t xml:space="preserve"> </w:t>
      </w:r>
      <w:r w:rsidRPr="00BB59D8">
        <w:t>=</w:t>
      </w:r>
      <w:r w:rsidR="00C631EA" w:rsidRPr="00BB59D8">
        <w:t xml:space="preserve"> </w:t>
      </w:r>
      <w:r w:rsidRPr="00BB59D8">
        <w:t>quality-adjusted life years; HSDS</w:t>
      </w:r>
      <w:r w:rsidR="00C631EA" w:rsidRPr="00BB59D8">
        <w:t xml:space="preserve"> </w:t>
      </w:r>
      <w:r w:rsidRPr="00BB59D8">
        <w:t>=</w:t>
      </w:r>
      <w:r w:rsidR="00C631EA" w:rsidRPr="00BB59D8">
        <w:t xml:space="preserve"> </w:t>
      </w:r>
      <w:r w:rsidRPr="00BB59D8">
        <w:t>height standard deviation score; WHO</w:t>
      </w:r>
      <w:r w:rsidR="00C631EA" w:rsidRPr="00BB59D8">
        <w:t xml:space="preserve"> </w:t>
      </w:r>
      <w:r w:rsidRPr="00BB59D8">
        <w:t>=</w:t>
      </w:r>
      <w:r w:rsidR="00C631EA" w:rsidRPr="00BB59D8">
        <w:t xml:space="preserve"> </w:t>
      </w:r>
      <w:r w:rsidRPr="00BB59D8">
        <w:t>World Health Organisation; UK</w:t>
      </w:r>
      <w:r w:rsidR="00C631EA" w:rsidRPr="00BB59D8">
        <w:t xml:space="preserve"> </w:t>
      </w:r>
      <w:r w:rsidRPr="00BB59D8">
        <w:t>=</w:t>
      </w:r>
      <w:r w:rsidR="00C631EA" w:rsidRPr="00BB59D8">
        <w:t xml:space="preserve"> </w:t>
      </w:r>
      <w:r w:rsidRPr="00BB59D8">
        <w:t>United Kingdom; SPIGFD</w:t>
      </w:r>
      <w:r w:rsidR="00C631EA" w:rsidRPr="00BB59D8">
        <w:t xml:space="preserve"> </w:t>
      </w:r>
      <w:r w:rsidRPr="00BB59D8">
        <w:t>=</w:t>
      </w:r>
      <w:r w:rsidR="00C631EA" w:rsidRPr="00BB59D8">
        <w:t xml:space="preserve"> </w:t>
      </w:r>
      <w:r w:rsidRPr="00BB59D8">
        <w:t>severe primary insulin-like growth factor deficiency; AE</w:t>
      </w:r>
      <w:r w:rsidR="00C631EA" w:rsidRPr="00BB59D8">
        <w:t xml:space="preserve"> </w:t>
      </w:r>
      <w:r w:rsidRPr="00BB59D8">
        <w:t>=</w:t>
      </w:r>
      <w:r w:rsidR="00C631EA" w:rsidRPr="00BB59D8">
        <w:t xml:space="preserve"> </w:t>
      </w:r>
      <w:r w:rsidRPr="00BB59D8">
        <w:t xml:space="preserve">adverse event. </w:t>
      </w:r>
    </w:p>
    <w:p w14:paraId="4B47C4AB" w14:textId="77777777" w:rsidR="00A167A4" w:rsidRDefault="00A167A4" w:rsidP="00A167A4">
      <w:pPr>
        <w:pStyle w:val="TableFigureFooter"/>
      </w:pPr>
      <w:r w:rsidRPr="00BB59D8">
        <w:t>Source: Ta</w:t>
      </w:r>
      <w:r w:rsidR="00B334C7" w:rsidRPr="00BB59D8">
        <w:t>ble 3-1, p90 of the submission.</w:t>
      </w:r>
      <w:r w:rsidRPr="00BB59D8">
        <w:t xml:space="preserve"> </w:t>
      </w:r>
    </w:p>
    <w:p w14:paraId="1B50BF7F" w14:textId="77777777" w:rsidR="00276576" w:rsidRPr="00715A67" w:rsidRDefault="00276576" w:rsidP="00A167A4">
      <w:pPr>
        <w:pStyle w:val="TableFigureFooter"/>
        <w:rPr>
          <w:i/>
        </w:rPr>
      </w:pPr>
      <w:r w:rsidRPr="00715A67">
        <w:rPr>
          <w:i/>
        </w:rPr>
        <w:t>The redacted values correspond to the following ranges:</w:t>
      </w:r>
    </w:p>
    <w:p w14:paraId="03CF29C8" w14:textId="77777777" w:rsidR="00276576" w:rsidRPr="00715A67" w:rsidRDefault="00276576" w:rsidP="00A167A4">
      <w:pPr>
        <w:pStyle w:val="TableFigureFooter"/>
        <w:rPr>
          <w:i/>
        </w:rPr>
      </w:pPr>
      <w:r w:rsidRPr="00715A67">
        <w:rPr>
          <w:i/>
          <w:vertAlign w:val="superscript"/>
        </w:rPr>
        <w:t>1</w:t>
      </w:r>
      <w:r w:rsidRPr="00715A67">
        <w:rPr>
          <w:i/>
        </w:rPr>
        <w:t xml:space="preserve"> $95,000 to &lt; $115,000</w:t>
      </w:r>
    </w:p>
    <w:p w14:paraId="3D828B70" w14:textId="77777777" w:rsidR="00556135" w:rsidRPr="00715A67" w:rsidRDefault="00556135" w:rsidP="00A167A4">
      <w:pPr>
        <w:pStyle w:val="TableFigureFooter"/>
        <w:rPr>
          <w:i/>
        </w:rPr>
      </w:pPr>
      <w:r w:rsidRPr="00715A67">
        <w:rPr>
          <w:i/>
          <w:vertAlign w:val="superscript"/>
        </w:rPr>
        <w:t>2</w:t>
      </w:r>
      <w:r w:rsidRPr="00715A67">
        <w:rPr>
          <w:i/>
        </w:rPr>
        <w:t xml:space="preserve"> $135,000 to &lt; $155,000</w:t>
      </w:r>
    </w:p>
    <w:p w14:paraId="542C20DA" w14:textId="77777777" w:rsidR="00A167A4" w:rsidRPr="00BB59D8" w:rsidRDefault="00A167A4" w:rsidP="00A167A4">
      <w:pPr>
        <w:pStyle w:val="3-BodyText"/>
        <w:rPr>
          <w:iCs/>
        </w:rPr>
      </w:pPr>
      <w:r w:rsidRPr="00BB59D8">
        <w:rPr>
          <w:iCs/>
        </w:rPr>
        <w:t xml:space="preserve">The submission did not justify the choice of efficacy data from the EU-IGFD </w:t>
      </w:r>
      <w:r w:rsidR="00227951" w:rsidRPr="00BB59D8">
        <w:rPr>
          <w:iCs/>
        </w:rPr>
        <w:t>R</w:t>
      </w:r>
      <w:r w:rsidRPr="00BB59D8">
        <w:rPr>
          <w:iCs/>
        </w:rPr>
        <w:t xml:space="preserve">egistry in the base case. Using Study 1419 </w:t>
      </w:r>
      <w:r w:rsidR="00FE1C68" w:rsidRPr="00BB59D8">
        <w:rPr>
          <w:iCs/>
        </w:rPr>
        <w:t xml:space="preserve">(treatment naïve subgroup) </w:t>
      </w:r>
      <w:r w:rsidRPr="00BB59D8">
        <w:rPr>
          <w:iCs/>
        </w:rPr>
        <w:t xml:space="preserve">as the base-case for treatment discontinuation rates, mecasermin dosing, adverse events, and height </w:t>
      </w:r>
      <w:r w:rsidR="00E74124" w:rsidRPr="00BB59D8">
        <w:rPr>
          <w:iCs/>
        </w:rPr>
        <w:t>gain</w:t>
      </w:r>
      <w:r w:rsidRPr="00BB59D8">
        <w:rPr>
          <w:iCs/>
        </w:rPr>
        <w:t xml:space="preserve"> increased the ICER from $</w:t>
      </w:r>
      <w:r w:rsidR="007C6F26">
        <w:rPr>
          <w:iCs/>
        </w:rPr>
        <w:t>95,000 to &lt; $115,000</w:t>
      </w:r>
      <w:r w:rsidRPr="00BB59D8">
        <w:rPr>
          <w:iCs/>
        </w:rPr>
        <w:t xml:space="preserve"> to $</w:t>
      </w:r>
      <w:r w:rsidR="007C6F26">
        <w:rPr>
          <w:iCs/>
        </w:rPr>
        <w:t>115,000 to &lt; $135,000</w:t>
      </w:r>
      <w:r w:rsidRPr="00BB59D8">
        <w:rPr>
          <w:iCs/>
        </w:rPr>
        <w:t xml:space="preserve"> per QALY</w:t>
      </w:r>
      <w:r w:rsidR="0067149F" w:rsidRPr="00BB59D8">
        <w:rPr>
          <w:iCs/>
        </w:rPr>
        <w:t xml:space="preserve"> gained</w:t>
      </w:r>
      <w:r w:rsidR="00BE48F0" w:rsidRPr="00BB59D8">
        <w:rPr>
          <w:iCs/>
        </w:rPr>
        <w:t xml:space="preserve"> (values reflect submission model)</w:t>
      </w:r>
      <w:r w:rsidRPr="00BB59D8">
        <w:rPr>
          <w:iCs/>
        </w:rPr>
        <w:t>.</w:t>
      </w:r>
    </w:p>
    <w:p w14:paraId="3BF52AE1" w14:textId="77777777" w:rsidR="00A167A4" w:rsidRPr="00BB59D8" w:rsidRDefault="00A167A4" w:rsidP="00A167A4">
      <w:pPr>
        <w:pStyle w:val="3-BodyText"/>
        <w:rPr>
          <w:iCs/>
        </w:rPr>
      </w:pPr>
      <w:r w:rsidRPr="00BB59D8">
        <w:rPr>
          <w:iCs/>
        </w:rPr>
        <w:t xml:space="preserve">All incremental QALYs were estimated from differences in </w:t>
      </w:r>
      <w:r w:rsidR="00C6040C" w:rsidRPr="00BB59D8">
        <w:rPr>
          <w:iCs/>
        </w:rPr>
        <w:t>QoL</w:t>
      </w:r>
      <w:r w:rsidRPr="00BB59D8">
        <w:rPr>
          <w:iCs/>
        </w:rPr>
        <w:t xml:space="preserve"> between the mecasermin treated versus no treatment arms, as life expectancy was assumed equal between treatment arms.</w:t>
      </w:r>
    </w:p>
    <w:p w14:paraId="477AD1DB" w14:textId="77777777" w:rsidR="00A167A4" w:rsidRPr="00BB59D8" w:rsidRDefault="00A167A4" w:rsidP="00A167A4">
      <w:pPr>
        <w:pStyle w:val="3-BodyText"/>
        <w:rPr>
          <w:iCs/>
        </w:rPr>
      </w:pPr>
      <w:r w:rsidRPr="00BB59D8">
        <w:t>Utilities were based on a published study (Christensen 2007)</w:t>
      </w:r>
      <w:r w:rsidRPr="00BB59D8">
        <w:rPr>
          <w:rStyle w:val="FootnoteReference"/>
        </w:rPr>
        <w:footnoteReference w:id="4"/>
      </w:r>
      <w:r w:rsidRPr="00BB59D8">
        <w:t xml:space="preserve">, which analysed the utility (measured with EQ-5D) of the UK general population. </w:t>
      </w:r>
      <w:r w:rsidRPr="00BB59D8">
        <w:rPr>
          <w:iCs/>
        </w:rPr>
        <w:t>A literature search conducted during the evaluation found no other relevant studies.</w:t>
      </w:r>
    </w:p>
    <w:p w14:paraId="4DD18969" w14:textId="77777777" w:rsidR="00A167A4" w:rsidRPr="00BB59D8" w:rsidRDefault="00A167A4" w:rsidP="00A167A4">
      <w:pPr>
        <w:pStyle w:val="3-BodyText"/>
        <w:rPr>
          <w:iCs/>
        </w:rPr>
      </w:pPr>
      <w:r w:rsidRPr="00BB59D8">
        <w:t>The relationship between qualify of life and HSDS was extrapolated for HSDS less than -3.5 (see Figure 2). In the base case (“Option 1”), the submission assumed the slope of the relationship between utilities and HSDS</w:t>
      </w:r>
      <w:r w:rsidR="000456F2" w:rsidRPr="00BB59D8">
        <w:t>,</w:t>
      </w:r>
      <w:r w:rsidRPr="00BB59D8">
        <w:t xml:space="preserve"> observed over HSDS -3.5 to 0</w:t>
      </w:r>
      <w:r w:rsidR="000456F2" w:rsidRPr="00BB59D8">
        <w:t>,</w:t>
      </w:r>
      <w:r w:rsidRPr="00BB59D8">
        <w:t xml:space="preserve"> steepened for HSDS ≤-3. The upper limit (</w:t>
      </w:r>
      <w:r w:rsidR="000456F2" w:rsidRPr="00BB59D8">
        <w:t>O</w:t>
      </w:r>
      <w:r w:rsidRPr="00BB59D8">
        <w:t>ption 2) was based on a linear trend using the relationship of HSDS and utility from the Christensen 2007 study when HSDS was less than zero. The lower limit (</w:t>
      </w:r>
      <w:r w:rsidR="000456F2" w:rsidRPr="00BB59D8">
        <w:t>O</w:t>
      </w:r>
      <w:r w:rsidRPr="00BB59D8">
        <w:t>ption 3) represented a steeper decline in utility when HSDS was less than -3.5.</w:t>
      </w:r>
    </w:p>
    <w:p w14:paraId="7A916C97" w14:textId="34E28776" w:rsidR="00A167A4" w:rsidRPr="00BB59D8" w:rsidRDefault="00A167A4" w:rsidP="00A167A4">
      <w:pPr>
        <w:pStyle w:val="3-BodyText"/>
        <w:keepNext/>
        <w:numPr>
          <w:ilvl w:val="0"/>
          <w:numId w:val="0"/>
        </w:numPr>
        <w:spacing w:after="0"/>
        <w:rPr>
          <w:rStyle w:val="CommentReference"/>
        </w:rPr>
      </w:pPr>
      <w:r w:rsidRPr="00BB59D8">
        <w:rPr>
          <w:rStyle w:val="CommentReference"/>
        </w:rPr>
        <w:t xml:space="preserve">Figure 2: Extrapolation of utility for HSDS scores below -3.5, as presented in the submission </w:t>
      </w:r>
    </w:p>
    <w:p w14:paraId="37FFC8D4" w14:textId="77777777" w:rsidR="00A167A4" w:rsidRPr="00BB59D8" w:rsidRDefault="007C290C" w:rsidP="00A167A4">
      <w:pPr>
        <w:pStyle w:val="TableFigureFooter"/>
      </w:pPr>
      <w:r w:rsidRPr="00BB59D8">
        <w:rPr>
          <w:noProof/>
        </w:rPr>
        <w:drawing>
          <wp:inline distT="0" distB="0" distL="0" distR="0" wp14:anchorId="6305F6FC" wp14:editId="76E11F46">
            <wp:extent cx="5123815" cy="3227070"/>
            <wp:effectExtent l="0" t="0" r="0" b="0"/>
            <wp:docPr id="9" name="Picture 9" title="Figure 2: Extrapolation of utility for HSDS scores below -3.5, as presented in the sub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0597" b="2317"/>
                    <a:stretch/>
                  </pic:blipFill>
                  <pic:spPr bwMode="auto">
                    <a:xfrm>
                      <a:off x="0" y="0"/>
                      <a:ext cx="5137159" cy="3235474"/>
                    </a:xfrm>
                    <a:prstGeom prst="rect">
                      <a:avLst/>
                    </a:prstGeom>
                    <a:noFill/>
                    <a:ln>
                      <a:noFill/>
                    </a:ln>
                    <a:extLst>
                      <a:ext uri="{53640926-AAD7-44D8-BBD7-CCE9431645EC}">
                        <a14:shadowObscured xmlns:a14="http://schemas.microsoft.com/office/drawing/2010/main"/>
                      </a:ext>
                    </a:extLst>
                  </pic:spPr>
                </pic:pic>
              </a:graphicData>
            </a:graphic>
          </wp:inline>
        </w:drawing>
      </w:r>
    </w:p>
    <w:p w14:paraId="6AC83D1D" w14:textId="77777777" w:rsidR="00A167A4" w:rsidRPr="00BB59D8" w:rsidRDefault="00A167A4" w:rsidP="00A167A4">
      <w:pPr>
        <w:pStyle w:val="TableFigureFooter"/>
      </w:pPr>
      <w:r w:rsidRPr="00BB59D8">
        <w:t>HSDS</w:t>
      </w:r>
      <w:r w:rsidR="00C631EA" w:rsidRPr="00BB59D8">
        <w:t xml:space="preserve"> </w:t>
      </w:r>
      <w:r w:rsidRPr="00BB59D8">
        <w:t>= height standard deviation score; QALYs</w:t>
      </w:r>
      <w:r w:rsidR="00C631EA" w:rsidRPr="00BB59D8">
        <w:t xml:space="preserve"> </w:t>
      </w:r>
      <w:r w:rsidRPr="00BB59D8">
        <w:t>=</w:t>
      </w:r>
      <w:r w:rsidR="00C631EA" w:rsidRPr="00BB59D8">
        <w:t xml:space="preserve"> </w:t>
      </w:r>
      <w:r w:rsidRPr="00BB59D8">
        <w:t>Quality adjusted life years.</w:t>
      </w:r>
    </w:p>
    <w:p w14:paraId="1EDD620C" w14:textId="77777777" w:rsidR="00A167A4" w:rsidRPr="00BB59D8" w:rsidRDefault="00A167A4" w:rsidP="00A167A4">
      <w:pPr>
        <w:pStyle w:val="TableFigureFooter"/>
      </w:pPr>
      <w:r w:rsidRPr="00BB59D8">
        <w:t>Source: Figure 3-5, p114 of the submission.</w:t>
      </w:r>
    </w:p>
    <w:p w14:paraId="2E07180A" w14:textId="77777777" w:rsidR="00C75B57" w:rsidRPr="00BB59D8" w:rsidRDefault="00C75B57" w:rsidP="00A167A4">
      <w:pPr>
        <w:pStyle w:val="3-BodyText"/>
        <w:rPr>
          <w:iCs/>
        </w:rPr>
      </w:pPr>
      <w:r w:rsidRPr="00BB59D8">
        <w:t xml:space="preserve">The method of extrapolation from the data reported by </w:t>
      </w:r>
      <w:r w:rsidRPr="00BB59D8">
        <w:rPr>
          <w:iCs/>
        </w:rPr>
        <w:t xml:space="preserve">Christensen 2007 </w:t>
      </w:r>
      <w:r w:rsidRPr="00BB59D8">
        <w:t>was not well supported.</w:t>
      </w:r>
      <w:r w:rsidR="002F384B" w:rsidRPr="00BB59D8">
        <w:t xml:space="preserve"> </w:t>
      </w:r>
      <w:r w:rsidRPr="00BB59D8">
        <w:t xml:space="preserve">It is unknown whether a linear trend is reflective of scores below </w:t>
      </w:r>
      <w:r w:rsidRPr="00BB59D8">
        <w:noBreakHyphen/>
        <w:t>3.5 standard deviations (Figure 2).</w:t>
      </w:r>
    </w:p>
    <w:p w14:paraId="6131FB84" w14:textId="77777777" w:rsidR="00A167A4" w:rsidRPr="00BB59D8" w:rsidRDefault="00FC6D2A" w:rsidP="004B4F74">
      <w:pPr>
        <w:pStyle w:val="3-BodyText"/>
        <w:rPr>
          <w:iCs/>
        </w:rPr>
      </w:pPr>
      <w:r w:rsidRPr="00BB59D8">
        <w:rPr>
          <w:iCs/>
        </w:rPr>
        <w:t xml:space="preserve">In comparison with the base case (Option 1), the evaluation considered </w:t>
      </w:r>
      <w:r w:rsidR="00A167A4" w:rsidRPr="00BB59D8">
        <w:rPr>
          <w:iCs/>
        </w:rPr>
        <w:t xml:space="preserve">Option 2 </w:t>
      </w:r>
      <w:r w:rsidRPr="00BB59D8">
        <w:rPr>
          <w:iCs/>
        </w:rPr>
        <w:t>more suitable</w:t>
      </w:r>
      <w:r w:rsidR="00A167A4" w:rsidRPr="00BB59D8">
        <w:rPr>
          <w:iCs/>
        </w:rPr>
        <w:t xml:space="preserve"> because it is consistent with the observed data over HSDS -3.5 to 0, and there is insufficient evidence to assume the slope of utility as a function of HSDS steepens for HSDS &lt;-3.5. </w:t>
      </w:r>
    </w:p>
    <w:p w14:paraId="558AE685" w14:textId="71737702" w:rsidR="00A167A4" w:rsidRPr="00BB59D8" w:rsidRDefault="00A167A4" w:rsidP="00065DE4">
      <w:pPr>
        <w:pStyle w:val="3-BodyText"/>
        <w:spacing w:after="60"/>
        <w:rPr>
          <w:iCs/>
        </w:rPr>
      </w:pPr>
      <w:r w:rsidRPr="00BB59D8">
        <w:rPr>
          <w:iCs/>
        </w:rPr>
        <w:t xml:space="preserve">The estimated utilities of people with SPIGFD were uncertain as 1) </w:t>
      </w:r>
      <w:bookmarkStart w:id="42" w:name="_Hlk79664580"/>
      <w:r w:rsidRPr="00BB59D8">
        <w:rPr>
          <w:iCs/>
        </w:rPr>
        <w:t>they were elicited from people in the general population, not from those with SPIGFD</w:t>
      </w:r>
      <w:bookmarkEnd w:id="42"/>
      <w:r w:rsidRPr="00BB59D8">
        <w:rPr>
          <w:iCs/>
        </w:rPr>
        <w:t xml:space="preserve">; 2) </w:t>
      </w:r>
      <w:bookmarkStart w:id="43" w:name="_Hlk79664713"/>
      <w:r w:rsidRPr="00BB59D8">
        <w:rPr>
          <w:iCs/>
        </w:rPr>
        <w:t xml:space="preserve">the height of </w:t>
      </w:r>
      <w:r w:rsidR="000456F2" w:rsidRPr="00BB59D8">
        <w:rPr>
          <w:iCs/>
        </w:rPr>
        <w:t xml:space="preserve">the great majority of </w:t>
      </w:r>
      <w:r w:rsidRPr="00BB59D8">
        <w:rPr>
          <w:iCs/>
        </w:rPr>
        <w:t>patients under the requested PBS restriction (</w:t>
      </w:r>
      <w:r w:rsidRPr="00BB59D8">
        <w:rPr>
          <w:rFonts w:cstheme="minorHAnsi"/>
          <w:iCs/>
        </w:rPr>
        <w:t>≤-</w:t>
      </w:r>
      <w:r w:rsidRPr="00BB59D8">
        <w:rPr>
          <w:iCs/>
        </w:rPr>
        <w:t>3.0 HSDS) was shorter than the shortest respondent in Christensen 2007 (-3.5)</w:t>
      </w:r>
      <w:r w:rsidR="00791506" w:rsidRPr="00BB59D8">
        <w:rPr>
          <w:iCs/>
        </w:rPr>
        <w:t>; and 3) the utility values applied to children age 2 onwards were based on a survey</w:t>
      </w:r>
      <w:r w:rsidR="00534E6D" w:rsidRPr="00BB59D8">
        <w:rPr>
          <w:iCs/>
        </w:rPr>
        <w:t xml:space="preserve"> of</w:t>
      </w:r>
      <w:r w:rsidR="00791506" w:rsidRPr="00BB59D8">
        <w:rPr>
          <w:iCs/>
        </w:rPr>
        <w:t xml:space="preserve"> adults (aged </w:t>
      </w:r>
      <w:r w:rsidR="00791506" w:rsidRPr="00BB59D8">
        <w:rPr>
          <w:rFonts w:cstheme="minorHAnsi"/>
          <w:iCs/>
        </w:rPr>
        <w:t>≥</w:t>
      </w:r>
      <w:r w:rsidR="00791506" w:rsidRPr="00BB59D8">
        <w:rPr>
          <w:iCs/>
        </w:rPr>
        <w:t>18 years)</w:t>
      </w:r>
      <w:r w:rsidRPr="00BB59D8">
        <w:rPr>
          <w:iCs/>
        </w:rPr>
        <w:t>.</w:t>
      </w:r>
      <w:bookmarkEnd w:id="43"/>
      <w:r w:rsidR="00643FFF" w:rsidRPr="00BB59D8">
        <w:rPr>
          <w:iCs/>
        </w:rPr>
        <w:t xml:space="preserve"> Overall, the lack of data from prospective longitudinal follow-up studies makes inferences about cause and consequences difficult. Ideally, a randomised study measuring utilities over time in the untreated and mecasermin treated patients would rule out the effects of any confounding variables on height and QoL. However, this information is not available.</w:t>
      </w:r>
    </w:p>
    <w:p w14:paraId="4CBA67EA" w14:textId="75A969F4" w:rsidR="00E02689" w:rsidRPr="00BB59D8" w:rsidRDefault="00E02689" w:rsidP="00065DE4">
      <w:pPr>
        <w:pStyle w:val="3-BodyText"/>
        <w:spacing w:after="60"/>
      </w:pPr>
      <w:r w:rsidRPr="00BB59D8">
        <w:t>A new version of the economic model was provided with the PSCR to correct a structural error that was identified during the e</w:t>
      </w:r>
      <w:r w:rsidR="00024DDA">
        <w:t>valuation. As noted in the PSCR</w:t>
      </w:r>
      <w:r w:rsidRPr="00BB59D8">
        <w:t>, the original model incorrectly adjusted the average growth velocity for children depending upon whether they were on treatment or had discontinued, because the manner in which the growth velocity was adjusted ignored the historical growth profile of patients who continued on treatment, versus those who had discontinued. The PSCR states that the amended model demonstrates a greater level of face validity in the estimates produced, and better aligns with the clinical opinion that outcomes would be expected to be better in children who commence treatment earlier.</w:t>
      </w:r>
    </w:p>
    <w:p w14:paraId="26314F8E" w14:textId="4072205E" w:rsidR="00E02689" w:rsidRPr="00BB59D8" w:rsidRDefault="00E02689" w:rsidP="00E02689">
      <w:pPr>
        <w:pStyle w:val="3-BodyText"/>
      </w:pPr>
      <w:r w:rsidRPr="00BB59D8">
        <w:t>A comparison of the old and new results for the final height increase and associated QALY increment is provided in Figures 3 and 4 below. In the new model, the highest utility gains for males were reported at age 2 (3.3 vs. 4.1 at age 3 in the older model), followed by a downward trend from year 5 onwards (Figure 4). The height increment and the associated utility gains in the new model are lower than the older version for males.</w:t>
      </w:r>
      <w:r w:rsidR="00DD6B55">
        <w:t xml:space="preserve"> </w:t>
      </w:r>
      <w:r w:rsidRPr="00BB59D8">
        <w:t xml:space="preserve">The results in the new version remain counter-intuitive for females as a biphasic trend is still apparent. </w:t>
      </w:r>
      <w:r w:rsidRPr="00BB59D8">
        <w:rPr>
          <w:iCs/>
        </w:rPr>
        <w:t>The estimated QALY gains remain very uncertain given the inherent weaknesses of the QoL study used for utility estimation, as discussed above.</w:t>
      </w:r>
    </w:p>
    <w:p w14:paraId="4CC5C25E" w14:textId="77777777" w:rsidR="00E02689" w:rsidRPr="00BB59D8" w:rsidRDefault="00E02689" w:rsidP="00E02689">
      <w:pPr>
        <w:pStyle w:val="TableFigureHeading"/>
        <w:rPr>
          <w:rStyle w:val="CommentReference"/>
          <w:b/>
          <w:szCs w:val="24"/>
        </w:rPr>
      </w:pPr>
      <w:r w:rsidRPr="00BB59D8">
        <w:rPr>
          <w:rStyle w:val="CommentReference"/>
          <w:b/>
          <w:szCs w:val="24"/>
        </w:rPr>
        <w:t xml:space="preserve">Figure 3: Final height difference in mecasermin treated minus untreated cohorts in the original versus new model </w:t>
      </w:r>
    </w:p>
    <w:p w14:paraId="59BE6A70" w14:textId="77777777" w:rsidR="00E02689" w:rsidRPr="00BB59D8" w:rsidRDefault="00E02689" w:rsidP="00E02689">
      <w:r w:rsidRPr="00BB59D8">
        <w:rPr>
          <w:noProof/>
        </w:rPr>
        <w:drawing>
          <wp:inline distT="0" distB="0" distL="0" distR="0" wp14:anchorId="3579B8B1" wp14:editId="19AF264F">
            <wp:extent cx="5719445" cy="2407920"/>
            <wp:effectExtent l="0" t="0" r="0" b="0"/>
            <wp:docPr id="4" name="Picture 4" title="Figure 3: Final height difference in mecasermin treated minus untreated cohorts in the original versus new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9445" cy="2407920"/>
                    </a:xfrm>
                    <a:prstGeom prst="rect">
                      <a:avLst/>
                    </a:prstGeom>
                    <a:noFill/>
                    <a:ln>
                      <a:noFill/>
                    </a:ln>
                  </pic:spPr>
                </pic:pic>
              </a:graphicData>
            </a:graphic>
          </wp:inline>
        </w:drawing>
      </w:r>
    </w:p>
    <w:p w14:paraId="7AFF08DC" w14:textId="65C4EDA3" w:rsidR="00E02689" w:rsidRPr="00BB59D8" w:rsidRDefault="00E02689" w:rsidP="00C862ED">
      <w:pPr>
        <w:pStyle w:val="TableFigureFooter"/>
      </w:pPr>
      <w:r w:rsidRPr="00BB59D8">
        <w:t>Source: ‘Deterministic’ workbook, Economic model workbook.</w:t>
      </w:r>
    </w:p>
    <w:p w14:paraId="2503D6D6" w14:textId="305FDB2F" w:rsidR="00E02689" w:rsidRPr="00BB59D8" w:rsidRDefault="00E02689" w:rsidP="00E02689">
      <w:pPr>
        <w:pStyle w:val="TableFigureHeading"/>
        <w:rPr>
          <w:rStyle w:val="CommentReference"/>
          <w:b/>
          <w:szCs w:val="24"/>
        </w:rPr>
      </w:pPr>
      <w:r w:rsidRPr="00BB59D8">
        <w:rPr>
          <w:rStyle w:val="CommentReference"/>
          <w:b/>
          <w:szCs w:val="24"/>
        </w:rPr>
        <w:t>Figure 4: QALY increase in mecasermin treated minus untreated cohorts in the original versus new model</w:t>
      </w:r>
    </w:p>
    <w:p w14:paraId="1F558D69" w14:textId="77777777" w:rsidR="00E02689" w:rsidRPr="00BB59D8" w:rsidRDefault="00E02689" w:rsidP="00E02689">
      <w:r w:rsidRPr="00BB59D8">
        <w:rPr>
          <w:noProof/>
        </w:rPr>
        <w:drawing>
          <wp:inline distT="0" distB="0" distL="0" distR="0" wp14:anchorId="6F5D6D87" wp14:editId="6E3FC329">
            <wp:extent cx="5719445" cy="2419350"/>
            <wp:effectExtent l="0" t="0" r="0" b="0"/>
            <wp:docPr id="5" name="Picture 5" title="Figure 4: QALY increase in mecasermin treated minus untreated cohorts in the original versus new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9445" cy="2419350"/>
                    </a:xfrm>
                    <a:prstGeom prst="rect">
                      <a:avLst/>
                    </a:prstGeom>
                    <a:noFill/>
                    <a:ln>
                      <a:noFill/>
                    </a:ln>
                  </pic:spPr>
                </pic:pic>
              </a:graphicData>
            </a:graphic>
          </wp:inline>
        </w:drawing>
      </w:r>
    </w:p>
    <w:p w14:paraId="301EBB6E" w14:textId="77777777" w:rsidR="00E02689" w:rsidRPr="00BB59D8" w:rsidRDefault="00E02689" w:rsidP="00E02689">
      <w:pPr>
        <w:pStyle w:val="TableFigureFooter"/>
      </w:pPr>
      <w:r w:rsidRPr="00BB59D8">
        <w:t>QALY = quality-adjusted life year.</w:t>
      </w:r>
    </w:p>
    <w:p w14:paraId="26092CFA" w14:textId="77777777" w:rsidR="00E02689" w:rsidRPr="00BB59D8" w:rsidRDefault="00E02689" w:rsidP="00E02689">
      <w:pPr>
        <w:pStyle w:val="TableFigureFooter"/>
      </w:pPr>
      <w:r w:rsidRPr="00BB59D8">
        <w:t>Source: ‘Deterministic’ workbook, Economic model workbook.</w:t>
      </w:r>
    </w:p>
    <w:p w14:paraId="490F2745" w14:textId="77777777" w:rsidR="008B2A37" w:rsidRPr="00BB59D8" w:rsidRDefault="008B2A37" w:rsidP="008B2A37">
      <w:pPr>
        <w:pStyle w:val="3-BodyText"/>
      </w:pPr>
      <w:r w:rsidRPr="00BB59D8">
        <w:t xml:space="preserve">Table </w:t>
      </w:r>
      <w:r w:rsidR="00AA5A4C" w:rsidRPr="00BB59D8">
        <w:t>10</w:t>
      </w:r>
      <w:r w:rsidRPr="00BB59D8">
        <w:t xml:space="preserve"> below presents the key drivers of the model based on the new version of the economic model provided with the PSCR</w:t>
      </w:r>
      <w:r w:rsidRPr="00BB59D8">
        <w:rPr>
          <w:iCs/>
        </w:rPr>
        <w:t xml:space="preserve">. </w:t>
      </w:r>
      <w:r w:rsidRPr="00BB59D8">
        <w:t xml:space="preserve">Key drivers of the model included: utility inputs, the EU-IGFD Registry for height velocity, </w:t>
      </w:r>
      <w:r w:rsidRPr="00BB59D8">
        <w:rPr>
          <w:iCs/>
        </w:rPr>
        <w:t>treatment discontinuation, mecasermin dosing</w:t>
      </w:r>
      <w:r w:rsidRPr="00BB59D8">
        <w:t xml:space="preserve"> and </w:t>
      </w:r>
      <w:r w:rsidRPr="00BB59D8">
        <w:rPr>
          <w:iCs/>
        </w:rPr>
        <w:t>treatment-related AEs.</w:t>
      </w:r>
      <w:r w:rsidRPr="00BB59D8">
        <w:t xml:space="preserve"> </w:t>
      </w:r>
    </w:p>
    <w:p w14:paraId="65626199" w14:textId="77777777" w:rsidR="008B2A37" w:rsidRPr="00BB59D8" w:rsidRDefault="008B2A37" w:rsidP="005B64A9">
      <w:pPr>
        <w:pStyle w:val="TableFigureHeading"/>
        <w:rPr>
          <w:rStyle w:val="CommentReference"/>
          <w:b/>
          <w:szCs w:val="24"/>
        </w:rPr>
      </w:pPr>
      <w:r w:rsidRPr="00BB59D8">
        <w:rPr>
          <w:rStyle w:val="CommentReference"/>
          <w:b/>
          <w:szCs w:val="24"/>
        </w:rPr>
        <w:t>Table 1</w:t>
      </w:r>
      <w:r w:rsidR="00AA5A4C" w:rsidRPr="00BB59D8">
        <w:rPr>
          <w:rStyle w:val="CommentReference"/>
          <w:b/>
          <w:szCs w:val="24"/>
        </w:rPr>
        <w:t>0</w:t>
      </w:r>
      <w:r w:rsidRPr="00BB59D8">
        <w:rPr>
          <w:rStyle w:val="CommentReference"/>
          <w:b/>
          <w:szCs w:val="24"/>
        </w:rPr>
        <w:t>: Key drivers of the model (updated to reflect new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updated to reflect new economic model)"/>
      </w:tblPr>
      <w:tblGrid>
        <w:gridCol w:w="1156"/>
        <w:gridCol w:w="3046"/>
        <w:gridCol w:w="4815"/>
      </w:tblGrid>
      <w:tr w:rsidR="008B2A37" w:rsidRPr="00BB59D8" w14:paraId="52F547AD" w14:textId="77777777" w:rsidTr="00017CFC">
        <w:trPr>
          <w:tblHeader/>
        </w:trPr>
        <w:tc>
          <w:tcPr>
            <w:tcW w:w="641" w:type="pct"/>
            <w:shd w:val="clear" w:color="auto" w:fill="auto"/>
            <w:vAlign w:val="center"/>
          </w:tcPr>
          <w:p w14:paraId="0A471B21" w14:textId="77777777" w:rsidR="008B2A37" w:rsidRPr="00BB59D8" w:rsidRDefault="008B2A37" w:rsidP="00017CFC">
            <w:pPr>
              <w:pStyle w:val="In-tableHeading"/>
              <w:rPr>
                <w:iCs/>
                <w:lang w:val="en-AU"/>
              </w:rPr>
            </w:pPr>
            <w:r w:rsidRPr="00BB59D8">
              <w:rPr>
                <w:iCs/>
                <w:lang w:val="en-AU"/>
              </w:rPr>
              <w:t>Description</w:t>
            </w:r>
          </w:p>
        </w:tc>
        <w:tc>
          <w:tcPr>
            <w:tcW w:w="1689" w:type="pct"/>
            <w:shd w:val="clear" w:color="auto" w:fill="auto"/>
            <w:vAlign w:val="center"/>
          </w:tcPr>
          <w:p w14:paraId="64E86DB8" w14:textId="77777777" w:rsidR="008B2A37" w:rsidRPr="00BB59D8" w:rsidRDefault="008B2A37" w:rsidP="00017CFC">
            <w:pPr>
              <w:pStyle w:val="In-tableHeading"/>
              <w:jc w:val="center"/>
              <w:rPr>
                <w:iCs/>
                <w:lang w:val="en-AU"/>
              </w:rPr>
            </w:pPr>
            <w:r w:rsidRPr="00BB59D8">
              <w:rPr>
                <w:iCs/>
                <w:lang w:val="en-AU"/>
              </w:rPr>
              <w:t>Method/Value</w:t>
            </w:r>
          </w:p>
        </w:tc>
        <w:tc>
          <w:tcPr>
            <w:tcW w:w="2670" w:type="pct"/>
            <w:shd w:val="clear" w:color="auto" w:fill="auto"/>
            <w:vAlign w:val="center"/>
          </w:tcPr>
          <w:p w14:paraId="43C6168B" w14:textId="77777777" w:rsidR="008B2A37" w:rsidRPr="00BB59D8" w:rsidRDefault="008B2A37" w:rsidP="00017CFC">
            <w:pPr>
              <w:pStyle w:val="In-tableHeading"/>
              <w:jc w:val="center"/>
              <w:rPr>
                <w:iCs/>
                <w:lang w:val="en-AU"/>
              </w:rPr>
            </w:pPr>
            <w:r w:rsidRPr="00BB59D8">
              <w:rPr>
                <w:iCs/>
                <w:lang w:val="en-AU"/>
              </w:rPr>
              <w:t>Impact</w:t>
            </w:r>
          </w:p>
          <w:p w14:paraId="215B9F26" w14:textId="77777777" w:rsidR="008B2A37" w:rsidRPr="00BB59D8" w:rsidRDefault="008B2A37" w:rsidP="00017CFC">
            <w:pPr>
              <w:pStyle w:val="In-tableHeading"/>
              <w:jc w:val="center"/>
              <w:rPr>
                <w:iCs/>
                <w:lang w:val="en-AU"/>
              </w:rPr>
            </w:pPr>
            <w:r w:rsidRPr="00BB59D8">
              <w:rPr>
                <w:rFonts w:cs="Arial"/>
                <w:iCs/>
                <w:szCs w:val="20"/>
                <w:lang w:val="en-AU"/>
              </w:rPr>
              <w:t xml:space="preserve">Base case: </w:t>
            </w:r>
            <w:r w:rsidR="002707AA">
              <w:rPr>
                <w:rFonts w:cs="Arial"/>
                <w:iCs/>
                <w:noProof/>
                <w:color w:val="000000"/>
                <w:szCs w:val="20"/>
                <w:highlight w:val="black"/>
                <w:lang w:val="en-AU"/>
              </w:rPr>
              <w:t>'''''''''''''''''</w:t>
            </w:r>
            <w:r w:rsidR="004C453F">
              <w:rPr>
                <w:vertAlign w:val="superscript"/>
              </w:rPr>
              <w:t>1</w:t>
            </w:r>
            <w:r w:rsidRPr="00BB59D8">
              <w:rPr>
                <w:rFonts w:cs="Arial"/>
                <w:iCs/>
                <w:szCs w:val="20"/>
                <w:lang w:val="en-AU"/>
              </w:rPr>
              <w:t>/QALY gained</w:t>
            </w:r>
          </w:p>
        </w:tc>
      </w:tr>
      <w:tr w:rsidR="008B2A37" w:rsidRPr="00BB59D8" w14:paraId="36E2B7BD" w14:textId="77777777" w:rsidTr="00017CFC">
        <w:tc>
          <w:tcPr>
            <w:tcW w:w="641" w:type="pct"/>
            <w:shd w:val="clear" w:color="auto" w:fill="auto"/>
            <w:vAlign w:val="center"/>
          </w:tcPr>
          <w:p w14:paraId="26CB8DA4" w14:textId="77777777" w:rsidR="008B2A37" w:rsidRPr="00BB59D8" w:rsidRDefault="008B2A37" w:rsidP="00017CFC">
            <w:pPr>
              <w:pStyle w:val="TableText0"/>
              <w:rPr>
                <w:iCs/>
              </w:rPr>
            </w:pPr>
            <w:r w:rsidRPr="00BB59D8">
              <w:rPr>
                <w:iCs/>
              </w:rPr>
              <w:t>Utilities</w:t>
            </w:r>
          </w:p>
        </w:tc>
        <w:tc>
          <w:tcPr>
            <w:tcW w:w="1689" w:type="pct"/>
            <w:shd w:val="clear" w:color="auto" w:fill="auto"/>
            <w:vAlign w:val="center"/>
          </w:tcPr>
          <w:p w14:paraId="6A05A597" w14:textId="77777777" w:rsidR="008B2A37" w:rsidRPr="00BB59D8" w:rsidRDefault="008B2A37" w:rsidP="00017CFC">
            <w:pPr>
              <w:pStyle w:val="TableText0"/>
              <w:rPr>
                <w:iCs/>
              </w:rPr>
            </w:pPr>
            <w:r w:rsidRPr="00BB59D8">
              <w:rPr>
                <w:iCs/>
              </w:rPr>
              <w:t>Steep slope in the utility / HSDS function extrapolated from the literature</w:t>
            </w:r>
          </w:p>
        </w:tc>
        <w:tc>
          <w:tcPr>
            <w:tcW w:w="2670" w:type="pct"/>
            <w:shd w:val="clear" w:color="auto" w:fill="auto"/>
            <w:vAlign w:val="center"/>
          </w:tcPr>
          <w:p w14:paraId="75AE89F6" w14:textId="77777777" w:rsidR="008B2A37" w:rsidRPr="00BB59D8" w:rsidRDefault="008B2A37" w:rsidP="00017CFC">
            <w:pPr>
              <w:pStyle w:val="TableText0"/>
              <w:rPr>
                <w:iCs/>
              </w:rPr>
            </w:pPr>
            <w:r w:rsidRPr="00BB59D8">
              <w:rPr>
                <w:iCs/>
              </w:rPr>
              <w:t xml:space="preserve">High, favours mecasermin </w:t>
            </w:r>
          </w:p>
          <w:p w14:paraId="43EFA917" w14:textId="77777777" w:rsidR="008B2A37" w:rsidRPr="00BB59D8" w:rsidRDefault="008B2A37" w:rsidP="00017CFC">
            <w:pPr>
              <w:pStyle w:val="TableText0"/>
              <w:rPr>
                <w:iCs/>
              </w:rPr>
            </w:pPr>
          </w:p>
          <w:p w14:paraId="5C36A19C" w14:textId="77777777" w:rsidR="008B2A37" w:rsidRPr="00BB59D8" w:rsidRDefault="008B2A37" w:rsidP="00017CFC">
            <w:pPr>
              <w:pStyle w:val="TableText0"/>
              <w:rPr>
                <w:iCs/>
              </w:rPr>
            </w:pPr>
            <w:r w:rsidRPr="00BB59D8">
              <w:rPr>
                <w:iCs/>
              </w:rPr>
              <w:t xml:space="preserve">Using the preferred Option 2 in Figure 2 above </w:t>
            </w:r>
            <w:r w:rsidRPr="00BB59D8">
              <w:rPr>
                <w:rFonts w:cs="Arial"/>
                <w:iCs/>
                <w:szCs w:val="20"/>
              </w:rPr>
              <w:t xml:space="preserve">increased the ICER to </w:t>
            </w:r>
            <w:r w:rsidR="002707AA">
              <w:rPr>
                <w:rFonts w:cs="Arial"/>
                <w:iCs/>
                <w:noProof/>
                <w:color w:val="000000"/>
                <w:szCs w:val="20"/>
                <w:highlight w:val="black"/>
              </w:rPr>
              <w:t>'''''''''''''''''''''</w:t>
            </w:r>
            <w:r w:rsidR="004C453F">
              <w:rPr>
                <w:vertAlign w:val="superscript"/>
              </w:rPr>
              <w:t>2</w:t>
            </w:r>
            <w:r w:rsidRPr="00BB59D8">
              <w:rPr>
                <w:rFonts w:cs="Arial"/>
                <w:iCs/>
                <w:szCs w:val="20"/>
              </w:rPr>
              <w:t>/QALY gained.</w:t>
            </w:r>
          </w:p>
        </w:tc>
      </w:tr>
      <w:tr w:rsidR="008B2A37" w:rsidRPr="00BB59D8" w14:paraId="6964643E" w14:textId="77777777" w:rsidTr="00017CFC">
        <w:tc>
          <w:tcPr>
            <w:tcW w:w="641" w:type="pct"/>
            <w:shd w:val="clear" w:color="auto" w:fill="auto"/>
            <w:vAlign w:val="center"/>
          </w:tcPr>
          <w:p w14:paraId="32AF8DE0" w14:textId="77777777" w:rsidR="008B2A37" w:rsidRPr="00BB59D8" w:rsidRDefault="008B2A37" w:rsidP="00017CFC">
            <w:pPr>
              <w:pStyle w:val="TableText0"/>
              <w:rPr>
                <w:iCs/>
              </w:rPr>
            </w:pPr>
            <w:r w:rsidRPr="00BB59D8">
              <w:rPr>
                <w:iCs/>
              </w:rPr>
              <w:t>Height velocity</w:t>
            </w:r>
          </w:p>
        </w:tc>
        <w:tc>
          <w:tcPr>
            <w:tcW w:w="1689" w:type="pct"/>
            <w:shd w:val="clear" w:color="auto" w:fill="auto"/>
            <w:vAlign w:val="center"/>
          </w:tcPr>
          <w:p w14:paraId="13E29768" w14:textId="77777777" w:rsidR="008B2A37" w:rsidRPr="00BB59D8" w:rsidRDefault="008B2A37" w:rsidP="00017CFC">
            <w:pPr>
              <w:pStyle w:val="TableText0"/>
              <w:rPr>
                <w:iCs/>
              </w:rPr>
            </w:pPr>
            <w:r w:rsidRPr="00BB59D8">
              <w:rPr>
                <w:iCs/>
              </w:rPr>
              <w:t>Change in heights from one year to the next were taken from the EU-IGFD Registry</w:t>
            </w:r>
          </w:p>
        </w:tc>
        <w:tc>
          <w:tcPr>
            <w:tcW w:w="2670" w:type="pct"/>
            <w:shd w:val="clear" w:color="auto" w:fill="auto"/>
            <w:vAlign w:val="center"/>
          </w:tcPr>
          <w:p w14:paraId="76D719C4" w14:textId="77777777" w:rsidR="008B2A37" w:rsidRPr="00BB59D8" w:rsidRDefault="008B2A37" w:rsidP="00017CFC">
            <w:pPr>
              <w:pStyle w:val="TableText0"/>
              <w:rPr>
                <w:iCs/>
              </w:rPr>
            </w:pPr>
            <w:r w:rsidRPr="00BB59D8">
              <w:rPr>
                <w:iCs/>
              </w:rPr>
              <w:t>Moderate, favours mecasermin</w:t>
            </w:r>
          </w:p>
          <w:p w14:paraId="35045BC1" w14:textId="77777777" w:rsidR="008B2A37" w:rsidRPr="00BB59D8" w:rsidRDefault="008B2A37" w:rsidP="00017CFC">
            <w:pPr>
              <w:pStyle w:val="TableText0"/>
              <w:rPr>
                <w:iCs/>
              </w:rPr>
            </w:pPr>
          </w:p>
          <w:p w14:paraId="0340D628" w14:textId="77777777" w:rsidR="008B2A37" w:rsidRPr="00BB59D8" w:rsidRDefault="008B2A37" w:rsidP="00017CFC">
            <w:pPr>
              <w:pStyle w:val="TableText0"/>
              <w:rPr>
                <w:iCs/>
              </w:rPr>
            </w:pPr>
            <w:r w:rsidRPr="00BB59D8">
              <w:rPr>
                <w:iCs/>
              </w:rPr>
              <w:t xml:space="preserve">Applying the height velocities from Study 1419 increased the ICER to </w:t>
            </w:r>
            <w:r w:rsidR="002707AA">
              <w:rPr>
                <w:iCs/>
                <w:noProof/>
                <w:color w:val="000000"/>
                <w:highlight w:val="black"/>
              </w:rPr>
              <w:t>''''''''''''''''''''''''</w:t>
            </w:r>
            <w:r w:rsidR="0010043C">
              <w:rPr>
                <w:vertAlign w:val="superscript"/>
              </w:rPr>
              <w:t>3</w:t>
            </w:r>
            <w:r w:rsidRPr="00BB59D8">
              <w:rPr>
                <w:iCs/>
              </w:rPr>
              <w:t>/QALY gained.</w:t>
            </w:r>
          </w:p>
        </w:tc>
      </w:tr>
      <w:tr w:rsidR="008B2A37" w:rsidRPr="00BB59D8" w14:paraId="51D60679" w14:textId="77777777" w:rsidTr="00017CFC">
        <w:tc>
          <w:tcPr>
            <w:tcW w:w="641" w:type="pct"/>
            <w:shd w:val="clear" w:color="auto" w:fill="auto"/>
            <w:vAlign w:val="center"/>
          </w:tcPr>
          <w:p w14:paraId="4B6682B4" w14:textId="77777777" w:rsidR="008B2A37" w:rsidRPr="00BB59D8" w:rsidRDefault="008B2A37" w:rsidP="00017CFC">
            <w:pPr>
              <w:pStyle w:val="TableText0"/>
              <w:rPr>
                <w:iCs/>
              </w:rPr>
            </w:pPr>
            <w:r w:rsidRPr="00BB59D8">
              <w:rPr>
                <w:iCs/>
              </w:rPr>
              <w:t>Study 1419 data</w:t>
            </w:r>
          </w:p>
        </w:tc>
        <w:tc>
          <w:tcPr>
            <w:tcW w:w="1689" w:type="pct"/>
            <w:shd w:val="clear" w:color="auto" w:fill="auto"/>
            <w:vAlign w:val="center"/>
          </w:tcPr>
          <w:p w14:paraId="36B11E9D" w14:textId="77777777" w:rsidR="008B2A37" w:rsidRPr="00BB59D8" w:rsidRDefault="008B2A37" w:rsidP="00017CFC">
            <w:pPr>
              <w:pStyle w:val="TableText0"/>
              <w:rPr>
                <w:iCs/>
              </w:rPr>
            </w:pPr>
            <w:r w:rsidRPr="00BB59D8">
              <w:rPr>
                <w:iCs/>
              </w:rPr>
              <w:t>Study 1419 informing probabilities related to treatment-related adverse events, mecasermin dosing, treatment discontinuation rate and height velocity</w:t>
            </w:r>
          </w:p>
        </w:tc>
        <w:tc>
          <w:tcPr>
            <w:tcW w:w="2670" w:type="pct"/>
            <w:shd w:val="clear" w:color="auto" w:fill="auto"/>
            <w:vAlign w:val="center"/>
          </w:tcPr>
          <w:p w14:paraId="43F0441A" w14:textId="77777777" w:rsidR="008B2A37" w:rsidRPr="00BB59D8" w:rsidRDefault="008B2A37" w:rsidP="00017CFC">
            <w:pPr>
              <w:pStyle w:val="TableText0"/>
              <w:rPr>
                <w:iCs/>
              </w:rPr>
            </w:pPr>
            <w:r w:rsidRPr="00BB59D8">
              <w:rPr>
                <w:iCs/>
              </w:rPr>
              <w:t>High, favours mecasermin</w:t>
            </w:r>
          </w:p>
          <w:p w14:paraId="737175D4" w14:textId="77777777" w:rsidR="008B2A37" w:rsidRPr="00BB59D8" w:rsidRDefault="008B2A37" w:rsidP="00017CFC">
            <w:pPr>
              <w:pStyle w:val="TableText0"/>
              <w:rPr>
                <w:iCs/>
              </w:rPr>
            </w:pPr>
          </w:p>
          <w:p w14:paraId="62C244CB" w14:textId="77777777" w:rsidR="008B2A37" w:rsidRPr="00BB59D8" w:rsidRDefault="008B2A37" w:rsidP="00017CFC">
            <w:pPr>
              <w:pStyle w:val="TableText0"/>
              <w:rPr>
                <w:iCs/>
              </w:rPr>
            </w:pPr>
            <w:r w:rsidRPr="00BB59D8">
              <w:rPr>
                <w:iCs/>
              </w:rPr>
              <w:t xml:space="preserve">Using Study 1419 instead of EU-IGFD Registry as the base-case for treatment discontinuation, mecasermin dosing, adverse events, and height velocity increased the ICER from </w:t>
            </w:r>
            <w:r w:rsidR="002707AA">
              <w:rPr>
                <w:iCs/>
                <w:noProof/>
                <w:color w:val="000000"/>
                <w:highlight w:val="black"/>
              </w:rPr>
              <w:t xml:space="preserve">''''''''''''''''''''' </w:t>
            </w:r>
            <w:r w:rsidR="0010043C">
              <w:rPr>
                <w:vertAlign w:val="superscript"/>
              </w:rPr>
              <w:t>1</w:t>
            </w:r>
            <w:r w:rsidRPr="00BB59D8">
              <w:rPr>
                <w:iCs/>
              </w:rPr>
              <w:t xml:space="preserve">to </w:t>
            </w:r>
            <w:r w:rsidR="002707AA">
              <w:rPr>
                <w:iCs/>
                <w:noProof/>
                <w:color w:val="000000"/>
                <w:highlight w:val="black"/>
              </w:rPr>
              <w:t>'''''''''''''''''''''</w:t>
            </w:r>
            <w:r w:rsidR="0010043C">
              <w:rPr>
                <w:vertAlign w:val="superscript"/>
              </w:rPr>
              <w:t>2</w:t>
            </w:r>
            <w:r w:rsidRPr="00BB59D8">
              <w:rPr>
                <w:iCs/>
              </w:rPr>
              <w:t>/QALY gained.</w:t>
            </w:r>
          </w:p>
        </w:tc>
      </w:tr>
    </w:tbl>
    <w:p w14:paraId="1AC32AEC" w14:textId="77777777" w:rsidR="008B2A37" w:rsidRDefault="008B2A37" w:rsidP="008B2A37">
      <w:pPr>
        <w:pStyle w:val="TableFigureFooter"/>
      </w:pPr>
      <w:r w:rsidRPr="00BB59D8">
        <w:t>ICER = incremental cost-effectiveness ratio; QALY = quality-adjusted life years; HSDS = height standard deviation score.</w:t>
      </w:r>
    </w:p>
    <w:p w14:paraId="4C5266D7" w14:textId="77777777" w:rsidR="009461EA" w:rsidRPr="0010043C" w:rsidRDefault="009461EA" w:rsidP="008B2A37">
      <w:pPr>
        <w:pStyle w:val="TableFigureFooter"/>
        <w:rPr>
          <w:i/>
        </w:rPr>
      </w:pPr>
      <w:r w:rsidRPr="0010043C">
        <w:rPr>
          <w:i/>
        </w:rPr>
        <w:t>The redacted values correspond to the following ranges:</w:t>
      </w:r>
    </w:p>
    <w:p w14:paraId="10402E69" w14:textId="77777777" w:rsidR="009461EA" w:rsidRPr="0010043C" w:rsidRDefault="009461EA" w:rsidP="008B2A37">
      <w:pPr>
        <w:pStyle w:val="TableFigureFooter"/>
        <w:rPr>
          <w:i/>
        </w:rPr>
      </w:pPr>
      <w:r w:rsidRPr="0010043C">
        <w:rPr>
          <w:i/>
          <w:vertAlign w:val="superscript"/>
        </w:rPr>
        <w:t>1</w:t>
      </w:r>
      <w:r w:rsidRPr="0010043C">
        <w:rPr>
          <w:i/>
        </w:rPr>
        <w:t xml:space="preserve"> </w:t>
      </w:r>
      <w:r w:rsidR="004C453F" w:rsidRPr="0010043C">
        <w:rPr>
          <w:i/>
        </w:rPr>
        <w:t>$95,000 to &lt; $115,000</w:t>
      </w:r>
    </w:p>
    <w:p w14:paraId="09411FA1" w14:textId="77777777" w:rsidR="004C453F" w:rsidRPr="0010043C" w:rsidRDefault="004C453F" w:rsidP="008B2A37">
      <w:pPr>
        <w:pStyle w:val="TableFigureFooter"/>
        <w:rPr>
          <w:i/>
        </w:rPr>
      </w:pPr>
      <w:r w:rsidRPr="0010043C">
        <w:rPr>
          <w:i/>
          <w:vertAlign w:val="superscript"/>
        </w:rPr>
        <w:t>2</w:t>
      </w:r>
      <w:r w:rsidRPr="0010043C">
        <w:rPr>
          <w:i/>
        </w:rPr>
        <w:t xml:space="preserve"> $135,000 to &lt; $155,000</w:t>
      </w:r>
    </w:p>
    <w:p w14:paraId="69616275" w14:textId="4EDD7136" w:rsidR="008B2A37" w:rsidRPr="00C862ED" w:rsidRDefault="0010043C" w:rsidP="00C862ED">
      <w:pPr>
        <w:pStyle w:val="TableFigureFooter"/>
        <w:rPr>
          <w:i/>
        </w:rPr>
      </w:pPr>
      <w:r w:rsidRPr="0010043C">
        <w:rPr>
          <w:i/>
          <w:vertAlign w:val="superscript"/>
        </w:rPr>
        <w:t>3</w:t>
      </w:r>
      <w:r w:rsidRPr="0010043C">
        <w:rPr>
          <w:i/>
        </w:rPr>
        <w:t xml:space="preserve"> $115,000 to &lt; $135,000</w:t>
      </w:r>
    </w:p>
    <w:p w14:paraId="580B1F7C" w14:textId="68686F1E" w:rsidR="00E02689" w:rsidRPr="00BB59D8" w:rsidRDefault="00E02689" w:rsidP="00E02689">
      <w:pPr>
        <w:pStyle w:val="3-BodyText"/>
      </w:pPr>
      <w:r w:rsidRPr="00BB59D8">
        <w:t>The PSCR provided an updated stepped economic analysis using the corrected model and base case using EU-IGFD Registry data (Table 1</w:t>
      </w:r>
      <w:r w:rsidR="00AA5A4C" w:rsidRPr="00BB59D8">
        <w:t>1</w:t>
      </w:r>
      <w:r w:rsidRPr="00BB59D8">
        <w:t>), which includes the following steps:</w:t>
      </w:r>
    </w:p>
    <w:p w14:paraId="3DC3B0FD" w14:textId="77777777" w:rsidR="00E02689" w:rsidRPr="00BB59D8" w:rsidRDefault="00E02689" w:rsidP="00E02689">
      <w:pPr>
        <w:pStyle w:val="3-BodyText"/>
        <w:numPr>
          <w:ilvl w:val="0"/>
          <w:numId w:val="0"/>
        </w:numPr>
        <w:ind w:left="720"/>
      </w:pPr>
      <w:r w:rsidRPr="00BB59D8">
        <w:t>Step 1: Mean follow up time of EU-IGFD Registry (3.7 years), no treatment discontinuation, and mecasermin drug cost only.</w:t>
      </w:r>
    </w:p>
    <w:p w14:paraId="1769A4B1" w14:textId="77777777" w:rsidR="00E02689" w:rsidRPr="00BB59D8" w:rsidRDefault="00E02689" w:rsidP="00E02689">
      <w:pPr>
        <w:pStyle w:val="3-BodyText"/>
        <w:numPr>
          <w:ilvl w:val="0"/>
          <w:numId w:val="0"/>
        </w:numPr>
        <w:ind w:left="720"/>
      </w:pPr>
      <w:r w:rsidRPr="00BB59D8">
        <w:t>Step 2: Mean follow up time of EU-IGFD Registry (3.7 years), treatment discontinuation, and mecasermin drug cost only.</w:t>
      </w:r>
    </w:p>
    <w:p w14:paraId="4ADFD86A" w14:textId="77777777" w:rsidR="00E02689" w:rsidRPr="00BB59D8" w:rsidRDefault="00E02689" w:rsidP="00E02689">
      <w:pPr>
        <w:pStyle w:val="3-BodyText"/>
        <w:numPr>
          <w:ilvl w:val="0"/>
          <w:numId w:val="0"/>
        </w:numPr>
        <w:ind w:left="720"/>
      </w:pPr>
      <w:r w:rsidRPr="00BB59D8">
        <w:t>Step 3: Lifetime time horizon, treatment discontinuation, and mecasermin drug cost only.</w:t>
      </w:r>
    </w:p>
    <w:p w14:paraId="087E4A9B" w14:textId="77777777" w:rsidR="00E02689" w:rsidRPr="00BB59D8" w:rsidRDefault="00E02689" w:rsidP="00E02689">
      <w:pPr>
        <w:pStyle w:val="3-BodyText"/>
        <w:numPr>
          <w:ilvl w:val="0"/>
          <w:numId w:val="0"/>
        </w:numPr>
        <w:ind w:left="720"/>
      </w:pPr>
      <w:r w:rsidRPr="00BB59D8">
        <w:t>Step 4: Lifetime time horizon, treatment discontinuation, and all costs.</w:t>
      </w:r>
    </w:p>
    <w:p w14:paraId="7000C597" w14:textId="77777777" w:rsidR="00E02689" w:rsidRPr="00BB59D8" w:rsidRDefault="00E02689" w:rsidP="00E02689">
      <w:pPr>
        <w:pStyle w:val="TableFigureHeading"/>
        <w:rPr>
          <w:rStyle w:val="CommentReference"/>
          <w:b/>
          <w:szCs w:val="24"/>
        </w:rPr>
      </w:pPr>
      <w:r w:rsidRPr="00BB59D8">
        <w:rPr>
          <w:rStyle w:val="CommentReference"/>
          <w:b/>
          <w:szCs w:val="24"/>
        </w:rPr>
        <w:t>Table 1</w:t>
      </w:r>
      <w:r w:rsidR="00AA5A4C" w:rsidRPr="00BB59D8">
        <w:rPr>
          <w:rStyle w:val="CommentReference"/>
          <w:b/>
          <w:szCs w:val="24"/>
        </w:rPr>
        <w:t>1</w:t>
      </w:r>
      <w:r w:rsidRPr="00BB59D8">
        <w:rPr>
          <w:rStyle w:val="CommentReference"/>
          <w:b/>
          <w:szCs w:val="24"/>
        </w:rPr>
        <w:t>: Updated stepped economic evaluation (as presented in the PSCR)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Updated stepped economic evaluation (as presented in the PSCR)"/>
      </w:tblPr>
      <w:tblGrid>
        <w:gridCol w:w="763"/>
        <w:gridCol w:w="1165"/>
        <w:gridCol w:w="1174"/>
        <w:gridCol w:w="1137"/>
        <w:gridCol w:w="1165"/>
        <w:gridCol w:w="1174"/>
        <w:gridCol w:w="1137"/>
        <w:gridCol w:w="1302"/>
      </w:tblGrid>
      <w:tr w:rsidR="00E02689" w:rsidRPr="00BB59D8" w14:paraId="0E633C9C" w14:textId="77777777" w:rsidTr="00017CFC">
        <w:tc>
          <w:tcPr>
            <w:tcW w:w="469" w:type="pct"/>
            <w:vMerge w:val="restart"/>
            <w:shd w:val="clear" w:color="auto" w:fill="auto"/>
          </w:tcPr>
          <w:p w14:paraId="68A93547" w14:textId="77777777" w:rsidR="00E02689" w:rsidRPr="00BB59D8" w:rsidRDefault="00E02689" w:rsidP="00017CFC">
            <w:pPr>
              <w:pStyle w:val="Tabletext"/>
              <w:rPr>
                <w:b/>
                <w:bCs/>
                <w:szCs w:val="20"/>
              </w:rPr>
            </w:pPr>
            <w:r w:rsidRPr="00BB59D8">
              <w:rPr>
                <w:b/>
                <w:bCs/>
                <w:szCs w:val="20"/>
              </w:rPr>
              <w:t>Step</w:t>
            </w:r>
          </w:p>
        </w:tc>
        <w:tc>
          <w:tcPr>
            <w:tcW w:w="1835" w:type="pct"/>
            <w:gridSpan w:val="3"/>
            <w:shd w:val="clear" w:color="auto" w:fill="auto"/>
          </w:tcPr>
          <w:p w14:paraId="3E6DD5B6" w14:textId="77777777" w:rsidR="00E02689" w:rsidRPr="00BB59D8" w:rsidRDefault="00E02689" w:rsidP="00017CFC">
            <w:pPr>
              <w:pStyle w:val="Tabletext"/>
              <w:rPr>
                <w:b/>
                <w:bCs/>
                <w:szCs w:val="20"/>
              </w:rPr>
            </w:pPr>
            <w:r w:rsidRPr="00BB59D8">
              <w:rPr>
                <w:b/>
                <w:bCs/>
                <w:szCs w:val="20"/>
              </w:rPr>
              <w:t>Costs</w:t>
            </w:r>
            <w:r w:rsidR="00C75DF6">
              <w:rPr>
                <w:b/>
                <w:bCs/>
                <w:szCs w:val="20"/>
              </w:rPr>
              <w:t xml:space="preserve"> ($)</w:t>
            </w:r>
          </w:p>
        </w:tc>
        <w:tc>
          <w:tcPr>
            <w:tcW w:w="1927" w:type="pct"/>
            <w:gridSpan w:val="3"/>
            <w:shd w:val="clear" w:color="auto" w:fill="auto"/>
          </w:tcPr>
          <w:p w14:paraId="16AC76B2" w14:textId="77777777" w:rsidR="00E02689" w:rsidRPr="00BB59D8" w:rsidRDefault="00E02689" w:rsidP="00017CFC">
            <w:pPr>
              <w:pStyle w:val="Tabletext"/>
              <w:rPr>
                <w:b/>
                <w:bCs/>
                <w:szCs w:val="20"/>
              </w:rPr>
            </w:pPr>
            <w:r w:rsidRPr="00BB59D8">
              <w:rPr>
                <w:b/>
                <w:bCs/>
                <w:szCs w:val="20"/>
              </w:rPr>
              <w:t>Outcomes (QALYs)</w:t>
            </w:r>
          </w:p>
          <w:p w14:paraId="71523A64" w14:textId="77777777" w:rsidR="00E02689" w:rsidRPr="00BB59D8" w:rsidRDefault="00E02689" w:rsidP="00017CFC">
            <w:pPr>
              <w:pStyle w:val="Tabletext"/>
              <w:rPr>
                <w:b/>
                <w:bCs/>
                <w:szCs w:val="20"/>
              </w:rPr>
            </w:pPr>
          </w:p>
        </w:tc>
        <w:tc>
          <w:tcPr>
            <w:tcW w:w="768" w:type="pct"/>
            <w:shd w:val="clear" w:color="auto" w:fill="auto"/>
          </w:tcPr>
          <w:p w14:paraId="7A970337" w14:textId="77777777" w:rsidR="00E02689" w:rsidRPr="00BB59D8" w:rsidRDefault="00E02689" w:rsidP="00017CFC">
            <w:pPr>
              <w:pStyle w:val="Tabletext"/>
              <w:rPr>
                <w:b/>
                <w:bCs/>
                <w:szCs w:val="20"/>
              </w:rPr>
            </w:pPr>
            <w:r w:rsidRPr="00BB59D8">
              <w:rPr>
                <w:b/>
                <w:bCs/>
                <w:szCs w:val="20"/>
              </w:rPr>
              <w:t>ICER (cost per QALY gained)</w:t>
            </w:r>
            <w:r w:rsidR="00C75DF6">
              <w:rPr>
                <w:b/>
                <w:bCs/>
                <w:szCs w:val="20"/>
              </w:rPr>
              <w:t xml:space="preserve"> ($)</w:t>
            </w:r>
          </w:p>
        </w:tc>
      </w:tr>
      <w:tr w:rsidR="00E02689" w:rsidRPr="00BB59D8" w14:paraId="414C07C3" w14:textId="77777777" w:rsidTr="00017CFC">
        <w:tc>
          <w:tcPr>
            <w:tcW w:w="469" w:type="pct"/>
            <w:vMerge/>
            <w:shd w:val="clear" w:color="auto" w:fill="auto"/>
          </w:tcPr>
          <w:p w14:paraId="1018E83E" w14:textId="77777777" w:rsidR="00E02689" w:rsidRPr="00BB59D8" w:rsidRDefault="00E02689" w:rsidP="00017CFC">
            <w:pPr>
              <w:pStyle w:val="Tabletext"/>
              <w:rPr>
                <w:b/>
                <w:bCs/>
                <w:szCs w:val="20"/>
              </w:rPr>
            </w:pPr>
          </w:p>
        </w:tc>
        <w:tc>
          <w:tcPr>
            <w:tcW w:w="554" w:type="pct"/>
            <w:shd w:val="clear" w:color="auto" w:fill="auto"/>
          </w:tcPr>
          <w:p w14:paraId="26925583" w14:textId="77777777" w:rsidR="00E02689" w:rsidRPr="00BB59D8" w:rsidRDefault="00E02689" w:rsidP="00017CFC">
            <w:pPr>
              <w:pStyle w:val="Tabletext"/>
              <w:rPr>
                <w:b/>
                <w:bCs/>
                <w:szCs w:val="20"/>
              </w:rPr>
            </w:pPr>
            <w:r w:rsidRPr="00BB59D8">
              <w:rPr>
                <w:b/>
                <w:bCs/>
                <w:szCs w:val="20"/>
              </w:rPr>
              <w:t>Mecasermin</w:t>
            </w:r>
          </w:p>
        </w:tc>
        <w:tc>
          <w:tcPr>
            <w:tcW w:w="651" w:type="pct"/>
            <w:shd w:val="clear" w:color="auto" w:fill="auto"/>
          </w:tcPr>
          <w:p w14:paraId="56E744E6" w14:textId="77777777" w:rsidR="00E02689" w:rsidRPr="00BB59D8" w:rsidRDefault="00E02689" w:rsidP="00017CFC">
            <w:pPr>
              <w:pStyle w:val="Tabletext"/>
              <w:rPr>
                <w:b/>
                <w:bCs/>
                <w:szCs w:val="20"/>
              </w:rPr>
            </w:pPr>
            <w:r w:rsidRPr="00BB59D8">
              <w:rPr>
                <w:b/>
                <w:bCs/>
                <w:szCs w:val="20"/>
              </w:rPr>
              <w:t>No mecasermin</w:t>
            </w:r>
          </w:p>
        </w:tc>
        <w:tc>
          <w:tcPr>
            <w:tcW w:w="630" w:type="pct"/>
            <w:shd w:val="clear" w:color="auto" w:fill="auto"/>
          </w:tcPr>
          <w:p w14:paraId="014B223F" w14:textId="77777777" w:rsidR="00E02689" w:rsidRPr="00BB59D8" w:rsidRDefault="00E02689" w:rsidP="00017CFC">
            <w:pPr>
              <w:pStyle w:val="Tabletext"/>
              <w:rPr>
                <w:b/>
                <w:bCs/>
                <w:szCs w:val="20"/>
              </w:rPr>
            </w:pPr>
            <w:r w:rsidRPr="00BB59D8">
              <w:rPr>
                <w:b/>
                <w:bCs/>
                <w:szCs w:val="20"/>
              </w:rPr>
              <w:t>Incremental</w:t>
            </w:r>
          </w:p>
        </w:tc>
        <w:tc>
          <w:tcPr>
            <w:tcW w:w="646" w:type="pct"/>
            <w:shd w:val="clear" w:color="auto" w:fill="auto"/>
          </w:tcPr>
          <w:p w14:paraId="3A6D7393" w14:textId="77777777" w:rsidR="00E02689" w:rsidRPr="00BB59D8" w:rsidRDefault="00E02689" w:rsidP="00017CFC">
            <w:pPr>
              <w:pStyle w:val="Tabletext"/>
              <w:rPr>
                <w:b/>
                <w:bCs/>
                <w:szCs w:val="20"/>
              </w:rPr>
            </w:pPr>
            <w:r w:rsidRPr="00BB59D8">
              <w:rPr>
                <w:b/>
                <w:bCs/>
                <w:szCs w:val="20"/>
              </w:rPr>
              <w:t>Mecasermin</w:t>
            </w:r>
          </w:p>
        </w:tc>
        <w:tc>
          <w:tcPr>
            <w:tcW w:w="651" w:type="pct"/>
            <w:shd w:val="clear" w:color="auto" w:fill="auto"/>
          </w:tcPr>
          <w:p w14:paraId="13F79A16" w14:textId="77777777" w:rsidR="00E02689" w:rsidRPr="00BB59D8" w:rsidRDefault="00E02689" w:rsidP="00017CFC">
            <w:pPr>
              <w:pStyle w:val="Tabletext"/>
              <w:rPr>
                <w:b/>
                <w:bCs/>
                <w:szCs w:val="20"/>
              </w:rPr>
            </w:pPr>
            <w:r w:rsidRPr="00BB59D8">
              <w:rPr>
                <w:b/>
                <w:bCs/>
                <w:szCs w:val="20"/>
              </w:rPr>
              <w:t>No mecasermin</w:t>
            </w:r>
          </w:p>
        </w:tc>
        <w:tc>
          <w:tcPr>
            <w:tcW w:w="630" w:type="pct"/>
            <w:shd w:val="clear" w:color="auto" w:fill="auto"/>
          </w:tcPr>
          <w:p w14:paraId="1CDEE81B" w14:textId="77777777" w:rsidR="00E02689" w:rsidRPr="00BB59D8" w:rsidRDefault="00E02689" w:rsidP="00017CFC">
            <w:pPr>
              <w:pStyle w:val="Tabletext"/>
              <w:rPr>
                <w:b/>
                <w:bCs/>
                <w:szCs w:val="20"/>
              </w:rPr>
            </w:pPr>
            <w:r w:rsidRPr="00BB59D8">
              <w:rPr>
                <w:b/>
                <w:bCs/>
                <w:szCs w:val="20"/>
              </w:rPr>
              <w:t>Incremental</w:t>
            </w:r>
          </w:p>
        </w:tc>
        <w:tc>
          <w:tcPr>
            <w:tcW w:w="768" w:type="pct"/>
            <w:shd w:val="clear" w:color="auto" w:fill="auto"/>
          </w:tcPr>
          <w:p w14:paraId="2E7B0A6F" w14:textId="77777777" w:rsidR="00E02689" w:rsidRPr="00BB59D8" w:rsidRDefault="00E02689" w:rsidP="00017CFC">
            <w:pPr>
              <w:pStyle w:val="Tabletext"/>
              <w:rPr>
                <w:b/>
                <w:bCs/>
                <w:szCs w:val="20"/>
              </w:rPr>
            </w:pPr>
          </w:p>
        </w:tc>
      </w:tr>
      <w:tr w:rsidR="00E02689" w:rsidRPr="00BB59D8" w14:paraId="25C82D0A" w14:textId="77777777" w:rsidTr="00017CFC">
        <w:trPr>
          <w:trHeight w:val="170"/>
        </w:trPr>
        <w:tc>
          <w:tcPr>
            <w:tcW w:w="469" w:type="pct"/>
            <w:shd w:val="clear" w:color="auto" w:fill="auto"/>
          </w:tcPr>
          <w:p w14:paraId="1CD2899A" w14:textId="77777777" w:rsidR="00E02689" w:rsidRPr="00BB59D8" w:rsidRDefault="00E02689" w:rsidP="00017CFC">
            <w:pPr>
              <w:pStyle w:val="Tabletext"/>
              <w:rPr>
                <w:szCs w:val="20"/>
              </w:rPr>
            </w:pPr>
            <w:r w:rsidRPr="00BB59D8">
              <w:rPr>
                <w:szCs w:val="20"/>
              </w:rPr>
              <w:t>Step 1</w:t>
            </w:r>
          </w:p>
        </w:tc>
        <w:tc>
          <w:tcPr>
            <w:tcW w:w="554" w:type="pct"/>
            <w:shd w:val="clear" w:color="auto" w:fill="auto"/>
            <w:vAlign w:val="bottom"/>
          </w:tcPr>
          <w:p w14:paraId="53F5908B" w14:textId="77777777" w:rsidR="00E02689" w:rsidRPr="002707AA" w:rsidRDefault="002707AA" w:rsidP="00017CFC">
            <w:pPr>
              <w:pStyle w:val="Tabletext"/>
              <w:rPr>
                <w:szCs w:val="20"/>
                <w:highlight w:val="black"/>
              </w:rPr>
            </w:pPr>
            <w:r>
              <w:rPr>
                <w:noProof/>
                <w:color w:val="000000"/>
                <w:szCs w:val="20"/>
                <w:highlight w:val="black"/>
              </w:rPr>
              <w:t>'''''''''''''''''</w:t>
            </w:r>
          </w:p>
        </w:tc>
        <w:tc>
          <w:tcPr>
            <w:tcW w:w="651" w:type="pct"/>
            <w:shd w:val="clear" w:color="auto" w:fill="auto"/>
            <w:vAlign w:val="bottom"/>
          </w:tcPr>
          <w:p w14:paraId="0EB6F5CC" w14:textId="77777777" w:rsidR="00E02689" w:rsidRPr="00BB59D8" w:rsidRDefault="00E02689" w:rsidP="00017CFC">
            <w:pPr>
              <w:pStyle w:val="Tabletext"/>
              <w:rPr>
                <w:szCs w:val="20"/>
              </w:rPr>
            </w:pPr>
            <w:r w:rsidRPr="00BB59D8">
              <w:rPr>
                <w:szCs w:val="20"/>
              </w:rPr>
              <w:t>0</w:t>
            </w:r>
          </w:p>
        </w:tc>
        <w:tc>
          <w:tcPr>
            <w:tcW w:w="630" w:type="pct"/>
            <w:shd w:val="clear" w:color="auto" w:fill="auto"/>
            <w:vAlign w:val="bottom"/>
          </w:tcPr>
          <w:p w14:paraId="1C0049A9" w14:textId="77777777" w:rsidR="00E02689" w:rsidRPr="002707AA" w:rsidRDefault="002707AA" w:rsidP="00017CFC">
            <w:pPr>
              <w:pStyle w:val="Tabletext"/>
              <w:rPr>
                <w:szCs w:val="20"/>
                <w:highlight w:val="black"/>
              </w:rPr>
            </w:pPr>
            <w:r>
              <w:rPr>
                <w:noProof/>
                <w:color w:val="000000"/>
                <w:szCs w:val="20"/>
                <w:highlight w:val="black"/>
              </w:rPr>
              <w:t>''''''''''''''''''</w:t>
            </w:r>
          </w:p>
        </w:tc>
        <w:tc>
          <w:tcPr>
            <w:tcW w:w="646" w:type="pct"/>
            <w:shd w:val="clear" w:color="auto" w:fill="auto"/>
            <w:vAlign w:val="bottom"/>
          </w:tcPr>
          <w:p w14:paraId="521694DC" w14:textId="77777777" w:rsidR="00E02689" w:rsidRPr="00BB59D8" w:rsidRDefault="00E02689" w:rsidP="00017CFC">
            <w:pPr>
              <w:pStyle w:val="Tabletext"/>
              <w:rPr>
                <w:szCs w:val="20"/>
              </w:rPr>
            </w:pPr>
            <w:r w:rsidRPr="00BB59D8">
              <w:rPr>
                <w:szCs w:val="20"/>
              </w:rPr>
              <w:t>1.44</w:t>
            </w:r>
          </w:p>
        </w:tc>
        <w:tc>
          <w:tcPr>
            <w:tcW w:w="651" w:type="pct"/>
            <w:shd w:val="clear" w:color="auto" w:fill="auto"/>
            <w:vAlign w:val="bottom"/>
          </w:tcPr>
          <w:p w14:paraId="4759AC2A" w14:textId="77777777" w:rsidR="00E02689" w:rsidRPr="00BB59D8" w:rsidRDefault="00E02689" w:rsidP="00017CFC">
            <w:pPr>
              <w:pStyle w:val="Tabletext"/>
              <w:rPr>
                <w:szCs w:val="20"/>
              </w:rPr>
            </w:pPr>
            <w:r w:rsidRPr="00BB59D8">
              <w:rPr>
                <w:szCs w:val="20"/>
              </w:rPr>
              <w:t>1.27</w:t>
            </w:r>
          </w:p>
        </w:tc>
        <w:tc>
          <w:tcPr>
            <w:tcW w:w="630" w:type="pct"/>
            <w:shd w:val="clear" w:color="auto" w:fill="auto"/>
            <w:vAlign w:val="bottom"/>
          </w:tcPr>
          <w:p w14:paraId="562EA4D8" w14:textId="77777777" w:rsidR="00E02689" w:rsidRPr="00BB59D8" w:rsidRDefault="00E02689" w:rsidP="00017CFC">
            <w:pPr>
              <w:pStyle w:val="Tabletext"/>
              <w:rPr>
                <w:szCs w:val="20"/>
              </w:rPr>
            </w:pPr>
            <w:r w:rsidRPr="00BB59D8">
              <w:rPr>
                <w:szCs w:val="20"/>
              </w:rPr>
              <w:t>0.17</w:t>
            </w:r>
          </w:p>
        </w:tc>
        <w:tc>
          <w:tcPr>
            <w:tcW w:w="768" w:type="pct"/>
            <w:shd w:val="clear" w:color="auto" w:fill="auto"/>
            <w:vAlign w:val="bottom"/>
          </w:tcPr>
          <w:p w14:paraId="5676C749" w14:textId="77777777" w:rsidR="00E02689" w:rsidRPr="002707AA" w:rsidRDefault="002707AA" w:rsidP="00017CFC">
            <w:pPr>
              <w:pStyle w:val="Tabletext"/>
              <w:rPr>
                <w:szCs w:val="20"/>
              </w:rPr>
            </w:pPr>
            <w:r>
              <w:rPr>
                <w:noProof/>
                <w:color w:val="000000"/>
                <w:szCs w:val="20"/>
                <w:highlight w:val="black"/>
              </w:rPr>
              <w:t>'''''''''''''''''''''</w:t>
            </w:r>
            <w:r w:rsidR="00C75DF6" w:rsidRPr="00C75DF6">
              <w:rPr>
                <w:vertAlign w:val="superscript"/>
              </w:rPr>
              <w:t>1</w:t>
            </w:r>
          </w:p>
        </w:tc>
      </w:tr>
      <w:tr w:rsidR="00E02689" w:rsidRPr="00BB59D8" w14:paraId="1CC3C8D4" w14:textId="77777777" w:rsidTr="00017CFC">
        <w:tc>
          <w:tcPr>
            <w:tcW w:w="469" w:type="pct"/>
            <w:shd w:val="clear" w:color="auto" w:fill="auto"/>
          </w:tcPr>
          <w:p w14:paraId="0B74933B" w14:textId="77777777" w:rsidR="00E02689" w:rsidRPr="00BB59D8" w:rsidRDefault="00E02689" w:rsidP="00017CFC">
            <w:pPr>
              <w:pStyle w:val="Tabletext"/>
              <w:rPr>
                <w:szCs w:val="20"/>
              </w:rPr>
            </w:pPr>
            <w:r w:rsidRPr="00BB59D8">
              <w:rPr>
                <w:szCs w:val="20"/>
              </w:rPr>
              <w:t>Step 2</w:t>
            </w:r>
          </w:p>
        </w:tc>
        <w:tc>
          <w:tcPr>
            <w:tcW w:w="554" w:type="pct"/>
            <w:shd w:val="clear" w:color="auto" w:fill="auto"/>
            <w:vAlign w:val="bottom"/>
          </w:tcPr>
          <w:p w14:paraId="1240F390" w14:textId="77777777" w:rsidR="00E02689" w:rsidRPr="002707AA" w:rsidRDefault="002707AA" w:rsidP="00017CFC">
            <w:pPr>
              <w:pStyle w:val="Tabletext"/>
              <w:rPr>
                <w:szCs w:val="20"/>
                <w:highlight w:val="black"/>
              </w:rPr>
            </w:pPr>
            <w:r>
              <w:rPr>
                <w:noProof/>
                <w:color w:val="000000"/>
                <w:szCs w:val="20"/>
                <w:highlight w:val="black"/>
              </w:rPr>
              <w:t>'''''''''''''''</w:t>
            </w:r>
          </w:p>
        </w:tc>
        <w:tc>
          <w:tcPr>
            <w:tcW w:w="651" w:type="pct"/>
            <w:shd w:val="clear" w:color="auto" w:fill="auto"/>
            <w:vAlign w:val="bottom"/>
          </w:tcPr>
          <w:p w14:paraId="60CC8678" w14:textId="77777777" w:rsidR="00E02689" w:rsidRPr="00BB59D8" w:rsidRDefault="00E02689" w:rsidP="00017CFC">
            <w:pPr>
              <w:pStyle w:val="Tabletext"/>
              <w:rPr>
                <w:szCs w:val="20"/>
              </w:rPr>
            </w:pPr>
            <w:r w:rsidRPr="00BB59D8">
              <w:rPr>
                <w:szCs w:val="20"/>
              </w:rPr>
              <w:t>0</w:t>
            </w:r>
          </w:p>
        </w:tc>
        <w:tc>
          <w:tcPr>
            <w:tcW w:w="630" w:type="pct"/>
            <w:shd w:val="clear" w:color="auto" w:fill="auto"/>
            <w:vAlign w:val="bottom"/>
          </w:tcPr>
          <w:p w14:paraId="214F9B69" w14:textId="77777777" w:rsidR="00E02689" w:rsidRPr="002707AA" w:rsidRDefault="002707AA" w:rsidP="00017CFC">
            <w:pPr>
              <w:pStyle w:val="Tabletext"/>
              <w:rPr>
                <w:szCs w:val="20"/>
                <w:highlight w:val="black"/>
              </w:rPr>
            </w:pPr>
            <w:r>
              <w:rPr>
                <w:noProof/>
                <w:color w:val="000000"/>
                <w:szCs w:val="20"/>
                <w:highlight w:val="black"/>
              </w:rPr>
              <w:t>''''''''''''''''</w:t>
            </w:r>
          </w:p>
        </w:tc>
        <w:tc>
          <w:tcPr>
            <w:tcW w:w="646" w:type="pct"/>
            <w:shd w:val="clear" w:color="auto" w:fill="auto"/>
            <w:vAlign w:val="bottom"/>
          </w:tcPr>
          <w:p w14:paraId="0609E19E" w14:textId="77777777" w:rsidR="00E02689" w:rsidRPr="00BB59D8" w:rsidRDefault="00E02689" w:rsidP="00017CFC">
            <w:pPr>
              <w:pStyle w:val="Tabletext"/>
              <w:rPr>
                <w:szCs w:val="20"/>
              </w:rPr>
            </w:pPr>
            <w:r w:rsidRPr="00BB59D8">
              <w:rPr>
                <w:szCs w:val="20"/>
              </w:rPr>
              <w:t>1.44</w:t>
            </w:r>
          </w:p>
        </w:tc>
        <w:tc>
          <w:tcPr>
            <w:tcW w:w="651" w:type="pct"/>
            <w:shd w:val="clear" w:color="auto" w:fill="auto"/>
            <w:vAlign w:val="bottom"/>
          </w:tcPr>
          <w:p w14:paraId="44210F0A" w14:textId="77777777" w:rsidR="00E02689" w:rsidRPr="00BB59D8" w:rsidRDefault="00E02689" w:rsidP="00017CFC">
            <w:pPr>
              <w:pStyle w:val="Tabletext"/>
              <w:rPr>
                <w:szCs w:val="20"/>
              </w:rPr>
            </w:pPr>
            <w:r w:rsidRPr="00BB59D8">
              <w:rPr>
                <w:szCs w:val="20"/>
              </w:rPr>
              <w:t>1.27</w:t>
            </w:r>
          </w:p>
        </w:tc>
        <w:tc>
          <w:tcPr>
            <w:tcW w:w="630" w:type="pct"/>
            <w:shd w:val="clear" w:color="auto" w:fill="auto"/>
            <w:vAlign w:val="bottom"/>
          </w:tcPr>
          <w:p w14:paraId="434AC5A7" w14:textId="77777777" w:rsidR="00E02689" w:rsidRPr="00BB59D8" w:rsidRDefault="00E02689" w:rsidP="00017CFC">
            <w:pPr>
              <w:pStyle w:val="Tabletext"/>
              <w:rPr>
                <w:szCs w:val="20"/>
              </w:rPr>
            </w:pPr>
            <w:r w:rsidRPr="00BB59D8">
              <w:rPr>
                <w:szCs w:val="20"/>
              </w:rPr>
              <w:t>0.17</w:t>
            </w:r>
          </w:p>
        </w:tc>
        <w:tc>
          <w:tcPr>
            <w:tcW w:w="768" w:type="pct"/>
            <w:shd w:val="clear" w:color="auto" w:fill="auto"/>
            <w:vAlign w:val="bottom"/>
          </w:tcPr>
          <w:p w14:paraId="268D7B66" w14:textId="77777777" w:rsidR="00E02689" w:rsidRPr="002707AA" w:rsidRDefault="002707AA" w:rsidP="00017CFC">
            <w:pPr>
              <w:pStyle w:val="Tabletext"/>
              <w:rPr>
                <w:szCs w:val="20"/>
              </w:rPr>
            </w:pPr>
            <w:r>
              <w:rPr>
                <w:noProof/>
                <w:color w:val="000000"/>
                <w:szCs w:val="20"/>
                <w:highlight w:val="black"/>
              </w:rPr>
              <w:t>''''''''''''''''''</w:t>
            </w:r>
            <w:r w:rsidR="00C75DF6" w:rsidRPr="00C75DF6">
              <w:rPr>
                <w:vertAlign w:val="superscript"/>
              </w:rPr>
              <w:t>1</w:t>
            </w:r>
          </w:p>
        </w:tc>
      </w:tr>
      <w:tr w:rsidR="00E02689" w:rsidRPr="00BB59D8" w14:paraId="417566E0" w14:textId="77777777" w:rsidTr="00017CFC">
        <w:trPr>
          <w:trHeight w:val="70"/>
        </w:trPr>
        <w:tc>
          <w:tcPr>
            <w:tcW w:w="469" w:type="pct"/>
            <w:shd w:val="clear" w:color="auto" w:fill="auto"/>
          </w:tcPr>
          <w:p w14:paraId="1DFC3F84" w14:textId="77777777" w:rsidR="00E02689" w:rsidRPr="00BB59D8" w:rsidRDefault="00E02689" w:rsidP="00017CFC">
            <w:pPr>
              <w:pStyle w:val="Tabletext"/>
              <w:rPr>
                <w:szCs w:val="20"/>
              </w:rPr>
            </w:pPr>
            <w:r w:rsidRPr="00BB59D8">
              <w:rPr>
                <w:szCs w:val="20"/>
              </w:rPr>
              <w:t>Step 3</w:t>
            </w:r>
          </w:p>
        </w:tc>
        <w:tc>
          <w:tcPr>
            <w:tcW w:w="554" w:type="pct"/>
            <w:shd w:val="clear" w:color="auto" w:fill="auto"/>
            <w:vAlign w:val="bottom"/>
          </w:tcPr>
          <w:p w14:paraId="711D5DE7" w14:textId="77777777" w:rsidR="00E02689" w:rsidRPr="002707AA" w:rsidRDefault="002707AA" w:rsidP="00017CFC">
            <w:pPr>
              <w:pStyle w:val="Tabletext"/>
              <w:rPr>
                <w:szCs w:val="20"/>
                <w:highlight w:val="black"/>
              </w:rPr>
            </w:pPr>
            <w:r>
              <w:rPr>
                <w:noProof/>
                <w:color w:val="000000"/>
                <w:szCs w:val="20"/>
                <w:highlight w:val="black"/>
              </w:rPr>
              <w:t>''''''''''''''''''</w:t>
            </w:r>
          </w:p>
        </w:tc>
        <w:tc>
          <w:tcPr>
            <w:tcW w:w="651" w:type="pct"/>
            <w:shd w:val="clear" w:color="auto" w:fill="auto"/>
            <w:vAlign w:val="bottom"/>
          </w:tcPr>
          <w:p w14:paraId="0EA8548B" w14:textId="77777777" w:rsidR="00E02689" w:rsidRPr="00BB59D8" w:rsidRDefault="00E02689" w:rsidP="00017CFC">
            <w:pPr>
              <w:pStyle w:val="Tabletext"/>
              <w:rPr>
                <w:szCs w:val="20"/>
              </w:rPr>
            </w:pPr>
            <w:r w:rsidRPr="00BB59D8">
              <w:rPr>
                <w:szCs w:val="20"/>
              </w:rPr>
              <w:t>0</w:t>
            </w:r>
          </w:p>
        </w:tc>
        <w:tc>
          <w:tcPr>
            <w:tcW w:w="630" w:type="pct"/>
            <w:shd w:val="clear" w:color="auto" w:fill="auto"/>
            <w:vAlign w:val="bottom"/>
          </w:tcPr>
          <w:p w14:paraId="6AC00214" w14:textId="77777777" w:rsidR="00E02689" w:rsidRPr="002707AA" w:rsidRDefault="002707AA" w:rsidP="00017CFC">
            <w:pPr>
              <w:pStyle w:val="Tabletext"/>
              <w:rPr>
                <w:szCs w:val="20"/>
                <w:highlight w:val="black"/>
              </w:rPr>
            </w:pPr>
            <w:r>
              <w:rPr>
                <w:noProof/>
                <w:color w:val="000000"/>
                <w:szCs w:val="20"/>
                <w:highlight w:val="black"/>
              </w:rPr>
              <w:t>'''''''''''''''''''</w:t>
            </w:r>
          </w:p>
        </w:tc>
        <w:tc>
          <w:tcPr>
            <w:tcW w:w="646" w:type="pct"/>
            <w:shd w:val="clear" w:color="auto" w:fill="auto"/>
            <w:vAlign w:val="bottom"/>
          </w:tcPr>
          <w:p w14:paraId="631CB233" w14:textId="77777777" w:rsidR="00E02689" w:rsidRPr="00BB59D8" w:rsidRDefault="00E02689" w:rsidP="00017CFC">
            <w:pPr>
              <w:pStyle w:val="Tabletext"/>
              <w:rPr>
                <w:szCs w:val="20"/>
              </w:rPr>
            </w:pPr>
            <w:r w:rsidRPr="00BB59D8">
              <w:rPr>
                <w:szCs w:val="20"/>
              </w:rPr>
              <w:t>11.27</w:t>
            </w:r>
          </w:p>
        </w:tc>
        <w:tc>
          <w:tcPr>
            <w:tcW w:w="651" w:type="pct"/>
            <w:shd w:val="clear" w:color="auto" w:fill="auto"/>
            <w:vAlign w:val="bottom"/>
          </w:tcPr>
          <w:p w14:paraId="5EED2ECF" w14:textId="77777777" w:rsidR="00E02689" w:rsidRPr="00BB59D8" w:rsidRDefault="00E02689" w:rsidP="00017CFC">
            <w:pPr>
              <w:pStyle w:val="Tabletext"/>
              <w:rPr>
                <w:szCs w:val="20"/>
              </w:rPr>
            </w:pPr>
            <w:r w:rsidRPr="00BB59D8">
              <w:rPr>
                <w:szCs w:val="20"/>
              </w:rPr>
              <w:t>8.27</w:t>
            </w:r>
          </w:p>
        </w:tc>
        <w:tc>
          <w:tcPr>
            <w:tcW w:w="630" w:type="pct"/>
            <w:shd w:val="clear" w:color="auto" w:fill="auto"/>
            <w:vAlign w:val="bottom"/>
          </w:tcPr>
          <w:p w14:paraId="4C29A4B3" w14:textId="77777777" w:rsidR="00E02689" w:rsidRPr="00BB59D8" w:rsidRDefault="00E02689" w:rsidP="00017CFC">
            <w:pPr>
              <w:pStyle w:val="Tabletext"/>
              <w:rPr>
                <w:szCs w:val="20"/>
              </w:rPr>
            </w:pPr>
            <w:r w:rsidRPr="00BB59D8">
              <w:rPr>
                <w:szCs w:val="20"/>
              </w:rPr>
              <w:t>3.00</w:t>
            </w:r>
          </w:p>
        </w:tc>
        <w:tc>
          <w:tcPr>
            <w:tcW w:w="768" w:type="pct"/>
            <w:shd w:val="clear" w:color="auto" w:fill="auto"/>
            <w:vAlign w:val="bottom"/>
          </w:tcPr>
          <w:p w14:paraId="74A03746" w14:textId="77777777" w:rsidR="00E02689" w:rsidRPr="002707AA" w:rsidRDefault="002707AA" w:rsidP="00017CFC">
            <w:pPr>
              <w:pStyle w:val="Tabletext"/>
              <w:rPr>
                <w:szCs w:val="20"/>
              </w:rPr>
            </w:pPr>
            <w:r>
              <w:rPr>
                <w:noProof/>
                <w:color w:val="000000"/>
                <w:szCs w:val="20"/>
                <w:highlight w:val="black"/>
              </w:rPr>
              <w:t>'''''''''''''''''</w:t>
            </w:r>
            <w:r w:rsidR="00C75DF6" w:rsidRPr="00C75DF6">
              <w:rPr>
                <w:vertAlign w:val="superscript"/>
              </w:rPr>
              <w:t>2</w:t>
            </w:r>
          </w:p>
        </w:tc>
      </w:tr>
      <w:tr w:rsidR="00E02689" w:rsidRPr="00BB59D8" w14:paraId="1CCDEAB4" w14:textId="77777777" w:rsidTr="00017CFC">
        <w:trPr>
          <w:trHeight w:val="70"/>
        </w:trPr>
        <w:tc>
          <w:tcPr>
            <w:tcW w:w="469" w:type="pct"/>
            <w:shd w:val="clear" w:color="auto" w:fill="auto"/>
          </w:tcPr>
          <w:p w14:paraId="4FF86F53" w14:textId="77777777" w:rsidR="00E02689" w:rsidRPr="00BB59D8" w:rsidRDefault="00E02689" w:rsidP="00017CFC">
            <w:pPr>
              <w:pStyle w:val="Tabletext"/>
              <w:rPr>
                <w:szCs w:val="20"/>
              </w:rPr>
            </w:pPr>
            <w:r w:rsidRPr="00BB59D8">
              <w:rPr>
                <w:szCs w:val="20"/>
              </w:rPr>
              <w:t>Step 4</w:t>
            </w:r>
          </w:p>
        </w:tc>
        <w:tc>
          <w:tcPr>
            <w:tcW w:w="554" w:type="pct"/>
            <w:shd w:val="clear" w:color="auto" w:fill="auto"/>
            <w:vAlign w:val="bottom"/>
          </w:tcPr>
          <w:p w14:paraId="08D395BA" w14:textId="77777777" w:rsidR="00E02689" w:rsidRPr="002707AA" w:rsidRDefault="002707AA" w:rsidP="00017CFC">
            <w:pPr>
              <w:pStyle w:val="Tabletext"/>
              <w:rPr>
                <w:szCs w:val="20"/>
                <w:highlight w:val="black"/>
              </w:rPr>
            </w:pPr>
            <w:r>
              <w:rPr>
                <w:noProof/>
                <w:color w:val="000000"/>
                <w:szCs w:val="20"/>
                <w:highlight w:val="black"/>
              </w:rPr>
              <w:t>'''''''''''''''''</w:t>
            </w:r>
          </w:p>
        </w:tc>
        <w:tc>
          <w:tcPr>
            <w:tcW w:w="651" w:type="pct"/>
            <w:shd w:val="clear" w:color="auto" w:fill="auto"/>
            <w:vAlign w:val="bottom"/>
          </w:tcPr>
          <w:p w14:paraId="3823BA7E" w14:textId="77777777" w:rsidR="00E02689" w:rsidRPr="00BB59D8" w:rsidRDefault="00E02689" w:rsidP="00017CFC">
            <w:pPr>
              <w:pStyle w:val="Tabletext"/>
              <w:rPr>
                <w:szCs w:val="20"/>
              </w:rPr>
            </w:pPr>
            <w:r w:rsidRPr="00BB59D8">
              <w:rPr>
                <w:szCs w:val="20"/>
              </w:rPr>
              <w:t>41,685</w:t>
            </w:r>
          </w:p>
        </w:tc>
        <w:tc>
          <w:tcPr>
            <w:tcW w:w="630" w:type="pct"/>
            <w:shd w:val="clear" w:color="auto" w:fill="auto"/>
            <w:vAlign w:val="bottom"/>
          </w:tcPr>
          <w:p w14:paraId="4DB636E9" w14:textId="77777777" w:rsidR="00E02689" w:rsidRPr="002707AA" w:rsidRDefault="002707AA" w:rsidP="00017CFC">
            <w:pPr>
              <w:pStyle w:val="Tabletext"/>
              <w:rPr>
                <w:szCs w:val="20"/>
                <w:highlight w:val="black"/>
              </w:rPr>
            </w:pPr>
            <w:r>
              <w:rPr>
                <w:noProof/>
                <w:color w:val="000000"/>
                <w:szCs w:val="20"/>
                <w:highlight w:val="black"/>
              </w:rPr>
              <w:t>''''''''''''''''''</w:t>
            </w:r>
          </w:p>
        </w:tc>
        <w:tc>
          <w:tcPr>
            <w:tcW w:w="646" w:type="pct"/>
            <w:shd w:val="clear" w:color="auto" w:fill="auto"/>
            <w:vAlign w:val="bottom"/>
          </w:tcPr>
          <w:p w14:paraId="626558E4" w14:textId="77777777" w:rsidR="00E02689" w:rsidRPr="00BB59D8" w:rsidRDefault="00E02689" w:rsidP="00017CFC">
            <w:pPr>
              <w:pStyle w:val="Tabletext"/>
              <w:rPr>
                <w:szCs w:val="20"/>
              </w:rPr>
            </w:pPr>
            <w:r w:rsidRPr="00BB59D8">
              <w:rPr>
                <w:szCs w:val="20"/>
              </w:rPr>
              <w:t>11.27</w:t>
            </w:r>
          </w:p>
        </w:tc>
        <w:tc>
          <w:tcPr>
            <w:tcW w:w="651" w:type="pct"/>
            <w:shd w:val="clear" w:color="auto" w:fill="auto"/>
            <w:vAlign w:val="bottom"/>
          </w:tcPr>
          <w:p w14:paraId="65101145" w14:textId="77777777" w:rsidR="00E02689" w:rsidRPr="00BB59D8" w:rsidRDefault="00E02689" w:rsidP="00017CFC">
            <w:pPr>
              <w:pStyle w:val="Tabletext"/>
              <w:rPr>
                <w:szCs w:val="20"/>
              </w:rPr>
            </w:pPr>
            <w:r w:rsidRPr="00BB59D8">
              <w:rPr>
                <w:szCs w:val="20"/>
              </w:rPr>
              <w:t>8.27</w:t>
            </w:r>
          </w:p>
        </w:tc>
        <w:tc>
          <w:tcPr>
            <w:tcW w:w="630" w:type="pct"/>
            <w:shd w:val="clear" w:color="auto" w:fill="auto"/>
            <w:vAlign w:val="bottom"/>
          </w:tcPr>
          <w:p w14:paraId="34737A3B" w14:textId="77777777" w:rsidR="00E02689" w:rsidRPr="00BB59D8" w:rsidRDefault="00E02689" w:rsidP="00017CFC">
            <w:pPr>
              <w:pStyle w:val="Tabletext"/>
              <w:rPr>
                <w:szCs w:val="20"/>
              </w:rPr>
            </w:pPr>
            <w:r w:rsidRPr="00BB59D8">
              <w:rPr>
                <w:szCs w:val="20"/>
              </w:rPr>
              <w:t>3.00</w:t>
            </w:r>
          </w:p>
        </w:tc>
        <w:tc>
          <w:tcPr>
            <w:tcW w:w="768" w:type="pct"/>
            <w:shd w:val="clear" w:color="auto" w:fill="auto"/>
            <w:vAlign w:val="bottom"/>
          </w:tcPr>
          <w:p w14:paraId="4D24EE11" w14:textId="77777777" w:rsidR="00E02689" w:rsidRPr="002707AA" w:rsidRDefault="002707AA" w:rsidP="00017CFC">
            <w:pPr>
              <w:pStyle w:val="Tabletext"/>
              <w:rPr>
                <w:szCs w:val="20"/>
              </w:rPr>
            </w:pPr>
            <w:r>
              <w:rPr>
                <w:noProof/>
                <w:color w:val="000000"/>
                <w:szCs w:val="20"/>
                <w:highlight w:val="black"/>
              </w:rPr>
              <w:t>''''''''''''''''''</w:t>
            </w:r>
            <w:r w:rsidR="00C75DF6" w:rsidRPr="00C75DF6">
              <w:rPr>
                <w:vertAlign w:val="superscript"/>
              </w:rPr>
              <w:t>2</w:t>
            </w:r>
          </w:p>
        </w:tc>
      </w:tr>
    </w:tbl>
    <w:p w14:paraId="22B1BDC7" w14:textId="77777777" w:rsidR="00E02689" w:rsidRDefault="00E02689" w:rsidP="00E02689">
      <w:pPr>
        <w:pStyle w:val="TableFigureHeading"/>
        <w:rPr>
          <w:rStyle w:val="CommentReference"/>
          <w:szCs w:val="24"/>
        </w:rPr>
      </w:pPr>
      <w:r w:rsidRPr="00BB59D8">
        <w:rPr>
          <w:rStyle w:val="CommentReference"/>
          <w:szCs w:val="24"/>
        </w:rPr>
        <w:t>ICER = incremental cost-effectiveness ratio; QALY = quality-adjusted life years.</w:t>
      </w:r>
    </w:p>
    <w:p w14:paraId="17CA5296" w14:textId="77777777" w:rsidR="00C75DF6" w:rsidRPr="00C75DF6" w:rsidRDefault="00C75DF6" w:rsidP="00C75DF6">
      <w:pPr>
        <w:pStyle w:val="In-tableHeading"/>
        <w:rPr>
          <w:b w:val="0"/>
          <w:i/>
          <w:lang w:val="en-AU"/>
        </w:rPr>
      </w:pPr>
      <w:r w:rsidRPr="00C75DF6">
        <w:rPr>
          <w:b w:val="0"/>
          <w:i/>
          <w:lang w:val="en-AU"/>
        </w:rPr>
        <w:t>The redacted values correspond to the following ranges:</w:t>
      </w:r>
    </w:p>
    <w:p w14:paraId="47CF0F6C" w14:textId="77777777" w:rsidR="00C75DF6" w:rsidRPr="00C75DF6" w:rsidRDefault="00C75DF6" w:rsidP="00C75DF6">
      <w:pPr>
        <w:pStyle w:val="In-tableHeading"/>
        <w:rPr>
          <w:b w:val="0"/>
          <w:i/>
          <w:lang w:val="en-AU"/>
        </w:rPr>
      </w:pPr>
      <w:r w:rsidRPr="00C75DF6">
        <w:rPr>
          <w:b w:val="0"/>
          <w:i/>
          <w:vertAlign w:val="superscript"/>
          <w:lang w:val="en-AU"/>
        </w:rPr>
        <w:t>1</w:t>
      </w:r>
      <w:r w:rsidRPr="00C75DF6">
        <w:rPr>
          <w:b w:val="0"/>
          <w:i/>
          <w:lang w:val="en-AU"/>
        </w:rPr>
        <w:t xml:space="preserve"> $255,000 to &lt; $355,000</w:t>
      </w:r>
    </w:p>
    <w:p w14:paraId="6D8F6E49" w14:textId="77777777" w:rsidR="00C75DF6" w:rsidRPr="00C75DF6" w:rsidRDefault="00C75DF6" w:rsidP="009750B5">
      <w:pPr>
        <w:pStyle w:val="In-tableHeading"/>
        <w:spacing w:after="120"/>
        <w:rPr>
          <w:b w:val="0"/>
          <w:i/>
          <w:lang w:val="en-AU"/>
        </w:rPr>
      </w:pPr>
      <w:r w:rsidRPr="00C75DF6">
        <w:rPr>
          <w:b w:val="0"/>
          <w:i/>
          <w:vertAlign w:val="superscript"/>
          <w:lang w:val="en-AU"/>
        </w:rPr>
        <w:t>2</w:t>
      </w:r>
      <w:r w:rsidRPr="00C75DF6">
        <w:rPr>
          <w:b w:val="0"/>
          <w:i/>
          <w:lang w:val="en-AU"/>
        </w:rPr>
        <w:t xml:space="preserve"> $95,000 to &lt; $115,000</w:t>
      </w:r>
    </w:p>
    <w:p w14:paraId="78A7E30E" w14:textId="77777777" w:rsidR="00A167A4" w:rsidRPr="00BB59D8" w:rsidRDefault="00A167A4" w:rsidP="00A167A4">
      <w:pPr>
        <w:pStyle w:val="3-BodyText"/>
      </w:pPr>
      <w:r w:rsidRPr="00BB59D8">
        <w:t>Table 1</w:t>
      </w:r>
      <w:r w:rsidR="00AA5A4C" w:rsidRPr="00BB59D8">
        <w:t>2</w:t>
      </w:r>
      <w:r w:rsidRPr="00BB59D8">
        <w:t xml:space="preserve"> presents the discounted results of the economic analysis</w:t>
      </w:r>
      <w:r w:rsidR="008B2A37" w:rsidRPr="00BB59D8">
        <w:t xml:space="preserve"> (as presented in the PSCR)</w:t>
      </w:r>
      <w:r w:rsidRPr="00BB59D8">
        <w:t xml:space="preserve">, which were based on the EU-IGFD </w:t>
      </w:r>
      <w:r w:rsidR="00C6040C" w:rsidRPr="00BB59D8">
        <w:t>Registry</w:t>
      </w:r>
      <w:r w:rsidRPr="00BB59D8">
        <w:t xml:space="preserve"> outcomes. The cost-effectiveness of mecasermin in the base case was estimated to be $</w:t>
      </w:r>
      <w:r w:rsidR="00D35A4C">
        <w:t>95,000 to &lt; $115,000</w:t>
      </w:r>
      <w:r w:rsidRPr="00BB59D8">
        <w:t xml:space="preserve"> per QALY gained. </w:t>
      </w:r>
      <w:r w:rsidR="008B2A37" w:rsidRPr="00BB59D8">
        <w:t>The ESC noted that base case ICER presented in the submission was $</w:t>
      </w:r>
      <w:r w:rsidR="00D35A4C">
        <w:t>95,000 to &lt; $115,000</w:t>
      </w:r>
      <w:r w:rsidR="008B2A37" w:rsidRPr="00BB59D8">
        <w:t xml:space="preserve"> per QALY gained.</w:t>
      </w:r>
    </w:p>
    <w:p w14:paraId="5BBE9A67" w14:textId="77777777" w:rsidR="00A167A4" w:rsidRPr="00BB59D8" w:rsidRDefault="00A167A4" w:rsidP="00A167A4">
      <w:pPr>
        <w:pStyle w:val="3-BodyText"/>
        <w:keepNext/>
        <w:numPr>
          <w:ilvl w:val="0"/>
          <w:numId w:val="0"/>
        </w:numPr>
        <w:spacing w:after="0"/>
        <w:rPr>
          <w:rStyle w:val="CommentReference"/>
        </w:rPr>
      </w:pPr>
      <w:r w:rsidRPr="00BB59D8">
        <w:rPr>
          <w:rStyle w:val="CommentReference"/>
        </w:rPr>
        <w:t>Table 1</w:t>
      </w:r>
      <w:r w:rsidR="00AA5A4C" w:rsidRPr="00BB59D8">
        <w:rPr>
          <w:rStyle w:val="CommentReference"/>
        </w:rPr>
        <w:t>2</w:t>
      </w:r>
      <w:r w:rsidRPr="00BB59D8">
        <w:rPr>
          <w:rStyle w:val="CommentReference"/>
        </w:rPr>
        <w:t>: Base case results of the modelled economic evaluation</w:t>
      </w:r>
      <w:r w:rsidR="00BE48F0" w:rsidRPr="00BB59D8">
        <w:rPr>
          <w:rStyle w:val="CommentReference"/>
        </w:rPr>
        <w:t xml:space="preserve"> presented in the </w:t>
      </w:r>
      <w:r w:rsidR="008F28D5" w:rsidRPr="00BB59D8">
        <w:rPr>
          <w:rStyle w:val="CommentReference"/>
        </w:rPr>
        <w:t xml:space="preserve">PSCR </w:t>
      </w:r>
      <w:r w:rsidRPr="00BB59D8">
        <w:rPr>
          <w:rStyle w:val="CommentReference"/>
        </w:rPr>
        <w:t>(discounted)</w:t>
      </w:r>
    </w:p>
    <w:tbl>
      <w:tblPr>
        <w:tblStyle w:val="TableGrid"/>
        <w:tblW w:w="5000" w:type="pct"/>
        <w:tblLook w:val="04A0" w:firstRow="1" w:lastRow="0" w:firstColumn="1" w:lastColumn="0" w:noHBand="0" w:noVBand="1"/>
        <w:tblCaption w:val="Table 12: Base case results of the modelled economic evaluation presented in the PSCR (discounted)"/>
      </w:tblPr>
      <w:tblGrid>
        <w:gridCol w:w="2251"/>
        <w:gridCol w:w="2260"/>
        <w:gridCol w:w="2254"/>
        <w:gridCol w:w="2252"/>
      </w:tblGrid>
      <w:tr w:rsidR="00A167A4" w:rsidRPr="00BB59D8" w14:paraId="5638D89F" w14:textId="77777777" w:rsidTr="0000363A">
        <w:trPr>
          <w:tblHeader/>
        </w:trPr>
        <w:tc>
          <w:tcPr>
            <w:tcW w:w="1248" w:type="pct"/>
            <w:tcBorders>
              <w:bottom w:val="single" w:sz="4" w:space="0" w:color="auto"/>
            </w:tcBorders>
            <w:shd w:val="clear" w:color="auto" w:fill="auto"/>
            <w:vAlign w:val="center"/>
          </w:tcPr>
          <w:p w14:paraId="3A36473F" w14:textId="77777777" w:rsidR="00A167A4" w:rsidRPr="00BB59D8" w:rsidRDefault="00A167A4" w:rsidP="00646E0D">
            <w:pPr>
              <w:pStyle w:val="In-tableHeading"/>
              <w:rPr>
                <w:lang w:val="en-AU"/>
              </w:rPr>
            </w:pPr>
            <w:r w:rsidRPr="00BB59D8">
              <w:rPr>
                <w:lang w:val="en-AU"/>
              </w:rPr>
              <w:t>Model arm</w:t>
            </w:r>
          </w:p>
        </w:tc>
        <w:tc>
          <w:tcPr>
            <w:tcW w:w="1253" w:type="pct"/>
            <w:tcBorders>
              <w:bottom w:val="single" w:sz="4" w:space="0" w:color="auto"/>
            </w:tcBorders>
            <w:shd w:val="clear" w:color="auto" w:fill="auto"/>
            <w:vAlign w:val="center"/>
          </w:tcPr>
          <w:p w14:paraId="4F580FF5" w14:textId="77777777" w:rsidR="00A167A4" w:rsidRPr="00BB59D8" w:rsidRDefault="00A167A4" w:rsidP="00C83B29">
            <w:pPr>
              <w:pStyle w:val="In-tableHeading"/>
              <w:jc w:val="center"/>
              <w:rPr>
                <w:lang w:val="en-AU"/>
              </w:rPr>
            </w:pPr>
            <w:r w:rsidRPr="00BB59D8">
              <w:rPr>
                <w:lang w:val="en-AU"/>
              </w:rPr>
              <w:t>Costs (AUD)</w:t>
            </w:r>
            <w:r w:rsidR="00D35A4C">
              <w:rPr>
                <w:lang w:val="en-AU"/>
              </w:rPr>
              <w:t xml:space="preserve"> ($)</w:t>
            </w:r>
          </w:p>
        </w:tc>
        <w:tc>
          <w:tcPr>
            <w:tcW w:w="1250" w:type="pct"/>
            <w:tcBorders>
              <w:bottom w:val="single" w:sz="4" w:space="0" w:color="auto"/>
            </w:tcBorders>
            <w:shd w:val="clear" w:color="auto" w:fill="auto"/>
            <w:vAlign w:val="center"/>
          </w:tcPr>
          <w:p w14:paraId="0068FC34" w14:textId="77777777" w:rsidR="00A167A4" w:rsidRPr="00BB59D8" w:rsidRDefault="00A167A4" w:rsidP="00C83B29">
            <w:pPr>
              <w:pStyle w:val="In-tableHeading"/>
              <w:jc w:val="center"/>
              <w:rPr>
                <w:lang w:val="en-AU"/>
              </w:rPr>
            </w:pPr>
            <w:r w:rsidRPr="00BB59D8">
              <w:rPr>
                <w:lang w:val="en-AU"/>
              </w:rPr>
              <w:t>QALYs</w:t>
            </w:r>
          </w:p>
        </w:tc>
        <w:tc>
          <w:tcPr>
            <w:tcW w:w="1249" w:type="pct"/>
            <w:tcBorders>
              <w:bottom w:val="single" w:sz="4" w:space="0" w:color="auto"/>
            </w:tcBorders>
            <w:shd w:val="clear" w:color="auto" w:fill="auto"/>
            <w:vAlign w:val="center"/>
          </w:tcPr>
          <w:p w14:paraId="56A01455" w14:textId="77777777" w:rsidR="00A167A4" w:rsidRPr="00BB59D8" w:rsidRDefault="00A167A4" w:rsidP="00C83B29">
            <w:pPr>
              <w:pStyle w:val="In-tableHeading"/>
              <w:jc w:val="center"/>
              <w:rPr>
                <w:lang w:val="en-AU"/>
              </w:rPr>
            </w:pPr>
            <w:r w:rsidRPr="00BB59D8">
              <w:rPr>
                <w:lang w:val="en-AU"/>
              </w:rPr>
              <w:t>ICER: cost per QALY gained (AUD)</w:t>
            </w:r>
            <w:r w:rsidR="00D35A4C">
              <w:rPr>
                <w:lang w:val="en-AU"/>
              </w:rPr>
              <w:t xml:space="preserve"> ($)</w:t>
            </w:r>
          </w:p>
        </w:tc>
      </w:tr>
      <w:tr w:rsidR="00A167A4" w:rsidRPr="00BB59D8" w14:paraId="3BAE7193" w14:textId="77777777" w:rsidTr="00646E0D">
        <w:trPr>
          <w:trHeight w:val="70"/>
        </w:trPr>
        <w:tc>
          <w:tcPr>
            <w:tcW w:w="5000" w:type="pct"/>
            <w:gridSpan w:val="4"/>
            <w:shd w:val="clear" w:color="auto" w:fill="auto"/>
            <w:vAlign w:val="center"/>
          </w:tcPr>
          <w:p w14:paraId="5DDB2885" w14:textId="77777777" w:rsidR="00A167A4" w:rsidRPr="00BB59D8" w:rsidRDefault="00A167A4" w:rsidP="00646E0D">
            <w:pPr>
              <w:pStyle w:val="In-tableHeading"/>
              <w:rPr>
                <w:rStyle w:val="Small"/>
                <w:rFonts w:ascii="Arial Narrow" w:hAnsi="Arial Narrow"/>
                <w:lang w:val="en-AU"/>
              </w:rPr>
            </w:pPr>
            <w:r w:rsidRPr="00BB59D8">
              <w:rPr>
                <w:rStyle w:val="Small"/>
                <w:rFonts w:ascii="Arial Narrow" w:hAnsi="Arial Narrow"/>
                <w:lang w:val="en-AU"/>
              </w:rPr>
              <w:t xml:space="preserve">EU-IGFD </w:t>
            </w:r>
            <w:r w:rsidR="00C6040C" w:rsidRPr="00BB59D8">
              <w:rPr>
                <w:rStyle w:val="Small"/>
                <w:rFonts w:ascii="Arial Narrow" w:hAnsi="Arial Narrow"/>
                <w:lang w:val="en-AU"/>
              </w:rPr>
              <w:t>Registry</w:t>
            </w:r>
            <w:r w:rsidRPr="00BB59D8">
              <w:rPr>
                <w:rStyle w:val="Small"/>
                <w:rFonts w:ascii="Arial Narrow" w:hAnsi="Arial Narrow"/>
                <w:lang w:val="en-AU"/>
              </w:rPr>
              <w:t xml:space="preserve"> (base-case analysis)</w:t>
            </w:r>
          </w:p>
        </w:tc>
      </w:tr>
      <w:tr w:rsidR="00A167A4" w:rsidRPr="00BB59D8" w14:paraId="65F21A4E" w14:textId="77777777" w:rsidTr="00B422DC">
        <w:trPr>
          <w:trHeight w:val="153"/>
        </w:trPr>
        <w:tc>
          <w:tcPr>
            <w:tcW w:w="1248" w:type="pct"/>
            <w:shd w:val="clear" w:color="auto" w:fill="auto"/>
            <w:vAlign w:val="center"/>
          </w:tcPr>
          <w:p w14:paraId="2E47E686" w14:textId="77777777" w:rsidR="00A167A4" w:rsidRPr="00BB59D8" w:rsidRDefault="00A167A4" w:rsidP="00646E0D">
            <w:pPr>
              <w:pStyle w:val="Tabletext"/>
            </w:pPr>
            <w:r w:rsidRPr="00BB59D8">
              <w:t>Mecasermin</w:t>
            </w:r>
          </w:p>
        </w:tc>
        <w:tc>
          <w:tcPr>
            <w:tcW w:w="1253" w:type="pct"/>
            <w:shd w:val="clear" w:color="auto" w:fill="auto"/>
            <w:vAlign w:val="center"/>
          </w:tcPr>
          <w:p w14:paraId="17637F85" w14:textId="77777777" w:rsidR="008F28D5" w:rsidRPr="002707AA" w:rsidRDefault="002707AA" w:rsidP="00C83B29">
            <w:pPr>
              <w:pStyle w:val="Tabletext"/>
              <w:jc w:val="center"/>
              <w:rPr>
                <w:rStyle w:val="Small"/>
                <w:rFonts w:ascii="Arial Narrow" w:hAnsi="Arial Narrow"/>
                <w:highlight w:val="black"/>
              </w:rPr>
            </w:pPr>
            <w:r>
              <w:rPr>
                <w:rStyle w:val="Small"/>
                <w:rFonts w:ascii="Arial Narrow" w:hAnsi="Arial Narrow"/>
                <w:noProof/>
                <w:color w:val="000000"/>
                <w:highlight w:val="black"/>
              </w:rPr>
              <w:t>''''''''''''''''''''</w:t>
            </w:r>
          </w:p>
        </w:tc>
        <w:tc>
          <w:tcPr>
            <w:tcW w:w="1250" w:type="pct"/>
            <w:shd w:val="clear" w:color="auto" w:fill="auto"/>
            <w:vAlign w:val="center"/>
          </w:tcPr>
          <w:p w14:paraId="5F1FC6D0" w14:textId="77777777" w:rsidR="00A167A4" w:rsidRPr="00BB59D8" w:rsidRDefault="008F28D5" w:rsidP="00C83B29">
            <w:pPr>
              <w:pStyle w:val="Tabletext"/>
              <w:jc w:val="center"/>
              <w:rPr>
                <w:rStyle w:val="Small"/>
                <w:rFonts w:ascii="Arial Narrow" w:hAnsi="Arial Narrow"/>
              </w:rPr>
            </w:pPr>
            <w:r w:rsidRPr="00BB59D8">
              <w:rPr>
                <w:rStyle w:val="Small"/>
                <w:rFonts w:ascii="Arial Narrow" w:hAnsi="Arial Narrow"/>
              </w:rPr>
              <w:t>11.27</w:t>
            </w:r>
          </w:p>
        </w:tc>
        <w:tc>
          <w:tcPr>
            <w:tcW w:w="1249" w:type="pct"/>
            <w:shd w:val="clear" w:color="auto" w:fill="auto"/>
            <w:vAlign w:val="center"/>
          </w:tcPr>
          <w:p w14:paraId="611B0DED" w14:textId="77777777" w:rsidR="00A167A4" w:rsidRPr="00BB59D8" w:rsidRDefault="00A167A4" w:rsidP="00C83B29">
            <w:pPr>
              <w:pStyle w:val="Tabletext"/>
              <w:jc w:val="center"/>
              <w:rPr>
                <w:rStyle w:val="Small"/>
                <w:rFonts w:ascii="Arial Narrow" w:hAnsi="Arial Narrow"/>
              </w:rPr>
            </w:pPr>
            <w:r w:rsidRPr="00BB59D8">
              <w:rPr>
                <w:rStyle w:val="Small"/>
                <w:rFonts w:ascii="Arial Narrow" w:hAnsi="Arial Narrow"/>
              </w:rPr>
              <w:t>-</w:t>
            </w:r>
          </w:p>
        </w:tc>
      </w:tr>
      <w:tr w:rsidR="00A167A4" w:rsidRPr="00BB59D8" w14:paraId="486D33FB" w14:textId="77777777" w:rsidTr="00C83B29">
        <w:trPr>
          <w:trHeight w:val="70"/>
        </w:trPr>
        <w:tc>
          <w:tcPr>
            <w:tcW w:w="1248" w:type="pct"/>
            <w:shd w:val="clear" w:color="auto" w:fill="auto"/>
            <w:vAlign w:val="center"/>
          </w:tcPr>
          <w:p w14:paraId="13E8210B" w14:textId="77777777" w:rsidR="00A167A4" w:rsidRPr="00BB59D8" w:rsidRDefault="00A167A4" w:rsidP="00646E0D">
            <w:pPr>
              <w:pStyle w:val="Tabletext"/>
            </w:pPr>
            <w:r w:rsidRPr="00BB59D8">
              <w:t>No treatment</w:t>
            </w:r>
          </w:p>
        </w:tc>
        <w:tc>
          <w:tcPr>
            <w:tcW w:w="1253" w:type="pct"/>
            <w:shd w:val="clear" w:color="auto" w:fill="auto"/>
            <w:vAlign w:val="center"/>
          </w:tcPr>
          <w:p w14:paraId="4B485C64" w14:textId="77777777" w:rsidR="00A167A4" w:rsidRPr="002707AA" w:rsidRDefault="00A167A4" w:rsidP="00C83B29">
            <w:pPr>
              <w:pStyle w:val="Tabletext"/>
              <w:jc w:val="center"/>
              <w:rPr>
                <w:rStyle w:val="Small"/>
                <w:rFonts w:ascii="Arial Narrow" w:hAnsi="Arial Narrow"/>
              </w:rPr>
            </w:pPr>
            <w:r w:rsidRPr="007F0A01">
              <w:rPr>
                <w:rStyle w:val="Small"/>
                <w:rFonts w:ascii="Arial Narrow" w:hAnsi="Arial Narrow"/>
              </w:rPr>
              <w:t>$41,685</w:t>
            </w:r>
          </w:p>
        </w:tc>
        <w:tc>
          <w:tcPr>
            <w:tcW w:w="1250" w:type="pct"/>
            <w:shd w:val="clear" w:color="auto" w:fill="auto"/>
            <w:vAlign w:val="center"/>
          </w:tcPr>
          <w:p w14:paraId="320D476A" w14:textId="77777777" w:rsidR="00A167A4" w:rsidRPr="00BB59D8" w:rsidRDefault="00A167A4" w:rsidP="00C83B29">
            <w:pPr>
              <w:pStyle w:val="Tabletext"/>
              <w:jc w:val="center"/>
              <w:rPr>
                <w:rStyle w:val="Small"/>
                <w:rFonts w:ascii="Arial Narrow" w:hAnsi="Arial Narrow"/>
              </w:rPr>
            </w:pPr>
            <w:r w:rsidRPr="00BB59D8">
              <w:rPr>
                <w:rStyle w:val="Small"/>
                <w:rFonts w:ascii="Arial Narrow" w:hAnsi="Arial Narrow"/>
              </w:rPr>
              <w:t>8.27</w:t>
            </w:r>
          </w:p>
        </w:tc>
        <w:tc>
          <w:tcPr>
            <w:tcW w:w="1249" w:type="pct"/>
            <w:shd w:val="clear" w:color="auto" w:fill="auto"/>
            <w:vAlign w:val="center"/>
          </w:tcPr>
          <w:p w14:paraId="4279743E" w14:textId="77777777" w:rsidR="00A167A4" w:rsidRPr="00BB59D8" w:rsidRDefault="00A167A4" w:rsidP="00C83B29">
            <w:pPr>
              <w:pStyle w:val="Tabletext"/>
              <w:jc w:val="center"/>
              <w:rPr>
                <w:rStyle w:val="Small"/>
                <w:rFonts w:ascii="Arial Narrow" w:hAnsi="Arial Narrow"/>
              </w:rPr>
            </w:pPr>
            <w:r w:rsidRPr="00BB59D8">
              <w:rPr>
                <w:rStyle w:val="Small"/>
                <w:rFonts w:ascii="Arial Narrow" w:hAnsi="Arial Narrow"/>
              </w:rPr>
              <w:t>-</w:t>
            </w:r>
          </w:p>
        </w:tc>
      </w:tr>
      <w:tr w:rsidR="00A167A4" w:rsidRPr="00BB59D8" w14:paraId="0B3B288E" w14:textId="77777777" w:rsidTr="00C83B29">
        <w:trPr>
          <w:trHeight w:val="70"/>
        </w:trPr>
        <w:tc>
          <w:tcPr>
            <w:tcW w:w="1248" w:type="pct"/>
            <w:shd w:val="clear" w:color="auto" w:fill="auto"/>
            <w:vAlign w:val="center"/>
          </w:tcPr>
          <w:p w14:paraId="20700CA3" w14:textId="77777777" w:rsidR="00A167A4" w:rsidRPr="00BB59D8" w:rsidRDefault="00A167A4" w:rsidP="00646E0D">
            <w:pPr>
              <w:pStyle w:val="Tabletext"/>
            </w:pPr>
            <w:r w:rsidRPr="00BB59D8">
              <w:t>Incremental</w:t>
            </w:r>
          </w:p>
        </w:tc>
        <w:tc>
          <w:tcPr>
            <w:tcW w:w="1253" w:type="pct"/>
            <w:shd w:val="clear" w:color="auto" w:fill="auto"/>
            <w:vAlign w:val="center"/>
          </w:tcPr>
          <w:p w14:paraId="05A184A3" w14:textId="77777777" w:rsidR="008F28D5" w:rsidRPr="002707AA" w:rsidRDefault="002707AA" w:rsidP="00C83B29">
            <w:pPr>
              <w:pStyle w:val="Tabletext"/>
              <w:jc w:val="center"/>
              <w:rPr>
                <w:rStyle w:val="Small"/>
                <w:rFonts w:ascii="Arial Narrow" w:hAnsi="Arial Narrow"/>
                <w:highlight w:val="black"/>
              </w:rPr>
            </w:pPr>
            <w:r>
              <w:rPr>
                <w:rStyle w:val="Small"/>
                <w:rFonts w:ascii="Arial Narrow" w:hAnsi="Arial Narrow"/>
                <w:noProof/>
                <w:color w:val="000000"/>
                <w:highlight w:val="black"/>
              </w:rPr>
              <w:t>''''''''''''''''''''''</w:t>
            </w:r>
          </w:p>
        </w:tc>
        <w:tc>
          <w:tcPr>
            <w:tcW w:w="1250" w:type="pct"/>
            <w:shd w:val="clear" w:color="auto" w:fill="auto"/>
            <w:vAlign w:val="center"/>
          </w:tcPr>
          <w:p w14:paraId="206A1644" w14:textId="77777777" w:rsidR="008F28D5" w:rsidRPr="00BB59D8" w:rsidRDefault="008F28D5" w:rsidP="00C83B29">
            <w:pPr>
              <w:pStyle w:val="Tabletext"/>
              <w:jc w:val="center"/>
              <w:rPr>
                <w:rStyle w:val="Small"/>
                <w:rFonts w:ascii="Arial Narrow" w:hAnsi="Arial Narrow"/>
              </w:rPr>
            </w:pPr>
            <w:r w:rsidRPr="00BB59D8">
              <w:rPr>
                <w:rStyle w:val="Small"/>
                <w:rFonts w:ascii="Arial Narrow" w:hAnsi="Arial Narrow"/>
              </w:rPr>
              <w:t>3.00</w:t>
            </w:r>
          </w:p>
        </w:tc>
        <w:tc>
          <w:tcPr>
            <w:tcW w:w="1249" w:type="pct"/>
            <w:shd w:val="clear" w:color="auto" w:fill="auto"/>
            <w:vAlign w:val="center"/>
          </w:tcPr>
          <w:p w14:paraId="20E4F942" w14:textId="77777777" w:rsidR="008F28D5" w:rsidRPr="005166DA" w:rsidRDefault="002707AA" w:rsidP="00C83B29">
            <w:pPr>
              <w:pStyle w:val="Tabletext"/>
              <w:jc w:val="center"/>
              <w:rPr>
                <w:rStyle w:val="Small"/>
                <w:rFonts w:ascii="Arial Narrow" w:hAnsi="Arial Narrow"/>
              </w:rPr>
            </w:pPr>
            <w:r>
              <w:rPr>
                <w:rStyle w:val="Small"/>
                <w:rFonts w:ascii="Arial Narrow" w:hAnsi="Arial Narrow"/>
                <w:noProof/>
                <w:color w:val="000000"/>
                <w:highlight w:val="black"/>
              </w:rPr>
              <w:t>'''''''''''''''''''''''</w:t>
            </w:r>
            <w:r w:rsidR="005166DA" w:rsidRPr="005166DA">
              <w:rPr>
                <w:rStyle w:val="Small"/>
                <w:rFonts w:ascii="Arial Narrow" w:hAnsi="Arial Narrow"/>
                <w:vertAlign w:val="superscript"/>
              </w:rPr>
              <w:t>1</w:t>
            </w:r>
          </w:p>
        </w:tc>
      </w:tr>
    </w:tbl>
    <w:p w14:paraId="778F7F50" w14:textId="77777777" w:rsidR="00A167A4" w:rsidRPr="00BB59D8" w:rsidRDefault="00A167A4" w:rsidP="00A167A4">
      <w:pPr>
        <w:pStyle w:val="TableFigureFooter"/>
      </w:pPr>
      <w:r w:rsidRPr="00BB59D8">
        <w:t>ICER</w:t>
      </w:r>
      <w:r w:rsidR="00037C6F" w:rsidRPr="00BB59D8">
        <w:t xml:space="preserve"> </w:t>
      </w:r>
      <w:r w:rsidRPr="00BB59D8">
        <w:t>= incremental cost-effectiveness ratio; QALY</w:t>
      </w:r>
      <w:r w:rsidR="00C631EA" w:rsidRPr="00BB59D8">
        <w:t xml:space="preserve"> </w:t>
      </w:r>
      <w:r w:rsidRPr="00BB59D8">
        <w:t>= quality-adjusted life year</w:t>
      </w:r>
      <w:r w:rsidR="00565342" w:rsidRPr="00BB59D8">
        <w:t xml:space="preserve">; AUD = Australian Dollars; </w:t>
      </w:r>
      <w:r w:rsidR="001B1DC8" w:rsidRPr="00BB59D8">
        <w:t>EU-IGFD = European Increlex® Growth Forum Database</w:t>
      </w:r>
      <w:r w:rsidRPr="00BB59D8">
        <w:t>.</w:t>
      </w:r>
    </w:p>
    <w:p w14:paraId="571414F3" w14:textId="77777777" w:rsidR="00A167A4" w:rsidRDefault="00A167A4" w:rsidP="00A167A4">
      <w:pPr>
        <w:pStyle w:val="TableFigureFooter"/>
      </w:pPr>
      <w:r w:rsidRPr="00BB59D8">
        <w:t>Source: Table 3-22, p123 of the submission</w:t>
      </w:r>
    </w:p>
    <w:p w14:paraId="387495E7" w14:textId="77777777" w:rsidR="00D35A4C" w:rsidRPr="00D35A4C" w:rsidRDefault="00D35A4C" w:rsidP="00A167A4">
      <w:pPr>
        <w:pStyle w:val="TableFigureFooter"/>
        <w:rPr>
          <w:i/>
        </w:rPr>
      </w:pPr>
      <w:r w:rsidRPr="00D35A4C">
        <w:rPr>
          <w:i/>
        </w:rPr>
        <w:t>The redacted values correspond to the following range:</w:t>
      </w:r>
    </w:p>
    <w:p w14:paraId="6BA7A0C6" w14:textId="77777777" w:rsidR="00D35A4C" w:rsidRPr="00D35A4C" w:rsidRDefault="00D35A4C" w:rsidP="00A167A4">
      <w:pPr>
        <w:pStyle w:val="TableFigureFooter"/>
        <w:rPr>
          <w:i/>
        </w:rPr>
      </w:pPr>
      <w:r w:rsidRPr="00D35A4C">
        <w:rPr>
          <w:i/>
          <w:vertAlign w:val="superscript"/>
        </w:rPr>
        <w:t>1</w:t>
      </w:r>
      <w:r w:rsidRPr="00D35A4C">
        <w:rPr>
          <w:i/>
        </w:rPr>
        <w:t xml:space="preserve"> $95,000 to &lt; $115,000</w:t>
      </w:r>
    </w:p>
    <w:p w14:paraId="18CFAE50" w14:textId="77777777" w:rsidR="00A167A4" w:rsidRPr="00BB59D8" w:rsidRDefault="00A167A4" w:rsidP="00A167A4">
      <w:pPr>
        <w:pStyle w:val="3-BodyText"/>
      </w:pPr>
      <w:r w:rsidRPr="00BB59D8">
        <w:t>The results of the key sensitivity analyses are summarised in Table 1</w:t>
      </w:r>
      <w:r w:rsidR="00AA5A4C" w:rsidRPr="00BB59D8">
        <w:t>3</w:t>
      </w:r>
      <w:r w:rsidRPr="00BB59D8">
        <w:t>.</w:t>
      </w:r>
      <w:r w:rsidR="008B2A37" w:rsidRPr="00BB59D8">
        <w:t xml:space="preserve"> These are based on the model included in the submission </w:t>
      </w:r>
      <w:r w:rsidR="00227D47" w:rsidRPr="00BB59D8">
        <w:t>without the corrections as presented in the PSCR.</w:t>
      </w:r>
      <w:r w:rsidRPr="00BB59D8">
        <w:t xml:space="preserve"> </w:t>
      </w:r>
      <w:r w:rsidR="008B2A37" w:rsidRPr="00BB59D8">
        <w:t>The model is most sensitive to the chosen option for extrapolation of utilities.</w:t>
      </w:r>
    </w:p>
    <w:p w14:paraId="725EF991" w14:textId="77777777" w:rsidR="00A167A4" w:rsidRPr="00BB59D8" w:rsidRDefault="00A167A4" w:rsidP="00A167A4">
      <w:pPr>
        <w:pStyle w:val="TableFigureHeading"/>
        <w:rPr>
          <w:rStyle w:val="CommentReference"/>
          <w:b/>
          <w:szCs w:val="24"/>
        </w:rPr>
      </w:pPr>
      <w:r w:rsidRPr="00BB59D8">
        <w:rPr>
          <w:rStyle w:val="CommentReference"/>
          <w:b/>
          <w:szCs w:val="24"/>
        </w:rPr>
        <w:t>Table 1</w:t>
      </w:r>
      <w:r w:rsidR="00AA5A4C" w:rsidRPr="00BB59D8">
        <w:rPr>
          <w:rStyle w:val="CommentReference"/>
          <w:b/>
          <w:szCs w:val="24"/>
        </w:rPr>
        <w:t>3</w:t>
      </w:r>
      <w:r w:rsidRPr="00BB59D8">
        <w:rPr>
          <w:rStyle w:val="CommentReference"/>
          <w:b/>
          <w:szCs w:val="24"/>
        </w:rPr>
        <w:t>: Sensitivity analyses</w:t>
      </w:r>
      <w:r w:rsidR="00527620" w:rsidRPr="00BB59D8">
        <w:rPr>
          <w:rStyle w:val="CommentReference"/>
          <w:b/>
          <w:szCs w:val="24"/>
        </w:rPr>
        <w:t xml:space="preserve"> (submission model before corrections)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Sensitivity analyses (submission model before corrections)"/>
      </w:tblPr>
      <w:tblGrid>
        <w:gridCol w:w="4238"/>
        <w:gridCol w:w="1241"/>
        <w:gridCol w:w="1527"/>
        <w:gridCol w:w="2011"/>
      </w:tblGrid>
      <w:tr w:rsidR="00A167A4" w:rsidRPr="00BB59D8" w14:paraId="01C71D14" w14:textId="77777777" w:rsidTr="00350CB4">
        <w:trPr>
          <w:tblHeader/>
        </w:trPr>
        <w:tc>
          <w:tcPr>
            <w:tcW w:w="2350" w:type="pct"/>
          </w:tcPr>
          <w:p w14:paraId="40992CF5" w14:textId="77777777" w:rsidR="00A167A4" w:rsidRPr="00BB59D8" w:rsidRDefault="00A167A4" w:rsidP="00367BDB">
            <w:pPr>
              <w:pStyle w:val="TableHeadingRow"/>
              <w:rPr>
                <w:rFonts w:cstheme="majorHAnsi"/>
                <w:szCs w:val="20"/>
              </w:rPr>
            </w:pPr>
            <w:r w:rsidRPr="00BB59D8">
              <w:rPr>
                <w:rFonts w:cstheme="majorHAnsi"/>
                <w:szCs w:val="20"/>
              </w:rPr>
              <w:t>Analyses</w:t>
            </w:r>
          </w:p>
        </w:tc>
        <w:tc>
          <w:tcPr>
            <w:tcW w:w="688" w:type="pct"/>
            <w:vAlign w:val="center"/>
          </w:tcPr>
          <w:p w14:paraId="4F5E8174" w14:textId="77777777" w:rsidR="00A167A4" w:rsidRPr="00BB59D8" w:rsidRDefault="00A167A4" w:rsidP="00367BDB">
            <w:pPr>
              <w:pStyle w:val="TableCentre"/>
              <w:keepNext/>
              <w:rPr>
                <w:rFonts w:cstheme="majorHAnsi"/>
                <w:b/>
                <w:szCs w:val="20"/>
              </w:rPr>
            </w:pPr>
            <w:r w:rsidRPr="00BB59D8">
              <w:rPr>
                <w:rFonts w:cstheme="majorHAnsi"/>
                <w:b/>
                <w:szCs w:val="20"/>
              </w:rPr>
              <w:t>Incremental cost (AUD)</w:t>
            </w:r>
            <w:r w:rsidR="005166DA">
              <w:rPr>
                <w:rFonts w:cstheme="majorHAnsi"/>
                <w:b/>
                <w:szCs w:val="20"/>
              </w:rPr>
              <w:t xml:space="preserve"> ($)</w:t>
            </w:r>
          </w:p>
        </w:tc>
        <w:tc>
          <w:tcPr>
            <w:tcW w:w="847" w:type="pct"/>
            <w:vAlign w:val="center"/>
          </w:tcPr>
          <w:p w14:paraId="77991FCC" w14:textId="77777777" w:rsidR="00A167A4" w:rsidRPr="00BB59D8" w:rsidRDefault="00A167A4" w:rsidP="00367BDB">
            <w:pPr>
              <w:pStyle w:val="TableCentre"/>
              <w:keepNext/>
              <w:rPr>
                <w:rFonts w:cstheme="majorHAnsi"/>
                <w:b/>
                <w:szCs w:val="20"/>
              </w:rPr>
            </w:pPr>
            <w:r w:rsidRPr="00BB59D8">
              <w:rPr>
                <w:rFonts w:cstheme="majorHAnsi"/>
                <w:b/>
                <w:szCs w:val="20"/>
              </w:rPr>
              <w:t>Incremental QALYs</w:t>
            </w:r>
          </w:p>
        </w:tc>
        <w:tc>
          <w:tcPr>
            <w:tcW w:w="1115" w:type="pct"/>
            <w:vAlign w:val="center"/>
          </w:tcPr>
          <w:p w14:paraId="4865BB16" w14:textId="77777777" w:rsidR="00A167A4" w:rsidRPr="00BB59D8" w:rsidRDefault="00A167A4" w:rsidP="00367BDB">
            <w:pPr>
              <w:pStyle w:val="TableCentre"/>
              <w:keepNext/>
              <w:rPr>
                <w:rFonts w:cstheme="majorHAnsi"/>
                <w:b/>
                <w:szCs w:val="20"/>
              </w:rPr>
            </w:pPr>
            <w:r w:rsidRPr="00BB59D8">
              <w:rPr>
                <w:rFonts w:cstheme="majorHAnsi"/>
                <w:b/>
                <w:szCs w:val="20"/>
              </w:rPr>
              <w:t>ICER (AUD)</w:t>
            </w:r>
            <w:r w:rsidR="005166DA">
              <w:rPr>
                <w:rFonts w:cstheme="majorHAnsi"/>
                <w:b/>
                <w:szCs w:val="20"/>
              </w:rPr>
              <w:t xml:space="preserve"> ($)</w:t>
            </w:r>
          </w:p>
        </w:tc>
      </w:tr>
      <w:tr w:rsidR="00A167A4" w:rsidRPr="00BB59D8" w14:paraId="4E1E6656" w14:textId="77777777" w:rsidTr="009616AF">
        <w:tc>
          <w:tcPr>
            <w:tcW w:w="2350" w:type="pct"/>
          </w:tcPr>
          <w:p w14:paraId="4EB332D3" w14:textId="77777777" w:rsidR="00A167A4" w:rsidRPr="00BB59D8" w:rsidRDefault="00A167A4" w:rsidP="00367BDB">
            <w:pPr>
              <w:pStyle w:val="Tabletext"/>
              <w:keepNext/>
              <w:rPr>
                <w:rFonts w:cstheme="majorHAnsi"/>
                <w:b/>
                <w:bCs/>
                <w:szCs w:val="20"/>
              </w:rPr>
            </w:pPr>
            <w:r w:rsidRPr="00BB59D8">
              <w:rPr>
                <w:rFonts w:cstheme="majorHAnsi"/>
                <w:b/>
                <w:bCs/>
                <w:szCs w:val="20"/>
              </w:rPr>
              <w:t>Base case</w:t>
            </w:r>
          </w:p>
        </w:tc>
        <w:tc>
          <w:tcPr>
            <w:tcW w:w="688" w:type="pct"/>
            <w:vAlign w:val="bottom"/>
          </w:tcPr>
          <w:p w14:paraId="4BB1A916" w14:textId="77777777" w:rsidR="00A167A4" w:rsidRPr="002707AA" w:rsidRDefault="002707AA" w:rsidP="00367BDB">
            <w:pPr>
              <w:pStyle w:val="Tabletext"/>
              <w:keepNext/>
              <w:jc w:val="center"/>
              <w:rPr>
                <w:rStyle w:val="Small"/>
                <w:rFonts w:ascii="Arial Narrow" w:hAnsi="Arial Narrow"/>
                <w:b/>
                <w:bCs/>
                <w:szCs w:val="20"/>
                <w:highlight w:val="black"/>
              </w:rPr>
            </w:pPr>
            <w:r>
              <w:rPr>
                <w:rStyle w:val="Small"/>
                <w:rFonts w:ascii="Arial Narrow" w:hAnsi="Arial Narrow"/>
                <w:b/>
                <w:bCs/>
                <w:noProof/>
                <w:color w:val="000000"/>
                <w:szCs w:val="20"/>
                <w:highlight w:val="black"/>
              </w:rPr>
              <w:t>'''''''''''''''</w:t>
            </w:r>
          </w:p>
        </w:tc>
        <w:tc>
          <w:tcPr>
            <w:tcW w:w="847" w:type="pct"/>
            <w:vAlign w:val="bottom"/>
          </w:tcPr>
          <w:p w14:paraId="79B09910" w14:textId="77777777" w:rsidR="00A167A4" w:rsidRPr="00BB59D8" w:rsidRDefault="00A167A4" w:rsidP="00367BDB">
            <w:pPr>
              <w:pStyle w:val="Tabletext"/>
              <w:keepNext/>
              <w:jc w:val="center"/>
              <w:rPr>
                <w:rStyle w:val="Small"/>
                <w:rFonts w:ascii="Arial Narrow" w:hAnsi="Arial Narrow"/>
                <w:b/>
                <w:bCs/>
                <w:szCs w:val="20"/>
              </w:rPr>
            </w:pPr>
            <w:r w:rsidRPr="00BB59D8">
              <w:rPr>
                <w:rStyle w:val="Small"/>
                <w:rFonts w:ascii="Arial Narrow" w:hAnsi="Arial Narrow"/>
                <w:b/>
                <w:bCs/>
                <w:szCs w:val="20"/>
              </w:rPr>
              <w:t>2.99</w:t>
            </w:r>
          </w:p>
        </w:tc>
        <w:tc>
          <w:tcPr>
            <w:tcW w:w="1116" w:type="pct"/>
            <w:vAlign w:val="bottom"/>
          </w:tcPr>
          <w:p w14:paraId="06ED067C" w14:textId="77777777" w:rsidR="00A167A4" w:rsidRPr="00BB59D8" w:rsidRDefault="002707AA" w:rsidP="00367BDB">
            <w:pPr>
              <w:pStyle w:val="Tabletext"/>
              <w:keepNext/>
              <w:jc w:val="center"/>
              <w:rPr>
                <w:rStyle w:val="Small"/>
                <w:rFonts w:ascii="Arial Narrow" w:hAnsi="Arial Narrow"/>
                <w:b/>
                <w:bCs/>
                <w:szCs w:val="20"/>
              </w:rPr>
            </w:pPr>
            <w:r>
              <w:rPr>
                <w:rStyle w:val="Small"/>
                <w:rFonts w:ascii="Arial Narrow" w:hAnsi="Arial Narrow"/>
                <w:b/>
                <w:bCs/>
                <w:noProof/>
                <w:color w:val="000000"/>
                <w:szCs w:val="20"/>
                <w:highlight w:val="black"/>
              </w:rPr>
              <w:t>'''''''''''''</w:t>
            </w:r>
            <w:r w:rsidR="005166DA">
              <w:rPr>
                <w:rFonts w:eastAsia="Calibri"/>
                <w:szCs w:val="20"/>
                <w:vertAlign w:val="superscript"/>
              </w:rPr>
              <w:t>1</w:t>
            </w:r>
          </w:p>
        </w:tc>
      </w:tr>
      <w:tr w:rsidR="00A167A4" w:rsidRPr="00BB59D8" w14:paraId="29D131B4" w14:textId="77777777" w:rsidTr="00646E0D">
        <w:tc>
          <w:tcPr>
            <w:tcW w:w="5000" w:type="pct"/>
            <w:gridSpan w:val="4"/>
          </w:tcPr>
          <w:p w14:paraId="7F48E048" w14:textId="77777777" w:rsidR="00A167A4" w:rsidRPr="00BB59D8" w:rsidRDefault="00A167A4" w:rsidP="00367BDB">
            <w:pPr>
              <w:pStyle w:val="Tabletext"/>
              <w:keepNext/>
              <w:rPr>
                <w:rStyle w:val="Small"/>
                <w:rFonts w:ascii="Arial Narrow" w:hAnsi="Arial Narrow" w:cstheme="majorHAnsi"/>
                <w:szCs w:val="20"/>
              </w:rPr>
            </w:pPr>
            <w:r w:rsidRPr="00BB59D8">
              <w:rPr>
                <w:rStyle w:val="Small"/>
                <w:rFonts w:ascii="Arial Narrow" w:hAnsi="Arial Narrow" w:cstheme="majorHAnsi"/>
                <w:b/>
                <w:szCs w:val="20"/>
              </w:rPr>
              <w:t>Utility extrapolation, by HSDS (base case: Christensen et al 2007, midpoint extrapolation)</w:t>
            </w:r>
          </w:p>
        </w:tc>
      </w:tr>
      <w:tr w:rsidR="00A167A4" w:rsidRPr="00BB59D8" w14:paraId="136A3088" w14:textId="77777777" w:rsidTr="009616AF">
        <w:tc>
          <w:tcPr>
            <w:tcW w:w="2350" w:type="pct"/>
          </w:tcPr>
          <w:p w14:paraId="596C907E" w14:textId="77777777" w:rsidR="00A167A4" w:rsidRPr="00BB59D8" w:rsidRDefault="00A167A4" w:rsidP="00367BDB">
            <w:pPr>
              <w:pStyle w:val="Tabletext"/>
              <w:keepNext/>
              <w:rPr>
                <w:rFonts w:cstheme="majorHAnsi"/>
                <w:szCs w:val="20"/>
              </w:rPr>
            </w:pPr>
            <w:r w:rsidRPr="00BB59D8">
              <w:rPr>
                <w:rFonts w:cstheme="majorHAnsi"/>
                <w:szCs w:val="20"/>
              </w:rPr>
              <w:t>Upper estimate (</w:t>
            </w:r>
            <w:r w:rsidR="000456F2" w:rsidRPr="00BB59D8">
              <w:rPr>
                <w:rFonts w:cstheme="majorHAnsi"/>
                <w:szCs w:val="20"/>
              </w:rPr>
              <w:t>O</w:t>
            </w:r>
            <w:r w:rsidRPr="00BB59D8">
              <w:rPr>
                <w:rFonts w:cstheme="majorHAnsi"/>
                <w:szCs w:val="20"/>
              </w:rPr>
              <w:t>ption 2 in Figure 2 above)</w:t>
            </w:r>
          </w:p>
        </w:tc>
        <w:tc>
          <w:tcPr>
            <w:tcW w:w="688" w:type="pct"/>
            <w:vAlign w:val="bottom"/>
          </w:tcPr>
          <w:p w14:paraId="34F02444" w14:textId="77777777" w:rsidR="00A167A4" w:rsidRPr="002707AA" w:rsidRDefault="002707AA" w:rsidP="00367BDB">
            <w:pPr>
              <w:pStyle w:val="Tabletext"/>
              <w:keepNext/>
              <w:jc w:val="center"/>
              <w:rPr>
                <w:rStyle w:val="Small"/>
                <w:rFonts w:ascii="Arial Narrow" w:hAnsi="Arial Narrow" w:cstheme="majorHAnsi"/>
                <w:szCs w:val="20"/>
                <w:highlight w:val="black"/>
              </w:rPr>
            </w:pPr>
            <w:r>
              <w:rPr>
                <w:rStyle w:val="Small"/>
                <w:rFonts w:ascii="Arial Narrow" w:hAnsi="Arial Narrow" w:cstheme="majorHAnsi"/>
                <w:noProof/>
                <w:color w:val="000000"/>
                <w:szCs w:val="20"/>
                <w:highlight w:val="black"/>
              </w:rPr>
              <w:t>''''''''''''''''''</w:t>
            </w:r>
          </w:p>
        </w:tc>
        <w:tc>
          <w:tcPr>
            <w:tcW w:w="847" w:type="pct"/>
            <w:vAlign w:val="bottom"/>
          </w:tcPr>
          <w:p w14:paraId="7BAC0D28" w14:textId="77777777" w:rsidR="00A167A4" w:rsidRPr="00BB59D8" w:rsidRDefault="00A167A4" w:rsidP="00367BDB">
            <w:pPr>
              <w:pStyle w:val="Tabletext"/>
              <w:keepNext/>
              <w:jc w:val="center"/>
              <w:rPr>
                <w:rStyle w:val="Small"/>
                <w:rFonts w:ascii="Arial Narrow" w:hAnsi="Arial Narrow" w:cstheme="majorHAnsi"/>
                <w:szCs w:val="20"/>
              </w:rPr>
            </w:pPr>
            <w:r w:rsidRPr="00BB59D8">
              <w:rPr>
                <w:rStyle w:val="Small"/>
                <w:rFonts w:ascii="Arial Narrow" w:hAnsi="Arial Narrow" w:cstheme="majorHAnsi"/>
                <w:szCs w:val="20"/>
              </w:rPr>
              <w:t>1.97</w:t>
            </w:r>
          </w:p>
        </w:tc>
        <w:tc>
          <w:tcPr>
            <w:tcW w:w="1116" w:type="pct"/>
            <w:vAlign w:val="bottom"/>
          </w:tcPr>
          <w:p w14:paraId="1281AA2D" w14:textId="77777777" w:rsidR="00A167A4" w:rsidRPr="002707AA" w:rsidRDefault="002707AA" w:rsidP="00367BDB">
            <w:pPr>
              <w:pStyle w:val="Tabletext"/>
              <w:keepNext/>
              <w:jc w:val="center"/>
              <w:rPr>
                <w:rStyle w:val="Small"/>
                <w:rFonts w:ascii="Arial Narrow" w:hAnsi="Arial Narrow" w:cstheme="majorHAnsi"/>
                <w:szCs w:val="20"/>
              </w:rPr>
            </w:pPr>
            <w:r>
              <w:rPr>
                <w:rStyle w:val="Small"/>
                <w:rFonts w:ascii="Arial Narrow" w:hAnsi="Arial Narrow" w:cstheme="majorHAnsi"/>
                <w:noProof/>
                <w:color w:val="000000"/>
                <w:szCs w:val="20"/>
                <w:highlight w:val="black"/>
              </w:rPr>
              <w:t>''''''''''''''''''</w:t>
            </w:r>
            <w:r w:rsidR="005166DA">
              <w:rPr>
                <w:rFonts w:eastAsia="Calibri"/>
                <w:szCs w:val="20"/>
                <w:vertAlign w:val="superscript"/>
              </w:rPr>
              <w:t>2</w:t>
            </w:r>
          </w:p>
        </w:tc>
      </w:tr>
      <w:tr w:rsidR="00A167A4" w:rsidRPr="00BB59D8" w14:paraId="1DD9CD5B" w14:textId="77777777" w:rsidTr="009616AF">
        <w:tc>
          <w:tcPr>
            <w:tcW w:w="2350" w:type="pct"/>
          </w:tcPr>
          <w:p w14:paraId="6BD47D03" w14:textId="77777777" w:rsidR="00A167A4" w:rsidRPr="00BB59D8" w:rsidRDefault="00A167A4" w:rsidP="00367BDB">
            <w:pPr>
              <w:pStyle w:val="Tabletext"/>
              <w:keepNext/>
              <w:rPr>
                <w:rFonts w:cstheme="majorHAnsi"/>
                <w:szCs w:val="20"/>
              </w:rPr>
            </w:pPr>
            <w:r w:rsidRPr="00BB59D8">
              <w:rPr>
                <w:rFonts w:cstheme="majorHAnsi"/>
                <w:szCs w:val="20"/>
              </w:rPr>
              <w:t>Lower estimate (</w:t>
            </w:r>
            <w:r w:rsidR="000456F2" w:rsidRPr="00BB59D8">
              <w:rPr>
                <w:rFonts w:cstheme="majorHAnsi"/>
                <w:szCs w:val="20"/>
              </w:rPr>
              <w:t>O</w:t>
            </w:r>
            <w:r w:rsidRPr="00BB59D8">
              <w:rPr>
                <w:rFonts w:cstheme="majorHAnsi"/>
                <w:szCs w:val="20"/>
              </w:rPr>
              <w:t>ption 3 in Figure 2</w:t>
            </w:r>
            <w:r w:rsidR="007A415B" w:rsidRPr="00BB59D8">
              <w:rPr>
                <w:rFonts w:cstheme="majorHAnsi"/>
                <w:szCs w:val="20"/>
              </w:rPr>
              <w:t xml:space="preserve"> above</w:t>
            </w:r>
            <w:r w:rsidRPr="00BB59D8">
              <w:rPr>
                <w:rFonts w:cstheme="majorHAnsi"/>
                <w:szCs w:val="20"/>
              </w:rPr>
              <w:t>)</w:t>
            </w:r>
          </w:p>
        </w:tc>
        <w:tc>
          <w:tcPr>
            <w:tcW w:w="688" w:type="pct"/>
            <w:vAlign w:val="bottom"/>
          </w:tcPr>
          <w:p w14:paraId="51CCD15A" w14:textId="77777777" w:rsidR="00A167A4" w:rsidRPr="002707AA" w:rsidRDefault="002707AA" w:rsidP="00367BDB">
            <w:pPr>
              <w:pStyle w:val="Tabletext"/>
              <w:keepNext/>
              <w:jc w:val="center"/>
              <w:rPr>
                <w:rStyle w:val="Small"/>
                <w:rFonts w:ascii="Arial Narrow" w:hAnsi="Arial Narrow" w:cstheme="majorHAnsi"/>
                <w:szCs w:val="20"/>
                <w:highlight w:val="black"/>
              </w:rPr>
            </w:pPr>
            <w:r>
              <w:rPr>
                <w:rStyle w:val="Small"/>
                <w:rFonts w:ascii="Arial Narrow" w:hAnsi="Arial Narrow" w:cstheme="majorHAnsi"/>
                <w:noProof/>
                <w:color w:val="000000"/>
                <w:szCs w:val="20"/>
                <w:highlight w:val="black"/>
              </w:rPr>
              <w:t>''''''''''''''''''</w:t>
            </w:r>
          </w:p>
        </w:tc>
        <w:tc>
          <w:tcPr>
            <w:tcW w:w="847" w:type="pct"/>
            <w:vAlign w:val="bottom"/>
          </w:tcPr>
          <w:p w14:paraId="39884DE0" w14:textId="77777777" w:rsidR="00A167A4" w:rsidRPr="00BB59D8" w:rsidRDefault="00A167A4" w:rsidP="00367BDB">
            <w:pPr>
              <w:pStyle w:val="Tabletext"/>
              <w:keepNext/>
              <w:jc w:val="center"/>
              <w:rPr>
                <w:rStyle w:val="Small"/>
                <w:rFonts w:ascii="Arial Narrow" w:hAnsi="Arial Narrow" w:cstheme="majorHAnsi"/>
                <w:szCs w:val="20"/>
              </w:rPr>
            </w:pPr>
            <w:r w:rsidRPr="00BB59D8">
              <w:rPr>
                <w:rStyle w:val="Small"/>
                <w:rFonts w:ascii="Arial Narrow" w:hAnsi="Arial Narrow" w:cstheme="majorHAnsi"/>
                <w:szCs w:val="20"/>
              </w:rPr>
              <w:t>4.00</w:t>
            </w:r>
          </w:p>
        </w:tc>
        <w:tc>
          <w:tcPr>
            <w:tcW w:w="1116" w:type="pct"/>
            <w:vAlign w:val="bottom"/>
          </w:tcPr>
          <w:p w14:paraId="3D205E98" w14:textId="77777777" w:rsidR="00A167A4" w:rsidRPr="002707AA" w:rsidRDefault="002707AA" w:rsidP="00367BDB">
            <w:pPr>
              <w:pStyle w:val="Tabletext"/>
              <w:keepNext/>
              <w:jc w:val="center"/>
              <w:rPr>
                <w:rStyle w:val="Small"/>
                <w:rFonts w:ascii="Arial Narrow" w:hAnsi="Arial Narrow" w:cstheme="majorHAnsi"/>
                <w:szCs w:val="20"/>
              </w:rPr>
            </w:pPr>
            <w:r>
              <w:rPr>
                <w:rStyle w:val="Small"/>
                <w:rFonts w:ascii="Arial Narrow" w:hAnsi="Arial Narrow" w:cstheme="majorHAnsi"/>
                <w:noProof/>
                <w:color w:val="000000"/>
                <w:szCs w:val="20"/>
                <w:highlight w:val="black"/>
              </w:rPr>
              <w:t>'''''''''''''''''</w:t>
            </w:r>
            <w:r w:rsidR="00625B16">
              <w:rPr>
                <w:rFonts w:eastAsia="Calibri"/>
                <w:szCs w:val="20"/>
                <w:vertAlign w:val="superscript"/>
              </w:rPr>
              <w:t>3</w:t>
            </w:r>
          </w:p>
        </w:tc>
      </w:tr>
      <w:tr w:rsidR="00A167A4" w:rsidRPr="00BB59D8" w14:paraId="0C13A978" w14:textId="77777777" w:rsidTr="00646E0D">
        <w:tc>
          <w:tcPr>
            <w:tcW w:w="5000" w:type="pct"/>
            <w:gridSpan w:val="4"/>
          </w:tcPr>
          <w:p w14:paraId="47A7D142" w14:textId="77777777" w:rsidR="00A167A4" w:rsidRPr="00BB59D8" w:rsidRDefault="00A167A4" w:rsidP="00367BDB">
            <w:pPr>
              <w:pStyle w:val="TableHeadingRow"/>
              <w:rPr>
                <w:rFonts w:cstheme="majorHAnsi"/>
                <w:szCs w:val="20"/>
              </w:rPr>
            </w:pPr>
            <w:r w:rsidRPr="00BB59D8">
              <w:rPr>
                <w:rFonts w:cstheme="majorHAnsi"/>
                <w:szCs w:val="20"/>
              </w:rPr>
              <w:t xml:space="preserve">BMI of the general population (base case: mean) </w:t>
            </w:r>
          </w:p>
        </w:tc>
      </w:tr>
      <w:tr w:rsidR="00A167A4" w:rsidRPr="00BB59D8" w14:paraId="10DFE02E" w14:textId="77777777" w:rsidTr="009616AF">
        <w:tc>
          <w:tcPr>
            <w:tcW w:w="2350" w:type="pct"/>
          </w:tcPr>
          <w:p w14:paraId="695927EC" w14:textId="77777777" w:rsidR="00A167A4" w:rsidRPr="00BB59D8" w:rsidRDefault="00A167A4" w:rsidP="00367BDB">
            <w:pPr>
              <w:pStyle w:val="Tabletext"/>
              <w:keepNext/>
              <w:rPr>
                <w:rFonts w:cstheme="majorHAnsi"/>
                <w:szCs w:val="20"/>
              </w:rPr>
            </w:pPr>
            <w:r w:rsidRPr="00BB59D8">
              <w:rPr>
                <w:rFonts w:cstheme="majorHAnsi"/>
                <w:szCs w:val="20"/>
              </w:rPr>
              <w:t xml:space="preserve">+ 1 SD </w:t>
            </w:r>
          </w:p>
        </w:tc>
        <w:tc>
          <w:tcPr>
            <w:tcW w:w="688" w:type="pct"/>
            <w:vAlign w:val="bottom"/>
          </w:tcPr>
          <w:p w14:paraId="1C5D85F1" w14:textId="77777777" w:rsidR="00A167A4" w:rsidRPr="002707AA" w:rsidRDefault="002707AA" w:rsidP="00367BDB">
            <w:pPr>
              <w:pStyle w:val="Tabletext"/>
              <w:keepNext/>
              <w:jc w:val="center"/>
              <w:rPr>
                <w:rStyle w:val="Small"/>
                <w:rFonts w:ascii="Arial Narrow" w:hAnsi="Arial Narrow" w:cstheme="majorHAnsi"/>
                <w:szCs w:val="20"/>
                <w:highlight w:val="black"/>
              </w:rPr>
            </w:pPr>
            <w:r>
              <w:rPr>
                <w:rStyle w:val="Small"/>
                <w:rFonts w:ascii="Arial Narrow" w:hAnsi="Arial Narrow" w:cstheme="majorHAnsi"/>
                <w:noProof/>
                <w:color w:val="000000"/>
                <w:szCs w:val="20"/>
                <w:highlight w:val="black"/>
              </w:rPr>
              <w:t>''''''''''''''''''''</w:t>
            </w:r>
          </w:p>
        </w:tc>
        <w:tc>
          <w:tcPr>
            <w:tcW w:w="847" w:type="pct"/>
            <w:vAlign w:val="bottom"/>
          </w:tcPr>
          <w:p w14:paraId="4AE83608" w14:textId="77777777" w:rsidR="00A167A4" w:rsidRPr="00BB59D8" w:rsidRDefault="00A167A4" w:rsidP="00367BDB">
            <w:pPr>
              <w:pStyle w:val="Tabletext"/>
              <w:keepNext/>
              <w:jc w:val="center"/>
              <w:rPr>
                <w:rStyle w:val="Small"/>
                <w:rFonts w:ascii="Arial Narrow" w:hAnsi="Arial Narrow" w:cstheme="majorHAnsi"/>
                <w:szCs w:val="20"/>
              </w:rPr>
            </w:pPr>
            <w:r w:rsidRPr="00BB59D8">
              <w:rPr>
                <w:rStyle w:val="Small"/>
                <w:rFonts w:ascii="Arial Narrow" w:hAnsi="Arial Narrow" w:cstheme="majorHAnsi"/>
                <w:szCs w:val="20"/>
              </w:rPr>
              <w:t>2.99</w:t>
            </w:r>
          </w:p>
        </w:tc>
        <w:tc>
          <w:tcPr>
            <w:tcW w:w="1116" w:type="pct"/>
            <w:vAlign w:val="bottom"/>
          </w:tcPr>
          <w:p w14:paraId="496DB5AF" w14:textId="77777777" w:rsidR="00A167A4" w:rsidRPr="002707AA" w:rsidRDefault="002707AA" w:rsidP="00367BDB">
            <w:pPr>
              <w:pStyle w:val="Tabletext"/>
              <w:keepNext/>
              <w:jc w:val="center"/>
              <w:rPr>
                <w:rStyle w:val="Small"/>
                <w:rFonts w:ascii="Arial Narrow" w:hAnsi="Arial Narrow" w:cstheme="majorHAnsi"/>
                <w:szCs w:val="20"/>
              </w:rPr>
            </w:pPr>
            <w:r>
              <w:rPr>
                <w:rStyle w:val="Small"/>
                <w:rFonts w:ascii="Arial Narrow" w:hAnsi="Arial Narrow" w:cstheme="majorHAnsi"/>
                <w:noProof/>
                <w:color w:val="000000"/>
                <w:szCs w:val="20"/>
                <w:highlight w:val="black"/>
              </w:rPr>
              <w:t>'''''''''''''''''''</w:t>
            </w:r>
            <w:r w:rsidR="00625B16">
              <w:rPr>
                <w:rFonts w:eastAsia="Calibri"/>
                <w:szCs w:val="20"/>
                <w:vertAlign w:val="superscript"/>
              </w:rPr>
              <w:t>4</w:t>
            </w:r>
          </w:p>
        </w:tc>
      </w:tr>
      <w:tr w:rsidR="00A167A4" w:rsidRPr="00BB59D8" w14:paraId="69E14F3A" w14:textId="77777777" w:rsidTr="009616AF">
        <w:tc>
          <w:tcPr>
            <w:tcW w:w="2350" w:type="pct"/>
          </w:tcPr>
          <w:p w14:paraId="77A803DF" w14:textId="77777777" w:rsidR="00A167A4" w:rsidRPr="00BB59D8" w:rsidRDefault="00A167A4" w:rsidP="00367BDB">
            <w:pPr>
              <w:pStyle w:val="Tabletext"/>
              <w:keepNext/>
              <w:rPr>
                <w:rFonts w:cstheme="majorHAnsi"/>
                <w:szCs w:val="20"/>
              </w:rPr>
            </w:pPr>
            <w:r w:rsidRPr="00BB59D8">
              <w:rPr>
                <w:rFonts w:cstheme="majorHAnsi"/>
                <w:szCs w:val="20"/>
              </w:rPr>
              <w:t xml:space="preserve">- 1 SD </w:t>
            </w:r>
          </w:p>
        </w:tc>
        <w:tc>
          <w:tcPr>
            <w:tcW w:w="688" w:type="pct"/>
            <w:vAlign w:val="bottom"/>
          </w:tcPr>
          <w:p w14:paraId="03A986F0" w14:textId="77777777" w:rsidR="00A167A4" w:rsidRPr="002707AA" w:rsidRDefault="002707AA" w:rsidP="00367BDB">
            <w:pPr>
              <w:pStyle w:val="Tabletext"/>
              <w:keepNext/>
              <w:jc w:val="center"/>
              <w:rPr>
                <w:rStyle w:val="Small"/>
                <w:rFonts w:ascii="Arial Narrow" w:hAnsi="Arial Narrow" w:cstheme="majorHAnsi"/>
                <w:szCs w:val="20"/>
                <w:highlight w:val="black"/>
              </w:rPr>
            </w:pPr>
            <w:r>
              <w:rPr>
                <w:rStyle w:val="Small"/>
                <w:rFonts w:ascii="Arial Narrow" w:hAnsi="Arial Narrow" w:cstheme="majorHAnsi"/>
                <w:noProof/>
                <w:color w:val="000000"/>
                <w:szCs w:val="20"/>
                <w:highlight w:val="black"/>
              </w:rPr>
              <w:t>''''''''''''''''''''</w:t>
            </w:r>
          </w:p>
        </w:tc>
        <w:tc>
          <w:tcPr>
            <w:tcW w:w="847" w:type="pct"/>
            <w:vAlign w:val="bottom"/>
          </w:tcPr>
          <w:p w14:paraId="19AA61A8" w14:textId="77777777" w:rsidR="00A167A4" w:rsidRPr="00BB59D8" w:rsidRDefault="00A167A4" w:rsidP="00367BDB">
            <w:pPr>
              <w:pStyle w:val="Tabletext"/>
              <w:keepNext/>
              <w:jc w:val="center"/>
              <w:rPr>
                <w:rStyle w:val="Small"/>
                <w:rFonts w:ascii="Arial Narrow" w:hAnsi="Arial Narrow" w:cstheme="majorHAnsi"/>
                <w:szCs w:val="20"/>
              </w:rPr>
            </w:pPr>
            <w:r w:rsidRPr="00BB59D8">
              <w:rPr>
                <w:rStyle w:val="Small"/>
                <w:rFonts w:ascii="Arial Narrow" w:hAnsi="Arial Narrow" w:cstheme="majorHAnsi"/>
                <w:szCs w:val="20"/>
              </w:rPr>
              <w:t>2.99</w:t>
            </w:r>
          </w:p>
        </w:tc>
        <w:tc>
          <w:tcPr>
            <w:tcW w:w="1116" w:type="pct"/>
            <w:vAlign w:val="bottom"/>
          </w:tcPr>
          <w:p w14:paraId="387133E9" w14:textId="77777777" w:rsidR="00A167A4" w:rsidRPr="002707AA" w:rsidRDefault="002707AA" w:rsidP="00367BDB">
            <w:pPr>
              <w:pStyle w:val="Tabletext"/>
              <w:keepNext/>
              <w:jc w:val="center"/>
              <w:rPr>
                <w:rStyle w:val="Small"/>
                <w:rFonts w:ascii="Arial Narrow" w:hAnsi="Arial Narrow" w:cstheme="majorHAnsi"/>
                <w:szCs w:val="20"/>
              </w:rPr>
            </w:pPr>
            <w:r>
              <w:rPr>
                <w:rStyle w:val="Small"/>
                <w:rFonts w:ascii="Arial Narrow" w:hAnsi="Arial Narrow" w:cstheme="majorHAnsi"/>
                <w:noProof/>
                <w:color w:val="000000"/>
                <w:szCs w:val="20"/>
                <w:highlight w:val="black"/>
              </w:rPr>
              <w:t>''''''''''''''''</w:t>
            </w:r>
            <w:r w:rsidR="00625B16">
              <w:rPr>
                <w:rFonts w:eastAsia="Calibri"/>
                <w:szCs w:val="20"/>
                <w:vertAlign w:val="superscript"/>
              </w:rPr>
              <w:t>3</w:t>
            </w:r>
          </w:p>
        </w:tc>
      </w:tr>
      <w:tr w:rsidR="00A167A4" w:rsidRPr="00BB59D8" w14:paraId="13B80BC5" w14:textId="77777777" w:rsidTr="00646E0D">
        <w:tc>
          <w:tcPr>
            <w:tcW w:w="5000" w:type="pct"/>
            <w:gridSpan w:val="4"/>
          </w:tcPr>
          <w:p w14:paraId="03A95F42" w14:textId="77777777" w:rsidR="00A167A4" w:rsidRPr="00BB59D8" w:rsidRDefault="00A167A4" w:rsidP="00367BDB">
            <w:pPr>
              <w:pStyle w:val="Tabletext"/>
              <w:keepNext/>
              <w:rPr>
                <w:rStyle w:val="Small"/>
                <w:rFonts w:ascii="Arial Narrow" w:hAnsi="Arial Narrow" w:cstheme="majorHAnsi"/>
                <w:szCs w:val="20"/>
              </w:rPr>
            </w:pPr>
            <w:r w:rsidRPr="00BB59D8">
              <w:rPr>
                <w:rFonts w:cstheme="majorHAnsi"/>
                <w:b/>
                <w:bCs/>
                <w:iCs/>
                <w:szCs w:val="20"/>
              </w:rPr>
              <w:t>Rx discontinuation, Rx-related adverse events, mecasermin dosing and height velocity (Base-case: EU-IGFD</w:t>
            </w:r>
            <w:r w:rsidR="001B1DC8" w:rsidRPr="00BB59D8">
              <w:rPr>
                <w:rFonts w:cstheme="majorHAnsi"/>
                <w:b/>
                <w:bCs/>
                <w:iCs/>
                <w:szCs w:val="20"/>
              </w:rPr>
              <w:t xml:space="preserve"> Registry</w:t>
            </w:r>
            <w:r w:rsidRPr="00BB59D8">
              <w:rPr>
                <w:rFonts w:cstheme="majorHAnsi"/>
                <w:b/>
                <w:bCs/>
                <w:iCs/>
                <w:szCs w:val="20"/>
              </w:rPr>
              <w:t>)</w:t>
            </w:r>
          </w:p>
        </w:tc>
      </w:tr>
      <w:tr w:rsidR="00A167A4" w:rsidRPr="00BB59D8" w14:paraId="52C668BB" w14:textId="77777777" w:rsidTr="009616AF">
        <w:tc>
          <w:tcPr>
            <w:tcW w:w="2350" w:type="pct"/>
          </w:tcPr>
          <w:p w14:paraId="16A83F2A" w14:textId="77777777" w:rsidR="00A167A4" w:rsidRPr="00BB59D8" w:rsidRDefault="00A167A4" w:rsidP="00367BDB">
            <w:pPr>
              <w:pStyle w:val="Tabletext"/>
              <w:keepNext/>
              <w:rPr>
                <w:rFonts w:cstheme="majorHAnsi"/>
                <w:iCs/>
                <w:szCs w:val="20"/>
              </w:rPr>
            </w:pPr>
            <w:r w:rsidRPr="00BB59D8">
              <w:rPr>
                <w:rFonts w:cstheme="majorHAnsi"/>
                <w:iCs/>
                <w:szCs w:val="20"/>
              </w:rPr>
              <w:t>Study 1419</w:t>
            </w:r>
          </w:p>
        </w:tc>
        <w:tc>
          <w:tcPr>
            <w:tcW w:w="688" w:type="pct"/>
            <w:vAlign w:val="bottom"/>
          </w:tcPr>
          <w:p w14:paraId="4F8BE362" w14:textId="77777777" w:rsidR="00A167A4" w:rsidRPr="002707AA" w:rsidRDefault="002707AA" w:rsidP="00367BDB">
            <w:pPr>
              <w:pStyle w:val="Tabletext"/>
              <w:keepNext/>
              <w:jc w:val="center"/>
              <w:rPr>
                <w:rStyle w:val="Small"/>
                <w:rFonts w:ascii="Arial Narrow" w:hAnsi="Arial Narrow" w:cstheme="majorHAnsi"/>
                <w:iCs/>
                <w:szCs w:val="20"/>
                <w:highlight w:val="black"/>
              </w:rPr>
            </w:pPr>
            <w:r>
              <w:rPr>
                <w:rStyle w:val="Small"/>
                <w:rFonts w:ascii="Arial Narrow" w:hAnsi="Arial Narrow" w:cstheme="majorHAnsi"/>
                <w:iCs/>
                <w:noProof/>
                <w:color w:val="000000"/>
                <w:szCs w:val="20"/>
                <w:highlight w:val="black"/>
              </w:rPr>
              <w:t>'''''''''''''''''''''</w:t>
            </w:r>
          </w:p>
        </w:tc>
        <w:tc>
          <w:tcPr>
            <w:tcW w:w="847" w:type="pct"/>
            <w:vAlign w:val="bottom"/>
          </w:tcPr>
          <w:p w14:paraId="449EF820" w14:textId="77777777" w:rsidR="00A167A4" w:rsidRPr="00BB59D8" w:rsidRDefault="00A167A4" w:rsidP="00367BDB">
            <w:pPr>
              <w:pStyle w:val="Tabletext"/>
              <w:keepNext/>
              <w:jc w:val="center"/>
              <w:rPr>
                <w:rStyle w:val="Small"/>
                <w:rFonts w:ascii="Arial Narrow" w:hAnsi="Arial Narrow" w:cstheme="majorHAnsi"/>
                <w:iCs/>
                <w:szCs w:val="20"/>
              </w:rPr>
            </w:pPr>
            <w:r w:rsidRPr="00BB59D8">
              <w:rPr>
                <w:rStyle w:val="Small"/>
                <w:rFonts w:ascii="Arial Narrow" w:hAnsi="Arial Narrow" w:cstheme="majorHAnsi"/>
                <w:iCs/>
                <w:szCs w:val="20"/>
              </w:rPr>
              <w:t>2</w:t>
            </w:r>
            <w:r w:rsidRPr="00BB59D8">
              <w:rPr>
                <w:rStyle w:val="Small"/>
                <w:rFonts w:ascii="Arial Narrow" w:hAnsi="Arial Narrow"/>
                <w:iCs/>
              </w:rPr>
              <w:t>.41</w:t>
            </w:r>
          </w:p>
        </w:tc>
        <w:tc>
          <w:tcPr>
            <w:tcW w:w="1116" w:type="pct"/>
            <w:vAlign w:val="bottom"/>
          </w:tcPr>
          <w:p w14:paraId="21A1AF14" w14:textId="77777777" w:rsidR="00A167A4" w:rsidRPr="00BB59D8" w:rsidRDefault="002707AA" w:rsidP="00367BDB">
            <w:pPr>
              <w:pStyle w:val="Tabletext"/>
              <w:keepNext/>
              <w:jc w:val="center"/>
              <w:rPr>
                <w:rStyle w:val="Small"/>
                <w:rFonts w:ascii="Arial Narrow" w:hAnsi="Arial Narrow" w:cstheme="majorHAnsi"/>
                <w:iCs/>
                <w:szCs w:val="20"/>
              </w:rPr>
            </w:pPr>
            <w:r>
              <w:rPr>
                <w:iCs/>
                <w:noProof/>
                <w:color w:val="000000"/>
                <w:highlight w:val="black"/>
              </w:rPr>
              <w:t>''''''''''''''''''</w:t>
            </w:r>
            <w:r w:rsidR="00625B16">
              <w:rPr>
                <w:rFonts w:eastAsia="Calibri"/>
                <w:szCs w:val="20"/>
                <w:vertAlign w:val="superscript"/>
              </w:rPr>
              <w:t>4</w:t>
            </w:r>
          </w:p>
        </w:tc>
      </w:tr>
      <w:tr w:rsidR="00A167A4" w:rsidRPr="00BB59D8" w14:paraId="1E33BFFF" w14:textId="77777777" w:rsidTr="00646E0D">
        <w:tc>
          <w:tcPr>
            <w:tcW w:w="5000" w:type="pct"/>
            <w:gridSpan w:val="4"/>
          </w:tcPr>
          <w:p w14:paraId="20ACBF4D" w14:textId="77777777" w:rsidR="00A167A4" w:rsidRPr="00BB59D8" w:rsidRDefault="00A167A4" w:rsidP="00367BDB">
            <w:pPr>
              <w:pStyle w:val="Tabletext"/>
              <w:keepNext/>
              <w:rPr>
                <w:rStyle w:val="Small"/>
                <w:rFonts w:ascii="Arial Narrow" w:hAnsi="Arial Narrow" w:cstheme="majorHAnsi"/>
                <w:szCs w:val="20"/>
              </w:rPr>
            </w:pPr>
            <w:r w:rsidRPr="00BB59D8">
              <w:rPr>
                <w:rStyle w:val="Small"/>
                <w:rFonts w:ascii="Arial Narrow" w:hAnsi="Arial Narrow" w:cstheme="majorHAnsi"/>
                <w:b/>
                <w:szCs w:val="20"/>
              </w:rPr>
              <w:t xml:space="preserve">Height velocity with mecasermin (base case: EU-IGFD </w:t>
            </w:r>
            <w:r w:rsidR="00C6040C" w:rsidRPr="00BB59D8">
              <w:rPr>
                <w:rStyle w:val="Small"/>
                <w:rFonts w:ascii="Arial Narrow" w:hAnsi="Arial Narrow" w:cstheme="majorHAnsi"/>
                <w:b/>
                <w:szCs w:val="20"/>
              </w:rPr>
              <w:t>Registry</w:t>
            </w:r>
            <w:r w:rsidRPr="00BB59D8">
              <w:rPr>
                <w:rStyle w:val="Small"/>
                <w:rFonts w:ascii="Arial Narrow" w:hAnsi="Arial Narrow" w:cstheme="majorHAnsi"/>
                <w:b/>
                <w:szCs w:val="20"/>
              </w:rPr>
              <w:t xml:space="preserve"> mean)</w:t>
            </w:r>
          </w:p>
        </w:tc>
      </w:tr>
      <w:tr w:rsidR="00A167A4" w:rsidRPr="00BB59D8" w14:paraId="0E54DAF4" w14:textId="77777777" w:rsidTr="009616AF">
        <w:tc>
          <w:tcPr>
            <w:tcW w:w="2350" w:type="pct"/>
          </w:tcPr>
          <w:p w14:paraId="42595701" w14:textId="77777777" w:rsidR="00A167A4" w:rsidRPr="00BB59D8" w:rsidRDefault="00A167A4" w:rsidP="00367BDB">
            <w:pPr>
              <w:pStyle w:val="Tabletext"/>
              <w:keepNext/>
              <w:rPr>
                <w:rFonts w:cstheme="majorHAnsi"/>
                <w:szCs w:val="20"/>
              </w:rPr>
            </w:pPr>
            <w:r w:rsidRPr="00BB59D8">
              <w:rPr>
                <w:rFonts w:cstheme="majorHAnsi"/>
                <w:szCs w:val="20"/>
              </w:rPr>
              <w:t>S</w:t>
            </w:r>
            <w:r w:rsidRPr="00BB59D8">
              <w:rPr>
                <w:szCs w:val="20"/>
              </w:rPr>
              <w:t>tudy 1419</w:t>
            </w:r>
          </w:p>
        </w:tc>
        <w:tc>
          <w:tcPr>
            <w:tcW w:w="688" w:type="pct"/>
            <w:vAlign w:val="bottom"/>
          </w:tcPr>
          <w:p w14:paraId="786B9222" w14:textId="77777777" w:rsidR="00A167A4" w:rsidRPr="002707AA" w:rsidRDefault="002707AA" w:rsidP="00367BDB">
            <w:pPr>
              <w:pStyle w:val="Tabletext"/>
              <w:keepNext/>
              <w:jc w:val="center"/>
              <w:rPr>
                <w:rStyle w:val="Small"/>
                <w:rFonts w:ascii="Arial Narrow" w:hAnsi="Arial Narrow" w:cstheme="majorHAnsi"/>
                <w:szCs w:val="20"/>
                <w:highlight w:val="black"/>
              </w:rPr>
            </w:pPr>
            <w:r>
              <w:rPr>
                <w:rStyle w:val="Small"/>
                <w:rFonts w:ascii="Arial Narrow" w:hAnsi="Arial Narrow" w:cstheme="majorHAnsi"/>
                <w:noProof/>
                <w:color w:val="000000"/>
                <w:szCs w:val="20"/>
                <w:highlight w:val="black"/>
              </w:rPr>
              <w:t>''''''''''''''''''''</w:t>
            </w:r>
          </w:p>
        </w:tc>
        <w:tc>
          <w:tcPr>
            <w:tcW w:w="847" w:type="pct"/>
            <w:vAlign w:val="bottom"/>
          </w:tcPr>
          <w:p w14:paraId="51D21B36" w14:textId="77777777" w:rsidR="00A167A4" w:rsidRPr="00BB59D8" w:rsidRDefault="00A167A4" w:rsidP="00367BDB">
            <w:pPr>
              <w:pStyle w:val="Tabletext"/>
              <w:keepNext/>
              <w:jc w:val="center"/>
              <w:rPr>
                <w:rStyle w:val="Small"/>
                <w:rFonts w:ascii="Arial Narrow" w:hAnsi="Arial Narrow" w:cstheme="majorHAnsi"/>
                <w:szCs w:val="20"/>
              </w:rPr>
            </w:pPr>
            <w:r w:rsidRPr="00BB59D8">
              <w:rPr>
                <w:rStyle w:val="Small"/>
                <w:rFonts w:ascii="Arial Narrow" w:hAnsi="Arial Narrow" w:cstheme="majorHAnsi"/>
                <w:szCs w:val="20"/>
              </w:rPr>
              <w:t>2.43</w:t>
            </w:r>
          </w:p>
        </w:tc>
        <w:tc>
          <w:tcPr>
            <w:tcW w:w="1116" w:type="pct"/>
            <w:vAlign w:val="bottom"/>
          </w:tcPr>
          <w:p w14:paraId="046AC003" w14:textId="77777777" w:rsidR="00A167A4" w:rsidRPr="00BB59D8" w:rsidRDefault="002707AA" w:rsidP="00367BDB">
            <w:pPr>
              <w:pStyle w:val="Tabletext"/>
              <w:keepNext/>
              <w:jc w:val="center"/>
              <w:rPr>
                <w:rStyle w:val="Small"/>
                <w:rFonts w:ascii="Arial Narrow" w:hAnsi="Arial Narrow" w:cstheme="majorHAnsi"/>
                <w:szCs w:val="20"/>
              </w:rPr>
            </w:pPr>
            <w:r>
              <w:rPr>
                <w:rStyle w:val="Small"/>
                <w:rFonts w:ascii="Arial Narrow" w:hAnsi="Arial Narrow" w:cstheme="majorHAnsi"/>
                <w:noProof/>
                <w:color w:val="000000"/>
                <w:szCs w:val="20"/>
                <w:highlight w:val="black"/>
              </w:rPr>
              <w:t>'''''''''''''''''''''</w:t>
            </w:r>
            <w:r w:rsidR="00625B16">
              <w:rPr>
                <w:rFonts w:eastAsia="Calibri"/>
                <w:szCs w:val="20"/>
                <w:vertAlign w:val="superscript"/>
              </w:rPr>
              <w:t>4</w:t>
            </w:r>
          </w:p>
        </w:tc>
      </w:tr>
      <w:tr w:rsidR="00A167A4" w:rsidRPr="00BB59D8" w14:paraId="5B4384AB" w14:textId="77777777" w:rsidTr="00646E0D">
        <w:tc>
          <w:tcPr>
            <w:tcW w:w="5000" w:type="pct"/>
            <w:gridSpan w:val="4"/>
          </w:tcPr>
          <w:p w14:paraId="68608E64" w14:textId="77777777" w:rsidR="00A167A4" w:rsidRPr="00BB59D8" w:rsidRDefault="00A167A4" w:rsidP="00367BDB">
            <w:pPr>
              <w:pStyle w:val="Tabletext"/>
              <w:keepNext/>
              <w:rPr>
                <w:rStyle w:val="Small"/>
                <w:rFonts w:ascii="Arial Narrow" w:hAnsi="Arial Narrow" w:cstheme="majorHAnsi"/>
                <w:b/>
                <w:szCs w:val="20"/>
              </w:rPr>
            </w:pPr>
            <w:r w:rsidRPr="00BB59D8">
              <w:rPr>
                <w:rStyle w:val="Small"/>
                <w:rFonts w:ascii="Arial Narrow" w:hAnsi="Arial Narrow" w:cstheme="majorHAnsi"/>
                <w:b/>
                <w:szCs w:val="20"/>
              </w:rPr>
              <w:t>Time Horizon (Base-case: 100 years)</w:t>
            </w:r>
          </w:p>
        </w:tc>
      </w:tr>
      <w:tr w:rsidR="00A167A4" w:rsidRPr="00BB59D8" w14:paraId="49102338" w14:textId="77777777" w:rsidTr="009616AF">
        <w:tc>
          <w:tcPr>
            <w:tcW w:w="2350" w:type="pct"/>
          </w:tcPr>
          <w:p w14:paraId="48457501" w14:textId="77777777" w:rsidR="00A167A4" w:rsidRPr="00BB59D8" w:rsidRDefault="00A167A4" w:rsidP="00367BDB">
            <w:pPr>
              <w:pStyle w:val="Tabletext"/>
              <w:keepNext/>
              <w:rPr>
                <w:rFonts w:cstheme="majorHAnsi"/>
                <w:iCs/>
                <w:szCs w:val="20"/>
              </w:rPr>
            </w:pPr>
            <w:r w:rsidRPr="00BB59D8">
              <w:rPr>
                <w:rFonts w:cstheme="majorHAnsi"/>
                <w:iCs/>
                <w:szCs w:val="20"/>
              </w:rPr>
              <w:t>25 years</w:t>
            </w:r>
          </w:p>
        </w:tc>
        <w:tc>
          <w:tcPr>
            <w:tcW w:w="688" w:type="pct"/>
            <w:vAlign w:val="bottom"/>
          </w:tcPr>
          <w:p w14:paraId="2BA67BE2" w14:textId="77777777" w:rsidR="00A167A4" w:rsidRPr="002707AA" w:rsidRDefault="002707AA" w:rsidP="00367BDB">
            <w:pPr>
              <w:pStyle w:val="Tabletext"/>
              <w:keepNext/>
              <w:jc w:val="center"/>
              <w:rPr>
                <w:rStyle w:val="Small"/>
                <w:rFonts w:ascii="Arial Narrow" w:hAnsi="Arial Narrow" w:cstheme="majorHAnsi"/>
                <w:iCs/>
                <w:szCs w:val="20"/>
                <w:highlight w:val="black"/>
              </w:rPr>
            </w:pPr>
            <w:r>
              <w:rPr>
                <w:rStyle w:val="Small"/>
                <w:rFonts w:ascii="Arial Narrow" w:hAnsi="Arial Narrow" w:cstheme="majorHAnsi"/>
                <w:iCs/>
                <w:noProof/>
                <w:color w:val="000000"/>
                <w:szCs w:val="20"/>
                <w:highlight w:val="black"/>
              </w:rPr>
              <w:t>'''''''''''''''''''</w:t>
            </w:r>
          </w:p>
        </w:tc>
        <w:tc>
          <w:tcPr>
            <w:tcW w:w="847" w:type="pct"/>
            <w:vAlign w:val="bottom"/>
          </w:tcPr>
          <w:p w14:paraId="2CEB62BF" w14:textId="77777777" w:rsidR="00A167A4" w:rsidRPr="00BB59D8" w:rsidRDefault="00A167A4" w:rsidP="00367BDB">
            <w:pPr>
              <w:pStyle w:val="Tabletext"/>
              <w:keepNext/>
              <w:jc w:val="center"/>
              <w:rPr>
                <w:rStyle w:val="Small"/>
                <w:rFonts w:ascii="Arial Narrow" w:hAnsi="Arial Narrow" w:cstheme="majorHAnsi"/>
                <w:iCs/>
                <w:szCs w:val="20"/>
              </w:rPr>
            </w:pPr>
            <w:r w:rsidRPr="00BB59D8">
              <w:rPr>
                <w:rStyle w:val="Small"/>
                <w:rFonts w:ascii="Arial Narrow" w:hAnsi="Arial Narrow" w:cstheme="majorHAnsi"/>
                <w:iCs/>
                <w:szCs w:val="20"/>
              </w:rPr>
              <w:t>2</w:t>
            </w:r>
            <w:r w:rsidRPr="00BB59D8">
              <w:rPr>
                <w:rStyle w:val="Small"/>
                <w:rFonts w:ascii="Arial Narrow" w:hAnsi="Arial Narrow" w:cstheme="majorHAnsi"/>
                <w:iCs/>
              </w:rPr>
              <w:t>.06</w:t>
            </w:r>
          </w:p>
        </w:tc>
        <w:tc>
          <w:tcPr>
            <w:tcW w:w="1116" w:type="pct"/>
            <w:vAlign w:val="bottom"/>
          </w:tcPr>
          <w:p w14:paraId="5D380477" w14:textId="77777777" w:rsidR="00A167A4" w:rsidRPr="002707AA" w:rsidRDefault="002707AA" w:rsidP="00367BDB">
            <w:pPr>
              <w:pStyle w:val="Tabletext"/>
              <w:keepNext/>
              <w:jc w:val="center"/>
              <w:rPr>
                <w:rStyle w:val="Small"/>
                <w:rFonts w:ascii="Arial Narrow" w:hAnsi="Arial Narrow" w:cstheme="majorHAnsi"/>
                <w:iCs/>
                <w:szCs w:val="20"/>
              </w:rPr>
            </w:pPr>
            <w:r>
              <w:rPr>
                <w:rStyle w:val="Small"/>
                <w:rFonts w:ascii="Arial Narrow" w:hAnsi="Arial Narrow" w:cstheme="majorHAnsi"/>
                <w:iCs/>
                <w:noProof/>
                <w:color w:val="000000"/>
                <w:szCs w:val="20"/>
                <w:highlight w:val="black"/>
              </w:rPr>
              <w:t>'''''''''''''''''''''</w:t>
            </w:r>
            <w:r w:rsidR="00625B16">
              <w:rPr>
                <w:rFonts w:eastAsia="Calibri"/>
                <w:szCs w:val="20"/>
                <w:vertAlign w:val="superscript"/>
              </w:rPr>
              <w:t>2</w:t>
            </w:r>
          </w:p>
        </w:tc>
      </w:tr>
      <w:tr w:rsidR="00A167A4" w:rsidRPr="00BB59D8" w14:paraId="541BEA39" w14:textId="77777777" w:rsidTr="009616AF">
        <w:tc>
          <w:tcPr>
            <w:tcW w:w="2350" w:type="pct"/>
          </w:tcPr>
          <w:p w14:paraId="0B23FAF5" w14:textId="77777777" w:rsidR="00A167A4" w:rsidRPr="00BB59D8" w:rsidRDefault="00A167A4" w:rsidP="00367BDB">
            <w:pPr>
              <w:pStyle w:val="Tabletext"/>
              <w:keepNext/>
              <w:rPr>
                <w:rFonts w:cstheme="majorHAnsi"/>
                <w:szCs w:val="20"/>
              </w:rPr>
            </w:pPr>
            <w:r w:rsidRPr="00BB59D8">
              <w:rPr>
                <w:rFonts w:cstheme="majorHAnsi"/>
                <w:szCs w:val="20"/>
              </w:rPr>
              <w:t>50 years</w:t>
            </w:r>
          </w:p>
        </w:tc>
        <w:tc>
          <w:tcPr>
            <w:tcW w:w="688" w:type="pct"/>
            <w:vAlign w:val="bottom"/>
          </w:tcPr>
          <w:p w14:paraId="7E5F33C9" w14:textId="77777777" w:rsidR="00A167A4" w:rsidRPr="002707AA" w:rsidRDefault="002707AA" w:rsidP="00367BDB">
            <w:pPr>
              <w:pStyle w:val="Tabletext"/>
              <w:keepNext/>
              <w:jc w:val="center"/>
              <w:rPr>
                <w:rStyle w:val="Small"/>
                <w:rFonts w:ascii="Arial Narrow" w:hAnsi="Arial Narrow" w:cstheme="majorHAnsi"/>
                <w:szCs w:val="20"/>
                <w:highlight w:val="black"/>
              </w:rPr>
            </w:pPr>
            <w:r>
              <w:rPr>
                <w:rStyle w:val="Small"/>
                <w:rFonts w:ascii="Arial Narrow" w:hAnsi="Arial Narrow" w:cstheme="majorHAnsi"/>
                <w:noProof/>
                <w:color w:val="000000"/>
                <w:szCs w:val="20"/>
                <w:highlight w:val="black"/>
              </w:rPr>
              <w:t>'''''''''''''''''''''</w:t>
            </w:r>
          </w:p>
        </w:tc>
        <w:tc>
          <w:tcPr>
            <w:tcW w:w="847" w:type="pct"/>
            <w:vAlign w:val="bottom"/>
          </w:tcPr>
          <w:p w14:paraId="25529B5C" w14:textId="77777777" w:rsidR="00A167A4" w:rsidRPr="00BB59D8" w:rsidRDefault="00A167A4" w:rsidP="00367BDB">
            <w:pPr>
              <w:pStyle w:val="Tabletext"/>
              <w:keepNext/>
              <w:jc w:val="center"/>
              <w:rPr>
                <w:rStyle w:val="Small"/>
                <w:rFonts w:ascii="Arial Narrow" w:hAnsi="Arial Narrow" w:cstheme="majorHAnsi"/>
                <w:szCs w:val="20"/>
              </w:rPr>
            </w:pPr>
            <w:r w:rsidRPr="00BB59D8">
              <w:rPr>
                <w:rStyle w:val="Small"/>
                <w:rFonts w:ascii="Arial Narrow" w:hAnsi="Arial Narrow" w:cstheme="majorHAnsi"/>
                <w:szCs w:val="20"/>
              </w:rPr>
              <w:t>2.76</w:t>
            </w:r>
          </w:p>
        </w:tc>
        <w:tc>
          <w:tcPr>
            <w:tcW w:w="1116" w:type="pct"/>
            <w:vAlign w:val="bottom"/>
          </w:tcPr>
          <w:p w14:paraId="6D1EDD47" w14:textId="77777777" w:rsidR="00A167A4" w:rsidRPr="002707AA" w:rsidRDefault="002707AA" w:rsidP="00367BDB">
            <w:pPr>
              <w:pStyle w:val="Tabletext"/>
              <w:keepNext/>
              <w:jc w:val="center"/>
              <w:rPr>
                <w:rStyle w:val="Small"/>
                <w:rFonts w:ascii="Arial Narrow" w:hAnsi="Arial Narrow" w:cstheme="majorHAnsi"/>
                <w:szCs w:val="20"/>
              </w:rPr>
            </w:pPr>
            <w:r>
              <w:rPr>
                <w:rStyle w:val="Small"/>
                <w:rFonts w:ascii="Arial Narrow" w:hAnsi="Arial Narrow" w:cstheme="majorHAnsi"/>
                <w:noProof/>
                <w:color w:val="000000"/>
                <w:szCs w:val="20"/>
                <w:highlight w:val="black"/>
              </w:rPr>
              <w:t>'''''''''''''''''''''</w:t>
            </w:r>
            <w:r w:rsidR="00625B16">
              <w:rPr>
                <w:rFonts w:eastAsia="Calibri"/>
                <w:szCs w:val="20"/>
                <w:vertAlign w:val="superscript"/>
              </w:rPr>
              <w:t>1</w:t>
            </w:r>
          </w:p>
        </w:tc>
      </w:tr>
      <w:tr w:rsidR="001B1DC8" w:rsidRPr="00BB59D8" w14:paraId="789250DB" w14:textId="77777777" w:rsidTr="009616AF">
        <w:tc>
          <w:tcPr>
            <w:tcW w:w="3884" w:type="pct"/>
            <w:gridSpan w:val="3"/>
            <w:tcBorders>
              <w:right w:val="nil"/>
            </w:tcBorders>
          </w:tcPr>
          <w:p w14:paraId="4DF5693E" w14:textId="77777777" w:rsidR="001B1DC8" w:rsidRPr="00BB59D8" w:rsidRDefault="001B1DC8" w:rsidP="00367BDB">
            <w:pPr>
              <w:pStyle w:val="Tabletext"/>
              <w:keepNext/>
              <w:rPr>
                <w:rStyle w:val="Small"/>
                <w:rFonts w:ascii="Arial Narrow" w:hAnsi="Arial Narrow" w:cstheme="majorHAnsi"/>
                <w:szCs w:val="20"/>
              </w:rPr>
            </w:pPr>
            <w:r w:rsidRPr="00BB59D8">
              <w:rPr>
                <w:b/>
                <w:bCs/>
                <w:iCs/>
              </w:rPr>
              <w:t>Utilities +</w:t>
            </w:r>
            <w:r w:rsidRPr="00BB59D8">
              <w:rPr>
                <w:b/>
                <w:bCs/>
              </w:rPr>
              <w:t xml:space="preserve"> </w:t>
            </w:r>
            <w:r w:rsidRPr="00BB59D8">
              <w:rPr>
                <w:b/>
                <w:bCs/>
                <w:iCs/>
              </w:rPr>
              <w:t>Study 1419 data (base case: utilities Option1, EU-IGFD Registry data)</w:t>
            </w:r>
          </w:p>
        </w:tc>
        <w:tc>
          <w:tcPr>
            <w:tcW w:w="1116" w:type="pct"/>
            <w:tcBorders>
              <w:left w:val="nil"/>
            </w:tcBorders>
            <w:vAlign w:val="bottom"/>
          </w:tcPr>
          <w:p w14:paraId="5AD355E0" w14:textId="77777777" w:rsidR="001B1DC8" w:rsidRPr="00BB59D8" w:rsidRDefault="001B1DC8" w:rsidP="00367BDB">
            <w:pPr>
              <w:pStyle w:val="Tabletext"/>
              <w:keepNext/>
              <w:jc w:val="center"/>
              <w:rPr>
                <w:rStyle w:val="Small"/>
                <w:rFonts w:ascii="Arial Narrow" w:hAnsi="Arial Narrow" w:cstheme="majorHAnsi"/>
                <w:szCs w:val="20"/>
              </w:rPr>
            </w:pPr>
          </w:p>
        </w:tc>
      </w:tr>
      <w:tr w:rsidR="00A167A4" w:rsidRPr="00BB59D8" w14:paraId="39EB1C1F" w14:textId="77777777" w:rsidTr="009616AF">
        <w:tc>
          <w:tcPr>
            <w:tcW w:w="2350" w:type="pct"/>
          </w:tcPr>
          <w:p w14:paraId="2034E3A3" w14:textId="77777777" w:rsidR="00A167A4" w:rsidRPr="00BB59D8" w:rsidRDefault="00A167A4" w:rsidP="00367BDB">
            <w:pPr>
              <w:pStyle w:val="Tabletext"/>
              <w:keepNext/>
              <w:rPr>
                <w:rFonts w:cstheme="majorHAnsi"/>
                <w:iCs/>
                <w:szCs w:val="20"/>
              </w:rPr>
            </w:pPr>
            <w:r w:rsidRPr="00BB59D8">
              <w:rPr>
                <w:rFonts w:cstheme="majorHAnsi"/>
                <w:iCs/>
                <w:szCs w:val="20"/>
              </w:rPr>
              <w:t>Study 1419 data + Utilities (</w:t>
            </w:r>
            <w:r w:rsidR="000456F2" w:rsidRPr="00BB59D8">
              <w:rPr>
                <w:rFonts w:cstheme="majorHAnsi"/>
                <w:iCs/>
                <w:szCs w:val="20"/>
              </w:rPr>
              <w:t>O</w:t>
            </w:r>
            <w:r w:rsidRPr="00BB59D8">
              <w:rPr>
                <w:rFonts w:cstheme="majorHAnsi"/>
                <w:iCs/>
                <w:szCs w:val="20"/>
              </w:rPr>
              <w:t>ption 2)</w:t>
            </w:r>
          </w:p>
        </w:tc>
        <w:tc>
          <w:tcPr>
            <w:tcW w:w="688" w:type="pct"/>
            <w:vAlign w:val="bottom"/>
          </w:tcPr>
          <w:p w14:paraId="280DA448" w14:textId="77777777" w:rsidR="00A167A4" w:rsidRPr="002707AA" w:rsidRDefault="002707AA" w:rsidP="00367BDB">
            <w:pPr>
              <w:pStyle w:val="Tabletext"/>
              <w:keepNext/>
              <w:jc w:val="center"/>
              <w:rPr>
                <w:rStyle w:val="Small"/>
                <w:rFonts w:ascii="Arial Narrow" w:hAnsi="Arial Narrow" w:cstheme="majorHAnsi"/>
                <w:iCs/>
                <w:szCs w:val="20"/>
                <w:highlight w:val="black"/>
              </w:rPr>
            </w:pPr>
            <w:r>
              <w:rPr>
                <w:rStyle w:val="Small"/>
                <w:rFonts w:ascii="Arial Narrow" w:hAnsi="Arial Narrow" w:cstheme="majorHAnsi"/>
                <w:iCs/>
                <w:noProof/>
                <w:color w:val="000000"/>
                <w:szCs w:val="20"/>
                <w:highlight w:val="black"/>
              </w:rPr>
              <w:t>''''''''''''''''''</w:t>
            </w:r>
          </w:p>
        </w:tc>
        <w:tc>
          <w:tcPr>
            <w:tcW w:w="847" w:type="pct"/>
            <w:vAlign w:val="bottom"/>
          </w:tcPr>
          <w:p w14:paraId="2E641D3F" w14:textId="77777777" w:rsidR="00A167A4" w:rsidRPr="00BB59D8" w:rsidRDefault="00A167A4" w:rsidP="00367BDB">
            <w:pPr>
              <w:pStyle w:val="Tabletext"/>
              <w:keepNext/>
              <w:jc w:val="center"/>
              <w:rPr>
                <w:rStyle w:val="Small"/>
                <w:rFonts w:ascii="Arial Narrow" w:hAnsi="Arial Narrow" w:cstheme="majorHAnsi"/>
                <w:iCs/>
                <w:szCs w:val="20"/>
              </w:rPr>
            </w:pPr>
            <w:r w:rsidRPr="00BB59D8">
              <w:rPr>
                <w:rStyle w:val="Small"/>
                <w:rFonts w:ascii="Arial Narrow" w:hAnsi="Arial Narrow" w:cstheme="majorHAnsi"/>
                <w:iCs/>
                <w:szCs w:val="20"/>
              </w:rPr>
              <w:t>1</w:t>
            </w:r>
            <w:r w:rsidRPr="00BB59D8">
              <w:rPr>
                <w:rStyle w:val="Small"/>
                <w:rFonts w:ascii="Arial Narrow" w:hAnsi="Arial Narrow"/>
                <w:iCs/>
              </w:rPr>
              <w:t>.59</w:t>
            </w:r>
          </w:p>
        </w:tc>
        <w:tc>
          <w:tcPr>
            <w:tcW w:w="1116" w:type="pct"/>
            <w:vAlign w:val="bottom"/>
          </w:tcPr>
          <w:p w14:paraId="51C2D17A" w14:textId="77777777" w:rsidR="00A167A4" w:rsidRPr="002707AA" w:rsidRDefault="002707AA" w:rsidP="00367BDB">
            <w:pPr>
              <w:pStyle w:val="Tabletext"/>
              <w:keepNext/>
              <w:jc w:val="center"/>
              <w:rPr>
                <w:rStyle w:val="Small"/>
                <w:rFonts w:ascii="Arial Narrow" w:hAnsi="Arial Narrow" w:cstheme="majorHAnsi"/>
                <w:iCs/>
                <w:szCs w:val="20"/>
              </w:rPr>
            </w:pPr>
            <w:r>
              <w:rPr>
                <w:rStyle w:val="Small"/>
                <w:rFonts w:ascii="Arial Narrow" w:hAnsi="Arial Narrow" w:cstheme="majorHAnsi"/>
                <w:iCs/>
                <w:noProof/>
                <w:color w:val="000000"/>
                <w:szCs w:val="20"/>
                <w:highlight w:val="black"/>
              </w:rPr>
              <w:t>''''''''''''''''''''</w:t>
            </w:r>
            <w:r w:rsidR="00E1427C" w:rsidRPr="00E1427C">
              <w:rPr>
                <w:rFonts w:eastAsia="Calibri"/>
                <w:szCs w:val="20"/>
                <w:vertAlign w:val="superscript"/>
              </w:rPr>
              <w:t>5</w:t>
            </w:r>
          </w:p>
        </w:tc>
      </w:tr>
      <w:tr w:rsidR="001E6352" w:rsidRPr="00BB59D8" w14:paraId="3F1730A6" w14:textId="77777777" w:rsidTr="009616AF">
        <w:tc>
          <w:tcPr>
            <w:tcW w:w="2350" w:type="pct"/>
          </w:tcPr>
          <w:p w14:paraId="0BA2B332" w14:textId="77777777" w:rsidR="001E6352" w:rsidRPr="00BB59D8" w:rsidRDefault="001E6352" w:rsidP="00367BDB">
            <w:pPr>
              <w:pStyle w:val="Tabletext"/>
              <w:keepNext/>
              <w:rPr>
                <w:rFonts w:cstheme="majorHAnsi"/>
                <w:iCs/>
                <w:szCs w:val="20"/>
              </w:rPr>
            </w:pPr>
            <w:r w:rsidRPr="00BB59D8">
              <w:rPr>
                <w:rFonts w:cstheme="majorHAnsi"/>
                <w:iCs/>
                <w:szCs w:val="20"/>
              </w:rPr>
              <w:t>Study 1419 data + Utilities (Option 2) + 50-year TH</w:t>
            </w:r>
          </w:p>
        </w:tc>
        <w:tc>
          <w:tcPr>
            <w:tcW w:w="688" w:type="pct"/>
            <w:vAlign w:val="bottom"/>
          </w:tcPr>
          <w:p w14:paraId="7BC14826" w14:textId="77777777" w:rsidR="001E6352" w:rsidRPr="002707AA" w:rsidRDefault="002707AA" w:rsidP="00367BDB">
            <w:pPr>
              <w:pStyle w:val="Tabletext"/>
              <w:keepNext/>
              <w:jc w:val="center"/>
              <w:rPr>
                <w:rStyle w:val="Small"/>
                <w:rFonts w:ascii="Arial Narrow" w:hAnsi="Arial Narrow" w:cstheme="majorHAnsi"/>
                <w:iCs/>
                <w:szCs w:val="20"/>
                <w:highlight w:val="black"/>
              </w:rPr>
            </w:pPr>
            <w:r>
              <w:rPr>
                <w:rStyle w:val="Small"/>
                <w:rFonts w:ascii="Arial Narrow" w:hAnsi="Arial Narrow" w:cstheme="majorHAnsi"/>
                <w:iCs/>
                <w:noProof/>
                <w:color w:val="000000"/>
                <w:szCs w:val="20"/>
                <w:highlight w:val="black"/>
              </w:rPr>
              <w:t>''''''''''''''''''</w:t>
            </w:r>
          </w:p>
        </w:tc>
        <w:tc>
          <w:tcPr>
            <w:tcW w:w="847" w:type="pct"/>
            <w:vAlign w:val="bottom"/>
          </w:tcPr>
          <w:p w14:paraId="40F9C27B" w14:textId="77777777" w:rsidR="001E6352" w:rsidRPr="00BB59D8" w:rsidRDefault="008B7602" w:rsidP="00367BDB">
            <w:pPr>
              <w:pStyle w:val="Tabletext"/>
              <w:keepNext/>
              <w:jc w:val="center"/>
              <w:rPr>
                <w:rStyle w:val="Small"/>
                <w:rFonts w:ascii="Arial Narrow" w:hAnsi="Arial Narrow" w:cstheme="majorHAnsi"/>
                <w:iCs/>
                <w:szCs w:val="20"/>
              </w:rPr>
            </w:pPr>
            <w:r w:rsidRPr="00BB59D8">
              <w:rPr>
                <w:rStyle w:val="Small"/>
                <w:rFonts w:ascii="Arial Narrow" w:hAnsi="Arial Narrow" w:cstheme="majorHAnsi"/>
                <w:iCs/>
                <w:szCs w:val="20"/>
              </w:rPr>
              <w:t>1</w:t>
            </w:r>
            <w:r w:rsidRPr="00BB59D8">
              <w:rPr>
                <w:rStyle w:val="Small"/>
                <w:rFonts w:ascii="Arial Narrow" w:hAnsi="Arial Narrow" w:cstheme="majorHAnsi"/>
                <w:iCs/>
              </w:rPr>
              <w:t>.48</w:t>
            </w:r>
          </w:p>
        </w:tc>
        <w:tc>
          <w:tcPr>
            <w:tcW w:w="1116" w:type="pct"/>
            <w:vAlign w:val="bottom"/>
          </w:tcPr>
          <w:p w14:paraId="48A6B915" w14:textId="77777777" w:rsidR="001E6352" w:rsidRPr="002707AA" w:rsidRDefault="002707AA" w:rsidP="00367BDB">
            <w:pPr>
              <w:pStyle w:val="Tabletext"/>
              <w:keepNext/>
              <w:jc w:val="center"/>
              <w:rPr>
                <w:rStyle w:val="Small"/>
                <w:rFonts w:ascii="Arial Narrow" w:hAnsi="Arial Narrow" w:cstheme="majorHAnsi"/>
                <w:iCs/>
                <w:szCs w:val="20"/>
              </w:rPr>
            </w:pPr>
            <w:r>
              <w:rPr>
                <w:rStyle w:val="Small"/>
                <w:rFonts w:ascii="Arial Narrow" w:hAnsi="Arial Narrow" w:cstheme="majorHAnsi"/>
                <w:iCs/>
                <w:noProof/>
                <w:color w:val="000000"/>
                <w:szCs w:val="20"/>
                <w:highlight w:val="black"/>
              </w:rPr>
              <w:t>''''''''''''''''''</w:t>
            </w:r>
            <w:r w:rsidR="00E1427C" w:rsidRPr="00E1427C">
              <w:rPr>
                <w:rFonts w:eastAsia="Calibri"/>
                <w:szCs w:val="20"/>
                <w:vertAlign w:val="superscript"/>
              </w:rPr>
              <w:t>5</w:t>
            </w:r>
          </w:p>
        </w:tc>
      </w:tr>
      <w:tr w:rsidR="00350CB4" w:rsidRPr="00BB59D8" w14:paraId="064A3EAC" w14:textId="77777777" w:rsidTr="00010A1B">
        <w:tc>
          <w:tcPr>
            <w:tcW w:w="1" w:type="pct"/>
            <w:gridSpan w:val="4"/>
          </w:tcPr>
          <w:p w14:paraId="77B217DC" w14:textId="77777777" w:rsidR="00350CB4" w:rsidRPr="00BB59D8" w:rsidRDefault="00350CB4" w:rsidP="00350CB4">
            <w:pPr>
              <w:pStyle w:val="Tabletext"/>
              <w:keepNext/>
              <w:rPr>
                <w:rStyle w:val="Small"/>
                <w:rFonts w:ascii="Arial Narrow" w:hAnsi="Arial Narrow" w:cstheme="majorHAnsi"/>
                <w:iCs/>
                <w:szCs w:val="20"/>
              </w:rPr>
            </w:pPr>
            <w:r w:rsidRPr="00BB59D8">
              <w:rPr>
                <w:rFonts w:cstheme="majorHAnsi"/>
                <w:b/>
                <w:szCs w:val="20"/>
              </w:rPr>
              <w:t>Discount rate for costs and benefits (base case: 5.0%)</w:t>
            </w:r>
          </w:p>
        </w:tc>
      </w:tr>
      <w:tr w:rsidR="009616AF" w:rsidRPr="00BB59D8" w14:paraId="3D2ABEE9" w14:textId="77777777" w:rsidTr="00350CB4">
        <w:tc>
          <w:tcPr>
            <w:tcW w:w="2350" w:type="pct"/>
          </w:tcPr>
          <w:p w14:paraId="695307C0" w14:textId="77777777" w:rsidR="009616AF" w:rsidRPr="00BB59D8" w:rsidRDefault="009616AF" w:rsidP="00367BDB">
            <w:pPr>
              <w:pStyle w:val="TableText0"/>
              <w:rPr>
                <w:i/>
                <w:iCs/>
                <w:szCs w:val="20"/>
              </w:rPr>
            </w:pPr>
            <w:r w:rsidRPr="00BB59D8">
              <w:t>0.0%</w:t>
            </w:r>
          </w:p>
        </w:tc>
        <w:tc>
          <w:tcPr>
            <w:tcW w:w="688" w:type="pct"/>
            <w:vAlign w:val="bottom"/>
          </w:tcPr>
          <w:p w14:paraId="315D4497" w14:textId="77777777" w:rsidR="009616AF" w:rsidRPr="002707AA" w:rsidRDefault="002707AA" w:rsidP="00367BDB">
            <w:pPr>
              <w:pStyle w:val="TableText0"/>
              <w:jc w:val="center"/>
              <w:rPr>
                <w:rStyle w:val="Small"/>
                <w:rFonts w:ascii="Arial Narrow" w:hAnsi="Arial Narrow"/>
                <w:highlight w:val="black"/>
              </w:rPr>
            </w:pPr>
            <w:r>
              <w:rPr>
                <w:rStyle w:val="Small"/>
                <w:rFonts w:ascii="Arial Narrow" w:hAnsi="Arial Narrow"/>
                <w:noProof/>
                <w:color w:val="000000"/>
                <w:highlight w:val="black"/>
              </w:rPr>
              <w:t>''''''''''''''''''''</w:t>
            </w:r>
          </w:p>
        </w:tc>
        <w:tc>
          <w:tcPr>
            <w:tcW w:w="847" w:type="pct"/>
            <w:vAlign w:val="bottom"/>
          </w:tcPr>
          <w:p w14:paraId="621D27A6" w14:textId="77777777" w:rsidR="009616AF" w:rsidRPr="00BB59D8" w:rsidRDefault="009616AF" w:rsidP="00367BDB">
            <w:pPr>
              <w:pStyle w:val="TableText0"/>
              <w:jc w:val="center"/>
              <w:rPr>
                <w:rStyle w:val="Small"/>
                <w:rFonts w:ascii="Arial Narrow" w:hAnsi="Arial Narrow"/>
              </w:rPr>
            </w:pPr>
            <w:r w:rsidRPr="00BB59D8">
              <w:rPr>
                <w:rStyle w:val="Small"/>
                <w:rFonts w:ascii="Arial Narrow" w:hAnsi="Arial Narrow"/>
              </w:rPr>
              <w:t>13.06</w:t>
            </w:r>
          </w:p>
        </w:tc>
        <w:tc>
          <w:tcPr>
            <w:tcW w:w="1115" w:type="pct"/>
            <w:vAlign w:val="bottom"/>
          </w:tcPr>
          <w:p w14:paraId="1387007F" w14:textId="77777777" w:rsidR="009616AF" w:rsidRPr="002707AA" w:rsidRDefault="002707AA" w:rsidP="00367BDB">
            <w:pPr>
              <w:pStyle w:val="TableText0"/>
              <w:jc w:val="center"/>
              <w:rPr>
                <w:rStyle w:val="Small"/>
                <w:rFonts w:ascii="Arial Narrow" w:hAnsi="Arial Narrow"/>
              </w:rPr>
            </w:pPr>
            <w:r>
              <w:rPr>
                <w:rStyle w:val="Small"/>
                <w:rFonts w:ascii="Arial Narrow" w:hAnsi="Arial Narrow"/>
                <w:noProof/>
                <w:color w:val="000000"/>
                <w:highlight w:val="black"/>
              </w:rPr>
              <w:t>''''''''''''''''''</w:t>
            </w:r>
            <w:r w:rsidR="00B723D8" w:rsidRPr="00B723D8">
              <w:rPr>
                <w:rFonts w:eastAsia="Calibri"/>
                <w:szCs w:val="20"/>
                <w:vertAlign w:val="superscript"/>
              </w:rPr>
              <w:t>6</w:t>
            </w:r>
          </w:p>
        </w:tc>
      </w:tr>
      <w:tr w:rsidR="009616AF" w:rsidRPr="00BB59D8" w14:paraId="32FC7150" w14:textId="77777777" w:rsidTr="00350CB4">
        <w:tc>
          <w:tcPr>
            <w:tcW w:w="2350" w:type="pct"/>
          </w:tcPr>
          <w:p w14:paraId="2BEAC205" w14:textId="77777777" w:rsidR="009616AF" w:rsidRPr="00BB59D8" w:rsidRDefault="009616AF" w:rsidP="00367BDB">
            <w:pPr>
              <w:pStyle w:val="TableText0"/>
              <w:rPr>
                <w:i/>
                <w:iCs/>
                <w:szCs w:val="20"/>
              </w:rPr>
            </w:pPr>
            <w:r w:rsidRPr="00BB59D8">
              <w:t>3.5%</w:t>
            </w:r>
          </w:p>
        </w:tc>
        <w:tc>
          <w:tcPr>
            <w:tcW w:w="688" w:type="pct"/>
            <w:vAlign w:val="bottom"/>
          </w:tcPr>
          <w:p w14:paraId="6821F755" w14:textId="77777777" w:rsidR="009616AF" w:rsidRPr="002707AA" w:rsidRDefault="002707AA" w:rsidP="00367BDB">
            <w:pPr>
              <w:pStyle w:val="TableText0"/>
              <w:jc w:val="center"/>
              <w:rPr>
                <w:rStyle w:val="Small"/>
                <w:rFonts w:ascii="Arial Narrow" w:hAnsi="Arial Narrow"/>
                <w:highlight w:val="black"/>
              </w:rPr>
            </w:pPr>
            <w:r>
              <w:rPr>
                <w:rStyle w:val="Small"/>
                <w:rFonts w:ascii="Arial Narrow" w:hAnsi="Arial Narrow"/>
                <w:noProof/>
                <w:color w:val="000000"/>
                <w:highlight w:val="black"/>
              </w:rPr>
              <w:t>'''''''''''''''''''</w:t>
            </w:r>
          </w:p>
        </w:tc>
        <w:tc>
          <w:tcPr>
            <w:tcW w:w="847" w:type="pct"/>
            <w:vAlign w:val="bottom"/>
          </w:tcPr>
          <w:p w14:paraId="7A1A5696" w14:textId="77777777" w:rsidR="009616AF" w:rsidRPr="00BB59D8" w:rsidRDefault="009616AF" w:rsidP="00367BDB">
            <w:pPr>
              <w:pStyle w:val="TableText0"/>
              <w:jc w:val="center"/>
              <w:rPr>
                <w:rStyle w:val="Small"/>
                <w:rFonts w:ascii="Arial Narrow" w:hAnsi="Arial Narrow"/>
              </w:rPr>
            </w:pPr>
            <w:r w:rsidRPr="00BB59D8">
              <w:rPr>
                <w:rStyle w:val="Small"/>
                <w:rFonts w:ascii="Arial Narrow" w:hAnsi="Arial Narrow"/>
              </w:rPr>
              <w:t>4.18</w:t>
            </w:r>
          </w:p>
        </w:tc>
        <w:tc>
          <w:tcPr>
            <w:tcW w:w="1115" w:type="pct"/>
            <w:vAlign w:val="bottom"/>
          </w:tcPr>
          <w:p w14:paraId="5F78A91C" w14:textId="77777777" w:rsidR="009616AF" w:rsidRPr="002707AA" w:rsidRDefault="002707AA" w:rsidP="00367BDB">
            <w:pPr>
              <w:pStyle w:val="TableText0"/>
              <w:jc w:val="center"/>
              <w:rPr>
                <w:rStyle w:val="Small"/>
                <w:rFonts w:ascii="Arial Narrow" w:hAnsi="Arial Narrow"/>
              </w:rPr>
            </w:pPr>
            <w:r>
              <w:rPr>
                <w:rStyle w:val="Small"/>
                <w:rFonts w:ascii="Arial Narrow" w:hAnsi="Arial Narrow"/>
                <w:noProof/>
                <w:color w:val="000000"/>
                <w:highlight w:val="black"/>
              </w:rPr>
              <w:t>''''''''''''''''''</w:t>
            </w:r>
            <w:r w:rsidR="00B723D8">
              <w:rPr>
                <w:rFonts w:eastAsia="Calibri"/>
                <w:szCs w:val="20"/>
                <w:vertAlign w:val="superscript"/>
              </w:rPr>
              <w:t>7</w:t>
            </w:r>
          </w:p>
        </w:tc>
      </w:tr>
    </w:tbl>
    <w:p w14:paraId="1993D13F" w14:textId="77777777" w:rsidR="00A167A4" w:rsidRPr="00BB59D8" w:rsidRDefault="00A167A4" w:rsidP="00A167A4">
      <w:pPr>
        <w:pStyle w:val="TableFigureFooter"/>
      </w:pPr>
      <w:r w:rsidRPr="00BB59D8">
        <w:t>BMI</w:t>
      </w:r>
      <w:r w:rsidR="00037C6F" w:rsidRPr="00BB59D8">
        <w:t xml:space="preserve"> </w:t>
      </w:r>
      <w:r w:rsidRPr="00BB59D8">
        <w:t>= body mass index; HSDS</w:t>
      </w:r>
      <w:r w:rsidR="00037C6F" w:rsidRPr="00BB59D8">
        <w:t xml:space="preserve"> </w:t>
      </w:r>
      <w:r w:rsidRPr="00BB59D8">
        <w:t>= height standard deviation score; ICER</w:t>
      </w:r>
      <w:r w:rsidR="00037C6F" w:rsidRPr="00BB59D8">
        <w:t xml:space="preserve"> </w:t>
      </w:r>
      <w:r w:rsidRPr="00BB59D8">
        <w:t>= incremental cost-effectiveness ratio; SD</w:t>
      </w:r>
      <w:r w:rsidR="00037C6F" w:rsidRPr="00BB59D8">
        <w:t xml:space="preserve"> </w:t>
      </w:r>
      <w:r w:rsidRPr="00BB59D8">
        <w:t>= standard deviation; Rx</w:t>
      </w:r>
      <w:r w:rsidR="00037C6F" w:rsidRPr="00BB59D8">
        <w:t xml:space="preserve"> </w:t>
      </w:r>
      <w:r w:rsidRPr="00BB59D8">
        <w:t>= treatment</w:t>
      </w:r>
      <w:r w:rsidR="001B1DC8" w:rsidRPr="00BB59D8">
        <w:t>; EU-IGFD = European Increlex® Growth Forum Database</w:t>
      </w:r>
      <w:r w:rsidR="001E6352" w:rsidRPr="00BB59D8">
        <w:t>; TH = time horizon</w:t>
      </w:r>
      <w:r w:rsidR="001B1DC8" w:rsidRPr="00BB59D8">
        <w:t xml:space="preserve">. </w:t>
      </w:r>
    </w:p>
    <w:p w14:paraId="56CF26CA" w14:textId="77777777" w:rsidR="00A167A4" w:rsidRDefault="00A167A4" w:rsidP="00A167A4">
      <w:pPr>
        <w:pStyle w:val="TableFigureFooter"/>
        <w:rPr>
          <w:rFonts w:eastAsia="Calibri"/>
          <w:szCs w:val="20"/>
        </w:rPr>
      </w:pPr>
      <w:r w:rsidRPr="00BB59D8">
        <w:t>Source: Table 3-23, p124 of the submission; Economic model workbook</w:t>
      </w:r>
      <w:r w:rsidRPr="00BB59D8">
        <w:rPr>
          <w:rFonts w:eastAsia="Calibri"/>
          <w:szCs w:val="20"/>
        </w:rPr>
        <w:t>.</w:t>
      </w:r>
    </w:p>
    <w:p w14:paraId="64100978" w14:textId="77777777" w:rsidR="005166DA" w:rsidRPr="00087047" w:rsidRDefault="005166DA" w:rsidP="00A167A4">
      <w:pPr>
        <w:pStyle w:val="TableFigureFooter"/>
        <w:rPr>
          <w:rFonts w:eastAsia="Calibri"/>
          <w:i/>
          <w:szCs w:val="20"/>
        </w:rPr>
      </w:pPr>
      <w:r w:rsidRPr="00087047">
        <w:rPr>
          <w:rFonts w:eastAsia="Calibri"/>
          <w:i/>
          <w:szCs w:val="20"/>
        </w:rPr>
        <w:t>The redacted values correspond to the following ranges:</w:t>
      </w:r>
    </w:p>
    <w:p w14:paraId="5648249F" w14:textId="77777777" w:rsidR="005166DA" w:rsidRPr="00087047" w:rsidRDefault="005166DA" w:rsidP="00A167A4">
      <w:pPr>
        <w:pStyle w:val="TableFigureFooter"/>
        <w:rPr>
          <w:rFonts w:eastAsia="Calibri"/>
          <w:i/>
          <w:szCs w:val="20"/>
        </w:rPr>
      </w:pPr>
      <w:r w:rsidRPr="00087047">
        <w:rPr>
          <w:rFonts w:eastAsia="Calibri"/>
          <w:i/>
          <w:szCs w:val="20"/>
          <w:vertAlign w:val="superscript"/>
        </w:rPr>
        <w:t>1</w:t>
      </w:r>
      <w:r w:rsidRPr="00087047">
        <w:rPr>
          <w:rFonts w:eastAsia="Calibri"/>
          <w:i/>
          <w:szCs w:val="20"/>
        </w:rPr>
        <w:t xml:space="preserve"> $95,000 to &lt; $115,000</w:t>
      </w:r>
    </w:p>
    <w:p w14:paraId="28B1D469" w14:textId="77777777" w:rsidR="005166DA" w:rsidRPr="00087047" w:rsidRDefault="005166DA" w:rsidP="00A167A4">
      <w:pPr>
        <w:pStyle w:val="TableFigureFooter"/>
        <w:rPr>
          <w:rFonts w:eastAsia="Calibri"/>
          <w:i/>
          <w:szCs w:val="20"/>
        </w:rPr>
      </w:pPr>
      <w:r w:rsidRPr="00087047">
        <w:rPr>
          <w:rFonts w:eastAsia="Calibri"/>
          <w:i/>
          <w:szCs w:val="20"/>
          <w:vertAlign w:val="superscript"/>
        </w:rPr>
        <w:t>2</w:t>
      </w:r>
      <w:r w:rsidRPr="00087047">
        <w:rPr>
          <w:rFonts w:eastAsia="Calibri"/>
          <w:i/>
          <w:szCs w:val="20"/>
        </w:rPr>
        <w:t xml:space="preserve"> $135,000 to &lt; $155,000</w:t>
      </w:r>
    </w:p>
    <w:p w14:paraId="492E8228" w14:textId="77777777" w:rsidR="00625B16" w:rsidRPr="00087047" w:rsidRDefault="00625B16" w:rsidP="00A167A4">
      <w:pPr>
        <w:pStyle w:val="TableFigureFooter"/>
        <w:rPr>
          <w:rFonts w:eastAsia="Calibri"/>
          <w:i/>
          <w:szCs w:val="20"/>
        </w:rPr>
      </w:pPr>
      <w:r w:rsidRPr="00087047">
        <w:rPr>
          <w:rFonts w:eastAsia="Calibri"/>
          <w:i/>
          <w:szCs w:val="20"/>
          <w:vertAlign w:val="superscript"/>
        </w:rPr>
        <w:t>3</w:t>
      </w:r>
      <w:r w:rsidRPr="00087047">
        <w:rPr>
          <w:rFonts w:eastAsia="Calibri"/>
          <w:i/>
          <w:szCs w:val="20"/>
        </w:rPr>
        <w:t xml:space="preserve"> $55,000 to &lt; $75,000</w:t>
      </w:r>
    </w:p>
    <w:p w14:paraId="18441359" w14:textId="77777777" w:rsidR="00625B16" w:rsidRDefault="00625B16" w:rsidP="00A167A4">
      <w:pPr>
        <w:pStyle w:val="TableFigureFooter"/>
        <w:rPr>
          <w:rFonts w:eastAsia="Calibri"/>
          <w:i/>
          <w:szCs w:val="20"/>
        </w:rPr>
      </w:pPr>
      <w:r w:rsidRPr="00087047">
        <w:rPr>
          <w:rFonts w:eastAsia="Calibri"/>
          <w:i/>
          <w:szCs w:val="20"/>
          <w:vertAlign w:val="superscript"/>
        </w:rPr>
        <w:t>4</w:t>
      </w:r>
      <w:r w:rsidRPr="00087047">
        <w:rPr>
          <w:rFonts w:eastAsia="Calibri"/>
          <w:i/>
          <w:szCs w:val="20"/>
        </w:rPr>
        <w:t xml:space="preserve"> $115,000 to &lt; $135,000</w:t>
      </w:r>
    </w:p>
    <w:p w14:paraId="06A6F682" w14:textId="77777777" w:rsidR="00E1427C" w:rsidRDefault="00E1427C" w:rsidP="00A167A4">
      <w:pPr>
        <w:pStyle w:val="TableFigureFooter"/>
        <w:rPr>
          <w:rFonts w:eastAsia="Calibri"/>
          <w:i/>
          <w:szCs w:val="20"/>
        </w:rPr>
      </w:pPr>
      <w:r>
        <w:rPr>
          <w:rFonts w:eastAsia="Calibri"/>
          <w:i/>
          <w:szCs w:val="20"/>
          <w:vertAlign w:val="superscript"/>
        </w:rPr>
        <w:t>5</w:t>
      </w:r>
      <w:r>
        <w:rPr>
          <w:rFonts w:eastAsia="Calibri"/>
          <w:i/>
          <w:szCs w:val="20"/>
        </w:rPr>
        <w:t xml:space="preserve"> $155,000 to &lt; $255,000</w:t>
      </w:r>
    </w:p>
    <w:p w14:paraId="4E4B7D0B" w14:textId="77777777" w:rsidR="00B723D8" w:rsidRDefault="00B723D8" w:rsidP="00A167A4">
      <w:pPr>
        <w:pStyle w:val="TableFigureFooter"/>
        <w:rPr>
          <w:rFonts w:eastAsia="Calibri"/>
          <w:i/>
          <w:szCs w:val="20"/>
        </w:rPr>
      </w:pPr>
      <w:r>
        <w:rPr>
          <w:rFonts w:eastAsia="Calibri"/>
          <w:i/>
          <w:szCs w:val="20"/>
          <w:vertAlign w:val="superscript"/>
        </w:rPr>
        <w:t>6</w:t>
      </w:r>
      <w:r>
        <w:rPr>
          <w:rFonts w:eastAsia="Calibri"/>
          <w:i/>
          <w:szCs w:val="20"/>
        </w:rPr>
        <w:t xml:space="preserve"> $25,000 to &lt; $35,000</w:t>
      </w:r>
    </w:p>
    <w:p w14:paraId="1AA220BD" w14:textId="59EDFE92" w:rsidR="00BA6CEB" w:rsidRPr="009750B5" w:rsidRDefault="00B723D8" w:rsidP="00A167A4">
      <w:pPr>
        <w:pStyle w:val="TableFigureFooter"/>
        <w:rPr>
          <w:rFonts w:eastAsia="Calibri"/>
          <w:i/>
          <w:szCs w:val="20"/>
        </w:rPr>
      </w:pPr>
      <w:r w:rsidRPr="00B723D8">
        <w:rPr>
          <w:rFonts w:eastAsia="Calibri"/>
          <w:i/>
          <w:szCs w:val="20"/>
          <w:vertAlign w:val="superscript"/>
        </w:rPr>
        <w:t>7</w:t>
      </w:r>
      <w:r w:rsidRPr="00B723D8">
        <w:rPr>
          <w:rFonts w:eastAsia="Calibri"/>
          <w:i/>
          <w:szCs w:val="20"/>
        </w:rPr>
        <w:t xml:space="preserve"> $75,000 to &lt; $95,000</w:t>
      </w:r>
    </w:p>
    <w:p w14:paraId="58CEC588" w14:textId="097BB1F6" w:rsidR="00000C8D" w:rsidRPr="00BB59D8" w:rsidRDefault="00000C8D" w:rsidP="000534C3">
      <w:pPr>
        <w:pStyle w:val="3-BodyText"/>
      </w:pPr>
      <w:r w:rsidRPr="00BB59D8">
        <w:t xml:space="preserve">Despite the corrections to the model, the ESC considered there was high uncertainty in the base case proposed by the PSCR. The ESC considered that a sensitivity analysis was needed to address key uncertainties in utility values, and using Study 1419 data. </w:t>
      </w:r>
      <w:r w:rsidR="00653383" w:rsidRPr="00BB59D8">
        <w:t>The ESC noted that u</w:t>
      </w:r>
      <w:r w:rsidRPr="00BB59D8">
        <w:t xml:space="preserve">sing Study 1419 as the base case </w:t>
      </w:r>
      <w:r w:rsidR="00653383" w:rsidRPr="00BB59D8">
        <w:t xml:space="preserve">(for treatment-related adverse events, mecasermin dosing, treatment discontinuation rate and height velocity) </w:t>
      </w:r>
      <w:r w:rsidRPr="00BB59D8">
        <w:t xml:space="preserve">and the utilities Option 2 in Figure </w:t>
      </w:r>
      <w:r w:rsidR="00624EE7" w:rsidRPr="00BB59D8">
        <w:t>2</w:t>
      </w:r>
      <w:r w:rsidRPr="00BB59D8">
        <w:t xml:space="preserve"> above, the ICER </w:t>
      </w:r>
      <w:r w:rsidR="002B7490" w:rsidRPr="00BB59D8">
        <w:t>was</w:t>
      </w:r>
      <w:r w:rsidRPr="00BB59D8">
        <w:t xml:space="preserve"> $</w:t>
      </w:r>
      <w:r w:rsidR="00AD3883">
        <w:t>155,000 to &lt; $255,000</w:t>
      </w:r>
      <w:r w:rsidRPr="00BB59D8">
        <w:t xml:space="preserve"> per QALY gained (in the new model). </w:t>
      </w:r>
    </w:p>
    <w:p w14:paraId="0F7CC834" w14:textId="77777777" w:rsidR="00C53349" w:rsidRPr="00BB59D8" w:rsidRDefault="00B21633" w:rsidP="00AC064E">
      <w:pPr>
        <w:pStyle w:val="3-BodyText"/>
      </w:pPr>
      <w:r w:rsidRPr="00BB59D8">
        <w:t xml:space="preserve">The PBAC noted the discussion </w:t>
      </w:r>
      <w:r w:rsidR="00C53349" w:rsidRPr="00BB59D8">
        <w:t>provided in the pre-PBAC response</w:t>
      </w:r>
      <w:r w:rsidRPr="00BB59D8">
        <w:t xml:space="preserve"> </w:t>
      </w:r>
      <w:r w:rsidR="00C53349" w:rsidRPr="00BB59D8">
        <w:t>that height was used as the main outcome measure in the model because other potential parameters lack robustness for reliable modelling. The pre-PBAC response also acknowledged the uncertainty associated with extrapolation of utility estimates as applied in the model, although noted that in the absence of data specific to the SPIGFD population, Silva et al</w:t>
      </w:r>
      <w:r w:rsidR="00AC064E" w:rsidRPr="00BB59D8">
        <w:t>.</w:t>
      </w:r>
      <w:r w:rsidR="00C53349" w:rsidRPr="00BB59D8">
        <w:t xml:space="preserve"> 2013</w:t>
      </w:r>
      <w:r w:rsidR="00AC064E" w:rsidRPr="00BB59D8">
        <w:rPr>
          <w:rStyle w:val="FootnoteReference"/>
        </w:rPr>
        <w:footnoteReference w:id="5"/>
      </w:r>
      <w:r w:rsidR="00C53349" w:rsidRPr="00BB59D8">
        <w:t xml:space="preserve">, demonstrated that the effect of short stature and HRQoL is maintained in children. </w:t>
      </w:r>
    </w:p>
    <w:p w14:paraId="4119258B" w14:textId="77777777" w:rsidR="00A167A4" w:rsidRPr="00BB59D8" w:rsidRDefault="00A167A4" w:rsidP="00A167A4">
      <w:pPr>
        <w:pStyle w:val="4-SubsectionHeading"/>
      </w:pPr>
      <w:bookmarkStart w:id="44" w:name="_Toc82536431"/>
      <w:r w:rsidRPr="00BB59D8">
        <w:t>Drug cost/patient/course</w:t>
      </w:r>
      <w:bookmarkEnd w:id="44"/>
    </w:p>
    <w:p w14:paraId="7CC2173D" w14:textId="77777777" w:rsidR="00A167A4" w:rsidRPr="00BB59D8" w:rsidRDefault="00A167A4" w:rsidP="00A167A4">
      <w:pPr>
        <w:pStyle w:val="3-BodyText"/>
      </w:pPr>
      <w:r w:rsidRPr="00BB59D8">
        <w:t>The drug cost per patient per year is presented in Table 1</w:t>
      </w:r>
      <w:r w:rsidR="00653383" w:rsidRPr="00BB59D8">
        <w:t>4</w:t>
      </w:r>
      <w:r w:rsidRPr="00BB59D8">
        <w:t>. The proposed price for mecasermin is $</w:t>
      </w:r>
      <w:r w:rsidR="002707AA">
        <w:rPr>
          <w:noProof/>
          <w:color w:val="000000"/>
          <w:highlight w:val="black"/>
        </w:rPr>
        <w:t>'''''''''''</w:t>
      </w:r>
      <w:r w:rsidRPr="00BB59D8">
        <w:t xml:space="preserve"> per vial.</w:t>
      </w:r>
    </w:p>
    <w:p w14:paraId="3D0285E2" w14:textId="77777777" w:rsidR="00A167A4" w:rsidRPr="00BB59D8" w:rsidRDefault="00A167A4" w:rsidP="00A167A4">
      <w:pPr>
        <w:pStyle w:val="TableFigureHeading"/>
        <w:rPr>
          <w:rStyle w:val="CommentReference"/>
          <w:b/>
          <w:szCs w:val="24"/>
        </w:rPr>
      </w:pPr>
      <w:r w:rsidRPr="00BB59D8">
        <w:rPr>
          <w:rStyle w:val="CommentReference"/>
          <w:b/>
          <w:szCs w:val="24"/>
        </w:rPr>
        <w:t>Table 1</w:t>
      </w:r>
      <w:r w:rsidR="00653383" w:rsidRPr="00BB59D8">
        <w:rPr>
          <w:rStyle w:val="CommentReference"/>
          <w:b/>
          <w:szCs w:val="24"/>
        </w:rPr>
        <w:t>4</w:t>
      </w:r>
      <w:r w:rsidRPr="00BB59D8">
        <w:rPr>
          <w:rStyle w:val="CommentReference"/>
          <w:b/>
          <w:szCs w:val="24"/>
        </w:rPr>
        <w:t>: Drug cost per patient for proposed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rug cost per patient for proposed drug"/>
      </w:tblPr>
      <w:tblGrid>
        <w:gridCol w:w="2531"/>
        <w:gridCol w:w="2163"/>
        <w:gridCol w:w="2157"/>
        <w:gridCol w:w="2166"/>
      </w:tblGrid>
      <w:tr w:rsidR="00A167A4" w:rsidRPr="00BB59D8" w14:paraId="5019C82B" w14:textId="77777777" w:rsidTr="00646E0D">
        <w:trPr>
          <w:cantSplit/>
          <w:tblHeader/>
          <w:jc w:val="center"/>
        </w:trPr>
        <w:tc>
          <w:tcPr>
            <w:tcW w:w="1403" w:type="pct"/>
            <w:shd w:val="clear" w:color="auto" w:fill="auto"/>
            <w:vAlign w:val="center"/>
          </w:tcPr>
          <w:p w14:paraId="24D6F95C" w14:textId="77777777" w:rsidR="00A167A4" w:rsidRPr="00BB59D8" w:rsidRDefault="00A167A4" w:rsidP="00646E0D">
            <w:pPr>
              <w:pStyle w:val="In-tableHeading"/>
              <w:rPr>
                <w:lang w:val="en-AU"/>
              </w:rPr>
            </w:pPr>
          </w:p>
        </w:tc>
        <w:tc>
          <w:tcPr>
            <w:tcW w:w="1199" w:type="pct"/>
            <w:shd w:val="clear" w:color="auto" w:fill="auto"/>
            <w:vAlign w:val="center"/>
          </w:tcPr>
          <w:p w14:paraId="6628F21F" w14:textId="77777777" w:rsidR="00A167A4" w:rsidRPr="00BB59D8" w:rsidRDefault="00A167A4" w:rsidP="00646E0D">
            <w:pPr>
              <w:pStyle w:val="In-tableHeading"/>
              <w:rPr>
                <w:lang w:val="en-AU"/>
              </w:rPr>
            </w:pPr>
            <w:r w:rsidRPr="00BB59D8">
              <w:rPr>
                <w:lang w:val="en-AU"/>
              </w:rPr>
              <w:t>Mecasermin</w:t>
            </w:r>
          </w:p>
          <w:p w14:paraId="4BDD75D7" w14:textId="77777777" w:rsidR="00A167A4" w:rsidRPr="00BB59D8" w:rsidRDefault="00A167A4" w:rsidP="00646E0D">
            <w:pPr>
              <w:pStyle w:val="In-tableHeading"/>
              <w:rPr>
                <w:lang w:val="en-AU"/>
              </w:rPr>
            </w:pPr>
            <w:r w:rsidRPr="00BB59D8">
              <w:rPr>
                <w:lang w:val="en-AU"/>
              </w:rPr>
              <w:t>Study dose and duration</w:t>
            </w:r>
          </w:p>
        </w:tc>
        <w:tc>
          <w:tcPr>
            <w:tcW w:w="1196" w:type="pct"/>
            <w:shd w:val="clear" w:color="auto" w:fill="auto"/>
            <w:vAlign w:val="center"/>
          </w:tcPr>
          <w:p w14:paraId="09FE8623" w14:textId="77777777" w:rsidR="00A167A4" w:rsidRPr="00BB59D8" w:rsidRDefault="00A167A4" w:rsidP="00646E0D">
            <w:pPr>
              <w:pStyle w:val="In-tableHeading"/>
              <w:rPr>
                <w:lang w:val="en-AU"/>
              </w:rPr>
            </w:pPr>
            <w:r w:rsidRPr="00BB59D8">
              <w:rPr>
                <w:lang w:val="en-AU"/>
              </w:rPr>
              <w:t xml:space="preserve">Mecasermin </w:t>
            </w:r>
          </w:p>
          <w:p w14:paraId="046C95B4" w14:textId="77777777" w:rsidR="00A167A4" w:rsidRPr="00BB59D8" w:rsidRDefault="00A167A4" w:rsidP="00646E0D">
            <w:pPr>
              <w:pStyle w:val="In-tableHeading"/>
              <w:rPr>
                <w:lang w:val="en-AU"/>
              </w:rPr>
            </w:pPr>
            <w:r w:rsidRPr="00BB59D8">
              <w:rPr>
                <w:lang w:val="en-AU"/>
              </w:rPr>
              <w:t>Model</w:t>
            </w:r>
          </w:p>
        </w:tc>
        <w:tc>
          <w:tcPr>
            <w:tcW w:w="1201" w:type="pct"/>
            <w:shd w:val="clear" w:color="auto" w:fill="auto"/>
            <w:vAlign w:val="center"/>
          </w:tcPr>
          <w:p w14:paraId="54B7DB94" w14:textId="77777777" w:rsidR="00A167A4" w:rsidRPr="00BB59D8" w:rsidRDefault="00A167A4" w:rsidP="00646E0D">
            <w:pPr>
              <w:pStyle w:val="In-tableHeading"/>
              <w:rPr>
                <w:lang w:val="en-AU"/>
              </w:rPr>
            </w:pPr>
            <w:r w:rsidRPr="00BB59D8">
              <w:rPr>
                <w:lang w:val="en-AU"/>
              </w:rPr>
              <w:t>Mecasermin</w:t>
            </w:r>
          </w:p>
          <w:p w14:paraId="2C6F97A8" w14:textId="77777777" w:rsidR="00A167A4" w:rsidRPr="00BB59D8" w:rsidRDefault="00A167A4" w:rsidP="00646E0D">
            <w:pPr>
              <w:pStyle w:val="In-tableHeading"/>
              <w:rPr>
                <w:lang w:val="en-AU"/>
              </w:rPr>
            </w:pPr>
            <w:r w:rsidRPr="00BB59D8">
              <w:rPr>
                <w:lang w:val="en-AU"/>
              </w:rPr>
              <w:t>Financial estimates</w:t>
            </w:r>
          </w:p>
        </w:tc>
      </w:tr>
      <w:tr w:rsidR="00A167A4" w:rsidRPr="00BB59D8" w14:paraId="18333BF0" w14:textId="77777777" w:rsidTr="00646E0D">
        <w:trPr>
          <w:cantSplit/>
          <w:jc w:val="center"/>
        </w:trPr>
        <w:tc>
          <w:tcPr>
            <w:tcW w:w="1403" w:type="pct"/>
            <w:shd w:val="clear" w:color="auto" w:fill="auto"/>
            <w:vAlign w:val="center"/>
          </w:tcPr>
          <w:p w14:paraId="0821060C" w14:textId="77777777" w:rsidR="00A167A4" w:rsidRPr="00BB59D8" w:rsidRDefault="00A167A4" w:rsidP="00646E0D">
            <w:pPr>
              <w:pStyle w:val="TableText0"/>
            </w:pPr>
            <w:r w:rsidRPr="00BB59D8">
              <w:t xml:space="preserve">Mean </w:t>
            </w:r>
            <w:r w:rsidR="00BA6CEB" w:rsidRPr="00BB59D8">
              <w:t xml:space="preserve">daily </w:t>
            </w:r>
            <w:r w:rsidRPr="00BB59D8">
              <w:t>dose</w:t>
            </w:r>
          </w:p>
        </w:tc>
        <w:tc>
          <w:tcPr>
            <w:tcW w:w="1199" w:type="pct"/>
            <w:shd w:val="clear" w:color="auto" w:fill="auto"/>
            <w:vAlign w:val="center"/>
          </w:tcPr>
          <w:p w14:paraId="75F1A777" w14:textId="77777777" w:rsidR="00A167A4" w:rsidRPr="00BB59D8" w:rsidRDefault="00A167A4" w:rsidP="00646E0D">
            <w:pPr>
              <w:pStyle w:val="TableText0"/>
            </w:pPr>
            <w:r w:rsidRPr="00BB59D8">
              <w:t>Study 1419: 0.224 mg/kg</w:t>
            </w:r>
          </w:p>
          <w:p w14:paraId="52B26768" w14:textId="77777777" w:rsidR="00A167A4" w:rsidRPr="00BB59D8" w:rsidRDefault="00A167A4" w:rsidP="00646E0D">
            <w:pPr>
              <w:pStyle w:val="TableText0"/>
              <w:rPr>
                <w:bCs w:val="0"/>
              </w:rPr>
            </w:pPr>
            <w:r w:rsidRPr="00BB59D8">
              <w:rPr>
                <w:bCs w:val="0"/>
              </w:rPr>
              <w:t>EU-IGFD: 0.196mg/kg</w:t>
            </w:r>
          </w:p>
        </w:tc>
        <w:tc>
          <w:tcPr>
            <w:tcW w:w="1196" w:type="pct"/>
            <w:shd w:val="clear" w:color="auto" w:fill="auto"/>
            <w:vAlign w:val="center"/>
          </w:tcPr>
          <w:p w14:paraId="2135DF45" w14:textId="77777777" w:rsidR="00A167A4" w:rsidRPr="00BB59D8" w:rsidRDefault="00A167A4" w:rsidP="00646E0D">
            <w:pPr>
              <w:pStyle w:val="TableText0"/>
              <w:rPr>
                <w:b/>
              </w:rPr>
            </w:pPr>
            <w:r w:rsidRPr="00BB59D8">
              <w:t>0.196 mg/kg</w:t>
            </w:r>
          </w:p>
        </w:tc>
        <w:tc>
          <w:tcPr>
            <w:tcW w:w="1201" w:type="pct"/>
            <w:shd w:val="clear" w:color="auto" w:fill="auto"/>
            <w:vAlign w:val="center"/>
          </w:tcPr>
          <w:p w14:paraId="2AC30F6B" w14:textId="77777777" w:rsidR="00A167A4" w:rsidRPr="00BB59D8" w:rsidRDefault="00A167A4" w:rsidP="00646E0D">
            <w:pPr>
              <w:pStyle w:val="TableText0"/>
              <w:rPr>
                <w:b/>
              </w:rPr>
            </w:pPr>
            <w:r w:rsidRPr="00BB59D8">
              <w:t>0.196 mg/kg</w:t>
            </w:r>
          </w:p>
        </w:tc>
      </w:tr>
      <w:tr w:rsidR="00EE3762" w:rsidRPr="00BB59D8" w14:paraId="095E9012" w14:textId="77777777" w:rsidTr="00646E0D">
        <w:trPr>
          <w:cantSplit/>
          <w:jc w:val="center"/>
        </w:trPr>
        <w:tc>
          <w:tcPr>
            <w:tcW w:w="1403" w:type="pct"/>
            <w:shd w:val="clear" w:color="auto" w:fill="auto"/>
            <w:vAlign w:val="center"/>
          </w:tcPr>
          <w:p w14:paraId="008F2548" w14:textId="77777777" w:rsidR="00EE3762" w:rsidRPr="00BB59D8" w:rsidRDefault="00EE3762" w:rsidP="00646E0D">
            <w:pPr>
              <w:pStyle w:val="TableText0"/>
            </w:pPr>
            <w:r w:rsidRPr="00BB59D8">
              <w:t>Mean patient weight</w:t>
            </w:r>
          </w:p>
        </w:tc>
        <w:tc>
          <w:tcPr>
            <w:tcW w:w="1199" w:type="pct"/>
            <w:shd w:val="clear" w:color="auto" w:fill="auto"/>
            <w:vAlign w:val="center"/>
          </w:tcPr>
          <w:p w14:paraId="0E95EC63" w14:textId="77777777" w:rsidR="00873841" w:rsidRPr="00BB59D8" w:rsidRDefault="00164DF0" w:rsidP="00646E0D">
            <w:pPr>
              <w:pStyle w:val="TableText0"/>
            </w:pPr>
            <w:r w:rsidRPr="00BB59D8">
              <w:t>Study 1419: 12.1 kg</w:t>
            </w:r>
            <w:r w:rsidR="00873841" w:rsidRPr="00BB59D8">
              <w:t xml:space="preserve"> </w:t>
            </w:r>
          </w:p>
          <w:p w14:paraId="289A5268" w14:textId="77777777" w:rsidR="00EE3762" w:rsidRPr="00BB59D8" w:rsidRDefault="00873841" w:rsidP="00646E0D">
            <w:pPr>
              <w:pStyle w:val="TableText0"/>
            </w:pPr>
            <w:r w:rsidRPr="00BB59D8">
              <w:t>EU-IGFD: 22 kg</w:t>
            </w:r>
            <w:r w:rsidR="00164DF0" w:rsidRPr="00BB59D8">
              <w:t xml:space="preserve"> </w:t>
            </w:r>
          </w:p>
        </w:tc>
        <w:tc>
          <w:tcPr>
            <w:tcW w:w="1196" w:type="pct"/>
            <w:shd w:val="clear" w:color="auto" w:fill="auto"/>
            <w:vAlign w:val="center"/>
          </w:tcPr>
          <w:p w14:paraId="435826DA" w14:textId="77777777" w:rsidR="00EE3762" w:rsidRPr="00BB59D8" w:rsidRDefault="00147C4C" w:rsidP="00646E0D">
            <w:pPr>
              <w:pStyle w:val="TableText0"/>
            </w:pPr>
            <w:r w:rsidRPr="00BB59D8">
              <w:t>22 kg</w:t>
            </w:r>
          </w:p>
        </w:tc>
        <w:tc>
          <w:tcPr>
            <w:tcW w:w="1201" w:type="pct"/>
            <w:shd w:val="clear" w:color="auto" w:fill="auto"/>
            <w:vAlign w:val="center"/>
          </w:tcPr>
          <w:p w14:paraId="27D74AD5" w14:textId="77777777" w:rsidR="00EE3762" w:rsidRPr="00BB59D8" w:rsidRDefault="00147C4C" w:rsidP="00646E0D">
            <w:pPr>
              <w:pStyle w:val="TableText0"/>
            </w:pPr>
            <w:r w:rsidRPr="00BB59D8">
              <w:t>22 kg</w:t>
            </w:r>
          </w:p>
        </w:tc>
      </w:tr>
      <w:tr w:rsidR="00A167A4" w:rsidRPr="00BB59D8" w14:paraId="4AFDFABA" w14:textId="77777777" w:rsidTr="00646E0D">
        <w:trPr>
          <w:cantSplit/>
          <w:jc w:val="center"/>
        </w:trPr>
        <w:tc>
          <w:tcPr>
            <w:tcW w:w="1403" w:type="pct"/>
            <w:shd w:val="clear" w:color="auto" w:fill="auto"/>
            <w:vAlign w:val="center"/>
          </w:tcPr>
          <w:p w14:paraId="0BC9A8FB" w14:textId="77777777" w:rsidR="00A167A4" w:rsidRPr="00BB59D8" w:rsidRDefault="00A167A4" w:rsidP="00646E0D">
            <w:pPr>
              <w:pStyle w:val="TableText0"/>
            </w:pPr>
            <w:r w:rsidRPr="00BB59D8">
              <w:t>Mean duration</w:t>
            </w:r>
          </w:p>
        </w:tc>
        <w:tc>
          <w:tcPr>
            <w:tcW w:w="1199" w:type="pct"/>
            <w:shd w:val="clear" w:color="auto" w:fill="auto"/>
            <w:vAlign w:val="center"/>
          </w:tcPr>
          <w:p w14:paraId="52645FA0" w14:textId="77777777" w:rsidR="00A167A4" w:rsidRPr="00BB59D8" w:rsidRDefault="00A167A4" w:rsidP="00646E0D">
            <w:pPr>
              <w:pStyle w:val="TableText0"/>
            </w:pPr>
            <w:r w:rsidRPr="00BB59D8">
              <w:t>Study 1419: 6.0 years</w:t>
            </w:r>
          </w:p>
          <w:p w14:paraId="6FB57109" w14:textId="77777777" w:rsidR="00A167A4" w:rsidRPr="00BB59D8" w:rsidRDefault="00A167A4" w:rsidP="00646E0D">
            <w:pPr>
              <w:pStyle w:val="TableText0"/>
              <w:rPr>
                <w:bCs w:val="0"/>
              </w:rPr>
            </w:pPr>
            <w:bookmarkStart w:id="45" w:name="_Hlk79145971"/>
            <w:r w:rsidRPr="00BB59D8">
              <w:rPr>
                <w:bCs w:val="0"/>
              </w:rPr>
              <w:t>EU-IGFD: 3.7 years</w:t>
            </w:r>
            <w:bookmarkEnd w:id="45"/>
          </w:p>
        </w:tc>
        <w:tc>
          <w:tcPr>
            <w:tcW w:w="1196" w:type="pct"/>
            <w:shd w:val="clear" w:color="auto" w:fill="auto"/>
            <w:vAlign w:val="center"/>
          </w:tcPr>
          <w:p w14:paraId="1EBE6666" w14:textId="77777777" w:rsidR="00A167A4" w:rsidRPr="00BB59D8" w:rsidRDefault="00F65044" w:rsidP="00646E0D">
            <w:pPr>
              <w:pStyle w:val="TableText0"/>
              <w:rPr>
                <w:bCs w:val="0"/>
                <w:vertAlign w:val="superscript"/>
              </w:rPr>
            </w:pPr>
            <w:r w:rsidRPr="00BB59D8">
              <w:rPr>
                <w:bCs w:val="0"/>
              </w:rPr>
              <w:t>Mean Rx duration (</w:t>
            </w:r>
            <w:r w:rsidR="000B54F7" w:rsidRPr="00BB59D8">
              <w:rPr>
                <w:bCs w:val="0"/>
              </w:rPr>
              <w:t>fe</w:t>
            </w:r>
            <w:r w:rsidRPr="00BB59D8">
              <w:rPr>
                <w:bCs w:val="0"/>
              </w:rPr>
              <w:t xml:space="preserve">males starting Rx at age 2) = 12 </w:t>
            </w:r>
            <w:r w:rsidRPr="00BB59D8">
              <w:rPr>
                <w:bCs w:val="0"/>
                <w:vertAlign w:val="superscript"/>
              </w:rPr>
              <w:t>a</w:t>
            </w:r>
          </w:p>
          <w:p w14:paraId="096B21E9" w14:textId="77777777" w:rsidR="00F65044" w:rsidRPr="00BB59D8" w:rsidRDefault="00F65044" w:rsidP="00646E0D">
            <w:pPr>
              <w:pStyle w:val="TableText0"/>
              <w:rPr>
                <w:bCs w:val="0"/>
              </w:rPr>
            </w:pPr>
            <w:r w:rsidRPr="00BB59D8">
              <w:rPr>
                <w:bCs w:val="0"/>
              </w:rPr>
              <w:t>Mean Rx duration (males</w:t>
            </w:r>
            <w:r w:rsidR="000B54F7" w:rsidRPr="00BB59D8">
              <w:rPr>
                <w:bCs w:val="0"/>
              </w:rPr>
              <w:t xml:space="preserve"> starting Rx at age 2</w:t>
            </w:r>
            <w:r w:rsidRPr="00BB59D8">
              <w:rPr>
                <w:bCs w:val="0"/>
              </w:rPr>
              <w:t xml:space="preserve">) = </w:t>
            </w:r>
            <w:r w:rsidR="000B54F7" w:rsidRPr="00BB59D8">
              <w:rPr>
                <w:bCs w:val="0"/>
              </w:rPr>
              <w:t xml:space="preserve">14 </w:t>
            </w:r>
            <w:r w:rsidR="000B54F7" w:rsidRPr="00BB59D8">
              <w:rPr>
                <w:bCs w:val="0"/>
                <w:vertAlign w:val="superscript"/>
              </w:rPr>
              <w:t>b</w:t>
            </w:r>
          </w:p>
          <w:p w14:paraId="6E00ACBA" w14:textId="77777777" w:rsidR="000B54F7" w:rsidRPr="00BB59D8" w:rsidRDefault="000B54F7" w:rsidP="000B54F7">
            <w:pPr>
              <w:pStyle w:val="TableText0"/>
              <w:rPr>
                <w:bCs w:val="0"/>
                <w:vertAlign w:val="superscript"/>
              </w:rPr>
            </w:pPr>
            <w:r w:rsidRPr="00BB59D8">
              <w:rPr>
                <w:bCs w:val="0"/>
              </w:rPr>
              <w:t xml:space="preserve">Mean Rx duration (females starting Rx at age 5) = 9 </w:t>
            </w:r>
            <w:r w:rsidRPr="00BB59D8">
              <w:rPr>
                <w:bCs w:val="0"/>
                <w:vertAlign w:val="superscript"/>
              </w:rPr>
              <w:t>c</w:t>
            </w:r>
          </w:p>
          <w:p w14:paraId="2AEF478B" w14:textId="77777777" w:rsidR="000B54F7" w:rsidRPr="00BB59D8" w:rsidRDefault="000B54F7" w:rsidP="000B54F7">
            <w:pPr>
              <w:pStyle w:val="TableText0"/>
              <w:rPr>
                <w:bCs w:val="0"/>
              </w:rPr>
            </w:pPr>
            <w:r w:rsidRPr="00BB59D8">
              <w:rPr>
                <w:bCs w:val="0"/>
              </w:rPr>
              <w:t xml:space="preserve">Mean Rx duration (males starting Rx at age 5) = 11 </w:t>
            </w:r>
            <w:r w:rsidRPr="00BB59D8">
              <w:rPr>
                <w:bCs w:val="0"/>
                <w:vertAlign w:val="superscript"/>
              </w:rPr>
              <w:t>d</w:t>
            </w:r>
          </w:p>
        </w:tc>
        <w:tc>
          <w:tcPr>
            <w:tcW w:w="1201" w:type="pct"/>
            <w:shd w:val="clear" w:color="auto" w:fill="auto"/>
            <w:vAlign w:val="center"/>
          </w:tcPr>
          <w:p w14:paraId="38986F98" w14:textId="77777777" w:rsidR="00A167A4" w:rsidRPr="00BB59D8" w:rsidRDefault="00A167A4" w:rsidP="00646E0D">
            <w:pPr>
              <w:pStyle w:val="TableText0"/>
              <w:rPr>
                <w:bCs w:val="0"/>
              </w:rPr>
            </w:pPr>
            <w:r w:rsidRPr="00BB59D8">
              <w:rPr>
                <w:bCs w:val="0"/>
              </w:rPr>
              <w:t>6 years</w:t>
            </w:r>
          </w:p>
        </w:tc>
      </w:tr>
      <w:tr w:rsidR="00A167A4" w:rsidRPr="00BB59D8" w14:paraId="26740D70" w14:textId="77777777" w:rsidTr="00646E0D">
        <w:trPr>
          <w:cantSplit/>
          <w:jc w:val="center"/>
        </w:trPr>
        <w:tc>
          <w:tcPr>
            <w:tcW w:w="1403" w:type="pct"/>
            <w:shd w:val="clear" w:color="auto" w:fill="auto"/>
            <w:vAlign w:val="center"/>
          </w:tcPr>
          <w:p w14:paraId="0C88899D" w14:textId="77777777" w:rsidR="00A167A4" w:rsidRPr="00BB59D8" w:rsidRDefault="00A167A4" w:rsidP="00646E0D">
            <w:pPr>
              <w:pStyle w:val="TableText0"/>
            </w:pPr>
            <w:r w:rsidRPr="00BB59D8">
              <w:t>Total cost/patient</w:t>
            </w:r>
            <w:r w:rsidR="00AD3883">
              <w:t xml:space="preserve"> ($)</w:t>
            </w:r>
          </w:p>
        </w:tc>
        <w:tc>
          <w:tcPr>
            <w:tcW w:w="1199" w:type="pct"/>
            <w:shd w:val="clear" w:color="auto" w:fill="auto"/>
            <w:vAlign w:val="center"/>
          </w:tcPr>
          <w:p w14:paraId="6D140FEB" w14:textId="77777777" w:rsidR="00A167A4" w:rsidRPr="00BB59D8" w:rsidRDefault="00A167A4" w:rsidP="00646E0D">
            <w:pPr>
              <w:pStyle w:val="TableText0"/>
            </w:pPr>
            <w:r w:rsidRPr="00BB59D8">
              <w:t>NR</w:t>
            </w:r>
          </w:p>
        </w:tc>
        <w:tc>
          <w:tcPr>
            <w:tcW w:w="1196" w:type="pct"/>
            <w:shd w:val="clear" w:color="auto" w:fill="auto"/>
            <w:vAlign w:val="center"/>
          </w:tcPr>
          <w:p w14:paraId="35B399F1" w14:textId="77777777" w:rsidR="00A167A4" w:rsidRPr="002707AA" w:rsidRDefault="002707AA" w:rsidP="00646E0D">
            <w:pPr>
              <w:pStyle w:val="TableText0"/>
              <w:rPr>
                <w:highlight w:val="black"/>
              </w:rPr>
            </w:pPr>
            <w:r>
              <w:rPr>
                <w:noProof/>
                <w:color w:val="000000"/>
                <w:highlight w:val="black"/>
              </w:rPr>
              <w:t>'''''''''''''''''''''''</w:t>
            </w:r>
          </w:p>
        </w:tc>
        <w:tc>
          <w:tcPr>
            <w:tcW w:w="1201" w:type="pct"/>
            <w:shd w:val="clear" w:color="auto" w:fill="auto"/>
            <w:vAlign w:val="center"/>
          </w:tcPr>
          <w:p w14:paraId="462577DC" w14:textId="77777777" w:rsidR="00A167A4" w:rsidRPr="002707AA" w:rsidRDefault="002707AA" w:rsidP="00646E0D">
            <w:pPr>
              <w:pStyle w:val="TableText0"/>
              <w:rPr>
                <w:highlight w:val="black"/>
              </w:rPr>
            </w:pPr>
            <w:r>
              <w:rPr>
                <w:noProof/>
                <w:color w:val="000000"/>
                <w:highlight w:val="black"/>
              </w:rPr>
              <w:t>'''''''''''''''''''''''</w:t>
            </w:r>
          </w:p>
        </w:tc>
      </w:tr>
      <w:tr w:rsidR="00A167A4" w:rsidRPr="00BB59D8" w14:paraId="6B4D53B0" w14:textId="77777777" w:rsidTr="00646E0D">
        <w:trPr>
          <w:cantSplit/>
          <w:jc w:val="center"/>
        </w:trPr>
        <w:tc>
          <w:tcPr>
            <w:tcW w:w="1403" w:type="pct"/>
            <w:shd w:val="clear" w:color="auto" w:fill="auto"/>
            <w:vAlign w:val="center"/>
          </w:tcPr>
          <w:p w14:paraId="4D344559" w14:textId="77777777" w:rsidR="00A167A4" w:rsidRPr="00BB59D8" w:rsidRDefault="00A167A4" w:rsidP="00646E0D">
            <w:pPr>
              <w:pStyle w:val="TableText0"/>
            </w:pPr>
            <w:r w:rsidRPr="00BB59D8">
              <w:t>Cost/patient/year</w:t>
            </w:r>
            <w:r w:rsidR="00AD3883">
              <w:t xml:space="preserve"> ($)</w:t>
            </w:r>
          </w:p>
        </w:tc>
        <w:tc>
          <w:tcPr>
            <w:tcW w:w="1199" w:type="pct"/>
            <w:shd w:val="clear" w:color="auto" w:fill="auto"/>
            <w:vAlign w:val="center"/>
          </w:tcPr>
          <w:p w14:paraId="695541FE" w14:textId="77777777" w:rsidR="00A167A4" w:rsidRPr="00BB59D8" w:rsidRDefault="00A167A4" w:rsidP="00646E0D">
            <w:pPr>
              <w:pStyle w:val="TableText0"/>
            </w:pPr>
            <w:r w:rsidRPr="00BB59D8">
              <w:t>NR</w:t>
            </w:r>
          </w:p>
        </w:tc>
        <w:tc>
          <w:tcPr>
            <w:tcW w:w="1196" w:type="pct"/>
            <w:shd w:val="clear" w:color="auto" w:fill="auto"/>
            <w:vAlign w:val="center"/>
          </w:tcPr>
          <w:p w14:paraId="06D1A53D" w14:textId="77777777" w:rsidR="00A167A4" w:rsidRPr="002707AA" w:rsidRDefault="002707AA" w:rsidP="00646E0D">
            <w:pPr>
              <w:pStyle w:val="TableText0"/>
              <w:rPr>
                <w:highlight w:val="black"/>
              </w:rPr>
            </w:pPr>
            <w:r>
              <w:rPr>
                <w:noProof/>
                <w:color w:val="000000"/>
                <w:highlight w:val="black"/>
              </w:rPr>
              <w:t>''''''''''''''''''</w:t>
            </w:r>
          </w:p>
        </w:tc>
        <w:tc>
          <w:tcPr>
            <w:tcW w:w="1201" w:type="pct"/>
            <w:shd w:val="clear" w:color="auto" w:fill="auto"/>
            <w:vAlign w:val="center"/>
          </w:tcPr>
          <w:p w14:paraId="33BCC138" w14:textId="77777777" w:rsidR="00A167A4" w:rsidRPr="002707AA" w:rsidRDefault="002707AA" w:rsidP="00646E0D">
            <w:pPr>
              <w:pStyle w:val="TableText0"/>
              <w:rPr>
                <w:highlight w:val="black"/>
              </w:rPr>
            </w:pPr>
            <w:r>
              <w:rPr>
                <w:noProof/>
                <w:color w:val="000000"/>
                <w:highlight w:val="black"/>
              </w:rPr>
              <w:t>'''''''''''''''''</w:t>
            </w:r>
          </w:p>
        </w:tc>
      </w:tr>
    </w:tbl>
    <w:p w14:paraId="109078AF" w14:textId="77777777" w:rsidR="00F65044" w:rsidRPr="00BB59D8" w:rsidRDefault="00A167A4" w:rsidP="00A167A4">
      <w:pPr>
        <w:pStyle w:val="TableFigureFooter"/>
      </w:pPr>
      <w:r w:rsidRPr="00BB59D8">
        <w:t>NR</w:t>
      </w:r>
      <w:r w:rsidR="00037C6F" w:rsidRPr="00BB59D8">
        <w:t xml:space="preserve"> </w:t>
      </w:r>
      <w:r w:rsidRPr="00BB59D8">
        <w:t>= not reported</w:t>
      </w:r>
      <w:r w:rsidR="00413487" w:rsidRPr="00BB59D8">
        <w:t>; EU-IGFD = European Increlex® Growth Forum Database; mg = milligram; kg = kilogram.</w:t>
      </w:r>
    </w:p>
    <w:p w14:paraId="11727ADD" w14:textId="77777777" w:rsidR="000B54F7" w:rsidRPr="00BB59D8" w:rsidRDefault="00F65044" w:rsidP="00A167A4">
      <w:pPr>
        <w:pStyle w:val="TableFigureFooter"/>
      </w:pPr>
      <w:r w:rsidRPr="00BB59D8">
        <w:rPr>
          <w:vertAlign w:val="superscript"/>
        </w:rPr>
        <w:t xml:space="preserve">a </w:t>
      </w:r>
      <w:r w:rsidRPr="00BB59D8">
        <w:t>Source: Cell J14, Tx Cohorts Model, Economic model worksheet.</w:t>
      </w:r>
    </w:p>
    <w:p w14:paraId="6FE026FB" w14:textId="77777777" w:rsidR="00A167A4" w:rsidRPr="00BB59D8" w:rsidRDefault="000B54F7" w:rsidP="00A167A4">
      <w:pPr>
        <w:pStyle w:val="TableFigureFooter"/>
      </w:pPr>
      <w:r w:rsidRPr="00BB59D8">
        <w:rPr>
          <w:vertAlign w:val="superscript"/>
        </w:rPr>
        <w:t xml:space="preserve">b </w:t>
      </w:r>
      <w:r w:rsidRPr="00BB59D8">
        <w:t>Source: Cell FG14, Tx Cohorts Model, Economic model worksheet.</w:t>
      </w:r>
    </w:p>
    <w:p w14:paraId="05445BF4" w14:textId="77777777" w:rsidR="000B54F7" w:rsidRPr="00BB59D8" w:rsidRDefault="000B54F7" w:rsidP="00A167A4">
      <w:pPr>
        <w:pStyle w:val="TableFigureFooter"/>
      </w:pPr>
      <w:r w:rsidRPr="00BB59D8">
        <w:rPr>
          <w:vertAlign w:val="superscript"/>
        </w:rPr>
        <w:t xml:space="preserve">c </w:t>
      </w:r>
      <w:r w:rsidRPr="00BB59D8">
        <w:t>Source: Cell BI14, Tx Cohorts Model, Economic model worksheet.</w:t>
      </w:r>
    </w:p>
    <w:p w14:paraId="2A88615B" w14:textId="77777777" w:rsidR="000B54F7" w:rsidRPr="00BB59D8" w:rsidRDefault="000B54F7" w:rsidP="00A167A4">
      <w:pPr>
        <w:pStyle w:val="TableFigureFooter"/>
      </w:pPr>
      <w:r w:rsidRPr="00BB59D8">
        <w:rPr>
          <w:vertAlign w:val="superscript"/>
        </w:rPr>
        <w:t xml:space="preserve">d </w:t>
      </w:r>
      <w:r w:rsidRPr="00BB59D8">
        <w:t>Source: Cell HF14, Tx Cohorts Model, Economic model worksheet</w:t>
      </w:r>
    </w:p>
    <w:p w14:paraId="4D0B9EFF" w14:textId="77777777" w:rsidR="00A167A4" w:rsidRPr="00BB59D8" w:rsidRDefault="00A167A4" w:rsidP="00A167A4">
      <w:pPr>
        <w:pStyle w:val="TableFigureFooter"/>
      </w:pPr>
      <w:r w:rsidRPr="00BB59D8">
        <w:t>Source: Section 3.8.1 and Table 4-6, pp122, 131 of the submission.</w:t>
      </w:r>
    </w:p>
    <w:p w14:paraId="51DF8CA7" w14:textId="77777777" w:rsidR="00D3100F" w:rsidRPr="00BB59D8" w:rsidRDefault="00D3100F" w:rsidP="00D3100F">
      <w:pPr>
        <w:pStyle w:val="4-SubsectionHeading"/>
      </w:pPr>
      <w:r w:rsidRPr="00BB59D8">
        <w:t>Estimated PBS usage &amp; financial implications</w:t>
      </w:r>
    </w:p>
    <w:p w14:paraId="0823D1B7" w14:textId="77777777" w:rsidR="00D3100F" w:rsidRPr="00BB59D8" w:rsidRDefault="00D3100F" w:rsidP="00D3100F">
      <w:pPr>
        <w:pStyle w:val="3-BodyText"/>
      </w:pPr>
      <w:bookmarkStart w:id="46" w:name="_Hlk50110924"/>
      <w:r w:rsidRPr="00BB59D8">
        <w:t xml:space="preserve">This submission </w:t>
      </w:r>
      <w:r w:rsidR="004E1174" w:rsidRPr="00BB59D8">
        <w:t>was</w:t>
      </w:r>
      <w:r w:rsidRPr="00BB59D8">
        <w:t xml:space="preserve"> considered by DUSC</w:t>
      </w:r>
      <w:bookmarkEnd w:id="46"/>
      <w:r w:rsidRPr="00BB59D8">
        <w:t xml:space="preserve">. </w:t>
      </w:r>
    </w:p>
    <w:p w14:paraId="6131144C" w14:textId="77777777" w:rsidR="00D3100F" w:rsidRPr="00BB59D8" w:rsidRDefault="00D3100F" w:rsidP="00D3100F">
      <w:pPr>
        <w:pStyle w:val="3-BodyText"/>
      </w:pPr>
      <w:r w:rsidRPr="00BB59D8">
        <w:t>An epidemiological approach was used to estimate the financial impact of listing mecasermin on the PBS to treat SPIGFD.</w:t>
      </w:r>
    </w:p>
    <w:p w14:paraId="32E49801" w14:textId="77777777" w:rsidR="00D3100F" w:rsidRPr="00BB59D8" w:rsidRDefault="00D3100F" w:rsidP="00D3100F">
      <w:pPr>
        <w:pStyle w:val="3-BodyText"/>
      </w:pPr>
      <w:r w:rsidRPr="00BB59D8">
        <w:t>In the absence of Australian prevalence data for SPIGFD, the submission used international sales and EU-IGFD Registry data for mecasermin to estimate the number of eligible patients.</w:t>
      </w:r>
    </w:p>
    <w:p w14:paraId="06A82387" w14:textId="77777777" w:rsidR="00D3100F" w:rsidRPr="00BB59D8" w:rsidRDefault="00D3100F" w:rsidP="00D3100F">
      <w:pPr>
        <w:pStyle w:val="3-BodyText"/>
        <w:rPr>
          <w:color w:val="0066FF"/>
        </w:rPr>
      </w:pPr>
      <w:r w:rsidRPr="00BB59D8">
        <w:t>Key inputs used in the financial estimates are shown in Table 1</w:t>
      </w:r>
      <w:r w:rsidR="00653383" w:rsidRPr="00BB59D8">
        <w:t>5</w:t>
      </w:r>
      <w:r w:rsidRPr="00BB59D8">
        <w:t>.</w:t>
      </w:r>
    </w:p>
    <w:p w14:paraId="7B679841" w14:textId="77777777" w:rsidR="00D3100F" w:rsidRPr="00BB59D8" w:rsidRDefault="00D3100F" w:rsidP="00D3100F">
      <w:pPr>
        <w:pStyle w:val="TableFigureHeading"/>
        <w:rPr>
          <w:rStyle w:val="CommentReference"/>
          <w:b/>
          <w:szCs w:val="24"/>
        </w:rPr>
      </w:pPr>
      <w:r w:rsidRPr="00BB59D8">
        <w:rPr>
          <w:rStyle w:val="CommentReference"/>
          <w:b/>
          <w:szCs w:val="24"/>
        </w:rPr>
        <w:t>Table 1</w:t>
      </w:r>
      <w:r w:rsidR="00653383" w:rsidRPr="00BB59D8">
        <w:rPr>
          <w:rStyle w:val="CommentReference"/>
          <w:b/>
          <w:szCs w:val="24"/>
        </w:rPr>
        <w:t>5</w:t>
      </w:r>
      <w:r w:rsidRPr="00BB59D8">
        <w:rPr>
          <w:rStyle w:val="CommentReference"/>
          <w:b/>
          <w:szCs w:val="24"/>
        </w:rPr>
        <w:t>: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Key inputs for financial estimates"/>
      </w:tblPr>
      <w:tblGrid>
        <w:gridCol w:w="2048"/>
        <w:gridCol w:w="1567"/>
        <w:gridCol w:w="2817"/>
        <w:gridCol w:w="2748"/>
      </w:tblGrid>
      <w:tr w:rsidR="00D3100F" w:rsidRPr="00BB59D8" w14:paraId="73DBEAE5" w14:textId="77777777" w:rsidTr="009F73A9">
        <w:trPr>
          <w:tblHeader/>
        </w:trPr>
        <w:tc>
          <w:tcPr>
            <w:tcW w:w="2048" w:type="dxa"/>
            <w:vAlign w:val="center"/>
          </w:tcPr>
          <w:p w14:paraId="5048E7E1" w14:textId="77777777" w:rsidR="00D3100F" w:rsidRPr="00BB59D8" w:rsidRDefault="00D3100F" w:rsidP="009F73A9">
            <w:pPr>
              <w:pStyle w:val="In-tableHeading"/>
              <w:rPr>
                <w:iCs/>
                <w:lang w:val="en-AU"/>
              </w:rPr>
            </w:pPr>
            <w:r w:rsidRPr="00BB59D8">
              <w:rPr>
                <w:iCs/>
                <w:lang w:val="en-AU"/>
              </w:rPr>
              <w:t>Data</w:t>
            </w:r>
          </w:p>
        </w:tc>
        <w:tc>
          <w:tcPr>
            <w:tcW w:w="1567" w:type="dxa"/>
            <w:vAlign w:val="center"/>
          </w:tcPr>
          <w:p w14:paraId="17F47CBB" w14:textId="77777777" w:rsidR="00D3100F" w:rsidRPr="00BB59D8" w:rsidRDefault="00D3100F" w:rsidP="009F73A9">
            <w:pPr>
              <w:pStyle w:val="In-tableHeading"/>
              <w:rPr>
                <w:iCs/>
                <w:lang w:val="en-AU"/>
              </w:rPr>
            </w:pPr>
            <w:r w:rsidRPr="00BB59D8">
              <w:rPr>
                <w:iCs/>
                <w:lang w:val="en-AU"/>
              </w:rPr>
              <w:t>Value</w:t>
            </w:r>
          </w:p>
        </w:tc>
        <w:tc>
          <w:tcPr>
            <w:tcW w:w="2817" w:type="dxa"/>
            <w:vAlign w:val="center"/>
          </w:tcPr>
          <w:p w14:paraId="1961CB2E" w14:textId="77777777" w:rsidR="00D3100F" w:rsidRPr="00BB59D8" w:rsidRDefault="00D3100F" w:rsidP="009F73A9">
            <w:pPr>
              <w:pStyle w:val="In-tableHeading"/>
              <w:rPr>
                <w:iCs/>
                <w:lang w:val="en-AU"/>
              </w:rPr>
            </w:pPr>
            <w:r w:rsidRPr="00BB59D8">
              <w:rPr>
                <w:iCs/>
                <w:lang w:val="en-AU"/>
              </w:rPr>
              <w:t>Source</w:t>
            </w:r>
          </w:p>
        </w:tc>
        <w:tc>
          <w:tcPr>
            <w:tcW w:w="2748" w:type="dxa"/>
            <w:vAlign w:val="center"/>
          </w:tcPr>
          <w:p w14:paraId="57BC74DB" w14:textId="77777777" w:rsidR="00D3100F" w:rsidRPr="00BB59D8" w:rsidRDefault="00D3100F" w:rsidP="009F73A9">
            <w:pPr>
              <w:pStyle w:val="In-tableHeading"/>
              <w:rPr>
                <w:iCs/>
                <w:lang w:val="en-AU"/>
              </w:rPr>
            </w:pPr>
            <w:r w:rsidRPr="00BB59D8">
              <w:rPr>
                <w:iCs/>
                <w:lang w:val="en-AU"/>
              </w:rPr>
              <w:t>Comment</w:t>
            </w:r>
          </w:p>
        </w:tc>
      </w:tr>
      <w:tr w:rsidR="00D3100F" w:rsidRPr="00BB59D8" w14:paraId="67947FE8" w14:textId="77777777" w:rsidTr="009F73A9">
        <w:tc>
          <w:tcPr>
            <w:tcW w:w="9180" w:type="dxa"/>
            <w:gridSpan w:val="4"/>
            <w:vAlign w:val="center"/>
          </w:tcPr>
          <w:p w14:paraId="56CF3E43" w14:textId="77777777" w:rsidR="00D3100F" w:rsidRPr="00BB59D8" w:rsidRDefault="00D3100F" w:rsidP="009F73A9">
            <w:pPr>
              <w:pStyle w:val="In-tableHeading"/>
              <w:rPr>
                <w:iCs/>
                <w:lang w:val="en-AU"/>
              </w:rPr>
            </w:pPr>
            <w:r w:rsidRPr="00BB59D8">
              <w:rPr>
                <w:iCs/>
                <w:lang w:val="en-AU"/>
              </w:rPr>
              <w:t>Eligible population</w:t>
            </w:r>
          </w:p>
        </w:tc>
      </w:tr>
      <w:tr w:rsidR="00D3100F" w:rsidRPr="00BB59D8" w14:paraId="0EC7557D" w14:textId="77777777" w:rsidTr="009F73A9">
        <w:tc>
          <w:tcPr>
            <w:tcW w:w="2048" w:type="dxa"/>
            <w:vAlign w:val="center"/>
          </w:tcPr>
          <w:p w14:paraId="46FBD2E1" w14:textId="77777777" w:rsidR="00D3100F" w:rsidRPr="00BB59D8" w:rsidRDefault="00D3100F" w:rsidP="009F73A9">
            <w:pPr>
              <w:pStyle w:val="TableText0"/>
              <w:rPr>
                <w:iCs/>
              </w:rPr>
            </w:pPr>
            <w:r w:rsidRPr="00BB59D8">
              <w:rPr>
                <w:iCs/>
              </w:rPr>
              <w:t xml:space="preserve">Australian population </w:t>
            </w:r>
            <w:r w:rsidRPr="00BB59D8">
              <w:rPr>
                <w:iCs/>
              </w:rPr>
              <w:br/>
              <w:t>(0 to 100 years)</w:t>
            </w:r>
          </w:p>
        </w:tc>
        <w:tc>
          <w:tcPr>
            <w:tcW w:w="1567" w:type="dxa"/>
            <w:vAlign w:val="center"/>
          </w:tcPr>
          <w:p w14:paraId="45D5D549" w14:textId="77777777" w:rsidR="00D3100F" w:rsidRPr="00BB59D8" w:rsidRDefault="00D3100F" w:rsidP="009F73A9">
            <w:pPr>
              <w:pStyle w:val="TableText0"/>
              <w:rPr>
                <w:iCs/>
              </w:rPr>
            </w:pPr>
            <w:r w:rsidRPr="00BB59D8">
              <w:rPr>
                <w:iCs/>
              </w:rPr>
              <w:t>2022: 26,301,274</w:t>
            </w:r>
          </w:p>
          <w:p w14:paraId="3764194D" w14:textId="77777777" w:rsidR="00D3100F" w:rsidRPr="00BB59D8" w:rsidRDefault="00D3100F" w:rsidP="009F73A9">
            <w:pPr>
              <w:pStyle w:val="TableText0"/>
              <w:rPr>
                <w:iCs/>
              </w:rPr>
            </w:pPr>
            <w:r w:rsidRPr="00BB59D8">
              <w:rPr>
                <w:iCs/>
              </w:rPr>
              <w:t>2023: 26,727,025</w:t>
            </w:r>
          </w:p>
          <w:p w14:paraId="162B7944" w14:textId="77777777" w:rsidR="00D3100F" w:rsidRPr="00BB59D8" w:rsidRDefault="00D3100F" w:rsidP="009F73A9">
            <w:pPr>
              <w:pStyle w:val="TableText0"/>
              <w:rPr>
                <w:iCs/>
              </w:rPr>
            </w:pPr>
            <w:r w:rsidRPr="00BB59D8">
              <w:rPr>
                <w:iCs/>
              </w:rPr>
              <w:t>2024: 27,147,199</w:t>
            </w:r>
          </w:p>
          <w:p w14:paraId="1CD7D476" w14:textId="77777777" w:rsidR="00D3100F" w:rsidRPr="00BB59D8" w:rsidRDefault="00D3100F" w:rsidP="009F73A9">
            <w:pPr>
              <w:pStyle w:val="TableText0"/>
              <w:rPr>
                <w:iCs/>
              </w:rPr>
            </w:pPr>
            <w:r w:rsidRPr="00BB59D8">
              <w:rPr>
                <w:iCs/>
              </w:rPr>
              <w:t>2025: 27,562,195</w:t>
            </w:r>
          </w:p>
          <w:p w14:paraId="1EFE7388" w14:textId="77777777" w:rsidR="00D3100F" w:rsidRPr="00BB59D8" w:rsidRDefault="00D3100F" w:rsidP="009F73A9">
            <w:pPr>
              <w:pStyle w:val="TableText0"/>
              <w:rPr>
                <w:iCs/>
              </w:rPr>
            </w:pPr>
            <w:r w:rsidRPr="00BB59D8">
              <w:rPr>
                <w:iCs/>
              </w:rPr>
              <w:t>2026: 27,970,435</w:t>
            </w:r>
          </w:p>
          <w:p w14:paraId="22A2F8E2" w14:textId="77777777" w:rsidR="00D3100F" w:rsidRPr="00BB59D8" w:rsidRDefault="00D3100F" w:rsidP="009F73A9">
            <w:pPr>
              <w:pStyle w:val="TableText0"/>
              <w:rPr>
                <w:iCs/>
              </w:rPr>
            </w:pPr>
            <w:r w:rsidRPr="00BB59D8">
              <w:rPr>
                <w:iCs/>
              </w:rPr>
              <w:t>2027: 28,372,315</w:t>
            </w:r>
          </w:p>
        </w:tc>
        <w:tc>
          <w:tcPr>
            <w:tcW w:w="2817" w:type="dxa"/>
            <w:vAlign w:val="center"/>
          </w:tcPr>
          <w:p w14:paraId="6132ACB9" w14:textId="77777777" w:rsidR="00D3100F" w:rsidRPr="00BB59D8" w:rsidRDefault="00D3100F" w:rsidP="009F73A9">
            <w:pPr>
              <w:pStyle w:val="TableText0"/>
              <w:rPr>
                <w:iCs/>
              </w:rPr>
            </w:pPr>
            <w:r w:rsidRPr="00BB59D8">
              <w:rPr>
                <w:iCs/>
              </w:rPr>
              <w:t>Australian Bureau of Statistics</w:t>
            </w:r>
          </w:p>
        </w:tc>
        <w:tc>
          <w:tcPr>
            <w:tcW w:w="2748" w:type="dxa"/>
            <w:vAlign w:val="center"/>
          </w:tcPr>
          <w:p w14:paraId="70191F01" w14:textId="77777777" w:rsidR="00D3100F" w:rsidRPr="00BB59D8" w:rsidRDefault="00D3100F" w:rsidP="009F73A9">
            <w:pPr>
              <w:pStyle w:val="TableText0"/>
              <w:rPr>
                <w:iCs/>
              </w:rPr>
            </w:pPr>
          </w:p>
        </w:tc>
      </w:tr>
      <w:tr w:rsidR="00D3100F" w:rsidRPr="00BB59D8" w14:paraId="4A9FF8AF" w14:textId="77777777" w:rsidTr="009F73A9">
        <w:tc>
          <w:tcPr>
            <w:tcW w:w="2048" w:type="dxa"/>
            <w:vAlign w:val="center"/>
          </w:tcPr>
          <w:p w14:paraId="10275416" w14:textId="77777777" w:rsidR="00D3100F" w:rsidRPr="00BB59D8" w:rsidRDefault="00D3100F" w:rsidP="009F73A9">
            <w:pPr>
              <w:pStyle w:val="TableText0"/>
              <w:rPr>
                <w:iCs/>
              </w:rPr>
            </w:pPr>
            <w:r w:rsidRPr="00BB59D8">
              <w:rPr>
                <w:iCs/>
              </w:rPr>
              <w:t>Eligible patients</w:t>
            </w:r>
          </w:p>
        </w:tc>
        <w:tc>
          <w:tcPr>
            <w:tcW w:w="1567" w:type="dxa"/>
            <w:vAlign w:val="center"/>
          </w:tcPr>
          <w:p w14:paraId="4FD181E5" w14:textId="77777777" w:rsidR="00D3100F" w:rsidRPr="00BB59D8" w:rsidRDefault="00D3100F" w:rsidP="009F73A9">
            <w:pPr>
              <w:pStyle w:val="TableText0"/>
              <w:rPr>
                <w:iCs/>
              </w:rPr>
            </w:pPr>
            <w:r w:rsidRPr="00BB59D8">
              <w:rPr>
                <w:iCs/>
              </w:rPr>
              <w:t>0.000053%</w:t>
            </w:r>
          </w:p>
        </w:tc>
        <w:tc>
          <w:tcPr>
            <w:tcW w:w="2817" w:type="dxa"/>
            <w:vAlign w:val="center"/>
          </w:tcPr>
          <w:p w14:paraId="337106FC" w14:textId="77777777" w:rsidR="00D3100F" w:rsidRPr="00BB59D8" w:rsidRDefault="00D3100F" w:rsidP="009F73A9">
            <w:pPr>
              <w:pStyle w:val="TableText0"/>
              <w:rPr>
                <w:iCs/>
              </w:rPr>
            </w:pPr>
            <w:r w:rsidRPr="00BB59D8">
              <w:rPr>
                <w:iCs/>
              </w:rPr>
              <w:t>Assumption based on sponsor’s internal sales data from the top five European markets</w:t>
            </w:r>
          </w:p>
        </w:tc>
        <w:tc>
          <w:tcPr>
            <w:tcW w:w="2748" w:type="dxa"/>
            <w:vAlign w:val="center"/>
          </w:tcPr>
          <w:p w14:paraId="1225AE64" w14:textId="1E483F20" w:rsidR="00D3100F" w:rsidRPr="00BB59D8" w:rsidRDefault="00D3100F" w:rsidP="009F73A9">
            <w:pPr>
              <w:pStyle w:val="TableText0"/>
              <w:rPr>
                <w:iCs/>
              </w:rPr>
            </w:pPr>
            <w:r w:rsidRPr="00BB59D8">
              <w:rPr>
                <w:iCs/>
              </w:rPr>
              <w:t>This estimate is likely underestimated</w:t>
            </w:r>
            <w:r w:rsidRPr="00BB59D8">
              <w:t xml:space="preserve"> </w:t>
            </w:r>
            <w:r w:rsidRPr="00BB59D8">
              <w:rPr>
                <w:iCs/>
              </w:rPr>
              <w:t xml:space="preserve">given the uncertainty in the numbers provided in the TGA application and the submission. This assumption was tested in the sensitivity analysis performed during the evaluation. </w:t>
            </w:r>
          </w:p>
        </w:tc>
      </w:tr>
      <w:tr w:rsidR="00D3100F" w:rsidRPr="00BB59D8" w14:paraId="151FAFED" w14:textId="77777777" w:rsidTr="009F73A9">
        <w:tc>
          <w:tcPr>
            <w:tcW w:w="2048" w:type="dxa"/>
            <w:vAlign w:val="center"/>
          </w:tcPr>
          <w:p w14:paraId="761440EA" w14:textId="77777777" w:rsidR="00D3100F" w:rsidRPr="00BB59D8" w:rsidRDefault="00D3100F" w:rsidP="009F73A9">
            <w:pPr>
              <w:pStyle w:val="TableText0"/>
              <w:rPr>
                <w:iCs/>
              </w:rPr>
            </w:pPr>
            <w:r w:rsidRPr="00BB59D8">
              <w:rPr>
                <w:iCs/>
              </w:rPr>
              <w:t>Uptake rate (ramp-up assumptions)</w:t>
            </w:r>
          </w:p>
        </w:tc>
        <w:tc>
          <w:tcPr>
            <w:tcW w:w="1567" w:type="dxa"/>
            <w:vAlign w:val="center"/>
          </w:tcPr>
          <w:p w14:paraId="020B4E11" w14:textId="77777777" w:rsidR="00D3100F" w:rsidRPr="00BB59D8" w:rsidRDefault="00D3100F" w:rsidP="009F73A9">
            <w:pPr>
              <w:pStyle w:val="TableText0"/>
              <w:rPr>
                <w:iCs/>
              </w:rPr>
            </w:pPr>
            <w:r w:rsidRPr="00BB59D8">
              <w:rPr>
                <w:iCs/>
              </w:rPr>
              <w:t>Yr 1: 0%</w:t>
            </w:r>
          </w:p>
          <w:p w14:paraId="06BE9BCD" w14:textId="77777777" w:rsidR="00D3100F" w:rsidRPr="00BB59D8" w:rsidRDefault="00D3100F" w:rsidP="009F73A9">
            <w:pPr>
              <w:pStyle w:val="TableText0"/>
              <w:rPr>
                <w:iCs/>
              </w:rPr>
            </w:pPr>
            <w:r w:rsidRPr="00BB59D8">
              <w:rPr>
                <w:iCs/>
              </w:rPr>
              <w:t>Yr 2: 14%</w:t>
            </w:r>
          </w:p>
          <w:p w14:paraId="596BAEBC" w14:textId="77777777" w:rsidR="00D3100F" w:rsidRPr="00BB59D8" w:rsidRDefault="00D3100F" w:rsidP="009F73A9">
            <w:pPr>
              <w:pStyle w:val="TableText0"/>
              <w:rPr>
                <w:iCs/>
              </w:rPr>
            </w:pPr>
            <w:r w:rsidRPr="00BB59D8">
              <w:rPr>
                <w:iCs/>
              </w:rPr>
              <w:t>Yr 3: 29%</w:t>
            </w:r>
          </w:p>
          <w:p w14:paraId="131B5A07" w14:textId="77777777" w:rsidR="00D3100F" w:rsidRPr="00BB59D8" w:rsidRDefault="00D3100F" w:rsidP="009F73A9">
            <w:pPr>
              <w:pStyle w:val="TableText0"/>
              <w:rPr>
                <w:iCs/>
              </w:rPr>
            </w:pPr>
            <w:r w:rsidRPr="00BB59D8">
              <w:rPr>
                <w:iCs/>
              </w:rPr>
              <w:t>Yr 4: 43%</w:t>
            </w:r>
          </w:p>
          <w:p w14:paraId="1B596CC7" w14:textId="77777777" w:rsidR="00D3100F" w:rsidRPr="00BB59D8" w:rsidRDefault="00D3100F" w:rsidP="009F73A9">
            <w:pPr>
              <w:pStyle w:val="TableText0"/>
              <w:rPr>
                <w:iCs/>
              </w:rPr>
            </w:pPr>
            <w:r w:rsidRPr="00BB59D8">
              <w:rPr>
                <w:iCs/>
              </w:rPr>
              <w:t>Yr 5: 57%</w:t>
            </w:r>
          </w:p>
          <w:p w14:paraId="50AEC48A" w14:textId="77777777" w:rsidR="00D3100F" w:rsidRPr="00BB59D8" w:rsidRDefault="00D3100F" w:rsidP="009F73A9">
            <w:pPr>
              <w:pStyle w:val="TableText0"/>
              <w:rPr>
                <w:iCs/>
              </w:rPr>
            </w:pPr>
            <w:r w:rsidRPr="00BB59D8">
              <w:rPr>
                <w:iCs/>
              </w:rPr>
              <w:t>Yr 6: 73%</w:t>
            </w:r>
          </w:p>
        </w:tc>
        <w:tc>
          <w:tcPr>
            <w:tcW w:w="2817" w:type="dxa"/>
            <w:vAlign w:val="center"/>
          </w:tcPr>
          <w:p w14:paraId="5BB6CF74" w14:textId="77777777" w:rsidR="00D3100F" w:rsidRPr="00BB59D8" w:rsidRDefault="00D3100F" w:rsidP="009F73A9">
            <w:pPr>
              <w:pStyle w:val="TableText0"/>
              <w:rPr>
                <w:iCs/>
              </w:rPr>
            </w:pPr>
            <w:r w:rsidRPr="00BB59D8">
              <w:rPr>
                <w:iCs/>
              </w:rPr>
              <w:t>Assumption based on sponsor’s internal sales data from the top five European markets and cross-checked against European IGFD Registry data</w:t>
            </w:r>
          </w:p>
        </w:tc>
        <w:tc>
          <w:tcPr>
            <w:tcW w:w="2748" w:type="dxa"/>
            <w:vAlign w:val="center"/>
          </w:tcPr>
          <w:p w14:paraId="0F416F82" w14:textId="77777777" w:rsidR="00D3100F" w:rsidRPr="00BB59D8" w:rsidRDefault="00D3100F" w:rsidP="009F73A9">
            <w:pPr>
              <w:pStyle w:val="TableText0"/>
              <w:rPr>
                <w:iCs/>
              </w:rPr>
            </w:pPr>
            <w:r w:rsidRPr="00BB59D8">
              <w:rPr>
                <w:iCs/>
              </w:rPr>
              <w:t>Since mecasermin is the only treatment available for patients with SPIGFD, the uptake rates may be higher than those assumed by the submission. This assumption was tested in the sensitivity analysis performed during the evaluation.</w:t>
            </w:r>
          </w:p>
          <w:p w14:paraId="5C5F83F3" w14:textId="77777777" w:rsidR="00D3100F" w:rsidRPr="00BB59D8" w:rsidRDefault="00D3100F" w:rsidP="009F73A9">
            <w:pPr>
              <w:pStyle w:val="TableText0"/>
              <w:rPr>
                <w:iCs/>
              </w:rPr>
            </w:pPr>
          </w:p>
          <w:p w14:paraId="5755E42E" w14:textId="77777777" w:rsidR="00D3100F" w:rsidRPr="00BB59D8" w:rsidRDefault="00D3100F" w:rsidP="009F73A9">
            <w:pPr>
              <w:pStyle w:val="TableText0"/>
              <w:rPr>
                <w:iCs/>
              </w:rPr>
            </w:pPr>
            <w:r w:rsidRPr="00BB59D8">
              <w:rPr>
                <w:iCs/>
              </w:rPr>
              <w:t>Also, it seems unlikely that there would be zero new patients in the first year of listing.</w:t>
            </w:r>
          </w:p>
        </w:tc>
      </w:tr>
      <w:tr w:rsidR="00D3100F" w:rsidRPr="00BB59D8" w14:paraId="2ED5DBB9" w14:textId="77777777" w:rsidTr="009F73A9">
        <w:tc>
          <w:tcPr>
            <w:tcW w:w="9180" w:type="dxa"/>
            <w:gridSpan w:val="4"/>
            <w:vAlign w:val="center"/>
          </w:tcPr>
          <w:p w14:paraId="7BACCA32" w14:textId="77777777" w:rsidR="00D3100F" w:rsidRPr="00BB59D8" w:rsidRDefault="00D3100F" w:rsidP="009F73A9">
            <w:pPr>
              <w:pStyle w:val="TableText0"/>
              <w:rPr>
                <w:b/>
                <w:iCs/>
              </w:rPr>
            </w:pPr>
            <w:r w:rsidRPr="00BB59D8">
              <w:rPr>
                <w:b/>
                <w:iCs/>
              </w:rPr>
              <w:t>Treatment utilisation</w:t>
            </w:r>
          </w:p>
        </w:tc>
      </w:tr>
      <w:tr w:rsidR="00D3100F" w:rsidRPr="00BB59D8" w14:paraId="6837D279" w14:textId="77777777" w:rsidTr="009F73A9">
        <w:tc>
          <w:tcPr>
            <w:tcW w:w="2048" w:type="dxa"/>
            <w:vAlign w:val="center"/>
          </w:tcPr>
          <w:p w14:paraId="5D5B0FE9" w14:textId="77777777" w:rsidR="00D3100F" w:rsidRPr="00BB59D8" w:rsidRDefault="00D3100F" w:rsidP="009F73A9">
            <w:pPr>
              <w:pStyle w:val="TableText0"/>
              <w:rPr>
                <w:iCs/>
              </w:rPr>
            </w:pPr>
            <w:r w:rsidRPr="00BB59D8">
              <w:rPr>
                <w:iCs/>
              </w:rPr>
              <w:t>Patients initiating treatment</w:t>
            </w:r>
          </w:p>
        </w:tc>
        <w:tc>
          <w:tcPr>
            <w:tcW w:w="1567" w:type="dxa"/>
            <w:vAlign w:val="center"/>
          </w:tcPr>
          <w:p w14:paraId="097E5755" w14:textId="77777777" w:rsidR="00D3100F" w:rsidRPr="00BB59D8" w:rsidRDefault="00D3100F" w:rsidP="009F73A9">
            <w:pPr>
              <w:pStyle w:val="TableText0"/>
              <w:rPr>
                <w:iCs/>
              </w:rPr>
            </w:pPr>
            <w:r w:rsidRPr="00BB59D8">
              <w:rPr>
                <w:iCs/>
              </w:rPr>
              <w:t>Yr 1: 0%</w:t>
            </w:r>
          </w:p>
          <w:p w14:paraId="4EE90AC1" w14:textId="77777777" w:rsidR="00D3100F" w:rsidRPr="00BB59D8" w:rsidRDefault="00D3100F" w:rsidP="009F73A9">
            <w:pPr>
              <w:pStyle w:val="TableText0"/>
              <w:rPr>
                <w:iCs/>
              </w:rPr>
            </w:pPr>
            <w:r w:rsidRPr="00BB59D8">
              <w:rPr>
                <w:iCs/>
              </w:rPr>
              <w:t>Yr 2: 100%</w:t>
            </w:r>
          </w:p>
          <w:p w14:paraId="5D4E74C3" w14:textId="77777777" w:rsidR="00D3100F" w:rsidRPr="00BB59D8" w:rsidRDefault="00D3100F" w:rsidP="009F73A9">
            <w:pPr>
              <w:pStyle w:val="TableText0"/>
              <w:rPr>
                <w:iCs/>
              </w:rPr>
            </w:pPr>
            <w:r w:rsidRPr="00BB59D8">
              <w:rPr>
                <w:iCs/>
              </w:rPr>
              <w:t>Yr 3: 50%</w:t>
            </w:r>
          </w:p>
          <w:p w14:paraId="25E25733" w14:textId="77777777" w:rsidR="00D3100F" w:rsidRPr="00BB59D8" w:rsidRDefault="00D3100F" w:rsidP="009F73A9">
            <w:pPr>
              <w:pStyle w:val="TableText0"/>
              <w:rPr>
                <w:iCs/>
              </w:rPr>
            </w:pPr>
            <w:r w:rsidRPr="00BB59D8">
              <w:rPr>
                <w:iCs/>
              </w:rPr>
              <w:t>Yr 4: 25%</w:t>
            </w:r>
          </w:p>
          <w:p w14:paraId="77380AC1" w14:textId="77777777" w:rsidR="00D3100F" w:rsidRPr="00BB59D8" w:rsidRDefault="00D3100F" w:rsidP="009F73A9">
            <w:pPr>
              <w:pStyle w:val="TableText0"/>
              <w:rPr>
                <w:iCs/>
              </w:rPr>
            </w:pPr>
            <w:r w:rsidRPr="00BB59D8">
              <w:rPr>
                <w:iCs/>
              </w:rPr>
              <w:t>Yr 5: 25%</w:t>
            </w:r>
          </w:p>
          <w:p w14:paraId="3C01760A" w14:textId="77777777" w:rsidR="00D3100F" w:rsidRPr="00BB59D8" w:rsidRDefault="00D3100F" w:rsidP="009F73A9">
            <w:pPr>
              <w:pStyle w:val="TableText0"/>
              <w:rPr>
                <w:iCs/>
              </w:rPr>
            </w:pPr>
            <w:r w:rsidRPr="00BB59D8">
              <w:rPr>
                <w:iCs/>
              </w:rPr>
              <w:t>Yr 6: 20%</w:t>
            </w:r>
          </w:p>
        </w:tc>
        <w:tc>
          <w:tcPr>
            <w:tcW w:w="2817" w:type="dxa"/>
            <w:vAlign w:val="center"/>
          </w:tcPr>
          <w:p w14:paraId="1F1A3514" w14:textId="77777777" w:rsidR="00D3100F" w:rsidRPr="00BB59D8" w:rsidRDefault="00D3100F" w:rsidP="009F73A9">
            <w:pPr>
              <w:pStyle w:val="TableText0"/>
              <w:rPr>
                <w:iCs/>
              </w:rPr>
            </w:pPr>
            <w:r w:rsidRPr="00BB59D8">
              <w:rPr>
                <w:iCs/>
              </w:rPr>
              <w:t>Assumption</w:t>
            </w:r>
          </w:p>
        </w:tc>
        <w:tc>
          <w:tcPr>
            <w:tcW w:w="2748" w:type="dxa"/>
            <w:vAlign w:val="center"/>
          </w:tcPr>
          <w:p w14:paraId="4B72F2C4" w14:textId="77777777" w:rsidR="00D3100F" w:rsidRPr="00BB59D8" w:rsidRDefault="00D3100F" w:rsidP="009F73A9">
            <w:pPr>
              <w:pStyle w:val="TableText0"/>
              <w:rPr>
                <w:iCs/>
              </w:rPr>
            </w:pPr>
          </w:p>
          <w:p w14:paraId="13D83361" w14:textId="77777777" w:rsidR="00D3100F" w:rsidRPr="00BB59D8" w:rsidRDefault="00D3100F" w:rsidP="009F73A9">
            <w:pPr>
              <w:pStyle w:val="TableText0"/>
              <w:rPr>
                <w:iCs/>
              </w:rPr>
            </w:pPr>
            <w:r w:rsidRPr="00BB59D8">
              <w:rPr>
                <w:iCs/>
              </w:rPr>
              <w:t>No new patients were assumed to initiate treatment in year 1 (2022) as only the grandfathered patients continuing treatment in year 1 were assumed. The submission did not justify this assumption.</w:t>
            </w:r>
          </w:p>
        </w:tc>
      </w:tr>
      <w:tr w:rsidR="00D3100F" w:rsidRPr="00BB59D8" w14:paraId="228A0D61" w14:textId="77777777" w:rsidTr="009F73A9">
        <w:tc>
          <w:tcPr>
            <w:tcW w:w="2048" w:type="dxa"/>
            <w:vAlign w:val="center"/>
          </w:tcPr>
          <w:p w14:paraId="40925BAD" w14:textId="77777777" w:rsidR="00D3100F" w:rsidRPr="00BB59D8" w:rsidRDefault="00D3100F" w:rsidP="009F73A9">
            <w:pPr>
              <w:pStyle w:val="TableText0"/>
              <w:rPr>
                <w:iCs/>
              </w:rPr>
            </w:pPr>
            <w:r w:rsidRPr="00BB59D8">
              <w:rPr>
                <w:iCs/>
              </w:rPr>
              <w:t xml:space="preserve">Patients continuing treatment </w:t>
            </w:r>
          </w:p>
        </w:tc>
        <w:tc>
          <w:tcPr>
            <w:tcW w:w="1567" w:type="dxa"/>
            <w:vAlign w:val="center"/>
          </w:tcPr>
          <w:p w14:paraId="49D3CF05" w14:textId="77777777" w:rsidR="00D3100F" w:rsidRPr="00BB59D8" w:rsidRDefault="00D3100F" w:rsidP="009F73A9">
            <w:pPr>
              <w:pStyle w:val="TableText0"/>
              <w:rPr>
                <w:iCs/>
              </w:rPr>
            </w:pPr>
            <w:r w:rsidRPr="00BB59D8">
              <w:rPr>
                <w:iCs/>
              </w:rPr>
              <w:t>Yr 1: 100%</w:t>
            </w:r>
          </w:p>
          <w:p w14:paraId="5DB9BE1E" w14:textId="77777777" w:rsidR="00D3100F" w:rsidRPr="00BB59D8" w:rsidRDefault="00D3100F" w:rsidP="009F73A9">
            <w:pPr>
              <w:pStyle w:val="TableText0"/>
              <w:rPr>
                <w:iCs/>
              </w:rPr>
            </w:pPr>
            <w:r w:rsidRPr="00BB59D8">
              <w:rPr>
                <w:iCs/>
              </w:rPr>
              <w:t>Yr 2: 0%</w:t>
            </w:r>
          </w:p>
          <w:p w14:paraId="39BF73CB" w14:textId="77777777" w:rsidR="00D3100F" w:rsidRPr="00BB59D8" w:rsidRDefault="00D3100F" w:rsidP="009F73A9">
            <w:pPr>
              <w:pStyle w:val="TableText0"/>
              <w:rPr>
                <w:iCs/>
              </w:rPr>
            </w:pPr>
            <w:r w:rsidRPr="00BB59D8">
              <w:rPr>
                <w:iCs/>
              </w:rPr>
              <w:t>Yr 3: 50%</w:t>
            </w:r>
          </w:p>
          <w:p w14:paraId="00CA05FF" w14:textId="77777777" w:rsidR="00D3100F" w:rsidRPr="00BB59D8" w:rsidRDefault="00D3100F" w:rsidP="009F73A9">
            <w:pPr>
              <w:pStyle w:val="TableText0"/>
              <w:rPr>
                <w:iCs/>
              </w:rPr>
            </w:pPr>
            <w:r w:rsidRPr="00BB59D8">
              <w:rPr>
                <w:iCs/>
              </w:rPr>
              <w:t>Yr 4: 75%</w:t>
            </w:r>
          </w:p>
          <w:p w14:paraId="6154B38B" w14:textId="77777777" w:rsidR="00D3100F" w:rsidRPr="00BB59D8" w:rsidRDefault="00D3100F" w:rsidP="009F73A9">
            <w:pPr>
              <w:pStyle w:val="TableText0"/>
              <w:rPr>
                <w:iCs/>
              </w:rPr>
            </w:pPr>
            <w:r w:rsidRPr="00BB59D8">
              <w:rPr>
                <w:iCs/>
              </w:rPr>
              <w:t>Yr 5: 75%</w:t>
            </w:r>
          </w:p>
          <w:p w14:paraId="0978C646" w14:textId="77777777" w:rsidR="00D3100F" w:rsidRPr="00BB59D8" w:rsidRDefault="00D3100F" w:rsidP="009F73A9">
            <w:pPr>
              <w:pStyle w:val="TableText0"/>
              <w:rPr>
                <w:iCs/>
              </w:rPr>
            </w:pPr>
            <w:r w:rsidRPr="00BB59D8">
              <w:rPr>
                <w:iCs/>
              </w:rPr>
              <w:t>Yr 6: 80%</w:t>
            </w:r>
          </w:p>
        </w:tc>
        <w:tc>
          <w:tcPr>
            <w:tcW w:w="2817" w:type="dxa"/>
            <w:vAlign w:val="center"/>
          </w:tcPr>
          <w:p w14:paraId="795B2426" w14:textId="77777777" w:rsidR="00D3100F" w:rsidRPr="00BB59D8" w:rsidRDefault="00D3100F" w:rsidP="009F73A9">
            <w:pPr>
              <w:pStyle w:val="TableText0"/>
              <w:rPr>
                <w:iCs/>
              </w:rPr>
            </w:pPr>
            <w:r w:rsidRPr="00BB59D8">
              <w:rPr>
                <w:iCs/>
              </w:rPr>
              <w:t>Assumption</w:t>
            </w:r>
          </w:p>
        </w:tc>
        <w:tc>
          <w:tcPr>
            <w:tcW w:w="2748" w:type="dxa"/>
            <w:vAlign w:val="center"/>
          </w:tcPr>
          <w:p w14:paraId="3886B2E7" w14:textId="77777777" w:rsidR="00D3100F" w:rsidRPr="00BB59D8" w:rsidRDefault="00F9651B" w:rsidP="00F9651B">
            <w:pPr>
              <w:pStyle w:val="TableText0"/>
              <w:rPr>
                <w:iCs/>
              </w:rPr>
            </w:pPr>
            <w:r w:rsidRPr="00BB59D8">
              <w:rPr>
                <w:iCs/>
              </w:rPr>
              <w:t>The submission did not justify these assumptions.</w:t>
            </w:r>
          </w:p>
        </w:tc>
      </w:tr>
      <w:tr w:rsidR="00D3100F" w:rsidRPr="00BB59D8" w14:paraId="0F3C970F" w14:textId="77777777" w:rsidTr="009F73A9">
        <w:tc>
          <w:tcPr>
            <w:tcW w:w="2048" w:type="dxa"/>
            <w:vAlign w:val="center"/>
          </w:tcPr>
          <w:p w14:paraId="25300454" w14:textId="77777777" w:rsidR="00D3100F" w:rsidRPr="00BB59D8" w:rsidRDefault="00D3100F" w:rsidP="009F73A9">
            <w:pPr>
              <w:pStyle w:val="TableText0"/>
              <w:keepNext w:val="0"/>
              <w:rPr>
                <w:iCs/>
              </w:rPr>
            </w:pPr>
            <w:r w:rsidRPr="00BB59D8">
              <w:rPr>
                <w:iCs/>
              </w:rPr>
              <w:t>Scripts dispensed per patient per year</w:t>
            </w:r>
          </w:p>
        </w:tc>
        <w:tc>
          <w:tcPr>
            <w:tcW w:w="1567" w:type="dxa"/>
            <w:vAlign w:val="center"/>
          </w:tcPr>
          <w:p w14:paraId="3E22C5EF" w14:textId="77777777" w:rsidR="00D3100F" w:rsidRPr="00BB59D8" w:rsidRDefault="00D3100F" w:rsidP="009F73A9">
            <w:pPr>
              <w:pStyle w:val="TableText0"/>
              <w:keepNext w:val="0"/>
              <w:rPr>
                <w:iCs/>
              </w:rPr>
            </w:pPr>
            <w:r w:rsidRPr="00BB59D8">
              <w:rPr>
                <w:iCs/>
              </w:rPr>
              <w:t>9.823</w:t>
            </w:r>
          </w:p>
        </w:tc>
        <w:tc>
          <w:tcPr>
            <w:tcW w:w="2817" w:type="dxa"/>
            <w:vAlign w:val="center"/>
          </w:tcPr>
          <w:p w14:paraId="57103D3C" w14:textId="77777777" w:rsidR="00D3100F" w:rsidRPr="00BB59D8" w:rsidRDefault="00D3100F" w:rsidP="009F73A9">
            <w:pPr>
              <w:pStyle w:val="TableText0"/>
              <w:keepNext w:val="0"/>
              <w:rPr>
                <w:iCs/>
              </w:rPr>
            </w:pPr>
            <w:r w:rsidRPr="00BB59D8">
              <w:rPr>
                <w:iCs/>
              </w:rPr>
              <w:t xml:space="preserve">Assumption based on Sales &amp; EU-IGFD Registry Data </w:t>
            </w:r>
          </w:p>
        </w:tc>
        <w:tc>
          <w:tcPr>
            <w:tcW w:w="2748" w:type="dxa"/>
            <w:vAlign w:val="center"/>
          </w:tcPr>
          <w:p w14:paraId="250A17B7" w14:textId="77777777" w:rsidR="00D3100F" w:rsidRPr="00BB59D8" w:rsidRDefault="00D3100F" w:rsidP="009F73A9">
            <w:pPr>
              <w:pStyle w:val="TableText0"/>
              <w:keepNext w:val="0"/>
              <w:rPr>
                <w:iCs/>
              </w:rPr>
            </w:pPr>
            <w:r w:rsidRPr="00BB59D8">
              <w:rPr>
                <w:iCs/>
              </w:rPr>
              <w:t>This seems reasonable. However, Study 1419 data were not utilised to estimate the number of scripts.</w:t>
            </w:r>
          </w:p>
        </w:tc>
      </w:tr>
      <w:tr w:rsidR="00D3100F" w:rsidRPr="00BB59D8" w14:paraId="0208153D" w14:textId="77777777" w:rsidTr="009F73A9">
        <w:tc>
          <w:tcPr>
            <w:tcW w:w="9180" w:type="dxa"/>
            <w:gridSpan w:val="4"/>
            <w:vAlign w:val="center"/>
          </w:tcPr>
          <w:p w14:paraId="227BCA2E" w14:textId="77777777" w:rsidR="00D3100F" w:rsidRPr="00BB59D8" w:rsidRDefault="00D3100F" w:rsidP="009F73A9">
            <w:pPr>
              <w:pStyle w:val="TableText0"/>
              <w:rPr>
                <w:b/>
                <w:i/>
                <w:iCs/>
              </w:rPr>
            </w:pPr>
            <w:r w:rsidRPr="00BB59D8">
              <w:rPr>
                <w:b/>
                <w:iCs/>
              </w:rPr>
              <w:t>Costs</w:t>
            </w:r>
          </w:p>
        </w:tc>
      </w:tr>
      <w:tr w:rsidR="00D3100F" w:rsidRPr="00BB59D8" w14:paraId="7C617EFC" w14:textId="77777777" w:rsidTr="009F73A9">
        <w:tc>
          <w:tcPr>
            <w:tcW w:w="2048" w:type="dxa"/>
            <w:vAlign w:val="center"/>
          </w:tcPr>
          <w:p w14:paraId="0B23866D" w14:textId="77777777" w:rsidR="00D3100F" w:rsidRPr="00BB59D8" w:rsidRDefault="00D3100F" w:rsidP="009F73A9">
            <w:pPr>
              <w:pStyle w:val="TableText0"/>
              <w:keepNext w:val="0"/>
              <w:rPr>
                <w:iCs/>
              </w:rPr>
            </w:pPr>
            <w:r w:rsidRPr="00BB59D8">
              <w:rPr>
                <w:iCs/>
              </w:rPr>
              <w:t>Mecasermin</w:t>
            </w:r>
          </w:p>
        </w:tc>
        <w:tc>
          <w:tcPr>
            <w:tcW w:w="1567" w:type="dxa"/>
            <w:vAlign w:val="center"/>
          </w:tcPr>
          <w:p w14:paraId="6CE8BF17" w14:textId="77777777" w:rsidR="00D3100F" w:rsidRPr="00BB59D8" w:rsidRDefault="00D3100F" w:rsidP="009F73A9">
            <w:pPr>
              <w:pStyle w:val="TableText0"/>
              <w:keepNext w:val="0"/>
              <w:rPr>
                <w:iCs/>
              </w:rPr>
            </w:pPr>
            <w:r w:rsidRPr="00BB59D8">
              <w:rPr>
                <w:iCs/>
              </w:rPr>
              <w:t>AEMP: $</w:t>
            </w:r>
            <w:r w:rsidR="002707AA">
              <w:rPr>
                <w:iCs/>
                <w:noProof/>
                <w:color w:val="000000"/>
                <w:highlight w:val="black"/>
              </w:rPr>
              <w:t>'''''''''''''</w:t>
            </w:r>
            <w:r w:rsidRPr="00BB59D8">
              <w:rPr>
                <w:iCs/>
              </w:rPr>
              <w:t xml:space="preserve"> per vial</w:t>
            </w:r>
          </w:p>
          <w:p w14:paraId="37F7CEBB" w14:textId="77777777" w:rsidR="00D3100F" w:rsidRPr="00BB59D8" w:rsidRDefault="00D3100F" w:rsidP="009F73A9">
            <w:pPr>
              <w:pStyle w:val="TableText0"/>
              <w:keepNext w:val="0"/>
              <w:rPr>
                <w:iCs/>
                <w:highlight w:val="yellow"/>
              </w:rPr>
            </w:pPr>
            <w:r w:rsidRPr="00BB59D8">
              <w:rPr>
                <w:iCs/>
              </w:rPr>
              <w:t>DPMQ: $</w:t>
            </w:r>
            <w:r w:rsidR="002707AA">
              <w:rPr>
                <w:iCs/>
                <w:noProof/>
                <w:color w:val="000000"/>
                <w:highlight w:val="black"/>
              </w:rPr>
              <w:t>''''''''''''''''''''</w:t>
            </w:r>
            <w:r w:rsidRPr="00BB59D8">
              <w:rPr>
                <w:iCs/>
              </w:rPr>
              <w:t xml:space="preserve"> for S100 Private Hospital</w:t>
            </w:r>
            <w:r w:rsidRPr="00BB59D8">
              <w:t xml:space="preserve"> </w:t>
            </w:r>
            <w:r w:rsidRPr="00BB59D8">
              <w:rPr>
                <w:iCs/>
              </w:rPr>
              <w:t>and $</w:t>
            </w:r>
            <w:r w:rsidR="002707AA">
              <w:rPr>
                <w:iCs/>
                <w:noProof/>
                <w:color w:val="000000"/>
                <w:highlight w:val="black"/>
              </w:rPr>
              <w:t>'''''''''''''''''''''''</w:t>
            </w:r>
            <w:r w:rsidRPr="00BB59D8">
              <w:rPr>
                <w:iCs/>
              </w:rPr>
              <w:t xml:space="preserve"> for S100 Public Hospital and Community Access </w:t>
            </w:r>
          </w:p>
        </w:tc>
        <w:tc>
          <w:tcPr>
            <w:tcW w:w="2817" w:type="dxa"/>
            <w:vAlign w:val="center"/>
          </w:tcPr>
          <w:p w14:paraId="38C2B087" w14:textId="77777777" w:rsidR="00D3100F" w:rsidRPr="00BB59D8" w:rsidRDefault="00D3100F" w:rsidP="009F73A9">
            <w:pPr>
              <w:pStyle w:val="TableText0"/>
              <w:keepNext w:val="0"/>
              <w:rPr>
                <w:iCs/>
              </w:rPr>
            </w:pPr>
            <w:r w:rsidRPr="00BB59D8">
              <w:rPr>
                <w:iCs/>
              </w:rPr>
              <w:t>Requested price</w:t>
            </w:r>
          </w:p>
        </w:tc>
        <w:tc>
          <w:tcPr>
            <w:tcW w:w="2748" w:type="dxa"/>
            <w:vAlign w:val="center"/>
          </w:tcPr>
          <w:p w14:paraId="1FFB07A8" w14:textId="77777777" w:rsidR="00D3100F" w:rsidRPr="00BB59D8" w:rsidRDefault="00D3100F" w:rsidP="009F73A9">
            <w:pPr>
              <w:pStyle w:val="TableText0"/>
              <w:keepNext w:val="0"/>
              <w:rPr>
                <w:iCs/>
              </w:rPr>
            </w:pPr>
          </w:p>
        </w:tc>
      </w:tr>
      <w:tr w:rsidR="00D3100F" w:rsidRPr="00BB59D8" w14:paraId="31508883" w14:textId="77777777" w:rsidTr="009F73A9">
        <w:tc>
          <w:tcPr>
            <w:tcW w:w="2048" w:type="dxa"/>
            <w:vAlign w:val="center"/>
          </w:tcPr>
          <w:p w14:paraId="43518A46" w14:textId="77777777" w:rsidR="00D3100F" w:rsidRPr="00BB59D8" w:rsidRDefault="00D3100F" w:rsidP="009F73A9">
            <w:pPr>
              <w:pStyle w:val="TableText0"/>
              <w:rPr>
                <w:iCs/>
              </w:rPr>
            </w:pPr>
            <w:r w:rsidRPr="00BB59D8">
              <w:rPr>
                <w:iCs/>
              </w:rPr>
              <w:t>Patient co-payment</w:t>
            </w:r>
          </w:p>
        </w:tc>
        <w:tc>
          <w:tcPr>
            <w:tcW w:w="1567" w:type="dxa"/>
            <w:vAlign w:val="center"/>
          </w:tcPr>
          <w:p w14:paraId="2A327BAB" w14:textId="77777777" w:rsidR="00D3100F" w:rsidRPr="00BB59D8" w:rsidRDefault="00D3100F" w:rsidP="009F73A9">
            <w:pPr>
              <w:pStyle w:val="TableText0"/>
              <w:rPr>
                <w:iCs/>
                <w:highlight w:val="yellow"/>
              </w:rPr>
            </w:pPr>
            <w:r w:rsidRPr="00BB59D8">
              <w:rPr>
                <w:iCs/>
              </w:rPr>
              <w:t>$26.40 per script</w:t>
            </w:r>
          </w:p>
        </w:tc>
        <w:tc>
          <w:tcPr>
            <w:tcW w:w="2817" w:type="dxa"/>
            <w:vAlign w:val="center"/>
          </w:tcPr>
          <w:p w14:paraId="6DBF1999" w14:textId="77777777" w:rsidR="00D3100F" w:rsidRPr="00BB59D8" w:rsidRDefault="00D3100F" w:rsidP="009F73A9">
            <w:pPr>
              <w:pStyle w:val="TableText0"/>
              <w:rPr>
                <w:iCs/>
              </w:rPr>
            </w:pPr>
            <w:r w:rsidRPr="00BB59D8">
              <w:rPr>
                <w:iCs/>
              </w:rPr>
              <w:t>Utilisation data for treatment available on the Growth Hormone program</w:t>
            </w:r>
          </w:p>
        </w:tc>
        <w:tc>
          <w:tcPr>
            <w:tcW w:w="2748" w:type="dxa"/>
            <w:vAlign w:val="center"/>
          </w:tcPr>
          <w:p w14:paraId="5745F18D" w14:textId="77777777" w:rsidR="00D3100F" w:rsidRPr="00BB59D8" w:rsidRDefault="00D3100F" w:rsidP="009F73A9">
            <w:pPr>
              <w:pStyle w:val="TableText0"/>
              <w:rPr>
                <w:iCs/>
              </w:rPr>
            </w:pPr>
          </w:p>
        </w:tc>
      </w:tr>
      <w:tr w:rsidR="00D3100F" w:rsidRPr="00BB59D8" w14:paraId="2E412E1A" w14:textId="77777777" w:rsidTr="009F73A9">
        <w:tc>
          <w:tcPr>
            <w:tcW w:w="2048" w:type="dxa"/>
            <w:vAlign w:val="center"/>
          </w:tcPr>
          <w:p w14:paraId="7991DEB5" w14:textId="77777777" w:rsidR="00D3100F" w:rsidRPr="00BB59D8" w:rsidRDefault="00D3100F" w:rsidP="009F73A9">
            <w:pPr>
              <w:pStyle w:val="TableText0"/>
              <w:rPr>
                <w:iCs/>
              </w:rPr>
            </w:pPr>
            <w:r w:rsidRPr="00BB59D8">
              <w:rPr>
                <w:iCs/>
              </w:rPr>
              <w:t>Costs to MBS</w:t>
            </w:r>
          </w:p>
        </w:tc>
        <w:tc>
          <w:tcPr>
            <w:tcW w:w="1567" w:type="dxa"/>
            <w:vAlign w:val="center"/>
          </w:tcPr>
          <w:p w14:paraId="6C19ACC7" w14:textId="77777777" w:rsidR="00D3100F" w:rsidRPr="00BB59D8" w:rsidRDefault="00D3100F" w:rsidP="009F73A9">
            <w:pPr>
              <w:pStyle w:val="TableText0"/>
              <w:rPr>
                <w:iCs/>
              </w:rPr>
            </w:pPr>
            <w:r w:rsidRPr="00BB59D8">
              <w:rPr>
                <w:iCs/>
              </w:rPr>
              <w:t>105: $45.00/ service</w:t>
            </w:r>
          </w:p>
          <w:p w14:paraId="30064535" w14:textId="77777777" w:rsidR="00D3100F" w:rsidRPr="00BB59D8" w:rsidRDefault="00D3100F" w:rsidP="009F73A9">
            <w:pPr>
              <w:pStyle w:val="TableText0"/>
              <w:rPr>
                <w:iCs/>
              </w:rPr>
            </w:pPr>
            <w:r w:rsidRPr="00BB59D8">
              <w:rPr>
                <w:iCs/>
              </w:rPr>
              <w:t>82200: $9.90/ service</w:t>
            </w:r>
          </w:p>
          <w:p w14:paraId="7B99BFEB" w14:textId="77777777" w:rsidR="00D3100F" w:rsidRPr="00BB59D8" w:rsidRDefault="00D3100F" w:rsidP="009F73A9">
            <w:pPr>
              <w:pStyle w:val="TableText0"/>
              <w:rPr>
                <w:iCs/>
              </w:rPr>
            </w:pPr>
            <w:r w:rsidRPr="00BB59D8">
              <w:rPr>
                <w:iCs/>
              </w:rPr>
              <w:t>66695: $30.50/ service</w:t>
            </w:r>
          </w:p>
          <w:p w14:paraId="54648704" w14:textId="77777777" w:rsidR="00D3100F" w:rsidRPr="00BB59D8" w:rsidRDefault="00D3100F" w:rsidP="009F73A9">
            <w:pPr>
              <w:pStyle w:val="TableText0"/>
              <w:rPr>
                <w:iCs/>
              </w:rPr>
            </w:pPr>
            <w:r w:rsidRPr="00BB59D8">
              <w:rPr>
                <w:iCs/>
              </w:rPr>
              <w:t>58300: $40.70/ service</w:t>
            </w:r>
          </w:p>
        </w:tc>
        <w:tc>
          <w:tcPr>
            <w:tcW w:w="2817" w:type="dxa"/>
            <w:vAlign w:val="center"/>
          </w:tcPr>
          <w:p w14:paraId="2F9C8CFB" w14:textId="77777777" w:rsidR="00D3100F" w:rsidRPr="00BB59D8" w:rsidRDefault="00D3100F" w:rsidP="009F73A9">
            <w:pPr>
              <w:pStyle w:val="TableText0"/>
              <w:rPr>
                <w:iCs/>
              </w:rPr>
            </w:pPr>
            <w:r w:rsidRPr="00BB59D8">
              <w:rPr>
                <w:iCs/>
              </w:rPr>
              <w:t>105- Professional attendance by a specialist</w:t>
            </w:r>
          </w:p>
          <w:p w14:paraId="23D93B92" w14:textId="77777777" w:rsidR="00D3100F" w:rsidRPr="00BB59D8" w:rsidRDefault="00D3100F" w:rsidP="009F73A9">
            <w:pPr>
              <w:pStyle w:val="TableText0"/>
              <w:rPr>
                <w:iCs/>
              </w:rPr>
            </w:pPr>
            <w:r w:rsidRPr="00BB59D8">
              <w:rPr>
                <w:iCs/>
              </w:rPr>
              <w:t>82200- Professional attendance by a participating nurse practitioner</w:t>
            </w:r>
          </w:p>
          <w:p w14:paraId="5FCF2754" w14:textId="77777777" w:rsidR="00D3100F" w:rsidRPr="00BB59D8" w:rsidRDefault="00D3100F" w:rsidP="009F73A9">
            <w:pPr>
              <w:pStyle w:val="TableText0"/>
              <w:rPr>
                <w:iCs/>
              </w:rPr>
            </w:pPr>
            <w:r w:rsidRPr="00BB59D8">
              <w:rPr>
                <w:iCs/>
              </w:rPr>
              <w:t>66695- Quantitation in blood or urine of hormones and hormone binding protein</w:t>
            </w:r>
          </w:p>
          <w:p w14:paraId="2924B2CF" w14:textId="77777777" w:rsidR="00D3100F" w:rsidRPr="00BB59D8" w:rsidRDefault="00D3100F" w:rsidP="009F73A9">
            <w:pPr>
              <w:pStyle w:val="TableText0"/>
              <w:rPr>
                <w:iCs/>
              </w:rPr>
            </w:pPr>
            <w:r w:rsidRPr="00BB59D8">
              <w:rPr>
                <w:iCs/>
              </w:rPr>
              <w:t>58300- Bone age study</w:t>
            </w:r>
          </w:p>
        </w:tc>
        <w:tc>
          <w:tcPr>
            <w:tcW w:w="2748" w:type="dxa"/>
            <w:vAlign w:val="center"/>
          </w:tcPr>
          <w:p w14:paraId="7FEC7B3F" w14:textId="77777777" w:rsidR="00D3100F" w:rsidRPr="00BB59D8" w:rsidRDefault="00D3100F" w:rsidP="009F73A9">
            <w:pPr>
              <w:pStyle w:val="TableText0"/>
              <w:rPr>
                <w:iCs/>
              </w:rPr>
            </w:pPr>
          </w:p>
        </w:tc>
      </w:tr>
    </w:tbl>
    <w:p w14:paraId="15926BFF" w14:textId="77777777" w:rsidR="00D3100F" w:rsidRPr="00BB59D8" w:rsidRDefault="00D3100F" w:rsidP="00D3100F">
      <w:pPr>
        <w:pStyle w:val="TableFigureFooter"/>
        <w:rPr>
          <w:iCs/>
        </w:rPr>
      </w:pPr>
      <w:r w:rsidRPr="00BB59D8">
        <w:rPr>
          <w:iCs/>
        </w:rPr>
        <w:t xml:space="preserve">SPIGFD = severe primary IGFD; AEMP = approved ex-manufacturer price; DPMQ = Dispensed Price for Maximum Quantity; TGA = Therapeutic Goods Administration; EU-IGFD = European Increlex® Growth Forum Database. </w:t>
      </w:r>
    </w:p>
    <w:p w14:paraId="2D45D33B" w14:textId="77777777" w:rsidR="00D3100F" w:rsidRPr="00BB59D8" w:rsidRDefault="00D3100F" w:rsidP="00D3100F">
      <w:pPr>
        <w:pStyle w:val="TableFigureFooter"/>
      </w:pPr>
      <w:r w:rsidRPr="00BB59D8">
        <w:rPr>
          <w:iCs/>
        </w:rPr>
        <w:t>Source: Table compiled during the evaluation from Section 4 of the submission</w:t>
      </w:r>
      <w:r w:rsidRPr="00BB59D8">
        <w:t>.</w:t>
      </w:r>
    </w:p>
    <w:p w14:paraId="6AC53DBF" w14:textId="77777777" w:rsidR="00D3100F" w:rsidRPr="00BB59D8" w:rsidRDefault="00D3100F" w:rsidP="00D3100F">
      <w:pPr>
        <w:pStyle w:val="3-BodyText"/>
      </w:pPr>
      <w:r w:rsidRPr="00BB59D8">
        <w:t>The financial estimates assumed a prevalence of 0.53 children with SPIGFD per million Australians, derived from sales data from five European countries (France, UK, Italy, Germany, Spain).</w:t>
      </w:r>
    </w:p>
    <w:p w14:paraId="2BDEB4E2" w14:textId="77777777" w:rsidR="00D3100F" w:rsidRPr="00BB59D8" w:rsidRDefault="00D3100F" w:rsidP="00D3100F">
      <w:pPr>
        <w:pStyle w:val="3-BodyText"/>
        <w:rPr>
          <w:color w:val="0066FF"/>
        </w:rPr>
      </w:pPr>
      <w:r w:rsidRPr="00BB59D8">
        <w:rPr>
          <w:iCs/>
        </w:rPr>
        <w:t>The estimated prevalence of SPIGFD in Australia is uncertain for the following reasons:</w:t>
      </w:r>
    </w:p>
    <w:p w14:paraId="19CE1C8B" w14:textId="77777777" w:rsidR="00D3100F" w:rsidRPr="00BB59D8" w:rsidRDefault="00D3100F" w:rsidP="00065DE4">
      <w:pPr>
        <w:pStyle w:val="ListParagraph"/>
        <w:numPr>
          <w:ilvl w:val="0"/>
          <w:numId w:val="9"/>
        </w:numPr>
        <w:ind w:left="1077" w:hanging="357"/>
        <w:rPr>
          <w:iCs/>
        </w:rPr>
      </w:pPr>
      <w:r w:rsidRPr="00BB59D8">
        <w:rPr>
          <w:iCs/>
        </w:rPr>
        <w:t>The actual number of patients with SPIGFD is unknown in Australia. As per the paediatric endocrinologist advice included in the submission, approximately 50 people were expected to be living with SPIGFD Australia wide, whereas the financial estimates assumed only 4 to 15 patients treated with mecasermin (Table 1</w:t>
      </w:r>
      <w:r w:rsidR="00653383" w:rsidRPr="00BB59D8">
        <w:rPr>
          <w:iCs/>
        </w:rPr>
        <w:t>6</w:t>
      </w:r>
      <w:r w:rsidRPr="00BB59D8">
        <w:rPr>
          <w:iCs/>
        </w:rPr>
        <w:t>).</w:t>
      </w:r>
    </w:p>
    <w:p w14:paraId="1329BD31" w14:textId="77777777" w:rsidR="00D3100F" w:rsidRPr="00BB59D8" w:rsidRDefault="00D3100F" w:rsidP="00065DE4">
      <w:pPr>
        <w:pStyle w:val="ListParagraph"/>
        <w:numPr>
          <w:ilvl w:val="0"/>
          <w:numId w:val="9"/>
        </w:numPr>
        <w:ind w:left="1077" w:hanging="357"/>
        <w:rPr>
          <w:iCs/>
        </w:rPr>
      </w:pPr>
      <w:r w:rsidRPr="00BB59D8">
        <w:rPr>
          <w:iCs/>
        </w:rPr>
        <w:t xml:space="preserve">The exact number of children affected with Laron syndrome, a typical representation of patients with growth hormone insensitivity disorder, is unclear. However, it was estimated that there were about 500 patients with Laron syndrome </w:t>
      </w:r>
      <w:r w:rsidR="006E05A4" w:rsidRPr="00BB59D8">
        <w:rPr>
          <w:iCs/>
        </w:rPr>
        <w:t>worldwide (Laron 2015</w:t>
      </w:r>
      <w:r w:rsidR="006E05A4" w:rsidRPr="00065DE4">
        <w:footnoteReference w:id="6"/>
      </w:r>
      <w:r w:rsidR="006E05A4" w:rsidRPr="00BB59D8">
        <w:rPr>
          <w:iCs/>
        </w:rPr>
        <w:t>)</w:t>
      </w:r>
      <w:r w:rsidR="00070775" w:rsidRPr="00065DE4">
        <w:rPr>
          <w:iCs/>
        </w:rPr>
        <w:t>.</w:t>
      </w:r>
      <w:r w:rsidRPr="00065DE4">
        <w:rPr>
          <w:iCs/>
        </w:rPr>
        <w:t xml:space="preserve"> </w:t>
      </w:r>
      <w:r w:rsidRPr="00BB59D8">
        <w:rPr>
          <w:iCs/>
        </w:rPr>
        <w:t>Although this number is unverified, Australian patients likely represent a small fraction of the global population. The paediatric endocrinologist estimated approximately 25-50% of SPIGFD patients would have Laron Syndrome.</w:t>
      </w:r>
    </w:p>
    <w:p w14:paraId="434BB939" w14:textId="27967037" w:rsidR="00D3100F" w:rsidRPr="00BB59D8" w:rsidRDefault="00D3100F" w:rsidP="00065DE4">
      <w:pPr>
        <w:pStyle w:val="ListParagraph"/>
        <w:numPr>
          <w:ilvl w:val="0"/>
          <w:numId w:val="9"/>
        </w:numPr>
        <w:ind w:left="1077" w:hanging="357"/>
        <w:rPr>
          <w:iCs/>
        </w:rPr>
      </w:pPr>
      <w:r w:rsidRPr="00BB59D8">
        <w:rPr>
          <w:iCs/>
        </w:rPr>
        <w:t>The TGA application for the orphan drug designation for mecasermin estimated a prevalence of 134 children with SPIGFD in Australia (consistent with the TGA indication), substantially greater than assumed in the submission.</w:t>
      </w:r>
    </w:p>
    <w:p w14:paraId="4B0D90EE" w14:textId="77777777" w:rsidR="00D3100F" w:rsidRPr="00BB59D8" w:rsidRDefault="00D3100F" w:rsidP="00065DE4">
      <w:pPr>
        <w:pStyle w:val="ListParagraph"/>
        <w:numPr>
          <w:ilvl w:val="0"/>
          <w:numId w:val="9"/>
        </w:numPr>
        <w:ind w:left="1077" w:hanging="357"/>
      </w:pPr>
      <w:r w:rsidRPr="00BB59D8">
        <w:rPr>
          <w:iCs/>
        </w:rPr>
        <w:t xml:space="preserve">It was difficult to ascertain the accuracy of prevalence estimates given the uncertainty in the numbers provided in the TGA application and the submission. </w:t>
      </w:r>
    </w:p>
    <w:p w14:paraId="627DD067" w14:textId="77777777" w:rsidR="00D3100F" w:rsidRPr="00BB59D8" w:rsidRDefault="00D3100F" w:rsidP="00D3100F">
      <w:pPr>
        <w:pStyle w:val="3-BodyText"/>
      </w:pPr>
      <w:r w:rsidRPr="00BB59D8">
        <w:t>Table 1</w:t>
      </w:r>
      <w:r w:rsidR="00653383" w:rsidRPr="00BB59D8">
        <w:t>6</w:t>
      </w:r>
      <w:r w:rsidRPr="00BB59D8">
        <w:t xml:space="preserve"> presents the estimated financial implications for listing mecasermin for SPIGFD patients. </w:t>
      </w:r>
    </w:p>
    <w:p w14:paraId="0FB0E65F" w14:textId="77777777" w:rsidR="00D3100F" w:rsidRPr="00BB59D8" w:rsidRDefault="00D3100F" w:rsidP="00D3100F">
      <w:pPr>
        <w:pStyle w:val="TableFigureHeading"/>
      </w:pPr>
      <w:r w:rsidRPr="00BB59D8">
        <w:rPr>
          <w:rStyle w:val="CommentReference"/>
          <w:b/>
          <w:szCs w:val="24"/>
        </w:rPr>
        <w:t>Table 1</w:t>
      </w:r>
      <w:r w:rsidR="00653383" w:rsidRPr="00BB59D8">
        <w:rPr>
          <w:rStyle w:val="CommentReference"/>
          <w:b/>
          <w:szCs w:val="24"/>
        </w:rPr>
        <w:t>6</w:t>
      </w:r>
      <w:r w:rsidRPr="00BB59D8">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2012"/>
        <w:gridCol w:w="1167"/>
        <w:gridCol w:w="1167"/>
        <w:gridCol w:w="1167"/>
        <w:gridCol w:w="1167"/>
        <w:gridCol w:w="1167"/>
        <w:gridCol w:w="1170"/>
      </w:tblGrid>
      <w:tr w:rsidR="00D3100F" w:rsidRPr="00BB59D8" w14:paraId="30F33A6A" w14:textId="77777777" w:rsidTr="00492226">
        <w:trPr>
          <w:tblHeader/>
        </w:trPr>
        <w:tc>
          <w:tcPr>
            <w:tcW w:w="1116" w:type="pct"/>
            <w:shd w:val="clear" w:color="auto" w:fill="auto"/>
            <w:vAlign w:val="center"/>
          </w:tcPr>
          <w:p w14:paraId="10829405" w14:textId="77777777" w:rsidR="00D3100F" w:rsidRPr="00BB59D8" w:rsidRDefault="00D3100F" w:rsidP="00492226">
            <w:pPr>
              <w:pStyle w:val="In-tableHeading"/>
              <w:rPr>
                <w:lang w:val="en-AU"/>
              </w:rPr>
            </w:pPr>
          </w:p>
        </w:tc>
        <w:tc>
          <w:tcPr>
            <w:tcW w:w="647" w:type="pct"/>
            <w:shd w:val="clear" w:color="auto" w:fill="auto"/>
            <w:vAlign w:val="center"/>
          </w:tcPr>
          <w:p w14:paraId="7C753E8F" w14:textId="77777777" w:rsidR="00D3100F" w:rsidRPr="00BB59D8" w:rsidRDefault="00D3100F" w:rsidP="00492226">
            <w:pPr>
              <w:pStyle w:val="In-tableHeading"/>
              <w:jc w:val="center"/>
              <w:rPr>
                <w:lang w:val="en-AU"/>
              </w:rPr>
            </w:pPr>
            <w:r w:rsidRPr="00BB59D8">
              <w:rPr>
                <w:lang w:val="en-AU"/>
              </w:rPr>
              <w:t>Year 1</w:t>
            </w:r>
          </w:p>
          <w:p w14:paraId="38EDDD60" w14:textId="77777777" w:rsidR="00D3100F" w:rsidRPr="00BB59D8" w:rsidRDefault="00D3100F" w:rsidP="00492226">
            <w:pPr>
              <w:pStyle w:val="In-tableHeading"/>
              <w:jc w:val="center"/>
              <w:rPr>
                <w:lang w:val="en-AU"/>
              </w:rPr>
            </w:pPr>
            <w:r w:rsidRPr="00BB59D8">
              <w:rPr>
                <w:lang w:val="en-AU"/>
              </w:rPr>
              <w:t>2022</w:t>
            </w:r>
          </w:p>
        </w:tc>
        <w:tc>
          <w:tcPr>
            <w:tcW w:w="647" w:type="pct"/>
            <w:shd w:val="clear" w:color="auto" w:fill="auto"/>
            <w:vAlign w:val="center"/>
          </w:tcPr>
          <w:p w14:paraId="1852753C" w14:textId="77777777" w:rsidR="00D3100F" w:rsidRPr="00BB59D8" w:rsidRDefault="00D3100F" w:rsidP="00492226">
            <w:pPr>
              <w:pStyle w:val="In-tableHeading"/>
              <w:jc w:val="center"/>
              <w:rPr>
                <w:lang w:val="en-AU"/>
              </w:rPr>
            </w:pPr>
            <w:r w:rsidRPr="00BB59D8">
              <w:rPr>
                <w:lang w:val="en-AU"/>
              </w:rPr>
              <w:t>Year 2</w:t>
            </w:r>
          </w:p>
          <w:p w14:paraId="2E682B9B" w14:textId="77777777" w:rsidR="00D3100F" w:rsidRPr="00BB59D8" w:rsidRDefault="00D3100F" w:rsidP="00492226">
            <w:pPr>
              <w:pStyle w:val="In-tableHeading"/>
              <w:jc w:val="center"/>
              <w:rPr>
                <w:lang w:val="en-AU"/>
              </w:rPr>
            </w:pPr>
            <w:r w:rsidRPr="00BB59D8">
              <w:rPr>
                <w:lang w:val="en-AU"/>
              </w:rPr>
              <w:t>2023</w:t>
            </w:r>
          </w:p>
        </w:tc>
        <w:tc>
          <w:tcPr>
            <w:tcW w:w="647" w:type="pct"/>
            <w:shd w:val="clear" w:color="auto" w:fill="auto"/>
            <w:vAlign w:val="center"/>
          </w:tcPr>
          <w:p w14:paraId="6D5DA49C" w14:textId="77777777" w:rsidR="00D3100F" w:rsidRPr="00BB59D8" w:rsidRDefault="00D3100F" w:rsidP="00492226">
            <w:pPr>
              <w:pStyle w:val="In-tableHeading"/>
              <w:jc w:val="center"/>
              <w:rPr>
                <w:lang w:val="en-AU"/>
              </w:rPr>
            </w:pPr>
            <w:r w:rsidRPr="00BB59D8">
              <w:rPr>
                <w:lang w:val="en-AU"/>
              </w:rPr>
              <w:t>Year 3</w:t>
            </w:r>
          </w:p>
          <w:p w14:paraId="3C80E391" w14:textId="77777777" w:rsidR="00D3100F" w:rsidRPr="00BB59D8" w:rsidRDefault="00D3100F" w:rsidP="00492226">
            <w:pPr>
              <w:pStyle w:val="In-tableHeading"/>
              <w:jc w:val="center"/>
              <w:rPr>
                <w:lang w:val="en-AU"/>
              </w:rPr>
            </w:pPr>
            <w:r w:rsidRPr="00BB59D8">
              <w:rPr>
                <w:lang w:val="en-AU"/>
              </w:rPr>
              <w:t>2024</w:t>
            </w:r>
          </w:p>
        </w:tc>
        <w:tc>
          <w:tcPr>
            <w:tcW w:w="647" w:type="pct"/>
            <w:shd w:val="clear" w:color="auto" w:fill="auto"/>
            <w:vAlign w:val="center"/>
          </w:tcPr>
          <w:p w14:paraId="37A704EC" w14:textId="77777777" w:rsidR="00D3100F" w:rsidRPr="00BB59D8" w:rsidRDefault="00D3100F" w:rsidP="00492226">
            <w:pPr>
              <w:pStyle w:val="In-tableHeading"/>
              <w:jc w:val="center"/>
              <w:rPr>
                <w:lang w:val="en-AU"/>
              </w:rPr>
            </w:pPr>
            <w:r w:rsidRPr="00BB59D8">
              <w:rPr>
                <w:lang w:val="en-AU"/>
              </w:rPr>
              <w:t>Year 4</w:t>
            </w:r>
          </w:p>
          <w:p w14:paraId="1D74A402" w14:textId="77777777" w:rsidR="00D3100F" w:rsidRPr="00BB59D8" w:rsidRDefault="00D3100F" w:rsidP="00492226">
            <w:pPr>
              <w:pStyle w:val="In-tableHeading"/>
              <w:jc w:val="center"/>
              <w:rPr>
                <w:lang w:val="en-AU"/>
              </w:rPr>
            </w:pPr>
            <w:r w:rsidRPr="00BB59D8">
              <w:rPr>
                <w:lang w:val="en-AU"/>
              </w:rPr>
              <w:t>2025</w:t>
            </w:r>
          </w:p>
        </w:tc>
        <w:tc>
          <w:tcPr>
            <w:tcW w:w="647" w:type="pct"/>
            <w:shd w:val="clear" w:color="auto" w:fill="auto"/>
            <w:vAlign w:val="center"/>
          </w:tcPr>
          <w:p w14:paraId="1EC4A523" w14:textId="77777777" w:rsidR="00D3100F" w:rsidRPr="00BB59D8" w:rsidRDefault="00D3100F" w:rsidP="00492226">
            <w:pPr>
              <w:pStyle w:val="In-tableHeading"/>
              <w:jc w:val="center"/>
              <w:rPr>
                <w:lang w:val="en-AU"/>
              </w:rPr>
            </w:pPr>
            <w:r w:rsidRPr="00BB59D8">
              <w:rPr>
                <w:lang w:val="en-AU"/>
              </w:rPr>
              <w:t>Year 5</w:t>
            </w:r>
          </w:p>
          <w:p w14:paraId="79000355" w14:textId="77777777" w:rsidR="00D3100F" w:rsidRPr="00BB59D8" w:rsidRDefault="00D3100F" w:rsidP="00492226">
            <w:pPr>
              <w:pStyle w:val="In-tableHeading"/>
              <w:jc w:val="center"/>
              <w:rPr>
                <w:lang w:val="en-AU"/>
              </w:rPr>
            </w:pPr>
            <w:r w:rsidRPr="00BB59D8">
              <w:rPr>
                <w:lang w:val="en-AU"/>
              </w:rPr>
              <w:t>2026</w:t>
            </w:r>
          </w:p>
        </w:tc>
        <w:tc>
          <w:tcPr>
            <w:tcW w:w="649" w:type="pct"/>
            <w:vAlign w:val="center"/>
          </w:tcPr>
          <w:p w14:paraId="108CC8FF" w14:textId="77777777" w:rsidR="00D3100F" w:rsidRPr="00BB59D8" w:rsidRDefault="00D3100F" w:rsidP="00492226">
            <w:pPr>
              <w:pStyle w:val="In-tableHeading"/>
              <w:jc w:val="center"/>
              <w:rPr>
                <w:lang w:val="en-AU"/>
              </w:rPr>
            </w:pPr>
            <w:r w:rsidRPr="00BB59D8">
              <w:rPr>
                <w:lang w:val="en-AU"/>
              </w:rPr>
              <w:t>Year 6</w:t>
            </w:r>
          </w:p>
          <w:p w14:paraId="04078E85" w14:textId="77777777" w:rsidR="00D3100F" w:rsidRPr="00BB59D8" w:rsidRDefault="00D3100F" w:rsidP="00492226">
            <w:pPr>
              <w:pStyle w:val="In-tableHeading"/>
              <w:jc w:val="center"/>
              <w:rPr>
                <w:lang w:val="en-AU"/>
              </w:rPr>
            </w:pPr>
            <w:r w:rsidRPr="00BB59D8">
              <w:rPr>
                <w:lang w:val="en-AU"/>
              </w:rPr>
              <w:t>2027</w:t>
            </w:r>
          </w:p>
        </w:tc>
      </w:tr>
      <w:tr w:rsidR="00D3100F" w:rsidRPr="00BB59D8" w14:paraId="0011B470" w14:textId="77777777" w:rsidTr="00492226">
        <w:tc>
          <w:tcPr>
            <w:tcW w:w="5000" w:type="pct"/>
            <w:gridSpan w:val="7"/>
            <w:shd w:val="clear" w:color="auto" w:fill="auto"/>
            <w:vAlign w:val="center"/>
          </w:tcPr>
          <w:p w14:paraId="7E14D3E3" w14:textId="77777777" w:rsidR="00D3100F" w:rsidRPr="00BB59D8" w:rsidRDefault="00D3100F" w:rsidP="00492226">
            <w:pPr>
              <w:pStyle w:val="In-tableHeading"/>
              <w:rPr>
                <w:bCs/>
                <w:color w:val="000000"/>
                <w:lang w:val="en-AU"/>
              </w:rPr>
            </w:pPr>
            <w:r w:rsidRPr="00BB59D8">
              <w:rPr>
                <w:bCs/>
                <w:color w:val="000000"/>
                <w:lang w:val="en-AU"/>
              </w:rPr>
              <w:t>Estimated extent of use</w:t>
            </w:r>
          </w:p>
        </w:tc>
      </w:tr>
      <w:tr w:rsidR="00D3100F" w:rsidRPr="00BB59D8" w14:paraId="609B9A49" w14:textId="77777777" w:rsidTr="00492226">
        <w:tc>
          <w:tcPr>
            <w:tcW w:w="1116" w:type="pct"/>
            <w:shd w:val="clear" w:color="auto" w:fill="auto"/>
            <w:vAlign w:val="center"/>
          </w:tcPr>
          <w:p w14:paraId="4243E1A9" w14:textId="77777777" w:rsidR="00D3100F" w:rsidRPr="00BB59D8" w:rsidRDefault="00D3100F" w:rsidP="00492226">
            <w:pPr>
              <w:pStyle w:val="TableText0"/>
              <w:rPr>
                <w:rFonts w:ascii="Times" w:hAnsi="Times"/>
              </w:rPr>
            </w:pPr>
            <w:r w:rsidRPr="00BB59D8">
              <w:t>Number of patients treated</w:t>
            </w:r>
          </w:p>
        </w:tc>
        <w:tc>
          <w:tcPr>
            <w:tcW w:w="647" w:type="pct"/>
            <w:shd w:val="clear" w:color="auto" w:fill="auto"/>
            <w:vAlign w:val="center"/>
          </w:tcPr>
          <w:p w14:paraId="4134FA58" w14:textId="77777777" w:rsidR="00D3100F" w:rsidRPr="002707AA" w:rsidRDefault="002707AA" w:rsidP="00492226">
            <w:pPr>
              <w:pStyle w:val="TableText0"/>
              <w:jc w:val="center"/>
              <w:rPr>
                <w:color w:val="000000"/>
              </w:rPr>
            </w:pPr>
            <w:r>
              <w:rPr>
                <w:noProof/>
                <w:color w:val="000000"/>
                <w:highlight w:val="black"/>
              </w:rPr>
              <w:t>''''</w:t>
            </w:r>
            <w:r w:rsidR="00AD3883">
              <w:rPr>
                <w:vertAlign w:val="superscript"/>
              </w:rPr>
              <w:t>1</w:t>
            </w:r>
          </w:p>
        </w:tc>
        <w:tc>
          <w:tcPr>
            <w:tcW w:w="647" w:type="pct"/>
            <w:shd w:val="clear" w:color="auto" w:fill="auto"/>
            <w:vAlign w:val="center"/>
          </w:tcPr>
          <w:p w14:paraId="2874E34D" w14:textId="77777777" w:rsidR="00D3100F" w:rsidRPr="002707AA" w:rsidRDefault="002707AA" w:rsidP="00492226">
            <w:pPr>
              <w:pStyle w:val="TableText0"/>
              <w:jc w:val="center"/>
              <w:rPr>
                <w:color w:val="000000"/>
              </w:rPr>
            </w:pPr>
            <w:r>
              <w:rPr>
                <w:noProof/>
                <w:color w:val="000000"/>
                <w:highlight w:val="black"/>
              </w:rPr>
              <w:t>'''</w:t>
            </w:r>
            <w:r w:rsidR="00AD3883">
              <w:rPr>
                <w:vertAlign w:val="superscript"/>
              </w:rPr>
              <w:t>1</w:t>
            </w:r>
          </w:p>
        </w:tc>
        <w:tc>
          <w:tcPr>
            <w:tcW w:w="647" w:type="pct"/>
            <w:shd w:val="clear" w:color="auto" w:fill="auto"/>
            <w:vAlign w:val="center"/>
          </w:tcPr>
          <w:p w14:paraId="2740D8F1" w14:textId="77777777" w:rsidR="00D3100F" w:rsidRPr="002707AA" w:rsidRDefault="002707AA" w:rsidP="00492226">
            <w:pPr>
              <w:pStyle w:val="TableText0"/>
              <w:jc w:val="center"/>
              <w:rPr>
                <w:color w:val="000000"/>
              </w:rPr>
            </w:pPr>
            <w:r>
              <w:rPr>
                <w:noProof/>
                <w:color w:val="000000"/>
                <w:highlight w:val="black"/>
              </w:rPr>
              <w:t>''''</w:t>
            </w:r>
            <w:r w:rsidR="00AD3883">
              <w:rPr>
                <w:vertAlign w:val="superscript"/>
              </w:rPr>
              <w:t>1</w:t>
            </w:r>
          </w:p>
        </w:tc>
        <w:tc>
          <w:tcPr>
            <w:tcW w:w="647" w:type="pct"/>
            <w:shd w:val="clear" w:color="auto" w:fill="auto"/>
            <w:vAlign w:val="center"/>
          </w:tcPr>
          <w:p w14:paraId="7DCF5277" w14:textId="77777777" w:rsidR="00D3100F" w:rsidRPr="002707AA" w:rsidRDefault="002707AA" w:rsidP="00492226">
            <w:pPr>
              <w:pStyle w:val="TableText0"/>
              <w:jc w:val="center"/>
              <w:rPr>
                <w:color w:val="000000"/>
              </w:rPr>
            </w:pPr>
            <w:r>
              <w:rPr>
                <w:noProof/>
                <w:color w:val="000000"/>
                <w:highlight w:val="black"/>
              </w:rPr>
              <w:t>''''''</w:t>
            </w:r>
            <w:r w:rsidR="00AD3883">
              <w:rPr>
                <w:vertAlign w:val="superscript"/>
              </w:rPr>
              <w:t>1</w:t>
            </w:r>
          </w:p>
        </w:tc>
        <w:tc>
          <w:tcPr>
            <w:tcW w:w="647" w:type="pct"/>
            <w:shd w:val="clear" w:color="auto" w:fill="auto"/>
            <w:vAlign w:val="center"/>
          </w:tcPr>
          <w:p w14:paraId="159B92EC" w14:textId="77777777" w:rsidR="00D3100F" w:rsidRPr="002707AA" w:rsidRDefault="002707AA" w:rsidP="00492226">
            <w:pPr>
              <w:pStyle w:val="TableText0"/>
              <w:jc w:val="center"/>
              <w:rPr>
                <w:color w:val="000000"/>
              </w:rPr>
            </w:pPr>
            <w:r>
              <w:rPr>
                <w:noProof/>
                <w:color w:val="000000"/>
                <w:highlight w:val="black"/>
              </w:rPr>
              <w:t>''''''</w:t>
            </w:r>
            <w:r w:rsidR="00AD3883">
              <w:rPr>
                <w:vertAlign w:val="superscript"/>
              </w:rPr>
              <w:t>1</w:t>
            </w:r>
          </w:p>
        </w:tc>
        <w:tc>
          <w:tcPr>
            <w:tcW w:w="649" w:type="pct"/>
            <w:vAlign w:val="center"/>
          </w:tcPr>
          <w:p w14:paraId="0C602C99" w14:textId="77777777" w:rsidR="00D3100F" w:rsidRPr="002707AA" w:rsidRDefault="002707AA" w:rsidP="00492226">
            <w:pPr>
              <w:pStyle w:val="TableText0"/>
              <w:jc w:val="center"/>
              <w:rPr>
                <w:color w:val="000000"/>
              </w:rPr>
            </w:pPr>
            <w:r>
              <w:rPr>
                <w:noProof/>
                <w:color w:val="000000"/>
                <w:highlight w:val="black"/>
              </w:rPr>
              <w:t>'''''''</w:t>
            </w:r>
            <w:r w:rsidR="00AD3883">
              <w:rPr>
                <w:vertAlign w:val="superscript"/>
              </w:rPr>
              <w:t>1</w:t>
            </w:r>
          </w:p>
        </w:tc>
      </w:tr>
      <w:tr w:rsidR="00D3100F" w:rsidRPr="00BB59D8" w14:paraId="1BFAA2B3" w14:textId="77777777" w:rsidTr="00492226">
        <w:tc>
          <w:tcPr>
            <w:tcW w:w="5000" w:type="pct"/>
            <w:gridSpan w:val="7"/>
            <w:shd w:val="clear" w:color="auto" w:fill="auto"/>
            <w:vAlign w:val="center"/>
          </w:tcPr>
          <w:p w14:paraId="4C7ABEE8" w14:textId="77777777" w:rsidR="00D3100F" w:rsidRPr="00BB59D8" w:rsidRDefault="00D3100F" w:rsidP="00492226">
            <w:pPr>
              <w:pStyle w:val="In-tableHeading"/>
              <w:rPr>
                <w:lang w:val="en-AU"/>
              </w:rPr>
            </w:pPr>
            <w:r w:rsidRPr="00BB59D8">
              <w:rPr>
                <w:lang w:val="en-AU"/>
              </w:rPr>
              <w:t>Estimated financial implications of mecasermin</w:t>
            </w:r>
          </w:p>
        </w:tc>
      </w:tr>
      <w:tr w:rsidR="00D3100F" w:rsidRPr="00BB59D8" w14:paraId="12D49B94" w14:textId="77777777" w:rsidTr="00492226">
        <w:tc>
          <w:tcPr>
            <w:tcW w:w="1116" w:type="pct"/>
            <w:shd w:val="clear" w:color="auto" w:fill="auto"/>
            <w:vAlign w:val="center"/>
          </w:tcPr>
          <w:p w14:paraId="79406D63" w14:textId="77777777" w:rsidR="00D3100F" w:rsidRPr="00BB59D8" w:rsidRDefault="00D3100F" w:rsidP="00492226">
            <w:pPr>
              <w:pStyle w:val="TableText0"/>
              <w:rPr>
                <w:sz w:val="19"/>
                <w:szCs w:val="19"/>
              </w:rPr>
            </w:pPr>
            <w:r w:rsidRPr="00BB59D8">
              <w:rPr>
                <w:sz w:val="19"/>
                <w:szCs w:val="19"/>
              </w:rPr>
              <w:t xml:space="preserve">Cost to PBS/RPBS less </w:t>
            </w:r>
            <w:r w:rsidR="00DB4BC1" w:rsidRPr="00BB59D8">
              <w:rPr>
                <w:sz w:val="19"/>
                <w:szCs w:val="19"/>
              </w:rPr>
              <w:t>co-payments</w:t>
            </w:r>
          </w:p>
        </w:tc>
        <w:tc>
          <w:tcPr>
            <w:tcW w:w="647" w:type="pct"/>
            <w:shd w:val="clear" w:color="auto" w:fill="auto"/>
            <w:vAlign w:val="center"/>
          </w:tcPr>
          <w:p w14:paraId="37B1704B" w14:textId="77777777" w:rsidR="00D3100F" w:rsidRPr="002707AA" w:rsidRDefault="002707AA" w:rsidP="00492226">
            <w:pPr>
              <w:pStyle w:val="TableText0"/>
              <w:jc w:val="center"/>
              <w:rPr>
                <w:bCs w:val="0"/>
              </w:rPr>
            </w:pPr>
            <w:r>
              <w:rPr>
                <w:bCs w:val="0"/>
                <w:noProof/>
                <w:color w:val="000000"/>
                <w:highlight w:val="black"/>
              </w:rPr>
              <w:t>'''''''''''''''''''''''</w:t>
            </w:r>
            <w:r w:rsidR="00AD3883">
              <w:rPr>
                <w:vertAlign w:val="superscript"/>
              </w:rPr>
              <w:t>2</w:t>
            </w:r>
          </w:p>
        </w:tc>
        <w:tc>
          <w:tcPr>
            <w:tcW w:w="647" w:type="pct"/>
            <w:shd w:val="clear" w:color="auto" w:fill="auto"/>
            <w:vAlign w:val="center"/>
          </w:tcPr>
          <w:p w14:paraId="2D2DB481" w14:textId="77777777" w:rsidR="00D3100F" w:rsidRPr="002707AA" w:rsidRDefault="002707AA" w:rsidP="00492226">
            <w:pPr>
              <w:pStyle w:val="TableText0"/>
              <w:jc w:val="center"/>
              <w:rPr>
                <w:bCs w:val="0"/>
              </w:rPr>
            </w:pPr>
            <w:r>
              <w:rPr>
                <w:bCs w:val="0"/>
                <w:noProof/>
                <w:color w:val="000000"/>
                <w:highlight w:val="black"/>
              </w:rPr>
              <w:t>''''''''''''''''''''''</w:t>
            </w:r>
            <w:r w:rsidR="00AD3883">
              <w:rPr>
                <w:vertAlign w:val="superscript"/>
              </w:rPr>
              <w:t>2</w:t>
            </w:r>
          </w:p>
        </w:tc>
        <w:tc>
          <w:tcPr>
            <w:tcW w:w="647" w:type="pct"/>
            <w:shd w:val="clear" w:color="auto" w:fill="auto"/>
            <w:vAlign w:val="center"/>
          </w:tcPr>
          <w:p w14:paraId="4D7288BD" w14:textId="77777777" w:rsidR="00D3100F" w:rsidRPr="002707AA" w:rsidRDefault="002707AA" w:rsidP="00492226">
            <w:pPr>
              <w:pStyle w:val="TableText0"/>
              <w:jc w:val="center"/>
              <w:rPr>
                <w:bCs w:val="0"/>
              </w:rPr>
            </w:pPr>
            <w:r>
              <w:rPr>
                <w:bCs w:val="0"/>
                <w:noProof/>
                <w:color w:val="000000"/>
                <w:highlight w:val="black"/>
              </w:rPr>
              <w:t>'''''''''''''''''''''''</w:t>
            </w:r>
            <w:r w:rsidR="00AD3883">
              <w:rPr>
                <w:vertAlign w:val="superscript"/>
              </w:rPr>
              <w:t>2</w:t>
            </w:r>
          </w:p>
        </w:tc>
        <w:tc>
          <w:tcPr>
            <w:tcW w:w="647" w:type="pct"/>
            <w:shd w:val="clear" w:color="auto" w:fill="auto"/>
            <w:vAlign w:val="center"/>
          </w:tcPr>
          <w:p w14:paraId="3DF48643" w14:textId="77777777" w:rsidR="00D3100F" w:rsidRPr="002707AA" w:rsidRDefault="002707AA" w:rsidP="00492226">
            <w:pPr>
              <w:pStyle w:val="TableText0"/>
              <w:jc w:val="center"/>
              <w:rPr>
                <w:bCs w:val="0"/>
              </w:rPr>
            </w:pPr>
            <w:r>
              <w:rPr>
                <w:bCs w:val="0"/>
                <w:noProof/>
                <w:color w:val="000000"/>
                <w:highlight w:val="black"/>
              </w:rPr>
              <w:t>'''''''''''''''''''''''''</w:t>
            </w:r>
            <w:r w:rsidR="00AD3883">
              <w:rPr>
                <w:vertAlign w:val="superscript"/>
              </w:rPr>
              <w:t>2</w:t>
            </w:r>
          </w:p>
        </w:tc>
        <w:tc>
          <w:tcPr>
            <w:tcW w:w="647" w:type="pct"/>
            <w:shd w:val="clear" w:color="auto" w:fill="auto"/>
            <w:vAlign w:val="center"/>
          </w:tcPr>
          <w:p w14:paraId="68CF9CBE" w14:textId="77777777" w:rsidR="00D3100F" w:rsidRPr="002707AA" w:rsidRDefault="002707AA" w:rsidP="00492226">
            <w:pPr>
              <w:pStyle w:val="TableText0"/>
              <w:jc w:val="center"/>
              <w:rPr>
                <w:bCs w:val="0"/>
              </w:rPr>
            </w:pPr>
            <w:r>
              <w:rPr>
                <w:bCs w:val="0"/>
                <w:noProof/>
                <w:color w:val="000000"/>
                <w:highlight w:val="black"/>
              </w:rPr>
              <w:t>'''''''''''''''''''''</w:t>
            </w:r>
            <w:r w:rsidR="00AD3883">
              <w:rPr>
                <w:vertAlign w:val="superscript"/>
              </w:rPr>
              <w:t>2</w:t>
            </w:r>
          </w:p>
        </w:tc>
        <w:tc>
          <w:tcPr>
            <w:tcW w:w="649" w:type="pct"/>
            <w:vAlign w:val="center"/>
          </w:tcPr>
          <w:p w14:paraId="7FBD0E25" w14:textId="77777777" w:rsidR="00D3100F" w:rsidRPr="002707AA" w:rsidRDefault="002707AA" w:rsidP="00492226">
            <w:pPr>
              <w:pStyle w:val="TableText0"/>
              <w:jc w:val="center"/>
              <w:rPr>
                <w:bCs w:val="0"/>
              </w:rPr>
            </w:pPr>
            <w:r>
              <w:rPr>
                <w:bCs w:val="0"/>
                <w:noProof/>
                <w:color w:val="000000"/>
                <w:highlight w:val="black"/>
              </w:rPr>
              <w:t>''''''''''''''''''''''</w:t>
            </w:r>
            <w:r w:rsidR="00AD3883">
              <w:rPr>
                <w:vertAlign w:val="superscript"/>
              </w:rPr>
              <w:t>2</w:t>
            </w:r>
          </w:p>
        </w:tc>
      </w:tr>
      <w:tr w:rsidR="00D3100F" w:rsidRPr="00BB59D8" w14:paraId="08F78707" w14:textId="77777777" w:rsidTr="00492226">
        <w:tc>
          <w:tcPr>
            <w:tcW w:w="5000" w:type="pct"/>
            <w:gridSpan w:val="7"/>
            <w:shd w:val="clear" w:color="auto" w:fill="auto"/>
            <w:vAlign w:val="center"/>
          </w:tcPr>
          <w:p w14:paraId="0161333E" w14:textId="77777777" w:rsidR="00D3100F" w:rsidRPr="00BB59D8" w:rsidRDefault="00D3100F" w:rsidP="00492226">
            <w:pPr>
              <w:pStyle w:val="In-tableHeading"/>
              <w:jc w:val="center"/>
              <w:rPr>
                <w:lang w:val="en-AU"/>
              </w:rPr>
            </w:pPr>
            <w:r w:rsidRPr="00BB59D8">
              <w:rPr>
                <w:lang w:val="en-AU"/>
              </w:rPr>
              <w:t>Net financial implications</w:t>
            </w:r>
          </w:p>
        </w:tc>
      </w:tr>
      <w:tr w:rsidR="00D3100F" w:rsidRPr="00BB59D8" w14:paraId="0F9C20BB" w14:textId="77777777" w:rsidTr="00492226">
        <w:tc>
          <w:tcPr>
            <w:tcW w:w="1116" w:type="pct"/>
            <w:shd w:val="clear" w:color="auto" w:fill="auto"/>
            <w:vAlign w:val="center"/>
          </w:tcPr>
          <w:p w14:paraId="1B03BF2F" w14:textId="77777777" w:rsidR="00D3100F" w:rsidRPr="00BB59D8" w:rsidRDefault="00D3100F" w:rsidP="00492226">
            <w:pPr>
              <w:pStyle w:val="TableText0"/>
              <w:rPr>
                <w:sz w:val="19"/>
                <w:szCs w:val="19"/>
              </w:rPr>
            </w:pPr>
            <w:r w:rsidRPr="00BB59D8">
              <w:rPr>
                <w:sz w:val="19"/>
                <w:szCs w:val="19"/>
              </w:rPr>
              <w:t>Net cost to PBS/RPBS</w:t>
            </w:r>
          </w:p>
        </w:tc>
        <w:tc>
          <w:tcPr>
            <w:tcW w:w="647" w:type="pct"/>
            <w:shd w:val="clear" w:color="auto" w:fill="auto"/>
            <w:vAlign w:val="center"/>
          </w:tcPr>
          <w:p w14:paraId="79CA306C" w14:textId="77777777" w:rsidR="00D3100F" w:rsidRPr="002707AA" w:rsidRDefault="002707AA" w:rsidP="00492226">
            <w:pPr>
              <w:pStyle w:val="TableText0"/>
              <w:jc w:val="center"/>
            </w:pPr>
            <w:r>
              <w:rPr>
                <w:bCs w:val="0"/>
                <w:noProof/>
                <w:color w:val="000000"/>
                <w:highlight w:val="black"/>
              </w:rPr>
              <w:t>''''''''''''''''''''''</w:t>
            </w:r>
            <w:r w:rsidR="00AD3883">
              <w:rPr>
                <w:vertAlign w:val="superscript"/>
              </w:rPr>
              <w:t>2</w:t>
            </w:r>
          </w:p>
        </w:tc>
        <w:tc>
          <w:tcPr>
            <w:tcW w:w="647" w:type="pct"/>
            <w:shd w:val="clear" w:color="auto" w:fill="auto"/>
            <w:vAlign w:val="center"/>
          </w:tcPr>
          <w:p w14:paraId="5CB08639" w14:textId="77777777" w:rsidR="00D3100F" w:rsidRPr="002707AA" w:rsidRDefault="002707AA" w:rsidP="00492226">
            <w:pPr>
              <w:pStyle w:val="TableText0"/>
              <w:jc w:val="center"/>
            </w:pPr>
            <w:r>
              <w:rPr>
                <w:bCs w:val="0"/>
                <w:noProof/>
                <w:color w:val="000000"/>
                <w:highlight w:val="black"/>
              </w:rPr>
              <w:t>'''''''''''''''''''''''</w:t>
            </w:r>
            <w:r w:rsidR="00AD3883">
              <w:rPr>
                <w:vertAlign w:val="superscript"/>
              </w:rPr>
              <w:t>2</w:t>
            </w:r>
          </w:p>
        </w:tc>
        <w:tc>
          <w:tcPr>
            <w:tcW w:w="647" w:type="pct"/>
            <w:shd w:val="clear" w:color="auto" w:fill="auto"/>
            <w:vAlign w:val="center"/>
          </w:tcPr>
          <w:p w14:paraId="7B1A18FD" w14:textId="77777777" w:rsidR="00D3100F" w:rsidRPr="002707AA" w:rsidRDefault="002707AA" w:rsidP="00492226">
            <w:pPr>
              <w:pStyle w:val="TableText0"/>
              <w:jc w:val="center"/>
            </w:pPr>
            <w:r>
              <w:rPr>
                <w:bCs w:val="0"/>
                <w:noProof/>
                <w:color w:val="000000"/>
                <w:highlight w:val="black"/>
              </w:rPr>
              <w:t>''''''''''''''''''''''''</w:t>
            </w:r>
            <w:r w:rsidR="00AD3883">
              <w:rPr>
                <w:vertAlign w:val="superscript"/>
              </w:rPr>
              <w:t>2</w:t>
            </w:r>
          </w:p>
        </w:tc>
        <w:tc>
          <w:tcPr>
            <w:tcW w:w="647" w:type="pct"/>
            <w:shd w:val="clear" w:color="auto" w:fill="auto"/>
            <w:vAlign w:val="center"/>
          </w:tcPr>
          <w:p w14:paraId="333D8B69" w14:textId="77777777" w:rsidR="00D3100F" w:rsidRPr="002707AA" w:rsidRDefault="002707AA" w:rsidP="00492226">
            <w:pPr>
              <w:pStyle w:val="TableText0"/>
              <w:jc w:val="center"/>
            </w:pPr>
            <w:r>
              <w:rPr>
                <w:bCs w:val="0"/>
                <w:noProof/>
                <w:color w:val="000000"/>
                <w:highlight w:val="black"/>
              </w:rPr>
              <w:t>'''''''''''''''''''''''</w:t>
            </w:r>
            <w:r w:rsidR="00AD3883">
              <w:rPr>
                <w:vertAlign w:val="superscript"/>
              </w:rPr>
              <w:t>2</w:t>
            </w:r>
          </w:p>
        </w:tc>
        <w:tc>
          <w:tcPr>
            <w:tcW w:w="647" w:type="pct"/>
            <w:shd w:val="clear" w:color="auto" w:fill="auto"/>
            <w:vAlign w:val="center"/>
          </w:tcPr>
          <w:p w14:paraId="5B1A0B64" w14:textId="77777777" w:rsidR="00D3100F" w:rsidRPr="002707AA" w:rsidRDefault="002707AA" w:rsidP="00492226">
            <w:pPr>
              <w:pStyle w:val="TableText0"/>
              <w:jc w:val="center"/>
            </w:pPr>
            <w:r>
              <w:rPr>
                <w:bCs w:val="0"/>
                <w:noProof/>
                <w:color w:val="000000"/>
                <w:highlight w:val="black"/>
              </w:rPr>
              <w:t>''''''''''''''''''''</w:t>
            </w:r>
            <w:r w:rsidR="00AD3883">
              <w:rPr>
                <w:vertAlign w:val="superscript"/>
              </w:rPr>
              <w:t>2</w:t>
            </w:r>
          </w:p>
        </w:tc>
        <w:tc>
          <w:tcPr>
            <w:tcW w:w="649" w:type="pct"/>
            <w:vAlign w:val="center"/>
          </w:tcPr>
          <w:p w14:paraId="1133E9C7" w14:textId="77777777" w:rsidR="00D3100F" w:rsidRPr="002707AA" w:rsidRDefault="002707AA" w:rsidP="00492226">
            <w:pPr>
              <w:pStyle w:val="TableText0"/>
              <w:jc w:val="center"/>
            </w:pPr>
            <w:r>
              <w:rPr>
                <w:bCs w:val="0"/>
                <w:noProof/>
                <w:color w:val="000000"/>
                <w:highlight w:val="black"/>
              </w:rPr>
              <w:t>'''''''''''''''''''''</w:t>
            </w:r>
            <w:r w:rsidR="00AD3883">
              <w:rPr>
                <w:vertAlign w:val="superscript"/>
              </w:rPr>
              <w:t>2</w:t>
            </w:r>
          </w:p>
        </w:tc>
      </w:tr>
      <w:tr w:rsidR="00D3100F" w:rsidRPr="00BB59D8" w14:paraId="27C88778" w14:textId="77777777" w:rsidTr="00492226">
        <w:tc>
          <w:tcPr>
            <w:tcW w:w="1116" w:type="pct"/>
            <w:shd w:val="clear" w:color="auto" w:fill="auto"/>
            <w:vAlign w:val="center"/>
          </w:tcPr>
          <w:p w14:paraId="73A06A91" w14:textId="77777777" w:rsidR="00D3100F" w:rsidRPr="00BB59D8" w:rsidRDefault="00D3100F" w:rsidP="00492226">
            <w:pPr>
              <w:pStyle w:val="TableText0"/>
              <w:rPr>
                <w:rFonts w:ascii="Times" w:hAnsi="Times"/>
              </w:rPr>
            </w:pPr>
            <w:r w:rsidRPr="00BB59D8">
              <w:rPr>
                <w:sz w:val="19"/>
                <w:szCs w:val="19"/>
              </w:rPr>
              <w:t>Net cost to MBS</w:t>
            </w:r>
          </w:p>
        </w:tc>
        <w:tc>
          <w:tcPr>
            <w:tcW w:w="647" w:type="pct"/>
            <w:shd w:val="clear" w:color="auto" w:fill="auto"/>
            <w:vAlign w:val="center"/>
          </w:tcPr>
          <w:p w14:paraId="6C252533" w14:textId="77777777" w:rsidR="00D3100F" w:rsidRPr="002707AA" w:rsidRDefault="002707AA" w:rsidP="00492226">
            <w:pPr>
              <w:pStyle w:val="TableText0"/>
              <w:jc w:val="center"/>
              <w:rPr>
                <w:szCs w:val="20"/>
              </w:rPr>
            </w:pPr>
            <w:r>
              <w:rPr>
                <w:noProof/>
                <w:color w:val="000000"/>
                <w:szCs w:val="20"/>
                <w:highlight w:val="black"/>
              </w:rPr>
              <w:t>'''''''''''</w:t>
            </w:r>
            <w:r w:rsidR="00AD3883">
              <w:rPr>
                <w:vertAlign w:val="superscript"/>
              </w:rPr>
              <w:t>2</w:t>
            </w:r>
          </w:p>
        </w:tc>
        <w:tc>
          <w:tcPr>
            <w:tcW w:w="647" w:type="pct"/>
            <w:shd w:val="clear" w:color="auto" w:fill="auto"/>
            <w:vAlign w:val="center"/>
          </w:tcPr>
          <w:p w14:paraId="6810FE5A" w14:textId="77777777" w:rsidR="00D3100F" w:rsidRPr="002707AA" w:rsidRDefault="002707AA" w:rsidP="00492226">
            <w:pPr>
              <w:pStyle w:val="TableText0"/>
              <w:jc w:val="center"/>
              <w:rPr>
                <w:szCs w:val="20"/>
              </w:rPr>
            </w:pPr>
            <w:r>
              <w:rPr>
                <w:noProof/>
                <w:color w:val="000000"/>
                <w:szCs w:val="20"/>
                <w:highlight w:val="black"/>
              </w:rPr>
              <w:t>''''''''''''</w:t>
            </w:r>
            <w:r w:rsidR="00AD3883">
              <w:rPr>
                <w:vertAlign w:val="superscript"/>
              </w:rPr>
              <w:t>2</w:t>
            </w:r>
          </w:p>
        </w:tc>
        <w:tc>
          <w:tcPr>
            <w:tcW w:w="647" w:type="pct"/>
            <w:shd w:val="clear" w:color="auto" w:fill="auto"/>
            <w:vAlign w:val="center"/>
          </w:tcPr>
          <w:p w14:paraId="6EFAA107" w14:textId="77777777" w:rsidR="00D3100F" w:rsidRPr="002707AA" w:rsidRDefault="002707AA" w:rsidP="00492226">
            <w:pPr>
              <w:pStyle w:val="TableText0"/>
              <w:jc w:val="center"/>
              <w:rPr>
                <w:szCs w:val="20"/>
              </w:rPr>
            </w:pPr>
            <w:r>
              <w:rPr>
                <w:noProof/>
                <w:color w:val="000000"/>
                <w:szCs w:val="20"/>
                <w:highlight w:val="black"/>
              </w:rPr>
              <w:t>'''''''''''''</w:t>
            </w:r>
            <w:r w:rsidR="00AD3883">
              <w:rPr>
                <w:vertAlign w:val="superscript"/>
              </w:rPr>
              <w:t>2</w:t>
            </w:r>
          </w:p>
        </w:tc>
        <w:tc>
          <w:tcPr>
            <w:tcW w:w="647" w:type="pct"/>
            <w:shd w:val="clear" w:color="auto" w:fill="auto"/>
            <w:vAlign w:val="center"/>
          </w:tcPr>
          <w:p w14:paraId="20007DAF" w14:textId="77777777" w:rsidR="00D3100F" w:rsidRPr="002707AA" w:rsidRDefault="002707AA" w:rsidP="00492226">
            <w:pPr>
              <w:pStyle w:val="TableText0"/>
              <w:jc w:val="center"/>
              <w:rPr>
                <w:szCs w:val="20"/>
              </w:rPr>
            </w:pPr>
            <w:r>
              <w:rPr>
                <w:noProof/>
                <w:color w:val="000000"/>
                <w:szCs w:val="20"/>
                <w:highlight w:val="black"/>
              </w:rPr>
              <w:t>''''''''''''''''</w:t>
            </w:r>
            <w:r w:rsidR="00AD3883">
              <w:rPr>
                <w:vertAlign w:val="superscript"/>
              </w:rPr>
              <w:t>2</w:t>
            </w:r>
          </w:p>
        </w:tc>
        <w:tc>
          <w:tcPr>
            <w:tcW w:w="647" w:type="pct"/>
            <w:shd w:val="clear" w:color="auto" w:fill="auto"/>
            <w:vAlign w:val="center"/>
          </w:tcPr>
          <w:p w14:paraId="4DE26B08" w14:textId="77777777" w:rsidR="00D3100F" w:rsidRPr="002707AA" w:rsidRDefault="002707AA" w:rsidP="00492226">
            <w:pPr>
              <w:pStyle w:val="TableText0"/>
              <w:jc w:val="center"/>
              <w:rPr>
                <w:szCs w:val="20"/>
              </w:rPr>
            </w:pPr>
            <w:r>
              <w:rPr>
                <w:noProof/>
                <w:color w:val="000000"/>
                <w:szCs w:val="20"/>
                <w:highlight w:val="black"/>
              </w:rPr>
              <w:t>'''''''''''''''''</w:t>
            </w:r>
            <w:r w:rsidR="00AD3883">
              <w:rPr>
                <w:vertAlign w:val="superscript"/>
              </w:rPr>
              <w:t>2</w:t>
            </w:r>
          </w:p>
        </w:tc>
        <w:tc>
          <w:tcPr>
            <w:tcW w:w="649" w:type="pct"/>
            <w:vAlign w:val="center"/>
          </w:tcPr>
          <w:p w14:paraId="0230DE30" w14:textId="77777777" w:rsidR="00D3100F" w:rsidRPr="002707AA" w:rsidRDefault="002707AA" w:rsidP="00492226">
            <w:pPr>
              <w:pStyle w:val="TableText0"/>
              <w:jc w:val="center"/>
              <w:rPr>
                <w:szCs w:val="20"/>
              </w:rPr>
            </w:pPr>
            <w:r>
              <w:rPr>
                <w:noProof/>
                <w:color w:val="000000"/>
                <w:szCs w:val="20"/>
                <w:highlight w:val="black"/>
              </w:rPr>
              <w:t>''''''''''''''''''</w:t>
            </w:r>
            <w:r w:rsidR="00AD3883">
              <w:rPr>
                <w:vertAlign w:val="superscript"/>
              </w:rPr>
              <w:t>2</w:t>
            </w:r>
          </w:p>
        </w:tc>
      </w:tr>
      <w:tr w:rsidR="00D3100F" w:rsidRPr="00BB59D8" w14:paraId="02EAB663" w14:textId="77777777" w:rsidTr="00492226">
        <w:tc>
          <w:tcPr>
            <w:tcW w:w="1116" w:type="pct"/>
            <w:shd w:val="clear" w:color="auto" w:fill="auto"/>
            <w:vAlign w:val="center"/>
          </w:tcPr>
          <w:p w14:paraId="5301CAA1" w14:textId="77777777" w:rsidR="00D3100F" w:rsidRPr="00BB59D8" w:rsidRDefault="00D3100F" w:rsidP="00492226">
            <w:pPr>
              <w:pStyle w:val="TableText0"/>
              <w:rPr>
                <w:b/>
                <w:bCs w:val="0"/>
                <w:sz w:val="19"/>
                <w:szCs w:val="19"/>
              </w:rPr>
            </w:pPr>
            <w:r w:rsidRPr="00BB59D8">
              <w:rPr>
                <w:b/>
                <w:bCs w:val="0"/>
                <w:sz w:val="19"/>
                <w:szCs w:val="19"/>
              </w:rPr>
              <w:t>Total cost to the government</w:t>
            </w:r>
          </w:p>
        </w:tc>
        <w:tc>
          <w:tcPr>
            <w:tcW w:w="647" w:type="pct"/>
            <w:shd w:val="clear" w:color="auto" w:fill="auto"/>
            <w:vAlign w:val="center"/>
          </w:tcPr>
          <w:p w14:paraId="06C770A3" w14:textId="77777777" w:rsidR="00D3100F" w:rsidRPr="002707AA" w:rsidRDefault="002707AA" w:rsidP="00492226">
            <w:pPr>
              <w:pStyle w:val="TableText0"/>
              <w:jc w:val="center"/>
              <w:rPr>
                <w:b/>
                <w:bCs w:val="0"/>
                <w:color w:val="000000"/>
                <w:szCs w:val="20"/>
              </w:rPr>
            </w:pPr>
            <w:r>
              <w:rPr>
                <w:b/>
                <w:bCs w:val="0"/>
                <w:noProof/>
                <w:color w:val="000000"/>
                <w:highlight w:val="black"/>
              </w:rPr>
              <w:t>'''''''''''''''''</w:t>
            </w:r>
            <w:r w:rsidR="00AD3883">
              <w:rPr>
                <w:vertAlign w:val="superscript"/>
              </w:rPr>
              <w:t>2</w:t>
            </w:r>
          </w:p>
        </w:tc>
        <w:tc>
          <w:tcPr>
            <w:tcW w:w="647" w:type="pct"/>
            <w:shd w:val="clear" w:color="auto" w:fill="auto"/>
            <w:vAlign w:val="center"/>
          </w:tcPr>
          <w:p w14:paraId="2C38D124" w14:textId="77777777" w:rsidR="00D3100F" w:rsidRPr="002707AA" w:rsidRDefault="002707AA" w:rsidP="00492226">
            <w:pPr>
              <w:pStyle w:val="TableText0"/>
              <w:jc w:val="center"/>
              <w:rPr>
                <w:b/>
                <w:bCs w:val="0"/>
                <w:color w:val="000000"/>
                <w:szCs w:val="20"/>
              </w:rPr>
            </w:pPr>
            <w:r>
              <w:rPr>
                <w:b/>
                <w:bCs w:val="0"/>
                <w:noProof/>
                <w:color w:val="000000"/>
                <w:highlight w:val="black"/>
              </w:rPr>
              <w:t>''''''''''''''''''</w:t>
            </w:r>
            <w:r w:rsidR="00AD3883">
              <w:rPr>
                <w:vertAlign w:val="superscript"/>
              </w:rPr>
              <w:t>2</w:t>
            </w:r>
          </w:p>
        </w:tc>
        <w:tc>
          <w:tcPr>
            <w:tcW w:w="647" w:type="pct"/>
            <w:shd w:val="clear" w:color="auto" w:fill="auto"/>
            <w:vAlign w:val="center"/>
          </w:tcPr>
          <w:p w14:paraId="1ABC2733" w14:textId="77777777" w:rsidR="00D3100F" w:rsidRPr="002707AA" w:rsidRDefault="002707AA" w:rsidP="00492226">
            <w:pPr>
              <w:pStyle w:val="TableText0"/>
              <w:jc w:val="center"/>
              <w:rPr>
                <w:b/>
                <w:bCs w:val="0"/>
                <w:color w:val="000000"/>
                <w:szCs w:val="20"/>
              </w:rPr>
            </w:pPr>
            <w:r>
              <w:rPr>
                <w:b/>
                <w:bCs w:val="0"/>
                <w:noProof/>
                <w:color w:val="000000"/>
                <w:highlight w:val="black"/>
              </w:rPr>
              <w:t>'''''''''''''''''''</w:t>
            </w:r>
            <w:r w:rsidR="00AD3883">
              <w:rPr>
                <w:vertAlign w:val="superscript"/>
              </w:rPr>
              <w:t>2</w:t>
            </w:r>
          </w:p>
        </w:tc>
        <w:tc>
          <w:tcPr>
            <w:tcW w:w="647" w:type="pct"/>
            <w:shd w:val="clear" w:color="auto" w:fill="auto"/>
            <w:vAlign w:val="center"/>
          </w:tcPr>
          <w:p w14:paraId="3F389031" w14:textId="77777777" w:rsidR="00D3100F" w:rsidRPr="002707AA" w:rsidRDefault="002707AA" w:rsidP="00492226">
            <w:pPr>
              <w:pStyle w:val="TableText0"/>
              <w:jc w:val="center"/>
              <w:rPr>
                <w:b/>
                <w:bCs w:val="0"/>
                <w:color w:val="000000"/>
                <w:szCs w:val="20"/>
              </w:rPr>
            </w:pPr>
            <w:r>
              <w:rPr>
                <w:b/>
                <w:bCs w:val="0"/>
                <w:noProof/>
                <w:color w:val="000000"/>
                <w:highlight w:val="black"/>
              </w:rPr>
              <w:t>''''''''''''''''''</w:t>
            </w:r>
            <w:r w:rsidR="00AD3883">
              <w:rPr>
                <w:vertAlign w:val="superscript"/>
              </w:rPr>
              <w:t>2</w:t>
            </w:r>
          </w:p>
        </w:tc>
        <w:tc>
          <w:tcPr>
            <w:tcW w:w="647" w:type="pct"/>
            <w:shd w:val="clear" w:color="auto" w:fill="auto"/>
            <w:vAlign w:val="center"/>
          </w:tcPr>
          <w:p w14:paraId="78007845" w14:textId="77777777" w:rsidR="00D3100F" w:rsidRPr="002707AA" w:rsidRDefault="002707AA" w:rsidP="00492226">
            <w:pPr>
              <w:pStyle w:val="TableText0"/>
              <w:jc w:val="center"/>
              <w:rPr>
                <w:b/>
                <w:bCs w:val="0"/>
                <w:color w:val="000000"/>
                <w:szCs w:val="20"/>
              </w:rPr>
            </w:pPr>
            <w:r>
              <w:rPr>
                <w:b/>
                <w:bCs w:val="0"/>
                <w:noProof/>
                <w:color w:val="000000"/>
                <w:highlight w:val="black"/>
              </w:rPr>
              <w:t>'''''''''''''''''''</w:t>
            </w:r>
            <w:r w:rsidR="00AD3883">
              <w:rPr>
                <w:vertAlign w:val="superscript"/>
              </w:rPr>
              <w:t>2</w:t>
            </w:r>
          </w:p>
        </w:tc>
        <w:tc>
          <w:tcPr>
            <w:tcW w:w="649" w:type="pct"/>
            <w:vAlign w:val="center"/>
          </w:tcPr>
          <w:p w14:paraId="4512F26A" w14:textId="77777777" w:rsidR="00D3100F" w:rsidRPr="002707AA" w:rsidRDefault="002707AA" w:rsidP="00492226">
            <w:pPr>
              <w:pStyle w:val="TableText0"/>
              <w:jc w:val="center"/>
              <w:rPr>
                <w:b/>
                <w:bCs w:val="0"/>
                <w:color w:val="000000"/>
                <w:szCs w:val="20"/>
              </w:rPr>
            </w:pPr>
            <w:r>
              <w:rPr>
                <w:b/>
                <w:bCs w:val="0"/>
                <w:noProof/>
                <w:color w:val="000000"/>
                <w:highlight w:val="black"/>
              </w:rPr>
              <w:t>''''''''''''''''</w:t>
            </w:r>
            <w:r w:rsidR="00AD3883">
              <w:rPr>
                <w:vertAlign w:val="superscript"/>
              </w:rPr>
              <w:t>2</w:t>
            </w:r>
          </w:p>
        </w:tc>
      </w:tr>
    </w:tbl>
    <w:p w14:paraId="01639A55" w14:textId="77777777" w:rsidR="00D3100F" w:rsidRPr="00BB59D8" w:rsidRDefault="00D3100F" w:rsidP="00D3100F">
      <w:pPr>
        <w:pStyle w:val="TableFigureFooter"/>
      </w:pPr>
      <w:r w:rsidRPr="00BB59D8">
        <w:t>PBS = Pharmaceutical Benefits Scheme; RPBS = Repatriation Schedule of Pharmaceutical Benefits; MBS = Medicare Benefits Schedule.</w:t>
      </w:r>
    </w:p>
    <w:p w14:paraId="6524625B" w14:textId="77777777" w:rsidR="00D3100F" w:rsidRDefault="00D3100F" w:rsidP="00D3100F">
      <w:pPr>
        <w:pStyle w:val="TableFigureFooter"/>
      </w:pPr>
      <w:r w:rsidRPr="00BB59D8">
        <w:t>Source: Tables 4-13, p136 of the submission.</w:t>
      </w:r>
    </w:p>
    <w:p w14:paraId="3FDE25BA" w14:textId="77777777" w:rsidR="00AD3883" w:rsidRPr="00AD3883" w:rsidRDefault="00AD3883" w:rsidP="00D3100F">
      <w:pPr>
        <w:pStyle w:val="TableFigureFooter"/>
        <w:rPr>
          <w:i/>
        </w:rPr>
      </w:pPr>
      <w:r w:rsidRPr="00AD3883">
        <w:rPr>
          <w:i/>
        </w:rPr>
        <w:t>The redacted values correspond to the following ranges:</w:t>
      </w:r>
    </w:p>
    <w:p w14:paraId="485A3426" w14:textId="77777777" w:rsidR="00AD3883" w:rsidRPr="00AD3883" w:rsidRDefault="00AD3883" w:rsidP="00D3100F">
      <w:pPr>
        <w:pStyle w:val="TableFigureFooter"/>
        <w:rPr>
          <w:i/>
        </w:rPr>
      </w:pPr>
      <w:r w:rsidRPr="00AD3883">
        <w:rPr>
          <w:i/>
          <w:vertAlign w:val="superscript"/>
        </w:rPr>
        <w:t>1</w:t>
      </w:r>
      <w:r w:rsidRPr="00AD3883">
        <w:rPr>
          <w:i/>
        </w:rPr>
        <w:t xml:space="preserve"> &lt;500</w:t>
      </w:r>
    </w:p>
    <w:p w14:paraId="478F7F01" w14:textId="77777777" w:rsidR="00AD3883" w:rsidRPr="00AD3883" w:rsidRDefault="00AD3883" w:rsidP="00D3100F">
      <w:pPr>
        <w:pStyle w:val="TableFigureFooter"/>
        <w:rPr>
          <w:b/>
          <w:i/>
          <w:sz w:val="20"/>
          <w:szCs w:val="16"/>
        </w:rPr>
      </w:pPr>
      <w:r w:rsidRPr="00AD3883">
        <w:rPr>
          <w:i/>
          <w:vertAlign w:val="superscript"/>
        </w:rPr>
        <w:t>2</w:t>
      </w:r>
      <w:r w:rsidRPr="00AD3883">
        <w:rPr>
          <w:i/>
        </w:rPr>
        <w:t xml:space="preserve"> $0 to &lt; $10 million</w:t>
      </w:r>
    </w:p>
    <w:p w14:paraId="67082419" w14:textId="515BAA86" w:rsidR="00D3100F" w:rsidRPr="00BB59D8" w:rsidRDefault="00D3100F" w:rsidP="00D3100F">
      <w:pPr>
        <w:pStyle w:val="3-BodyText"/>
        <w:rPr>
          <w:color w:val="0066FF"/>
        </w:rPr>
      </w:pPr>
      <w:r w:rsidRPr="00BB59D8">
        <w:t>The total cost to the health budget (R/PBS and MBS) of listing mecasermin was estimated to be $</w:t>
      </w:r>
      <w:r w:rsidR="00AD3883">
        <w:t>0 to &lt; $10 million</w:t>
      </w:r>
      <w:r w:rsidRPr="00BB59D8">
        <w:t xml:space="preserve"> in Year 1, increasing to $</w:t>
      </w:r>
      <w:r w:rsidR="00AD3883">
        <w:t>0 to &lt; $10 million</w:t>
      </w:r>
      <w:r w:rsidRPr="00BB59D8">
        <w:t xml:space="preserve"> in Year 6, and a total of $</w:t>
      </w:r>
      <w:r w:rsidR="00AD3883">
        <w:t>0 to &lt; $10</w:t>
      </w:r>
      <w:r w:rsidRPr="00BB59D8">
        <w:t xml:space="preserve"> million in the first 6 years of listing.</w:t>
      </w:r>
      <w:bookmarkStart w:id="47" w:name="_Hlk79009900"/>
    </w:p>
    <w:p w14:paraId="3E5DD203" w14:textId="77777777" w:rsidR="00D3100F" w:rsidRPr="00BB59D8" w:rsidRDefault="00D3100F" w:rsidP="00D3100F">
      <w:pPr>
        <w:pStyle w:val="3-BodyText"/>
        <w:rPr>
          <w:color w:val="0066FF"/>
        </w:rPr>
      </w:pPr>
      <w:r w:rsidRPr="00BB59D8">
        <w:t xml:space="preserve">Mecasermin treatment is currently being offered to </w:t>
      </w:r>
      <w:r w:rsidR="00322437">
        <w:t>&lt; 500</w:t>
      </w:r>
      <w:r w:rsidRPr="00BB59D8">
        <w:t xml:space="preserve"> patients in Australia on compassionate grounds at no cost (</w:t>
      </w:r>
      <w:r w:rsidR="00322437">
        <w:t>&lt; 500</w:t>
      </w:r>
      <w:r w:rsidRPr="00BB59D8">
        <w:t xml:space="preserve"> patients are currently receiving treatment, and </w:t>
      </w:r>
      <w:r w:rsidR="00322437">
        <w:t>&lt; 500</w:t>
      </w:r>
      <w:r w:rsidRPr="00BB59D8">
        <w:t xml:space="preserve"> is yet to initiate).</w:t>
      </w:r>
      <w:bookmarkEnd w:id="47"/>
      <w:r w:rsidRPr="00BB59D8">
        <w:t xml:space="preserve"> A total of </w:t>
      </w:r>
      <w:r w:rsidR="00AD3883">
        <w:t>&lt; 500</w:t>
      </w:r>
      <w:r w:rsidRPr="00BB59D8">
        <w:t xml:space="preserve"> grandfathered patients continuing treatment for six years were added to the financial estimates. </w:t>
      </w:r>
      <w:r w:rsidRPr="00BB59D8">
        <w:rPr>
          <w:iCs/>
        </w:rPr>
        <w:t xml:space="preserve">This estimate is reasonable </w:t>
      </w:r>
      <w:bookmarkStart w:id="48" w:name="_Hlk79009952"/>
      <w:r w:rsidRPr="00BB59D8">
        <w:rPr>
          <w:iCs/>
        </w:rPr>
        <w:t>given that mecasermin was TGA registered in 2019, and the patients can receive mecasermin until age 18. Therefore, grandfathered patients would meet the eligibility criteria for the PBS restriction despite the prior mecasermin treatment.</w:t>
      </w:r>
      <w:bookmarkEnd w:id="48"/>
    </w:p>
    <w:p w14:paraId="304E8B64" w14:textId="77777777" w:rsidR="00D3100F" w:rsidRPr="00BB59D8" w:rsidRDefault="00D3100F" w:rsidP="00D3100F">
      <w:pPr>
        <w:pStyle w:val="3-BodyText"/>
        <w:rPr>
          <w:color w:val="0066FF"/>
        </w:rPr>
      </w:pPr>
      <w:r w:rsidRPr="00BB59D8">
        <w:t xml:space="preserve">The net cost to the R/PBS may be underestimated because of the uncertainty in </w:t>
      </w:r>
      <w:r w:rsidRPr="00BB59D8">
        <w:rPr>
          <w:iCs/>
        </w:rPr>
        <w:t>the patient numbers (</w:t>
      </w:r>
      <w:r w:rsidR="00AD3883">
        <w:rPr>
          <w:iCs/>
        </w:rPr>
        <w:t>&lt; 500</w:t>
      </w:r>
      <w:r w:rsidRPr="00BB59D8">
        <w:rPr>
          <w:iCs/>
        </w:rPr>
        <w:t xml:space="preserve"> patients in year 1 increasing to </w:t>
      </w:r>
      <w:r w:rsidR="00AD3883">
        <w:rPr>
          <w:iCs/>
        </w:rPr>
        <w:t>&lt; 500</w:t>
      </w:r>
      <w:r w:rsidRPr="00BB59D8">
        <w:rPr>
          <w:iCs/>
        </w:rPr>
        <w:t xml:space="preserve"> in year 6). In particular,</w:t>
      </w:r>
      <w:r w:rsidRPr="00BB59D8">
        <w:t xml:space="preserve"> the TGA application estimated substantially more patients with SPIGFD (N=134) and thus eligible for mecasermin treatment. </w:t>
      </w:r>
      <w:r w:rsidRPr="00BB59D8">
        <w:rPr>
          <w:iCs/>
        </w:rPr>
        <w:t xml:space="preserve">There is also a potential for mecasermin </w:t>
      </w:r>
      <w:r w:rsidR="006E1C2B" w:rsidRPr="00BB59D8">
        <w:rPr>
          <w:iCs/>
        </w:rPr>
        <w:t xml:space="preserve">use </w:t>
      </w:r>
      <w:r w:rsidRPr="00BB59D8">
        <w:rPr>
          <w:iCs/>
        </w:rPr>
        <w:t>in patients with less severe forms of GH failure who are resistant to GH treatment. Th</w:t>
      </w:r>
      <w:r w:rsidR="006E1C2B" w:rsidRPr="00BB59D8">
        <w:rPr>
          <w:iCs/>
        </w:rPr>
        <w:t>ese patients would not be eligible based on the proposed PBS criteria</w:t>
      </w:r>
      <w:r w:rsidRPr="00BB59D8">
        <w:rPr>
          <w:iCs/>
        </w:rPr>
        <w:t>.</w:t>
      </w:r>
    </w:p>
    <w:p w14:paraId="50464E0C" w14:textId="77777777" w:rsidR="00D3100F" w:rsidRPr="00BB59D8" w:rsidRDefault="00D3100F" w:rsidP="00D3100F">
      <w:pPr>
        <w:pStyle w:val="3-BodyText"/>
        <w:rPr>
          <w:iCs/>
        </w:rPr>
      </w:pPr>
      <w:r w:rsidRPr="00BB59D8">
        <w:rPr>
          <w:iCs/>
        </w:rPr>
        <w:t xml:space="preserve">The financial impact estimates were most sensitive to the assumptions </w:t>
      </w:r>
      <w:r w:rsidR="006E1C2B" w:rsidRPr="00BB59D8">
        <w:rPr>
          <w:iCs/>
        </w:rPr>
        <w:t xml:space="preserve">regarding </w:t>
      </w:r>
      <w:r w:rsidRPr="00BB59D8">
        <w:rPr>
          <w:iCs/>
        </w:rPr>
        <w:t>the prevalence estimates and uptake (Table 1</w:t>
      </w:r>
      <w:r w:rsidR="00653383" w:rsidRPr="00BB59D8">
        <w:rPr>
          <w:iCs/>
        </w:rPr>
        <w:t>7</w:t>
      </w:r>
      <w:r w:rsidRPr="00BB59D8">
        <w:rPr>
          <w:iCs/>
        </w:rPr>
        <w:t>). Increasing the disease prevalence to 1 and 2 per million increased the total cost of mecasermin listing to the health budget by 44% ($</w:t>
      </w:r>
      <w:r w:rsidR="00322437">
        <w:rPr>
          <w:iCs/>
        </w:rPr>
        <w:t>0 to &lt; $10</w:t>
      </w:r>
      <w:r w:rsidRPr="00BB59D8">
        <w:rPr>
          <w:iCs/>
        </w:rPr>
        <w:t xml:space="preserve"> million total costs</w:t>
      </w:r>
      <w:r w:rsidR="003D3658" w:rsidRPr="00BB59D8">
        <w:rPr>
          <w:iCs/>
        </w:rPr>
        <w:t xml:space="preserve"> over six years</w:t>
      </w:r>
      <w:r w:rsidRPr="00BB59D8">
        <w:rPr>
          <w:iCs/>
        </w:rPr>
        <w:t>) and 136% ($</w:t>
      </w:r>
      <w:r w:rsidR="00322437">
        <w:rPr>
          <w:iCs/>
        </w:rPr>
        <w:t>0 to &lt; $10</w:t>
      </w:r>
      <w:r w:rsidRPr="00BB59D8">
        <w:rPr>
          <w:iCs/>
        </w:rPr>
        <w:t xml:space="preserve"> million total costs</w:t>
      </w:r>
      <w:r w:rsidR="003D3658" w:rsidRPr="00BB59D8">
        <w:rPr>
          <w:iCs/>
        </w:rPr>
        <w:t xml:space="preserve"> over six years</w:t>
      </w:r>
      <w:r w:rsidRPr="00BB59D8">
        <w:rPr>
          <w:iCs/>
        </w:rPr>
        <w:t>), respectively. Prevalence estimates based on mecasermin sales from France also led to an increase of 82% ($</w:t>
      </w:r>
      <w:r w:rsidR="00322437">
        <w:rPr>
          <w:iCs/>
        </w:rPr>
        <w:t>0 to &lt; $10</w:t>
      </w:r>
      <w:r w:rsidRPr="00BB59D8">
        <w:rPr>
          <w:iCs/>
        </w:rPr>
        <w:t xml:space="preserve"> million total costs</w:t>
      </w:r>
      <w:r w:rsidR="003D3658" w:rsidRPr="00BB59D8">
        <w:rPr>
          <w:iCs/>
        </w:rPr>
        <w:t xml:space="preserve"> over six years</w:t>
      </w:r>
      <w:r w:rsidRPr="00BB59D8">
        <w:rPr>
          <w:iCs/>
        </w:rPr>
        <w:t xml:space="preserve">). Increasing the uptake assumptions by 50% and 100% substantially increased the total cost to the health budget </w:t>
      </w:r>
      <w:r w:rsidR="003D3658" w:rsidRPr="00BB59D8">
        <w:rPr>
          <w:iCs/>
        </w:rPr>
        <w:t xml:space="preserve">to </w:t>
      </w:r>
      <w:r w:rsidRPr="00BB59D8">
        <w:rPr>
          <w:iCs/>
        </w:rPr>
        <w:t>$</w:t>
      </w:r>
      <w:r w:rsidR="00322437">
        <w:rPr>
          <w:iCs/>
        </w:rPr>
        <w:t>0 to &lt; $10</w:t>
      </w:r>
      <w:r w:rsidRPr="00BB59D8">
        <w:rPr>
          <w:iCs/>
        </w:rPr>
        <w:t xml:space="preserve"> million (+31%) and $</w:t>
      </w:r>
      <w:r w:rsidR="00322437">
        <w:rPr>
          <w:iCs/>
        </w:rPr>
        <w:t>0 to &lt; $10</w:t>
      </w:r>
      <w:r w:rsidRPr="00BB59D8">
        <w:rPr>
          <w:iCs/>
        </w:rPr>
        <w:t xml:space="preserve"> million (+110%) respectively. </w:t>
      </w:r>
    </w:p>
    <w:p w14:paraId="342D1094" w14:textId="77777777" w:rsidR="00D3100F" w:rsidRPr="00BB59D8" w:rsidRDefault="00D3100F" w:rsidP="00D3100F">
      <w:pPr>
        <w:pStyle w:val="TableFigureHeading"/>
        <w:rPr>
          <w:rStyle w:val="CommentReference"/>
          <w:b/>
          <w:bCs w:val="0"/>
        </w:rPr>
      </w:pPr>
      <w:r w:rsidRPr="00BB59D8">
        <w:rPr>
          <w:rStyle w:val="CommentReference"/>
          <w:b/>
          <w:bCs w:val="0"/>
        </w:rPr>
        <w:t>Table 1</w:t>
      </w:r>
      <w:r w:rsidR="00653383" w:rsidRPr="00BB59D8">
        <w:rPr>
          <w:rStyle w:val="CommentReference"/>
          <w:b/>
          <w:bCs w:val="0"/>
        </w:rPr>
        <w:t>7</w:t>
      </w:r>
      <w:r w:rsidRPr="00BB59D8">
        <w:rPr>
          <w:rStyle w:val="CommentReference"/>
          <w:b/>
          <w:bCs w:val="0"/>
        </w:rPr>
        <w:t>: Sensitivity analyses: Net Cost to PBS at public price</w:t>
      </w:r>
    </w:p>
    <w:tbl>
      <w:tblPr>
        <w:tblStyle w:val="TableGrid"/>
        <w:tblW w:w="0" w:type="auto"/>
        <w:tblLook w:val="04A0" w:firstRow="1" w:lastRow="0" w:firstColumn="1" w:lastColumn="0" w:noHBand="0" w:noVBand="1"/>
        <w:tblCaption w:val="Table 17: Sensitivity analyses: Net Cost to PBS at public price"/>
      </w:tblPr>
      <w:tblGrid>
        <w:gridCol w:w="2431"/>
        <w:gridCol w:w="924"/>
        <w:gridCol w:w="977"/>
        <w:gridCol w:w="996"/>
        <w:gridCol w:w="839"/>
        <w:gridCol w:w="889"/>
        <w:gridCol w:w="933"/>
        <w:gridCol w:w="1028"/>
      </w:tblGrid>
      <w:tr w:rsidR="00622C7E" w:rsidRPr="00BB59D8" w14:paraId="3D146CC8" w14:textId="77777777" w:rsidTr="0000363A">
        <w:trPr>
          <w:tblHeader/>
        </w:trPr>
        <w:tc>
          <w:tcPr>
            <w:tcW w:w="0" w:type="auto"/>
            <w:tcMar>
              <w:left w:w="28" w:type="dxa"/>
              <w:right w:w="28" w:type="dxa"/>
            </w:tcMar>
          </w:tcPr>
          <w:p w14:paraId="3FE1DF06" w14:textId="77777777" w:rsidR="00622C7E" w:rsidRPr="00BB59D8" w:rsidRDefault="00622C7E" w:rsidP="00653383">
            <w:pPr>
              <w:pStyle w:val="TableText0"/>
              <w:keepLines/>
              <w:rPr>
                <w:b/>
                <w:bCs w:val="0"/>
                <w:szCs w:val="20"/>
              </w:rPr>
            </w:pPr>
            <w:bookmarkStart w:id="49" w:name="_GoBack" w:colFirst="0" w:colLast="8"/>
          </w:p>
        </w:tc>
        <w:tc>
          <w:tcPr>
            <w:tcW w:w="924" w:type="dxa"/>
            <w:tcMar>
              <w:left w:w="28" w:type="dxa"/>
              <w:right w:w="28" w:type="dxa"/>
            </w:tcMar>
          </w:tcPr>
          <w:p w14:paraId="5735BA2D" w14:textId="77777777" w:rsidR="00622C7E" w:rsidRPr="00BB59D8" w:rsidRDefault="00622C7E" w:rsidP="00653383">
            <w:pPr>
              <w:pStyle w:val="TableText0"/>
              <w:keepLines/>
              <w:rPr>
                <w:b/>
                <w:bCs w:val="0"/>
                <w:szCs w:val="20"/>
              </w:rPr>
            </w:pPr>
            <w:r w:rsidRPr="00BB59D8">
              <w:rPr>
                <w:b/>
                <w:bCs w:val="0"/>
                <w:szCs w:val="20"/>
              </w:rPr>
              <w:t>Prevalence per million</w:t>
            </w:r>
          </w:p>
        </w:tc>
        <w:tc>
          <w:tcPr>
            <w:tcW w:w="977" w:type="dxa"/>
            <w:tcMar>
              <w:left w:w="28" w:type="dxa"/>
              <w:right w:w="28" w:type="dxa"/>
            </w:tcMar>
          </w:tcPr>
          <w:p w14:paraId="433437C0" w14:textId="77777777" w:rsidR="00622C7E" w:rsidRPr="00322437" w:rsidRDefault="00622C7E" w:rsidP="00653383">
            <w:pPr>
              <w:pStyle w:val="TableText0"/>
              <w:keepLines/>
              <w:rPr>
                <w:b/>
                <w:bCs w:val="0"/>
                <w:szCs w:val="20"/>
              </w:rPr>
            </w:pPr>
            <w:r w:rsidRPr="00BB59D8">
              <w:rPr>
                <w:b/>
                <w:bCs w:val="0"/>
                <w:szCs w:val="20"/>
              </w:rPr>
              <w:t>2022</w:t>
            </w:r>
            <w:r w:rsidRPr="00BB59D8">
              <w:rPr>
                <w:b/>
                <w:bCs w:val="0"/>
                <w:szCs w:val="20"/>
                <w:vertAlign w:val="superscript"/>
              </w:rPr>
              <w:t>a</w:t>
            </w:r>
            <w:r w:rsidR="00322437">
              <w:rPr>
                <w:b/>
                <w:bCs w:val="0"/>
                <w:szCs w:val="20"/>
              </w:rPr>
              <w:t xml:space="preserve"> ($)</w:t>
            </w:r>
          </w:p>
        </w:tc>
        <w:tc>
          <w:tcPr>
            <w:tcW w:w="877" w:type="dxa"/>
            <w:tcMar>
              <w:left w:w="28" w:type="dxa"/>
              <w:right w:w="28" w:type="dxa"/>
            </w:tcMar>
          </w:tcPr>
          <w:p w14:paraId="454B8DB4" w14:textId="77777777" w:rsidR="00622C7E" w:rsidRPr="00BB59D8" w:rsidRDefault="00622C7E" w:rsidP="00653383">
            <w:pPr>
              <w:pStyle w:val="TableText0"/>
              <w:keepLines/>
              <w:rPr>
                <w:b/>
                <w:bCs w:val="0"/>
                <w:szCs w:val="20"/>
              </w:rPr>
            </w:pPr>
            <w:r w:rsidRPr="00BB59D8">
              <w:rPr>
                <w:b/>
                <w:bCs w:val="0"/>
                <w:szCs w:val="20"/>
              </w:rPr>
              <w:t>2023</w:t>
            </w:r>
            <w:r w:rsidR="00322437">
              <w:rPr>
                <w:b/>
                <w:bCs w:val="0"/>
                <w:szCs w:val="20"/>
              </w:rPr>
              <w:t xml:space="preserve"> ($)</w:t>
            </w:r>
          </w:p>
        </w:tc>
        <w:tc>
          <w:tcPr>
            <w:tcW w:w="826" w:type="dxa"/>
            <w:tcMar>
              <w:left w:w="28" w:type="dxa"/>
              <w:right w:w="28" w:type="dxa"/>
            </w:tcMar>
          </w:tcPr>
          <w:p w14:paraId="7E87FAC5" w14:textId="77777777" w:rsidR="00622C7E" w:rsidRPr="00BB59D8" w:rsidRDefault="00622C7E" w:rsidP="00653383">
            <w:pPr>
              <w:pStyle w:val="TableText0"/>
              <w:keepLines/>
              <w:rPr>
                <w:b/>
                <w:bCs w:val="0"/>
                <w:szCs w:val="20"/>
              </w:rPr>
            </w:pPr>
            <w:r w:rsidRPr="00BB59D8">
              <w:rPr>
                <w:b/>
                <w:bCs w:val="0"/>
                <w:szCs w:val="20"/>
              </w:rPr>
              <w:t>2024</w:t>
            </w:r>
            <w:r w:rsidR="00322437">
              <w:rPr>
                <w:b/>
                <w:bCs w:val="0"/>
                <w:szCs w:val="20"/>
              </w:rPr>
              <w:t xml:space="preserve"> ($)</w:t>
            </w:r>
          </w:p>
        </w:tc>
        <w:tc>
          <w:tcPr>
            <w:tcW w:w="889" w:type="dxa"/>
            <w:tcMar>
              <w:left w:w="28" w:type="dxa"/>
              <w:right w:w="28" w:type="dxa"/>
            </w:tcMar>
          </w:tcPr>
          <w:p w14:paraId="41AC433D" w14:textId="77777777" w:rsidR="00622C7E" w:rsidRPr="00BB59D8" w:rsidRDefault="00322437" w:rsidP="00653383">
            <w:pPr>
              <w:pStyle w:val="TableText0"/>
              <w:keepLines/>
              <w:rPr>
                <w:b/>
                <w:bCs w:val="0"/>
                <w:szCs w:val="20"/>
              </w:rPr>
            </w:pPr>
            <w:r>
              <w:rPr>
                <w:b/>
                <w:bCs w:val="0"/>
                <w:szCs w:val="20"/>
              </w:rPr>
              <w:t xml:space="preserve"> </w:t>
            </w:r>
            <w:r w:rsidR="00622C7E" w:rsidRPr="00BB59D8">
              <w:rPr>
                <w:b/>
                <w:bCs w:val="0"/>
                <w:szCs w:val="20"/>
              </w:rPr>
              <w:t>2025</w:t>
            </w:r>
            <w:r>
              <w:rPr>
                <w:b/>
                <w:bCs w:val="0"/>
                <w:szCs w:val="20"/>
              </w:rPr>
              <w:t xml:space="preserve"> ($)</w:t>
            </w:r>
          </w:p>
        </w:tc>
        <w:tc>
          <w:tcPr>
            <w:tcW w:w="0" w:type="auto"/>
            <w:tcMar>
              <w:left w:w="28" w:type="dxa"/>
              <w:right w:w="28" w:type="dxa"/>
            </w:tcMar>
          </w:tcPr>
          <w:p w14:paraId="089C55C1" w14:textId="77777777" w:rsidR="00622C7E" w:rsidRPr="00BB59D8" w:rsidRDefault="00622C7E" w:rsidP="00653383">
            <w:pPr>
              <w:pStyle w:val="TableText0"/>
              <w:keepLines/>
              <w:rPr>
                <w:b/>
                <w:bCs w:val="0"/>
                <w:szCs w:val="20"/>
              </w:rPr>
            </w:pPr>
            <w:r w:rsidRPr="00BB59D8">
              <w:rPr>
                <w:b/>
                <w:bCs w:val="0"/>
                <w:szCs w:val="20"/>
              </w:rPr>
              <w:t>2026</w:t>
            </w:r>
            <w:r w:rsidR="00322437">
              <w:rPr>
                <w:b/>
                <w:bCs w:val="0"/>
                <w:szCs w:val="20"/>
              </w:rPr>
              <w:t xml:space="preserve"> ($)</w:t>
            </w:r>
          </w:p>
        </w:tc>
        <w:tc>
          <w:tcPr>
            <w:tcW w:w="0" w:type="auto"/>
            <w:tcMar>
              <w:left w:w="28" w:type="dxa"/>
              <w:right w:w="28" w:type="dxa"/>
            </w:tcMar>
          </w:tcPr>
          <w:p w14:paraId="70927160" w14:textId="77777777" w:rsidR="00622C7E" w:rsidRPr="00BB59D8" w:rsidRDefault="00622C7E" w:rsidP="00653383">
            <w:pPr>
              <w:pStyle w:val="TableText0"/>
              <w:keepLines/>
              <w:rPr>
                <w:b/>
                <w:bCs w:val="0"/>
                <w:iCs/>
                <w:szCs w:val="20"/>
              </w:rPr>
            </w:pPr>
            <w:r w:rsidRPr="00BB59D8">
              <w:rPr>
                <w:b/>
                <w:bCs w:val="0"/>
                <w:szCs w:val="20"/>
              </w:rPr>
              <w:t>2027</w:t>
            </w:r>
            <w:r w:rsidR="00322437">
              <w:rPr>
                <w:b/>
                <w:bCs w:val="0"/>
                <w:szCs w:val="20"/>
              </w:rPr>
              <w:t xml:space="preserve"> ($)</w:t>
            </w:r>
          </w:p>
        </w:tc>
      </w:tr>
      <w:bookmarkEnd w:id="49"/>
      <w:tr w:rsidR="00C55DA9" w:rsidRPr="00BB59D8" w14:paraId="7073FD41" w14:textId="77777777" w:rsidTr="00DB4BC1">
        <w:tc>
          <w:tcPr>
            <w:tcW w:w="0" w:type="auto"/>
            <w:gridSpan w:val="8"/>
            <w:tcMar>
              <w:left w:w="28" w:type="dxa"/>
              <w:right w:w="28" w:type="dxa"/>
            </w:tcMar>
          </w:tcPr>
          <w:p w14:paraId="539E06B4" w14:textId="77777777" w:rsidR="00C55DA9" w:rsidRPr="00BB59D8" w:rsidRDefault="00C55DA9" w:rsidP="00653383">
            <w:pPr>
              <w:pStyle w:val="TableText0"/>
              <w:keepLines/>
              <w:rPr>
                <w:b/>
                <w:bCs w:val="0"/>
                <w:iCs/>
                <w:szCs w:val="20"/>
              </w:rPr>
            </w:pPr>
            <w:r w:rsidRPr="00BB59D8">
              <w:rPr>
                <w:b/>
                <w:bCs w:val="0"/>
                <w:szCs w:val="20"/>
              </w:rPr>
              <w:t>Prevalence estimated from sales data in top 5 European countries (France, UK, Italy, Germany, Spain)</w:t>
            </w:r>
          </w:p>
        </w:tc>
      </w:tr>
      <w:tr w:rsidR="00622C7E" w:rsidRPr="00BB59D8" w14:paraId="6ABD20F4" w14:textId="77777777" w:rsidTr="00322437">
        <w:tc>
          <w:tcPr>
            <w:tcW w:w="0" w:type="auto"/>
            <w:tcMar>
              <w:left w:w="28" w:type="dxa"/>
              <w:right w:w="28" w:type="dxa"/>
            </w:tcMar>
          </w:tcPr>
          <w:p w14:paraId="2CC7ACF6" w14:textId="77777777" w:rsidR="00622C7E" w:rsidRPr="00BB59D8" w:rsidRDefault="00622C7E" w:rsidP="00653383">
            <w:pPr>
              <w:pStyle w:val="TableText0"/>
              <w:rPr>
                <w:szCs w:val="20"/>
              </w:rPr>
            </w:pPr>
            <w:r w:rsidRPr="00BB59D8">
              <w:rPr>
                <w:szCs w:val="20"/>
              </w:rPr>
              <w:t>EU5-average number of patients assumed from second year onwards</w:t>
            </w:r>
          </w:p>
        </w:tc>
        <w:tc>
          <w:tcPr>
            <w:tcW w:w="924" w:type="dxa"/>
            <w:tcMar>
              <w:left w:w="28" w:type="dxa"/>
              <w:right w:w="28" w:type="dxa"/>
            </w:tcMar>
          </w:tcPr>
          <w:p w14:paraId="03432712" w14:textId="77777777" w:rsidR="00622C7E" w:rsidRPr="00BB59D8" w:rsidRDefault="00622C7E" w:rsidP="00653383">
            <w:pPr>
              <w:pStyle w:val="TableText0"/>
              <w:rPr>
                <w:szCs w:val="20"/>
              </w:rPr>
            </w:pPr>
            <w:r w:rsidRPr="00BB59D8">
              <w:rPr>
                <w:szCs w:val="20"/>
              </w:rPr>
              <w:t>0.53</w:t>
            </w:r>
          </w:p>
        </w:tc>
        <w:tc>
          <w:tcPr>
            <w:tcW w:w="977" w:type="dxa"/>
            <w:tcMar>
              <w:left w:w="28" w:type="dxa"/>
              <w:right w:w="28" w:type="dxa"/>
            </w:tcMar>
          </w:tcPr>
          <w:p w14:paraId="423E9EE0" w14:textId="77777777" w:rsidR="00622C7E" w:rsidRPr="00BB59D8" w:rsidRDefault="002707AA" w:rsidP="00653383">
            <w:pPr>
              <w:pStyle w:val="TableText0"/>
              <w:rPr>
                <w:szCs w:val="20"/>
                <w:vertAlign w:val="superscript"/>
              </w:rPr>
            </w:pPr>
            <w:r>
              <w:rPr>
                <w:noProof/>
                <w:color w:val="000000"/>
                <w:szCs w:val="20"/>
                <w:highlight w:val="black"/>
              </w:rPr>
              <w:t>''''''''''''''''''''''</w:t>
            </w:r>
            <w:r w:rsidR="00622C7E" w:rsidRPr="00BB59D8">
              <w:rPr>
                <w:szCs w:val="20"/>
                <w:vertAlign w:val="superscript"/>
              </w:rPr>
              <w:t>a</w:t>
            </w:r>
            <w:r w:rsidR="00322437">
              <w:rPr>
                <w:szCs w:val="20"/>
                <w:vertAlign w:val="superscript"/>
              </w:rPr>
              <w:t>,</w:t>
            </w:r>
            <w:r w:rsidR="00322437">
              <w:rPr>
                <w:vertAlign w:val="superscript"/>
              </w:rPr>
              <w:t xml:space="preserve"> 1</w:t>
            </w:r>
          </w:p>
        </w:tc>
        <w:tc>
          <w:tcPr>
            <w:tcW w:w="877" w:type="dxa"/>
            <w:tcMar>
              <w:left w:w="28" w:type="dxa"/>
              <w:right w:w="28" w:type="dxa"/>
            </w:tcMar>
          </w:tcPr>
          <w:p w14:paraId="7761E033"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26" w:type="dxa"/>
            <w:tcMar>
              <w:left w:w="28" w:type="dxa"/>
              <w:right w:w="28" w:type="dxa"/>
            </w:tcMar>
          </w:tcPr>
          <w:p w14:paraId="00E2F9CB"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89" w:type="dxa"/>
            <w:tcMar>
              <w:left w:w="28" w:type="dxa"/>
              <w:right w:w="28" w:type="dxa"/>
            </w:tcMar>
          </w:tcPr>
          <w:p w14:paraId="1E959E90"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0" w:type="auto"/>
            <w:tcMar>
              <w:left w:w="28" w:type="dxa"/>
              <w:right w:w="28" w:type="dxa"/>
            </w:tcMar>
          </w:tcPr>
          <w:p w14:paraId="6CF0CE88"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0" w:type="auto"/>
            <w:tcMar>
              <w:left w:w="28" w:type="dxa"/>
              <w:right w:w="28" w:type="dxa"/>
            </w:tcMar>
          </w:tcPr>
          <w:p w14:paraId="6D30230A" w14:textId="77777777" w:rsidR="00622C7E" w:rsidRPr="002707AA" w:rsidRDefault="002707AA" w:rsidP="00653383">
            <w:pPr>
              <w:pStyle w:val="TableText0"/>
              <w:rPr>
                <w:iCs/>
                <w:szCs w:val="20"/>
              </w:rPr>
            </w:pPr>
            <w:r>
              <w:rPr>
                <w:noProof/>
                <w:color w:val="000000"/>
                <w:szCs w:val="20"/>
                <w:highlight w:val="black"/>
              </w:rPr>
              <w:t>''''''''''''''''''''</w:t>
            </w:r>
            <w:r w:rsidR="00322437">
              <w:rPr>
                <w:vertAlign w:val="superscript"/>
              </w:rPr>
              <w:t>1</w:t>
            </w:r>
          </w:p>
        </w:tc>
      </w:tr>
      <w:tr w:rsidR="00C55DA9" w:rsidRPr="00BB59D8" w14:paraId="253CB0B2" w14:textId="77777777" w:rsidTr="00DB4BC1">
        <w:tc>
          <w:tcPr>
            <w:tcW w:w="0" w:type="auto"/>
            <w:gridSpan w:val="8"/>
            <w:tcMar>
              <w:left w:w="28" w:type="dxa"/>
              <w:right w:w="28" w:type="dxa"/>
            </w:tcMar>
          </w:tcPr>
          <w:p w14:paraId="74A62740" w14:textId="77777777" w:rsidR="00C55DA9" w:rsidRPr="00BB59D8" w:rsidRDefault="00C55DA9" w:rsidP="00653383">
            <w:pPr>
              <w:pStyle w:val="TableText0"/>
              <w:rPr>
                <w:iCs/>
                <w:szCs w:val="20"/>
              </w:rPr>
            </w:pPr>
            <w:r w:rsidRPr="00BB59D8">
              <w:rPr>
                <w:b/>
                <w:iCs/>
                <w:szCs w:val="20"/>
              </w:rPr>
              <w:t>Prevalence estimated from EU-IGFD Registry (registry participants only in</w:t>
            </w:r>
            <w:r w:rsidRPr="00BB59D8">
              <w:rPr>
                <w:b/>
                <w:bCs w:val="0"/>
                <w:szCs w:val="20"/>
              </w:rPr>
              <w:t xml:space="preserve"> France, UK, Italy, Germany, Spain)</w:t>
            </w:r>
          </w:p>
        </w:tc>
      </w:tr>
      <w:tr w:rsidR="00622C7E" w:rsidRPr="00BB59D8" w14:paraId="7477A63D" w14:textId="77777777" w:rsidTr="00322437">
        <w:tc>
          <w:tcPr>
            <w:tcW w:w="0" w:type="auto"/>
            <w:tcMar>
              <w:left w:w="28" w:type="dxa"/>
              <w:right w:w="28" w:type="dxa"/>
            </w:tcMar>
          </w:tcPr>
          <w:p w14:paraId="24536C9D" w14:textId="77777777" w:rsidR="00622C7E" w:rsidRPr="00BB59D8" w:rsidRDefault="00622C7E" w:rsidP="00653383">
            <w:pPr>
              <w:pStyle w:val="TableText0"/>
              <w:rPr>
                <w:szCs w:val="20"/>
              </w:rPr>
            </w:pPr>
            <w:r w:rsidRPr="00BB59D8">
              <w:rPr>
                <w:szCs w:val="20"/>
              </w:rPr>
              <w:t>EU-IGFD ramp up over 6 years</w:t>
            </w:r>
          </w:p>
        </w:tc>
        <w:tc>
          <w:tcPr>
            <w:tcW w:w="924" w:type="dxa"/>
            <w:tcMar>
              <w:left w:w="28" w:type="dxa"/>
              <w:right w:w="28" w:type="dxa"/>
            </w:tcMar>
          </w:tcPr>
          <w:p w14:paraId="2F7A959C" w14:textId="77777777" w:rsidR="00622C7E" w:rsidRPr="00BB59D8" w:rsidRDefault="00622C7E" w:rsidP="00653383">
            <w:pPr>
              <w:pStyle w:val="TableText0"/>
              <w:rPr>
                <w:szCs w:val="20"/>
              </w:rPr>
            </w:pPr>
            <w:r w:rsidRPr="00BB59D8">
              <w:rPr>
                <w:szCs w:val="20"/>
              </w:rPr>
              <w:t>0.28</w:t>
            </w:r>
          </w:p>
        </w:tc>
        <w:tc>
          <w:tcPr>
            <w:tcW w:w="977" w:type="dxa"/>
            <w:tcMar>
              <w:left w:w="28" w:type="dxa"/>
              <w:right w:w="28" w:type="dxa"/>
            </w:tcMar>
          </w:tcPr>
          <w:p w14:paraId="0CCA3B98"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77" w:type="dxa"/>
            <w:tcMar>
              <w:left w:w="28" w:type="dxa"/>
              <w:right w:w="28" w:type="dxa"/>
            </w:tcMar>
          </w:tcPr>
          <w:p w14:paraId="455CF95B"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26" w:type="dxa"/>
            <w:tcMar>
              <w:left w:w="28" w:type="dxa"/>
              <w:right w:w="28" w:type="dxa"/>
            </w:tcMar>
          </w:tcPr>
          <w:p w14:paraId="1AD6E84F"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89" w:type="dxa"/>
            <w:tcMar>
              <w:left w:w="28" w:type="dxa"/>
              <w:right w:w="28" w:type="dxa"/>
            </w:tcMar>
          </w:tcPr>
          <w:p w14:paraId="419AE6C8"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0" w:type="auto"/>
            <w:tcMar>
              <w:left w:w="28" w:type="dxa"/>
              <w:right w:w="28" w:type="dxa"/>
            </w:tcMar>
          </w:tcPr>
          <w:p w14:paraId="6E945674"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0" w:type="auto"/>
            <w:tcMar>
              <w:left w:w="28" w:type="dxa"/>
              <w:right w:w="28" w:type="dxa"/>
            </w:tcMar>
          </w:tcPr>
          <w:p w14:paraId="4BC58B23" w14:textId="77777777" w:rsidR="00622C7E" w:rsidRPr="002707AA" w:rsidRDefault="002707AA" w:rsidP="00653383">
            <w:pPr>
              <w:pStyle w:val="TableText0"/>
              <w:rPr>
                <w:iCs/>
                <w:szCs w:val="20"/>
              </w:rPr>
            </w:pPr>
            <w:r>
              <w:rPr>
                <w:noProof/>
                <w:color w:val="000000"/>
                <w:szCs w:val="20"/>
                <w:highlight w:val="black"/>
              </w:rPr>
              <w:t>'''''''''''''''''''''''</w:t>
            </w:r>
            <w:r w:rsidR="00322437">
              <w:rPr>
                <w:vertAlign w:val="superscript"/>
              </w:rPr>
              <w:t>1</w:t>
            </w:r>
          </w:p>
        </w:tc>
      </w:tr>
      <w:tr w:rsidR="00622C7E" w:rsidRPr="00BB59D8" w14:paraId="64818C09" w14:textId="77777777" w:rsidTr="00322437">
        <w:tc>
          <w:tcPr>
            <w:tcW w:w="0" w:type="auto"/>
            <w:tcMar>
              <w:left w:w="28" w:type="dxa"/>
              <w:right w:w="28" w:type="dxa"/>
            </w:tcMar>
          </w:tcPr>
          <w:p w14:paraId="2D315AE9" w14:textId="77777777" w:rsidR="00622C7E" w:rsidRPr="00BB59D8" w:rsidRDefault="00622C7E" w:rsidP="00653383">
            <w:pPr>
              <w:pStyle w:val="TableText0"/>
              <w:rPr>
                <w:szCs w:val="20"/>
              </w:rPr>
            </w:pPr>
            <w:r w:rsidRPr="00BB59D8">
              <w:rPr>
                <w:szCs w:val="20"/>
              </w:rPr>
              <w:t>EU-IGFD average number of patients assumed from second year onwards</w:t>
            </w:r>
          </w:p>
        </w:tc>
        <w:tc>
          <w:tcPr>
            <w:tcW w:w="924" w:type="dxa"/>
            <w:tcMar>
              <w:left w:w="28" w:type="dxa"/>
              <w:right w:w="28" w:type="dxa"/>
            </w:tcMar>
          </w:tcPr>
          <w:p w14:paraId="59797416" w14:textId="77777777" w:rsidR="00622C7E" w:rsidRPr="00BB59D8" w:rsidRDefault="00622C7E" w:rsidP="00653383">
            <w:pPr>
              <w:pStyle w:val="TableText0"/>
              <w:rPr>
                <w:szCs w:val="20"/>
              </w:rPr>
            </w:pPr>
            <w:r w:rsidRPr="00BB59D8">
              <w:rPr>
                <w:szCs w:val="20"/>
              </w:rPr>
              <w:t>0.28</w:t>
            </w:r>
          </w:p>
        </w:tc>
        <w:tc>
          <w:tcPr>
            <w:tcW w:w="977" w:type="dxa"/>
            <w:tcMar>
              <w:left w:w="28" w:type="dxa"/>
              <w:right w:w="28" w:type="dxa"/>
            </w:tcMar>
          </w:tcPr>
          <w:p w14:paraId="236748DC"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77" w:type="dxa"/>
            <w:tcMar>
              <w:left w:w="28" w:type="dxa"/>
              <w:right w:w="28" w:type="dxa"/>
            </w:tcMar>
          </w:tcPr>
          <w:p w14:paraId="4C62E3BB"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26" w:type="dxa"/>
            <w:tcMar>
              <w:left w:w="28" w:type="dxa"/>
              <w:right w:w="28" w:type="dxa"/>
            </w:tcMar>
          </w:tcPr>
          <w:p w14:paraId="08C7658A"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889" w:type="dxa"/>
            <w:tcMar>
              <w:left w:w="28" w:type="dxa"/>
              <w:right w:w="28" w:type="dxa"/>
            </w:tcMar>
          </w:tcPr>
          <w:p w14:paraId="648F021F"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0" w:type="auto"/>
            <w:tcMar>
              <w:left w:w="28" w:type="dxa"/>
              <w:right w:w="28" w:type="dxa"/>
            </w:tcMar>
          </w:tcPr>
          <w:p w14:paraId="5D5158CB" w14:textId="77777777" w:rsidR="00622C7E" w:rsidRPr="002707AA" w:rsidRDefault="002707AA" w:rsidP="00653383">
            <w:pPr>
              <w:pStyle w:val="TableText0"/>
              <w:rPr>
                <w:szCs w:val="20"/>
              </w:rPr>
            </w:pPr>
            <w:r>
              <w:rPr>
                <w:noProof/>
                <w:color w:val="000000"/>
                <w:szCs w:val="20"/>
                <w:highlight w:val="black"/>
              </w:rPr>
              <w:t>'''''''''''''''''''''</w:t>
            </w:r>
            <w:r w:rsidR="00322437">
              <w:rPr>
                <w:vertAlign w:val="superscript"/>
              </w:rPr>
              <w:t>1</w:t>
            </w:r>
          </w:p>
        </w:tc>
        <w:tc>
          <w:tcPr>
            <w:tcW w:w="0" w:type="auto"/>
            <w:tcMar>
              <w:left w:w="28" w:type="dxa"/>
              <w:right w:w="28" w:type="dxa"/>
            </w:tcMar>
          </w:tcPr>
          <w:p w14:paraId="14C8556A" w14:textId="77777777" w:rsidR="00622C7E" w:rsidRPr="002707AA" w:rsidRDefault="002707AA" w:rsidP="00653383">
            <w:pPr>
              <w:pStyle w:val="TableText0"/>
              <w:rPr>
                <w:iCs/>
                <w:szCs w:val="20"/>
              </w:rPr>
            </w:pPr>
            <w:r>
              <w:rPr>
                <w:noProof/>
                <w:color w:val="000000"/>
                <w:szCs w:val="20"/>
                <w:highlight w:val="black"/>
              </w:rPr>
              <w:t>'''''''''''''''''''''''''</w:t>
            </w:r>
            <w:r w:rsidR="00322437">
              <w:rPr>
                <w:vertAlign w:val="superscript"/>
              </w:rPr>
              <w:t>1</w:t>
            </w:r>
          </w:p>
        </w:tc>
      </w:tr>
      <w:tr w:rsidR="00C55DA9" w:rsidRPr="00BB59D8" w14:paraId="11A14003" w14:textId="77777777" w:rsidTr="00DB4BC1">
        <w:tc>
          <w:tcPr>
            <w:tcW w:w="0" w:type="auto"/>
            <w:gridSpan w:val="8"/>
            <w:tcMar>
              <w:left w:w="28" w:type="dxa"/>
              <w:right w:w="28" w:type="dxa"/>
            </w:tcMar>
          </w:tcPr>
          <w:p w14:paraId="58E62EE0" w14:textId="77777777" w:rsidR="00C55DA9" w:rsidRPr="00BB59D8" w:rsidRDefault="00C55DA9" w:rsidP="00653383">
            <w:pPr>
              <w:pStyle w:val="TableText0"/>
              <w:rPr>
                <w:iCs/>
                <w:szCs w:val="20"/>
              </w:rPr>
            </w:pPr>
            <w:r w:rsidRPr="00BB59D8">
              <w:rPr>
                <w:b/>
                <w:iCs/>
                <w:szCs w:val="20"/>
              </w:rPr>
              <w:t>Utilisation estimated from mecasermin sales in France</w:t>
            </w:r>
            <w:r w:rsidRPr="00BB59D8">
              <w:rPr>
                <w:b/>
                <w:iCs/>
                <w:szCs w:val="20"/>
                <w:vertAlign w:val="superscript"/>
              </w:rPr>
              <w:t xml:space="preserve"> b</w:t>
            </w:r>
          </w:p>
        </w:tc>
      </w:tr>
      <w:tr w:rsidR="00622C7E" w:rsidRPr="00BB59D8" w14:paraId="1D055BDF" w14:textId="77777777" w:rsidTr="00322437">
        <w:tc>
          <w:tcPr>
            <w:tcW w:w="0" w:type="auto"/>
            <w:tcMar>
              <w:left w:w="28" w:type="dxa"/>
              <w:right w:w="28" w:type="dxa"/>
            </w:tcMar>
          </w:tcPr>
          <w:p w14:paraId="7221777F" w14:textId="77777777" w:rsidR="00622C7E" w:rsidRPr="00BB59D8" w:rsidRDefault="00622C7E" w:rsidP="00653383">
            <w:pPr>
              <w:pStyle w:val="TableText0"/>
              <w:rPr>
                <w:szCs w:val="20"/>
              </w:rPr>
            </w:pPr>
            <w:r w:rsidRPr="00BB59D8">
              <w:rPr>
                <w:iCs/>
                <w:szCs w:val="20"/>
              </w:rPr>
              <w:t>Prevalence based on sales data from France (and 100% uptake)</w:t>
            </w:r>
          </w:p>
        </w:tc>
        <w:tc>
          <w:tcPr>
            <w:tcW w:w="924" w:type="dxa"/>
            <w:tcMar>
              <w:left w:w="28" w:type="dxa"/>
              <w:right w:w="28" w:type="dxa"/>
            </w:tcMar>
          </w:tcPr>
          <w:p w14:paraId="08F23D20" w14:textId="77777777" w:rsidR="00622C7E" w:rsidRPr="00BB59D8" w:rsidRDefault="00622C7E" w:rsidP="00653383">
            <w:pPr>
              <w:pStyle w:val="TableText0"/>
              <w:rPr>
                <w:szCs w:val="20"/>
              </w:rPr>
            </w:pPr>
            <w:r w:rsidRPr="00BB59D8">
              <w:rPr>
                <w:iCs/>
                <w:szCs w:val="20"/>
              </w:rPr>
              <w:t>0.87</w:t>
            </w:r>
          </w:p>
        </w:tc>
        <w:tc>
          <w:tcPr>
            <w:tcW w:w="977" w:type="dxa"/>
            <w:tcMar>
              <w:left w:w="28" w:type="dxa"/>
              <w:right w:w="28" w:type="dxa"/>
            </w:tcMar>
          </w:tcPr>
          <w:p w14:paraId="501F9D03" w14:textId="77777777" w:rsidR="00622C7E" w:rsidRPr="002707AA" w:rsidRDefault="002707AA" w:rsidP="00653383">
            <w:pPr>
              <w:pStyle w:val="Tabletext"/>
              <w:keepNext/>
              <w:rPr>
                <w:iCs/>
                <w:highlight w:val="yellow"/>
              </w:rPr>
            </w:pPr>
            <w:r>
              <w:rPr>
                <w:iCs/>
                <w:noProof/>
                <w:color w:val="000000"/>
                <w:highlight w:val="black"/>
              </w:rPr>
              <w:t>''''''''''''''''''''''</w:t>
            </w:r>
            <w:r w:rsidR="00322437">
              <w:rPr>
                <w:vertAlign w:val="superscript"/>
              </w:rPr>
              <w:t>1</w:t>
            </w:r>
          </w:p>
        </w:tc>
        <w:tc>
          <w:tcPr>
            <w:tcW w:w="877" w:type="dxa"/>
            <w:tcMar>
              <w:left w:w="28" w:type="dxa"/>
              <w:right w:w="28" w:type="dxa"/>
            </w:tcMar>
          </w:tcPr>
          <w:p w14:paraId="67D75241" w14:textId="77777777" w:rsidR="00622C7E" w:rsidRPr="002707AA" w:rsidRDefault="002707AA" w:rsidP="00653383">
            <w:pPr>
              <w:pStyle w:val="Tabletext"/>
              <w:keepNext/>
              <w:rPr>
                <w:iCs/>
              </w:rPr>
            </w:pPr>
            <w:r>
              <w:rPr>
                <w:iCs/>
                <w:noProof/>
                <w:color w:val="000000"/>
                <w:highlight w:val="black"/>
              </w:rPr>
              <w:t>''''''''''''''''''''''''''''</w:t>
            </w:r>
            <w:r w:rsidR="002C73B7">
              <w:rPr>
                <w:vertAlign w:val="superscript"/>
              </w:rPr>
              <w:t>1</w:t>
            </w:r>
          </w:p>
        </w:tc>
        <w:tc>
          <w:tcPr>
            <w:tcW w:w="826" w:type="dxa"/>
            <w:tcMar>
              <w:left w:w="28" w:type="dxa"/>
              <w:right w:w="28" w:type="dxa"/>
            </w:tcMar>
          </w:tcPr>
          <w:p w14:paraId="4A7B8378" w14:textId="77777777" w:rsidR="00622C7E" w:rsidRPr="002707AA" w:rsidRDefault="002707AA" w:rsidP="00653383">
            <w:pPr>
              <w:pStyle w:val="Tabletext"/>
              <w:keepNext/>
              <w:rPr>
                <w:iCs/>
              </w:rPr>
            </w:pPr>
            <w:r>
              <w:rPr>
                <w:iCs/>
                <w:noProof/>
                <w:color w:val="000000"/>
                <w:highlight w:val="black"/>
              </w:rPr>
              <w:t>''''''''''''''''''''''</w:t>
            </w:r>
            <w:r w:rsidR="002C73B7">
              <w:rPr>
                <w:vertAlign w:val="superscript"/>
              </w:rPr>
              <w:t>1</w:t>
            </w:r>
          </w:p>
        </w:tc>
        <w:tc>
          <w:tcPr>
            <w:tcW w:w="889" w:type="dxa"/>
            <w:tcMar>
              <w:left w:w="28" w:type="dxa"/>
              <w:right w:w="28" w:type="dxa"/>
            </w:tcMar>
          </w:tcPr>
          <w:p w14:paraId="7F6F7618" w14:textId="77777777" w:rsidR="00622C7E" w:rsidRPr="002707AA" w:rsidRDefault="002707AA" w:rsidP="00653383">
            <w:pPr>
              <w:pStyle w:val="Tabletext"/>
              <w:keepNext/>
              <w:rPr>
                <w:iCs/>
              </w:rPr>
            </w:pPr>
            <w:r>
              <w:rPr>
                <w:iCs/>
                <w:noProof/>
                <w:color w:val="000000"/>
                <w:highlight w:val="black"/>
              </w:rPr>
              <w:t>''''''''''''''''''''''''</w:t>
            </w:r>
            <w:r w:rsidR="002C73B7">
              <w:rPr>
                <w:vertAlign w:val="superscript"/>
              </w:rPr>
              <w:t>1</w:t>
            </w:r>
          </w:p>
        </w:tc>
        <w:tc>
          <w:tcPr>
            <w:tcW w:w="0" w:type="auto"/>
            <w:tcMar>
              <w:left w:w="28" w:type="dxa"/>
              <w:right w:w="28" w:type="dxa"/>
            </w:tcMar>
          </w:tcPr>
          <w:p w14:paraId="72127F4F" w14:textId="77777777" w:rsidR="00622C7E" w:rsidRPr="002707AA" w:rsidRDefault="002707AA" w:rsidP="00653383">
            <w:pPr>
              <w:pStyle w:val="Tabletext"/>
              <w:keepNext/>
              <w:rPr>
                <w:iCs/>
              </w:rPr>
            </w:pPr>
            <w:r>
              <w:rPr>
                <w:iCs/>
                <w:noProof/>
                <w:color w:val="000000"/>
                <w:highlight w:val="black"/>
              </w:rPr>
              <w:t>'''''''''''''''''''''''</w:t>
            </w:r>
            <w:r w:rsidR="002C73B7">
              <w:rPr>
                <w:vertAlign w:val="superscript"/>
              </w:rPr>
              <w:t>1</w:t>
            </w:r>
          </w:p>
        </w:tc>
        <w:tc>
          <w:tcPr>
            <w:tcW w:w="0" w:type="auto"/>
            <w:tcMar>
              <w:left w:w="28" w:type="dxa"/>
              <w:right w:w="28" w:type="dxa"/>
            </w:tcMar>
          </w:tcPr>
          <w:p w14:paraId="4AAAFEFF" w14:textId="77777777" w:rsidR="00622C7E" w:rsidRPr="002707AA" w:rsidRDefault="002707AA" w:rsidP="00653383">
            <w:pPr>
              <w:pStyle w:val="TableText0"/>
              <w:rPr>
                <w:iCs/>
                <w:szCs w:val="20"/>
              </w:rPr>
            </w:pPr>
            <w:r>
              <w:rPr>
                <w:iCs/>
                <w:noProof/>
                <w:color w:val="000000"/>
                <w:highlight w:val="black"/>
              </w:rPr>
              <w:t>''''''''''''''''''''''</w:t>
            </w:r>
            <w:r w:rsidR="002C73B7">
              <w:rPr>
                <w:vertAlign w:val="superscript"/>
              </w:rPr>
              <w:t>1</w:t>
            </w:r>
          </w:p>
        </w:tc>
      </w:tr>
      <w:tr w:rsidR="00FB4615" w:rsidRPr="00BB59D8" w14:paraId="7AB14CCA" w14:textId="77777777" w:rsidTr="00DB4BC1">
        <w:tc>
          <w:tcPr>
            <w:tcW w:w="0" w:type="auto"/>
            <w:gridSpan w:val="8"/>
            <w:tcMar>
              <w:left w:w="28" w:type="dxa"/>
              <w:right w:w="28" w:type="dxa"/>
            </w:tcMar>
          </w:tcPr>
          <w:p w14:paraId="71A24EAE" w14:textId="77777777" w:rsidR="00FB4615" w:rsidRPr="00BB59D8" w:rsidRDefault="00FB4615" w:rsidP="00653383">
            <w:pPr>
              <w:pStyle w:val="TableText0"/>
              <w:rPr>
                <w:iCs/>
                <w:szCs w:val="20"/>
              </w:rPr>
            </w:pPr>
            <w:r w:rsidRPr="00BB59D8">
              <w:rPr>
                <w:b/>
                <w:szCs w:val="20"/>
              </w:rPr>
              <w:t xml:space="preserve">Estimates based on assumed prevalence </w:t>
            </w:r>
            <w:r w:rsidRPr="00BB59D8">
              <w:rPr>
                <w:b/>
                <w:szCs w:val="20"/>
                <w:vertAlign w:val="superscript"/>
              </w:rPr>
              <w:t>c</w:t>
            </w:r>
          </w:p>
        </w:tc>
      </w:tr>
      <w:tr w:rsidR="00622C7E" w:rsidRPr="00BB59D8" w14:paraId="7C10B43C" w14:textId="77777777" w:rsidTr="00322437">
        <w:tc>
          <w:tcPr>
            <w:tcW w:w="0" w:type="auto"/>
            <w:vMerge w:val="restart"/>
            <w:tcMar>
              <w:left w:w="28" w:type="dxa"/>
              <w:right w:w="28" w:type="dxa"/>
            </w:tcMar>
          </w:tcPr>
          <w:p w14:paraId="7EDBCAA7" w14:textId="77777777" w:rsidR="00622C7E" w:rsidRPr="00BB59D8" w:rsidRDefault="00622C7E" w:rsidP="00653383">
            <w:pPr>
              <w:pStyle w:val="TableText0"/>
              <w:rPr>
                <w:iCs/>
                <w:szCs w:val="20"/>
                <w:vertAlign w:val="superscript"/>
              </w:rPr>
            </w:pPr>
            <w:r w:rsidRPr="00BB59D8">
              <w:rPr>
                <w:iCs/>
                <w:szCs w:val="20"/>
              </w:rPr>
              <w:t>Possible impact of increased prevalence</w:t>
            </w:r>
          </w:p>
          <w:p w14:paraId="50FA70D0" w14:textId="77777777" w:rsidR="00622C7E" w:rsidRPr="00BB59D8" w:rsidRDefault="00622C7E" w:rsidP="00653383">
            <w:pPr>
              <w:pStyle w:val="TableText0"/>
              <w:rPr>
                <w:szCs w:val="20"/>
              </w:rPr>
            </w:pPr>
            <w:r w:rsidRPr="00BB59D8">
              <w:rPr>
                <w:iCs/>
                <w:szCs w:val="20"/>
              </w:rPr>
              <w:t>(with base case uptake assumptions)</w:t>
            </w:r>
          </w:p>
        </w:tc>
        <w:tc>
          <w:tcPr>
            <w:tcW w:w="924" w:type="dxa"/>
            <w:tcMar>
              <w:left w:w="28" w:type="dxa"/>
              <w:right w:w="28" w:type="dxa"/>
            </w:tcMar>
            <w:vAlign w:val="center"/>
          </w:tcPr>
          <w:p w14:paraId="32C6B70D" w14:textId="77777777" w:rsidR="00622C7E" w:rsidRPr="00BB59D8" w:rsidRDefault="00622C7E" w:rsidP="00653383">
            <w:pPr>
              <w:pStyle w:val="TableText0"/>
              <w:rPr>
                <w:szCs w:val="20"/>
              </w:rPr>
            </w:pPr>
            <w:r w:rsidRPr="00BB59D8">
              <w:rPr>
                <w:iCs/>
                <w:szCs w:val="20"/>
              </w:rPr>
              <w:t>1.00</w:t>
            </w:r>
          </w:p>
        </w:tc>
        <w:tc>
          <w:tcPr>
            <w:tcW w:w="977" w:type="dxa"/>
            <w:tcMar>
              <w:left w:w="28" w:type="dxa"/>
              <w:right w:w="28" w:type="dxa"/>
            </w:tcMar>
            <w:vAlign w:val="center"/>
          </w:tcPr>
          <w:p w14:paraId="0C693F40" w14:textId="77777777" w:rsidR="00622C7E" w:rsidRPr="00BB59D8" w:rsidRDefault="002707AA" w:rsidP="00653383">
            <w:pPr>
              <w:pStyle w:val="TableText0"/>
              <w:rPr>
                <w:szCs w:val="20"/>
                <w:vertAlign w:val="superscript"/>
              </w:rPr>
            </w:pPr>
            <w:r>
              <w:rPr>
                <w:rFonts w:cs="Arial"/>
                <w:iCs/>
                <w:noProof/>
                <w:color w:val="000000"/>
                <w:szCs w:val="20"/>
                <w:highlight w:val="black"/>
              </w:rPr>
              <w:t>''''''''''''''''''''</w:t>
            </w:r>
            <w:r w:rsidR="00622C7E" w:rsidRPr="00BB59D8">
              <w:rPr>
                <w:rFonts w:cs="Arial"/>
                <w:iCs/>
                <w:color w:val="000000"/>
                <w:szCs w:val="20"/>
                <w:vertAlign w:val="superscript"/>
              </w:rPr>
              <w:t>a</w:t>
            </w:r>
            <w:r w:rsidR="00322437">
              <w:rPr>
                <w:rFonts w:cs="Arial"/>
                <w:iCs/>
                <w:color w:val="000000"/>
                <w:szCs w:val="20"/>
                <w:vertAlign w:val="superscript"/>
              </w:rPr>
              <w:t>,</w:t>
            </w:r>
            <w:r w:rsidR="00322437">
              <w:rPr>
                <w:vertAlign w:val="superscript"/>
              </w:rPr>
              <w:t xml:space="preserve"> 1</w:t>
            </w:r>
          </w:p>
        </w:tc>
        <w:tc>
          <w:tcPr>
            <w:tcW w:w="877" w:type="dxa"/>
            <w:tcMar>
              <w:left w:w="28" w:type="dxa"/>
              <w:right w:w="28" w:type="dxa"/>
            </w:tcMar>
            <w:vAlign w:val="center"/>
          </w:tcPr>
          <w:p w14:paraId="3CAC1F57" w14:textId="77777777" w:rsidR="00622C7E" w:rsidRPr="002707AA" w:rsidRDefault="002707AA" w:rsidP="00653383">
            <w:pPr>
              <w:pStyle w:val="TableText0"/>
              <w:rPr>
                <w:szCs w:val="20"/>
              </w:rPr>
            </w:pPr>
            <w:r>
              <w:rPr>
                <w:rFonts w:cs="Arial"/>
                <w:iCs/>
                <w:noProof/>
                <w:color w:val="000000"/>
                <w:szCs w:val="20"/>
                <w:highlight w:val="black"/>
              </w:rPr>
              <w:t>''''''''''''''''''''''</w:t>
            </w:r>
            <w:r w:rsidR="002C73B7">
              <w:rPr>
                <w:vertAlign w:val="superscript"/>
              </w:rPr>
              <w:t>1</w:t>
            </w:r>
          </w:p>
        </w:tc>
        <w:tc>
          <w:tcPr>
            <w:tcW w:w="826" w:type="dxa"/>
            <w:tcMar>
              <w:left w:w="28" w:type="dxa"/>
              <w:right w:w="28" w:type="dxa"/>
            </w:tcMar>
            <w:vAlign w:val="center"/>
          </w:tcPr>
          <w:p w14:paraId="323B2313" w14:textId="77777777" w:rsidR="00622C7E" w:rsidRPr="002707AA" w:rsidRDefault="002707AA" w:rsidP="00653383">
            <w:pPr>
              <w:pStyle w:val="TableText0"/>
              <w:rPr>
                <w:szCs w:val="20"/>
              </w:rPr>
            </w:pPr>
            <w:r>
              <w:rPr>
                <w:rFonts w:cs="Arial"/>
                <w:iCs/>
                <w:noProof/>
                <w:color w:val="000000"/>
                <w:szCs w:val="20"/>
                <w:highlight w:val="black"/>
              </w:rPr>
              <w:t>'''''''''''''''''''''</w:t>
            </w:r>
            <w:r w:rsidR="002C73B7">
              <w:rPr>
                <w:vertAlign w:val="superscript"/>
              </w:rPr>
              <w:t>1</w:t>
            </w:r>
          </w:p>
        </w:tc>
        <w:tc>
          <w:tcPr>
            <w:tcW w:w="889" w:type="dxa"/>
            <w:tcMar>
              <w:left w:w="28" w:type="dxa"/>
              <w:right w:w="28" w:type="dxa"/>
            </w:tcMar>
            <w:vAlign w:val="center"/>
          </w:tcPr>
          <w:p w14:paraId="21BD5AE8" w14:textId="77777777" w:rsidR="00622C7E" w:rsidRPr="002707AA" w:rsidRDefault="002707AA" w:rsidP="00653383">
            <w:pPr>
              <w:pStyle w:val="TableText0"/>
              <w:rPr>
                <w:szCs w:val="20"/>
              </w:rPr>
            </w:pPr>
            <w:r>
              <w:rPr>
                <w:rFonts w:cs="Arial"/>
                <w:iCs/>
                <w:noProof/>
                <w:color w:val="000000"/>
                <w:szCs w:val="20"/>
                <w:highlight w:val="black"/>
              </w:rPr>
              <w:t>''''''''''''''''''''''''</w:t>
            </w:r>
            <w:r w:rsidR="002C73B7">
              <w:rPr>
                <w:vertAlign w:val="superscript"/>
              </w:rPr>
              <w:t>1</w:t>
            </w:r>
          </w:p>
        </w:tc>
        <w:tc>
          <w:tcPr>
            <w:tcW w:w="0" w:type="auto"/>
            <w:tcMar>
              <w:left w:w="28" w:type="dxa"/>
              <w:right w:w="28" w:type="dxa"/>
            </w:tcMar>
            <w:vAlign w:val="center"/>
          </w:tcPr>
          <w:p w14:paraId="7855494C" w14:textId="77777777" w:rsidR="00622C7E" w:rsidRPr="002707AA" w:rsidRDefault="002707AA" w:rsidP="00653383">
            <w:pPr>
              <w:pStyle w:val="TableText0"/>
              <w:rPr>
                <w:szCs w:val="20"/>
              </w:rPr>
            </w:pPr>
            <w:r>
              <w:rPr>
                <w:rFonts w:cs="Arial"/>
                <w:iCs/>
                <w:noProof/>
                <w:color w:val="000000"/>
                <w:szCs w:val="20"/>
                <w:highlight w:val="black"/>
              </w:rPr>
              <w:t>'''''''''''''''''''''</w:t>
            </w:r>
            <w:r w:rsidR="002C73B7">
              <w:rPr>
                <w:vertAlign w:val="superscript"/>
              </w:rPr>
              <w:t>1</w:t>
            </w:r>
          </w:p>
        </w:tc>
        <w:tc>
          <w:tcPr>
            <w:tcW w:w="0" w:type="auto"/>
            <w:tcMar>
              <w:left w:w="28" w:type="dxa"/>
              <w:right w:w="28" w:type="dxa"/>
            </w:tcMar>
            <w:vAlign w:val="center"/>
          </w:tcPr>
          <w:p w14:paraId="7AE9F2B3" w14:textId="77777777" w:rsidR="00622C7E" w:rsidRPr="002707AA" w:rsidRDefault="002707AA" w:rsidP="00653383">
            <w:pPr>
              <w:pStyle w:val="TableText0"/>
              <w:rPr>
                <w:iCs/>
                <w:szCs w:val="20"/>
              </w:rPr>
            </w:pPr>
            <w:r>
              <w:rPr>
                <w:rFonts w:cs="Arial"/>
                <w:iCs/>
                <w:noProof/>
                <w:color w:val="000000"/>
                <w:szCs w:val="20"/>
                <w:highlight w:val="black"/>
              </w:rPr>
              <w:t>''''''''''''''''''''</w:t>
            </w:r>
            <w:r w:rsidR="002C73B7">
              <w:rPr>
                <w:vertAlign w:val="superscript"/>
              </w:rPr>
              <w:t>1</w:t>
            </w:r>
          </w:p>
        </w:tc>
      </w:tr>
      <w:tr w:rsidR="00622C7E" w:rsidRPr="00BB59D8" w14:paraId="7E745386" w14:textId="77777777" w:rsidTr="00322437">
        <w:tc>
          <w:tcPr>
            <w:tcW w:w="0" w:type="auto"/>
            <w:vMerge/>
            <w:tcMar>
              <w:left w:w="28" w:type="dxa"/>
              <w:right w:w="28" w:type="dxa"/>
            </w:tcMar>
          </w:tcPr>
          <w:p w14:paraId="27DF61B4" w14:textId="77777777" w:rsidR="00622C7E" w:rsidRPr="00BB59D8" w:rsidRDefault="00622C7E" w:rsidP="00653383">
            <w:pPr>
              <w:pStyle w:val="TableText0"/>
              <w:rPr>
                <w:szCs w:val="20"/>
              </w:rPr>
            </w:pPr>
          </w:p>
        </w:tc>
        <w:tc>
          <w:tcPr>
            <w:tcW w:w="924" w:type="dxa"/>
            <w:tcMar>
              <w:left w:w="28" w:type="dxa"/>
              <w:right w:w="28" w:type="dxa"/>
            </w:tcMar>
          </w:tcPr>
          <w:p w14:paraId="3FB3EC44" w14:textId="77777777" w:rsidR="00622C7E" w:rsidRPr="00BB59D8" w:rsidRDefault="00622C7E" w:rsidP="00653383">
            <w:pPr>
              <w:pStyle w:val="TableText0"/>
              <w:rPr>
                <w:iCs/>
                <w:szCs w:val="20"/>
              </w:rPr>
            </w:pPr>
            <w:r w:rsidRPr="00BB59D8">
              <w:rPr>
                <w:iCs/>
                <w:szCs w:val="20"/>
              </w:rPr>
              <w:t>2.00</w:t>
            </w:r>
          </w:p>
        </w:tc>
        <w:tc>
          <w:tcPr>
            <w:tcW w:w="977" w:type="dxa"/>
            <w:tcMar>
              <w:left w:w="28" w:type="dxa"/>
              <w:right w:w="28" w:type="dxa"/>
            </w:tcMar>
          </w:tcPr>
          <w:p w14:paraId="747BB72E" w14:textId="77777777" w:rsidR="00622C7E" w:rsidRPr="00BB59D8" w:rsidRDefault="002707AA" w:rsidP="00653383">
            <w:pPr>
              <w:pStyle w:val="TableText0"/>
              <w:rPr>
                <w:iCs/>
                <w:szCs w:val="20"/>
                <w:vertAlign w:val="superscript"/>
              </w:rPr>
            </w:pPr>
            <w:r>
              <w:rPr>
                <w:iCs/>
                <w:noProof/>
                <w:color w:val="000000"/>
                <w:szCs w:val="20"/>
                <w:highlight w:val="black"/>
              </w:rPr>
              <w:t>''''''''''''''''''''''</w:t>
            </w:r>
            <w:r w:rsidR="00622C7E" w:rsidRPr="00BB59D8">
              <w:rPr>
                <w:iCs/>
                <w:szCs w:val="20"/>
                <w:vertAlign w:val="superscript"/>
              </w:rPr>
              <w:t>a</w:t>
            </w:r>
            <w:r w:rsidR="00322437">
              <w:rPr>
                <w:iCs/>
                <w:szCs w:val="20"/>
                <w:vertAlign w:val="superscript"/>
              </w:rPr>
              <w:t>,</w:t>
            </w:r>
            <w:r w:rsidR="00322437">
              <w:rPr>
                <w:vertAlign w:val="superscript"/>
              </w:rPr>
              <w:t xml:space="preserve"> 1</w:t>
            </w:r>
          </w:p>
        </w:tc>
        <w:tc>
          <w:tcPr>
            <w:tcW w:w="877" w:type="dxa"/>
            <w:tcMar>
              <w:left w:w="28" w:type="dxa"/>
              <w:right w:w="28" w:type="dxa"/>
            </w:tcMar>
          </w:tcPr>
          <w:p w14:paraId="492F4EAE" w14:textId="77777777" w:rsidR="00622C7E" w:rsidRPr="002707AA" w:rsidRDefault="002707AA" w:rsidP="00653383">
            <w:pPr>
              <w:pStyle w:val="TableText0"/>
              <w:rPr>
                <w:iCs/>
                <w:szCs w:val="20"/>
              </w:rPr>
            </w:pPr>
            <w:r>
              <w:rPr>
                <w:iCs/>
                <w:noProof/>
                <w:color w:val="000000"/>
                <w:szCs w:val="20"/>
                <w:highlight w:val="black"/>
              </w:rPr>
              <w:t>'''''''''''''''''''''</w:t>
            </w:r>
            <w:r w:rsidR="002C73B7">
              <w:rPr>
                <w:vertAlign w:val="superscript"/>
              </w:rPr>
              <w:t>1</w:t>
            </w:r>
          </w:p>
        </w:tc>
        <w:tc>
          <w:tcPr>
            <w:tcW w:w="826" w:type="dxa"/>
            <w:tcMar>
              <w:left w:w="28" w:type="dxa"/>
              <w:right w:w="28" w:type="dxa"/>
            </w:tcMar>
          </w:tcPr>
          <w:p w14:paraId="36EA4380" w14:textId="77777777" w:rsidR="00622C7E" w:rsidRPr="002707AA" w:rsidRDefault="002707AA" w:rsidP="00653383">
            <w:pPr>
              <w:pStyle w:val="TableText0"/>
              <w:rPr>
                <w:iCs/>
                <w:szCs w:val="20"/>
              </w:rPr>
            </w:pPr>
            <w:r>
              <w:rPr>
                <w:iCs/>
                <w:noProof/>
                <w:color w:val="000000"/>
                <w:szCs w:val="20"/>
                <w:highlight w:val="black"/>
              </w:rPr>
              <w:t>'''''''''''''''''''''''</w:t>
            </w:r>
            <w:r w:rsidR="002C73B7">
              <w:rPr>
                <w:vertAlign w:val="superscript"/>
              </w:rPr>
              <w:t>1</w:t>
            </w:r>
          </w:p>
        </w:tc>
        <w:tc>
          <w:tcPr>
            <w:tcW w:w="889" w:type="dxa"/>
            <w:tcMar>
              <w:left w:w="28" w:type="dxa"/>
              <w:right w:w="28" w:type="dxa"/>
            </w:tcMar>
          </w:tcPr>
          <w:p w14:paraId="542C5A9E" w14:textId="77777777" w:rsidR="00622C7E" w:rsidRPr="002707AA" w:rsidRDefault="002707AA" w:rsidP="00653383">
            <w:pPr>
              <w:pStyle w:val="TableText0"/>
              <w:rPr>
                <w:iCs/>
                <w:szCs w:val="20"/>
              </w:rPr>
            </w:pPr>
            <w:r>
              <w:rPr>
                <w:iCs/>
                <w:noProof/>
                <w:color w:val="000000"/>
                <w:szCs w:val="20"/>
                <w:highlight w:val="black"/>
              </w:rPr>
              <w:t>''''''''''''''''''''''''</w:t>
            </w:r>
            <w:r w:rsidR="002C73B7">
              <w:rPr>
                <w:vertAlign w:val="superscript"/>
              </w:rPr>
              <w:t>1</w:t>
            </w:r>
          </w:p>
        </w:tc>
        <w:tc>
          <w:tcPr>
            <w:tcW w:w="0" w:type="auto"/>
            <w:tcMar>
              <w:left w:w="28" w:type="dxa"/>
              <w:right w:w="28" w:type="dxa"/>
            </w:tcMar>
          </w:tcPr>
          <w:p w14:paraId="449D466D" w14:textId="77777777" w:rsidR="00622C7E" w:rsidRPr="002707AA" w:rsidRDefault="002707AA" w:rsidP="00653383">
            <w:pPr>
              <w:pStyle w:val="TableText0"/>
              <w:rPr>
                <w:iCs/>
                <w:szCs w:val="20"/>
              </w:rPr>
            </w:pPr>
            <w:r>
              <w:rPr>
                <w:iCs/>
                <w:noProof/>
                <w:color w:val="000000"/>
                <w:szCs w:val="20"/>
                <w:highlight w:val="black"/>
              </w:rPr>
              <w:t>''''''''''''''''''''''''''</w:t>
            </w:r>
            <w:r w:rsidR="002C73B7">
              <w:rPr>
                <w:vertAlign w:val="superscript"/>
              </w:rPr>
              <w:t>1</w:t>
            </w:r>
          </w:p>
        </w:tc>
        <w:tc>
          <w:tcPr>
            <w:tcW w:w="0" w:type="auto"/>
            <w:tcMar>
              <w:left w:w="28" w:type="dxa"/>
              <w:right w:w="28" w:type="dxa"/>
            </w:tcMar>
          </w:tcPr>
          <w:p w14:paraId="60A39412" w14:textId="77777777" w:rsidR="00622C7E" w:rsidRPr="002707AA" w:rsidRDefault="002707AA" w:rsidP="00653383">
            <w:pPr>
              <w:pStyle w:val="TableText0"/>
              <w:rPr>
                <w:iCs/>
                <w:szCs w:val="20"/>
              </w:rPr>
            </w:pPr>
            <w:r>
              <w:rPr>
                <w:iCs/>
                <w:noProof/>
                <w:color w:val="000000"/>
                <w:szCs w:val="20"/>
                <w:highlight w:val="black"/>
              </w:rPr>
              <w:t>'''''''''''''''''''''''''''''</w:t>
            </w:r>
            <w:r w:rsidR="002C73B7">
              <w:rPr>
                <w:vertAlign w:val="superscript"/>
              </w:rPr>
              <w:t>1</w:t>
            </w:r>
          </w:p>
        </w:tc>
      </w:tr>
      <w:tr w:rsidR="00C55DA9" w:rsidRPr="00BB59D8" w14:paraId="736BA570" w14:textId="77777777" w:rsidTr="00DB4BC1">
        <w:tc>
          <w:tcPr>
            <w:tcW w:w="0" w:type="auto"/>
            <w:gridSpan w:val="8"/>
            <w:tcMar>
              <w:left w:w="28" w:type="dxa"/>
              <w:right w:w="28" w:type="dxa"/>
            </w:tcMar>
          </w:tcPr>
          <w:p w14:paraId="4FB5257A" w14:textId="77777777" w:rsidR="00C55DA9" w:rsidRPr="00BB59D8" w:rsidRDefault="00C55DA9" w:rsidP="00653383">
            <w:pPr>
              <w:pStyle w:val="TableText0"/>
              <w:rPr>
                <w:iCs/>
                <w:szCs w:val="20"/>
              </w:rPr>
            </w:pPr>
            <w:r w:rsidRPr="00BB59D8">
              <w:rPr>
                <w:b/>
                <w:iCs/>
                <w:szCs w:val="20"/>
              </w:rPr>
              <w:t xml:space="preserve">Estimates based on different uptake rates </w:t>
            </w:r>
            <w:r w:rsidRPr="00BB59D8">
              <w:rPr>
                <w:b/>
                <w:iCs/>
                <w:szCs w:val="20"/>
                <w:vertAlign w:val="superscript"/>
              </w:rPr>
              <w:t>d</w:t>
            </w:r>
          </w:p>
        </w:tc>
      </w:tr>
      <w:tr w:rsidR="00622C7E" w:rsidRPr="00BB59D8" w14:paraId="05C79CEA" w14:textId="77777777" w:rsidTr="00322437">
        <w:tc>
          <w:tcPr>
            <w:tcW w:w="0" w:type="auto"/>
            <w:tcMar>
              <w:left w:w="28" w:type="dxa"/>
              <w:right w:w="28" w:type="dxa"/>
            </w:tcMar>
            <w:vAlign w:val="center"/>
          </w:tcPr>
          <w:p w14:paraId="03B6BE04" w14:textId="77777777" w:rsidR="00622C7E" w:rsidRPr="00BB59D8" w:rsidRDefault="00622C7E" w:rsidP="00653383">
            <w:pPr>
              <w:pStyle w:val="TableText0"/>
              <w:rPr>
                <w:iCs/>
                <w:szCs w:val="20"/>
              </w:rPr>
            </w:pPr>
            <w:r w:rsidRPr="00BB59D8">
              <w:rPr>
                <w:iCs/>
                <w:szCs w:val="20"/>
              </w:rPr>
              <w:t>Base-case</w:t>
            </w:r>
          </w:p>
        </w:tc>
        <w:tc>
          <w:tcPr>
            <w:tcW w:w="924" w:type="dxa"/>
            <w:vMerge w:val="restart"/>
            <w:tcMar>
              <w:left w:w="28" w:type="dxa"/>
              <w:right w:w="28" w:type="dxa"/>
            </w:tcMar>
          </w:tcPr>
          <w:p w14:paraId="14A44A8A" w14:textId="77777777" w:rsidR="00622C7E" w:rsidRPr="00BB59D8" w:rsidRDefault="00622C7E" w:rsidP="00653383">
            <w:pPr>
              <w:pStyle w:val="TableText0"/>
              <w:rPr>
                <w:iCs/>
                <w:szCs w:val="20"/>
              </w:rPr>
            </w:pPr>
            <w:r w:rsidRPr="00BB59D8">
              <w:rPr>
                <w:iCs/>
                <w:szCs w:val="20"/>
              </w:rPr>
              <w:t>Market uptake, %</w:t>
            </w:r>
          </w:p>
        </w:tc>
        <w:tc>
          <w:tcPr>
            <w:tcW w:w="977" w:type="dxa"/>
            <w:tcMar>
              <w:left w:w="28" w:type="dxa"/>
              <w:right w:w="28" w:type="dxa"/>
            </w:tcMar>
          </w:tcPr>
          <w:p w14:paraId="7DCC549D"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77" w:type="dxa"/>
            <w:tcMar>
              <w:left w:w="28" w:type="dxa"/>
              <w:right w:w="28" w:type="dxa"/>
            </w:tcMar>
          </w:tcPr>
          <w:p w14:paraId="22D70BFD"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26" w:type="dxa"/>
            <w:tcMar>
              <w:left w:w="28" w:type="dxa"/>
              <w:right w:w="28" w:type="dxa"/>
            </w:tcMar>
          </w:tcPr>
          <w:p w14:paraId="2EF3B39D"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89" w:type="dxa"/>
            <w:tcMar>
              <w:left w:w="28" w:type="dxa"/>
              <w:right w:w="28" w:type="dxa"/>
            </w:tcMar>
          </w:tcPr>
          <w:p w14:paraId="563E6B8B"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0" w:type="auto"/>
            <w:tcMar>
              <w:left w:w="28" w:type="dxa"/>
              <w:right w:w="28" w:type="dxa"/>
            </w:tcMar>
          </w:tcPr>
          <w:p w14:paraId="33B0A7B6"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0" w:type="auto"/>
            <w:tcMar>
              <w:left w:w="28" w:type="dxa"/>
              <w:right w:w="28" w:type="dxa"/>
            </w:tcMar>
          </w:tcPr>
          <w:p w14:paraId="1B1EC065"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r>
      <w:tr w:rsidR="00622C7E" w:rsidRPr="00BB59D8" w14:paraId="4420D233" w14:textId="77777777" w:rsidTr="00322437">
        <w:tc>
          <w:tcPr>
            <w:tcW w:w="0" w:type="auto"/>
            <w:tcMar>
              <w:left w:w="28" w:type="dxa"/>
              <w:right w:w="28" w:type="dxa"/>
            </w:tcMar>
            <w:vAlign w:val="center"/>
          </w:tcPr>
          <w:p w14:paraId="55DB75A7" w14:textId="77777777" w:rsidR="00622C7E" w:rsidRPr="00BB59D8" w:rsidRDefault="00622C7E" w:rsidP="00653383">
            <w:pPr>
              <w:pStyle w:val="TableText0"/>
              <w:rPr>
                <w:iCs/>
                <w:szCs w:val="20"/>
              </w:rPr>
            </w:pPr>
            <w:r w:rsidRPr="00BB59D8">
              <w:rPr>
                <w:iCs/>
                <w:szCs w:val="20"/>
              </w:rPr>
              <w:t>50% uptake</w:t>
            </w:r>
          </w:p>
        </w:tc>
        <w:tc>
          <w:tcPr>
            <w:tcW w:w="924" w:type="dxa"/>
            <w:vMerge/>
            <w:tcMar>
              <w:left w:w="28" w:type="dxa"/>
              <w:right w:w="28" w:type="dxa"/>
            </w:tcMar>
          </w:tcPr>
          <w:p w14:paraId="5F3D6DCB" w14:textId="77777777" w:rsidR="00622C7E" w:rsidRPr="00BB59D8" w:rsidRDefault="00622C7E" w:rsidP="00653383">
            <w:pPr>
              <w:pStyle w:val="TableText0"/>
              <w:rPr>
                <w:iCs/>
                <w:szCs w:val="20"/>
              </w:rPr>
            </w:pPr>
          </w:p>
        </w:tc>
        <w:tc>
          <w:tcPr>
            <w:tcW w:w="977" w:type="dxa"/>
            <w:tcMar>
              <w:left w:w="28" w:type="dxa"/>
              <w:right w:w="28" w:type="dxa"/>
            </w:tcMar>
          </w:tcPr>
          <w:p w14:paraId="52A9F4B0"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77" w:type="dxa"/>
            <w:tcMar>
              <w:left w:w="28" w:type="dxa"/>
              <w:right w:w="28" w:type="dxa"/>
            </w:tcMar>
          </w:tcPr>
          <w:p w14:paraId="5D1CEC03"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26" w:type="dxa"/>
            <w:tcMar>
              <w:left w:w="28" w:type="dxa"/>
              <w:right w:w="28" w:type="dxa"/>
            </w:tcMar>
          </w:tcPr>
          <w:p w14:paraId="39971465"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89" w:type="dxa"/>
            <w:tcMar>
              <w:left w:w="28" w:type="dxa"/>
              <w:right w:w="28" w:type="dxa"/>
            </w:tcMar>
          </w:tcPr>
          <w:p w14:paraId="73F63058"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0" w:type="auto"/>
            <w:tcMar>
              <w:left w:w="28" w:type="dxa"/>
              <w:right w:w="28" w:type="dxa"/>
            </w:tcMar>
          </w:tcPr>
          <w:p w14:paraId="46A98F03"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0" w:type="auto"/>
            <w:tcMar>
              <w:left w:w="28" w:type="dxa"/>
              <w:right w:w="28" w:type="dxa"/>
            </w:tcMar>
          </w:tcPr>
          <w:p w14:paraId="71E0476B"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r>
      <w:tr w:rsidR="00622C7E" w:rsidRPr="00BB59D8" w14:paraId="62F1D171" w14:textId="77777777" w:rsidTr="00322437">
        <w:tc>
          <w:tcPr>
            <w:tcW w:w="0" w:type="auto"/>
            <w:tcMar>
              <w:left w:w="28" w:type="dxa"/>
              <w:right w:w="28" w:type="dxa"/>
            </w:tcMar>
            <w:vAlign w:val="center"/>
          </w:tcPr>
          <w:p w14:paraId="3A2CD1F5" w14:textId="77777777" w:rsidR="00622C7E" w:rsidRPr="00BB59D8" w:rsidRDefault="00622C7E" w:rsidP="00653383">
            <w:pPr>
              <w:pStyle w:val="TableText0"/>
              <w:rPr>
                <w:iCs/>
                <w:szCs w:val="20"/>
              </w:rPr>
            </w:pPr>
            <w:r w:rsidRPr="00BB59D8">
              <w:rPr>
                <w:iCs/>
                <w:szCs w:val="20"/>
              </w:rPr>
              <w:t>100% uptake</w:t>
            </w:r>
          </w:p>
        </w:tc>
        <w:tc>
          <w:tcPr>
            <w:tcW w:w="924" w:type="dxa"/>
            <w:vMerge/>
            <w:tcMar>
              <w:left w:w="28" w:type="dxa"/>
              <w:right w:w="28" w:type="dxa"/>
            </w:tcMar>
          </w:tcPr>
          <w:p w14:paraId="647F7F44" w14:textId="77777777" w:rsidR="00622C7E" w:rsidRPr="00BB59D8" w:rsidRDefault="00622C7E" w:rsidP="00653383">
            <w:pPr>
              <w:pStyle w:val="TableText0"/>
              <w:rPr>
                <w:iCs/>
                <w:szCs w:val="20"/>
              </w:rPr>
            </w:pPr>
          </w:p>
        </w:tc>
        <w:tc>
          <w:tcPr>
            <w:tcW w:w="977" w:type="dxa"/>
            <w:tcMar>
              <w:left w:w="28" w:type="dxa"/>
              <w:right w:w="28" w:type="dxa"/>
            </w:tcMar>
          </w:tcPr>
          <w:p w14:paraId="0A4236B0"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77" w:type="dxa"/>
            <w:tcMar>
              <w:left w:w="28" w:type="dxa"/>
              <w:right w:w="28" w:type="dxa"/>
            </w:tcMar>
          </w:tcPr>
          <w:p w14:paraId="2938AF64"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26" w:type="dxa"/>
            <w:tcMar>
              <w:left w:w="28" w:type="dxa"/>
              <w:right w:w="28" w:type="dxa"/>
            </w:tcMar>
          </w:tcPr>
          <w:p w14:paraId="7EAD64AB"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889" w:type="dxa"/>
            <w:tcMar>
              <w:left w:w="28" w:type="dxa"/>
              <w:right w:w="28" w:type="dxa"/>
            </w:tcMar>
          </w:tcPr>
          <w:p w14:paraId="5CFBF00D"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0" w:type="auto"/>
            <w:tcMar>
              <w:left w:w="28" w:type="dxa"/>
              <w:right w:w="28" w:type="dxa"/>
            </w:tcMar>
          </w:tcPr>
          <w:p w14:paraId="48350D58"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c>
          <w:tcPr>
            <w:tcW w:w="0" w:type="auto"/>
            <w:tcMar>
              <w:left w:w="28" w:type="dxa"/>
              <w:right w:w="28" w:type="dxa"/>
            </w:tcMar>
          </w:tcPr>
          <w:p w14:paraId="364DD504" w14:textId="77777777" w:rsidR="00622C7E" w:rsidRPr="002707AA" w:rsidRDefault="002707AA" w:rsidP="00653383">
            <w:pPr>
              <w:pStyle w:val="TableText0"/>
              <w:rPr>
                <w:iCs/>
                <w:szCs w:val="20"/>
              </w:rPr>
            </w:pPr>
            <w:r>
              <w:rPr>
                <w:iCs/>
                <w:noProof/>
                <w:color w:val="000000"/>
                <w:szCs w:val="20"/>
                <w:highlight w:val="black"/>
              </w:rPr>
              <w:t>''''''''</w:t>
            </w:r>
            <w:r w:rsidR="005F7C14">
              <w:rPr>
                <w:vertAlign w:val="superscript"/>
              </w:rPr>
              <w:t>2</w:t>
            </w:r>
          </w:p>
        </w:tc>
      </w:tr>
      <w:tr w:rsidR="00C55DA9" w:rsidRPr="00BB59D8" w14:paraId="0BF0E2EB" w14:textId="77777777" w:rsidTr="00DB4BC1">
        <w:tc>
          <w:tcPr>
            <w:tcW w:w="0" w:type="auto"/>
            <w:gridSpan w:val="8"/>
            <w:tcMar>
              <w:left w:w="28" w:type="dxa"/>
              <w:right w:w="28" w:type="dxa"/>
            </w:tcMar>
            <w:vAlign w:val="center"/>
          </w:tcPr>
          <w:p w14:paraId="71FCD7D4" w14:textId="77777777" w:rsidR="00C55DA9" w:rsidRPr="00BB59D8" w:rsidRDefault="00C55DA9" w:rsidP="00653383">
            <w:pPr>
              <w:pStyle w:val="TableText0"/>
              <w:rPr>
                <w:iCs/>
                <w:szCs w:val="20"/>
              </w:rPr>
            </w:pPr>
            <w:r w:rsidRPr="00BB59D8">
              <w:rPr>
                <w:b/>
                <w:bCs w:val="0"/>
                <w:iCs/>
                <w:szCs w:val="20"/>
              </w:rPr>
              <w:t>Estimates based on weighted mean weight from the EU-IGFD registry</w:t>
            </w:r>
          </w:p>
        </w:tc>
      </w:tr>
      <w:tr w:rsidR="00622C7E" w:rsidRPr="00BB59D8" w14:paraId="27EFDCA9" w14:textId="77777777" w:rsidTr="00322437">
        <w:tc>
          <w:tcPr>
            <w:tcW w:w="3694" w:type="dxa"/>
            <w:gridSpan w:val="2"/>
            <w:tcMar>
              <w:left w:w="28" w:type="dxa"/>
              <w:right w:w="28" w:type="dxa"/>
            </w:tcMar>
          </w:tcPr>
          <w:p w14:paraId="333E1170" w14:textId="77777777" w:rsidR="00622C7E" w:rsidRPr="00BB59D8" w:rsidRDefault="00622C7E" w:rsidP="00653383">
            <w:pPr>
              <w:pStyle w:val="TableText0"/>
              <w:rPr>
                <w:iCs/>
                <w:szCs w:val="20"/>
              </w:rPr>
            </w:pPr>
            <w:r w:rsidRPr="00BB59D8">
              <w:rPr>
                <w:iCs/>
                <w:szCs w:val="20"/>
              </w:rPr>
              <w:t>Weighted mean weight from years 1-10</w:t>
            </w:r>
            <w:r w:rsidRPr="00BB59D8">
              <w:rPr>
                <w:iCs/>
                <w:szCs w:val="20"/>
                <w:vertAlign w:val="superscript"/>
              </w:rPr>
              <w:t>f</w:t>
            </w:r>
          </w:p>
        </w:tc>
        <w:tc>
          <w:tcPr>
            <w:tcW w:w="977" w:type="dxa"/>
            <w:tcMar>
              <w:left w:w="28" w:type="dxa"/>
              <w:right w:w="28" w:type="dxa"/>
            </w:tcMar>
          </w:tcPr>
          <w:p w14:paraId="6F2FB4C6" w14:textId="77777777" w:rsidR="00622C7E" w:rsidRPr="002707AA" w:rsidRDefault="002707AA" w:rsidP="00653383">
            <w:pPr>
              <w:pStyle w:val="Tabletext"/>
              <w:keepNext/>
              <w:rPr>
                <w:iCs/>
              </w:rPr>
            </w:pPr>
            <w:r>
              <w:rPr>
                <w:iCs/>
                <w:noProof/>
                <w:color w:val="000000"/>
                <w:highlight w:val="black"/>
              </w:rPr>
              <w:t>'''''''''''''''''''''</w:t>
            </w:r>
            <w:r w:rsidR="00322437">
              <w:rPr>
                <w:vertAlign w:val="superscript"/>
              </w:rPr>
              <w:t>1</w:t>
            </w:r>
          </w:p>
        </w:tc>
        <w:tc>
          <w:tcPr>
            <w:tcW w:w="877" w:type="dxa"/>
            <w:tcMar>
              <w:left w:w="28" w:type="dxa"/>
              <w:right w:w="28" w:type="dxa"/>
            </w:tcMar>
          </w:tcPr>
          <w:p w14:paraId="14370DE3" w14:textId="77777777" w:rsidR="00622C7E" w:rsidRPr="002707AA" w:rsidRDefault="002707AA" w:rsidP="00653383">
            <w:pPr>
              <w:pStyle w:val="Tabletext"/>
              <w:keepNext/>
              <w:rPr>
                <w:iCs/>
              </w:rPr>
            </w:pPr>
            <w:r>
              <w:rPr>
                <w:iCs/>
                <w:noProof/>
                <w:color w:val="000000"/>
                <w:highlight w:val="black"/>
              </w:rPr>
              <w:t>''''''''''''''''''''''''</w:t>
            </w:r>
            <w:r w:rsidR="00322437">
              <w:rPr>
                <w:vertAlign w:val="superscript"/>
              </w:rPr>
              <w:t>1</w:t>
            </w:r>
          </w:p>
        </w:tc>
        <w:tc>
          <w:tcPr>
            <w:tcW w:w="826" w:type="dxa"/>
            <w:tcMar>
              <w:left w:w="28" w:type="dxa"/>
              <w:right w:w="28" w:type="dxa"/>
            </w:tcMar>
          </w:tcPr>
          <w:p w14:paraId="1F1C7DFB" w14:textId="77777777" w:rsidR="00622C7E" w:rsidRPr="002707AA" w:rsidRDefault="002707AA" w:rsidP="00653383">
            <w:pPr>
              <w:pStyle w:val="Tabletext"/>
              <w:keepNext/>
              <w:rPr>
                <w:iCs/>
              </w:rPr>
            </w:pPr>
            <w:r>
              <w:rPr>
                <w:iCs/>
                <w:noProof/>
                <w:color w:val="000000"/>
                <w:highlight w:val="black"/>
              </w:rPr>
              <w:t>'''''''''''''''''''''''</w:t>
            </w:r>
            <w:r w:rsidR="00322437">
              <w:rPr>
                <w:vertAlign w:val="superscript"/>
              </w:rPr>
              <w:t>1</w:t>
            </w:r>
          </w:p>
        </w:tc>
        <w:tc>
          <w:tcPr>
            <w:tcW w:w="889" w:type="dxa"/>
            <w:tcMar>
              <w:left w:w="28" w:type="dxa"/>
              <w:right w:w="28" w:type="dxa"/>
            </w:tcMar>
          </w:tcPr>
          <w:p w14:paraId="2319C8B9" w14:textId="77777777" w:rsidR="00622C7E" w:rsidRPr="002707AA" w:rsidRDefault="002707AA" w:rsidP="00653383">
            <w:pPr>
              <w:pStyle w:val="Tabletext"/>
              <w:keepNext/>
              <w:rPr>
                <w:iCs/>
              </w:rPr>
            </w:pPr>
            <w:r>
              <w:rPr>
                <w:iCs/>
                <w:noProof/>
                <w:color w:val="000000"/>
                <w:highlight w:val="black"/>
              </w:rPr>
              <w:t>'''''''''''''''''''''''</w:t>
            </w:r>
            <w:r w:rsidR="00322437">
              <w:rPr>
                <w:vertAlign w:val="superscript"/>
              </w:rPr>
              <w:t>1</w:t>
            </w:r>
          </w:p>
        </w:tc>
        <w:tc>
          <w:tcPr>
            <w:tcW w:w="0" w:type="auto"/>
            <w:tcMar>
              <w:left w:w="28" w:type="dxa"/>
              <w:right w:w="28" w:type="dxa"/>
            </w:tcMar>
          </w:tcPr>
          <w:p w14:paraId="2F362013" w14:textId="77777777" w:rsidR="00622C7E" w:rsidRPr="002707AA" w:rsidRDefault="002707AA" w:rsidP="00653383">
            <w:pPr>
              <w:pStyle w:val="Tabletext"/>
              <w:keepNext/>
              <w:rPr>
                <w:iCs/>
              </w:rPr>
            </w:pPr>
            <w:r>
              <w:rPr>
                <w:iCs/>
                <w:noProof/>
                <w:color w:val="000000"/>
                <w:highlight w:val="black"/>
              </w:rPr>
              <w:t>''''''''''''''''''''''''</w:t>
            </w:r>
            <w:r w:rsidR="00322437">
              <w:rPr>
                <w:vertAlign w:val="superscript"/>
              </w:rPr>
              <w:t>1</w:t>
            </w:r>
          </w:p>
        </w:tc>
        <w:tc>
          <w:tcPr>
            <w:tcW w:w="0" w:type="auto"/>
            <w:tcMar>
              <w:left w:w="28" w:type="dxa"/>
              <w:right w:w="28" w:type="dxa"/>
            </w:tcMar>
          </w:tcPr>
          <w:p w14:paraId="4A793B97" w14:textId="77777777" w:rsidR="00622C7E" w:rsidRPr="002707AA" w:rsidRDefault="002707AA" w:rsidP="00653383">
            <w:pPr>
              <w:pStyle w:val="TableText0"/>
              <w:rPr>
                <w:rStyle w:val="CommentReference"/>
                <w:rFonts w:eastAsia="Times New Roman" w:cs="Times New Roman"/>
                <w:b w:val="0"/>
                <w:iCs/>
                <w:szCs w:val="20"/>
              </w:rPr>
            </w:pPr>
            <w:r>
              <w:rPr>
                <w:iCs/>
                <w:noProof/>
                <w:color w:val="000000"/>
                <w:highlight w:val="black"/>
              </w:rPr>
              <w:t>''''''''''''''''''''''</w:t>
            </w:r>
            <w:r w:rsidR="00322437">
              <w:rPr>
                <w:vertAlign w:val="superscript"/>
              </w:rPr>
              <w:t>1</w:t>
            </w:r>
          </w:p>
        </w:tc>
      </w:tr>
    </w:tbl>
    <w:p w14:paraId="37F0F9D7" w14:textId="77777777" w:rsidR="00D3100F" w:rsidRPr="00BB59D8" w:rsidRDefault="00D3100F" w:rsidP="00D3100F">
      <w:pPr>
        <w:pStyle w:val="TableFigureFooter"/>
        <w:keepNext/>
        <w:rPr>
          <w:iCs/>
        </w:rPr>
      </w:pPr>
      <w:r w:rsidRPr="00BB59D8">
        <w:rPr>
          <w:iCs/>
        </w:rPr>
        <w:t>GF = grandfathered; pts = patients; m = million, Rx=treatment.</w:t>
      </w:r>
    </w:p>
    <w:p w14:paraId="32AD7AA8" w14:textId="77777777" w:rsidR="00D3100F" w:rsidRPr="00BB59D8" w:rsidRDefault="00D3100F" w:rsidP="00D3100F">
      <w:pPr>
        <w:pStyle w:val="TableFigureFooter"/>
        <w:keepNext/>
        <w:rPr>
          <w:iCs/>
        </w:rPr>
      </w:pPr>
      <w:r w:rsidRPr="00BB59D8">
        <w:rPr>
          <w:iCs/>
          <w:vertAlign w:val="superscript"/>
        </w:rPr>
        <w:t xml:space="preserve">a </w:t>
      </w:r>
      <w:r w:rsidRPr="00BB59D8">
        <w:rPr>
          <w:iCs/>
        </w:rPr>
        <w:t>The ramp-up assumption for the first year of mecasermin listing (2022) was considered as zero as it accounted for patients currently receiving mecasermin on compassionate grounds. The submission did not justify this assumption.</w:t>
      </w:r>
    </w:p>
    <w:p w14:paraId="444758CC" w14:textId="77777777" w:rsidR="00D3100F" w:rsidRPr="00BB59D8" w:rsidRDefault="00D3100F" w:rsidP="00D3100F">
      <w:pPr>
        <w:pStyle w:val="TableFigureFooter"/>
        <w:keepNext/>
        <w:rPr>
          <w:iCs/>
        </w:rPr>
      </w:pPr>
      <w:r w:rsidRPr="00BB59D8">
        <w:rPr>
          <w:iCs/>
          <w:vertAlign w:val="superscript"/>
        </w:rPr>
        <w:t>b</w:t>
      </w:r>
      <w:r w:rsidRPr="00BB59D8">
        <w:rPr>
          <w:iCs/>
        </w:rPr>
        <w:t xml:space="preserve"> Calculated by dividing the sum of values in cells D18 to H18 by sum of D34 to H34 in the Sales &amp; Registry Data worksheet, Financial workbook. </w:t>
      </w:r>
    </w:p>
    <w:p w14:paraId="002654D1" w14:textId="77777777" w:rsidR="00D3100F" w:rsidRPr="00BB59D8" w:rsidRDefault="00D3100F" w:rsidP="00D3100F">
      <w:pPr>
        <w:pStyle w:val="TableFigureFooter"/>
        <w:keepNext/>
        <w:rPr>
          <w:iCs/>
        </w:rPr>
      </w:pPr>
      <w:r w:rsidRPr="00BB59D8">
        <w:rPr>
          <w:iCs/>
          <w:vertAlign w:val="superscript"/>
        </w:rPr>
        <w:t xml:space="preserve">c </w:t>
      </w:r>
      <w:r w:rsidRPr="00BB59D8">
        <w:rPr>
          <w:iCs/>
        </w:rPr>
        <w:t>In the sales &amp; Registry data worksheet of the financials workbook, values in cells D57 and D58 were changed to estimate the impact of increased prevalence.</w:t>
      </w:r>
    </w:p>
    <w:p w14:paraId="59908D12" w14:textId="77777777" w:rsidR="00D3100F" w:rsidRPr="00BB59D8" w:rsidRDefault="00D3100F" w:rsidP="00D3100F">
      <w:pPr>
        <w:pStyle w:val="TableFigureFooter"/>
        <w:keepNext/>
        <w:rPr>
          <w:iCs/>
        </w:rPr>
      </w:pPr>
      <w:r w:rsidRPr="00BB59D8">
        <w:rPr>
          <w:iCs/>
          <w:vertAlign w:val="superscript"/>
        </w:rPr>
        <w:t xml:space="preserve">d </w:t>
      </w:r>
      <w:r w:rsidRPr="00BB59D8">
        <w:rPr>
          <w:iCs/>
        </w:rPr>
        <w:t>The ramp-up assumptions were calculated by changing the values in cells F32 to J32 in the ‘2b.Patients- prevalent worksheet’, Financials workbook.</w:t>
      </w:r>
    </w:p>
    <w:p w14:paraId="1980DFC2" w14:textId="77777777" w:rsidR="00D3100F" w:rsidRPr="00BB59D8" w:rsidRDefault="00D3100F" w:rsidP="00D3100F">
      <w:pPr>
        <w:pStyle w:val="TableFigureFooter"/>
        <w:keepNext/>
        <w:rPr>
          <w:iCs/>
        </w:rPr>
      </w:pPr>
      <w:r w:rsidRPr="00BB59D8">
        <w:rPr>
          <w:iCs/>
          <w:vertAlign w:val="superscript"/>
        </w:rPr>
        <w:t xml:space="preserve">e </w:t>
      </w:r>
      <w:r w:rsidRPr="00BB59D8">
        <w:rPr>
          <w:iCs/>
        </w:rPr>
        <w:t>Calculated by changing mean weight (12.1kg; cell F169), mean daily dose (0.224mg/kg; cell F172) and mean treatment duration (6 years; cell F170) in the worksheet- 2e. Scripts- Market, Financial workbook. The resulting decrease in number of scripts per year was added to cells O117 to O119 in the 3a.Scripts-proposed worksheet of the Financials workbook.</w:t>
      </w:r>
    </w:p>
    <w:p w14:paraId="0014CCC7" w14:textId="77777777" w:rsidR="00D3100F" w:rsidRPr="00BB59D8" w:rsidRDefault="00D3100F" w:rsidP="00D3100F">
      <w:pPr>
        <w:pStyle w:val="TableFigureFooter"/>
        <w:keepNext/>
        <w:rPr>
          <w:iCs/>
        </w:rPr>
      </w:pPr>
      <w:r w:rsidRPr="00BB59D8">
        <w:rPr>
          <w:iCs/>
          <w:vertAlign w:val="superscript"/>
        </w:rPr>
        <w:t>f</w:t>
      </w:r>
      <w:r w:rsidRPr="00BB59D8">
        <w:rPr>
          <w:iCs/>
        </w:rPr>
        <w:t xml:space="preserve"> The weighted mean weight (33.5kg) was calculated by averaging the yearly weight of mecasermin treated patients in the EU-IGFD registry (Source: Table 14.3.26 - Evolution of weight (kg), EU-IGFD CSR). The resulting increase in number of scripts per year was added to cells O117 to O119 in the 3a.Scripts-proposed worksheet of the Financials workbook.</w:t>
      </w:r>
    </w:p>
    <w:p w14:paraId="3900A3B8" w14:textId="77777777" w:rsidR="00322437" w:rsidRDefault="00D3100F" w:rsidP="00D3100F">
      <w:pPr>
        <w:pStyle w:val="TableFigureFooter"/>
      </w:pPr>
      <w:r w:rsidRPr="00BB59D8">
        <w:t>Source: Table 4-14, p137 of the submission; Worksheet sensitivity analysis, financials workbook.</w:t>
      </w:r>
    </w:p>
    <w:p w14:paraId="689590E0" w14:textId="77777777" w:rsidR="00322437" w:rsidRPr="005F7C14" w:rsidRDefault="00322437" w:rsidP="00D3100F">
      <w:pPr>
        <w:pStyle w:val="TableFigureFooter"/>
        <w:rPr>
          <w:i/>
        </w:rPr>
      </w:pPr>
      <w:r w:rsidRPr="005F7C14">
        <w:rPr>
          <w:i/>
        </w:rPr>
        <w:t>The redacted values correspond to the following ranges:</w:t>
      </w:r>
    </w:p>
    <w:p w14:paraId="4CE3D058" w14:textId="77777777" w:rsidR="005F7C14" w:rsidRPr="005F7C14" w:rsidRDefault="00322437" w:rsidP="00D3100F">
      <w:pPr>
        <w:pStyle w:val="TableFigureFooter"/>
        <w:rPr>
          <w:i/>
        </w:rPr>
      </w:pPr>
      <w:r w:rsidRPr="005F7C14">
        <w:rPr>
          <w:i/>
          <w:vertAlign w:val="superscript"/>
        </w:rPr>
        <w:t>1</w:t>
      </w:r>
      <w:r w:rsidRPr="005F7C14">
        <w:rPr>
          <w:i/>
        </w:rPr>
        <w:t xml:space="preserve"> $0 to &lt; $10 million</w:t>
      </w:r>
    </w:p>
    <w:p w14:paraId="5ABC9A2E" w14:textId="77777777" w:rsidR="00D3100F" w:rsidRPr="005F7C14" w:rsidRDefault="005F7C14" w:rsidP="00D3100F">
      <w:pPr>
        <w:pStyle w:val="TableFigureFooter"/>
        <w:rPr>
          <w:i/>
        </w:rPr>
      </w:pPr>
      <w:r w:rsidRPr="005F7C14">
        <w:rPr>
          <w:i/>
          <w:vertAlign w:val="superscript"/>
        </w:rPr>
        <w:t>2</w:t>
      </w:r>
      <w:r w:rsidRPr="005F7C14">
        <w:rPr>
          <w:i/>
        </w:rPr>
        <w:t xml:space="preserve"> &lt; 500</w:t>
      </w:r>
    </w:p>
    <w:p w14:paraId="1073CB3A" w14:textId="3B8CBF82" w:rsidR="00AE4412" w:rsidRPr="00BB59D8" w:rsidRDefault="008E378F" w:rsidP="00070775">
      <w:pPr>
        <w:pStyle w:val="3-BodyText"/>
      </w:pPr>
      <w:r w:rsidRPr="00BB59D8">
        <w:t>The PBAC noted that t</w:t>
      </w:r>
      <w:r w:rsidR="001D4E9E" w:rsidRPr="00BB59D8">
        <w:t xml:space="preserve">he </w:t>
      </w:r>
      <w:r w:rsidR="00B47513" w:rsidRPr="00BB59D8">
        <w:t xml:space="preserve">DUSC considered the </w:t>
      </w:r>
      <w:r w:rsidRPr="00BB59D8">
        <w:t xml:space="preserve">submission’s </w:t>
      </w:r>
      <w:r w:rsidR="00B47513" w:rsidRPr="00BB59D8">
        <w:t>estimates to be possibly underestimated</w:t>
      </w:r>
      <w:r w:rsidR="005C4B69" w:rsidRPr="00BB59D8">
        <w:t xml:space="preserve">, and </w:t>
      </w:r>
      <w:r w:rsidRPr="00BB59D8">
        <w:t xml:space="preserve">had </w:t>
      </w:r>
      <w:r w:rsidR="005C4B69" w:rsidRPr="00BB59D8">
        <w:t>noted concerns about the estimated number of patients and the estimated utilisation per patient</w:t>
      </w:r>
      <w:r w:rsidRPr="00BB59D8">
        <w:t xml:space="preserve"> </w:t>
      </w:r>
      <w:r w:rsidRPr="00BB59D8">
        <w:rPr>
          <w:iCs/>
        </w:rPr>
        <w:t>(</w:t>
      </w:r>
      <w:r w:rsidR="00BC2140" w:rsidRPr="00BB59D8">
        <w:rPr>
          <w:iCs/>
        </w:rPr>
        <w:t xml:space="preserve">Mecasermin </w:t>
      </w:r>
      <w:r w:rsidRPr="00BB59D8">
        <w:rPr>
          <w:iCs/>
        </w:rPr>
        <w:t>DUSC Advice, November 2021 PBAC Meeting, p2 and p7)</w:t>
      </w:r>
      <w:r w:rsidR="0035432C" w:rsidRPr="00BB59D8">
        <w:t>.</w:t>
      </w:r>
    </w:p>
    <w:p w14:paraId="454834DB" w14:textId="6D3EFDDD" w:rsidR="00AE4412" w:rsidRPr="00BB59D8" w:rsidRDefault="00AE4412" w:rsidP="00AE4412">
      <w:pPr>
        <w:pStyle w:val="3-BodyText"/>
      </w:pPr>
      <w:r w:rsidRPr="00BB59D8">
        <w:t>The PBAC noted that Orphanet</w:t>
      </w:r>
      <w:r w:rsidRPr="00BB59D8">
        <w:rPr>
          <w:rStyle w:val="FootnoteReference"/>
        </w:rPr>
        <w:footnoteReference w:id="7"/>
      </w:r>
      <w:r w:rsidRPr="00BB59D8">
        <w:t> estimates the prevalence of Laron syndrome to be</w:t>
      </w:r>
      <w:r w:rsidR="00BC2140" w:rsidRPr="00BB59D8">
        <w:t xml:space="preserve"> 1</w:t>
      </w:r>
      <w:r w:rsidR="00BC2140" w:rsidRPr="00BB59D8">
        <w:noBreakHyphen/>
        <w:t>9 </w:t>
      </w:r>
      <w:r w:rsidRPr="00BB59D8">
        <w:t>per 1,000,000, corresponding to approximately 25 - 225 cases in Australia.</w:t>
      </w:r>
    </w:p>
    <w:p w14:paraId="7E2085A7" w14:textId="77777777" w:rsidR="00D3100F" w:rsidRPr="00BB59D8" w:rsidRDefault="00D3100F" w:rsidP="00D3100F">
      <w:pPr>
        <w:pStyle w:val="4-SubsectionHeading"/>
      </w:pPr>
      <w:bookmarkStart w:id="50" w:name="_Toc22897648"/>
      <w:bookmarkStart w:id="51" w:name="_Toc82536433"/>
      <w:r w:rsidRPr="00BB59D8">
        <w:t>Quality Use of Medicines</w:t>
      </w:r>
      <w:bookmarkEnd w:id="50"/>
      <w:bookmarkEnd w:id="51"/>
    </w:p>
    <w:p w14:paraId="40B45E8A" w14:textId="77777777" w:rsidR="00D3100F" w:rsidRPr="00BB59D8" w:rsidRDefault="00D3100F" w:rsidP="00D3100F">
      <w:pPr>
        <w:pStyle w:val="3-BodyText"/>
        <w:rPr>
          <w:color w:val="0066FF"/>
        </w:rPr>
      </w:pPr>
      <w:r w:rsidRPr="00BB59D8">
        <w:t>The submission did not provide any information on the quality use of medicines.</w:t>
      </w:r>
    </w:p>
    <w:p w14:paraId="629BAC2C" w14:textId="77777777" w:rsidR="00D3100F" w:rsidRPr="00BB59D8" w:rsidRDefault="00D3100F" w:rsidP="00D3100F">
      <w:pPr>
        <w:pStyle w:val="3-BodyText"/>
        <w:rPr>
          <w:color w:val="0066FF"/>
        </w:rPr>
      </w:pPr>
      <w:r w:rsidRPr="00BB59D8">
        <w:t>Information for prescribers and patient materials should be provided since mecasermin is a highly specialised medicine in a vulnerable population.</w:t>
      </w:r>
    </w:p>
    <w:p w14:paraId="0928FE3D" w14:textId="77777777" w:rsidR="00D3100F" w:rsidRPr="00BB59D8" w:rsidRDefault="00D3100F" w:rsidP="00D3100F">
      <w:pPr>
        <w:pStyle w:val="3-BodyText"/>
        <w:rPr>
          <w:color w:val="0066FF"/>
        </w:rPr>
      </w:pPr>
      <w:r w:rsidRPr="00BB59D8">
        <w:t xml:space="preserve">Education and training </w:t>
      </w:r>
      <w:r w:rsidRPr="00BB59D8">
        <w:rPr>
          <w:iCs/>
        </w:rPr>
        <w:t>should include information regarding administration, including aseptic technique and measurement and administration, storage of the medicine and management of adverse events such as hypoglycaemia and lipohypertrophy.</w:t>
      </w:r>
    </w:p>
    <w:p w14:paraId="04AE0D01" w14:textId="77777777" w:rsidR="00D3100F" w:rsidRPr="00BB59D8" w:rsidRDefault="00D3100F" w:rsidP="00D3100F">
      <w:pPr>
        <w:pStyle w:val="4-SubsectionHeading"/>
      </w:pPr>
      <w:bookmarkStart w:id="52" w:name="_Toc22897649"/>
      <w:bookmarkStart w:id="53" w:name="_Toc82536434"/>
      <w:r w:rsidRPr="00BB59D8">
        <w:t>Financial Management – Risk Sharing Arrangements</w:t>
      </w:r>
      <w:bookmarkEnd w:id="52"/>
      <w:bookmarkEnd w:id="53"/>
    </w:p>
    <w:p w14:paraId="2435A499" w14:textId="77777777" w:rsidR="00D3100F" w:rsidRPr="00BB59D8" w:rsidRDefault="00D3100F" w:rsidP="00D3100F">
      <w:pPr>
        <w:pStyle w:val="ListParagraph"/>
        <w:numPr>
          <w:ilvl w:val="1"/>
          <w:numId w:val="1"/>
        </w:numPr>
      </w:pPr>
      <w:r w:rsidRPr="00BB59D8">
        <w:t>None proposed.</w:t>
      </w:r>
    </w:p>
    <w:p w14:paraId="38F85521" w14:textId="77777777" w:rsidR="00E053D9" w:rsidRPr="00BB59D8" w:rsidRDefault="00E053D9" w:rsidP="00E053D9">
      <w:pPr>
        <w:spacing w:after="120"/>
        <w:ind w:firstLine="709"/>
        <w:rPr>
          <w:rFonts w:asciiTheme="minorHAnsi" w:hAnsiTheme="minorHAnsi" w:cs="Times New Roman"/>
          <w:i/>
          <w:lang w:eastAsia="en-US"/>
        </w:rPr>
      </w:pPr>
      <w:r w:rsidRPr="00BB59D8">
        <w:rPr>
          <w:rFonts w:asciiTheme="minorHAnsi" w:hAnsiTheme="minorHAnsi" w:cs="Times New Roman"/>
          <w:i/>
          <w:lang w:eastAsia="en-US"/>
        </w:rPr>
        <w:t>For more detail on PBAC’s view, see Section 7 PBAC outcome.</w:t>
      </w:r>
    </w:p>
    <w:p w14:paraId="29E69AC5" w14:textId="77777777" w:rsidR="00E053D9" w:rsidRPr="00BB59D8" w:rsidRDefault="00E053D9" w:rsidP="00E053D9">
      <w:pPr>
        <w:pStyle w:val="2-SectionHeading"/>
      </w:pPr>
      <w:r w:rsidRPr="00BB59D8">
        <w:t>PBAC Outcome</w:t>
      </w:r>
    </w:p>
    <w:p w14:paraId="0ECC51DC" w14:textId="77777777" w:rsidR="00C947FE" w:rsidRPr="00BB59D8" w:rsidRDefault="00AF3B4C" w:rsidP="00E80BDC">
      <w:pPr>
        <w:pStyle w:val="3-BodyText"/>
      </w:pPr>
      <w:bookmarkStart w:id="54" w:name="_Hlk76381249"/>
      <w:bookmarkStart w:id="55" w:name="_Hlk76377955"/>
      <w:r w:rsidRPr="00BB59D8">
        <w:rPr>
          <w:bCs/>
        </w:rPr>
        <w:t xml:space="preserve">The PBAC did not recommend mecasermin for </w:t>
      </w:r>
      <w:r w:rsidRPr="00BB59D8">
        <w:t>the long-term treatment of growth failure in children and adolescents from 2 to 18 years with severe primary insulin-like growth factor 1 deficiency (SPIGFD).</w:t>
      </w:r>
      <w:r w:rsidR="00CC7286" w:rsidRPr="00BB59D8">
        <w:t xml:space="preserve"> The PBAC </w:t>
      </w:r>
      <w:r w:rsidR="00C77187" w:rsidRPr="00BB59D8">
        <w:t xml:space="preserve">considered the proposed PBS criteria inadequately defined the appropriate patient population. </w:t>
      </w:r>
      <w:r w:rsidR="00AF1D4B" w:rsidRPr="00BB59D8">
        <w:t xml:space="preserve">The PBAC considered that the incremental cost effectiveness ratio was high and uncertain at the proposed price, and </w:t>
      </w:r>
      <w:r w:rsidR="00535F16" w:rsidRPr="00BB59D8">
        <w:t xml:space="preserve">that further </w:t>
      </w:r>
      <w:r w:rsidR="00AF1D4B" w:rsidRPr="00BB59D8">
        <w:t>validat</w:t>
      </w:r>
      <w:r w:rsidR="00E80BDC" w:rsidRPr="00BB59D8">
        <w:t>ion of</w:t>
      </w:r>
      <w:r w:rsidR="00AF1D4B" w:rsidRPr="00BB59D8">
        <w:t xml:space="preserve"> the estimated utilisation</w:t>
      </w:r>
      <w:r w:rsidR="00E80BDC" w:rsidRPr="00BB59D8">
        <w:t xml:space="preserve"> was required</w:t>
      </w:r>
      <w:r w:rsidR="00FA41E7" w:rsidRPr="00BB59D8">
        <w:t>.</w:t>
      </w:r>
    </w:p>
    <w:p w14:paraId="4F6D13AD" w14:textId="77777777" w:rsidR="004D268A" w:rsidRPr="00BB59D8" w:rsidRDefault="004D268A" w:rsidP="00AD50E3">
      <w:pPr>
        <w:pStyle w:val="3-BodyText"/>
      </w:pPr>
      <w:r w:rsidRPr="00BB59D8">
        <w:t xml:space="preserve">The PBAC noted there are currently no therapies available for SPIGFD, and that </w:t>
      </w:r>
      <w:r w:rsidRPr="00BB59D8">
        <w:rPr>
          <w:bCs/>
        </w:rPr>
        <w:t xml:space="preserve">long term treatment with mecasermin </w:t>
      </w:r>
      <w:r w:rsidRPr="00BB59D8">
        <w:t xml:space="preserve">may result in </w:t>
      </w:r>
      <w:r w:rsidRPr="00BB59D8">
        <w:rPr>
          <w:bCs/>
        </w:rPr>
        <w:t>benefits beyond improved growth, including potentially improved neurodevelopmental function.</w:t>
      </w:r>
    </w:p>
    <w:p w14:paraId="2698BAE0" w14:textId="77777777" w:rsidR="0035432C" w:rsidRPr="00BB59D8" w:rsidRDefault="007B66DF" w:rsidP="0076128D">
      <w:pPr>
        <w:pStyle w:val="3-BodyText"/>
      </w:pPr>
      <w:r w:rsidRPr="00BB59D8">
        <w:rPr>
          <w:rFonts w:eastAsia="Calibri"/>
        </w:rPr>
        <w:t>T</w:t>
      </w:r>
      <w:r w:rsidR="0035432C" w:rsidRPr="00BB59D8">
        <w:rPr>
          <w:rFonts w:eastAsia="Calibri"/>
        </w:rPr>
        <w:t xml:space="preserve">he PBAC considered that the proposed PBS criteria were </w:t>
      </w:r>
      <w:r w:rsidR="004D268A" w:rsidRPr="00BB59D8">
        <w:rPr>
          <w:rFonts w:eastAsia="Calibri"/>
        </w:rPr>
        <w:t>inadequate</w:t>
      </w:r>
      <w:r w:rsidR="0035432C" w:rsidRPr="00BB59D8">
        <w:rPr>
          <w:rFonts w:eastAsia="Calibri"/>
        </w:rPr>
        <w:t xml:space="preserve"> to ensure that treatment is restricted to the appropriate patient population</w:t>
      </w:r>
      <w:r w:rsidR="004E0BD2" w:rsidRPr="00BB59D8">
        <w:rPr>
          <w:rFonts w:eastAsia="Calibri"/>
        </w:rPr>
        <w:t>, especially given the potential for inappropriate use of mecasermin</w:t>
      </w:r>
      <w:r w:rsidR="0035432C" w:rsidRPr="00BB59D8">
        <w:rPr>
          <w:rFonts w:eastAsia="Calibri"/>
        </w:rPr>
        <w:t xml:space="preserve">. </w:t>
      </w:r>
      <w:r w:rsidRPr="00BB59D8">
        <w:rPr>
          <w:rFonts w:eastAsia="Calibri"/>
        </w:rPr>
        <w:t>T</w:t>
      </w:r>
      <w:r w:rsidR="0035432C" w:rsidRPr="00BB59D8">
        <w:t>he PBAC noted that the proposed PBS criteria did not reflect the clinical management algorithm presented in the submission with respect to</w:t>
      </w:r>
      <w:r w:rsidR="004E0BD2" w:rsidRPr="00BB59D8">
        <w:t xml:space="preserve"> screening patients on the basis of circulating levels of</w:t>
      </w:r>
      <w:r w:rsidR="0035432C" w:rsidRPr="00BB59D8">
        <w:t xml:space="preserve"> growth hormone binding protein (GHBP)</w:t>
      </w:r>
      <w:r w:rsidR="004E0BD2" w:rsidRPr="00BB59D8">
        <w:t>,</w:t>
      </w:r>
      <w:r w:rsidR="0035432C" w:rsidRPr="00BB59D8">
        <w:t xml:space="preserve"> IGF-1 generation test</w:t>
      </w:r>
      <w:r w:rsidR="004E0BD2" w:rsidRPr="00BB59D8">
        <w:t>s</w:t>
      </w:r>
      <w:r w:rsidR="0035432C" w:rsidRPr="00BB59D8">
        <w:t xml:space="preserve"> and mutation analysis (see paragraph 4.9). </w:t>
      </w:r>
      <w:r w:rsidR="0035432C" w:rsidRPr="00BB59D8">
        <w:rPr>
          <w:rFonts w:eastAsia="Calibri"/>
        </w:rPr>
        <w:t xml:space="preserve">The PBAC advised that </w:t>
      </w:r>
      <w:r w:rsidR="0035432C" w:rsidRPr="00BB59D8">
        <w:t>further input was required to define</w:t>
      </w:r>
      <w:r w:rsidR="00D56522" w:rsidRPr="00BB59D8">
        <w:t xml:space="preserve"> the</w:t>
      </w:r>
      <w:r w:rsidR="0035432C" w:rsidRPr="00BB59D8">
        <w:t xml:space="preserve"> appropriate eligibility and continuation criteria, and considered that advice from Australian clinical experts</w:t>
      </w:r>
      <w:r w:rsidR="00C4686A" w:rsidRPr="00BB59D8">
        <w:t>, potentially through the Australasian Paediatric Endocrine Group (APEG),</w:t>
      </w:r>
      <w:r w:rsidR="0035432C" w:rsidRPr="00BB59D8">
        <w:t xml:space="preserve"> should be incorporated within a</w:t>
      </w:r>
      <w:r w:rsidR="00C4686A" w:rsidRPr="00BB59D8">
        <w:t>ny</w:t>
      </w:r>
      <w:r w:rsidR="0035432C" w:rsidRPr="00BB59D8">
        <w:t xml:space="preserve"> resubmission.</w:t>
      </w:r>
    </w:p>
    <w:p w14:paraId="4C45F3D9" w14:textId="77777777" w:rsidR="00CC6186" w:rsidRPr="00BB59D8" w:rsidRDefault="007A41D1" w:rsidP="00CC6186">
      <w:pPr>
        <w:pStyle w:val="3-BodyText"/>
      </w:pPr>
      <w:r w:rsidRPr="00BB59D8">
        <w:t>In addition to the discussion in paragraph 7.</w:t>
      </w:r>
      <w:r w:rsidR="00F90946" w:rsidRPr="00BB59D8">
        <w:t>3</w:t>
      </w:r>
      <w:r w:rsidRPr="00BB59D8">
        <w:t>, t</w:t>
      </w:r>
      <w:r w:rsidR="00CC6186" w:rsidRPr="00BB59D8">
        <w:t xml:space="preserve">he PBAC provided the following </w:t>
      </w:r>
      <w:r w:rsidR="00D56522" w:rsidRPr="00BB59D8">
        <w:t xml:space="preserve">specific </w:t>
      </w:r>
      <w:r w:rsidR="00CC6186" w:rsidRPr="00BB59D8">
        <w:t>advice regarding the restriction:</w:t>
      </w:r>
    </w:p>
    <w:p w14:paraId="32A8A8D2" w14:textId="5B8CAF6F" w:rsidR="006C034E" w:rsidRPr="00065DE4" w:rsidRDefault="00D56522" w:rsidP="00065DE4">
      <w:pPr>
        <w:pStyle w:val="ListParagraph"/>
        <w:numPr>
          <w:ilvl w:val="0"/>
          <w:numId w:val="9"/>
        </w:numPr>
        <w:ind w:left="1077" w:hanging="357"/>
        <w:rPr>
          <w:iCs/>
        </w:rPr>
      </w:pPr>
      <w:r w:rsidRPr="00BB59D8">
        <w:t>A</w:t>
      </w:r>
      <w:r w:rsidR="006C034E" w:rsidRPr="00BB59D8">
        <w:t xml:space="preserve"> </w:t>
      </w:r>
      <w:r w:rsidR="006C034E" w:rsidRPr="00065DE4">
        <w:rPr>
          <w:iCs/>
        </w:rPr>
        <w:t>precise definition of GH sufficiency and adequate response to treatment was required</w:t>
      </w:r>
      <w:r w:rsidRPr="00065DE4">
        <w:rPr>
          <w:iCs/>
        </w:rPr>
        <w:t>;</w:t>
      </w:r>
    </w:p>
    <w:p w14:paraId="0B6143BA" w14:textId="27C20E70" w:rsidR="006C034E" w:rsidRPr="00065DE4" w:rsidRDefault="006C034E" w:rsidP="00065DE4">
      <w:pPr>
        <w:pStyle w:val="ListParagraph"/>
        <w:numPr>
          <w:ilvl w:val="0"/>
          <w:numId w:val="9"/>
        </w:numPr>
        <w:ind w:left="1077" w:hanging="357"/>
        <w:rPr>
          <w:iCs/>
        </w:rPr>
      </w:pPr>
      <w:r w:rsidRPr="00065DE4">
        <w:rPr>
          <w:iCs/>
        </w:rPr>
        <w:t>There should be documented confirmation of the diagnosis of severe IGF-1 deficiency at initiation of treatment, which may include confirmation of mutation in the growth hormone/IGF signalling pathway consistent with severe IGF-1 deficiency, in line with guidance in the PI.</w:t>
      </w:r>
    </w:p>
    <w:p w14:paraId="2D6FFC54" w14:textId="77777777" w:rsidR="00CC6186" w:rsidRPr="00065DE4" w:rsidRDefault="00DC79D6" w:rsidP="00065DE4">
      <w:pPr>
        <w:pStyle w:val="ListParagraph"/>
        <w:numPr>
          <w:ilvl w:val="0"/>
          <w:numId w:val="9"/>
        </w:numPr>
        <w:ind w:left="1077" w:hanging="357"/>
        <w:rPr>
          <w:iCs/>
        </w:rPr>
      </w:pPr>
      <w:r w:rsidRPr="00065DE4">
        <w:rPr>
          <w:iCs/>
        </w:rPr>
        <w:t xml:space="preserve">The </w:t>
      </w:r>
      <w:r w:rsidR="00D56522" w:rsidRPr="00065DE4">
        <w:rPr>
          <w:iCs/>
        </w:rPr>
        <w:t>criteria</w:t>
      </w:r>
      <w:r w:rsidR="007A41D1" w:rsidRPr="00065DE4">
        <w:rPr>
          <w:iCs/>
        </w:rPr>
        <w:t xml:space="preserve"> </w:t>
      </w:r>
      <w:r w:rsidR="00CC6186" w:rsidRPr="00065DE4">
        <w:rPr>
          <w:iCs/>
        </w:rPr>
        <w:t xml:space="preserve">“Must not have fusion of epiphyses” </w:t>
      </w:r>
      <w:r w:rsidR="007A41D1" w:rsidRPr="00065DE4">
        <w:rPr>
          <w:iCs/>
        </w:rPr>
        <w:t>should</w:t>
      </w:r>
      <w:r w:rsidR="00CC6186" w:rsidRPr="00065DE4">
        <w:rPr>
          <w:iCs/>
        </w:rPr>
        <w:t xml:space="preserve"> be stated in both</w:t>
      </w:r>
      <w:r w:rsidR="00D56522" w:rsidRPr="00065DE4">
        <w:rPr>
          <w:iCs/>
        </w:rPr>
        <w:t xml:space="preserve"> the</w:t>
      </w:r>
      <w:r w:rsidR="00CC6186" w:rsidRPr="00065DE4">
        <w:rPr>
          <w:iCs/>
        </w:rPr>
        <w:t xml:space="preserve"> initiation and continuation restrictions</w:t>
      </w:r>
      <w:r w:rsidR="006C034E" w:rsidRPr="00065DE4">
        <w:rPr>
          <w:iCs/>
        </w:rPr>
        <w:t>.</w:t>
      </w:r>
    </w:p>
    <w:p w14:paraId="3C30007A" w14:textId="77777777" w:rsidR="00CC6186" w:rsidRPr="00BB59D8" w:rsidRDefault="00CC6186" w:rsidP="00065DE4">
      <w:pPr>
        <w:pStyle w:val="ListParagraph"/>
        <w:numPr>
          <w:ilvl w:val="0"/>
          <w:numId w:val="9"/>
        </w:numPr>
        <w:ind w:left="1077" w:hanging="357"/>
      </w:pPr>
      <w:r w:rsidRPr="00065DE4">
        <w:rPr>
          <w:iCs/>
        </w:rPr>
        <w:t>For continuing</w:t>
      </w:r>
      <w:r w:rsidRPr="00BB59D8">
        <w:t xml:space="preserve"> therapy, there should be a requirement for </w:t>
      </w:r>
      <w:r w:rsidR="007A41D1" w:rsidRPr="00BB59D8">
        <w:t xml:space="preserve">treatment to cease if a </w:t>
      </w:r>
      <w:r w:rsidRPr="00BB59D8">
        <w:t>minimum increase in height velocity</w:t>
      </w:r>
      <w:r w:rsidR="007A41D1" w:rsidRPr="00BB59D8">
        <w:t xml:space="preserve"> is not met</w:t>
      </w:r>
      <w:r w:rsidR="003D4495" w:rsidRPr="00BB59D8">
        <w:t xml:space="preserve"> (i.e. a stopping rule)</w:t>
      </w:r>
      <w:r w:rsidR="000566B5" w:rsidRPr="00BB59D8">
        <w:t>.</w:t>
      </w:r>
    </w:p>
    <w:p w14:paraId="188F199F" w14:textId="77777777" w:rsidR="004D268A" w:rsidRPr="00BB59D8" w:rsidRDefault="004D268A" w:rsidP="004D268A">
      <w:pPr>
        <w:pStyle w:val="3-BodyText"/>
      </w:pPr>
      <w:r w:rsidRPr="00BB59D8">
        <w:t>The PBAC considered the nominated comparator, no treatment, was appropriate</w:t>
      </w:r>
      <w:r w:rsidRPr="00BB59D8">
        <w:rPr>
          <w:iCs/>
        </w:rPr>
        <w:t>.</w:t>
      </w:r>
    </w:p>
    <w:p w14:paraId="44D69F4F" w14:textId="43D87BF0" w:rsidR="00E27096" w:rsidRPr="00BB59D8" w:rsidRDefault="004D268A" w:rsidP="000534C3">
      <w:pPr>
        <w:pStyle w:val="3-BodyText"/>
        <w:widowControl w:val="0"/>
      </w:pPr>
      <w:r w:rsidRPr="00BB59D8">
        <w:t>The PBAC noted that the evidence presented in the submission included one head-to-head trial comparing mecasermin to no treatment (Trial MS301) and three single-arm studies. Trial MS301 was a randomised controlled, open-label trial with 137 participants and a study duration of one year.</w:t>
      </w:r>
      <w:r w:rsidR="00E27096" w:rsidRPr="00BB59D8">
        <w:t xml:space="preserve"> The PBAC noted f</w:t>
      </w:r>
      <w:r w:rsidR="00EA73CC" w:rsidRPr="00BB59D8">
        <w:t xml:space="preserve">irst-year height velocities </w:t>
      </w:r>
      <w:r w:rsidR="00E27096" w:rsidRPr="00BB59D8">
        <w:t xml:space="preserve">in </w:t>
      </w:r>
      <w:r w:rsidR="0075272D" w:rsidRPr="00BB59D8">
        <w:t xml:space="preserve">Trial </w:t>
      </w:r>
      <w:r w:rsidR="00E27096" w:rsidRPr="00BB59D8">
        <w:t xml:space="preserve">MS301 </w:t>
      </w:r>
      <w:r w:rsidR="00EA73CC" w:rsidRPr="00BB59D8">
        <w:t xml:space="preserve">were increased for the mecasermin </w:t>
      </w:r>
      <w:r w:rsidR="00E27096" w:rsidRPr="00BB59D8">
        <w:t xml:space="preserve">80 </w:t>
      </w:r>
      <w:r w:rsidR="008F4CE3" w:rsidRPr="00BB59D8">
        <w:t>µg/kg</w:t>
      </w:r>
      <w:r w:rsidR="00E27096" w:rsidRPr="00BB59D8">
        <w:t xml:space="preserve"> twice-daily and 120 </w:t>
      </w:r>
      <w:r w:rsidR="008F4CE3" w:rsidRPr="00BB59D8">
        <w:t>µg/kg</w:t>
      </w:r>
      <w:r w:rsidR="00EA73CC" w:rsidRPr="00BB59D8">
        <w:t xml:space="preserve"> twice-daily groups compared with the untreated group (increase of 1.79 and 2.58 cm/year, respectively, both p&lt;0001, see paragraph 6.12)</w:t>
      </w:r>
      <w:r w:rsidR="00E27096" w:rsidRPr="00BB59D8">
        <w:t xml:space="preserve">. </w:t>
      </w:r>
      <w:r w:rsidR="00EA73CC" w:rsidRPr="00BB59D8">
        <w:t xml:space="preserve">The PBAC noted that </w:t>
      </w:r>
      <w:r w:rsidR="00E27096" w:rsidRPr="00BB59D8">
        <w:t xml:space="preserve">higher rates of adverse events classified as ‘metabolism and nutrition disorders’, 'general disorders and administration site conditions', 'gastrointestinal disorders' and 'nervous system disorders' were observed in mecasermin-treated patients compared to the untreated group in </w:t>
      </w:r>
      <w:r w:rsidR="0075272D" w:rsidRPr="00BB59D8">
        <w:t xml:space="preserve">Trial </w:t>
      </w:r>
      <w:r w:rsidR="00E27096" w:rsidRPr="00BB59D8">
        <w:t>MS301 (see paragraph 6.22).</w:t>
      </w:r>
      <w:r w:rsidR="00E27096" w:rsidRPr="00BB59D8">
        <w:rPr>
          <w:iCs/>
        </w:rPr>
        <w:t xml:space="preserve"> </w:t>
      </w:r>
    </w:p>
    <w:p w14:paraId="78AA7C87" w14:textId="32F20B5A" w:rsidR="00E27096" w:rsidRPr="00BB59D8" w:rsidRDefault="00E27096" w:rsidP="000534C3">
      <w:pPr>
        <w:pStyle w:val="3-BodyText"/>
        <w:rPr>
          <w:rFonts w:eastAsia="Calibri"/>
        </w:rPr>
      </w:pPr>
      <w:r w:rsidRPr="00BB59D8">
        <w:rPr>
          <w:szCs w:val="20"/>
        </w:rPr>
        <w:t xml:space="preserve">The PBAC considered that the submission’s claim of superior comparative effectiveness was reasonable on the basis of </w:t>
      </w:r>
      <w:r w:rsidRPr="00BB59D8">
        <w:t xml:space="preserve">improved height outcomes. </w:t>
      </w:r>
      <w:r w:rsidRPr="00BB59D8">
        <w:rPr>
          <w:szCs w:val="20"/>
        </w:rPr>
        <w:t xml:space="preserve">The PBAC considered that </w:t>
      </w:r>
      <w:r w:rsidRPr="00BB59D8">
        <w:rPr>
          <w:rFonts w:eastAsia="Calibri"/>
        </w:rPr>
        <w:t xml:space="preserve">mecasermin has inferior safety when compared with no treatment based on </w:t>
      </w:r>
      <w:r w:rsidR="0075272D" w:rsidRPr="00BB59D8">
        <w:rPr>
          <w:rFonts w:eastAsia="Calibri"/>
        </w:rPr>
        <w:t xml:space="preserve">Trial </w:t>
      </w:r>
      <w:r w:rsidRPr="00BB59D8">
        <w:rPr>
          <w:rFonts w:eastAsia="Calibri"/>
        </w:rPr>
        <w:t>MS301</w:t>
      </w:r>
      <w:r w:rsidR="008F4CE3" w:rsidRPr="00BB59D8">
        <w:rPr>
          <w:rFonts w:eastAsia="Calibri"/>
        </w:rPr>
        <w:t xml:space="preserve">. The PBAC noted the most frequently </w:t>
      </w:r>
      <w:r w:rsidRPr="00BB59D8">
        <w:t>reported adverse events includ</w:t>
      </w:r>
      <w:r w:rsidR="008F4CE3" w:rsidRPr="00BB59D8">
        <w:t>ed</w:t>
      </w:r>
      <w:r w:rsidRPr="00BB59D8">
        <w:t xml:space="preserve"> hypoglycaemia, headache, tonsil enlargement and vomiting (Midyett 2010, p616). </w:t>
      </w:r>
      <w:r w:rsidR="0075272D" w:rsidRPr="00BB59D8">
        <w:t xml:space="preserve">The </w:t>
      </w:r>
      <w:r w:rsidRPr="00BB59D8">
        <w:t>PBAC also noted the potential neoplasia risk described in the TGA product information.</w:t>
      </w:r>
    </w:p>
    <w:p w14:paraId="3F783749" w14:textId="0AAA54F0" w:rsidR="000534C3" w:rsidRPr="00BB59D8" w:rsidRDefault="00590B75" w:rsidP="000534C3">
      <w:pPr>
        <w:pStyle w:val="3-BodyText"/>
      </w:pPr>
      <w:r w:rsidRPr="00BB59D8">
        <w:rPr>
          <w:rFonts w:eastAsia="Calibri"/>
        </w:rPr>
        <w:t>Regarding the economic analysis, t</w:t>
      </w:r>
      <w:r w:rsidRPr="00BB59D8">
        <w:t xml:space="preserve">he PBAC noted the model was designed to track the height, </w:t>
      </w:r>
      <w:r w:rsidR="008F4CE3" w:rsidRPr="00BB59D8">
        <w:rPr>
          <w:iCs/>
        </w:rPr>
        <w:t>height standard deviation score (</w:t>
      </w:r>
      <w:r w:rsidRPr="00BB59D8">
        <w:t>HSDS</w:t>
      </w:r>
      <w:r w:rsidR="008F4CE3" w:rsidRPr="00BB59D8">
        <w:t>)</w:t>
      </w:r>
      <w:r w:rsidRPr="00BB59D8">
        <w:t xml:space="preserve">, quality of life, and cost associated with </w:t>
      </w:r>
      <w:r w:rsidR="006520F0" w:rsidRPr="00BB59D8">
        <w:t xml:space="preserve">either </w:t>
      </w:r>
      <w:r w:rsidRPr="00BB59D8">
        <w:t xml:space="preserve">mecasermin </w:t>
      </w:r>
      <w:r w:rsidR="006520F0" w:rsidRPr="00BB59D8">
        <w:t xml:space="preserve">or </w:t>
      </w:r>
      <w:r w:rsidRPr="00BB59D8">
        <w:t xml:space="preserve">no treatment. </w:t>
      </w:r>
      <w:r w:rsidR="00572914" w:rsidRPr="00BB59D8">
        <w:t>Growth for p</w:t>
      </w:r>
      <w:r w:rsidRPr="00BB59D8">
        <w:t xml:space="preserve">atients not on treatment </w:t>
      </w:r>
      <w:r w:rsidR="00572914" w:rsidRPr="00BB59D8">
        <w:t xml:space="preserve">was </w:t>
      </w:r>
      <w:r w:rsidRPr="00BB59D8">
        <w:t xml:space="preserve">assumed to follow </w:t>
      </w:r>
      <w:r w:rsidR="00572914" w:rsidRPr="00BB59D8">
        <w:t>that</w:t>
      </w:r>
      <w:r w:rsidRPr="00BB59D8">
        <w:t xml:space="preserve"> reported in Laron et al. (1993)</w:t>
      </w:r>
      <w:r w:rsidR="00572914" w:rsidRPr="00BB59D8">
        <w:t>, according to their age and sex</w:t>
      </w:r>
      <w:r w:rsidRPr="00BB59D8">
        <w:t xml:space="preserve">. Patients on mecasermin treatment were assumed to gain height according to the observations from the EU-IGFD registry. The PBAC </w:t>
      </w:r>
      <w:r w:rsidR="00572914" w:rsidRPr="00BB59D8">
        <w:t xml:space="preserve">acknowledged </w:t>
      </w:r>
      <w:r w:rsidRPr="00BB59D8">
        <w:t xml:space="preserve">that limited clinical data are available to populate the model, </w:t>
      </w:r>
      <w:r w:rsidR="00572914" w:rsidRPr="00BB59D8">
        <w:t>and that this reflected</w:t>
      </w:r>
      <w:r w:rsidRPr="00BB59D8">
        <w:t xml:space="preserve"> SPIGFD being a rare condition. </w:t>
      </w:r>
      <w:r w:rsidR="000534C3" w:rsidRPr="00BB59D8">
        <w:t xml:space="preserve">The PBAC noted that the modelled relative treatment effect was based on a </w:t>
      </w:r>
      <w:r w:rsidR="000534C3" w:rsidRPr="00BB59D8">
        <w:rPr>
          <w:rFonts w:ascii="Calibri" w:hAnsi="Calibri"/>
          <w:snapToGrid/>
        </w:rPr>
        <w:t>naïve comparison of single arm studies</w:t>
      </w:r>
      <w:r w:rsidR="000534C3" w:rsidRPr="00BB59D8">
        <w:t xml:space="preserve"> and considered</w:t>
      </w:r>
      <w:r w:rsidR="0048501D" w:rsidRPr="00BB59D8">
        <w:t xml:space="preserve"> that</w:t>
      </w:r>
      <w:r w:rsidR="000534C3" w:rsidRPr="00BB59D8">
        <w:t xml:space="preserve"> this approach was associated with substantial uncertainty. </w:t>
      </w:r>
      <w:r w:rsidR="0048501D" w:rsidRPr="00BB59D8">
        <w:t xml:space="preserve">The results from </w:t>
      </w:r>
      <w:r w:rsidR="000534C3" w:rsidRPr="00BB59D8">
        <w:t xml:space="preserve">Trial MS301 </w:t>
      </w:r>
      <w:r w:rsidR="0048501D" w:rsidRPr="00BB59D8">
        <w:t xml:space="preserve">which </w:t>
      </w:r>
      <w:r w:rsidR="000534C3" w:rsidRPr="00BB59D8">
        <w:t xml:space="preserve">provided </w:t>
      </w:r>
      <w:r w:rsidR="0048501D" w:rsidRPr="00BB59D8">
        <w:t>a</w:t>
      </w:r>
      <w:r w:rsidR="000534C3" w:rsidRPr="00BB59D8">
        <w:t xml:space="preserve"> within-study comparison of mecasermin versus no treatment in a randomised design</w:t>
      </w:r>
      <w:r w:rsidR="0048501D" w:rsidRPr="00BB59D8">
        <w:t xml:space="preserve"> were not included in the economic model</w:t>
      </w:r>
      <w:r w:rsidR="000534C3" w:rsidRPr="00BB59D8">
        <w:t xml:space="preserve">, however, the trial only </w:t>
      </w:r>
      <w:r w:rsidR="0048501D" w:rsidRPr="00BB59D8">
        <w:t xml:space="preserve">provided results over a period of </w:t>
      </w:r>
      <w:r w:rsidR="000534C3" w:rsidRPr="00BB59D8">
        <w:t>one year.</w:t>
      </w:r>
    </w:p>
    <w:p w14:paraId="01EDC942" w14:textId="43893B7A" w:rsidR="008F4CE3" w:rsidRPr="00BB59D8" w:rsidRDefault="000534C3" w:rsidP="002E34B2">
      <w:pPr>
        <w:widowControl w:val="0"/>
        <w:numPr>
          <w:ilvl w:val="1"/>
          <w:numId w:val="1"/>
        </w:numPr>
        <w:spacing w:after="120"/>
      </w:pPr>
      <w:r w:rsidRPr="00BB59D8">
        <w:t>T</w:t>
      </w:r>
      <w:r w:rsidR="00590B75" w:rsidRPr="00BB59D8">
        <w:t xml:space="preserve">he </w:t>
      </w:r>
      <w:r w:rsidR="00572914" w:rsidRPr="00BB59D8">
        <w:t xml:space="preserve">PBAC noted the </w:t>
      </w:r>
      <w:r w:rsidR="00590B75" w:rsidRPr="00BB59D8">
        <w:t xml:space="preserve">sensitivity analyses revealed </w:t>
      </w:r>
      <w:r w:rsidR="00572914" w:rsidRPr="00BB59D8">
        <w:t>large</w:t>
      </w:r>
      <w:r w:rsidR="00590B75" w:rsidRPr="00BB59D8">
        <w:t xml:space="preserve"> variation in the estimates of </w:t>
      </w:r>
      <w:r w:rsidR="002414AE" w:rsidRPr="00BB59D8">
        <w:t>cost effectiveness (see Table 13</w:t>
      </w:r>
      <w:r w:rsidR="00590B75" w:rsidRPr="00BB59D8">
        <w:t xml:space="preserve">), </w:t>
      </w:r>
      <w:r w:rsidR="00572914" w:rsidRPr="00BB59D8">
        <w:t xml:space="preserve">and that the incremental cost effectiveness ratio (ICER) for </w:t>
      </w:r>
      <w:r w:rsidR="00590B75" w:rsidRPr="00BB59D8">
        <w:t xml:space="preserve">some </w:t>
      </w:r>
      <w:r w:rsidR="00C00AEF" w:rsidRPr="00BB59D8">
        <w:t xml:space="preserve">of the </w:t>
      </w:r>
      <w:r w:rsidR="00590B75" w:rsidRPr="00BB59D8">
        <w:t>sensitivity analyses exceeded $</w:t>
      </w:r>
      <w:r w:rsidR="0081180F">
        <w:t>155,000 to &lt; $255,000</w:t>
      </w:r>
      <w:r w:rsidR="00590B75" w:rsidRPr="00BB59D8">
        <w:t>/QALY gained compared with $</w:t>
      </w:r>
      <w:r w:rsidR="0081180F">
        <w:t>95,000 to &lt; $115,000</w:t>
      </w:r>
      <w:r w:rsidR="00590B75" w:rsidRPr="00BB59D8">
        <w:t>/QALY gained</w:t>
      </w:r>
      <w:r w:rsidR="00572914" w:rsidRPr="00BB59D8">
        <w:t xml:space="preserve"> in the base case analysis</w:t>
      </w:r>
      <w:r w:rsidR="00590B75" w:rsidRPr="00BB59D8">
        <w:t>. Overall, the PBAC considered that the ICER was unacceptably high and uncertain.</w:t>
      </w:r>
      <w:r w:rsidRPr="00BB59D8">
        <w:t xml:space="preserve"> The PBAC considered a price reduction would be required for mecasermin to be considered cost-effective.</w:t>
      </w:r>
    </w:p>
    <w:p w14:paraId="1A4EA55F" w14:textId="02BB8B52" w:rsidR="00AA553E" w:rsidRPr="00BB59D8" w:rsidRDefault="00DE3BE5" w:rsidP="00DE3BE5">
      <w:pPr>
        <w:pStyle w:val="3-BodyText"/>
      </w:pPr>
      <w:r w:rsidRPr="00BB59D8">
        <w:rPr>
          <w:lang w:eastAsia="en-US"/>
        </w:rPr>
        <w:t xml:space="preserve">The PBAC noted the submission’s estimate of the number of patients </w:t>
      </w:r>
      <w:r w:rsidR="00C00AEF" w:rsidRPr="00BB59D8">
        <w:rPr>
          <w:lang w:eastAsia="en-US"/>
        </w:rPr>
        <w:t xml:space="preserve">to be </w:t>
      </w:r>
      <w:r w:rsidRPr="00BB59D8">
        <w:rPr>
          <w:lang w:eastAsia="en-US"/>
        </w:rPr>
        <w:t xml:space="preserve">treated with mecasermin </w:t>
      </w:r>
      <w:r w:rsidRPr="00BB59D8">
        <w:rPr>
          <w:rFonts w:eastAsia="Calibri"/>
        </w:rPr>
        <w:t xml:space="preserve">of </w:t>
      </w:r>
      <w:r w:rsidR="00AA553E" w:rsidRPr="00BB59D8">
        <w:t>4-15 is less than 15% of the estimated eligible patient population (134 patients in 2017) based on epidemiological estimates discussed in the TGA submission. The PBAC considered that further validation of the estimated utilisation is required</w:t>
      </w:r>
      <w:r w:rsidR="00C00AEF" w:rsidRPr="00BB59D8">
        <w:t>, and</w:t>
      </w:r>
      <w:r w:rsidR="00AA553E" w:rsidRPr="00BB59D8">
        <w:t xml:space="preserve"> </w:t>
      </w:r>
      <w:r w:rsidRPr="00BB59D8">
        <w:t>any revisions to the restriction criteria as outline in paragraphs 7.</w:t>
      </w:r>
      <w:r w:rsidR="00F90946" w:rsidRPr="00BB59D8">
        <w:t>3</w:t>
      </w:r>
      <w:r w:rsidRPr="00BB59D8">
        <w:t xml:space="preserve"> and 7.</w:t>
      </w:r>
      <w:r w:rsidR="00F90946" w:rsidRPr="00BB59D8">
        <w:t>4</w:t>
      </w:r>
      <w:r w:rsidR="00E80BDC" w:rsidRPr="00BB59D8">
        <w:t xml:space="preserve"> should be accounted for</w:t>
      </w:r>
      <w:r w:rsidRPr="00BB59D8">
        <w:t xml:space="preserve">. </w:t>
      </w:r>
    </w:p>
    <w:p w14:paraId="562AF06D" w14:textId="77777777" w:rsidR="00C60B76" w:rsidRPr="00BB59D8" w:rsidRDefault="00C60B76" w:rsidP="00C60B76">
      <w:pPr>
        <w:pStyle w:val="3-BodyText"/>
        <w:rPr>
          <w:u w:val="single"/>
        </w:rPr>
      </w:pPr>
      <w:r w:rsidRPr="00BB59D8">
        <w:rPr>
          <w:rFonts w:ascii="Calibri" w:hAnsi="Calibri"/>
          <w:snapToGrid/>
        </w:rPr>
        <w:t>The PBAC considered the outstanding issues could be easily resolved in a simple resubmission for mecasermin using the early re-entry pathway. If the sponsor accepts this pathway, the following changes may address these outstanding issues without requiring further re-evaluation.</w:t>
      </w:r>
    </w:p>
    <w:p w14:paraId="485657F2" w14:textId="77777777" w:rsidR="00C60B76" w:rsidRPr="00065DE4" w:rsidRDefault="00C60B76" w:rsidP="00065DE4">
      <w:pPr>
        <w:pStyle w:val="ListParagraph"/>
        <w:numPr>
          <w:ilvl w:val="0"/>
          <w:numId w:val="9"/>
        </w:numPr>
        <w:ind w:left="1077" w:hanging="357"/>
        <w:rPr>
          <w:iCs/>
        </w:rPr>
      </w:pPr>
      <w:r w:rsidRPr="00065DE4">
        <w:rPr>
          <w:iCs/>
        </w:rPr>
        <w:t xml:space="preserve">Patient population: </w:t>
      </w:r>
      <w:r w:rsidR="009A1CE3" w:rsidRPr="00065DE4">
        <w:rPr>
          <w:iCs/>
        </w:rPr>
        <w:t xml:space="preserve">Revised </w:t>
      </w:r>
      <w:r w:rsidRPr="00065DE4">
        <w:rPr>
          <w:iCs/>
        </w:rPr>
        <w:t xml:space="preserve">eligibility and continuation </w:t>
      </w:r>
      <w:r w:rsidR="00C00AEF" w:rsidRPr="00065DE4">
        <w:rPr>
          <w:iCs/>
        </w:rPr>
        <w:t xml:space="preserve">PBS </w:t>
      </w:r>
      <w:r w:rsidRPr="00065DE4">
        <w:rPr>
          <w:iCs/>
        </w:rPr>
        <w:t xml:space="preserve">criteria </w:t>
      </w:r>
      <w:r w:rsidR="00C00AEF" w:rsidRPr="00065DE4">
        <w:rPr>
          <w:iCs/>
        </w:rPr>
        <w:t>as outlined in</w:t>
      </w:r>
      <w:r w:rsidRPr="00065DE4">
        <w:rPr>
          <w:iCs/>
        </w:rPr>
        <w:t xml:space="preserve"> paragraphs 7.</w:t>
      </w:r>
      <w:r w:rsidR="00F90946" w:rsidRPr="00065DE4">
        <w:rPr>
          <w:iCs/>
        </w:rPr>
        <w:t>3</w:t>
      </w:r>
      <w:r w:rsidRPr="00065DE4">
        <w:rPr>
          <w:iCs/>
        </w:rPr>
        <w:t>-7.</w:t>
      </w:r>
      <w:r w:rsidR="00F90946" w:rsidRPr="00065DE4">
        <w:rPr>
          <w:iCs/>
        </w:rPr>
        <w:t>4</w:t>
      </w:r>
      <w:r w:rsidRPr="00065DE4">
        <w:rPr>
          <w:iCs/>
        </w:rPr>
        <w:t>.</w:t>
      </w:r>
    </w:p>
    <w:p w14:paraId="3378AA4B" w14:textId="77777777" w:rsidR="00C60B76" w:rsidRPr="00065DE4" w:rsidRDefault="00C60B76" w:rsidP="00065DE4">
      <w:pPr>
        <w:pStyle w:val="ListParagraph"/>
        <w:numPr>
          <w:ilvl w:val="0"/>
          <w:numId w:val="9"/>
        </w:numPr>
        <w:ind w:left="1077" w:hanging="357"/>
        <w:rPr>
          <w:iCs/>
        </w:rPr>
      </w:pPr>
      <w:r w:rsidRPr="00065DE4">
        <w:rPr>
          <w:iCs/>
        </w:rPr>
        <w:t xml:space="preserve">A </w:t>
      </w:r>
      <w:r w:rsidR="00DE3BE5" w:rsidRPr="00065DE4">
        <w:rPr>
          <w:iCs/>
        </w:rPr>
        <w:t xml:space="preserve">price reduction </w:t>
      </w:r>
      <w:r w:rsidR="000534C3" w:rsidRPr="00065DE4">
        <w:rPr>
          <w:iCs/>
        </w:rPr>
        <w:t>to increase the certainty that mecase</w:t>
      </w:r>
      <w:r w:rsidR="00A020F7" w:rsidRPr="00065DE4">
        <w:rPr>
          <w:iCs/>
        </w:rPr>
        <w:t>r</w:t>
      </w:r>
      <w:r w:rsidR="000534C3" w:rsidRPr="00065DE4">
        <w:rPr>
          <w:iCs/>
        </w:rPr>
        <w:t>min is cost-effective</w:t>
      </w:r>
      <w:r w:rsidR="00E80BDC" w:rsidRPr="00065DE4">
        <w:rPr>
          <w:iCs/>
        </w:rPr>
        <w:t xml:space="preserve"> </w:t>
      </w:r>
      <w:r w:rsidRPr="00065DE4">
        <w:rPr>
          <w:iCs/>
        </w:rPr>
        <w:t>(see paragraph 7.</w:t>
      </w:r>
      <w:r w:rsidR="000534C3" w:rsidRPr="00065DE4">
        <w:rPr>
          <w:iCs/>
        </w:rPr>
        <w:t>9</w:t>
      </w:r>
      <w:r w:rsidRPr="00065DE4">
        <w:rPr>
          <w:iCs/>
        </w:rPr>
        <w:t>).</w:t>
      </w:r>
    </w:p>
    <w:p w14:paraId="3729CEBF" w14:textId="77777777" w:rsidR="00C60B76" w:rsidRPr="00BB59D8" w:rsidRDefault="00E80BDC" w:rsidP="00065DE4">
      <w:pPr>
        <w:pStyle w:val="ListParagraph"/>
        <w:numPr>
          <w:ilvl w:val="0"/>
          <w:numId w:val="9"/>
        </w:numPr>
        <w:ind w:left="1077" w:hanging="357"/>
      </w:pPr>
      <w:r w:rsidRPr="00065DE4">
        <w:rPr>
          <w:iCs/>
        </w:rPr>
        <w:t>Financial estimates</w:t>
      </w:r>
      <w:r w:rsidR="00C60B76" w:rsidRPr="00065DE4">
        <w:rPr>
          <w:iCs/>
        </w:rPr>
        <w:t>:</w:t>
      </w:r>
      <w:r w:rsidRPr="00065DE4">
        <w:rPr>
          <w:iCs/>
        </w:rPr>
        <w:t xml:space="preserve"> Validation and/or revision of the estimated </w:t>
      </w:r>
      <w:r w:rsidR="00C00AEF" w:rsidRPr="00065DE4">
        <w:rPr>
          <w:iCs/>
        </w:rPr>
        <w:t>utilisation</w:t>
      </w:r>
      <w:r w:rsidR="00C60B76" w:rsidRPr="00065DE4">
        <w:rPr>
          <w:iCs/>
        </w:rPr>
        <w:t xml:space="preserve"> (see par</w:t>
      </w:r>
      <w:r w:rsidR="00C60B76" w:rsidRPr="00BB59D8">
        <w:t>agraph 7.</w:t>
      </w:r>
      <w:r w:rsidR="00F90946" w:rsidRPr="00BB59D8">
        <w:t>1</w:t>
      </w:r>
      <w:r w:rsidR="0048501D" w:rsidRPr="00BB59D8">
        <w:t>0</w:t>
      </w:r>
      <w:r w:rsidR="00C60B76" w:rsidRPr="00BB59D8">
        <w:t>)</w:t>
      </w:r>
      <w:r w:rsidRPr="00BB59D8">
        <w:t>, and revised financial estimates incorporating the lower price for mecasermin</w:t>
      </w:r>
      <w:r w:rsidR="00C60B76" w:rsidRPr="00BB59D8">
        <w:t>.</w:t>
      </w:r>
    </w:p>
    <w:p w14:paraId="7E6A283B" w14:textId="662B2E18" w:rsidR="00063745" w:rsidRPr="009750B5" w:rsidRDefault="00C60B76" w:rsidP="009750B5">
      <w:pPr>
        <w:spacing w:after="120"/>
        <w:ind w:left="720"/>
        <w:rPr>
          <w:snapToGrid w:val="0"/>
        </w:rPr>
      </w:pPr>
      <w:r w:rsidRPr="00BB59D8">
        <w:rPr>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49966D0C" w14:textId="77777777" w:rsidR="00127AD5" w:rsidRPr="00BB59D8" w:rsidRDefault="00063745" w:rsidP="00127AD5">
      <w:pPr>
        <w:widowControl w:val="0"/>
        <w:numPr>
          <w:ilvl w:val="1"/>
          <w:numId w:val="1"/>
        </w:numPr>
        <w:spacing w:after="120"/>
        <w:rPr>
          <w:rFonts w:asciiTheme="minorHAnsi" w:hAnsiTheme="minorHAnsi"/>
          <w:bCs/>
          <w:snapToGrid w:val="0"/>
        </w:rPr>
      </w:pPr>
      <w:r w:rsidRPr="00BB59D8">
        <w:rPr>
          <w:rFonts w:asciiTheme="minorHAnsi" w:hAnsiTheme="minorHAnsi"/>
          <w:bCs/>
          <w:snapToGrid w:val="0"/>
        </w:rPr>
        <w:t xml:space="preserve">The PBAC noted that this submission is eligible for an Independent Review. </w:t>
      </w:r>
    </w:p>
    <w:p w14:paraId="2AE24AE4" w14:textId="77777777" w:rsidR="00063745" w:rsidRPr="00BB59D8" w:rsidRDefault="00063745" w:rsidP="00063745">
      <w:pPr>
        <w:spacing w:before="240"/>
        <w:rPr>
          <w:rFonts w:asciiTheme="minorHAnsi" w:hAnsiTheme="minorHAnsi"/>
          <w:b/>
          <w:bCs/>
          <w:snapToGrid w:val="0"/>
        </w:rPr>
      </w:pPr>
      <w:r w:rsidRPr="00BB59D8">
        <w:rPr>
          <w:rFonts w:asciiTheme="minorHAnsi" w:hAnsiTheme="minorHAnsi"/>
          <w:b/>
          <w:bCs/>
          <w:snapToGrid w:val="0"/>
        </w:rPr>
        <w:t>Outcome:</w:t>
      </w:r>
    </w:p>
    <w:p w14:paraId="465FC506" w14:textId="77777777" w:rsidR="00800891" w:rsidRPr="00BB59D8" w:rsidRDefault="00800891" w:rsidP="00DB4BC1">
      <w:pPr>
        <w:rPr>
          <w:rFonts w:cs="Calibri"/>
        </w:rPr>
      </w:pPr>
      <w:r w:rsidRPr="00BB59D8">
        <w:rPr>
          <w:rFonts w:asciiTheme="minorHAnsi" w:hAnsiTheme="minorHAnsi"/>
          <w:bCs/>
          <w:snapToGrid w:val="0"/>
        </w:rPr>
        <w:t xml:space="preserve">Not recommended </w:t>
      </w:r>
      <w:bookmarkStart w:id="56" w:name="_Hlk76377978"/>
      <w:bookmarkEnd w:id="54"/>
      <w:bookmarkEnd w:id="55"/>
    </w:p>
    <w:bookmarkEnd w:id="56"/>
    <w:p w14:paraId="631659DC" w14:textId="77777777" w:rsidR="00D24036" w:rsidRDefault="00D24036" w:rsidP="00063745">
      <w:pPr>
        <w:spacing w:after="200" w:line="276" w:lineRule="auto"/>
        <w:rPr>
          <w:rFonts w:ascii="Arial" w:hAnsi="Arial"/>
          <w:bCs/>
          <w:sz w:val="22"/>
          <w:szCs w:val="22"/>
        </w:rPr>
      </w:pPr>
    </w:p>
    <w:p w14:paraId="6B822F3A" w14:textId="77777777" w:rsidR="00D24036" w:rsidRPr="00D24036" w:rsidRDefault="00D24036" w:rsidP="00D24036">
      <w:pPr>
        <w:pStyle w:val="2-SectionHeading"/>
      </w:pPr>
      <w:r w:rsidRPr="00C07617">
        <w:t>Context for Decision</w:t>
      </w:r>
    </w:p>
    <w:p w14:paraId="7C5AA9E5" w14:textId="77777777" w:rsidR="00D24036" w:rsidRPr="007129F2" w:rsidRDefault="00D24036" w:rsidP="00D24036">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D34B0B3" w14:textId="77777777" w:rsidR="00D24036" w:rsidRPr="00D24036" w:rsidRDefault="00D24036" w:rsidP="00D24036">
      <w:pPr>
        <w:pStyle w:val="2-SectionHeading"/>
      </w:pPr>
      <w:r>
        <w:t>Sponsor’s Comment</w:t>
      </w:r>
    </w:p>
    <w:p w14:paraId="296B9C45" w14:textId="77777777" w:rsidR="00D24036" w:rsidRPr="001179AC" w:rsidRDefault="00D62421" w:rsidP="00D62421">
      <w:pPr>
        <w:spacing w:after="120"/>
        <w:ind w:left="720"/>
        <w:rPr>
          <w:rFonts w:asciiTheme="minorHAnsi" w:hAnsiTheme="minorHAnsi"/>
          <w:bCs/>
        </w:rPr>
      </w:pPr>
      <w:r w:rsidRPr="00D62421">
        <w:rPr>
          <w:rFonts w:asciiTheme="minorHAnsi" w:hAnsiTheme="minorHAnsi"/>
          <w:bCs/>
        </w:rPr>
        <w:t>Ipsen thanks the PBAC for their recognition of the unmet need in patients with SPIGFD, and look forward to further working with the committee in order to reach an outcome for children with this rare condition.</w:t>
      </w:r>
    </w:p>
    <w:p w14:paraId="2056C35B" w14:textId="77777777" w:rsidR="00127AD5" w:rsidRPr="00D24036" w:rsidRDefault="00127AD5" w:rsidP="00D24036">
      <w:pPr>
        <w:rPr>
          <w:rFonts w:ascii="Arial" w:hAnsi="Arial"/>
          <w:sz w:val="22"/>
          <w:szCs w:val="22"/>
        </w:rPr>
      </w:pPr>
    </w:p>
    <w:sectPr w:rsidR="00127AD5" w:rsidRPr="00D24036" w:rsidSect="00251006">
      <w:headerReference w:type="default" r:id="rId12"/>
      <w:footerReference w:type="defaul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39582" w14:textId="77777777" w:rsidR="00DD6B55" w:rsidRDefault="00DD6B55" w:rsidP="00124A51">
      <w:r>
        <w:separator/>
      </w:r>
    </w:p>
    <w:p w14:paraId="68BB6654" w14:textId="77777777" w:rsidR="00DD6B55" w:rsidRDefault="00DD6B55"/>
  </w:endnote>
  <w:endnote w:type="continuationSeparator" w:id="0">
    <w:p w14:paraId="6D1AF02E" w14:textId="77777777" w:rsidR="00DD6B55" w:rsidRDefault="00DD6B55" w:rsidP="00124A51">
      <w:r>
        <w:continuationSeparator/>
      </w:r>
    </w:p>
    <w:p w14:paraId="3D7D076D" w14:textId="77777777" w:rsidR="00DD6B55" w:rsidRDefault="00DD6B55"/>
  </w:endnote>
  <w:endnote w:type="continuationNotice" w:id="1">
    <w:p w14:paraId="18912628" w14:textId="77777777" w:rsidR="00DD6B55" w:rsidRDefault="00DD6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16B6" w14:textId="77777777" w:rsidR="00DD6B55" w:rsidRDefault="00DD6B55" w:rsidP="00E81A00">
    <w:pPr>
      <w:pStyle w:val="Footer"/>
      <w:jc w:val="center"/>
      <w:rPr>
        <w:b/>
      </w:rPr>
    </w:pPr>
  </w:p>
  <w:p w14:paraId="3B0C0874" w14:textId="1929D57B" w:rsidR="00DD6B55" w:rsidRPr="00E81A00" w:rsidRDefault="00DD6B55" w:rsidP="00E81A00">
    <w:pPr>
      <w:pStyle w:val="Footer"/>
      <w:jc w:val="center"/>
    </w:pPr>
    <w:r w:rsidRPr="00836F75">
      <w:rPr>
        <w:b/>
      </w:rPr>
      <w:fldChar w:fldCharType="begin"/>
    </w:r>
    <w:r w:rsidRPr="00836F75">
      <w:rPr>
        <w:b/>
      </w:rPr>
      <w:instrText xml:space="preserve"> PAGE   \* MERGEFORMAT </w:instrText>
    </w:r>
    <w:r w:rsidRPr="00836F75">
      <w:rPr>
        <w:b/>
      </w:rPr>
      <w:fldChar w:fldCharType="separate"/>
    </w:r>
    <w:r w:rsidR="0000363A">
      <w:rPr>
        <w:b/>
        <w:noProof/>
      </w:rPr>
      <w:t>35</w:t>
    </w:r>
    <w:r w:rsidRPr="00836F75">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EE41F" w14:textId="77777777" w:rsidR="00DD6B55" w:rsidRDefault="00DD6B55" w:rsidP="00124A51">
      <w:r>
        <w:separator/>
      </w:r>
    </w:p>
    <w:p w14:paraId="64F24636" w14:textId="77777777" w:rsidR="00DD6B55" w:rsidRDefault="00DD6B55"/>
  </w:footnote>
  <w:footnote w:type="continuationSeparator" w:id="0">
    <w:p w14:paraId="6A88D917" w14:textId="77777777" w:rsidR="00DD6B55" w:rsidRDefault="00DD6B55" w:rsidP="00124A51">
      <w:r>
        <w:continuationSeparator/>
      </w:r>
    </w:p>
    <w:p w14:paraId="1EFD483C" w14:textId="77777777" w:rsidR="00DD6B55" w:rsidRDefault="00DD6B55"/>
  </w:footnote>
  <w:footnote w:type="continuationNotice" w:id="1">
    <w:p w14:paraId="37B1082B" w14:textId="77777777" w:rsidR="00DD6B55" w:rsidRDefault="00DD6B55"/>
  </w:footnote>
  <w:footnote w:id="2">
    <w:p w14:paraId="001D4073" w14:textId="77777777" w:rsidR="00DD6B55" w:rsidRPr="00D555A6" w:rsidRDefault="00DD6B55">
      <w:pPr>
        <w:pStyle w:val="FootnoteText"/>
        <w:rPr>
          <w:lang w:val="en-US"/>
        </w:rPr>
      </w:pPr>
      <w:r>
        <w:rPr>
          <w:rStyle w:val="FootnoteReference"/>
        </w:rPr>
        <w:footnoteRef/>
      </w:r>
      <w:r>
        <w:t xml:space="preserve"> </w:t>
      </w:r>
      <w:r w:rsidRPr="005202DB">
        <w:rPr>
          <w:rFonts w:ascii="Arial Narrow" w:hAnsi="Arial Narrow"/>
          <w:snapToGrid w:val="0"/>
          <w:sz w:val="18"/>
          <w:szCs w:val="22"/>
        </w:rPr>
        <w:t>Laron Z. Lessons from 50 years of study of Laron syndrome. Endocrine Practice. 2015 Dec 1;21(12):1395-402.</w:t>
      </w:r>
    </w:p>
  </w:footnote>
  <w:footnote w:id="3">
    <w:p w14:paraId="7D3E1D6B" w14:textId="77777777" w:rsidR="00DD6B55" w:rsidRPr="00510D99" w:rsidRDefault="00DD6B55" w:rsidP="006C04DF">
      <w:pPr>
        <w:pStyle w:val="TableFigureFooter"/>
      </w:pPr>
      <w:r>
        <w:rPr>
          <w:rStyle w:val="FootnoteReference"/>
          <w:rFonts w:eastAsia="SimSun"/>
        </w:rPr>
        <w:footnoteRef/>
      </w:r>
      <w:r w:rsidRPr="00F60B43">
        <w:t xml:space="preserve"> Anderson LJ, Tamayose JM, </w:t>
      </w:r>
      <w:r>
        <w:t>et al. (2018).</w:t>
      </w:r>
      <w:r w:rsidRPr="00F60B43">
        <w:t xml:space="preserve"> </w:t>
      </w:r>
      <w:r w:rsidRPr="00510D99">
        <w:t>Use of growth hormone, IGF-I, and insulin for anabolic purpose: Pharmacological basis, methods of detection, and adverse effects. Mol Cell Endocrinol. 15;464:</w:t>
      </w:r>
      <w:r>
        <w:t xml:space="preserve"> pp</w:t>
      </w:r>
      <w:r w:rsidRPr="00510D99">
        <w:t>65-74.</w:t>
      </w:r>
    </w:p>
  </w:footnote>
  <w:footnote w:id="4">
    <w:p w14:paraId="52FB8111" w14:textId="77777777" w:rsidR="00DD6B55" w:rsidRPr="00BE2436" w:rsidRDefault="00DD6B55" w:rsidP="00A167A4">
      <w:pPr>
        <w:pStyle w:val="FootnoteText"/>
        <w:rPr>
          <w:lang w:val="en-US"/>
        </w:rPr>
      </w:pPr>
      <w:r>
        <w:rPr>
          <w:rStyle w:val="FootnoteReference"/>
        </w:rPr>
        <w:footnoteRef/>
      </w:r>
      <w:r>
        <w:t xml:space="preserve"> </w:t>
      </w:r>
      <w:r w:rsidRPr="00BE2436">
        <w:t>Christensen TL, Djurhuus CB, Clayton P, Christiansen JS. An evaluation of the relationship between adult height and health‐related quality of life in the general UK population. Clinical endocrinology. 2007 Sep;67(3):407-12.</w:t>
      </w:r>
    </w:p>
  </w:footnote>
  <w:footnote w:id="5">
    <w:p w14:paraId="15934052" w14:textId="77777777" w:rsidR="00DD6B55" w:rsidRDefault="00DD6B55">
      <w:pPr>
        <w:pStyle w:val="FootnoteText"/>
      </w:pPr>
      <w:r>
        <w:rPr>
          <w:rStyle w:val="FootnoteReference"/>
        </w:rPr>
        <w:footnoteRef/>
      </w:r>
      <w:r>
        <w:t xml:space="preserve"> </w:t>
      </w:r>
      <w:r w:rsidRPr="00AC064E">
        <w:t>Silva N, Bullinger M, Quitmann J, Ravens-Sieberer U, Rohenkohl A; QoLISSY Group. HRQoL of European children and adolescents with short stature as assessed with generic (KIDSCREEN) and chronic-generic (DISABKIDS) instruments. Expert Rev Pharmacoecon Outcomes Res. 2013 Dec;</w:t>
      </w:r>
      <w:r>
        <w:t>13(6):817-27.</w:t>
      </w:r>
    </w:p>
  </w:footnote>
  <w:footnote w:id="6">
    <w:p w14:paraId="4D1746C8" w14:textId="77777777" w:rsidR="00DD6B55" w:rsidRDefault="00DD6B55">
      <w:pPr>
        <w:pStyle w:val="FootnoteText"/>
      </w:pPr>
      <w:r>
        <w:rPr>
          <w:rStyle w:val="FootnoteReference"/>
        </w:rPr>
        <w:footnoteRef/>
      </w:r>
      <w:r>
        <w:t xml:space="preserve"> Laron Z. Lessons from 50 years of study of Laron syndrome. Endocrine Practice. 2015 Dec 1;21(12):1395-402.</w:t>
      </w:r>
    </w:p>
  </w:footnote>
  <w:footnote w:id="7">
    <w:p w14:paraId="11033AF4" w14:textId="77777777" w:rsidR="00DD6B55" w:rsidRPr="00AE4412" w:rsidRDefault="00DD6B55" w:rsidP="00AE4412">
      <w:pPr>
        <w:pStyle w:val="FootnoteText"/>
        <w:jc w:val="left"/>
        <w:rPr>
          <w:lang w:val="en-GB"/>
        </w:rPr>
      </w:pPr>
      <w:r>
        <w:rPr>
          <w:rStyle w:val="FootnoteReference"/>
        </w:rPr>
        <w:footnoteRef/>
      </w:r>
      <w:r>
        <w:t xml:space="preserve"> </w:t>
      </w:r>
      <w:r w:rsidRPr="00AE4412">
        <w:t>https://www.orpha.net/consor/cgi-bin/OC_Exp.php?lng=EN&amp;Expert=633</w:t>
      </w:r>
    </w:p>
    <w:p w14:paraId="43F96361" w14:textId="77777777" w:rsidR="00DD6B55" w:rsidRDefault="00DD6B55" w:rsidP="00AE44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D86D" w14:textId="77777777" w:rsidR="00DD6B55" w:rsidRPr="00B432CF" w:rsidRDefault="00DD6B55" w:rsidP="00B432CF">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p>
  <w:p w14:paraId="5BF872B0" w14:textId="77777777" w:rsidR="00DD6B55" w:rsidRPr="00E81A00" w:rsidRDefault="00DD6B55" w:rsidP="00E81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A053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B37222"/>
    <w:multiLevelType w:val="multilevel"/>
    <w:tmpl w:val="C534F5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4605F"/>
    <w:multiLevelType w:val="hybridMultilevel"/>
    <w:tmpl w:val="BE1EF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2A01DB"/>
    <w:multiLevelType w:val="multilevel"/>
    <w:tmpl w:val="B50AC2DE"/>
    <w:lvl w:ilvl="0">
      <w:start w:val="1"/>
      <w:numFmt w:val="decimal"/>
      <w:lvlText w:val="%1."/>
      <w:lvlJc w:val="left"/>
      <w:pPr>
        <w:ind w:left="720" w:hanging="720"/>
      </w:pPr>
      <w:rPr>
        <w:rFonts w:hint="default"/>
        <w:b w:val="0"/>
        <w:bCs/>
        <w:i w:val="0"/>
        <w:iCs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E79EF"/>
    <w:multiLevelType w:val="hybridMultilevel"/>
    <w:tmpl w:val="53EE4B74"/>
    <w:lvl w:ilvl="0" w:tplc="F580CBE8">
      <w:start w:val="1"/>
      <w:numFmt w:val="decimal"/>
      <w:lvlText w:val="%1."/>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556E7"/>
    <w:multiLevelType w:val="hybridMultilevel"/>
    <w:tmpl w:val="655A9F0C"/>
    <w:lvl w:ilvl="0" w:tplc="F580CBE8">
      <w:start w:val="1"/>
      <w:numFmt w:val="decimal"/>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6650CB"/>
    <w:multiLevelType w:val="hybridMultilevel"/>
    <w:tmpl w:val="41ACDB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C67E3E"/>
    <w:multiLevelType w:val="hybridMultilevel"/>
    <w:tmpl w:val="7EAC18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AD264B"/>
    <w:multiLevelType w:val="hybridMultilevel"/>
    <w:tmpl w:val="8264D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B54AB9"/>
    <w:multiLevelType w:val="hybridMultilevel"/>
    <w:tmpl w:val="AAAAB5D6"/>
    <w:lvl w:ilvl="0" w:tplc="4296F0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C44239"/>
    <w:multiLevelType w:val="hybridMultilevel"/>
    <w:tmpl w:val="9946B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30829"/>
    <w:multiLevelType w:val="hybridMultilevel"/>
    <w:tmpl w:val="691CD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D10ADE"/>
    <w:multiLevelType w:val="multilevel"/>
    <w:tmpl w:val="C534F5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B462BF"/>
    <w:multiLevelType w:val="hybridMultilevel"/>
    <w:tmpl w:val="17FE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067446"/>
    <w:multiLevelType w:val="hybridMultilevel"/>
    <w:tmpl w:val="FF389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203E44"/>
    <w:multiLevelType w:val="hybridMultilevel"/>
    <w:tmpl w:val="417C83FE"/>
    <w:lvl w:ilvl="0" w:tplc="2FC8739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D45DB2"/>
    <w:multiLevelType w:val="hybridMultilevel"/>
    <w:tmpl w:val="768C4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5"/>
  </w:num>
  <w:num w:numId="3">
    <w:abstractNumId w:val="6"/>
  </w:num>
  <w:num w:numId="4">
    <w:abstractNumId w:val="0"/>
  </w:num>
  <w:num w:numId="5">
    <w:abstractNumId w:val="18"/>
  </w:num>
  <w:num w:numId="6">
    <w:abstractNumId w:val="12"/>
  </w:num>
  <w:num w:numId="7">
    <w:abstractNumId w:val="3"/>
  </w:num>
  <w:num w:numId="8">
    <w:abstractNumId w:val="10"/>
  </w:num>
  <w:num w:numId="9">
    <w:abstractNumId w:val="17"/>
  </w:num>
  <w:num w:numId="10">
    <w:abstractNumId w:val="1"/>
  </w:num>
  <w:num w:numId="11">
    <w:abstractNumId w:val="14"/>
  </w:num>
  <w:num w:numId="12">
    <w:abstractNumId w:val="16"/>
  </w:num>
  <w:num w:numId="13">
    <w:abstractNumId w:val="7"/>
  </w:num>
  <w:num w:numId="14">
    <w:abstractNumId w:val="11"/>
  </w:num>
  <w:num w:numId="15">
    <w:abstractNumId w:val="4"/>
  </w:num>
  <w:num w:numId="16">
    <w:abstractNumId w:val="8"/>
  </w:num>
  <w:num w:numId="17">
    <w:abstractNumId w:val="19"/>
  </w:num>
  <w:num w:numId="18">
    <w:abstractNumId w:val="15"/>
  </w:num>
  <w:num w:numId="19">
    <w:abstractNumId w:val="2"/>
  </w:num>
  <w:num w:numId="20">
    <w:abstractNumId w:val="13"/>
  </w:num>
  <w:num w:numId="21">
    <w:abstractNumId w:val="9"/>
  </w:num>
  <w:num w:numId="22">
    <w:abstractNumId w:val="19"/>
  </w:num>
  <w:num w:numId="23">
    <w:abstractNumId w:val="19"/>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s-CL"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DSqBQBGnSx9LgAAAA=="/>
  </w:docVars>
  <w:rsids>
    <w:rsidRoot w:val="00E65E79"/>
    <w:rsid w:val="00000790"/>
    <w:rsid w:val="000008AF"/>
    <w:rsid w:val="00000C8D"/>
    <w:rsid w:val="0000110B"/>
    <w:rsid w:val="00001DA5"/>
    <w:rsid w:val="00002521"/>
    <w:rsid w:val="00003499"/>
    <w:rsid w:val="0000363A"/>
    <w:rsid w:val="000039B7"/>
    <w:rsid w:val="0000639A"/>
    <w:rsid w:val="00010A1B"/>
    <w:rsid w:val="00013247"/>
    <w:rsid w:val="00013F98"/>
    <w:rsid w:val="00014680"/>
    <w:rsid w:val="00015886"/>
    <w:rsid w:val="000162EF"/>
    <w:rsid w:val="000166FA"/>
    <w:rsid w:val="00017CFC"/>
    <w:rsid w:val="0002077D"/>
    <w:rsid w:val="000207C9"/>
    <w:rsid w:val="000211F4"/>
    <w:rsid w:val="000219E3"/>
    <w:rsid w:val="0002225F"/>
    <w:rsid w:val="00022974"/>
    <w:rsid w:val="00022BA5"/>
    <w:rsid w:val="00023763"/>
    <w:rsid w:val="000238F5"/>
    <w:rsid w:val="00024DDA"/>
    <w:rsid w:val="00025D9E"/>
    <w:rsid w:val="0002649C"/>
    <w:rsid w:val="000274B8"/>
    <w:rsid w:val="00030332"/>
    <w:rsid w:val="00031643"/>
    <w:rsid w:val="000329F1"/>
    <w:rsid w:val="00033863"/>
    <w:rsid w:val="00035DC0"/>
    <w:rsid w:val="00035E09"/>
    <w:rsid w:val="00036829"/>
    <w:rsid w:val="000376EA"/>
    <w:rsid w:val="00037ADB"/>
    <w:rsid w:val="00037C6F"/>
    <w:rsid w:val="00037CC4"/>
    <w:rsid w:val="00040338"/>
    <w:rsid w:val="00040895"/>
    <w:rsid w:val="00040D96"/>
    <w:rsid w:val="000420F5"/>
    <w:rsid w:val="0004312D"/>
    <w:rsid w:val="000435EE"/>
    <w:rsid w:val="00043C37"/>
    <w:rsid w:val="000443BD"/>
    <w:rsid w:val="00045017"/>
    <w:rsid w:val="000456F2"/>
    <w:rsid w:val="00045A2B"/>
    <w:rsid w:val="0004698F"/>
    <w:rsid w:val="00046A88"/>
    <w:rsid w:val="000501AD"/>
    <w:rsid w:val="00051698"/>
    <w:rsid w:val="00051AC9"/>
    <w:rsid w:val="000534C3"/>
    <w:rsid w:val="000539D0"/>
    <w:rsid w:val="00053FD3"/>
    <w:rsid w:val="0005438C"/>
    <w:rsid w:val="00054621"/>
    <w:rsid w:val="000546D7"/>
    <w:rsid w:val="000566B5"/>
    <w:rsid w:val="00056E46"/>
    <w:rsid w:val="00056ECF"/>
    <w:rsid w:val="00060251"/>
    <w:rsid w:val="000604DF"/>
    <w:rsid w:val="00061EBF"/>
    <w:rsid w:val="00062F81"/>
    <w:rsid w:val="00063690"/>
    <w:rsid w:val="00063745"/>
    <w:rsid w:val="000653B5"/>
    <w:rsid w:val="00065DE4"/>
    <w:rsid w:val="00066360"/>
    <w:rsid w:val="00066AF8"/>
    <w:rsid w:val="00070775"/>
    <w:rsid w:val="00071248"/>
    <w:rsid w:val="000720B9"/>
    <w:rsid w:val="00073565"/>
    <w:rsid w:val="00073735"/>
    <w:rsid w:val="000737F7"/>
    <w:rsid w:val="0007425D"/>
    <w:rsid w:val="00075E64"/>
    <w:rsid w:val="0007672F"/>
    <w:rsid w:val="00076B54"/>
    <w:rsid w:val="000774F0"/>
    <w:rsid w:val="00080909"/>
    <w:rsid w:val="000812CA"/>
    <w:rsid w:val="0008145A"/>
    <w:rsid w:val="00081B6A"/>
    <w:rsid w:val="00081E63"/>
    <w:rsid w:val="00082309"/>
    <w:rsid w:val="0008258D"/>
    <w:rsid w:val="00083E99"/>
    <w:rsid w:val="00084FA8"/>
    <w:rsid w:val="000856C5"/>
    <w:rsid w:val="00085C31"/>
    <w:rsid w:val="00087047"/>
    <w:rsid w:val="000902D9"/>
    <w:rsid w:val="00090C7E"/>
    <w:rsid w:val="00091934"/>
    <w:rsid w:val="00092600"/>
    <w:rsid w:val="0009262B"/>
    <w:rsid w:val="0009313E"/>
    <w:rsid w:val="00093310"/>
    <w:rsid w:val="000933DB"/>
    <w:rsid w:val="00094223"/>
    <w:rsid w:val="000942D0"/>
    <w:rsid w:val="0009445C"/>
    <w:rsid w:val="00095200"/>
    <w:rsid w:val="00095864"/>
    <w:rsid w:val="00095FE5"/>
    <w:rsid w:val="00096284"/>
    <w:rsid w:val="00096DE4"/>
    <w:rsid w:val="000A0379"/>
    <w:rsid w:val="000A1BC0"/>
    <w:rsid w:val="000A1E45"/>
    <w:rsid w:val="000A6039"/>
    <w:rsid w:val="000A7453"/>
    <w:rsid w:val="000A7D08"/>
    <w:rsid w:val="000B0121"/>
    <w:rsid w:val="000B0670"/>
    <w:rsid w:val="000B0E75"/>
    <w:rsid w:val="000B130E"/>
    <w:rsid w:val="000B16FC"/>
    <w:rsid w:val="000B2DCB"/>
    <w:rsid w:val="000B5232"/>
    <w:rsid w:val="000B54F7"/>
    <w:rsid w:val="000B5CE0"/>
    <w:rsid w:val="000B631A"/>
    <w:rsid w:val="000B6826"/>
    <w:rsid w:val="000B6CAC"/>
    <w:rsid w:val="000B7612"/>
    <w:rsid w:val="000B78AE"/>
    <w:rsid w:val="000C1D26"/>
    <w:rsid w:val="000C24B5"/>
    <w:rsid w:val="000C3987"/>
    <w:rsid w:val="000C3DD4"/>
    <w:rsid w:val="000C3DF9"/>
    <w:rsid w:val="000C5A84"/>
    <w:rsid w:val="000C6713"/>
    <w:rsid w:val="000D0513"/>
    <w:rsid w:val="000D072B"/>
    <w:rsid w:val="000D1BFC"/>
    <w:rsid w:val="000D1D5D"/>
    <w:rsid w:val="000D281A"/>
    <w:rsid w:val="000D2848"/>
    <w:rsid w:val="000D326A"/>
    <w:rsid w:val="000D35B1"/>
    <w:rsid w:val="000D51FB"/>
    <w:rsid w:val="000D58DF"/>
    <w:rsid w:val="000D6247"/>
    <w:rsid w:val="000D7915"/>
    <w:rsid w:val="000E0640"/>
    <w:rsid w:val="000E135D"/>
    <w:rsid w:val="000E1FD4"/>
    <w:rsid w:val="000E23E8"/>
    <w:rsid w:val="000E47E9"/>
    <w:rsid w:val="000E4E5B"/>
    <w:rsid w:val="000E4E74"/>
    <w:rsid w:val="000E713E"/>
    <w:rsid w:val="000F00BA"/>
    <w:rsid w:val="000F1D2B"/>
    <w:rsid w:val="000F2712"/>
    <w:rsid w:val="000F2831"/>
    <w:rsid w:val="000F316A"/>
    <w:rsid w:val="000F3C74"/>
    <w:rsid w:val="000F3E34"/>
    <w:rsid w:val="000F404F"/>
    <w:rsid w:val="000F4BB8"/>
    <w:rsid w:val="000F4FA9"/>
    <w:rsid w:val="000F53FB"/>
    <w:rsid w:val="000F7127"/>
    <w:rsid w:val="000F7B54"/>
    <w:rsid w:val="0010034B"/>
    <w:rsid w:val="0010043C"/>
    <w:rsid w:val="00100F8A"/>
    <w:rsid w:val="00103654"/>
    <w:rsid w:val="001044E5"/>
    <w:rsid w:val="0010452E"/>
    <w:rsid w:val="001053D7"/>
    <w:rsid w:val="00105AE2"/>
    <w:rsid w:val="001060C6"/>
    <w:rsid w:val="00106B80"/>
    <w:rsid w:val="0011032E"/>
    <w:rsid w:val="00110529"/>
    <w:rsid w:val="0011348B"/>
    <w:rsid w:val="00115982"/>
    <w:rsid w:val="00116035"/>
    <w:rsid w:val="001160CA"/>
    <w:rsid w:val="00116C53"/>
    <w:rsid w:val="00116DA6"/>
    <w:rsid w:val="00120423"/>
    <w:rsid w:val="001209CD"/>
    <w:rsid w:val="0012160A"/>
    <w:rsid w:val="00121799"/>
    <w:rsid w:val="00121EE1"/>
    <w:rsid w:val="001222FC"/>
    <w:rsid w:val="00122812"/>
    <w:rsid w:val="001230D4"/>
    <w:rsid w:val="00123902"/>
    <w:rsid w:val="00123FBB"/>
    <w:rsid w:val="00124A51"/>
    <w:rsid w:val="0012516C"/>
    <w:rsid w:val="001257B6"/>
    <w:rsid w:val="00126621"/>
    <w:rsid w:val="00126B1D"/>
    <w:rsid w:val="00127AD5"/>
    <w:rsid w:val="001301E9"/>
    <w:rsid w:val="00131BF9"/>
    <w:rsid w:val="00131D37"/>
    <w:rsid w:val="00131D82"/>
    <w:rsid w:val="00132B22"/>
    <w:rsid w:val="00133D36"/>
    <w:rsid w:val="0013436A"/>
    <w:rsid w:val="0013516F"/>
    <w:rsid w:val="00135C41"/>
    <w:rsid w:val="001370C7"/>
    <w:rsid w:val="00137645"/>
    <w:rsid w:val="0014015A"/>
    <w:rsid w:val="00140E99"/>
    <w:rsid w:val="00141952"/>
    <w:rsid w:val="00143F67"/>
    <w:rsid w:val="00145540"/>
    <w:rsid w:val="001456B0"/>
    <w:rsid w:val="001472E4"/>
    <w:rsid w:val="00147C4C"/>
    <w:rsid w:val="00152F01"/>
    <w:rsid w:val="00153CBF"/>
    <w:rsid w:val="0015462A"/>
    <w:rsid w:val="001557D8"/>
    <w:rsid w:val="00156F8F"/>
    <w:rsid w:val="00157130"/>
    <w:rsid w:val="001572AB"/>
    <w:rsid w:val="001576B1"/>
    <w:rsid w:val="001579C4"/>
    <w:rsid w:val="0016047B"/>
    <w:rsid w:val="001606F0"/>
    <w:rsid w:val="00160A4C"/>
    <w:rsid w:val="00160A5D"/>
    <w:rsid w:val="00162913"/>
    <w:rsid w:val="00163EFF"/>
    <w:rsid w:val="00163F66"/>
    <w:rsid w:val="00164DF0"/>
    <w:rsid w:val="001661FB"/>
    <w:rsid w:val="001671A0"/>
    <w:rsid w:val="0016767F"/>
    <w:rsid w:val="001710C9"/>
    <w:rsid w:val="00171113"/>
    <w:rsid w:val="00171ABE"/>
    <w:rsid w:val="00173565"/>
    <w:rsid w:val="00173B07"/>
    <w:rsid w:val="00174264"/>
    <w:rsid w:val="00175035"/>
    <w:rsid w:val="001751FA"/>
    <w:rsid w:val="00175A41"/>
    <w:rsid w:val="00175B34"/>
    <w:rsid w:val="001761E4"/>
    <w:rsid w:val="001769CE"/>
    <w:rsid w:val="001775F4"/>
    <w:rsid w:val="00181D9C"/>
    <w:rsid w:val="00184B0E"/>
    <w:rsid w:val="0018574D"/>
    <w:rsid w:val="00186F90"/>
    <w:rsid w:val="0018701C"/>
    <w:rsid w:val="0018752F"/>
    <w:rsid w:val="00191AC2"/>
    <w:rsid w:val="00191B9B"/>
    <w:rsid w:val="001936E2"/>
    <w:rsid w:val="00193838"/>
    <w:rsid w:val="00193FD4"/>
    <w:rsid w:val="00194AD8"/>
    <w:rsid w:val="00195222"/>
    <w:rsid w:val="00196D9D"/>
    <w:rsid w:val="001975D8"/>
    <w:rsid w:val="001A178E"/>
    <w:rsid w:val="001A1A70"/>
    <w:rsid w:val="001A3E74"/>
    <w:rsid w:val="001A43FA"/>
    <w:rsid w:val="001A47C5"/>
    <w:rsid w:val="001A48FB"/>
    <w:rsid w:val="001A59FB"/>
    <w:rsid w:val="001A5E9E"/>
    <w:rsid w:val="001A6354"/>
    <w:rsid w:val="001A6366"/>
    <w:rsid w:val="001A6715"/>
    <w:rsid w:val="001A79BF"/>
    <w:rsid w:val="001A7AE8"/>
    <w:rsid w:val="001B1058"/>
    <w:rsid w:val="001B138A"/>
    <w:rsid w:val="001B19C9"/>
    <w:rsid w:val="001B1DC8"/>
    <w:rsid w:val="001B204E"/>
    <w:rsid w:val="001B2372"/>
    <w:rsid w:val="001B2A35"/>
    <w:rsid w:val="001B2B2E"/>
    <w:rsid w:val="001B303C"/>
    <w:rsid w:val="001B3443"/>
    <w:rsid w:val="001B4D20"/>
    <w:rsid w:val="001B5157"/>
    <w:rsid w:val="001B7B6E"/>
    <w:rsid w:val="001C0007"/>
    <w:rsid w:val="001C2A9B"/>
    <w:rsid w:val="001C2E01"/>
    <w:rsid w:val="001C4120"/>
    <w:rsid w:val="001C4299"/>
    <w:rsid w:val="001C4874"/>
    <w:rsid w:val="001C5820"/>
    <w:rsid w:val="001C5F94"/>
    <w:rsid w:val="001C6E66"/>
    <w:rsid w:val="001C7987"/>
    <w:rsid w:val="001D051B"/>
    <w:rsid w:val="001D1100"/>
    <w:rsid w:val="001D1391"/>
    <w:rsid w:val="001D2128"/>
    <w:rsid w:val="001D25D7"/>
    <w:rsid w:val="001D318D"/>
    <w:rsid w:val="001D439A"/>
    <w:rsid w:val="001D4E9E"/>
    <w:rsid w:val="001D50B2"/>
    <w:rsid w:val="001D6CDE"/>
    <w:rsid w:val="001D6DBA"/>
    <w:rsid w:val="001D7645"/>
    <w:rsid w:val="001D7FB7"/>
    <w:rsid w:val="001E181A"/>
    <w:rsid w:val="001E1E86"/>
    <w:rsid w:val="001E2132"/>
    <w:rsid w:val="001E238E"/>
    <w:rsid w:val="001E2483"/>
    <w:rsid w:val="001E2B1E"/>
    <w:rsid w:val="001E2CFF"/>
    <w:rsid w:val="001E2F24"/>
    <w:rsid w:val="001E30D4"/>
    <w:rsid w:val="001E34DF"/>
    <w:rsid w:val="001E4FD8"/>
    <w:rsid w:val="001E52EB"/>
    <w:rsid w:val="001E61D2"/>
    <w:rsid w:val="001E6352"/>
    <w:rsid w:val="001E6B12"/>
    <w:rsid w:val="001E740C"/>
    <w:rsid w:val="001F1235"/>
    <w:rsid w:val="001F1CB3"/>
    <w:rsid w:val="001F1D47"/>
    <w:rsid w:val="001F38B5"/>
    <w:rsid w:val="001F38D9"/>
    <w:rsid w:val="001F3EA9"/>
    <w:rsid w:val="001F4081"/>
    <w:rsid w:val="001F488B"/>
    <w:rsid w:val="001F4CBC"/>
    <w:rsid w:val="001F7361"/>
    <w:rsid w:val="00200C01"/>
    <w:rsid w:val="002011B0"/>
    <w:rsid w:val="00201B07"/>
    <w:rsid w:val="00201FB7"/>
    <w:rsid w:val="00203181"/>
    <w:rsid w:val="002035DE"/>
    <w:rsid w:val="002036D9"/>
    <w:rsid w:val="00203783"/>
    <w:rsid w:val="0020385F"/>
    <w:rsid w:val="0020397C"/>
    <w:rsid w:val="002068A0"/>
    <w:rsid w:val="00206E88"/>
    <w:rsid w:val="00207021"/>
    <w:rsid w:val="002071A9"/>
    <w:rsid w:val="0020732F"/>
    <w:rsid w:val="002076F6"/>
    <w:rsid w:val="00207D00"/>
    <w:rsid w:val="002105C1"/>
    <w:rsid w:val="0021124F"/>
    <w:rsid w:val="002115E8"/>
    <w:rsid w:val="00212F9C"/>
    <w:rsid w:val="00213EF5"/>
    <w:rsid w:val="0021429E"/>
    <w:rsid w:val="00215057"/>
    <w:rsid w:val="002153A1"/>
    <w:rsid w:val="00216BF5"/>
    <w:rsid w:val="00221B07"/>
    <w:rsid w:val="00221C7E"/>
    <w:rsid w:val="00222E41"/>
    <w:rsid w:val="00222F23"/>
    <w:rsid w:val="00223B49"/>
    <w:rsid w:val="00223D5A"/>
    <w:rsid w:val="00223E66"/>
    <w:rsid w:val="00224336"/>
    <w:rsid w:val="00224DD4"/>
    <w:rsid w:val="00225001"/>
    <w:rsid w:val="002269E9"/>
    <w:rsid w:val="00226E2E"/>
    <w:rsid w:val="002278A0"/>
    <w:rsid w:val="00227951"/>
    <w:rsid w:val="00227D47"/>
    <w:rsid w:val="002309CC"/>
    <w:rsid w:val="00230F0D"/>
    <w:rsid w:val="0023209F"/>
    <w:rsid w:val="002325D6"/>
    <w:rsid w:val="00233C01"/>
    <w:rsid w:val="0023413C"/>
    <w:rsid w:val="002346F0"/>
    <w:rsid w:val="0023483F"/>
    <w:rsid w:val="002357CE"/>
    <w:rsid w:val="00235A10"/>
    <w:rsid w:val="0023629D"/>
    <w:rsid w:val="00237255"/>
    <w:rsid w:val="002374D6"/>
    <w:rsid w:val="002410B0"/>
    <w:rsid w:val="002414AE"/>
    <w:rsid w:val="00241BEE"/>
    <w:rsid w:val="002424AF"/>
    <w:rsid w:val="002439DC"/>
    <w:rsid w:val="002441D2"/>
    <w:rsid w:val="00244A59"/>
    <w:rsid w:val="00244DC8"/>
    <w:rsid w:val="00245095"/>
    <w:rsid w:val="002458BA"/>
    <w:rsid w:val="00245CE9"/>
    <w:rsid w:val="0024627D"/>
    <w:rsid w:val="0024636C"/>
    <w:rsid w:val="00247925"/>
    <w:rsid w:val="00247A6E"/>
    <w:rsid w:val="00247C59"/>
    <w:rsid w:val="0025047D"/>
    <w:rsid w:val="00250777"/>
    <w:rsid w:val="00251006"/>
    <w:rsid w:val="002524D5"/>
    <w:rsid w:val="0025370B"/>
    <w:rsid w:val="00253B1D"/>
    <w:rsid w:val="00254DCF"/>
    <w:rsid w:val="0025534B"/>
    <w:rsid w:val="00255BB7"/>
    <w:rsid w:val="00257541"/>
    <w:rsid w:val="00257A39"/>
    <w:rsid w:val="00257AC4"/>
    <w:rsid w:val="002618D3"/>
    <w:rsid w:val="00261EEF"/>
    <w:rsid w:val="00262A1A"/>
    <w:rsid w:val="00262A87"/>
    <w:rsid w:val="00264D26"/>
    <w:rsid w:val="0026616A"/>
    <w:rsid w:val="002673EB"/>
    <w:rsid w:val="00267642"/>
    <w:rsid w:val="00267AEA"/>
    <w:rsid w:val="002700E6"/>
    <w:rsid w:val="002707AA"/>
    <w:rsid w:val="0027161A"/>
    <w:rsid w:val="0027264A"/>
    <w:rsid w:val="0027294B"/>
    <w:rsid w:val="00273003"/>
    <w:rsid w:val="00273EB4"/>
    <w:rsid w:val="00274682"/>
    <w:rsid w:val="00274EFA"/>
    <w:rsid w:val="00275637"/>
    <w:rsid w:val="00275C5A"/>
    <w:rsid w:val="00275EB4"/>
    <w:rsid w:val="00276576"/>
    <w:rsid w:val="00280321"/>
    <w:rsid w:val="00281014"/>
    <w:rsid w:val="0028107D"/>
    <w:rsid w:val="00281383"/>
    <w:rsid w:val="00282F51"/>
    <w:rsid w:val="00285A3D"/>
    <w:rsid w:val="0028665D"/>
    <w:rsid w:val="00286727"/>
    <w:rsid w:val="00286D58"/>
    <w:rsid w:val="0029077E"/>
    <w:rsid w:val="00290FE5"/>
    <w:rsid w:val="00293399"/>
    <w:rsid w:val="002942F2"/>
    <w:rsid w:val="00294757"/>
    <w:rsid w:val="00295A43"/>
    <w:rsid w:val="002A14AB"/>
    <w:rsid w:val="002A2ADE"/>
    <w:rsid w:val="002A2F50"/>
    <w:rsid w:val="002A3201"/>
    <w:rsid w:val="002A4223"/>
    <w:rsid w:val="002A4318"/>
    <w:rsid w:val="002A74EB"/>
    <w:rsid w:val="002B05A1"/>
    <w:rsid w:val="002B09A4"/>
    <w:rsid w:val="002B0BE0"/>
    <w:rsid w:val="002B161F"/>
    <w:rsid w:val="002B1C1F"/>
    <w:rsid w:val="002B2421"/>
    <w:rsid w:val="002B2DB7"/>
    <w:rsid w:val="002B3E4C"/>
    <w:rsid w:val="002B432F"/>
    <w:rsid w:val="002B565B"/>
    <w:rsid w:val="002B62B3"/>
    <w:rsid w:val="002B6754"/>
    <w:rsid w:val="002B6CCE"/>
    <w:rsid w:val="002B7490"/>
    <w:rsid w:val="002B7C25"/>
    <w:rsid w:val="002C042E"/>
    <w:rsid w:val="002C0742"/>
    <w:rsid w:val="002C138C"/>
    <w:rsid w:val="002C2510"/>
    <w:rsid w:val="002C2775"/>
    <w:rsid w:val="002C27C1"/>
    <w:rsid w:val="002C5099"/>
    <w:rsid w:val="002C5889"/>
    <w:rsid w:val="002C624F"/>
    <w:rsid w:val="002C62BB"/>
    <w:rsid w:val="002C71CE"/>
    <w:rsid w:val="002C73B7"/>
    <w:rsid w:val="002C77BC"/>
    <w:rsid w:val="002D08F8"/>
    <w:rsid w:val="002D2B9D"/>
    <w:rsid w:val="002D3A1B"/>
    <w:rsid w:val="002D50BB"/>
    <w:rsid w:val="002D577C"/>
    <w:rsid w:val="002D7744"/>
    <w:rsid w:val="002E0291"/>
    <w:rsid w:val="002E0496"/>
    <w:rsid w:val="002E1071"/>
    <w:rsid w:val="002E15B9"/>
    <w:rsid w:val="002E2158"/>
    <w:rsid w:val="002E34B2"/>
    <w:rsid w:val="002E4F02"/>
    <w:rsid w:val="002E7722"/>
    <w:rsid w:val="002F0454"/>
    <w:rsid w:val="002F07BA"/>
    <w:rsid w:val="002F0DA9"/>
    <w:rsid w:val="002F1014"/>
    <w:rsid w:val="002F1E26"/>
    <w:rsid w:val="002F384B"/>
    <w:rsid w:val="002F4107"/>
    <w:rsid w:val="002F416C"/>
    <w:rsid w:val="002F643C"/>
    <w:rsid w:val="002F6B23"/>
    <w:rsid w:val="002F6EC6"/>
    <w:rsid w:val="002F6F74"/>
    <w:rsid w:val="002F71C0"/>
    <w:rsid w:val="002F74F1"/>
    <w:rsid w:val="00301017"/>
    <w:rsid w:val="0030155F"/>
    <w:rsid w:val="003037B1"/>
    <w:rsid w:val="00303F32"/>
    <w:rsid w:val="0030587B"/>
    <w:rsid w:val="00306D98"/>
    <w:rsid w:val="0030786C"/>
    <w:rsid w:val="00307C81"/>
    <w:rsid w:val="0031031A"/>
    <w:rsid w:val="003103CD"/>
    <w:rsid w:val="00310981"/>
    <w:rsid w:val="003124D9"/>
    <w:rsid w:val="00312594"/>
    <w:rsid w:val="00312A58"/>
    <w:rsid w:val="003140BA"/>
    <w:rsid w:val="00314687"/>
    <w:rsid w:val="00315498"/>
    <w:rsid w:val="00316474"/>
    <w:rsid w:val="00320E07"/>
    <w:rsid w:val="0032200B"/>
    <w:rsid w:val="003220EB"/>
    <w:rsid w:val="00322107"/>
    <w:rsid w:val="00322355"/>
    <w:rsid w:val="00322437"/>
    <w:rsid w:val="00322846"/>
    <w:rsid w:val="00322F54"/>
    <w:rsid w:val="003236F8"/>
    <w:rsid w:val="00323B1A"/>
    <w:rsid w:val="0032609C"/>
    <w:rsid w:val="00326DA7"/>
    <w:rsid w:val="003270E4"/>
    <w:rsid w:val="00330DAA"/>
    <w:rsid w:val="00330F5C"/>
    <w:rsid w:val="00331756"/>
    <w:rsid w:val="00332929"/>
    <w:rsid w:val="003366C9"/>
    <w:rsid w:val="00336D0C"/>
    <w:rsid w:val="003371B0"/>
    <w:rsid w:val="00340DF1"/>
    <w:rsid w:val="00346B07"/>
    <w:rsid w:val="00346B68"/>
    <w:rsid w:val="00350CB4"/>
    <w:rsid w:val="003515B4"/>
    <w:rsid w:val="003517F9"/>
    <w:rsid w:val="00351B93"/>
    <w:rsid w:val="00351BA9"/>
    <w:rsid w:val="003541F4"/>
    <w:rsid w:val="0035432C"/>
    <w:rsid w:val="00354E65"/>
    <w:rsid w:val="00354F64"/>
    <w:rsid w:val="00355734"/>
    <w:rsid w:val="0035620E"/>
    <w:rsid w:val="00356406"/>
    <w:rsid w:val="00356C55"/>
    <w:rsid w:val="00357A4E"/>
    <w:rsid w:val="00357BAB"/>
    <w:rsid w:val="00360345"/>
    <w:rsid w:val="00361A05"/>
    <w:rsid w:val="003624C4"/>
    <w:rsid w:val="00362A5B"/>
    <w:rsid w:val="0036303E"/>
    <w:rsid w:val="003630BB"/>
    <w:rsid w:val="00363B00"/>
    <w:rsid w:val="00364F09"/>
    <w:rsid w:val="003654AC"/>
    <w:rsid w:val="0036573E"/>
    <w:rsid w:val="0036594D"/>
    <w:rsid w:val="00367BBB"/>
    <w:rsid w:val="00367BDB"/>
    <w:rsid w:val="00370C0D"/>
    <w:rsid w:val="0037107F"/>
    <w:rsid w:val="003710CF"/>
    <w:rsid w:val="003724A6"/>
    <w:rsid w:val="0037358A"/>
    <w:rsid w:val="00374B1D"/>
    <w:rsid w:val="003750F6"/>
    <w:rsid w:val="003760FC"/>
    <w:rsid w:val="00381B98"/>
    <w:rsid w:val="0038365C"/>
    <w:rsid w:val="0038369B"/>
    <w:rsid w:val="00383864"/>
    <w:rsid w:val="00383B0D"/>
    <w:rsid w:val="00383B78"/>
    <w:rsid w:val="00385A9D"/>
    <w:rsid w:val="00385B75"/>
    <w:rsid w:val="003902B1"/>
    <w:rsid w:val="0039030D"/>
    <w:rsid w:val="0039158A"/>
    <w:rsid w:val="0039179C"/>
    <w:rsid w:val="003917F0"/>
    <w:rsid w:val="00392587"/>
    <w:rsid w:val="003928A0"/>
    <w:rsid w:val="00392BE9"/>
    <w:rsid w:val="00393AA3"/>
    <w:rsid w:val="003940A0"/>
    <w:rsid w:val="003949F8"/>
    <w:rsid w:val="00395C71"/>
    <w:rsid w:val="00396896"/>
    <w:rsid w:val="00396B61"/>
    <w:rsid w:val="00396FD0"/>
    <w:rsid w:val="003A0C6E"/>
    <w:rsid w:val="003A1A7A"/>
    <w:rsid w:val="003A1D72"/>
    <w:rsid w:val="003A2392"/>
    <w:rsid w:val="003A2831"/>
    <w:rsid w:val="003A3CB6"/>
    <w:rsid w:val="003A3ED1"/>
    <w:rsid w:val="003A4176"/>
    <w:rsid w:val="003A44DB"/>
    <w:rsid w:val="003A643A"/>
    <w:rsid w:val="003B32FE"/>
    <w:rsid w:val="003B3971"/>
    <w:rsid w:val="003B45AC"/>
    <w:rsid w:val="003B55D1"/>
    <w:rsid w:val="003B5B61"/>
    <w:rsid w:val="003B658C"/>
    <w:rsid w:val="003B773B"/>
    <w:rsid w:val="003C0C9E"/>
    <w:rsid w:val="003C1654"/>
    <w:rsid w:val="003C1B03"/>
    <w:rsid w:val="003C1F77"/>
    <w:rsid w:val="003C4578"/>
    <w:rsid w:val="003C49C9"/>
    <w:rsid w:val="003C4E76"/>
    <w:rsid w:val="003C5542"/>
    <w:rsid w:val="003C71A5"/>
    <w:rsid w:val="003C7D19"/>
    <w:rsid w:val="003C7D2F"/>
    <w:rsid w:val="003D003A"/>
    <w:rsid w:val="003D1828"/>
    <w:rsid w:val="003D1DE4"/>
    <w:rsid w:val="003D1E9A"/>
    <w:rsid w:val="003D2422"/>
    <w:rsid w:val="003D3658"/>
    <w:rsid w:val="003D39A1"/>
    <w:rsid w:val="003D3BDC"/>
    <w:rsid w:val="003D3C11"/>
    <w:rsid w:val="003D3FBF"/>
    <w:rsid w:val="003D4495"/>
    <w:rsid w:val="003D4A30"/>
    <w:rsid w:val="003D544A"/>
    <w:rsid w:val="003D5F9D"/>
    <w:rsid w:val="003D7452"/>
    <w:rsid w:val="003D79BB"/>
    <w:rsid w:val="003D7C98"/>
    <w:rsid w:val="003D7D9D"/>
    <w:rsid w:val="003E0543"/>
    <w:rsid w:val="003E0E80"/>
    <w:rsid w:val="003E3F72"/>
    <w:rsid w:val="003E41B6"/>
    <w:rsid w:val="003E5617"/>
    <w:rsid w:val="003E63CB"/>
    <w:rsid w:val="003E6420"/>
    <w:rsid w:val="003E749E"/>
    <w:rsid w:val="003E7794"/>
    <w:rsid w:val="003E7961"/>
    <w:rsid w:val="003F0295"/>
    <w:rsid w:val="003F02A1"/>
    <w:rsid w:val="003F0BF9"/>
    <w:rsid w:val="003F4156"/>
    <w:rsid w:val="003F5ADF"/>
    <w:rsid w:val="003F5E84"/>
    <w:rsid w:val="003F6161"/>
    <w:rsid w:val="003F6417"/>
    <w:rsid w:val="003F7508"/>
    <w:rsid w:val="003F7AAF"/>
    <w:rsid w:val="00400B29"/>
    <w:rsid w:val="00400EC5"/>
    <w:rsid w:val="00403C46"/>
    <w:rsid w:val="0040504B"/>
    <w:rsid w:val="004051F1"/>
    <w:rsid w:val="004059F4"/>
    <w:rsid w:val="0040633A"/>
    <w:rsid w:val="00406D92"/>
    <w:rsid w:val="00407EFC"/>
    <w:rsid w:val="00407FE5"/>
    <w:rsid w:val="004101B0"/>
    <w:rsid w:val="00410326"/>
    <w:rsid w:val="00410708"/>
    <w:rsid w:val="00410EC7"/>
    <w:rsid w:val="00411B39"/>
    <w:rsid w:val="004127A7"/>
    <w:rsid w:val="00412FBD"/>
    <w:rsid w:val="00413487"/>
    <w:rsid w:val="00413A1E"/>
    <w:rsid w:val="00414476"/>
    <w:rsid w:val="00414C2E"/>
    <w:rsid w:val="004151CF"/>
    <w:rsid w:val="00416364"/>
    <w:rsid w:val="0042047F"/>
    <w:rsid w:val="00420AA6"/>
    <w:rsid w:val="00420B9F"/>
    <w:rsid w:val="00421739"/>
    <w:rsid w:val="0042192C"/>
    <w:rsid w:val="00422260"/>
    <w:rsid w:val="0042413F"/>
    <w:rsid w:val="00424927"/>
    <w:rsid w:val="00430326"/>
    <w:rsid w:val="004319F8"/>
    <w:rsid w:val="00431E55"/>
    <w:rsid w:val="004321F6"/>
    <w:rsid w:val="00433044"/>
    <w:rsid w:val="00434088"/>
    <w:rsid w:val="00435E60"/>
    <w:rsid w:val="004360A4"/>
    <w:rsid w:val="004375B9"/>
    <w:rsid w:val="004378BF"/>
    <w:rsid w:val="004428D0"/>
    <w:rsid w:val="00443598"/>
    <w:rsid w:val="00444185"/>
    <w:rsid w:val="004443A7"/>
    <w:rsid w:val="0044442C"/>
    <w:rsid w:val="004444E3"/>
    <w:rsid w:val="00445941"/>
    <w:rsid w:val="004464EB"/>
    <w:rsid w:val="00446DAD"/>
    <w:rsid w:val="00447D26"/>
    <w:rsid w:val="00447DFC"/>
    <w:rsid w:val="00450D83"/>
    <w:rsid w:val="00451013"/>
    <w:rsid w:val="004518F4"/>
    <w:rsid w:val="00451D32"/>
    <w:rsid w:val="0045345D"/>
    <w:rsid w:val="00453CEF"/>
    <w:rsid w:val="00455C93"/>
    <w:rsid w:val="00455D45"/>
    <w:rsid w:val="00455F50"/>
    <w:rsid w:val="004560E7"/>
    <w:rsid w:val="0045753B"/>
    <w:rsid w:val="00461C15"/>
    <w:rsid w:val="0046271C"/>
    <w:rsid w:val="00462E3E"/>
    <w:rsid w:val="00464595"/>
    <w:rsid w:val="00464714"/>
    <w:rsid w:val="004658B5"/>
    <w:rsid w:val="004700A2"/>
    <w:rsid w:val="00471189"/>
    <w:rsid w:val="0047179F"/>
    <w:rsid w:val="00471EA5"/>
    <w:rsid w:val="00471FBC"/>
    <w:rsid w:val="00472A79"/>
    <w:rsid w:val="00473F19"/>
    <w:rsid w:val="0047450A"/>
    <w:rsid w:val="00475E22"/>
    <w:rsid w:val="004804C5"/>
    <w:rsid w:val="0048088E"/>
    <w:rsid w:val="00480F2B"/>
    <w:rsid w:val="00482562"/>
    <w:rsid w:val="00482720"/>
    <w:rsid w:val="004835E7"/>
    <w:rsid w:val="00484280"/>
    <w:rsid w:val="0048501D"/>
    <w:rsid w:val="004867E2"/>
    <w:rsid w:val="0048683D"/>
    <w:rsid w:val="00487A5E"/>
    <w:rsid w:val="00490136"/>
    <w:rsid w:val="00490B17"/>
    <w:rsid w:val="00490EAC"/>
    <w:rsid w:val="00490F98"/>
    <w:rsid w:val="00491B3A"/>
    <w:rsid w:val="00492226"/>
    <w:rsid w:val="00492CFD"/>
    <w:rsid w:val="00492F36"/>
    <w:rsid w:val="00494207"/>
    <w:rsid w:val="00494B0C"/>
    <w:rsid w:val="00494DD5"/>
    <w:rsid w:val="0049539A"/>
    <w:rsid w:val="00495D4B"/>
    <w:rsid w:val="00496018"/>
    <w:rsid w:val="004962D2"/>
    <w:rsid w:val="00496B63"/>
    <w:rsid w:val="004A0DA1"/>
    <w:rsid w:val="004A13D6"/>
    <w:rsid w:val="004A2578"/>
    <w:rsid w:val="004A275A"/>
    <w:rsid w:val="004A4574"/>
    <w:rsid w:val="004A52E9"/>
    <w:rsid w:val="004A5EA0"/>
    <w:rsid w:val="004A6040"/>
    <w:rsid w:val="004A6597"/>
    <w:rsid w:val="004A679E"/>
    <w:rsid w:val="004A7848"/>
    <w:rsid w:val="004B077B"/>
    <w:rsid w:val="004B0A89"/>
    <w:rsid w:val="004B1CB4"/>
    <w:rsid w:val="004B2F18"/>
    <w:rsid w:val="004B30F7"/>
    <w:rsid w:val="004B3DDB"/>
    <w:rsid w:val="004B44FD"/>
    <w:rsid w:val="004B4F74"/>
    <w:rsid w:val="004B5CFC"/>
    <w:rsid w:val="004B6F79"/>
    <w:rsid w:val="004B70A8"/>
    <w:rsid w:val="004B7127"/>
    <w:rsid w:val="004B774D"/>
    <w:rsid w:val="004C100A"/>
    <w:rsid w:val="004C126D"/>
    <w:rsid w:val="004C3EF7"/>
    <w:rsid w:val="004C453F"/>
    <w:rsid w:val="004C4AED"/>
    <w:rsid w:val="004C5333"/>
    <w:rsid w:val="004C74FD"/>
    <w:rsid w:val="004C75A3"/>
    <w:rsid w:val="004C76C6"/>
    <w:rsid w:val="004C7ADE"/>
    <w:rsid w:val="004D268A"/>
    <w:rsid w:val="004D2C2D"/>
    <w:rsid w:val="004D38DE"/>
    <w:rsid w:val="004D39E1"/>
    <w:rsid w:val="004D3A54"/>
    <w:rsid w:val="004D3A74"/>
    <w:rsid w:val="004D69B5"/>
    <w:rsid w:val="004D7227"/>
    <w:rsid w:val="004D7FE7"/>
    <w:rsid w:val="004E060D"/>
    <w:rsid w:val="004E0BD2"/>
    <w:rsid w:val="004E0E7F"/>
    <w:rsid w:val="004E0EB8"/>
    <w:rsid w:val="004E1174"/>
    <w:rsid w:val="004E18E9"/>
    <w:rsid w:val="004E2ADC"/>
    <w:rsid w:val="004E2EB5"/>
    <w:rsid w:val="004E43B2"/>
    <w:rsid w:val="004F13E7"/>
    <w:rsid w:val="004F1ADE"/>
    <w:rsid w:val="004F1D02"/>
    <w:rsid w:val="004F2679"/>
    <w:rsid w:val="004F2F21"/>
    <w:rsid w:val="004F3DE5"/>
    <w:rsid w:val="004F50A6"/>
    <w:rsid w:val="004F6913"/>
    <w:rsid w:val="004F75DF"/>
    <w:rsid w:val="004F7865"/>
    <w:rsid w:val="004F7E74"/>
    <w:rsid w:val="00500694"/>
    <w:rsid w:val="0050174E"/>
    <w:rsid w:val="00501854"/>
    <w:rsid w:val="0050219B"/>
    <w:rsid w:val="00502696"/>
    <w:rsid w:val="00503F17"/>
    <w:rsid w:val="00506928"/>
    <w:rsid w:val="00507463"/>
    <w:rsid w:val="005077EF"/>
    <w:rsid w:val="00511AD5"/>
    <w:rsid w:val="00511DC7"/>
    <w:rsid w:val="005142C5"/>
    <w:rsid w:val="0051431C"/>
    <w:rsid w:val="0051501B"/>
    <w:rsid w:val="005152B5"/>
    <w:rsid w:val="005166DA"/>
    <w:rsid w:val="005202DB"/>
    <w:rsid w:val="0052123C"/>
    <w:rsid w:val="005212F7"/>
    <w:rsid w:val="00521319"/>
    <w:rsid w:val="00522BC8"/>
    <w:rsid w:val="0052337E"/>
    <w:rsid w:val="00523C28"/>
    <w:rsid w:val="00524700"/>
    <w:rsid w:val="00524B17"/>
    <w:rsid w:val="00527620"/>
    <w:rsid w:val="0053176B"/>
    <w:rsid w:val="005323A7"/>
    <w:rsid w:val="00533076"/>
    <w:rsid w:val="00533A54"/>
    <w:rsid w:val="00533BDE"/>
    <w:rsid w:val="00534077"/>
    <w:rsid w:val="00534E6D"/>
    <w:rsid w:val="00535F16"/>
    <w:rsid w:val="00535FE9"/>
    <w:rsid w:val="00536945"/>
    <w:rsid w:val="00536B40"/>
    <w:rsid w:val="00536CF6"/>
    <w:rsid w:val="00536F42"/>
    <w:rsid w:val="00537182"/>
    <w:rsid w:val="005374D8"/>
    <w:rsid w:val="005378F4"/>
    <w:rsid w:val="0054066F"/>
    <w:rsid w:val="0054068D"/>
    <w:rsid w:val="0054172F"/>
    <w:rsid w:val="00541C51"/>
    <w:rsid w:val="00541D48"/>
    <w:rsid w:val="00541EDD"/>
    <w:rsid w:val="00542743"/>
    <w:rsid w:val="00542C2D"/>
    <w:rsid w:val="005442BD"/>
    <w:rsid w:val="00546A6B"/>
    <w:rsid w:val="005478BD"/>
    <w:rsid w:val="005479E3"/>
    <w:rsid w:val="005508FF"/>
    <w:rsid w:val="00551985"/>
    <w:rsid w:val="00551F49"/>
    <w:rsid w:val="00552BD3"/>
    <w:rsid w:val="005532A0"/>
    <w:rsid w:val="00554B33"/>
    <w:rsid w:val="00554C62"/>
    <w:rsid w:val="00555109"/>
    <w:rsid w:val="00555418"/>
    <w:rsid w:val="00556135"/>
    <w:rsid w:val="00556B35"/>
    <w:rsid w:val="0055741A"/>
    <w:rsid w:val="005603AB"/>
    <w:rsid w:val="005611B7"/>
    <w:rsid w:val="005618A5"/>
    <w:rsid w:val="005618D4"/>
    <w:rsid w:val="00565342"/>
    <w:rsid w:val="00565DF0"/>
    <w:rsid w:val="0056696F"/>
    <w:rsid w:val="00572269"/>
    <w:rsid w:val="0057244A"/>
    <w:rsid w:val="00572914"/>
    <w:rsid w:val="00572CD9"/>
    <w:rsid w:val="00572F26"/>
    <w:rsid w:val="00574EA6"/>
    <w:rsid w:val="005750C5"/>
    <w:rsid w:val="005752DE"/>
    <w:rsid w:val="00575308"/>
    <w:rsid w:val="00575D8D"/>
    <w:rsid w:val="00576419"/>
    <w:rsid w:val="00576853"/>
    <w:rsid w:val="00576972"/>
    <w:rsid w:val="005772D0"/>
    <w:rsid w:val="005833FD"/>
    <w:rsid w:val="00583647"/>
    <w:rsid w:val="00583699"/>
    <w:rsid w:val="0058568E"/>
    <w:rsid w:val="00585CDD"/>
    <w:rsid w:val="00587058"/>
    <w:rsid w:val="005904A3"/>
    <w:rsid w:val="0059058E"/>
    <w:rsid w:val="00590B75"/>
    <w:rsid w:val="00591957"/>
    <w:rsid w:val="0059264F"/>
    <w:rsid w:val="00592A89"/>
    <w:rsid w:val="005942EA"/>
    <w:rsid w:val="00595F6F"/>
    <w:rsid w:val="005960F1"/>
    <w:rsid w:val="005963D0"/>
    <w:rsid w:val="00596FA7"/>
    <w:rsid w:val="00597732"/>
    <w:rsid w:val="00597BF9"/>
    <w:rsid w:val="00597D91"/>
    <w:rsid w:val="00597DAB"/>
    <w:rsid w:val="00597ECF"/>
    <w:rsid w:val="005A02C0"/>
    <w:rsid w:val="005A1B7B"/>
    <w:rsid w:val="005A2037"/>
    <w:rsid w:val="005A2DE2"/>
    <w:rsid w:val="005A309A"/>
    <w:rsid w:val="005A373D"/>
    <w:rsid w:val="005A3816"/>
    <w:rsid w:val="005A4348"/>
    <w:rsid w:val="005A6324"/>
    <w:rsid w:val="005B0334"/>
    <w:rsid w:val="005B036A"/>
    <w:rsid w:val="005B06F6"/>
    <w:rsid w:val="005B0B58"/>
    <w:rsid w:val="005B31B6"/>
    <w:rsid w:val="005B4D27"/>
    <w:rsid w:val="005B4E53"/>
    <w:rsid w:val="005B5857"/>
    <w:rsid w:val="005B64A9"/>
    <w:rsid w:val="005B700E"/>
    <w:rsid w:val="005B7450"/>
    <w:rsid w:val="005C0685"/>
    <w:rsid w:val="005C0B28"/>
    <w:rsid w:val="005C1B83"/>
    <w:rsid w:val="005C25FF"/>
    <w:rsid w:val="005C2D55"/>
    <w:rsid w:val="005C346B"/>
    <w:rsid w:val="005C49D6"/>
    <w:rsid w:val="005C4B69"/>
    <w:rsid w:val="005C6430"/>
    <w:rsid w:val="005D044D"/>
    <w:rsid w:val="005D0ABD"/>
    <w:rsid w:val="005D18AD"/>
    <w:rsid w:val="005D26B4"/>
    <w:rsid w:val="005D431D"/>
    <w:rsid w:val="005D551D"/>
    <w:rsid w:val="005D7A8B"/>
    <w:rsid w:val="005E0E70"/>
    <w:rsid w:val="005E5DF8"/>
    <w:rsid w:val="005E6168"/>
    <w:rsid w:val="005E676F"/>
    <w:rsid w:val="005E6917"/>
    <w:rsid w:val="005E6CBC"/>
    <w:rsid w:val="005E72FF"/>
    <w:rsid w:val="005E73C0"/>
    <w:rsid w:val="005F1588"/>
    <w:rsid w:val="005F2706"/>
    <w:rsid w:val="005F2AAE"/>
    <w:rsid w:val="005F36BA"/>
    <w:rsid w:val="005F4E2A"/>
    <w:rsid w:val="005F4F10"/>
    <w:rsid w:val="005F58D0"/>
    <w:rsid w:val="005F6A8F"/>
    <w:rsid w:val="005F6BB7"/>
    <w:rsid w:val="005F7588"/>
    <w:rsid w:val="005F7C14"/>
    <w:rsid w:val="005F7D85"/>
    <w:rsid w:val="006005DA"/>
    <w:rsid w:val="0060082D"/>
    <w:rsid w:val="00600D90"/>
    <w:rsid w:val="00600FF3"/>
    <w:rsid w:val="006010AE"/>
    <w:rsid w:val="006011B4"/>
    <w:rsid w:val="00603710"/>
    <w:rsid w:val="00603DB9"/>
    <w:rsid w:val="006051D9"/>
    <w:rsid w:val="00606FBA"/>
    <w:rsid w:val="00607669"/>
    <w:rsid w:val="006076F4"/>
    <w:rsid w:val="00607AFD"/>
    <w:rsid w:val="00610499"/>
    <w:rsid w:val="00610CF9"/>
    <w:rsid w:val="006110B2"/>
    <w:rsid w:val="006111DC"/>
    <w:rsid w:val="0061132F"/>
    <w:rsid w:val="00612F97"/>
    <w:rsid w:val="0061345D"/>
    <w:rsid w:val="00614AC4"/>
    <w:rsid w:val="0061549B"/>
    <w:rsid w:val="006162C1"/>
    <w:rsid w:val="00616802"/>
    <w:rsid w:val="006177D4"/>
    <w:rsid w:val="00617E12"/>
    <w:rsid w:val="0062015A"/>
    <w:rsid w:val="006206C0"/>
    <w:rsid w:val="0062074D"/>
    <w:rsid w:val="00620C25"/>
    <w:rsid w:val="00621477"/>
    <w:rsid w:val="00621ADA"/>
    <w:rsid w:val="00622C7E"/>
    <w:rsid w:val="00623F7B"/>
    <w:rsid w:val="00624EE7"/>
    <w:rsid w:val="006250CB"/>
    <w:rsid w:val="00625B16"/>
    <w:rsid w:val="006261E4"/>
    <w:rsid w:val="00627C3B"/>
    <w:rsid w:val="0063158F"/>
    <w:rsid w:val="00631674"/>
    <w:rsid w:val="00631D6B"/>
    <w:rsid w:val="00632183"/>
    <w:rsid w:val="006330A1"/>
    <w:rsid w:val="0063464A"/>
    <w:rsid w:val="0063479F"/>
    <w:rsid w:val="006353F0"/>
    <w:rsid w:val="006357B5"/>
    <w:rsid w:val="00635FCC"/>
    <w:rsid w:val="006364A1"/>
    <w:rsid w:val="0063678E"/>
    <w:rsid w:val="00637BFD"/>
    <w:rsid w:val="00641C4E"/>
    <w:rsid w:val="00641FB3"/>
    <w:rsid w:val="00643021"/>
    <w:rsid w:val="00643896"/>
    <w:rsid w:val="00643FFF"/>
    <w:rsid w:val="0064434C"/>
    <w:rsid w:val="00646E0D"/>
    <w:rsid w:val="006471CC"/>
    <w:rsid w:val="00647A29"/>
    <w:rsid w:val="00647F97"/>
    <w:rsid w:val="0065079F"/>
    <w:rsid w:val="0065154B"/>
    <w:rsid w:val="006520F0"/>
    <w:rsid w:val="00652A28"/>
    <w:rsid w:val="00652A7D"/>
    <w:rsid w:val="00653383"/>
    <w:rsid w:val="0065379F"/>
    <w:rsid w:val="00653D61"/>
    <w:rsid w:val="00653DB9"/>
    <w:rsid w:val="00655338"/>
    <w:rsid w:val="00656188"/>
    <w:rsid w:val="006565D8"/>
    <w:rsid w:val="00656CC1"/>
    <w:rsid w:val="0065715A"/>
    <w:rsid w:val="006610F1"/>
    <w:rsid w:val="00661C6B"/>
    <w:rsid w:val="006635A2"/>
    <w:rsid w:val="00663F9E"/>
    <w:rsid w:val="006658BF"/>
    <w:rsid w:val="00666951"/>
    <w:rsid w:val="00667442"/>
    <w:rsid w:val="00667DFD"/>
    <w:rsid w:val="006701DC"/>
    <w:rsid w:val="00671004"/>
    <w:rsid w:val="0067149F"/>
    <w:rsid w:val="00672646"/>
    <w:rsid w:val="00672B24"/>
    <w:rsid w:val="00674E42"/>
    <w:rsid w:val="006754AA"/>
    <w:rsid w:val="00676554"/>
    <w:rsid w:val="00676ABB"/>
    <w:rsid w:val="00681089"/>
    <w:rsid w:val="0068119F"/>
    <w:rsid w:val="006813F8"/>
    <w:rsid w:val="00682112"/>
    <w:rsid w:val="00682BA6"/>
    <w:rsid w:val="0068329C"/>
    <w:rsid w:val="00684416"/>
    <w:rsid w:val="00686572"/>
    <w:rsid w:val="00686756"/>
    <w:rsid w:val="00686957"/>
    <w:rsid w:val="0068698F"/>
    <w:rsid w:val="00686D39"/>
    <w:rsid w:val="006872BA"/>
    <w:rsid w:val="00687870"/>
    <w:rsid w:val="006879CE"/>
    <w:rsid w:val="00687DA3"/>
    <w:rsid w:val="00690795"/>
    <w:rsid w:val="00691648"/>
    <w:rsid w:val="006917D7"/>
    <w:rsid w:val="0069336E"/>
    <w:rsid w:val="0069434C"/>
    <w:rsid w:val="006943B6"/>
    <w:rsid w:val="00694F44"/>
    <w:rsid w:val="00696692"/>
    <w:rsid w:val="00696F51"/>
    <w:rsid w:val="006979A5"/>
    <w:rsid w:val="006A1FC0"/>
    <w:rsid w:val="006A3FF8"/>
    <w:rsid w:val="006A5D55"/>
    <w:rsid w:val="006A68B9"/>
    <w:rsid w:val="006A6B99"/>
    <w:rsid w:val="006A6FC3"/>
    <w:rsid w:val="006A7E5F"/>
    <w:rsid w:val="006B06A4"/>
    <w:rsid w:val="006B1686"/>
    <w:rsid w:val="006B261B"/>
    <w:rsid w:val="006B2C90"/>
    <w:rsid w:val="006B2E02"/>
    <w:rsid w:val="006B35E6"/>
    <w:rsid w:val="006B3BF7"/>
    <w:rsid w:val="006B465A"/>
    <w:rsid w:val="006B622A"/>
    <w:rsid w:val="006B6DD0"/>
    <w:rsid w:val="006C034E"/>
    <w:rsid w:val="006C0399"/>
    <w:rsid w:val="006C04DF"/>
    <w:rsid w:val="006C0FE7"/>
    <w:rsid w:val="006C1C56"/>
    <w:rsid w:val="006C2A8E"/>
    <w:rsid w:val="006C3255"/>
    <w:rsid w:val="006C3ED9"/>
    <w:rsid w:val="006C3F26"/>
    <w:rsid w:val="006C658A"/>
    <w:rsid w:val="006C6CD1"/>
    <w:rsid w:val="006C70F9"/>
    <w:rsid w:val="006C7DD4"/>
    <w:rsid w:val="006D0D17"/>
    <w:rsid w:val="006D3C7D"/>
    <w:rsid w:val="006D3D31"/>
    <w:rsid w:val="006D4659"/>
    <w:rsid w:val="006D4EBA"/>
    <w:rsid w:val="006D5D5F"/>
    <w:rsid w:val="006D60CA"/>
    <w:rsid w:val="006D68FB"/>
    <w:rsid w:val="006D7510"/>
    <w:rsid w:val="006E05A4"/>
    <w:rsid w:val="006E1B36"/>
    <w:rsid w:val="006E1C2B"/>
    <w:rsid w:val="006E2868"/>
    <w:rsid w:val="006E478D"/>
    <w:rsid w:val="006E55BE"/>
    <w:rsid w:val="006E7A34"/>
    <w:rsid w:val="006F01F7"/>
    <w:rsid w:val="006F04BC"/>
    <w:rsid w:val="006F306C"/>
    <w:rsid w:val="006F37D7"/>
    <w:rsid w:val="006F3948"/>
    <w:rsid w:val="006F63A5"/>
    <w:rsid w:val="006F70B7"/>
    <w:rsid w:val="006F77D7"/>
    <w:rsid w:val="006F7C35"/>
    <w:rsid w:val="0070142B"/>
    <w:rsid w:val="0070276E"/>
    <w:rsid w:val="00702F8F"/>
    <w:rsid w:val="0070518D"/>
    <w:rsid w:val="00705A58"/>
    <w:rsid w:val="00706729"/>
    <w:rsid w:val="00706B1F"/>
    <w:rsid w:val="007079FC"/>
    <w:rsid w:val="00711A36"/>
    <w:rsid w:val="00711DFC"/>
    <w:rsid w:val="007129D4"/>
    <w:rsid w:val="00713EE1"/>
    <w:rsid w:val="007146AD"/>
    <w:rsid w:val="00714B89"/>
    <w:rsid w:val="00714C26"/>
    <w:rsid w:val="0071529C"/>
    <w:rsid w:val="007154A2"/>
    <w:rsid w:val="0071553C"/>
    <w:rsid w:val="00715A67"/>
    <w:rsid w:val="007170DA"/>
    <w:rsid w:val="007172AD"/>
    <w:rsid w:val="00717581"/>
    <w:rsid w:val="00720370"/>
    <w:rsid w:val="00720801"/>
    <w:rsid w:val="007211F0"/>
    <w:rsid w:val="00721757"/>
    <w:rsid w:val="00722B1B"/>
    <w:rsid w:val="00723287"/>
    <w:rsid w:val="00723DD7"/>
    <w:rsid w:val="0072416F"/>
    <w:rsid w:val="00726109"/>
    <w:rsid w:val="007276CD"/>
    <w:rsid w:val="007277BC"/>
    <w:rsid w:val="00727C94"/>
    <w:rsid w:val="00727F03"/>
    <w:rsid w:val="00731B0A"/>
    <w:rsid w:val="00731EAE"/>
    <w:rsid w:val="00733073"/>
    <w:rsid w:val="00734560"/>
    <w:rsid w:val="00735033"/>
    <w:rsid w:val="00735328"/>
    <w:rsid w:val="0073685B"/>
    <w:rsid w:val="00740475"/>
    <w:rsid w:val="00740BFC"/>
    <w:rsid w:val="00741467"/>
    <w:rsid w:val="00741738"/>
    <w:rsid w:val="007417A8"/>
    <w:rsid w:val="007428D1"/>
    <w:rsid w:val="00742EB9"/>
    <w:rsid w:val="007438A7"/>
    <w:rsid w:val="0074474B"/>
    <w:rsid w:val="007449BF"/>
    <w:rsid w:val="007458F6"/>
    <w:rsid w:val="00746916"/>
    <w:rsid w:val="00746BC0"/>
    <w:rsid w:val="007510B4"/>
    <w:rsid w:val="00751835"/>
    <w:rsid w:val="00751BB9"/>
    <w:rsid w:val="00752142"/>
    <w:rsid w:val="007523F9"/>
    <w:rsid w:val="007526B7"/>
    <w:rsid w:val="0075272D"/>
    <w:rsid w:val="00752909"/>
    <w:rsid w:val="00752C1B"/>
    <w:rsid w:val="0075357E"/>
    <w:rsid w:val="00755422"/>
    <w:rsid w:val="00755867"/>
    <w:rsid w:val="0075597B"/>
    <w:rsid w:val="007563FC"/>
    <w:rsid w:val="007573E8"/>
    <w:rsid w:val="00760C4E"/>
    <w:rsid w:val="00760F9E"/>
    <w:rsid w:val="007610E6"/>
    <w:rsid w:val="0076128D"/>
    <w:rsid w:val="007615B0"/>
    <w:rsid w:val="007627BE"/>
    <w:rsid w:val="00762DEC"/>
    <w:rsid w:val="00763C23"/>
    <w:rsid w:val="00764F03"/>
    <w:rsid w:val="00765B1A"/>
    <w:rsid w:val="0076679C"/>
    <w:rsid w:val="00772081"/>
    <w:rsid w:val="00772791"/>
    <w:rsid w:val="00773045"/>
    <w:rsid w:val="00777075"/>
    <w:rsid w:val="00777335"/>
    <w:rsid w:val="00780C06"/>
    <w:rsid w:val="0078200A"/>
    <w:rsid w:val="007843F2"/>
    <w:rsid w:val="00785A9F"/>
    <w:rsid w:val="00791506"/>
    <w:rsid w:val="007925DF"/>
    <w:rsid w:val="0079558F"/>
    <w:rsid w:val="007960BA"/>
    <w:rsid w:val="00797F96"/>
    <w:rsid w:val="007A0785"/>
    <w:rsid w:val="007A08AA"/>
    <w:rsid w:val="007A0A12"/>
    <w:rsid w:val="007A0A55"/>
    <w:rsid w:val="007A132D"/>
    <w:rsid w:val="007A1345"/>
    <w:rsid w:val="007A232A"/>
    <w:rsid w:val="007A2DDB"/>
    <w:rsid w:val="007A2FC4"/>
    <w:rsid w:val="007A34F4"/>
    <w:rsid w:val="007A3AC1"/>
    <w:rsid w:val="007A415B"/>
    <w:rsid w:val="007A41D1"/>
    <w:rsid w:val="007A5071"/>
    <w:rsid w:val="007A51D2"/>
    <w:rsid w:val="007A6B65"/>
    <w:rsid w:val="007A70BA"/>
    <w:rsid w:val="007B0219"/>
    <w:rsid w:val="007B0891"/>
    <w:rsid w:val="007B0D68"/>
    <w:rsid w:val="007B11F9"/>
    <w:rsid w:val="007B1566"/>
    <w:rsid w:val="007B1F6A"/>
    <w:rsid w:val="007B251D"/>
    <w:rsid w:val="007B2E98"/>
    <w:rsid w:val="007B38A4"/>
    <w:rsid w:val="007B4F58"/>
    <w:rsid w:val="007B50AE"/>
    <w:rsid w:val="007B528D"/>
    <w:rsid w:val="007B63CA"/>
    <w:rsid w:val="007B66DF"/>
    <w:rsid w:val="007B77D1"/>
    <w:rsid w:val="007C07C7"/>
    <w:rsid w:val="007C1CD9"/>
    <w:rsid w:val="007C290C"/>
    <w:rsid w:val="007C2986"/>
    <w:rsid w:val="007C2CE2"/>
    <w:rsid w:val="007C2F0C"/>
    <w:rsid w:val="007C32EF"/>
    <w:rsid w:val="007C33E2"/>
    <w:rsid w:val="007C361D"/>
    <w:rsid w:val="007C40F9"/>
    <w:rsid w:val="007C48F7"/>
    <w:rsid w:val="007C4B84"/>
    <w:rsid w:val="007C5785"/>
    <w:rsid w:val="007C628B"/>
    <w:rsid w:val="007C6307"/>
    <w:rsid w:val="007C6F26"/>
    <w:rsid w:val="007C70FF"/>
    <w:rsid w:val="007C787A"/>
    <w:rsid w:val="007C7C25"/>
    <w:rsid w:val="007D004F"/>
    <w:rsid w:val="007D0B38"/>
    <w:rsid w:val="007D2F3A"/>
    <w:rsid w:val="007D2F77"/>
    <w:rsid w:val="007D490A"/>
    <w:rsid w:val="007D5440"/>
    <w:rsid w:val="007D64BF"/>
    <w:rsid w:val="007D6813"/>
    <w:rsid w:val="007D6968"/>
    <w:rsid w:val="007D69EB"/>
    <w:rsid w:val="007D6C96"/>
    <w:rsid w:val="007D70F4"/>
    <w:rsid w:val="007D728B"/>
    <w:rsid w:val="007D7CCA"/>
    <w:rsid w:val="007E128F"/>
    <w:rsid w:val="007E40CA"/>
    <w:rsid w:val="007E4B98"/>
    <w:rsid w:val="007E6BE7"/>
    <w:rsid w:val="007E784D"/>
    <w:rsid w:val="007E7CFF"/>
    <w:rsid w:val="007F0A01"/>
    <w:rsid w:val="007F1017"/>
    <w:rsid w:val="007F4A3F"/>
    <w:rsid w:val="007F4A61"/>
    <w:rsid w:val="007F5255"/>
    <w:rsid w:val="007F55AE"/>
    <w:rsid w:val="007F56CC"/>
    <w:rsid w:val="007F5922"/>
    <w:rsid w:val="007F61C2"/>
    <w:rsid w:val="007F6541"/>
    <w:rsid w:val="007F727A"/>
    <w:rsid w:val="00800891"/>
    <w:rsid w:val="0080377E"/>
    <w:rsid w:val="008037D1"/>
    <w:rsid w:val="00803CB7"/>
    <w:rsid w:val="00805142"/>
    <w:rsid w:val="00805FCE"/>
    <w:rsid w:val="0080770F"/>
    <w:rsid w:val="00807A8B"/>
    <w:rsid w:val="00811383"/>
    <w:rsid w:val="0081180F"/>
    <w:rsid w:val="00812149"/>
    <w:rsid w:val="00812CAC"/>
    <w:rsid w:val="0081577A"/>
    <w:rsid w:val="00816361"/>
    <w:rsid w:val="008166EF"/>
    <w:rsid w:val="00816753"/>
    <w:rsid w:val="00816FEF"/>
    <w:rsid w:val="008172D3"/>
    <w:rsid w:val="008202F4"/>
    <w:rsid w:val="008209E0"/>
    <w:rsid w:val="00820A8C"/>
    <w:rsid w:val="008215FB"/>
    <w:rsid w:val="00822F02"/>
    <w:rsid w:val="00823174"/>
    <w:rsid w:val="008237CF"/>
    <w:rsid w:val="00824289"/>
    <w:rsid w:val="00824912"/>
    <w:rsid w:val="00825751"/>
    <w:rsid w:val="008264EB"/>
    <w:rsid w:val="00830F63"/>
    <w:rsid w:val="008328EE"/>
    <w:rsid w:val="00833168"/>
    <w:rsid w:val="008334F5"/>
    <w:rsid w:val="00833B05"/>
    <w:rsid w:val="00834357"/>
    <w:rsid w:val="008352BF"/>
    <w:rsid w:val="00835A3E"/>
    <w:rsid w:val="008362B4"/>
    <w:rsid w:val="00836596"/>
    <w:rsid w:val="008370C8"/>
    <w:rsid w:val="00840CA2"/>
    <w:rsid w:val="0084374F"/>
    <w:rsid w:val="00843B02"/>
    <w:rsid w:val="00844A22"/>
    <w:rsid w:val="008450FD"/>
    <w:rsid w:val="00847703"/>
    <w:rsid w:val="00847BE3"/>
    <w:rsid w:val="00847DF5"/>
    <w:rsid w:val="00850546"/>
    <w:rsid w:val="00851F78"/>
    <w:rsid w:val="0085309D"/>
    <w:rsid w:val="008533A2"/>
    <w:rsid w:val="00854BCE"/>
    <w:rsid w:val="00855D41"/>
    <w:rsid w:val="00856090"/>
    <w:rsid w:val="00856897"/>
    <w:rsid w:val="00856E9A"/>
    <w:rsid w:val="0086075D"/>
    <w:rsid w:val="008608E1"/>
    <w:rsid w:val="008616A4"/>
    <w:rsid w:val="00862502"/>
    <w:rsid w:val="0086273E"/>
    <w:rsid w:val="00862CC1"/>
    <w:rsid w:val="00865BF7"/>
    <w:rsid w:val="008660D4"/>
    <w:rsid w:val="00866A27"/>
    <w:rsid w:val="008675D9"/>
    <w:rsid w:val="008704B4"/>
    <w:rsid w:val="00871FA9"/>
    <w:rsid w:val="00871FD3"/>
    <w:rsid w:val="008728E9"/>
    <w:rsid w:val="00873841"/>
    <w:rsid w:val="00881573"/>
    <w:rsid w:val="00882509"/>
    <w:rsid w:val="00882874"/>
    <w:rsid w:val="00882E3C"/>
    <w:rsid w:val="008832AE"/>
    <w:rsid w:val="00883787"/>
    <w:rsid w:val="00883F4E"/>
    <w:rsid w:val="008855E4"/>
    <w:rsid w:val="00886CD2"/>
    <w:rsid w:val="008872EA"/>
    <w:rsid w:val="008901A0"/>
    <w:rsid w:val="00891D92"/>
    <w:rsid w:val="00891E6F"/>
    <w:rsid w:val="0089250C"/>
    <w:rsid w:val="0089275D"/>
    <w:rsid w:val="00892A36"/>
    <w:rsid w:val="00892E9B"/>
    <w:rsid w:val="00893239"/>
    <w:rsid w:val="00893764"/>
    <w:rsid w:val="00894489"/>
    <w:rsid w:val="008963A5"/>
    <w:rsid w:val="00896D5D"/>
    <w:rsid w:val="008A1911"/>
    <w:rsid w:val="008A3363"/>
    <w:rsid w:val="008A3371"/>
    <w:rsid w:val="008A3C3E"/>
    <w:rsid w:val="008A4C35"/>
    <w:rsid w:val="008A4F68"/>
    <w:rsid w:val="008A622D"/>
    <w:rsid w:val="008A79DE"/>
    <w:rsid w:val="008B0F85"/>
    <w:rsid w:val="008B1757"/>
    <w:rsid w:val="008B2A37"/>
    <w:rsid w:val="008B3751"/>
    <w:rsid w:val="008B7602"/>
    <w:rsid w:val="008B7992"/>
    <w:rsid w:val="008B7D7E"/>
    <w:rsid w:val="008C101F"/>
    <w:rsid w:val="008C2568"/>
    <w:rsid w:val="008C2597"/>
    <w:rsid w:val="008C4704"/>
    <w:rsid w:val="008C4911"/>
    <w:rsid w:val="008C5610"/>
    <w:rsid w:val="008C5739"/>
    <w:rsid w:val="008C700F"/>
    <w:rsid w:val="008C7ECB"/>
    <w:rsid w:val="008D02DC"/>
    <w:rsid w:val="008D3B86"/>
    <w:rsid w:val="008D4755"/>
    <w:rsid w:val="008D4AF3"/>
    <w:rsid w:val="008D4C3D"/>
    <w:rsid w:val="008D4EC8"/>
    <w:rsid w:val="008D5344"/>
    <w:rsid w:val="008D599A"/>
    <w:rsid w:val="008D743C"/>
    <w:rsid w:val="008E0644"/>
    <w:rsid w:val="008E0D3C"/>
    <w:rsid w:val="008E0E72"/>
    <w:rsid w:val="008E1A66"/>
    <w:rsid w:val="008E1B9E"/>
    <w:rsid w:val="008E2889"/>
    <w:rsid w:val="008E378F"/>
    <w:rsid w:val="008E55AB"/>
    <w:rsid w:val="008F0D42"/>
    <w:rsid w:val="008F120A"/>
    <w:rsid w:val="008F2421"/>
    <w:rsid w:val="008F27E0"/>
    <w:rsid w:val="008F28D5"/>
    <w:rsid w:val="008F2920"/>
    <w:rsid w:val="008F48EB"/>
    <w:rsid w:val="008F4CE3"/>
    <w:rsid w:val="008F4F0B"/>
    <w:rsid w:val="008F54B8"/>
    <w:rsid w:val="008F6CD5"/>
    <w:rsid w:val="0090384A"/>
    <w:rsid w:val="009046C4"/>
    <w:rsid w:val="0090471B"/>
    <w:rsid w:val="009062A5"/>
    <w:rsid w:val="00910FA7"/>
    <w:rsid w:val="00911272"/>
    <w:rsid w:val="00912885"/>
    <w:rsid w:val="009135D6"/>
    <w:rsid w:val="00913A3B"/>
    <w:rsid w:val="00914C77"/>
    <w:rsid w:val="009156CC"/>
    <w:rsid w:val="00915C2E"/>
    <w:rsid w:val="00916C76"/>
    <w:rsid w:val="009202F6"/>
    <w:rsid w:val="0092061B"/>
    <w:rsid w:val="009211AD"/>
    <w:rsid w:val="00921ACB"/>
    <w:rsid w:val="00922A7F"/>
    <w:rsid w:val="0092369B"/>
    <w:rsid w:val="00930F31"/>
    <w:rsid w:val="00931938"/>
    <w:rsid w:val="00931FF2"/>
    <w:rsid w:val="0093393C"/>
    <w:rsid w:val="009343C8"/>
    <w:rsid w:val="00934988"/>
    <w:rsid w:val="0093524F"/>
    <w:rsid w:val="009356FF"/>
    <w:rsid w:val="00935AA0"/>
    <w:rsid w:val="00936A8E"/>
    <w:rsid w:val="00937089"/>
    <w:rsid w:val="0093767A"/>
    <w:rsid w:val="00937FCC"/>
    <w:rsid w:val="0094252F"/>
    <w:rsid w:val="00944E19"/>
    <w:rsid w:val="00944F8A"/>
    <w:rsid w:val="00946179"/>
    <w:rsid w:val="009461EA"/>
    <w:rsid w:val="009510A2"/>
    <w:rsid w:val="00953257"/>
    <w:rsid w:val="009539C7"/>
    <w:rsid w:val="0095474C"/>
    <w:rsid w:val="0095484E"/>
    <w:rsid w:val="00956A47"/>
    <w:rsid w:val="00957002"/>
    <w:rsid w:val="009616AF"/>
    <w:rsid w:val="009617FB"/>
    <w:rsid w:val="00962CB9"/>
    <w:rsid w:val="00964312"/>
    <w:rsid w:val="00965B8A"/>
    <w:rsid w:val="00966666"/>
    <w:rsid w:val="0096737B"/>
    <w:rsid w:val="0097071F"/>
    <w:rsid w:val="009717AC"/>
    <w:rsid w:val="00971E19"/>
    <w:rsid w:val="00972299"/>
    <w:rsid w:val="00972EF5"/>
    <w:rsid w:val="009750B5"/>
    <w:rsid w:val="009750ED"/>
    <w:rsid w:val="009751C1"/>
    <w:rsid w:val="00980946"/>
    <w:rsid w:val="009811F1"/>
    <w:rsid w:val="009832B8"/>
    <w:rsid w:val="00983E57"/>
    <w:rsid w:val="00985DE2"/>
    <w:rsid w:val="0098675D"/>
    <w:rsid w:val="00990A67"/>
    <w:rsid w:val="00990AE4"/>
    <w:rsid w:val="00990CCB"/>
    <w:rsid w:val="009926E0"/>
    <w:rsid w:val="00992C68"/>
    <w:rsid w:val="0099451E"/>
    <w:rsid w:val="00996B1A"/>
    <w:rsid w:val="009A08D8"/>
    <w:rsid w:val="009A09C0"/>
    <w:rsid w:val="009A1CE3"/>
    <w:rsid w:val="009A1D47"/>
    <w:rsid w:val="009A1D52"/>
    <w:rsid w:val="009A2DCC"/>
    <w:rsid w:val="009A31D4"/>
    <w:rsid w:val="009A3F54"/>
    <w:rsid w:val="009A401E"/>
    <w:rsid w:val="009A5ABC"/>
    <w:rsid w:val="009A63C5"/>
    <w:rsid w:val="009A64A3"/>
    <w:rsid w:val="009A7F10"/>
    <w:rsid w:val="009B0267"/>
    <w:rsid w:val="009B18EA"/>
    <w:rsid w:val="009B35F1"/>
    <w:rsid w:val="009B37CD"/>
    <w:rsid w:val="009B3E26"/>
    <w:rsid w:val="009B5884"/>
    <w:rsid w:val="009B58FF"/>
    <w:rsid w:val="009B77C1"/>
    <w:rsid w:val="009C00B5"/>
    <w:rsid w:val="009C183A"/>
    <w:rsid w:val="009C1C89"/>
    <w:rsid w:val="009C2B7F"/>
    <w:rsid w:val="009C34C3"/>
    <w:rsid w:val="009C3706"/>
    <w:rsid w:val="009C3A3A"/>
    <w:rsid w:val="009C6CEA"/>
    <w:rsid w:val="009C7B85"/>
    <w:rsid w:val="009D0254"/>
    <w:rsid w:val="009D1053"/>
    <w:rsid w:val="009D19E2"/>
    <w:rsid w:val="009D1A64"/>
    <w:rsid w:val="009D2562"/>
    <w:rsid w:val="009D4077"/>
    <w:rsid w:val="009D5B91"/>
    <w:rsid w:val="009D6227"/>
    <w:rsid w:val="009D792E"/>
    <w:rsid w:val="009D7DCA"/>
    <w:rsid w:val="009D7EF6"/>
    <w:rsid w:val="009E0DFE"/>
    <w:rsid w:val="009E31F6"/>
    <w:rsid w:val="009E4C07"/>
    <w:rsid w:val="009E5854"/>
    <w:rsid w:val="009E7E06"/>
    <w:rsid w:val="009F226B"/>
    <w:rsid w:val="009F73A9"/>
    <w:rsid w:val="00A01184"/>
    <w:rsid w:val="00A020F7"/>
    <w:rsid w:val="00A03630"/>
    <w:rsid w:val="00A037C2"/>
    <w:rsid w:val="00A03D43"/>
    <w:rsid w:val="00A04380"/>
    <w:rsid w:val="00A05472"/>
    <w:rsid w:val="00A05C32"/>
    <w:rsid w:val="00A0653F"/>
    <w:rsid w:val="00A07773"/>
    <w:rsid w:val="00A0783A"/>
    <w:rsid w:val="00A11BF7"/>
    <w:rsid w:val="00A11CD0"/>
    <w:rsid w:val="00A13948"/>
    <w:rsid w:val="00A139B7"/>
    <w:rsid w:val="00A1555B"/>
    <w:rsid w:val="00A155C5"/>
    <w:rsid w:val="00A155CE"/>
    <w:rsid w:val="00A166FD"/>
    <w:rsid w:val="00A167A4"/>
    <w:rsid w:val="00A16AD8"/>
    <w:rsid w:val="00A213B3"/>
    <w:rsid w:val="00A21C95"/>
    <w:rsid w:val="00A21CF3"/>
    <w:rsid w:val="00A22B47"/>
    <w:rsid w:val="00A24813"/>
    <w:rsid w:val="00A24995"/>
    <w:rsid w:val="00A27AEC"/>
    <w:rsid w:val="00A31B42"/>
    <w:rsid w:val="00A320DB"/>
    <w:rsid w:val="00A331B7"/>
    <w:rsid w:val="00A33C38"/>
    <w:rsid w:val="00A35D16"/>
    <w:rsid w:val="00A35E29"/>
    <w:rsid w:val="00A36B15"/>
    <w:rsid w:val="00A37BCD"/>
    <w:rsid w:val="00A40E67"/>
    <w:rsid w:val="00A41689"/>
    <w:rsid w:val="00A42592"/>
    <w:rsid w:val="00A43C59"/>
    <w:rsid w:val="00A44545"/>
    <w:rsid w:val="00A45416"/>
    <w:rsid w:val="00A467A0"/>
    <w:rsid w:val="00A50E1E"/>
    <w:rsid w:val="00A50ECD"/>
    <w:rsid w:val="00A518F3"/>
    <w:rsid w:val="00A52729"/>
    <w:rsid w:val="00A53675"/>
    <w:rsid w:val="00A5430D"/>
    <w:rsid w:val="00A54C5C"/>
    <w:rsid w:val="00A55055"/>
    <w:rsid w:val="00A55731"/>
    <w:rsid w:val="00A55915"/>
    <w:rsid w:val="00A56187"/>
    <w:rsid w:val="00A564D7"/>
    <w:rsid w:val="00A5663E"/>
    <w:rsid w:val="00A56B6A"/>
    <w:rsid w:val="00A5766E"/>
    <w:rsid w:val="00A5788B"/>
    <w:rsid w:val="00A578DC"/>
    <w:rsid w:val="00A5798C"/>
    <w:rsid w:val="00A6234C"/>
    <w:rsid w:val="00A62CCD"/>
    <w:rsid w:val="00A635AF"/>
    <w:rsid w:val="00A640E2"/>
    <w:rsid w:val="00A64D65"/>
    <w:rsid w:val="00A668B9"/>
    <w:rsid w:val="00A668F8"/>
    <w:rsid w:val="00A6725B"/>
    <w:rsid w:val="00A70605"/>
    <w:rsid w:val="00A70B8A"/>
    <w:rsid w:val="00A71FCB"/>
    <w:rsid w:val="00A73134"/>
    <w:rsid w:val="00A758CB"/>
    <w:rsid w:val="00A76001"/>
    <w:rsid w:val="00A777B2"/>
    <w:rsid w:val="00A77A6B"/>
    <w:rsid w:val="00A80820"/>
    <w:rsid w:val="00A8152E"/>
    <w:rsid w:val="00A825D4"/>
    <w:rsid w:val="00A828F6"/>
    <w:rsid w:val="00A82B73"/>
    <w:rsid w:val="00A82BF5"/>
    <w:rsid w:val="00A8361C"/>
    <w:rsid w:val="00A86E8B"/>
    <w:rsid w:val="00A86F90"/>
    <w:rsid w:val="00A87164"/>
    <w:rsid w:val="00A87A3A"/>
    <w:rsid w:val="00A910A3"/>
    <w:rsid w:val="00A9158E"/>
    <w:rsid w:val="00A9206D"/>
    <w:rsid w:val="00A93072"/>
    <w:rsid w:val="00A938BD"/>
    <w:rsid w:val="00A93953"/>
    <w:rsid w:val="00A939F0"/>
    <w:rsid w:val="00A9449D"/>
    <w:rsid w:val="00A959D8"/>
    <w:rsid w:val="00AA02D6"/>
    <w:rsid w:val="00AA0613"/>
    <w:rsid w:val="00AA113D"/>
    <w:rsid w:val="00AA3DE5"/>
    <w:rsid w:val="00AA4C73"/>
    <w:rsid w:val="00AA553E"/>
    <w:rsid w:val="00AA56AA"/>
    <w:rsid w:val="00AA5A4C"/>
    <w:rsid w:val="00AA6BD5"/>
    <w:rsid w:val="00AA6BD8"/>
    <w:rsid w:val="00AA6C7D"/>
    <w:rsid w:val="00AA7FD6"/>
    <w:rsid w:val="00AB042A"/>
    <w:rsid w:val="00AB163E"/>
    <w:rsid w:val="00AB19EF"/>
    <w:rsid w:val="00AB2D34"/>
    <w:rsid w:val="00AB3430"/>
    <w:rsid w:val="00AB37B9"/>
    <w:rsid w:val="00AB49D4"/>
    <w:rsid w:val="00AB4AD1"/>
    <w:rsid w:val="00AB5E07"/>
    <w:rsid w:val="00AB6C94"/>
    <w:rsid w:val="00AB79BB"/>
    <w:rsid w:val="00AB7A89"/>
    <w:rsid w:val="00AB7CFA"/>
    <w:rsid w:val="00AC064E"/>
    <w:rsid w:val="00AC1AC7"/>
    <w:rsid w:val="00AC5648"/>
    <w:rsid w:val="00AC5B48"/>
    <w:rsid w:val="00AD1450"/>
    <w:rsid w:val="00AD1F09"/>
    <w:rsid w:val="00AD34E5"/>
    <w:rsid w:val="00AD3799"/>
    <w:rsid w:val="00AD3883"/>
    <w:rsid w:val="00AD40D6"/>
    <w:rsid w:val="00AD45D2"/>
    <w:rsid w:val="00AD50E3"/>
    <w:rsid w:val="00AD6502"/>
    <w:rsid w:val="00AD75FE"/>
    <w:rsid w:val="00AD7BD7"/>
    <w:rsid w:val="00AD7E62"/>
    <w:rsid w:val="00AE054E"/>
    <w:rsid w:val="00AE0695"/>
    <w:rsid w:val="00AE269C"/>
    <w:rsid w:val="00AE3331"/>
    <w:rsid w:val="00AE3E7E"/>
    <w:rsid w:val="00AE4412"/>
    <w:rsid w:val="00AE5AF6"/>
    <w:rsid w:val="00AE5E56"/>
    <w:rsid w:val="00AF1315"/>
    <w:rsid w:val="00AF15AE"/>
    <w:rsid w:val="00AF19BF"/>
    <w:rsid w:val="00AF1D4B"/>
    <w:rsid w:val="00AF2DC3"/>
    <w:rsid w:val="00AF3B4C"/>
    <w:rsid w:val="00AF45B4"/>
    <w:rsid w:val="00AF5F1A"/>
    <w:rsid w:val="00AF77A4"/>
    <w:rsid w:val="00B00D86"/>
    <w:rsid w:val="00B0272C"/>
    <w:rsid w:val="00B033E5"/>
    <w:rsid w:val="00B03A63"/>
    <w:rsid w:val="00B044E8"/>
    <w:rsid w:val="00B067E6"/>
    <w:rsid w:val="00B06FF0"/>
    <w:rsid w:val="00B0793B"/>
    <w:rsid w:val="00B07E90"/>
    <w:rsid w:val="00B12C52"/>
    <w:rsid w:val="00B13C20"/>
    <w:rsid w:val="00B14ECB"/>
    <w:rsid w:val="00B14F8C"/>
    <w:rsid w:val="00B1641B"/>
    <w:rsid w:val="00B16459"/>
    <w:rsid w:val="00B201A4"/>
    <w:rsid w:val="00B201D1"/>
    <w:rsid w:val="00B203BD"/>
    <w:rsid w:val="00B213A6"/>
    <w:rsid w:val="00B21633"/>
    <w:rsid w:val="00B235B0"/>
    <w:rsid w:val="00B238C7"/>
    <w:rsid w:val="00B24DF6"/>
    <w:rsid w:val="00B30A77"/>
    <w:rsid w:val="00B33237"/>
    <w:rsid w:val="00B334C7"/>
    <w:rsid w:val="00B34047"/>
    <w:rsid w:val="00B34A6F"/>
    <w:rsid w:val="00B34FE2"/>
    <w:rsid w:val="00B35166"/>
    <w:rsid w:val="00B35773"/>
    <w:rsid w:val="00B357D8"/>
    <w:rsid w:val="00B360F4"/>
    <w:rsid w:val="00B365BE"/>
    <w:rsid w:val="00B36A00"/>
    <w:rsid w:val="00B37BFC"/>
    <w:rsid w:val="00B40358"/>
    <w:rsid w:val="00B40611"/>
    <w:rsid w:val="00B41614"/>
    <w:rsid w:val="00B422DC"/>
    <w:rsid w:val="00B42851"/>
    <w:rsid w:val="00B42F80"/>
    <w:rsid w:val="00B432CF"/>
    <w:rsid w:val="00B435CB"/>
    <w:rsid w:val="00B43AC4"/>
    <w:rsid w:val="00B474C1"/>
    <w:rsid w:val="00B47513"/>
    <w:rsid w:val="00B505C8"/>
    <w:rsid w:val="00B50610"/>
    <w:rsid w:val="00B50DB8"/>
    <w:rsid w:val="00B52B08"/>
    <w:rsid w:val="00B53654"/>
    <w:rsid w:val="00B53905"/>
    <w:rsid w:val="00B547C7"/>
    <w:rsid w:val="00B54B5B"/>
    <w:rsid w:val="00B5562E"/>
    <w:rsid w:val="00B55D65"/>
    <w:rsid w:val="00B57000"/>
    <w:rsid w:val="00B60939"/>
    <w:rsid w:val="00B60AFD"/>
    <w:rsid w:val="00B62267"/>
    <w:rsid w:val="00B62715"/>
    <w:rsid w:val="00B6305F"/>
    <w:rsid w:val="00B640B5"/>
    <w:rsid w:val="00B651D8"/>
    <w:rsid w:val="00B65611"/>
    <w:rsid w:val="00B66919"/>
    <w:rsid w:val="00B67F20"/>
    <w:rsid w:val="00B70E8E"/>
    <w:rsid w:val="00B71E05"/>
    <w:rsid w:val="00B723D8"/>
    <w:rsid w:val="00B7387A"/>
    <w:rsid w:val="00B750F2"/>
    <w:rsid w:val="00B75DE6"/>
    <w:rsid w:val="00B76488"/>
    <w:rsid w:val="00B76C92"/>
    <w:rsid w:val="00B816A1"/>
    <w:rsid w:val="00B818A4"/>
    <w:rsid w:val="00B83340"/>
    <w:rsid w:val="00B83510"/>
    <w:rsid w:val="00B83916"/>
    <w:rsid w:val="00B83995"/>
    <w:rsid w:val="00B84117"/>
    <w:rsid w:val="00B84D42"/>
    <w:rsid w:val="00B858F0"/>
    <w:rsid w:val="00B85AA2"/>
    <w:rsid w:val="00B8649C"/>
    <w:rsid w:val="00B86778"/>
    <w:rsid w:val="00B8695D"/>
    <w:rsid w:val="00B87F0A"/>
    <w:rsid w:val="00B92D0B"/>
    <w:rsid w:val="00B92E12"/>
    <w:rsid w:val="00B93173"/>
    <w:rsid w:val="00B93907"/>
    <w:rsid w:val="00B93E84"/>
    <w:rsid w:val="00B942B9"/>
    <w:rsid w:val="00B94945"/>
    <w:rsid w:val="00B94DD6"/>
    <w:rsid w:val="00BA046B"/>
    <w:rsid w:val="00BA0753"/>
    <w:rsid w:val="00BA1D2F"/>
    <w:rsid w:val="00BA322D"/>
    <w:rsid w:val="00BA63FA"/>
    <w:rsid w:val="00BA6CEB"/>
    <w:rsid w:val="00BB00B3"/>
    <w:rsid w:val="00BB02AB"/>
    <w:rsid w:val="00BB0397"/>
    <w:rsid w:val="00BB0BDD"/>
    <w:rsid w:val="00BB1347"/>
    <w:rsid w:val="00BB176C"/>
    <w:rsid w:val="00BB2915"/>
    <w:rsid w:val="00BB2A73"/>
    <w:rsid w:val="00BB2C4C"/>
    <w:rsid w:val="00BB3A45"/>
    <w:rsid w:val="00BB3B69"/>
    <w:rsid w:val="00BB3BD9"/>
    <w:rsid w:val="00BB4ACC"/>
    <w:rsid w:val="00BB59D8"/>
    <w:rsid w:val="00BB6643"/>
    <w:rsid w:val="00BB703E"/>
    <w:rsid w:val="00BB732D"/>
    <w:rsid w:val="00BB73D0"/>
    <w:rsid w:val="00BB7405"/>
    <w:rsid w:val="00BC15C8"/>
    <w:rsid w:val="00BC2140"/>
    <w:rsid w:val="00BC2489"/>
    <w:rsid w:val="00BC34D2"/>
    <w:rsid w:val="00BC3631"/>
    <w:rsid w:val="00BC363F"/>
    <w:rsid w:val="00BC4680"/>
    <w:rsid w:val="00BC591F"/>
    <w:rsid w:val="00BC5BE9"/>
    <w:rsid w:val="00BC65CF"/>
    <w:rsid w:val="00BC6CDB"/>
    <w:rsid w:val="00BC7D6D"/>
    <w:rsid w:val="00BD2108"/>
    <w:rsid w:val="00BD3E9D"/>
    <w:rsid w:val="00BD6118"/>
    <w:rsid w:val="00BD6459"/>
    <w:rsid w:val="00BD68A3"/>
    <w:rsid w:val="00BD690A"/>
    <w:rsid w:val="00BD6938"/>
    <w:rsid w:val="00BD6CF3"/>
    <w:rsid w:val="00BD7E08"/>
    <w:rsid w:val="00BE03F4"/>
    <w:rsid w:val="00BE0EBF"/>
    <w:rsid w:val="00BE0ECA"/>
    <w:rsid w:val="00BE2180"/>
    <w:rsid w:val="00BE21F2"/>
    <w:rsid w:val="00BE3D50"/>
    <w:rsid w:val="00BE4275"/>
    <w:rsid w:val="00BE48F0"/>
    <w:rsid w:val="00BE630F"/>
    <w:rsid w:val="00BF06AE"/>
    <w:rsid w:val="00BF07A9"/>
    <w:rsid w:val="00BF084A"/>
    <w:rsid w:val="00BF0F95"/>
    <w:rsid w:val="00BF165B"/>
    <w:rsid w:val="00BF1809"/>
    <w:rsid w:val="00BF2433"/>
    <w:rsid w:val="00BF54BF"/>
    <w:rsid w:val="00BF5E59"/>
    <w:rsid w:val="00BF61C9"/>
    <w:rsid w:val="00BF622D"/>
    <w:rsid w:val="00BF64A1"/>
    <w:rsid w:val="00BF6C94"/>
    <w:rsid w:val="00C00424"/>
    <w:rsid w:val="00C00AEF"/>
    <w:rsid w:val="00C01978"/>
    <w:rsid w:val="00C02477"/>
    <w:rsid w:val="00C036A1"/>
    <w:rsid w:val="00C05296"/>
    <w:rsid w:val="00C05462"/>
    <w:rsid w:val="00C05ED5"/>
    <w:rsid w:val="00C05F62"/>
    <w:rsid w:val="00C07E4E"/>
    <w:rsid w:val="00C10215"/>
    <w:rsid w:val="00C103C0"/>
    <w:rsid w:val="00C10B32"/>
    <w:rsid w:val="00C10D31"/>
    <w:rsid w:val="00C1179F"/>
    <w:rsid w:val="00C1248C"/>
    <w:rsid w:val="00C12C14"/>
    <w:rsid w:val="00C12D53"/>
    <w:rsid w:val="00C151D4"/>
    <w:rsid w:val="00C15F04"/>
    <w:rsid w:val="00C165CC"/>
    <w:rsid w:val="00C179B3"/>
    <w:rsid w:val="00C17E3F"/>
    <w:rsid w:val="00C200AA"/>
    <w:rsid w:val="00C20D7A"/>
    <w:rsid w:val="00C21098"/>
    <w:rsid w:val="00C237ED"/>
    <w:rsid w:val="00C24632"/>
    <w:rsid w:val="00C25418"/>
    <w:rsid w:val="00C25D9C"/>
    <w:rsid w:val="00C27250"/>
    <w:rsid w:val="00C276A3"/>
    <w:rsid w:val="00C2778B"/>
    <w:rsid w:val="00C31649"/>
    <w:rsid w:val="00C319B0"/>
    <w:rsid w:val="00C31D67"/>
    <w:rsid w:val="00C33A2D"/>
    <w:rsid w:val="00C3434C"/>
    <w:rsid w:val="00C36726"/>
    <w:rsid w:val="00C37795"/>
    <w:rsid w:val="00C40385"/>
    <w:rsid w:val="00C406B4"/>
    <w:rsid w:val="00C40CB2"/>
    <w:rsid w:val="00C41768"/>
    <w:rsid w:val="00C4339E"/>
    <w:rsid w:val="00C44223"/>
    <w:rsid w:val="00C44827"/>
    <w:rsid w:val="00C451D9"/>
    <w:rsid w:val="00C4548C"/>
    <w:rsid w:val="00C4686A"/>
    <w:rsid w:val="00C475AA"/>
    <w:rsid w:val="00C50287"/>
    <w:rsid w:val="00C504FD"/>
    <w:rsid w:val="00C51384"/>
    <w:rsid w:val="00C51E14"/>
    <w:rsid w:val="00C53349"/>
    <w:rsid w:val="00C53C98"/>
    <w:rsid w:val="00C54651"/>
    <w:rsid w:val="00C55DA9"/>
    <w:rsid w:val="00C56FCF"/>
    <w:rsid w:val="00C57066"/>
    <w:rsid w:val="00C57B6C"/>
    <w:rsid w:val="00C57EBB"/>
    <w:rsid w:val="00C6040C"/>
    <w:rsid w:val="00C60B76"/>
    <w:rsid w:val="00C60B80"/>
    <w:rsid w:val="00C625A4"/>
    <w:rsid w:val="00C6277C"/>
    <w:rsid w:val="00C628A6"/>
    <w:rsid w:val="00C62CCC"/>
    <w:rsid w:val="00C631EA"/>
    <w:rsid w:val="00C63F48"/>
    <w:rsid w:val="00C64344"/>
    <w:rsid w:val="00C65108"/>
    <w:rsid w:val="00C65576"/>
    <w:rsid w:val="00C65DC6"/>
    <w:rsid w:val="00C66165"/>
    <w:rsid w:val="00C70446"/>
    <w:rsid w:val="00C704D4"/>
    <w:rsid w:val="00C7060A"/>
    <w:rsid w:val="00C709F2"/>
    <w:rsid w:val="00C7151A"/>
    <w:rsid w:val="00C716EC"/>
    <w:rsid w:val="00C7174E"/>
    <w:rsid w:val="00C717E3"/>
    <w:rsid w:val="00C71F60"/>
    <w:rsid w:val="00C72241"/>
    <w:rsid w:val="00C724DB"/>
    <w:rsid w:val="00C74555"/>
    <w:rsid w:val="00C74DCD"/>
    <w:rsid w:val="00C750C8"/>
    <w:rsid w:val="00C7560F"/>
    <w:rsid w:val="00C75B57"/>
    <w:rsid w:val="00C75DF6"/>
    <w:rsid w:val="00C76838"/>
    <w:rsid w:val="00C76B6B"/>
    <w:rsid w:val="00C77187"/>
    <w:rsid w:val="00C80367"/>
    <w:rsid w:val="00C8049C"/>
    <w:rsid w:val="00C809BB"/>
    <w:rsid w:val="00C80A0E"/>
    <w:rsid w:val="00C8213F"/>
    <w:rsid w:val="00C832F1"/>
    <w:rsid w:val="00C83B29"/>
    <w:rsid w:val="00C85154"/>
    <w:rsid w:val="00C862ED"/>
    <w:rsid w:val="00C867F8"/>
    <w:rsid w:val="00C8797A"/>
    <w:rsid w:val="00C87CC4"/>
    <w:rsid w:val="00C900B8"/>
    <w:rsid w:val="00C90C71"/>
    <w:rsid w:val="00C91FD1"/>
    <w:rsid w:val="00C92018"/>
    <w:rsid w:val="00C931CF"/>
    <w:rsid w:val="00C938CF"/>
    <w:rsid w:val="00C94053"/>
    <w:rsid w:val="00C947FE"/>
    <w:rsid w:val="00C94B8D"/>
    <w:rsid w:val="00C9624D"/>
    <w:rsid w:val="00C9684D"/>
    <w:rsid w:val="00C969DA"/>
    <w:rsid w:val="00C96AE2"/>
    <w:rsid w:val="00CA20C2"/>
    <w:rsid w:val="00CA2C77"/>
    <w:rsid w:val="00CA3534"/>
    <w:rsid w:val="00CA3AFD"/>
    <w:rsid w:val="00CA444F"/>
    <w:rsid w:val="00CA5245"/>
    <w:rsid w:val="00CA5863"/>
    <w:rsid w:val="00CA5DCF"/>
    <w:rsid w:val="00CA6855"/>
    <w:rsid w:val="00CA6E38"/>
    <w:rsid w:val="00CA71F4"/>
    <w:rsid w:val="00CA7B09"/>
    <w:rsid w:val="00CB12A5"/>
    <w:rsid w:val="00CB1476"/>
    <w:rsid w:val="00CB1B65"/>
    <w:rsid w:val="00CB1CAC"/>
    <w:rsid w:val="00CB219C"/>
    <w:rsid w:val="00CB2F2A"/>
    <w:rsid w:val="00CB3038"/>
    <w:rsid w:val="00CB5708"/>
    <w:rsid w:val="00CB5B1A"/>
    <w:rsid w:val="00CB6B22"/>
    <w:rsid w:val="00CB726B"/>
    <w:rsid w:val="00CB7F5F"/>
    <w:rsid w:val="00CC04CB"/>
    <w:rsid w:val="00CC0632"/>
    <w:rsid w:val="00CC1118"/>
    <w:rsid w:val="00CC1B39"/>
    <w:rsid w:val="00CC24C3"/>
    <w:rsid w:val="00CC292A"/>
    <w:rsid w:val="00CC35EA"/>
    <w:rsid w:val="00CC3848"/>
    <w:rsid w:val="00CC3ED1"/>
    <w:rsid w:val="00CC4150"/>
    <w:rsid w:val="00CC6186"/>
    <w:rsid w:val="00CC61D3"/>
    <w:rsid w:val="00CC7286"/>
    <w:rsid w:val="00CC74D0"/>
    <w:rsid w:val="00CD0AAC"/>
    <w:rsid w:val="00CD13FF"/>
    <w:rsid w:val="00CD3F77"/>
    <w:rsid w:val="00CD4A0D"/>
    <w:rsid w:val="00CD6ADC"/>
    <w:rsid w:val="00CD7193"/>
    <w:rsid w:val="00CD781F"/>
    <w:rsid w:val="00CD7F3C"/>
    <w:rsid w:val="00CE2AE4"/>
    <w:rsid w:val="00CE38C8"/>
    <w:rsid w:val="00CE456D"/>
    <w:rsid w:val="00CE6274"/>
    <w:rsid w:val="00CE65B6"/>
    <w:rsid w:val="00CE6FA9"/>
    <w:rsid w:val="00CE77B6"/>
    <w:rsid w:val="00CE79DD"/>
    <w:rsid w:val="00CE7FCB"/>
    <w:rsid w:val="00CF285E"/>
    <w:rsid w:val="00CF2B8D"/>
    <w:rsid w:val="00CF2E16"/>
    <w:rsid w:val="00CF3B3A"/>
    <w:rsid w:val="00CF456B"/>
    <w:rsid w:val="00CF4EBC"/>
    <w:rsid w:val="00CF5A22"/>
    <w:rsid w:val="00CF70E1"/>
    <w:rsid w:val="00CF79FE"/>
    <w:rsid w:val="00D0183F"/>
    <w:rsid w:val="00D0262E"/>
    <w:rsid w:val="00D05E3D"/>
    <w:rsid w:val="00D06139"/>
    <w:rsid w:val="00D07448"/>
    <w:rsid w:val="00D110BD"/>
    <w:rsid w:val="00D11B3E"/>
    <w:rsid w:val="00D12B65"/>
    <w:rsid w:val="00D13675"/>
    <w:rsid w:val="00D141E1"/>
    <w:rsid w:val="00D1426E"/>
    <w:rsid w:val="00D14CEA"/>
    <w:rsid w:val="00D15314"/>
    <w:rsid w:val="00D17D6C"/>
    <w:rsid w:val="00D2155B"/>
    <w:rsid w:val="00D23D11"/>
    <w:rsid w:val="00D24036"/>
    <w:rsid w:val="00D244B6"/>
    <w:rsid w:val="00D249D2"/>
    <w:rsid w:val="00D258BC"/>
    <w:rsid w:val="00D274C3"/>
    <w:rsid w:val="00D2754D"/>
    <w:rsid w:val="00D279EF"/>
    <w:rsid w:val="00D27B27"/>
    <w:rsid w:val="00D307EF"/>
    <w:rsid w:val="00D3100F"/>
    <w:rsid w:val="00D314B3"/>
    <w:rsid w:val="00D339E3"/>
    <w:rsid w:val="00D33BE9"/>
    <w:rsid w:val="00D33F93"/>
    <w:rsid w:val="00D35018"/>
    <w:rsid w:val="00D35230"/>
    <w:rsid w:val="00D357FF"/>
    <w:rsid w:val="00D35A4C"/>
    <w:rsid w:val="00D420D0"/>
    <w:rsid w:val="00D424C7"/>
    <w:rsid w:val="00D43B2A"/>
    <w:rsid w:val="00D43D83"/>
    <w:rsid w:val="00D462F0"/>
    <w:rsid w:val="00D463D9"/>
    <w:rsid w:val="00D47575"/>
    <w:rsid w:val="00D50528"/>
    <w:rsid w:val="00D507C6"/>
    <w:rsid w:val="00D5243B"/>
    <w:rsid w:val="00D52947"/>
    <w:rsid w:val="00D52C66"/>
    <w:rsid w:val="00D533EC"/>
    <w:rsid w:val="00D54898"/>
    <w:rsid w:val="00D555A6"/>
    <w:rsid w:val="00D55A44"/>
    <w:rsid w:val="00D56522"/>
    <w:rsid w:val="00D56A95"/>
    <w:rsid w:val="00D606D3"/>
    <w:rsid w:val="00D60737"/>
    <w:rsid w:val="00D61CC0"/>
    <w:rsid w:val="00D62421"/>
    <w:rsid w:val="00D63142"/>
    <w:rsid w:val="00D7054C"/>
    <w:rsid w:val="00D70F16"/>
    <w:rsid w:val="00D71784"/>
    <w:rsid w:val="00D71BEB"/>
    <w:rsid w:val="00D72F57"/>
    <w:rsid w:val="00D74993"/>
    <w:rsid w:val="00D76275"/>
    <w:rsid w:val="00D76A44"/>
    <w:rsid w:val="00D815EF"/>
    <w:rsid w:val="00D81F26"/>
    <w:rsid w:val="00D8208E"/>
    <w:rsid w:val="00D837E8"/>
    <w:rsid w:val="00D84649"/>
    <w:rsid w:val="00D86231"/>
    <w:rsid w:val="00D86363"/>
    <w:rsid w:val="00D86DF7"/>
    <w:rsid w:val="00D91539"/>
    <w:rsid w:val="00D91923"/>
    <w:rsid w:val="00D93753"/>
    <w:rsid w:val="00D950A6"/>
    <w:rsid w:val="00D96B67"/>
    <w:rsid w:val="00D96D74"/>
    <w:rsid w:val="00D97F6E"/>
    <w:rsid w:val="00DA24FE"/>
    <w:rsid w:val="00DA26B1"/>
    <w:rsid w:val="00DA3167"/>
    <w:rsid w:val="00DA3841"/>
    <w:rsid w:val="00DA4A13"/>
    <w:rsid w:val="00DA4DC3"/>
    <w:rsid w:val="00DA77A5"/>
    <w:rsid w:val="00DB13EF"/>
    <w:rsid w:val="00DB2E00"/>
    <w:rsid w:val="00DB3CFF"/>
    <w:rsid w:val="00DB3DBF"/>
    <w:rsid w:val="00DB472C"/>
    <w:rsid w:val="00DB484F"/>
    <w:rsid w:val="00DB4BC1"/>
    <w:rsid w:val="00DB7C77"/>
    <w:rsid w:val="00DC038F"/>
    <w:rsid w:val="00DC04F6"/>
    <w:rsid w:val="00DC0690"/>
    <w:rsid w:val="00DC1D65"/>
    <w:rsid w:val="00DC2D06"/>
    <w:rsid w:val="00DC3495"/>
    <w:rsid w:val="00DC3C57"/>
    <w:rsid w:val="00DC3E6E"/>
    <w:rsid w:val="00DC5501"/>
    <w:rsid w:val="00DC7154"/>
    <w:rsid w:val="00DC79D6"/>
    <w:rsid w:val="00DC7D6C"/>
    <w:rsid w:val="00DC7E8A"/>
    <w:rsid w:val="00DD025B"/>
    <w:rsid w:val="00DD0F78"/>
    <w:rsid w:val="00DD273C"/>
    <w:rsid w:val="00DD346B"/>
    <w:rsid w:val="00DD3F28"/>
    <w:rsid w:val="00DD3F5E"/>
    <w:rsid w:val="00DD4537"/>
    <w:rsid w:val="00DD4E15"/>
    <w:rsid w:val="00DD57E6"/>
    <w:rsid w:val="00DD593A"/>
    <w:rsid w:val="00DD59D8"/>
    <w:rsid w:val="00DD5A4F"/>
    <w:rsid w:val="00DD6242"/>
    <w:rsid w:val="00DD6B55"/>
    <w:rsid w:val="00DE10F8"/>
    <w:rsid w:val="00DE1B43"/>
    <w:rsid w:val="00DE2273"/>
    <w:rsid w:val="00DE2304"/>
    <w:rsid w:val="00DE26CE"/>
    <w:rsid w:val="00DE3138"/>
    <w:rsid w:val="00DE37F8"/>
    <w:rsid w:val="00DE3BE5"/>
    <w:rsid w:val="00DE4FCB"/>
    <w:rsid w:val="00DE516B"/>
    <w:rsid w:val="00DE5383"/>
    <w:rsid w:val="00DE58CE"/>
    <w:rsid w:val="00DE5D07"/>
    <w:rsid w:val="00DE72A7"/>
    <w:rsid w:val="00DE7832"/>
    <w:rsid w:val="00DE7D51"/>
    <w:rsid w:val="00DF0232"/>
    <w:rsid w:val="00DF1746"/>
    <w:rsid w:val="00DF18FC"/>
    <w:rsid w:val="00DF5D2B"/>
    <w:rsid w:val="00DF7ADF"/>
    <w:rsid w:val="00E00E8E"/>
    <w:rsid w:val="00E011FE"/>
    <w:rsid w:val="00E02689"/>
    <w:rsid w:val="00E039FC"/>
    <w:rsid w:val="00E03FCE"/>
    <w:rsid w:val="00E053D9"/>
    <w:rsid w:val="00E05630"/>
    <w:rsid w:val="00E06DBB"/>
    <w:rsid w:val="00E06FD9"/>
    <w:rsid w:val="00E07489"/>
    <w:rsid w:val="00E10149"/>
    <w:rsid w:val="00E111B7"/>
    <w:rsid w:val="00E11340"/>
    <w:rsid w:val="00E11847"/>
    <w:rsid w:val="00E11F6C"/>
    <w:rsid w:val="00E122A1"/>
    <w:rsid w:val="00E12400"/>
    <w:rsid w:val="00E12807"/>
    <w:rsid w:val="00E12AEA"/>
    <w:rsid w:val="00E130EB"/>
    <w:rsid w:val="00E1427C"/>
    <w:rsid w:val="00E16372"/>
    <w:rsid w:val="00E176BB"/>
    <w:rsid w:val="00E17E7B"/>
    <w:rsid w:val="00E20CF6"/>
    <w:rsid w:val="00E20E4D"/>
    <w:rsid w:val="00E20ED6"/>
    <w:rsid w:val="00E21358"/>
    <w:rsid w:val="00E217D1"/>
    <w:rsid w:val="00E2249B"/>
    <w:rsid w:val="00E227D7"/>
    <w:rsid w:val="00E22868"/>
    <w:rsid w:val="00E22A0D"/>
    <w:rsid w:val="00E22E76"/>
    <w:rsid w:val="00E231A8"/>
    <w:rsid w:val="00E231E4"/>
    <w:rsid w:val="00E244F6"/>
    <w:rsid w:val="00E24602"/>
    <w:rsid w:val="00E24D2C"/>
    <w:rsid w:val="00E27096"/>
    <w:rsid w:val="00E2771E"/>
    <w:rsid w:val="00E30374"/>
    <w:rsid w:val="00E306EF"/>
    <w:rsid w:val="00E31114"/>
    <w:rsid w:val="00E311EB"/>
    <w:rsid w:val="00E311EF"/>
    <w:rsid w:val="00E32180"/>
    <w:rsid w:val="00E33CAB"/>
    <w:rsid w:val="00E33CD3"/>
    <w:rsid w:val="00E3482E"/>
    <w:rsid w:val="00E34948"/>
    <w:rsid w:val="00E34A62"/>
    <w:rsid w:val="00E3578D"/>
    <w:rsid w:val="00E37569"/>
    <w:rsid w:val="00E401B2"/>
    <w:rsid w:val="00E41257"/>
    <w:rsid w:val="00E41E30"/>
    <w:rsid w:val="00E42F73"/>
    <w:rsid w:val="00E43D70"/>
    <w:rsid w:val="00E466F3"/>
    <w:rsid w:val="00E46954"/>
    <w:rsid w:val="00E4724E"/>
    <w:rsid w:val="00E479BA"/>
    <w:rsid w:val="00E47B2C"/>
    <w:rsid w:val="00E51560"/>
    <w:rsid w:val="00E51EAC"/>
    <w:rsid w:val="00E525AB"/>
    <w:rsid w:val="00E53311"/>
    <w:rsid w:val="00E53579"/>
    <w:rsid w:val="00E53842"/>
    <w:rsid w:val="00E53D78"/>
    <w:rsid w:val="00E53FC8"/>
    <w:rsid w:val="00E54347"/>
    <w:rsid w:val="00E55424"/>
    <w:rsid w:val="00E55915"/>
    <w:rsid w:val="00E55BB5"/>
    <w:rsid w:val="00E610C3"/>
    <w:rsid w:val="00E628EA"/>
    <w:rsid w:val="00E655B5"/>
    <w:rsid w:val="00E65E79"/>
    <w:rsid w:val="00E66552"/>
    <w:rsid w:val="00E66BA2"/>
    <w:rsid w:val="00E67416"/>
    <w:rsid w:val="00E7001E"/>
    <w:rsid w:val="00E718B6"/>
    <w:rsid w:val="00E718CB"/>
    <w:rsid w:val="00E723BA"/>
    <w:rsid w:val="00E73581"/>
    <w:rsid w:val="00E73772"/>
    <w:rsid w:val="00E74124"/>
    <w:rsid w:val="00E76467"/>
    <w:rsid w:val="00E77B82"/>
    <w:rsid w:val="00E809C6"/>
    <w:rsid w:val="00E80BDC"/>
    <w:rsid w:val="00E80F5F"/>
    <w:rsid w:val="00E81A00"/>
    <w:rsid w:val="00E833F7"/>
    <w:rsid w:val="00E83BDF"/>
    <w:rsid w:val="00E8582E"/>
    <w:rsid w:val="00E860A9"/>
    <w:rsid w:val="00E879D1"/>
    <w:rsid w:val="00E87A1D"/>
    <w:rsid w:val="00E906F6"/>
    <w:rsid w:val="00E9094A"/>
    <w:rsid w:val="00E91D35"/>
    <w:rsid w:val="00E926A5"/>
    <w:rsid w:val="00E9439E"/>
    <w:rsid w:val="00E9614F"/>
    <w:rsid w:val="00E96B9D"/>
    <w:rsid w:val="00EA062D"/>
    <w:rsid w:val="00EA17C3"/>
    <w:rsid w:val="00EA2214"/>
    <w:rsid w:val="00EA247A"/>
    <w:rsid w:val="00EA24AB"/>
    <w:rsid w:val="00EA2A40"/>
    <w:rsid w:val="00EA2CAA"/>
    <w:rsid w:val="00EA3864"/>
    <w:rsid w:val="00EA491C"/>
    <w:rsid w:val="00EA6037"/>
    <w:rsid w:val="00EA73CC"/>
    <w:rsid w:val="00EA76B9"/>
    <w:rsid w:val="00EA7BE5"/>
    <w:rsid w:val="00EA7F1C"/>
    <w:rsid w:val="00EB0258"/>
    <w:rsid w:val="00EB090B"/>
    <w:rsid w:val="00EB0DCB"/>
    <w:rsid w:val="00EB1216"/>
    <w:rsid w:val="00EB15B6"/>
    <w:rsid w:val="00EB375F"/>
    <w:rsid w:val="00EB3D06"/>
    <w:rsid w:val="00EB4916"/>
    <w:rsid w:val="00EB585C"/>
    <w:rsid w:val="00EB5D5E"/>
    <w:rsid w:val="00EC00C9"/>
    <w:rsid w:val="00EC0DD9"/>
    <w:rsid w:val="00EC1669"/>
    <w:rsid w:val="00EC1E95"/>
    <w:rsid w:val="00EC2649"/>
    <w:rsid w:val="00EC2E9B"/>
    <w:rsid w:val="00EC31ED"/>
    <w:rsid w:val="00EC4DDD"/>
    <w:rsid w:val="00EC5836"/>
    <w:rsid w:val="00EC688C"/>
    <w:rsid w:val="00ED1419"/>
    <w:rsid w:val="00ED57EA"/>
    <w:rsid w:val="00ED5AF2"/>
    <w:rsid w:val="00ED5BD4"/>
    <w:rsid w:val="00ED6E10"/>
    <w:rsid w:val="00ED6F47"/>
    <w:rsid w:val="00EE07D3"/>
    <w:rsid w:val="00EE0920"/>
    <w:rsid w:val="00EE0C80"/>
    <w:rsid w:val="00EE1996"/>
    <w:rsid w:val="00EE1C01"/>
    <w:rsid w:val="00EE22AF"/>
    <w:rsid w:val="00EE3762"/>
    <w:rsid w:val="00EE4097"/>
    <w:rsid w:val="00EE4249"/>
    <w:rsid w:val="00EE47FF"/>
    <w:rsid w:val="00EE7F6A"/>
    <w:rsid w:val="00EF00A6"/>
    <w:rsid w:val="00EF0171"/>
    <w:rsid w:val="00EF1B25"/>
    <w:rsid w:val="00EF1DA0"/>
    <w:rsid w:val="00EF1E8B"/>
    <w:rsid w:val="00EF2084"/>
    <w:rsid w:val="00EF25DA"/>
    <w:rsid w:val="00EF4747"/>
    <w:rsid w:val="00EF4BF8"/>
    <w:rsid w:val="00EF4C9B"/>
    <w:rsid w:val="00EF780D"/>
    <w:rsid w:val="00F02253"/>
    <w:rsid w:val="00F03C2E"/>
    <w:rsid w:val="00F04A66"/>
    <w:rsid w:val="00F04B4B"/>
    <w:rsid w:val="00F04CB3"/>
    <w:rsid w:val="00F0516C"/>
    <w:rsid w:val="00F0541D"/>
    <w:rsid w:val="00F067A2"/>
    <w:rsid w:val="00F07B9E"/>
    <w:rsid w:val="00F1116F"/>
    <w:rsid w:val="00F11238"/>
    <w:rsid w:val="00F112C4"/>
    <w:rsid w:val="00F11499"/>
    <w:rsid w:val="00F1263A"/>
    <w:rsid w:val="00F15B77"/>
    <w:rsid w:val="00F15E75"/>
    <w:rsid w:val="00F16DF4"/>
    <w:rsid w:val="00F227A5"/>
    <w:rsid w:val="00F24072"/>
    <w:rsid w:val="00F24837"/>
    <w:rsid w:val="00F24C9B"/>
    <w:rsid w:val="00F25587"/>
    <w:rsid w:val="00F2575F"/>
    <w:rsid w:val="00F27565"/>
    <w:rsid w:val="00F279D0"/>
    <w:rsid w:val="00F310D4"/>
    <w:rsid w:val="00F310FD"/>
    <w:rsid w:val="00F3152B"/>
    <w:rsid w:val="00F31827"/>
    <w:rsid w:val="00F31D5A"/>
    <w:rsid w:val="00F323AF"/>
    <w:rsid w:val="00F33975"/>
    <w:rsid w:val="00F33DE9"/>
    <w:rsid w:val="00F34926"/>
    <w:rsid w:val="00F3534E"/>
    <w:rsid w:val="00F35E6D"/>
    <w:rsid w:val="00F3619A"/>
    <w:rsid w:val="00F37FEE"/>
    <w:rsid w:val="00F405E5"/>
    <w:rsid w:val="00F40AAA"/>
    <w:rsid w:val="00F40BA7"/>
    <w:rsid w:val="00F40F9D"/>
    <w:rsid w:val="00F41506"/>
    <w:rsid w:val="00F41ACD"/>
    <w:rsid w:val="00F42CD3"/>
    <w:rsid w:val="00F4438E"/>
    <w:rsid w:val="00F449D0"/>
    <w:rsid w:val="00F45167"/>
    <w:rsid w:val="00F458C6"/>
    <w:rsid w:val="00F46905"/>
    <w:rsid w:val="00F46CB6"/>
    <w:rsid w:val="00F4756D"/>
    <w:rsid w:val="00F47DE8"/>
    <w:rsid w:val="00F502B1"/>
    <w:rsid w:val="00F50AEA"/>
    <w:rsid w:val="00F52C9D"/>
    <w:rsid w:val="00F542C1"/>
    <w:rsid w:val="00F54E27"/>
    <w:rsid w:val="00F55E73"/>
    <w:rsid w:val="00F55EDA"/>
    <w:rsid w:val="00F56C80"/>
    <w:rsid w:val="00F56F30"/>
    <w:rsid w:val="00F60092"/>
    <w:rsid w:val="00F60C0B"/>
    <w:rsid w:val="00F6121D"/>
    <w:rsid w:val="00F619CA"/>
    <w:rsid w:val="00F61C18"/>
    <w:rsid w:val="00F6355A"/>
    <w:rsid w:val="00F65044"/>
    <w:rsid w:val="00F65F4B"/>
    <w:rsid w:val="00F669B5"/>
    <w:rsid w:val="00F66C39"/>
    <w:rsid w:val="00F66F54"/>
    <w:rsid w:val="00F67001"/>
    <w:rsid w:val="00F67A69"/>
    <w:rsid w:val="00F70BFF"/>
    <w:rsid w:val="00F70C9D"/>
    <w:rsid w:val="00F71DDD"/>
    <w:rsid w:val="00F748B9"/>
    <w:rsid w:val="00F74CD9"/>
    <w:rsid w:val="00F74E48"/>
    <w:rsid w:val="00F74F2C"/>
    <w:rsid w:val="00F758D9"/>
    <w:rsid w:val="00F7617F"/>
    <w:rsid w:val="00F77246"/>
    <w:rsid w:val="00F77828"/>
    <w:rsid w:val="00F80A7B"/>
    <w:rsid w:val="00F80E5D"/>
    <w:rsid w:val="00F81E78"/>
    <w:rsid w:val="00F82C76"/>
    <w:rsid w:val="00F83CE3"/>
    <w:rsid w:val="00F851CE"/>
    <w:rsid w:val="00F85EA8"/>
    <w:rsid w:val="00F87054"/>
    <w:rsid w:val="00F90946"/>
    <w:rsid w:val="00F911D2"/>
    <w:rsid w:val="00F91219"/>
    <w:rsid w:val="00F92444"/>
    <w:rsid w:val="00F9393E"/>
    <w:rsid w:val="00F9426F"/>
    <w:rsid w:val="00F95C84"/>
    <w:rsid w:val="00F961EB"/>
    <w:rsid w:val="00F9651B"/>
    <w:rsid w:val="00F966B5"/>
    <w:rsid w:val="00F96FD0"/>
    <w:rsid w:val="00F97A78"/>
    <w:rsid w:val="00FA0B20"/>
    <w:rsid w:val="00FA24E7"/>
    <w:rsid w:val="00FA41E7"/>
    <w:rsid w:val="00FA4810"/>
    <w:rsid w:val="00FA5EE6"/>
    <w:rsid w:val="00FA7956"/>
    <w:rsid w:val="00FA7975"/>
    <w:rsid w:val="00FB2808"/>
    <w:rsid w:val="00FB2FCB"/>
    <w:rsid w:val="00FB4615"/>
    <w:rsid w:val="00FB4C49"/>
    <w:rsid w:val="00FB6817"/>
    <w:rsid w:val="00FB7079"/>
    <w:rsid w:val="00FB78F4"/>
    <w:rsid w:val="00FB7C55"/>
    <w:rsid w:val="00FC105E"/>
    <w:rsid w:val="00FC1074"/>
    <w:rsid w:val="00FC1884"/>
    <w:rsid w:val="00FC371D"/>
    <w:rsid w:val="00FC37A5"/>
    <w:rsid w:val="00FC4346"/>
    <w:rsid w:val="00FC489B"/>
    <w:rsid w:val="00FC4DA0"/>
    <w:rsid w:val="00FC5F0B"/>
    <w:rsid w:val="00FC6D2A"/>
    <w:rsid w:val="00FC794A"/>
    <w:rsid w:val="00FD011E"/>
    <w:rsid w:val="00FD06D6"/>
    <w:rsid w:val="00FD2100"/>
    <w:rsid w:val="00FD288A"/>
    <w:rsid w:val="00FD3942"/>
    <w:rsid w:val="00FD436C"/>
    <w:rsid w:val="00FD446D"/>
    <w:rsid w:val="00FD4F2C"/>
    <w:rsid w:val="00FD5116"/>
    <w:rsid w:val="00FD6394"/>
    <w:rsid w:val="00FD6E7C"/>
    <w:rsid w:val="00FD7046"/>
    <w:rsid w:val="00FE0E6C"/>
    <w:rsid w:val="00FE19AB"/>
    <w:rsid w:val="00FE1C68"/>
    <w:rsid w:val="00FE1CDC"/>
    <w:rsid w:val="00FE1EDE"/>
    <w:rsid w:val="00FE329B"/>
    <w:rsid w:val="00FE5929"/>
    <w:rsid w:val="00FE70C3"/>
    <w:rsid w:val="00FF0759"/>
    <w:rsid w:val="00FF2A50"/>
    <w:rsid w:val="00FF2AD9"/>
    <w:rsid w:val="00FF359F"/>
    <w:rsid w:val="00FF372A"/>
    <w:rsid w:val="00FF3CAD"/>
    <w:rsid w:val="00FF3DCF"/>
    <w:rsid w:val="00FF4598"/>
    <w:rsid w:val="00FF492C"/>
    <w:rsid w:val="00FF4A21"/>
    <w:rsid w:val="00FF4A98"/>
    <w:rsid w:val="00FF4E00"/>
    <w:rsid w:val="00FF5037"/>
    <w:rsid w:val="00FF5AA3"/>
    <w:rsid w:val="00FF5AD8"/>
    <w:rsid w:val="00FF606C"/>
    <w:rsid w:val="00FF63C5"/>
    <w:rsid w:val="00FF75A9"/>
    <w:rsid w:val="00FF7827"/>
    <w:rsid w:val="02F6BB93"/>
    <w:rsid w:val="05C7B4A5"/>
    <w:rsid w:val="086C96DC"/>
    <w:rsid w:val="0CD4E5C6"/>
    <w:rsid w:val="0EE4D6BD"/>
    <w:rsid w:val="10C4D3A9"/>
    <w:rsid w:val="126CBF75"/>
    <w:rsid w:val="1336741D"/>
    <w:rsid w:val="17403098"/>
    <w:rsid w:val="18730ECE"/>
    <w:rsid w:val="1A5EA8FD"/>
    <w:rsid w:val="1B2D7B4C"/>
    <w:rsid w:val="21B59209"/>
    <w:rsid w:val="226FAF2F"/>
    <w:rsid w:val="2351953B"/>
    <w:rsid w:val="2689032C"/>
    <w:rsid w:val="2699D95C"/>
    <w:rsid w:val="27F31B46"/>
    <w:rsid w:val="2A2D01A6"/>
    <w:rsid w:val="2B56FEAB"/>
    <w:rsid w:val="2BB10F13"/>
    <w:rsid w:val="2CF844B0"/>
    <w:rsid w:val="2D48281A"/>
    <w:rsid w:val="2F83D4F3"/>
    <w:rsid w:val="2F97E3EB"/>
    <w:rsid w:val="31F7FEE6"/>
    <w:rsid w:val="3283D2A2"/>
    <w:rsid w:val="337BDD67"/>
    <w:rsid w:val="3461EB03"/>
    <w:rsid w:val="3607EFB8"/>
    <w:rsid w:val="37F02AA3"/>
    <w:rsid w:val="38FD0203"/>
    <w:rsid w:val="391591ED"/>
    <w:rsid w:val="3B4FBCC9"/>
    <w:rsid w:val="3B56DD64"/>
    <w:rsid w:val="3C4D32AF"/>
    <w:rsid w:val="3C5E08DF"/>
    <w:rsid w:val="3E919467"/>
    <w:rsid w:val="3EC04872"/>
    <w:rsid w:val="407CC449"/>
    <w:rsid w:val="40815DC3"/>
    <w:rsid w:val="43AD8C68"/>
    <w:rsid w:val="45539A6E"/>
    <w:rsid w:val="456E23D3"/>
    <w:rsid w:val="478FE556"/>
    <w:rsid w:val="48440E2F"/>
    <w:rsid w:val="497CDF4A"/>
    <w:rsid w:val="49E7CC16"/>
    <w:rsid w:val="4B3DA969"/>
    <w:rsid w:val="4EA56EDB"/>
    <w:rsid w:val="51DD0F9D"/>
    <w:rsid w:val="51F2DDFB"/>
    <w:rsid w:val="52DEB368"/>
    <w:rsid w:val="536BCA19"/>
    <w:rsid w:val="538EAE5C"/>
    <w:rsid w:val="5461BE62"/>
    <w:rsid w:val="546D5416"/>
    <w:rsid w:val="55B9551A"/>
    <w:rsid w:val="5949C707"/>
    <w:rsid w:val="599E6536"/>
    <w:rsid w:val="59D2B694"/>
    <w:rsid w:val="5A1C7417"/>
    <w:rsid w:val="5B99C041"/>
    <w:rsid w:val="5CFA5841"/>
    <w:rsid w:val="5E3D9EA4"/>
    <w:rsid w:val="6034C000"/>
    <w:rsid w:val="612EEB2A"/>
    <w:rsid w:val="674C318B"/>
    <w:rsid w:val="679DE521"/>
    <w:rsid w:val="6939B582"/>
    <w:rsid w:val="69518C01"/>
    <w:rsid w:val="69587CB1"/>
    <w:rsid w:val="6A9C8AD3"/>
    <w:rsid w:val="6B881C74"/>
    <w:rsid w:val="6C7B1740"/>
    <w:rsid w:val="6CF8F3A7"/>
    <w:rsid w:val="6D3DA3F7"/>
    <w:rsid w:val="6E264F02"/>
    <w:rsid w:val="7144C767"/>
    <w:rsid w:val="750F4BC9"/>
    <w:rsid w:val="75BD05D1"/>
    <w:rsid w:val="76478BF0"/>
    <w:rsid w:val="780041AB"/>
    <w:rsid w:val="7AEBA9AD"/>
    <w:rsid w:val="7C877A0E"/>
    <w:rsid w:val="7DB2E9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D0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customStyle="1" w:styleId="Heading2text">
    <w:name w:val="Heading 2 text"/>
    <w:basedOn w:val="Normal"/>
    <w:next w:val="Normal"/>
    <w:uiPriority w:val="99"/>
    <w:rsid w:val="00F11499"/>
    <w:pPr>
      <w:spacing w:before="120" w:after="60"/>
      <w:jc w:val="left"/>
      <w:outlineLvl w:val="0"/>
    </w:pPr>
    <w:rPr>
      <w:b/>
      <w:sz w:val="28"/>
      <w:szCs w:val="22"/>
      <w:lang w:eastAsia="en-US"/>
    </w:rPr>
  </w:style>
  <w:style w:type="paragraph" w:customStyle="1" w:styleId="CaptionFootnote">
    <w:name w:val="Caption Footnote"/>
    <w:basedOn w:val="Caption"/>
    <w:link w:val="CaptionFootnoteChar"/>
    <w:qFormat/>
    <w:rsid w:val="00937FCC"/>
    <w:pPr>
      <w:widowControl w:val="0"/>
      <w:spacing w:after="240"/>
      <w:contextualSpacing/>
      <w:jc w:val="left"/>
    </w:pPr>
    <w:rPr>
      <w:rFonts w:ascii="Arial Narrow" w:eastAsia="SimSun" w:hAnsi="Arial Narrow" w:cs="Times New Roman"/>
      <w:b w:val="0"/>
      <w:color w:val="auto"/>
      <w:lang w:eastAsia="en-US" w:bidi="en-US"/>
    </w:rPr>
  </w:style>
  <w:style w:type="character" w:customStyle="1" w:styleId="CaptionFootnoteChar">
    <w:name w:val="Caption Footnote Char"/>
    <w:link w:val="CaptionFootnote"/>
    <w:rsid w:val="00937FCC"/>
    <w:rPr>
      <w:rFonts w:ascii="Arial Narrow" w:eastAsia="SimSun" w:hAnsi="Arial Narrow"/>
      <w:bCs/>
      <w:sz w:val="18"/>
      <w:szCs w:val="18"/>
      <w:lang w:eastAsia="en-US" w:bidi="en-US"/>
    </w:rPr>
  </w:style>
  <w:style w:type="paragraph" w:styleId="FootnoteText">
    <w:name w:val="footnote text"/>
    <w:basedOn w:val="Normal"/>
    <w:link w:val="FootnoteTextChar"/>
    <w:semiHidden/>
    <w:unhideWhenUsed/>
    <w:rsid w:val="00D52947"/>
    <w:rPr>
      <w:sz w:val="20"/>
      <w:szCs w:val="20"/>
    </w:rPr>
  </w:style>
  <w:style w:type="character" w:customStyle="1" w:styleId="FootnoteTextChar">
    <w:name w:val="Footnote Text Char"/>
    <w:basedOn w:val="DefaultParagraphFont"/>
    <w:link w:val="FootnoteText"/>
    <w:semiHidden/>
    <w:rsid w:val="00D52947"/>
    <w:rPr>
      <w:rFonts w:ascii="Calibri" w:hAnsi="Calibri" w:cs="Arial"/>
    </w:rPr>
  </w:style>
  <w:style w:type="character" w:styleId="FootnoteReference">
    <w:name w:val="footnote reference"/>
    <w:basedOn w:val="DefaultParagraphFont"/>
    <w:unhideWhenUsed/>
    <w:rsid w:val="00D52947"/>
    <w:rPr>
      <w:vertAlign w:val="superscript"/>
    </w:rPr>
  </w:style>
  <w:style w:type="character" w:customStyle="1" w:styleId="Font">
    <w:name w:val="Font"/>
    <w:uiPriority w:val="1"/>
    <w:qFormat/>
    <w:rsid w:val="00D52947"/>
    <w:rPr>
      <w:rFonts w:ascii="Candara" w:hAnsi="Candara"/>
      <w:sz w:val="24"/>
    </w:rPr>
  </w:style>
  <w:style w:type="character" w:customStyle="1" w:styleId="Small">
    <w:name w:val="Small"/>
    <w:uiPriority w:val="4"/>
    <w:qFormat/>
    <w:rsid w:val="00D52947"/>
    <w:rPr>
      <w:rFonts w:ascii="Candara" w:hAnsi="Candara"/>
      <w:sz w:val="20"/>
    </w:rPr>
  </w:style>
  <w:style w:type="table" w:customStyle="1" w:styleId="TableGridbeth1">
    <w:name w:val="Table Gridbeth1"/>
    <w:basedOn w:val="TableNormal"/>
    <w:uiPriority w:val="59"/>
    <w:rsid w:val="00D52947"/>
    <w:rPr>
      <w:rFonts w:ascii="Arial Narrow" w:eastAsiaTheme="majorEastAsia" w:hAnsi="Arial Narrow" w:cstheme="majorBidi"/>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Row">
    <w:name w:val="TableHeadingRow"/>
    <w:basedOn w:val="Normal"/>
    <w:next w:val="Normal"/>
    <w:rsid w:val="00D52947"/>
    <w:pPr>
      <w:keepNext/>
      <w:spacing w:before="40" w:after="40"/>
      <w:jc w:val="left"/>
    </w:pPr>
    <w:rPr>
      <w:rFonts w:ascii="Arial Narrow" w:hAnsi="Arial Narrow" w:cs="Times New Roman"/>
      <w:b/>
      <w:bCs/>
      <w:iCs/>
      <w:sz w:val="20"/>
      <w:szCs w:val="18"/>
      <w:lang w:eastAsia="zh-CN"/>
    </w:rPr>
  </w:style>
  <w:style w:type="paragraph" w:customStyle="1" w:styleId="TableHeadingCentred">
    <w:name w:val="TableHeadingCentred"/>
    <w:basedOn w:val="TableHeadingRow"/>
    <w:next w:val="Normal"/>
    <w:rsid w:val="00D52947"/>
    <w:pPr>
      <w:jc w:val="center"/>
    </w:pPr>
  </w:style>
  <w:style w:type="character" w:customStyle="1" w:styleId="PBACTableTextChar">
    <w:name w:val="PBAC Table Text Char"/>
    <w:basedOn w:val="DefaultParagraphFont"/>
    <w:link w:val="PBACTableText"/>
    <w:locked/>
    <w:rsid w:val="00A167A4"/>
    <w:rPr>
      <w:rFonts w:ascii="Arial Narrow" w:hAnsi="Arial Narrow"/>
    </w:rPr>
  </w:style>
  <w:style w:type="paragraph" w:customStyle="1" w:styleId="PBACTableText">
    <w:name w:val="PBAC Table Text"/>
    <w:basedOn w:val="Normal"/>
    <w:link w:val="PBACTableTextChar"/>
    <w:qFormat/>
    <w:rsid w:val="00A167A4"/>
    <w:pPr>
      <w:spacing w:before="40" w:after="40"/>
      <w:jc w:val="left"/>
    </w:pPr>
    <w:rPr>
      <w:rFonts w:ascii="Arial Narrow" w:hAnsi="Arial Narrow" w:cs="Times New Roman"/>
      <w:sz w:val="20"/>
      <w:szCs w:val="20"/>
    </w:rPr>
  </w:style>
  <w:style w:type="paragraph" w:customStyle="1" w:styleId="TableCentre">
    <w:name w:val="Table Centre"/>
    <w:basedOn w:val="Normal"/>
    <w:qFormat/>
    <w:rsid w:val="00A167A4"/>
    <w:pPr>
      <w:jc w:val="center"/>
    </w:pPr>
    <w:rPr>
      <w:rFonts w:ascii="Arial Narrow" w:hAnsi="Arial Narrow" w:cs="Times New Roman"/>
      <w:sz w:val="20"/>
      <w:szCs w:val="22"/>
      <w:lang w:eastAsia="zh-CN" w:bidi="en-US"/>
    </w:rPr>
  </w:style>
  <w:style w:type="character" w:customStyle="1" w:styleId="V50InstructionsChar">
    <w:name w:val="V5.0 Instructions Char"/>
    <w:basedOn w:val="DefaultParagraphFont"/>
    <w:link w:val="V50Instructions"/>
    <w:locked/>
    <w:rsid w:val="00A167A4"/>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rsid w:val="00A167A4"/>
    <w:pPr>
      <w:spacing w:before="120" w:after="160"/>
      <w:jc w:val="left"/>
    </w:pPr>
    <w:rPr>
      <w:rFonts w:asciiTheme="minorHAnsi" w:eastAsiaTheme="minorHAnsi" w:hAnsiTheme="minorHAnsi" w:cstheme="minorBidi"/>
      <w:color w:val="4BACC6" w:themeColor="accent5"/>
      <w:szCs w:val="22"/>
      <w:lang w:eastAsia="en-US"/>
    </w:rPr>
  </w:style>
  <w:style w:type="paragraph" w:customStyle="1" w:styleId="Default">
    <w:name w:val="Default"/>
    <w:rsid w:val="00A167A4"/>
    <w:pPr>
      <w:autoSpaceDE w:val="0"/>
      <w:autoSpaceDN w:val="0"/>
      <w:adjustRightInd w:val="0"/>
    </w:pPr>
    <w:rPr>
      <w:rFonts w:ascii="Calibri" w:eastAsiaTheme="minorHAnsi" w:hAnsi="Calibri" w:cs="Calibri"/>
      <w:color w:val="000000"/>
      <w:sz w:val="24"/>
      <w:szCs w:val="24"/>
      <w:lang w:eastAsia="en-US"/>
    </w:rPr>
  </w:style>
  <w:style w:type="character" w:styleId="Emphasis">
    <w:name w:val="Emphasis"/>
    <w:basedOn w:val="DefaultParagraphFont"/>
    <w:uiPriority w:val="20"/>
    <w:qFormat/>
    <w:rsid w:val="00E07489"/>
    <w:rPr>
      <w:i/>
      <w:iCs/>
    </w:rPr>
  </w:style>
  <w:style w:type="paragraph" w:customStyle="1" w:styleId="5-SubSubSubHead">
    <w:name w:val="5-Sub Sub Sub Head"/>
    <w:basedOn w:val="Heading4"/>
    <w:qFormat/>
    <w:rsid w:val="00536945"/>
    <w:pPr>
      <w:ind w:left="357" w:hanging="357"/>
    </w:pPr>
  </w:style>
  <w:style w:type="paragraph" w:customStyle="1" w:styleId="3Bodytext">
    <w:name w:val="3. Body text"/>
    <w:basedOn w:val="ListParagraph"/>
    <w:link w:val="3BodytextChar"/>
    <w:qFormat/>
    <w:rsid w:val="00536945"/>
    <w:pPr>
      <w:numPr>
        <w:numId w:val="0"/>
      </w:numPr>
      <w:ind w:left="720" w:hanging="720"/>
    </w:pPr>
    <w:rPr>
      <w:rFonts w:cstheme="minorBidi"/>
      <w:snapToGrid/>
      <w:sz w:val="22"/>
      <w:szCs w:val="22"/>
    </w:rPr>
  </w:style>
  <w:style w:type="character" w:customStyle="1" w:styleId="3BodytextChar">
    <w:name w:val="3. Body text Char"/>
    <w:basedOn w:val="ListParagraphChar"/>
    <w:link w:val="3Bodytext"/>
    <w:rsid w:val="00536945"/>
    <w:rPr>
      <w:rFonts w:asciiTheme="minorHAnsi" w:hAnsiTheme="minorHAnsi" w:cstheme="minorBidi"/>
      <w:snapToGrid/>
      <w:sz w:val="22"/>
      <w:szCs w:val="22"/>
    </w:rPr>
  </w:style>
  <w:style w:type="paragraph" w:styleId="BodyText3">
    <w:name w:val="Body Text 3"/>
    <w:basedOn w:val="Normal"/>
    <w:link w:val="BodyText3Char"/>
    <w:semiHidden/>
    <w:unhideWhenUsed/>
    <w:rsid w:val="00D3100F"/>
    <w:pPr>
      <w:spacing w:after="120"/>
    </w:pPr>
    <w:rPr>
      <w:sz w:val="16"/>
      <w:szCs w:val="16"/>
    </w:rPr>
  </w:style>
  <w:style w:type="character" w:customStyle="1" w:styleId="BodyText3Char">
    <w:name w:val="Body Text 3 Char"/>
    <w:basedOn w:val="DefaultParagraphFont"/>
    <w:link w:val="BodyText3"/>
    <w:semiHidden/>
    <w:rsid w:val="00D3100F"/>
    <w:rPr>
      <w:rFonts w:ascii="Calibri" w:hAnsi="Calibri" w:cs="Arial"/>
      <w:sz w:val="16"/>
      <w:szCs w:val="16"/>
    </w:rPr>
  </w:style>
  <w:style w:type="character" w:customStyle="1" w:styleId="UnresolvedMention2">
    <w:name w:val="Unresolved Mention2"/>
    <w:basedOn w:val="DefaultParagraphFont"/>
    <w:uiPriority w:val="99"/>
    <w:semiHidden/>
    <w:unhideWhenUsed/>
    <w:rsid w:val="0082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943">
      <w:bodyDiv w:val="1"/>
      <w:marLeft w:val="0"/>
      <w:marRight w:val="0"/>
      <w:marTop w:val="0"/>
      <w:marBottom w:val="0"/>
      <w:divBdr>
        <w:top w:val="none" w:sz="0" w:space="0" w:color="auto"/>
        <w:left w:val="none" w:sz="0" w:space="0" w:color="auto"/>
        <w:bottom w:val="none" w:sz="0" w:space="0" w:color="auto"/>
        <w:right w:val="none" w:sz="0" w:space="0" w:color="auto"/>
      </w:divBdr>
      <w:divsChild>
        <w:div w:id="1261988282">
          <w:marLeft w:val="360"/>
          <w:marRight w:val="0"/>
          <w:marTop w:val="200"/>
          <w:marBottom w:val="0"/>
          <w:divBdr>
            <w:top w:val="none" w:sz="0" w:space="0" w:color="auto"/>
            <w:left w:val="none" w:sz="0" w:space="0" w:color="auto"/>
            <w:bottom w:val="none" w:sz="0" w:space="0" w:color="auto"/>
            <w:right w:val="none" w:sz="0" w:space="0" w:color="auto"/>
          </w:divBdr>
        </w:div>
        <w:div w:id="408119649">
          <w:marLeft w:val="1080"/>
          <w:marRight w:val="0"/>
          <w:marTop w:val="100"/>
          <w:marBottom w:val="0"/>
          <w:divBdr>
            <w:top w:val="none" w:sz="0" w:space="0" w:color="auto"/>
            <w:left w:val="none" w:sz="0" w:space="0" w:color="auto"/>
            <w:bottom w:val="none" w:sz="0" w:space="0" w:color="auto"/>
            <w:right w:val="none" w:sz="0" w:space="0" w:color="auto"/>
          </w:divBdr>
        </w:div>
        <w:div w:id="328824554">
          <w:marLeft w:val="1080"/>
          <w:marRight w:val="0"/>
          <w:marTop w:val="100"/>
          <w:marBottom w:val="0"/>
          <w:divBdr>
            <w:top w:val="none" w:sz="0" w:space="0" w:color="auto"/>
            <w:left w:val="none" w:sz="0" w:space="0" w:color="auto"/>
            <w:bottom w:val="none" w:sz="0" w:space="0" w:color="auto"/>
            <w:right w:val="none" w:sz="0" w:space="0" w:color="auto"/>
          </w:divBdr>
        </w:div>
        <w:div w:id="1556043454">
          <w:marLeft w:val="1080"/>
          <w:marRight w:val="0"/>
          <w:marTop w:val="100"/>
          <w:marBottom w:val="0"/>
          <w:divBdr>
            <w:top w:val="none" w:sz="0" w:space="0" w:color="auto"/>
            <w:left w:val="none" w:sz="0" w:space="0" w:color="auto"/>
            <w:bottom w:val="none" w:sz="0" w:space="0" w:color="auto"/>
            <w:right w:val="none" w:sz="0" w:space="0" w:color="auto"/>
          </w:divBdr>
        </w:div>
        <w:div w:id="510796565">
          <w:marLeft w:val="1080"/>
          <w:marRight w:val="0"/>
          <w:marTop w:val="100"/>
          <w:marBottom w:val="0"/>
          <w:divBdr>
            <w:top w:val="none" w:sz="0" w:space="0" w:color="auto"/>
            <w:left w:val="none" w:sz="0" w:space="0" w:color="auto"/>
            <w:bottom w:val="none" w:sz="0" w:space="0" w:color="auto"/>
            <w:right w:val="none" w:sz="0" w:space="0" w:color="auto"/>
          </w:divBdr>
        </w:div>
        <w:div w:id="510874273">
          <w:marLeft w:val="1080"/>
          <w:marRight w:val="0"/>
          <w:marTop w:val="100"/>
          <w:marBottom w:val="0"/>
          <w:divBdr>
            <w:top w:val="none" w:sz="0" w:space="0" w:color="auto"/>
            <w:left w:val="none" w:sz="0" w:space="0" w:color="auto"/>
            <w:bottom w:val="none" w:sz="0" w:space="0" w:color="auto"/>
            <w:right w:val="none" w:sz="0" w:space="0" w:color="auto"/>
          </w:divBdr>
        </w:div>
      </w:divsChild>
    </w:div>
    <w:div w:id="22487470">
      <w:bodyDiv w:val="1"/>
      <w:marLeft w:val="0"/>
      <w:marRight w:val="0"/>
      <w:marTop w:val="0"/>
      <w:marBottom w:val="0"/>
      <w:divBdr>
        <w:top w:val="none" w:sz="0" w:space="0" w:color="auto"/>
        <w:left w:val="none" w:sz="0" w:space="0" w:color="auto"/>
        <w:bottom w:val="none" w:sz="0" w:space="0" w:color="auto"/>
        <w:right w:val="none" w:sz="0" w:space="0" w:color="auto"/>
      </w:divBdr>
      <w:divsChild>
        <w:div w:id="534006259">
          <w:marLeft w:val="547"/>
          <w:marRight w:val="0"/>
          <w:marTop w:val="0"/>
          <w:marBottom w:val="0"/>
          <w:divBdr>
            <w:top w:val="none" w:sz="0" w:space="0" w:color="auto"/>
            <w:left w:val="none" w:sz="0" w:space="0" w:color="auto"/>
            <w:bottom w:val="none" w:sz="0" w:space="0" w:color="auto"/>
            <w:right w:val="none" w:sz="0" w:space="0" w:color="auto"/>
          </w:divBdr>
        </w:div>
      </w:divsChild>
    </w:div>
    <w:div w:id="40057431">
      <w:bodyDiv w:val="1"/>
      <w:marLeft w:val="0"/>
      <w:marRight w:val="0"/>
      <w:marTop w:val="0"/>
      <w:marBottom w:val="0"/>
      <w:divBdr>
        <w:top w:val="none" w:sz="0" w:space="0" w:color="auto"/>
        <w:left w:val="none" w:sz="0" w:space="0" w:color="auto"/>
        <w:bottom w:val="none" w:sz="0" w:space="0" w:color="auto"/>
        <w:right w:val="none" w:sz="0" w:space="0" w:color="auto"/>
      </w:divBdr>
      <w:divsChild>
        <w:div w:id="528563991">
          <w:marLeft w:val="360"/>
          <w:marRight w:val="0"/>
          <w:marTop w:val="200"/>
          <w:marBottom w:val="0"/>
          <w:divBdr>
            <w:top w:val="none" w:sz="0" w:space="0" w:color="auto"/>
            <w:left w:val="none" w:sz="0" w:space="0" w:color="auto"/>
            <w:bottom w:val="none" w:sz="0" w:space="0" w:color="auto"/>
            <w:right w:val="none" w:sz="0" w:space="0" w:color="auto"/>
          </w:divBdr>
        </w:div>
        <w:div w:id="813105194">
          <w:marLeft w:val="360"/>
          <w:marRight w:val="0"/>
          <w:marTop w:val="200"/>
          <w:marBottom w:val="0"/>
          <w:divBdr>
            <w:top w:val="none" w:sz="0" w:space="0" w:color="auto"/>
            <w:left w:val="none" w:sz="0" w:space="0" w:color="auto"/>
            <w:bottom w:val="none" w:sz="0" w:space="0" w:color="auto"/>
            <w:right w:val="none" w:sz="0" w:space="0" w:color="auto"/>
          </w:divBdr>
        </w:div>
        <w:div w:id="2063745681">
          <w:marLeft w:val="360"/>
          <w:marRight w:val="0"/>
          <w:marTop w:val="200"/>
          <w:marBottom w:val="0"/>
          <w:divBdr>
            <w:top w:val="none" w:sz="0" w:space="0" w:color="auto"/>
            <w:left w:val="none" w:sz="0" w:space="0" w:color="auto"/>
            <w:bottom w:val="none" w:sz="0" w:space="0" w:color="auto"/>
            <w:right w:val="none" w:sz="0" w:space="0" w:color="auto"/>
          </w:divBdr>
        </w:div>
        <w:div w:id="137111220">
          <w:marLeft w:val="360"/>
          <w:marRight w:val="0"/>
          <w:marTop w:val="200"/>
          <w:marBottom w:val="0"/>
          <w:divBdr>
            <w:top w:val="none" w:sz="0" w:space="0" w:color="auto"/>
            <w:left w:val="none" w:sz="0" w:space="0" w:color="auto"/>
            <w:bottom w:val="none" w:sz="0" w:space="0" w:color="auto"/>
            <w:right w:val="none" w:sz="0" w:space="0" w:color="auto"/>
          </w:divBdr>
        </w:div>
        <w:div w:id="777137519">
          <w:marLeft w:val="360"/>
          <w:marRight w:val="0"/>
          <w:marTop w:val="200"/>
          <w:marBottom w:val="0"/>
          <w:divBdr>
            <w:top w:val="none" w:sz="0" w:space="0" w:color="auto"/>
            <w:left w:val="none" w:sz="0" w:space="0" w:color="auto"/>
            <w:bottom w:val="none" w:sz="0" w:space="0" w:color="auto"/>
            <w:right w:val="none" w:sz="0" w:space="0" w:color="auto"/>
          </w:divBdr>
        </w:div>
      </w:divsChild>
    </w:div>
    <w:div w:id="59862719">
      <w:bodyDiv w:val="1"/>
      <w:marLeft w:val="0"/>
      <w:marRight w:val="0"/>
      <w:marTop w:val="0"/>
      <w:marBottom w:val="0"/>
      <w:divBdr>
        <w:top w:val="none" w:sz="0" w:space="0" w:color="auto"/>
        <w:left w:val="none" w:sz="0" w:space="0" w:color="auto"/>
        <w:bottom w:val="none" w:sz="0" w:space="0" w:color="auto"/>
        <w:right w:val="none" w:sz="0" w:space="0" w:color="auto"/>
      </w:divBdr>
      <w:divsChild>
        <w:div w:id="98842474">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769673">
      <w:bodyDiv w:val="1"/>
      <w:marLeft w:val="0"/>
      <w:marRight w:val="0"/>
      <w:marTop w:val="0"/>
      <w:marBottom w:val="0"/>
      <w:divBdr>
        <w:top w:val="none" w:sz="0" w:space="0" w:color="auto"/>
        <w:left w:val="none" w:sz="0" w:space="0" w:color="auto"/>
        <w:bottom w:val="none" w:sz="0" w:space="0" w:color="auto"/>
        <w:right w:val="none" w:sz="0" w:space="0" w:color="auto"/>
      </w:divBdr>
      <w:divsChild>
        <w:div w:id="516189382">
          <w:marLeft w:val="547"/>
          <w:marRight w:val="0"/>
          <w:marTop w:val="0"/>
          <w:marBottom w:val="0"/>
          <w:divBdr>
            <w:top w:val="none" w:sz="0" w:space="0" w:color="auto"/>
            <w:left w:val="none" w:sz="0" w:space="0" w:color="auto"/>
            <w:bottom w:val="none" w:sz="0" w:space="0" w:color="auto"/>
            <w:right w:val="none" w:sz="0" w:space="0" w:color="auto"/>
          </w:divBdr>
        </w:div>
        <w:div w:id="1812286960">
          <w:marLeft w:val="547"/>
          <w:marRight w:val="0"/>
          <w:marTop w:val="0"/>
          <w:marBottom w:val="0"/>
          <w:divBdr>
            <w:top w:val="none" w:sz="0" w:space="0" w:color="auto"/>
            <w:left w:val="none" w:sz="0" w:space="0" w:color="auto"/>
            <w:bottom w:val="none" w:sz="0" w:space="0" w:color="auto"/>
            <w:right w:val="none" w:sz="0" w:space="0" w:color="auto"/>
          </w:divBdr>
        </w:div>
      </w:divsChild>
    </w:div>
    <w:div w:id="111369548">
      <w:bodyDiv w:val="1"/>
      <w:marLeft w:val="0"/>
      <w:marRight w:val="0"/>
      <w:marTop w:val="0"/>
      <w:marBottom w:val="0"/>
      <w:divBdr>
        <w:top w:val="none" w:sz="0" w:space="0" w:color="auto"/>
        <w:left w:val="none" w:sz="0" w:space="0" w:color="auto"/>
        <w:bottom w:val="none" w:sz="0" w:space="0" w:color="auto"/>
        <w:right w:val="none" w:sz="0" w:space="0" w:color="auto"/>
      </w:divBdr>
      <w:divsChild>
        <w:div w:id="700664861">
          <w:marLeft w:val="547"/>
          <w:marRight w:val="0"/>
          <w:marTop w:val="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6267833">
      <w:bodyDiv w:val="1"/>
      <w:marLeft w:val="0"/>
      <w:marRight w:val="0"/>
      <w:marTop w:val="0"/>
      <w:marBottom w:val="0"/>
      <w:divBdr>
        <w:top w:val="none" w:sz="0" w:space="0" w:color="auto"/>
        <w:left w:val="none" w:sz="0" w:space="0" w:color="auto"/>
        <w:bottom w:val="none" w:sz="0" w:space="0" w:color="auto"/>
        <w:right w:val="none" w:sz="0" w:space="0" w:color="auto"/>
      </w:divBdr>
      <w:divsChild>
        <w:div w:id="1806505525">
          <w:marLeft w:val="360"/>
          <w:marRight w:val="0"/>
          <w:marTop w:val="200"/>
          <w:marBottom w:val="0"/>
          <w:divBdr>
            <w:top w:val="none" w:sz="0" w:space="0" w:color="auto"/>
            <w:left w:val="none" w:sz="0" w:space="0" w:color="auto"/>
            <w:bottom w:val="none" w:sz="0" w:space="0" w:color="auto"/>
            <w:right w:val="none" w:sz="0" w:space="0" w:color="auto"/>
          </w:divBdr>
        </w:div>
      </w:divsChild>
    </w:div>
    <w:div w:id="193545807">
      <w:bodyDiv w:val="1"/>
      <w:marLeft w:val="0"/>
      <w:marRight w:val="0"/>
      <w:marTop w:val="0"/>
      <w:marBottom w:val="0"/>
      <w:divBdr>
        <w:top w:val="none" w:sz="0" w:space="0" w:color="auto"/>
        <w:left w:val="none" w:sz="0" w:space="0" w:color="auto"/>
        <w:bottom w:val="none" w:sz="0" w:space="0" w:color="auto"/>
        <w:right w:val="none" w:sz="0" w:space="0" w:color="auto"/>
      </w:divBdr>
      <w:divsChild>
        <w:div w:id="651254130">
          <w:marLeft w:val="547"/>
          <w:marRight w:val="0"/>
          <w:marTop w:val="0"/>
          <w:marBottom w:val="0"/>
          <w:divBdr>
            <w:top w:val="none" w:sz="0" w:space="0" w:color="auto"/>
            <w:left w:val="none" w:sz="0" w:space="0" w:color="auto"/>
            <w:bottom w:val="none" w:sz="0" w:space="0" w:color="auto"/>
            <w:right w:val="none" w:sz="0" w:space="0" w:color="auto"/>
          </w:divBdr>
        </w:div>
      </w:divsChild>
    </w:div>
    <w:div w:id="241837733">
      <w:bodyDiv w:val="1"/>
      <w:marLeft w:val="0"/>
      <w:marRight w:val="0"/>
      <w:marTop w:val="0"/>
      <w:marBottom w:val="0"/>
      <w:divBdr>
        <w:top w:val="none" w:sz="0" w:space="0" w:color="auto"/>
        <w:left w:val="none" w:sz="0" w:space="0" w:color="auto"/>
        <w:bottom w:val="none" w:sz="0" w:space="0" w:color="auto"/>
        <w:right w:val="none" w:sz="0" w:space="0" w:color="auto"/>
      </w:divBdr>
      <w:divsChild>
        <w:div w:id="1161657793">
          <w:marLeft w:val="547"/>
          <w:marRight w:val="0"/>
          <w:marTop w:val="0"/>
          <w:marBottom w:val="0"/>
          <w:divBdr>
            <w:top w:val="none" w:sz="0" w:space="0" w:color="auto"/>
            <w:left w:val="none" w:sz="0" w:space="0" w:color="auto"/>
            <w:bottom w:val="none" w:sz="0" w:space="0" w:color="auto"/>
            <w:right w:val="none" w:sz="0" w:space="0" w:color="auto"/>
          </w:divBdr>
        </w:div>
      </w:divsChild>
    </w:div>
    <w:div w:id="30509308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9116130">
      <w:bodyDiv w:val="1"/>
      <w:marLeft w:val="0"/>
      <w:marRight w:val="0"/>
      <w:marTop w:val="0"/>
      <w:marBottom w:val="0"/>
      <w:divBdr>
        <w:top w:val="none" w:sz="0" w:space="0" w:color="auto"/>
        <w:left w:val="none" w:sz="0" w:space="0" w:color="auto"/>
        <w:bottom w:val="none" w:sz="0" w:space="0" w:color="auto"/>
        <w:right w:val="none" w:sz="0" w:space="0" w:color="auto"/>
      </w:divBdr>
      <w:divsChild>
        <w:div w:id="145557292">
          <w:marLeft w:val="1080"/>
          <w:marRight w:val="0"/>
          <w:marTop w:val="100"/>
          <w:marBottom w:val="0"/>
          <w:divBdr>
            <w:top w:val="none" w:sz="0" w:space="0" w:color="auto"/>
            <w:left w:val="none" w:sz="0" w:space="0" w:color="auto"/>
            <w:bottom w:val="none" w:sz="0" w:space="0" w:color="auto"/>
            <w:right w:val="none" w:sz="0" w:space="0" w:color="auto"/>
          </w:divBdr>
        </w:div>
        <w:div w:id="1229652592">
          <w:marLeft w:val="1080"/>
          <w:marRight w:val="0"/>
          <w:marTop w:val="100"/>
          <w:marBottom w:val="0"/>
          <w:divBdr>
            <w:top w:val="none" w:sz="0" w:space="0" w:color="auto"/>
            <w:left w:val="none" w:sz="0" w:space="0" w:color="auto"/>
            <w:bottom w:val="none" w:sz="0" w:space="0" w:color="auto"/>
            <w:right w:val="none" w:sz="0" w:space="0" w:color="auto"/>
          </w:divBdr>
        </w:div>
      </w:divsChild>
    </w:div>
    <w:div w:id="401677540">
      <w:bodyDiv w:val="1"/>
      <w:marLeft w:val="0"/>
      <w:marRight w:val="0"/>
      <w:marTop w:val="0"/>
      <w:marBottom w:val="0"/>
      <w:divBdr>
        <w:top w:val="none" w:sz="0" w:space="0" w:color="auto"/>
        <w:left w:val="none" w:sz="0" w:space="0" w:color="auto"/>
        <w:bottom w:val="none" w:sz="0" w:space="0" w:color="auto"/>
        <w:right w:val="none" w:sz="0" w:space="0" w:color="auto"/>
      </w:divBdr>
      <w:divsChild>
        <w:div w:id="647247686">
          <w:marLeft w:val="547"/>
          <w:marRight w:val="0"/>
          <w:marTop w:val="0"/>
          <w:marBottom w:val="0"/>
          <w:divBdr>
            <w:top w:val="none" w:sz="0" w:space="0" w:color="auto"/>
            <w:left w:val="none" w:sz="0" w:space="0" w:color="auto"/>
            <w:bottom w:val="none" w:sz="0" w:space="0" w:color="auto"/>
            <w:right w:val="none" w:sz="0" w:space="0" w:color="auto"/>
          </w:divBdr>
        </w:div>
      </w:divsChild>
    </w:div>
    <w:div w:id="450629295">
      <w:bodyDiv w:val="1"/>
      <w:marLeft w:val="0"/>
      <w:marRight w:val="0"/>
      <w:marTop w:val="0"/>
      <w:marBottom w:val="0"/>
      <w:divBdr>
        <w:top w:val="none" w:sz="0" w:space="0" w:color="auto"/>
        <w:left w:val="none" w:sz="0" w:space="0" w:color="auto"/>
        <w:bottom w:val="none" w:sz="0" w:space="0" w:color="auto"/>
        <w:right w:val="none" w:sz="0" w:space="0" w:color="auto"/>
      </w:divBdr>
    </w:div>
    <w:div w:id="453983124">
      <w:bodyDiv w:val="1"/>
      <w:marLeft w:val="0"/>
      <w:marRight w:val="0"/>
      <w:marTop w:val="0"/>
      <w:marBottom w:val="0"/>
      <w:divBdr>
        <w:top w:val="none" w:sz="0" w:space="0" w:color="auto"/>
        <w:left w:val="none" w:sz="0" w:space="0" w:color="auto"/>
        <w:bottom w:val="none" w:sz="0" w:space="0" w:color="auto"/>
        <w:right w:val="none" w:sz="0" w:space="0" w:color="auto"/>
      </w:divBdr>
    </w:div>
    <w:div w:id="471291853">
      <w:bodyDiv w:val="1"/>
      <w:marLeft w:val="0"/>
      <w:marRight w:val="0"/>
      <w:marTop w:val="0"/>
      <w:marBottom w:val="0"/>
      <w:divBdr>
        <w:top w:val="none" w:sz="0" w:space="0" w:color="auto"/>
        <w:left w:val="none" w:sz="0" w:space="0" w:color="auto"/>
        <w:bottom w:val="none" w:sz="0" w:space="0" w:color="auto"/>
        <w:right w:val="none" w:sz="0" w:space="0" w:color="auto"/>
      </w:divBdr>
      <w:divsChild>
        <w:div w:id="834298574">
          <w:marLeft w:val="360"/>
          <w:marRight w:val="0"/>
          <w:marTop w:val="200"/>
          <w:marBottom w:val="0"/>
          <w:divBdr>
            <w:top w:val="none" w:sz="0" w:space="0" w:color="auto"/>
            <w:left w:val="none" w:sz="0" w:space="0" w:color="auto"/>
            <w:bottom w:val="none" w:sz="0" w:space="0" w:color="auto"/>
            <w:right w:val="none" w:sz="0" w:space="0" w:color="auto"/>
          </w:divBdr>
        </w:div>
      </w:divsChild>
    </w:div>
    <w:div w:id="473569004">
      <w:bodyDiv w:val="1"/>
      <w:marLeft w:val="0"/>
      <w:marRight w:val="0"/>
      <w:marTop w:val="0"/>
      <w:marBottom w:val="0"/>
      <w:divBdr>
        <w:top w:val="none" w:sz="0" w:space="0" w:color="auto"/>
        <w:left w:val="none" w:sz="0" w:space="0" w:color="auto"/>
        <w:bottom w:val="none" w:sz="0" w:space="0" w:color="auto"/>
        <w:right w:val="none" w:sz="0" w:space="0" w:color="auto"/>
      </w:divBdr>
    </w:div>
    <w:div w:id="542979294">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622689744">
      <w:bodyDiv w:val="1"/>
      <w:marLeft w:val="0"/>
      <w:marRight w:val="0"/>
      <w:marTop w:val="0"/>
      <w:marBottom w:val="0"/>
      <w:divBdr>
        <w:top w:val="none" w:sz="0" w:space="0" w:color="auto"/>
        <w:left w:val="none" w:sz="0" w:space="0" w:color="auto"/>
        <w:bottom w:val="none" w:sz="0" w:space="0" w:color="auto"/>
        <w:right w:val="none" w:sz="0" w:space="0" w:color="auto"/>
      </w:divBdr>
    </w:div>
    <w:div w:id="655456334">
      <w:bodyDiv w:val="1"/>
      <w:marLeft w:val="0"/>
      <w:marRight w:val="0"/>
      <w:marTop w:val="0"/>
      <w:marBottom w:val="0"/>
      <w:divBdr>
        <w:top w:val="none" w:sz="0" w:space="0" w:color="auto"/>
        <w:left w:val="none" w:sz="0" w:space="0" w:color="auto"/>
        <w:bottom w:val="none" w:sz="0" w:space="0" w:color="auto"/>
        <w:right w:val="none" w:sz="0" w:space="0" w:color="auto"/>
      </w:divBdr>
      <w:divsChild>
        <w:div w:id="774904438">
          <w:marLeft w:val="360"/>
          <w:marRight w:val="0"/>
          <w:marTop w:val="200"/>
          <w:marBottom w:val="0"/>
          <w:divBdr>
            <w:top w:val="none" w:sz="0" w:space="0" w:color="auto"/>
            <w:left w:val="none" w:sz="0" w:space="0" w:color="auto"/>
            <w:bottom w:val="none" w:sz="0" w:space="0" w:color="auto"/>
            <w:right w:val="none" w:sz="0" w:space="0" w:color="auto"/>
          </w:divBdr>
        </w:div>
      </w:divsChild>
    </w:div>
    <w:div w:id="698287528">
      <w:bodyDiv w:val="1"/>
      <w:marLeft w:val="0"/>
      <w:marRight w:val="0"/>
      <w:marTop w:val="0"/>
      <w:marBottom w:val="0"/>
      <w:divBdr>
        <w:top w:val="none" w:sz="0" w:space="0" w:color="auto"/>
        <w:left w:val="none" w:sz="0" w:space="0" w:color="auto"/>
        <w:bottom w:val="none" w:sz="0" w:space="0" w:color="auto"/>
        <w:right w:val="none" w:sz="0" w:space="0" w:color="auto"/>
      </w:divBdr>
    </w:div>
    <w:div w:id="718936852">
      <w:bodyDiv w:val="1"/>
      <w:marLeft w:val="0"/>
      <w:marRight w:val="0"/>
      <w:marTop w:val="0"/>
      <w:marBottom w:val="0"/>
      <w:divBdr>
        <w:top w:val="none" w:sz="0" w:space="0" w:color="auto"/>
        <w:left w:val="none" w:sz="0" w:space="0" w:color="auto"/>
        <w:bottom w:val="none" w:sz="0" w:space="0" w:color="auto"/>
        <w:right w:val="none" w:sz="0" w:space="0" w:color="auto"/>
      </w:divBdr>
      <w:divsChild>
        <w:div w:id="1059401759">
          <w:marLeft w:val="360"/>
          <w:marRight w:val="0"/>
          <w:marTop w:val="200"/>
          <w:marBottom w:val="0"/>
          <w:divBdr>
            <w:top w:val="none" w:sz="0" w:space="0" w:color="auto"/>
            <w:left w:val="none" w:sz="0" w:space="0" w:color="auto"/>
            <w:bottom w:val="none" w:sz="0" w:space="0" w:color="auto"/>
            <w:right w:val="none" w:sz="0" w:space="0" w:color="auto"/>
          </w:divBdr>
        </w:div>
      </w:divsChild>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806313634">
      <w:bodyDiv w:val="1"/>
      <w:marLeft w:val="0"/>
      <w:marRight w:val="0"/>
      <w:marTop w:val="0"/>
      <w:marBottom w:val="0"/>
      <w:divBdr>
        <w:top w:val="none" w:sz="0" w:space="0" w:color="auto"/>
        <w:left w:val="none" w:sz="0" w:space="0" w:color="auto"/>
        <w:bottom w:val="none" w:sz="0" w:space="0" w:color="auto"/>
        <w:right w:val="none" w:sz="0" w:space="0" w:color="auto"/>
      </w:divBdr>
      <w:divsChild>
        <w:div w:id="2097289202">
          <w:marLeft w:val="1080"/>
          <w:marRight w:val="0"/>
          <w:marTop w:val="100"/>
          <w:marBottom w:val="0"/>
          <w:divBdr>
            <w:top w:val="none" w:sz="0" w:space="0" w:color="auto"/>
            <w:left w:val="none" w:sz="0" w:space="0" w:color="auto"/>
            <w:bottom w:val="none" w:sz="0" w:space="0" w:color="auto"/>
            <w:right w:val="none" w:sz="0" w:space="0" w:color="auto"/>
          </w:divBdr>
        </w:div>
      </w:divsChild>
    </w:div>
    <w:div w:id="821586128">
      <w:bodyDiv w:val="1"/>
      <w:marLeft w:val="0"/>
      <w:marRight w:val="0"/>
      <w:marTop w:val="0"/>
      <w:marBottom w:val="0"/>
      <w:divBdr>
        <w:top w:val="none" w:sz="0" w:space="0" w:color="auto"/>
        <w:left w:val="none" w:sz="0" w:space="0" w:color="auto"/>
        <w:bottom w:val="none" w:sz="0" w:space="0" w:color="auto"/>
        <w:right w:val="none" w:sz="0" w:space="0" w:color="auto"/>
      </w:divBdr>
    </w:div>
    <w:div w:id="829832838">
      <w:bodyDiv w:val="1"/>
      <w:marLeft w:val="0"/>
      <w:marRight w:val="0"/>
      <w:marTop w:val="0"/>
      <w:marBottom w:val="0"/>
      <w:divBdr>
        <w:top w:val="none" w:sz="0" w:space="0" w:color="auto"/>
        <w:left w:val="none" w:sz="0" w:space="0" w:color="auto"/>
        <w:bottom w:val="none" w:sz="0" w:space="0" w:color="auto"/>
        <w:right w:val="none" w:sz="0" w:space="0" w:color="auto"/>
      </w:divBdr>
    </w:div>
    <w:div w:id="851378667">
      <w:bodyDiv w:val="1"/>
      <w:marLeft w:val="0"/>
      <w:marRight w:val="0"/>
      <w:marTop w:val="0"/>
      <w:marBottom w:val="0"/>
      <w:divBdr>
        <w:top w:val="none" w:sz="0" w:space="0" w:color="auto"/>
        <w:left w:val="none" w:sz="0" w:space="0" w:color="auto"/>
        <w:bottom w:val="none" w:sz="0" w:space="0" w:color="auto"/>
        <w:right w:val="none" w:sz="0" w:space="0" w:color="auto"/>
      </w:divBdr>
    </w:div>
    <w:div w:id="857235813">
      <w:bodyDiv w:val="1"/>
      <w:marLeft w:val="0"/>
      <w:marRight w:val="0"/>
      <w:marTop w:val="0"/>
      <w:marBottom w:val="0"/>
      <w:divBdr>
        <w:top w:val="none" w:sz="0" w:space="0" w:color="auto"/>
        <w:left w:val="none" w:sz="0" w:space="0" w:color="auto"/>
        <w:bottom w:val="none" w:sz="0" w:space="0" w:color="auto"/>
        <w:right w:val="none" w:sz="0" w:space="0" w:color="auto"/>
      </w:divBdr>
      <w:divsChild>
        <w:div w:id="2092433489">
          <w:marLeft w:val="547"/>
          <w:marRight w:val="0"/>
          <w:marTop w:val="0"/>
          <w:marBottom w:val="0"/>
          <w:divBdr>
            <w:top w:val="none" w:sz="0" w:space="0" w:color="auto"/>
            <w:left w:val="none" w:sz="0" w:space="0" w:color="auto"/>
            <w:bottom w:val="none" w:sz="0" w:space="0" w:color="auto"/>
            <w:right w:val="none" w:sz="0" w:space="0" w:color="auto"/>
          </w:divBdr>
        </w:div>
      </w:divsChild>
    </w:div>
    <w:div w:id="871847576">
      <w:bodyDiv w:val="1"/>
      <w:marLeft w:val="0"/>
      <w:marRight w:val="0"/>
      <w:marTop w:val="0"/>
      <w:marBottom w:val="0"/>
      <w:divBdr>
        <w:top w:val="none" w:sz="0" w:space="0" w:color="auto"/>
        <w:left w:val="none" w:sz="0" w:space="0" w:color="auto"/>
        <w:bottom w:val="none" w:sz="0" w:space="0" w:color="auto"/>
        <w:right w:val="none" w:sz="0" w:space="0" w:color="auto"/>
      </w:divBdr>
    </w:div>
    <w:div w:id="933173072">
      <w:bodyDiv w:val="1"/>
      <w:marLeft w:val="0"/>
      <w:marRight w:val="0"/>
      <w:marTop w:val="0"/>
      <w:marBottom w:val="0"/>
      <w:divBdr>
        <w:top w:val="none" w:sz="0" w:space="0" w:color="auto"/>
        <w:left w:val="none" w:sz="0" w:space="0" w:color="auto"/>
        <w:bottom w:val="none" w:sz="0" w:space="0" w:color="auto"/>
        <w:right w:val="none" w:sz="0" w:space="0" w:color="auto"/>
      </w:divBdr>
    </w:div>
    <w:div w:id="996425016">
      <w:bodyDiv w:val="1"/>
      <w:marLeft w:val="0"/>
      <w:marRight w:val="0"/>
      <w:marTop w:val="0"/>
      <w:marBottom w:val="0"/>
      <w:divBdr>
        <w:top w:val="none" w:sz="0" w:space="0" w:color="auto"/>
        <w:left w:val="none" w:sz="0" w:space="0" w:color="auto"/>
        <w:bottom w:val="none" w:sz="0" w:space="0" w:color="auto"/>
        <w:right w:val="none" w:sz="0" w:space="0" w:color="auto"/>
      </w:divBdr>
    </w:div>
    <w:div w:id="1078407370">
      <w:bodyDiv w:val="1"/>
      <w:marLeft w:val="0"/>
      <w:marRight w:val="0"/>
      <w:marTop w:val="0"/>
      <w:marBottom w:val="0"/>
      <w:divBdr>
        <w:top w:val="none" w:sz="0" w:space="0" w:color="auto"/>
        <w:left w:val="none" w:sz="0" w:space="0" w:color="auto"/>
        <w:bottom w:val="none" w:sz="0" w:space="0" w:color="auto"/>
        <w:right w:val="none" w:sz="0" w:space="0" w:color="auto"/>
      </w:divBdr>
      <w:divsChild>
        <w:div w:id="494153479">
          <w:marLeft w:val="547"/>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
    <w:div w:id="1247574978">
      <w:bodyDiv w:val="1"/>
      <w:marLeft w:val="0"/>
      <w:marRight w:val="0"/>
      <w:marTop w:val="0"/>
      <w:marBottom w:val="0"/>
      <w:divBdr>
        <w:top w:val="none" w:sz="0" w:space="0" w:color="auto"/>
        <w:left w:val="none" w:sz="0" w:space="0" w:color="auto"/>
        <w:bottom w:val="none" w:sz="0" w:space="0" w:color="auto"/>
        <w:right w:val="none" w:sz="0" w:space="0" w:color="auto"/>
      </w:divBdr>
    </w:div>
    <w:div w:id="1331326550">
      <w:bodyDiv w:val="1"/>
      <w:marLeft w:val="0"/>
      <w:marRight w:val="0"/>
      <w:marTop w:val="0"/>
      <w:marBottom w:val="0"/>
      <w:divBdr>
        <w:top w:val="none" w:sz="0" w:space="0" w:color="auto"/>
        <w:left w:val="none" w:sz="0" w:space="0" w:color="auto"/>
        <w:bottom w:val="none" w:sz="0" w:space="0" w:color="auto"/>
        <w:right w:val="none" w:sz="0" w:space="0" w:color="auto"/>
      </w:divBdr>
    </w:div>
    <w:div w:id="1497302037">
      <w:bodyDiv w:val="1"/>
      <w:marLeft w:val="0"/>
      <w:marRight w:val="0"/>
      <w:marTop w:val="0"/>
      <w:marBottom w:val="0"/>
      <w:divBdr>
        <w:top w:val="none" w:sz="0" w:space="0" w:color="auto"/>
        <w:left w:val="none" w:sz="0" w:space="0" w:color="auto"/>
        <w:bottom w:val="none" w:sz="0" w:space="0" w:color="auto"/>
        <w:right w:val="none" w:sz="0" w:space="0" w:color="auto"/>
      </w:divBdr>
    </w:div>
    <w:div w:id="1538349077">
      <w:bodyDiv w:val="1"/>
      <w:marLeft w:val="0"/>
      <w:marRight w:val="0"/>
      <w:marTop w:val="0"/>
      <w:marBottom w:val="0"/>
      <w:divBdr>
        <w:top w:val="none" w:sz="0" w:space="0" w:color="auto"/>
        <w:left w:val="none" w:sz="0" w:space="0" w:color="auto"/>
        <w:bottom w:val="none" w:sz="0" w:space="0" w:color="auto"/>
        <w:right w:val="none" w:sz="0" w:space="0" w:color="auto"/>
      </w:divBdr>
    </w:div>
    <w:div w:id="1562715030">
      <w:bodyDiv w:val="1"/>
      <w:marLeft w:val="0"/>
      <w:marRight w:val="0"/>
      <w:marTop w:val="0"/>
      <w:marBottom w:val="0"/>
      <w:divBdr>
        <w:top w:val="none" w:sz="0" w:space="0" w:color="auto"/>
        <w:left w:val="none" w:sz="0" w:space="0" w:color="auto"/>
        <w:bottom w:val="none" w:sz="0" w:space="0" w:color="auto"/>
        <w:right w:val="none" w:sz="0" w:space="0" w:color="auto"/>
      </w:divBdr>
      <w:divsChild>
        <w:div w:id="1736318573">
          <w:marLeft w:val="360"/>
          <w:marRight w:val="0"/>
          <w:marTop w:val="200"/>
          <w:marBottom w:val="0"/>
          <w:divBdr>
            <w:top w:val="none" w:sz="0" w:space="0" w:color="auto"/>
            <w:left w:val="none" w:sz="0" w:space="0" w:color="auto"/>
            <w:bottom w:val="none" w:sz="0" w:space="0" w:color="auto"/>
            <w:right w:val="none" w:sz="0" w:space="0" w:color="auto"/>
          </w:divBdr>
        </w:div>
      </w:divsChild>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597442721">
      <w:bodyDiv w:val="1"/>
      <w:marLeft w:val="0"/>
      <w:marRight w:val="0"/>
      <w:marTop w:val="0"/>
      <w:marBottom w:val="0"/>
      <w:divBdr>
        <w:top w:val="none" w:sz="0" w:space="0" w:color="auto"/>
        <w:left w:val="none" w:sz="0" w:space="0" w:color="auto"/>
        <w:bottom w:val="none" w:sz="0" w:space="0" w:color="auto"/>
        <w:right w:val="none" w:sz="0" w:space="0" w:color="auto"/>
      </w:divBdr>
    </w:div>
    <w:div w:id="1631941270">
      <w:bodyDiv w:val="1"/>
      <w:marLeft w:val="0"/>
      <w:marRight w:val="0"/>
      <w:marTop w:val="0"/>
      <w:marBottom w:val="0"/>
      <w:divBdr>
        <w:top w:val="none" w:sz="0" w:space="0" w:color="auto"/>
        <w:left w:val="none" w:sz="0" w:space="0" w:color="auto"/>
        <w:bottom w:val="none" w:sz="0" w:space="0" w:color="auto"/>
        <w:right w:val="none" w:sz="0" w:space="0" w:color="auto"/>
      </w:divBdr>
      <w:divsChild>
        <w:div w:id="352388022">
          <w:marLeft w:val="360"/>
          <w:marRight w:val="0"/>
          <w:marTop w:val="200"/>
          <w:marBottom w:val="0"/>
          <w:divBdr>
            <w:top w:val="none" w:sz="0" w:space="0" w:color="auto"/>
            <w:left w:val="none" w:sz="0" w:space="0" w:color="auto"/>
            <w:bottom w:val="none" w:sz="0" w:space="0" w:color="auto"/>
            <w:right w:val="none" w:sz="0" w:space="0" w:color="auto"/>
          </w:divBdr>
        </w:div>
      </w:divsChild>
    </w:div>
    <w:div w:id="1636249709">
      <w:bodyDiv w:val="1"/>
      <w:marLeft w:val="0"/>
      <w:marRight w:val="0"/>
      <w:marTop w:val="0"/>
      <w:marBottom w:val="0"/>
      <w:divBdr>
        <w:top w:val="none" w:sz="0" w:space="0" w:color="auto"/>
        <w:left w:val="none" w:sz="0" w:space="0" w:color="auto"/>
        <w:bottom w:val="none" w:sz="0" w:space="0" w:color="auto"/>
        <w:right w:val="none" w:sz="0" w:space="0" w:color="auto"/>
      </w:divBdr>
    </w:div>
    <w:div w:id="1636568921">
      <w:bodyDiv w:val="1"/>
      <w:marLeft w:val="0"/>
      <w:marRight w:val="0"/>
      <w:marTop w:val="0"/>
      <w:marBottom w:val="0"/>
      <w:divBdr>
        <w:top w:val="none" w:sz="0" w:space="0" w:color="auto"/>
        <w:left w:val="none" w:sz="0" w:space="0" w:color="auto"/>
        <w:bottom w:val="none" w:sz="0" w:space="0" w:color="auto"/>
        <w:right w:val="none" w:sz="0" w:space="0" w:color="auto"/>
      </w:divBdr>
      <w:divsChild>
        <w:div w:id="280914857">
          <w:marLeft w:val="360"/>
          <w:marRight w:val="0"/>
          <w:marTop w:val="200"/>
          <w:marBottom w:val="0"/>
          <w:divBdr>
            <w:top w:val="none" w:sz="0" w:space="0" w:color="auto"/>
            <w:left w:val="none" w:sz="0" w:space="0" w:color="auto"/>
            <w:bottom w:val="none" w:sz="0" w:space="0" w:color="auto"/>
            <w:right w:val="none" w:sz="0" w:space="0" w:color="auto"/>
          </w:divBdr>
        </w:div>
      </w:divsChild>
    </w:div>
    <w:div w:id="1716394767">
      <w:bodyDiv w:val="1"/>
      <w:marLeft w:val="0"/>
      <w:marRight w:val="0"/>
      <w:marTop w:val="0"/>
      <w:marBottom w:val="0"/>
      <w:divBdr>
        <w:top w:val="none" w:sz="0" w:space="0" w:color="auto"/>
        <w:left w:val="none" w:sz="0" w:space="0" w:color="auto"/>
        <w:bottom w:val="none" w:sz="0" w:space="0" w:color="auto"/>
        <w:right w:val="none" w:sz="0" w:space="0" w:color="auto"/>
      </w:divBdr>
    </w:div>
    <w:div w:id="1716854666">
      <w:bodyDiv w:val="1"/>
      <w:marLeft w:val="0"/>
      <w:marRight w:val="0"/>
      <w:marTop w:val="0"/>
      <w:marBottom w:val="0"/>
      <w:divBdr>
        <w:top w:val="none" w:sz="0" w:space="0" w:color="auto"/>
        <w:left w:val="none" w:sz="0" w:space="0" w:color="auto"/>
        <w:bottom w:val="none" w:sz="0" w:space="0" w:color="auto"/>
        <w:right w:val="none" w:sz="0" w:space="0" w:color="auto"/>
      </w:divBdr>
      <w:divsChild>
        <w:div w:id="1368215053">
          <w:marLeft w:val="1080"/>
          <w:marRight w:val="0"/>
          <w:marTop w:val="100"/>
          <w:marBottom w:val="0"/>
          <w:divBdr>
            <w:top w:val="none" w:sz="0" w:space="0" w:color="auto"/>
            <w:left w:val="none" w:sz="0" w:space="0" w:color="auto"/>
            <w:bottom w:val="none" w:sz="0" w:space="0" w:color="auto"/>
            <w:right w:val="none" w:sz="0" w:space="0" w:color="auto"/>
          </w:divBdr>
        </w:div>
      </w:divsChild>
    </w:div>
    <w:div w:id="1728993465">
      <w:bodyDiv w:val="1"/>
      <w:marLeft w:val="0"/>
      <w:marRight w:val="0"/>
      <w:marTop w:val="0"/>
      <w:marBottom w:val="0"/>
      <w:divBdr>
        <w:top w:val="none" w:sz="0" w:space="0" w:color="auto"/>
        <w:left w:val="none" w:sz="0" w:space="0" w:color="auto"/>
        <w:bottom w:val="none" w:sz="0" w:space="0" w:color="auto"/>
        <w:right w:val="none" w:sz="0" w:space="0" w:color="auto"/>
      </w:divBdr>
    </w:div>
    <w:div w:id="1752846818">
      <w:bodyDiv w:val="1"/>
      <w:marLeft w:val="0"/>
      <w:marRight w:val="0"/>
      <w:marTop w:val="0"/>
      <w:marBottom w:val="0"/>
      <w:divBdr>
        <w:top w:val="none" w:sz="0" w:space="0" w:color="auto"/>
        <w:left w:val="none" w:sz="0" w:space="0" w:color="auto"/>
        <w:bottom w:val="none" w:sz="0" w:space="0" w:color="auto"/>
        <w:right w:val="none" w:sz="0" w:space="0" w:color="auto"/>
      </w:divBdr>
      <w:divsChild>
        <w:div w:id="1905489267">
          <w:marLeft w:val="1080"/>
          <w:marRight w:val="0"/>
          <w:marTop w:val="100"/>
          <w:marBottom w:val="0"/>
          <w:divBdr>
            <w:top w:val="none" w:sz="0" w:space="0" w:color="auto"/>
            <w:left w:val="none" w:sz="0" w:space="0" w:color="auto"/>
            <w:bottom w:val="none" w:sz="0" w:space="0" w:color="auto"/>
            <w:right w:val="none" w:sz="0" w:space="0" w:color="auto"/>
          </w:divBdr>
        </w:div>
      </w:divsChild>
    </w:div>
    <w:div w:id="1905069621">
      <w:bodyDiv w:val="1"/>
      <w:marLeft w:val="0"/>
      <w:marRight w:val="0"/>
      <w:marTop w:val="0"/>
      <w:marBottom w:val="0"/>
      <w:divBdr>
        <w:top w:val="none" w:sz="0" w:space="0" w:color="auto"/>
        <w:left w:val="none" w:sz="0" w:space="0" w:color="auto"/>
        <w:bottom w:val="none" w:sz="0" w:space="0" w:color="auto"/>
        <w:right w:val="none" w:sz="0" w:space="0" w:color="auto"/>
      </w:divBdr>
      <w:divsChild>
        <w:div w:id="1253974398">
          <w:marLeft w:val="360"/>
          <w:marRight w:val="0"/>
          <w:marTop w:val="200"/>
          <w:marBottom w:val="0"/>
          <w:divBdr>
            <w:top w:val="none" w:sz="0" w:space="0" w:color="auto"/>
            <w:left w:val="none" w:sz="0" w:space="0" w:color="auto"/>
            <w:bottom w:val="none" w:sz="0" w:space="0" w:color="auto"/>
            <w:right w:val="none" w:sz="0" w:space="0" w:color="auto"/>
          </w:divBdr>
        </w:div>
      </w:divsChild>
    </w:div>
    <w:div w:id="1920410068">
      <w:bodyDiv w:val="1"/>
      <w:marLeft w:val="0"/>
      <w:marRight w:val="0"/>
      <w:marTop w:val="0"/>
      <w:marBottom w:val="0"/>
      <w:divBdr>
        <w:top w:val="none" w:sz="0" w:space="0" w:color="auto"/>
        <w:left w:val="none" w:sz="0" w:space="0" w:color="auto"/>
        <w:bottom w:val="none" w:sz="0" w:space="0" w:color="auto"/>
        <w:right w:val="none" w:sz="0" w:space="0" w:color="auto"/>
      </w:divBdr>
    </w:div>
    <w:div w:id="1936596222">
      <w:bodyDiv w:val="1"/>
      <w:marLeft w:val="0"/>
      <w:marRight w:val="0"/>
      <w:marTop w:val="0"/>
      <w:marBottom w:val="0"/>
      <w:divBdr>
        <w:top w:val="none" w:sz="0" w:space="0" w:color="auto"/>
        <w:left w:val="none" w:sz="0" w:space="0" w:color="auto"/>
        <w:bottom w:val="none" w:sz="0" w:space="0" w:color="auto"/>
        <w:right w:val="none" w:sz="0" w:space="0" w:color="auto"/>
      </w:divBdr>
      <w:divsChild>
        <w:div w:id="213082926">
          <w:marLeft w:val="547"/>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8705428">
      <w:bodyDiv w:val="1"/>
      <w:marLeft w:val="0"/>
      <w:marRight w:val="0"/>
      <w:marTop w:val="0"/>
      <w:marBottom w:val="0"/>
      <w:divBdr>
        <w:top w:val="none" w:sz="0" w:space="0" w:color="auto"/>
        <w:left w:val="none" w:sz="0" w:space="0" w:color="auto"/>
        <w:bottom w:val="none" w:sz="0" w:space="0" w:color="auto"/>
        <w:right w:val="none" w:sz="0" w:space="0" w:color="auto"/>
      </w:divBdr>
    </w:div>
    <w:div w:id="20881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ED1C-DBE4-4F79-BFFF-F9589674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13198</Words>
  <Characters>74027</Characters>
  <Application>Microsoft Office Word</Application>
  <DocSecurity>0</DocSecurity>
  <Lines>616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2022-02-14T00:02:00Z</dcterms:created>
  <dcterms:modified xsi:type="dcterms:W3CDTF">2022-03-16T22:17:00Z</dcterms:modified>
</cp:coreProperties>
</file>