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CBF65" w14:textId="77777777" w:rsidR="00DD6399" w:rsidRDefault="00175B49" w:rsidP="00DD6399">
      <w:pPr>
        <w:pStyle w:val="1MainTitle"/>
        <w:jc w:val="left"/>
        <w:rPr>
          <w:rFonts w:eastAsia="Calibri"/>
          <w:lang w:eastAsia="en-US"/>
        </w:rPr>
      </w:pPr>
      <w:r>
        <w:rPr>
          <w:rFonts w:eastAsia="Calibri"/>
          <w:lang w:eastAsia="en-US"/>
        </w:rPr>
        <w:t>5</w:t>
      </w:r>
      <w:r w:rsidR="00872E8F" w:rsidRPr="00BF27A0">
        <w:rPr>
          <w:rFonts w:eastAsia="Calibri"/>
          <w:lang w:eastAsia="en-US"/>
        </w:rPr>
        <w:t>.</w:t>
      </w:r>
      <w:r>
        <w:rPr>
          <w:rFonts w:eastAsia="Calibri"/>
          <w:lang w:eastAsia="en-US"/>
        </w:rPr>
        <w:t>2</w:t>
      </w:r>
      <w:r w:rsidR="00DD6399">
        <w:rPr>
          <w:rFonts w:eastAsia="Calibri"/>
          <w:lang w:eastAsia="en-US"/>
        </w:rPr>
        <w:t>2</w:t>
      </w:r>
      <w:r w:rsidR="00872E8F" w:rsidRPr="00BF27A0">
        <w:rPr>
          <w:rFonts w:eastAsia="Calibri"/>
          <w:lang w:eastAsia="en-US"/>
        </w:rPr>
        <w:tab/>
      </w:r>
      <w:r w:rsidR="00DD6399" w:rsidRPr="00DD6399">
        <w:rPr>
          <w:rFonts w:eastAsia="Calibri"/>
          <w:lang w:eastAsia="en-US"/>
        </w:rPr>
        <w:t>INSULIN ASPART</w:t>
      </w:r>
      <w:r>
        <w:rPr>
          <w:rFonts w:eastAsia="Calibri"/>
          <w:lang w:eastAsia="en-US"/>
        </w:rPr>
        <w:t>,</w:t>
      </w:r>
      <w:r w:rsidR="00872E8F">
        <w:rPr>
          <w:rFonts w:ascii="Calibri" w:eastAsia="Times New Roman" w:hAnsi="Calibri" w:cs="Calibri"/>
          <w:b w:val="0"/>
          <w:bCs/>
          <w:color w:val="FF0000"/>
          <w:spacing w:val="0"/>
          <w:kern w:val="0"/>
          <w:sz w:val="24"/>
          <w:szCs w:val="24"/>
          <w:lang w:eastAsia="en-US"/>
        </w:rPr>
        <w:br/>
      </w:r>
      <w:r w:rsidR="00DD6399" w:rsidRPr="00DD6399">
        <w:rPr>
          <w:rFonts w:eastAsia="Calibri"/>
          <w:lang w:eastAsia="en-US"/>
        </w:rPr>
        <w:t>Injections (human analogue), ca</w:t>
      </w:r>
      <w:r w:rsidR="006358A7">
        <w:rPr>
          <w:rFonts w:eastAsia="Calibri"/>
          <w:lang w:eastAsia="en-US"/>
        </w:rPr>
        <w:t>r</w:t>
      </w:r>
      <w:r w:rsidR="00DD6399" w:rsidRPr="00DD6399">
        <w:rPr>
          <w:rFonts w:eastAsia="Calibri"/>
          <w:lang w:eastAsia="en-US"/>
        </w:rPr>
        <w:t>tridges, 100 units per mL, 3 mL, 5</w:t>
      </w:r>
      <w:r w:rsidR="006358A7">
        <w:rPr>
          <w:rFonts w:eastAsia="Calibri"/>
          <w:lang w:eastAsia="en-US"/>
        </w:rPr>
        <w:t>,</w:t>
      </w:r>
    </w:p>
    <w:p w14:paraId="1C07435C" w14:textId="77777777" w:rsidR="004D1F4E" w:rsidRDefault="004D1F4E" w:rsidP="00373873">
      <w:pPr>
        <w:pStyle w:val="1MainTitle"/>
        <w:ind w:firstLine="0"/>
        <w:jc w:val="left"/>
        <w:outlineLvl w:val="9"/>
        <w:rPr>
          <w:rFonts w:eastAsia="Calibri"/>
          <w:lang w:eastAsia="en-US"/>
        </w:rPr>
      </w:pPr>
      <w:r>
        <w:t>Truvelog®</w:t>
      </w:r>
    </w:p>
    <w:p w14:paraId="5DAFE6B4" w14:textId="77777777" w:rsidR="00DD6399" w:rsidRDefault="00DD6399" w:rsidP="00DD6399">
      <w:pPr>
        <w:pStyle w:val="1MainTitle"/>
        <w:ind w:firstLine="0"/>
        <w:jc w:val="left"/>
        <w:outlineLvl w:val="9"/>
        <w:rPr>
          <w:rFonts w:eastAsia="Calibri"/>
          <w:lang w:eastAsia="en-US"/>
        </w:rPr>
      </w:pPr>
      <w:r w:rsidRPr="00DD6399">
        <w:rPr>
          <w:rFonts w:eastAsia="Calibri"/>
          <w:lang w:eastAsia="en-US"/>
        </w:rPr>
        <w:t>Injections (human analogue), pre-filled pen, 100 units per mL, 3 mL, 5</w:t>
      </w:r>
      <w:r w:rsidR="00175B49">
        <w:rPr>
          <w:rFonts w:eastAsia="Calibri"/>
          <w:lang w:eastAsia="en-US"/>
        </w:rPr>
        <w:t>,</w:t>
      </w:r>
    </w:p>
    <w:p w14:paraId="40326FC4" w14:textId="77777777" w:rsidR="00F7247C" w:rsidRPr="00DD6399" w:rsidRDefault="00DD6399" w:rsidP="00DD6399">
      <w:pPr>
        <w:pStyle w:val="1MainTitle"/>
        <w:ind w:firstLine="0"/>
        <w:jc w:val="left"/>
        <w:outlineLvl w:val="9"/>
        <w:rPr>
          <w:rFonts w:eastAsia="Calibri"/>
          <w:lang w:eastAsia="en-US"/>
        </w:rPr>
      </w:pPr>
      <w:r w:rsidRPr="00DD6399">
        <w:t>Truvelog Solostar®,</w:t>
      </w:r>
      <w:r w:rsidR="00872E8F" w:rsidRPr="00984C58">
        <w:br/>
      </w:r>
      <w:r w:rsidRPr="00DD6399">
        <w:t>Sanofi-Aventis Australia Pty Ltd</w:t>
      </w:r>
    </w:p>
    <w:p w14:paraId="69F68D04" w14:textId="77777777"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328CB1FD" w14:textId="14A0A801" w:rsidR="007E490F" w:rsidRPr="00327776" w:rsidRDefault="006C6C10" w:rsidP="00327776">
      <w:pPr>
        <w:pStyle w:val="3Bodytext"/>
      </w:pPr>
      <w:r w:rsidRPr="00EF4580">
        <w:rPr>
          <w:rFonts w:cstheme="minorHAnsi"/>
          <w:szCs w:val="24"/>
        </w:rPr>
        <w:t>The</w:t>
      </w:r>
      <w:r w:rsidR="00175B49">
        <w:rPr>
          <w:rFonts w:cstheme="minorHAnsi"/>
          <w:szCs w:val="24"/>
        </w:rPr>
        <w:t xml:space="preserve"> </w:t>
      </w:r>
      <w:r w:rsidR="00327776" w:rsidRPr="00327776">
        <w:rPr>
          <w:rFonts w:cstheme="minorHAnsi"/>
          <w:szCs w:val="24"/>
        </w:rPr>
        <w:t>Category 3</w:t>
      </w:r>
      <w:r w:rsidR="00C96EC0" w:rsidRPr="00B74F48">
        <w:rPr>
          <w:rFonts w:cstheme="minorHAnsi"/>
          <w:color w:val="FF0000"/>
          <w:szCs w:val="24"/>
        </w:rPr>
        <w:t xml:space="preserve"> </w:t>
      </w:r>
      <w:r w:rsidRPr="00EF4580">
        <w:rPr>
          <w:rFonts w:cstheme="minorHAnsi"/>
          <w:szCs w:val="24"/>
        </w:rPr>
        <w:t xml:space="preserve">submission </w:t>
      </w:r>
      <w:r w:rsidR="0023466E">
        <w:rPr>
          <w:rFonts w:cstheme="minorHAnsi"/>
          <w:szCs w:val="24"/>
        </w:rPr>
        <w:t>sought</w:t>
      </w:r>
      <w:r w:rsidRPr="00EF4580">
        <w:rPr>
          <w:rFonts w:cstheme="minorHAnsi"/>
          <w:szCs w:val="24"/>
        </w:rPr>
        <w:t xml:space="preserve"> </w:t>
      </w:r>
      <w:r w:rsidR="00327776">
        <w:t>listing of a new biosimilar brand of insulin aspart</w:t>
      </w:r>
      <w:r w:rsidR="005E28A0">
        <w:t xml:space="preserve"> (Truvelog)</w:t>
      </w:r>
      <w:r w:rsidR="00660E5E">
        <w:t xml:space="preserve"> in the form of</w:t>
      </w:r>
      <w:r w:rsidR="00327776">
        <w:t xml:space="preserve"> 100 IU/mL cartridge</w:t>
      </w:r>
      <w:r w:rsidR="00660E5E">
        <w:t xml:space="preserve"> (</w:t>
      </w:r>
      <w:r w:rsidR="00660E5E" w:rsidRPr="00327776">
        <w:t>Tru</w:t>
      </w:r>
      <w:r w:rsidR="00660E5E">
        <w:t>velog®)</w:t>
      </w:r>
      <w:r w:rsidR="00327776" w:rsidRPr="00327776">
        <w:t xml:space="preserve"> and</w:t>
      </w:r>
      <w:r w:rsidR="00660E5E">
        <w:t xml:space="preserve"> </w:t>
      </w:r>
      <w:r w:rsidR="00327776" w:rsidRPr="00327776">
        <w:t>100 IU/mL pre-filled pen</w:t>
      </w:r>
      <w:r w:rsidR="00327776">
        <w:t xml:space="preserve"> </w:t>
      </w:r>
      <w:r w:rsidR="00660E5E">
        <w:t>(</w:t>
      </w:r>
      <w:r w:rsidR="00660E5E" w:rsidRPr="00327776">
        <w:t>Tru</w:t>
      </w:r>
      <w:r w:rsidR="00660E5E">
        <w:t>velog Solostar®)</w:t>
      </w:r>
      <w:r w:rsidR="00327776">
        <w:t xml:space="preserve">, for the treatment of diabetes mellitus, </w:t>
      </w:r>
      <w:r w:rsidR="00175B49">
        <w:t xml:space="preserve">under the same circumstances as </w:t>
      </w:r>
      <w:r w:rsidR="00715274">
        <w:t>the PBS-listed forms of the reference biologic NovoRapid (</w:t>
      </w:r>
      <w:r w:rsidR="00715274" w:rsidRPr="00327776">
        <w:t xml:space="preserve">NovoRapid FlexPen® </w:t>
      </w:r>
      <w:r w:rsidR="00715274">
        <w:t xml:space="preserve">and </w:t>
      </w:r>
      <w:r w:rsidR="00715274" w:rsidRPr="00327776">
        <w:t>NovoRapid Penfill®</w:t>
      </w:r>
      <w:r w:rsidR="00715274">
        <w:t xml:space="preserve">). </w:t>
      </w:r>
    </w:p>
    <w:p w14:paraId="5A950116" w14:textId="77777777" w:rsidR="007E490F" w:rsidRPr="00FD6D8E" w:rsidRDefault="007E490F" w:rsidP="00853E32">
      <w:pPr>
        <w:pStyle w:val="2-SectionHeading"/>
      </w:pPr>
      <w:r w:rsidRPr="009E2E8E">
        <w:t>Background</w:t>
      </w:r>
      <w:r>
        <w:t xml:space="preserve"> </w:t>
      </w:r>
    </w:p>
    <w:p w14:paraId="2157A274" w14:textId="77777777" w:rsidR="007E490F" w:rsidRDefault="007E490F" w:rsidP="007E490F">
      <w:pPr>
        <w:pStyle w:val="4-SubsectionHeading"/>
      </w:pPr>
      <w:r>
        <w:t>Registration</w:t>
      </w:r>
      <w:r w:rsidRPr="009324A6">
        <w:t xml:space="preserve"> status</w:t>
      </w:r>
    </w:p>
    <w:p w14:paraId="3A00007A" w14:textId="77777777" w:rsidR="00BC04B1" w:rsidRDefault="00327776" w:rsidP="00853E32">
      <w:pPr>
        <w:pStyle w:val="3Bodytext"/>
      </w:pPr>
      <w:r w:rsidRPr="00327776">
        <w:t>Truvelog</w:t>
      </w:r>
      <w:r w:rsidRPr="009E2E8E">
        <w:t xml:space="preserve"> </w:t>
      </w:r>
      <w:r w:rsidR="007E490F" w:rsidRPr="009E2E8E">
        <w:t>was</w:t>
      </w:r>
      <w:r w:rsidR="007E490F">
        <w:t xml:space="preserve"> TGA registered on</w:t>
      </w:r>
      <w:r>
        <w:t xml:space="preserve"> </w:t>
      </w:r>
      <w:r w:rsidRPr="00327776">
        <w:t>1</w:t>
      </w:r>
      <w:r w:rsidR="005E28A0">
        <w:t>5</w:t>
      </w:r>
      <w:r w:rsidRPr="00327776">
        <w:t xml:space="preserve"> October 2020 for the treatment of diabetes mellitus</w:t>
      </w:r>
      <w:r w:rsidR="00325AD0">
        <w:t>,</w:t>
      </w:r>
      <w:r w:rsidR="008364CC">
        <w:t xml:space="preserve"> and</w:t>
      </w:r>
      <w:r w:rsidR="00325AD0">
        <w:t xml:space="preserve"> </w:t>
      </w:r>
      <w:r w:rsidR="00325AD0" w:rsidRPr="00325AD0">
        <w:t>determined to be a biosimilar to</w:t>
      </w:r>
      <w:r w:rsidR="00D150A4">
        <w:t xml:space="preserve"> the reference brand</w:t>
      </w:r>
      <w:r w:rsidR="00325AD0">
        <w:t xml:space="preserve"> </w:t>
      </w:r>
      <w:r w:rsidR="00E04728">
        <w:t>NovoRapid</w:t>
      </w:r>
      <w:r w:rsidR="00325AD0">
        <w:t xml:space="preserve">. </w:t>
      </w:r>
      <w:r w:rsidR="00D150A4">
        <w:t xml:space="preserve">Truvelog </w:t>
      </w:r>
      <w:r w:rsidR="00A65576">
        <w:t xml:space="preserve">has </w:t>
      </w:r>
      <w:r w:rsidR="00A65576" w:rsidRPr="00A65576">
        <w:t>the same TGA indication</w:t>
      </w:r>
      <w:r w:rsidR="00A65576">
        <w:t xml:space="preserve"> </w:t>
      </w:r>
      <w:r w:rsidR="00A65576" w:rsidRPr="00A65576">
        <w:t xml:space="preserve">as </w:t>
      </w:r>
      <w:r w:rsidR="00A65576">
        <w:t>NovoRapid</w:t>
      </w:r>
      <w:r w:rsidR="00A65576" w:rsidRPr="00A65576">
        <w:t>.</w:t>
      </w:r>
    </w:p>
    <w:p w14:paraId="2D1F14F9" w14:textId="77777777" w:rsidR="00964A9F" w:rsidRDefault="00964A9F" w:rsidP="00964A9F">
      <w:pPr>
        <w:pStyle w:val="2-SectionHeading"/>
      </w:pPr>
      <w:r w:rsidRPr="009D507A">
        <w:t xml:space="preserve">Requested listing </w:t>
      </w:r>
    </w:p>
    <w:p w14:paraId="1C746755" w14:textId="77777777" w:rsidR="00E04728" w:rsidRPr="00E04728" w:rsidRDefault="00964A9F" w:rsidP="00E04728">
      <w:pPr>
        <w:pStyle w:val="3Bodytext"/>
      </w:pPr>
      <w:r w:rsidRPr="00E0207E">
        <w:t xml:space="preserve">The submission requested </w:t>
      </w:r>
      <w:r w:rsidR="00E04728">
        <w:t>listing Truvelog under the</w:t>
      </w:r>
      <w:r w:rsidRPr="00E0207E">
        <w:t xml:space="preserve"> </w:t>
      </w:r>
      <w:r w:rsidR="00E04728" w:rsidRPr="00E04728">
        <w:t xml:space="preserve">same circumstances as the existing </w:t>
      </w:r>
      <w:r w:rsidR="0065452F">
        <w:t xml:space="preserve">unrestricted </w:t>
      </w:r>
      <w:r w:rsidR="00E04728" w:rsidRPr="00E04728">
        <w:t xml:space="preserve">listings of </w:t>
      </w:r>
      <w:r w:rsidR="00E04728">
        <w:t xml:space="preserve">NovoRapid. </w:t>
      </w:r>
    </w:p>
    <w:p w14:paraId="38ACD74F" w14:textId="77777777" w:rsidR="00964A9F" w:rsidRDefault="00E04728" w:rsidP="00E04728">
      <w:pPr>
        <w:pStyle w:val="3Bodytext"/>
      </w:pPr>
      <w:r>
        <w:t xml:space="preserve">The submission requested </w:t>
      </w:r>
      <w:r w:rsidR="00D05961">
        <w:t xml:space="preserve">that </w:t>
      </w:r>
      <w:r>
        <w:t xml:space="preserve">Truvelog be </w:t>
      </w:r>
      <w:r w:rsidRPr="00E04728">
        <w:t>‘a’</w:t>
      </w:r>
      <w:r w:rsidR="00CC4833">
        <w:t xml:space="preserve"> </w:t>
      </w:r>
      <w:r w:rsidRPr="00E04728">
        <w:t>flagged against</w:t>
      </w:r>
      <w:r w:rsidR="00D05961">
        <w:t xml:space="preserve"> corresponding forms of</w:t>
      </w:r>
      <w:r>
        <w:t xml:space="preserve"> the reference brand NovoRapid and proposed inclusion of an administrative note encouraging the use of biosimilar medicines for treatment-naïve patients.</w:t>
      </w:r>
    </w:p>
    <w:p w14:paraId="59CCCAB6" w14:textId="77777777" w:rsidR="004450D5" w:rsidRPr="004450D5" w:rsidRDefault="004450D5" w:rsidP="004450D5">
      <w:pPr>
        <w:pStyle w:val="3Bodytext"/>
        <w:numPr>
          <w:ilvl w:val="0"/>
          <w:numId w:val="0"/>
        </w:numPr>
        <w:ind w:left="720"/>
        <w:rPr>
          <w:i/>
          <w:iCs/>
        </w:rPr>
      </w:pPr>
      <w:r w:rsidRPr="004450D5">
        <w:rPr>
          <w:i/>
          <w:iCs/>
        </w:rPr>
        <w:t xml:space="preserve">For more detail on PBAC’s view, see section </w:t>
      </w:r>
      <w:r w:rsidR="00C50BF8">
        <w:rPr>
          <w:i/>
          <w:iCs/>
        </w:rPr>
        <w:t>6</w:t>
      </w:r>
      <w:r w:rsidRPr="004450D5">
        <w:rPr>
          <w:i/>
          <w:iCs/>
        </w:rPr>
        <w:t xml:space="preserve"> PBAC outcome.</w:t>
      </w:r>
    </w:p>
    <w:p w14:paraId="2089A03B" w14:textId="77777777" w:rsidR="00C27C1C" w:rsidRPr="00980B0E" w:rsidRDefault="00C27C1C" w:rsidP="00853E32">
      <w:pPr>
        <w:pStyle w:val="2-SectionHeading"/>
        <w:rPr>
          <w:color w:val="FF0000"/>
        </w:rPr>
      </w:pPr>
      <w:r w:rsidRPr="003C2FB5">
        <w:t>Comparator</w:t>
      </w:r>
      <w:r>
        <w:t xml:space="preserve"> </w:t>
      </w:r>
    </w:p>
    <w:p w14:paraId="5AD4B16D" w14:textId="77777777" w:rsidR="00C27C1C" w:rsidRPr="004450D5" w:rsidRDefault="00C27C1C" w:rsidP="001059F9">
      <w:pPr>
        <w:pStyle w:val="3Bodytext"/>
      </w:pPr>
      <w:r w:rsidRPr="000B44C3">
        <w:t xml:space="preserve">The </w:t>
      </w:r>
      <w:r w:rsidRPr="004450D5">
        <w:t>submission nominated</w:t>
      </w:r>
      <w:r w:rsidR="0065452F" w:rsidRPr="004450D5">
        <w:t xml:space="preserve"> NovoRapid</w:t>
      </w:r>
      <w:r w:rsidR="00EB7210" w:rsidRPr="004450D5">
        <w:t xml:space="preserve"> </w:t>
      </w:r>
      <w:r w:rsidRPr="004450D5">
        <w:t>as the main comparator.</w:t>
      </w:r>
      <w:r w:rsidR="00EB7210" w:rsidRPr="004450D5">
        <w:t xml:space="preserve"> This</w:t>
      </w:r>
      <w:r w:rsidR="0065452F" w:rsidRPr="004450D5">
        <w:t xml:space="preserve"> was</w:t>
      </w:r>
      <w:r w:rsidR="00EB7210" w:rsidRPr="004450D5">
        <w:t xml:space="preserve"> appropriate. </w:t>
      </w:r>
      <w:r w:rsidRPr="004450D5">
        <w:t xml:space="preserve"> </w:t>
      </w:r>
      <w:r w:rsidRPr="004450D5">
        <w:rPr>
          <w:color w:val="FF0000"/>
        </w:rPr>
        <w:t xml:space="preserve"> </w:t>
      </w:r>
    </w:p>
    <w:p w14:paraId="2CA79311" w14:textId="77777777" w:rsidR="004450D5" w:rsidRPr="004450D5" w:rsidRDefault="004450D5" w:rsidP="004450D5">
      <w:pPr>
        <w:pStyle w:val="3Bodytext"/>
        <w:numPr>
          <w:ilvl w:val="0"/>
          <w:numId w:val="0"/>
        </w:numPr>
        <w:ind w:left="720"/>
        <w:rPr>
          <w:i/>
        </w:rPr>
      </w:pPr>
      <w:r w:rsidRPr="004450D5">
        <w:rPr>
          <w:i/>
        </w:rPr>
        <w:t xml:space="preserve">For more detail on PBAC’s view, see section </w:t>
      </w:r>
      <w:r w:rsidR="00C50BF8">
        <w:rPr>
          <w:i/>
        </w:rPr>
        <w:t>6</w:t>
      </w:r>
      <w:r w:rsidRPr="004450D5">
        <w:rPr>
          <w:i/>
        </w:rPr>
        <w:t xml:space="preserve"> PBAC outcome.</w:t>
      </w:r>
    </w:p>
    <w:p w14:paraId="33C1BF4E" w14:textId="77777777" w:rsidR="00C27C1C" w:rsidRPr="007F31E4" w:rsidRDefault="00C27C1C" w:rsidP="00853E32">
      <w:pPr>
        <w:pStyle w:val="Heading1"/>
        <w:keepLines/>
        <w:numPr>
          <w:ilvl w:val="0"/>
          <w:numId w:val="2"/>
        </w:numPr>
        <w:spacing w:before="240"/>
        <w:ind w:left="709" w:hanging="709"/>
        <w:rPr>
          <w:sz w:val="32"/>
          <w:szCs w:val="32"/>
        </w:rPr>
      </w:pPr>
      <w:r w:rsidRPr="003C2FB5">
        <w:rPr>
          <w:sz w:val="32"/>
          <w:szCs w:val="32"/>
        </w:rPr>
        <w:lastRenderedPageBreak/>
        <w:t>Consideration of the evidence</w:t>
      </w:r>
    </w:p>
    <w:p w14:paraId="2AD4DBCB" w14:textId="77777777" w:rsidR="004450D5" w:rsidRDefault="004450D5" w:rsidP="004450D5">
      <w:pPr>
        <w:pStyle w:val="4-SubsectionHeading"/>
        <w:rPr>
          <w:lang w:eastAsia="en-US"/>
        </w:rPr>
      </w:pPr>
      <w:r w:rsidRPr="00AE7672">
        <w:rPr>
          <w:lang w:eastAsia="en-US"/>
        </w:rPr>
        <w:t>Sponsor hearing</w:t>
      </w:r>
    </w:p>
    <w:p w14:paraId="4300C706" w14:textId="77777777" w:rsidR="004450D5" w:rsidRPr="0076010C" w:rsidRDefault="004450D5" w:rsidP="004450D5">
      <w:pPr>
        <w:pStyle w:val="3Bodytext"/>
        <w:rPr>
          <w:lang w:eastAsia="en-US"/>
        </w:rPr>
      </w:pPr>
      <w:r w:rsidRPr="0076010C">
        <w:rPr>
          <w:lang w:eastAsia="en-US"/>
        </w:rPr>
        <w:t>There was no hearing for this item.</w:t>
      </w:r>
    </w:p>
    <w:p w14:paraId="0FE00793" w14:textId="77777777" w:rsidR="004450D5" w:rsidRDefault="004450D5" w:rsidP="004450D5">
      <w:pPr>
        <w:pStyle w:val="4-SubsectionHeading"/>
        <w:rPr>
          <w:lang w:eastAsia="en-US"/>
        </w:rPr>
      </w:pPr>
      <w:r w:rsidRPr="00AE7672">
        <w:rPr>
          <w:lang w:eastAsia="en-US"/>
        </w:rPr>
        <w:t>Consumer comments</w:t>
      </w:r>
    </w:p>
    <w:p w14:paraId="208F5671" w14:textId="77777777" w:rsidR="004450D5" w:rsidRPr="0076010C" w:rsidRDefault="004450D5" w:rsidP="004450D5">
      <w:pPr>
        <w:pStyle w:val="3Bodytext"/>
        <w:rPr>
          <w:lang w:eastAsia="en-US"/>
        </w:rPr>
      </w:pPr>
      <w:r w:rsidRPr="0076010C">
        <w:rPr>
          <w:lang w:eastAsia="en-US"/>
        </w:rPr>
        <w:t>The PBAC noted that no consumer comments were received for this item</w:t>
      </w:r>
      <w:r>
        <w:rPr>
          <w:lang w:eastAsia="en-US"/>
        </w:rPr>
        <w:t>.</w:t>
      </w:r>
    </w:p>
    <w:p w14:paraId="35F3DDD4" w14:textId="77777777" w:rsidR="00C27C1C" w:rsidRPr="00937958" w:rsidRDefault="00C27C1C" w:rsidP="00C27C1C">
      <w:pPr>
        <w:pStyle w:val="4-SubsectionHeading"/>
        <w:keepNext w:val="0"/>
        <w:rPr>
          <w:lang w:eastAsia="en-US"/>
        </w:rPr>
      </w:pPr>
      <w:r w:rsidRPr="003C2FB5">
        <w:rPr>
          <w:lang w:eastAsia="en-US"/>
        </w:rPr>
        <w:t>Clinical trials</w:t>
      </w:r>
      <w:r>
        <w:rPr>
          <w:lang w:eastAsia="en-US"/>
        </w:rPr>
        <w:t xml:space="preserve"> </w:t>
      </w:r>
    </w:p>
    <w:p w14:paraId="6791F15E" w14:textId="77777777" w:rsidR="00C27C1C" w:rsidRDefault="00C27C1C" w:rsidP="007F31E4">
      <w:pPr>
        <w:pStyle w:val="3Bodytext"/>
      </w:pPr>
      <w:r w:rsidRPr="009E2E8E">
        <w:t xml:space="preserve">The submission </w:t>
      </w:r>
      <w:r w:rsidR="00B36B15">
        <w:t xml:space="preserve">presented </w:t>
      </w:r>
      <w:r w:rsidR="00E50625">
        <w:t xml:space="preserve">a summary of </w:t>
      </w:r>
      <w:r w:rsidR="007F31E4">
        <w:t xml:space="preserve">the </w:t>
      </w:r>
      <w:r w:rsidR="007F31E4" w:rsidRPr="007F31E4">
        <w:t>GEMELLI 1</w:t>
      </w:r>
      <w:r w:rsidR="00E50625">
        <w:t xml:space="preserve"> (</w:t>
      </w:r>
      <w:r w:rsidR="00E50625" w:rsidRPr="00E50625">
        <w:t>EFC 15081</w:t>
      </w:r>
      <w:r w:rsidR="00E50625">
        <w:t>)</w:t>
      </w:r>
      <w:r w:rsidR="007F31E4" w:rsidRPr="007F31E4">
        <w:t xml:space="preserve"> </w:t>
      </w:r>
      <w:r w:rsidR="00D31D97">
        <w:t>s</w:t>
      </w:r>
      <w:r w:rsidR="007F31E4" w:rsidRPr="007F31E4">
        <w:t>tudy</w:t>
      </w:r>
      <w:r w:rsidR="007F31E4">
        <w:t xml:space="preserve">, </w:t>
      </w:r>
      <w:r w:rsidR="00E50625">
        <w:t xml:space="preserve">a </w:t>
      </w:r>
      <w:r w:rsidR="00EF535B">
        <w:t>randomi</w:t>
      </w:r>
      <w:r w:rsidR="00E50625">
        <w:t>s</w:t>
      </w:r>
      <w:r w:rsidR="00EF535B">
        <w:t>ed, o</w:t>
      </w:r>
      <w:r w:rsidR="007F31E4">
        <w:t>pen</w:t>
      </w:r>
      <w:r w:rsidR="00EF535B">
        <w:t xml:space="preserve"> </w:t>
      </w:r>
      <w:r w:rsidR="007F31E4">
        <w:t>label</w:t>
      </w:r>
      <w:r w:rsidR="00D31D97">
        <w:t xml:space="preserve"> study comparing safety and efficacy of</w:t>
      </w:r>
      <w:r w:rsidR="007F31E4">
        <w:t xml:space="preserve"> SAR341402</w:t>
      </w:r>
      <w:r w:rsidR="00016A63">
        <w:t xml:space="preserve"> (Truvelog)</w:t>
      </w:r>
      <w:r w:rsidR="007F31E4">
        <w:t xml:space="preserve"> to </w:t>
      </w:r>
      <w:r w:rsidR="00016A63">
        <w:t>NovoRapid</w:t>
      </w:r>
      <w:r w:rsidR="00EF535B">
        <w:t xml:space="preserve"> in adult patients w</w:t>
      </w:r>
      <w:r w:rsidR="007F31E4">
        <w:t xml:space="preserve">ith </w:t>
      </w:r>
      <w:r w:rsidR="00EF535B">
        <w:t>diabetes mellitus also u</w:t>
      </w:r>
      <w:r w:rsidR="007F31E4">
        <w:t xml:space="preserve">sing </w:t>
      </w:r>
      <w:r w:rsidR="00EF535B">
        <w:t>insulin g</w:t>
      </w:r>
      <w:r w:rsidR="007F31E4">
        <w:t>largine.</w:t>
      </w:r>
    </w:p>
    <w:p w14:paraId="64E59DCE" w14:textId="77777777" w:rsidR="00B36B15" w:rsidRPr="00415B91" w:rsidRDefault="00D31D97" w:rsidP="00853E32">
      <w:pPr>
        <w:pStyle w:val="3Bodytext"/>
        <w:rPr>
          <w:i/>
        </w:rPr>
      </w:pPr>
      <w:r>
        <w:rPr>
          <w:rFonts w:ascii="Calibri" w:eastAsia="Times New Roman" w:hAnsi="Calibri" w:cs="Times New Roman"/>
          <w:szCs w:val="24"/>
          <w:lang w:eastAsia="en-US"/>
        </w:rPr>
        <w:t>The GEMELLI 1 study</w:t>
      </w:r>
      <w:r w:rsidRPr="00D31D97">
        <w:rPr>
          <w:rFonts w:ascii="Calibri" w:eastAsia="Times New Roman" w:hAnsi="Calibri" w:cs="Times New Roman"/>
          <w:szCs w:val="24"/>
          <w:lang w:eastAsia="en-US"/>
        </w:rPr>
        <w:t xml:space="preserve"> formed part of the TGA submission to register </w:t>
      </w:r>
      <w:r>
        <w:rPr>
          <w:rFonts w:ascii="Calibri" w:eastAsia="Times New Roman" w:hAnsi="Calibri" w:cs="Times New Roman"/>
          <w:szCs w:val="24"/>
          <w:lang w:eastAsia="en-US"/>
        </w:rPr>
        <w:t>Truvelog</w:t>
      </w:r>
      <w:r w:rsidRPr="00D31D97">
        <w:rPr>
          <w:rFonts w:ascii="Calibri" w:eastAsia="Times New Roman" w:hAnsi="Calibri" w:cs="Times New Roman"/>
          <w:szCs w:val="24"/>
          <w:lang w:eastAsia="en-US"/>
        </w:rPr>
        <w:t xml:space="preserve"> as a biosimilar to </w:t>
      </w:r>
      <w:r>
        <w:rPr>
          <w:rFonts w:ascii="Calibri" w:eastAsia="Times New Roman" w:hAnsi="Calibri" w:cs="Times New Roman"/>
          <w:szCs w:val="24"/>
          <w:lang w:eastAsia="en-US"/>
        </w:rPr>
        <w:t>NovoRapid</w:t>
      </w:r>
      <w:r w:rsidRPr="00D31D97">
        <w:rPr>
          <w:rFonts w:ascii="Calibri" w:eastAsia="Times New Roman" w:hAnsi="Calibri" w:cs="Times New Roman"/>
          <w:szCs w:val="24"/>
          <w:lang w:eastAsia="en-US"/>
        </w:rPr>
        <w:t xml:space="preserve">. </w:t>
      </w:r>
      <w:r>
        <w:rPr>
          <w:rFonts w:ascii="Calibri" w:eastAsia="Times New Roman" w:hAnsi="Calibri" w:cs="Times New Roman"/>
          <w:szCs w:val="24"/>
          <w:lang w:eastAsia="en-US"/>
        </w:rPr>
        <w:t>The TGA Delegate</w:t>
      </w:r>
      <w:r w:rsidR="00197817">
        <w:rPr>
          <w:rFonts w:ascii="Calibri" w:eastAsia="Times New Roman" w:hAnsi="Calibri" w:cs="Times New Roman"/>
          <w:szCs w:val="24"/>
          <w:lang w:eastAsia="en-US"/>
        </w:rPr>
        <w:t>’s</w:t>
      </w:r>
      <w:r>
        <w:rPr>
          <w:rFonts w:ascii="Calibri" w:eastAsia="Times New Roman" w:hAnsi="Calibri" w:cs="Times New Roman"/>
          <w:szCs w:val="24"/>
          <w:lang w:eastAsia="en-US"/>
        </w:rPr>
        <w:t xml:space="preserve"> Overview noted that t</w:t>
      </w:r>
      <w:r w:rsidRPr="00D31D97">
        <w:rPr>
          <w:rFonts w:ascii="Calibri" w:eastAsia="Times New Roman" w:hAnsi="Calibri" w:cs="Times New Roman"/>
          <w:szCs w:val="24"/>
          <w:lang w:eastAsia="en-US"/>
        </w:rPr>
        <w:t xml:space="preserve">he data provided is adequate to support the registration of </w:t>
      </w:r>
      <w:r>
        <w:rPr>
          <w:rFonts w:ascii="Calibri" w:eastAsia="Times New Roman" w:hAnsi="Calibri" w:cs="Times New Roman"/>
          <w:szCs w:val="24"/>
          <w:lang w:eastAsia="en-US"/>
        </w:rPr>
        <w:t>Truvelog</w:t>
      </w:r>
      <w:r w:rsidRPr="00D31D97">
        <w:rPr>
          <w:rFonts w:ascii="Calibri" w:eastAsia="Times New Roman" w:hAnsi="Calibri" w:cs="Times New Roman"/>
          <w:szCs w:val="24"/>
          <w:lang w:eastAsia="en-US"/>
        </w:rPr>
        <w:t xml:space="preserve"> as a biosimilar to </w:t>
      </w:r>
      <w:r>
        <w:rPr>
          <w:rFonts w:ascii="Calibri" w:eastAsia="Times New Roman" w:hAnsi="Calibri" w:cs="Times New Roman"/>
          <w:szCs w:val="24"/>
          <w:lang w:eastAsia="en-US"/>
        </w:rPr>
        <w:t>NovoRapid and that t</w:t>
      </w:r>
      <w:r w:rsidRPr="00D31D97">
        <w:rPr>
          <w:rFonts w:ascii="Calibri" w:eastAsia="Times New Roman" w:hAnsi="Calibri" w:cs="Times New Roman"/>
          <w:szCs w:val="24"/>
          <w:lang w:eastAsia="en-US"/>
        </w:rPr>
        <w:t>he disposable pens are also sufficiently similar for patients to know how to use the device without the need for re-education.</w:t>
      </w:r>
    </w:p>
    <w:p w14:paraId="57E3CEF0" w14:textId="77777777" w:rsidR="00BB298A" w:rsidRDefault="00BB298A" w:rsidP="00853E32">
      <w:pPr>
        <w:pStyle w:val="3-BodyText"/>
        <w:numPr>
          <w:ilvl w:val="1"/>
          <w:numId w:val="2"/>
        </w:numPr>
      </w:pPr>
      <w:r w:rsidRPr="004450D5">
        <w:rPr>
          <w:lang w:eastAsia="en-US"/>
        </w:rPr>
        <w:t>As a</w:t>
      </w:r>
      <w:r w:rsidR="007F31E4" w:rsidRPr="004450D5">
        <w:rPr>
          <w:lang w:eastAsia="en-US"/>
        </w:rPr>
        <w:t xml:space="preserve"> Category 3</w:t>
      </w:r>
      <w:r w:rsidR="007F31E4" w:rsidRPr="004450D5">
        <w:rPr>
          <w:color w:val="FF0000"/>
          <w:lang w:eastAsia="en-US"/>
        </w:rPr>
        <w:t xml:space="preserve"> </w:t>
      </w:r>
      <w:r w:rsidRPr="004450D5">
        <w:rPr>
          <w:lang w:eastAsia="en-US"/>
        </w:rPr>
        <w:t>submission, no evaluation of the clinical evidence was undertaken</w:t>
      </w:r>
      <w:r w:rsidRPr="004450D5">
        <w:t>.</w:t>
      </w:r>
    </w:p>
    <w:p w14:paraId="5986A4A1" w14:textId="77777777" w:rsidR="00C27C1C" w:rsidRPr="008306F3" w:rsidRDefault="00C27C1C" w:rsidP="00C27C1C">
      <w:pPr>
        <w:pStyle w:val="4-SubsectionHeading"/>
        <w:rPr>
          <w:lang w:eastAsia="en-US"/>
        </w:rPr>
      </w:pPr>
      <w:r w:rsidRPr="003C2FB5">
        <w:rPr>
          <w:lang w:eastAsia="en-US"/>
        </w:rPr>
        <w:t>Clinical claim</w:t>
      </w:r>
    </w:p>
    <w:p w14:paraId="1D668D5B" w14:textId="77777777" w:rsidR="00EF4580" w:rsidRDefault="00C27C1C" w:rsidP="00853E32">
      <w:pPr>
        <w:pStyle w:val="3Bodytext"/>
      </w:pPr>
      <w:r w:rsidRPr="003C2FB5">
        <w:t>The submission claimed</w:t>
      </w:r>
      <w:r w:rsidR="009E3FD7">
        <w:t xml:space="preserve"> that</w:t>
      </w:r>
      <w:r w:rsidR="007F31E4" w:rsidRPr="007F31E4">
        <w:t xml:space="preserve"> </w:t>
      </w:r>
      <w:r w:rsidR="007F31E4">
        <w:t xml:space="preserve">Truvelog </w:t>
      </w:r>
      <w:r w:rsidR="009E3FD7" w:rsidRPr="00BD5D08">
        <w:rPr>
          <w:lang w:eastAsia="en-US"/>
        </w:rPr>
        <w:t xml:space="preserve">was biosimilar to </w:t>
      </w:r>
      <w:r w:rsidR="007F31E4">
        <w:t>NovoRapid</w:t>
      </w:r>
      <w:r w:rsidR="00B36B15">
        <w:t>.</w:t>
      </w:r>
    </w:p>
    <w:p w14:paraId="02499FDF" w14:textId="77777777" w:rsidR="00AA1909" w:rsidRPr="00CE42B4" w:rsidRDefault="00AA1909" w:rsidP="00AA1909">
      <w:pPr>
        <w:widowControl w:val="0"/>
        <w:numPr>
          <w:ilvl w:val="1"/>
          <w:numId w:val="2"/>
        </w:numPr>
        <w:spacing w:after="120"/>
        <w:rPr>
          <w:rFonts w:asciiTheme="minorHAnsi" w:hAnsiTheme="minorHAnsi" w:cs="Arial"/>
          <w:snapToGrid w:val="0"/>
          <w:szCs w:val="20"/>
        </w:rPr>
      </w:pPr>
      <w:bookmarkStart w:id="0"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w:t>
      </w:r>
      <w:r w:rsidR="00C46EA9">
        <w:rPr>
          <w:rFonts w:asciiTheme="minorHAnsi" w:hAnsiTheme="minorHAnsi" w:cs="Arial"/>
          <w:snapToGrid w:val="0"/>
          <w:szCs w:val="20"/>
        </w:rPr>
        <w:t xml:space="preserve"> and safety</w:t>
      </w:r>
      <w:r w:rsidRPr="00CE42B4">
        <w:rPr>
          <w:rFonts w:asciiTheme="minorHAnsi" w:hAnsiTheme="minorHAnsi" w:cs="Arial"/>
          <w:snapToGrid w:val="0"/>
          <w:szCs w:val="20"/>
        </w:rPr>
        <w:t xml:space="preserve"> was adequately supported by the data.</w:t>
      </w:r>
    </w:p>
    <w:bookmarkEnd w:id="0"/>
    <w:p w14:paraId="5D86F03F" w14:textId="77777777" w:rsidR="00074320" w:rsidRPr="00D70349" w:rsidRDefault="00074320" w:rsidP="00FA0B04">
      <w:pPr>
        <w:pStyle w:val="4-SubsectionHeading"/>
        <w:rPr>
          <w:lang w:eastAsia="en-US"/>
        </w:rPr>
      </w:pPr>
      <w:r w:rsidRPr="00D70349">
        <w:rPr>
          <w:lang w:eastAsia="en-US"/>
        </w:rPr>
        <w:t>Pricing consideration</w:t>
      </w:r>
      <w:r w:rsidR="00D25021">
        <w:rPr>
          <w:lang w:eastAsia="en-US"/>
        </w:rPr>
        <w:t>s</w:t>
      </w:r>
      <w:r w:rsidRPr="00D70349">
        <w:rPr>
          <w:lang w:eastAsia="en-US"/>
        </w:rPr>
        <w:t xml:space="preserve"> </w:t>
      </w:r>
    </w:p>
    <w:p w14:paraId="1CBB909C" w14:textId="77777777" w:rsidR="00022532" w:rsidRPr="003334B9" w:rsidRDefault="00022532" w:rsidP="00D52B24">
      <w:pPr>
        <w:pStyle w:val="3Bodytext"/>
        <w:jc w:val="both"/>
        <w:rPr>
          <w:rFonts w:cstheme="minorHAnsi"/>
          <w:szCs w:val="24"/>
        </w:rPr>
      </w:pPr>
      <w:r w:rsidRPr="003334B9">
        <w:rPr>
          <w:rFonts w:cstheme="minorHAnsi"/>
          <w:szCs w:val="24"/>
        </w:rPr>
        <w:t>The submission requested listing Truvelog on a cost-minimisation basis to NovoRapid</w:t>
      </w:r>
      <w:r w:rsidR="005A7F68" w:rsidRPr="003334B9">
        <w:rPr>
          <w:rFonts w:cstheme="minorHAnsi"/>
          <w:szCs w:val="24"/>
        </w:rPr>
        <w:t>.</w:t>
      </w:r>
    </w:p>
    <w:p w14:paraId="62A7747B" w14:textId="77777777" w:rsidR="00CC4833" w:rsidRPr="003334B9" w:rsidRDefault="008006B4" w:rsidP="00853E32">
      <w:pPr>
        <w:pStyle w:val="3Bodytext"/>
      </w:pPr>
      <w:r w:rsidRPr="003334B9">
        <w:t>Although not a matter for PBAC,</w:t>
      </w:r>
      <w:r w:rsidR="008B1BF3" w:rsidRPr="003334B9">
        <w:t xml:space="preserve"> the PBAC noted</w:t>
      </w:r>
      <w:r w:rsidRPr="003334B9">
        <w:t xml:space="preserve"> t</w:t>
      </w:r>
      <w:r w:rsidR="00F06753" w:rsidRPr="003334B9">
        <w:t>he Sponsor plan</w:t>
      </w:r>
      <w:r w:rsidR="00D25021" w:rsidRPr="003334B9">
        <w:t>ned</w:t>
      </w:r>
      <w:r w:rsidR="00F06753" w:rsidRPr="003334B9">
        <w:t xml:space="preserve"> to submit a request for Ministerial Discretion to </w:t>
      </w:r>
      <w:r w:rsidR="00F60E79" w:rsidRPr="003334B9">
        <w:t>reduce the ‘First New Brand’</w:t>
      </w:r>
      <w:r w:rsidR="00F06753" w:rsidRPr="003334B9">
        <w:t xml:space="preserve"> </w:t>
      </w:r>
      <w:r w:rsidR="00477DCB" w:rsidRPr="003334B9">
        <w:t>statutory price reduction</w:t>
      </w:r>
      <w:r w:rsidR="008B1BF3" w:rsidRPr="003334B9">
        <w:t xml:space="preserve"> under the National Health Act 1953 of up to 25%,</w:t>
      </w:r>
      <w:r w:rsidRPr="003334B9">
        <w:t xml:space="preserve"> </w:t>
      </w:r>
      <w:r w:rsidR="00F60E79" w:rsidRPr="003334B9">
        <w:t xml:space="preserve">to </w:t>
      </w:r>
      <w:r w:rsidR="00E70D6F">
        <w:rPr>
          <w:noProof/>
          <w:color w:val="000000"/>
          <w:highlight w:val="black"/>
        </w:rPr>
        <w:t>'''''</w:t>
      </w:r>
      <w:r w:rsidR="00F60E79" w:rsidRPr="003334B9">
        <w:t xml:space="preserve">%. </w:t>
      </w:r>
    </w:p>
    <w:p w14:paraId="4D2C7B48" w14:textId="77777777" w:rsidR="00CC4833" w:rsidRPr="003334B9" w:rsidRDefault="00CC4833">
      <w:pPr>
        <w:jc w:val="left"/>
        <w:rPr>
          <w:rFonts w:asciiTheme="minorHAnsi" w:eastAsiaTheme="minorHAnsi" w:hAnsiTheme="minorHAnsi" w:cstheme="minorBidi"/>
          <w:szCs w:val="22"/>
        </w:rPr>
      </w:pPr>
    </w:p>
    <w:p w14:paraId="3E8268E0" w14:textId="77777777" w:rsidR="007076A8" w:rsidRPr="003334B9" w:rsidRDefault="007076A8" w:rsidP="00E02EA3">
      <w:pPr>
        <w:pStyle w:val="3Bodytext"/>
        <w:numPr>
          <w:ilvl w:val="0"/>
          <w:numId w:val="0"/>
        </w:numPr>
        <w:spacing w:after="0"/>
        <w:rPr>
          <w:rFonts w:ascii="Arial Narrow" w:hAnsi="Arial Narrow"/>
          <w:b/>
          <w:bCs/>
          <w:sz w:val="20"/>
          <w:szCs w:val="20"/>
        </w:rPr>
      </w:pPr>
      <w:bookmarkStart w:id="1" w:name="_Ref59037543"/>
    </w:p>
    <w:p w14:paraId="2BFE2C8C" w14:textId="77777777" w:rsidR="007076A8" w:rsidRPr="003334B9" w:rsidRDefault="007076A8" w:rsidP="00E02EA3">
      <w:pPr>
        <w:pStyle w:val="3Bodytext"/>
        <w:numPr>
          <w:ilvl w:val="0"/>
          <w:numId w:val="0"/>
        </w:numPr>
        <w:spacing w:after="0"/>
        <w:rPr>
          <w:rFonts w:ascii="Arial Narrow" w:hAnsi="Arial Narrow"/>
          <w:b/>
          <w:bCs/>
          <w:sz w:val="20"/>
          <w:szCs w:val="20"/>
        </w:rPr>
      </w:pPr>
    </w:p>
    <w:p w14:paraId="50FFC229" w14:textId="77777777" w:rsidR="00D25777" w:rsidRPr="003334B9" w:rsidRDefault="00D25777" w:rsidP="00E02EA3">
      <w:pPr>
        <w:pStyle w:val="3Bodytext"/>
        <w:numPr>
          <w:ilvl w:val="0"/>
          <w:numId w:val="0"/>
        </w:numPr>
        <w:spacing w:after="0"/>
        <w:rPr>
          <w:rFonts w:ascii="Arial Narrow" w:hAnsi="Arial Narrow"/>
          <w:b/>
          <w:bCs/>
          <w:sz w:val="20"/>
          <w:szCs w:val="20"/>
        </w:rPr>
      </w:pPr>
    </w:p>
    <w:p w14:paraId="589AD522" w14:textId="77777777" w:rsidR="00E34191" w:rsidRDefault="00E34191" w:rsidP="00E02EA3">
      <w:pPr>
        <w:pStyle w:val="3Bodytext"/>
        <w:numPr>
          <w:ilvl w:val="0"/>
          <w:numId w:val="0"/>
        </w:numPr>
        <w:spacing w:after="0"/>
        <w:rPr>
          <w:rFonts w:ascii="Arial Narrow" w:hAnsi="Arial Narrow"/>
          <w:b/>
          <w:bCs/>
          <w:sz w:val="20"/>
          <w:szCs w:val="20"/>
        </w:rPr>
      </w:pPr>
    </w:p>
    <w:p w14:paraId="6A22E4C2" w14:textId="77777777" w:rsidR="00E34191" w:rsidRDefault="00E34191" w:rsidP="00E02EA3">
      <w:pPr>
        <w:pStyle w:val="3Bodytext"/>
        <w:numPr>
          <w:ilvl w:val="0"/>
          <w:numId w:val="0"/>
        </w:numPr>
        <w:spacing w:after="0"/>
        <w:rPr>
          <w:rFonts w:ascii="Arial Narrow" w:hAnsi="Arial Narrow"/>
          <w:b/>
          <w:bCs/>
          <w:sz w:val="20"/>
          <w:szCs w:val="20"/>
        </w:rPr>
      </w:pPr>
    </w:p>
    <w:p w14:paraId="69FD0817" w14:textId="77777777" w:rsidR="00E34191" w:rsidRDefault="00E34191" w:rsidP="00E02EA3">
      <w:pPr>
        <w:pStyle w:val="3Bodytext"/>
        <w:numPr>
          <w:ilvl w:val="0"/>
          <w:numId w:val="0"/>
        </w:numPr>
        <w:spacing w:after="0"/>
        <w:rPr>
          <w:rFonts w:ascii="Arial Narrow" w:hAnsi="Arial Narrow"/>
          <w:b/>
          <w:bCs/>
          <w:sz w:val="20"/>
          <w:szCs w:val="20"/>
        </w:rPr>
      </w:pPr>
    </w:p>
    <w:p w14:paraId="5D564BBE" w14:textId="77777777" w:rsidR="00E34191" w:rsidRDefault="00E34191" w:rsidP="00E02EA3">
      <w:pPr>
        <w:pStyle w:val="3Bodytext"/>
        <w:numPr>
          <w:ilvl w:val="0"/>
          <w:numId w:val="0"/>
        </w:numPr>
        <w:spacing w:after="0"/>
        <w:rPr>
          <w:rFonts w:ascii="Arial Narrow" w:hAnsi="Arial Narrow"/>
          <w:b/>
          <w:bCs/>
          <w:sz w:val="20"/>
          <w:szCs w:val="20"/>
        </w:rPr>
      </w:pPr>
    </w:p>
    <w:p w14:paraId="12706F70" w14:textId="77777777" w:rsidR="00E34191" w:rsidRDefault="00E34191" w:rsidP="00E02EA3">
      <w:pPr>
        <w:pStyle w:val="3Bodytext"/>
        <w:numPr>
          <w:ilvl w:val="0"/>
          <w:numId w:val="0"/>
        </w:numPr>
        <w:spacing w:after="0"/>
        <w:rPr>
          <w:rFonts w:ascii="Arial Narrow" w:hAnsi="Arial Narrow"/>
          <w:b/>
          <w:bCs/>
          <w:sz w:val="20"/>
          <w:szCs w:val="20"/>
        </w:rPr>
      </w:pPr>
    </w:p>
    <w:p w14:paraId="236E044B" w14:textId="77777777" w:rsidR="00E34191" w:rsidRDefault="00E34191" w:rsidP="00E02EA3">
      <w:pPr>
        <w:pStyle w:val="3Bodytext"/>
        <w:numPr>
          <w:ilvl w:val="0"/>
          <w:numId w:val="0"/>
        </w:numPr>
        <w:spacing w:after="0"/>
        <w:rPr>
          <w:rFonts w:ascii="Arial Narrow" w:hAnsi="Arial Narrow"/>
          <w:b/>
          <w:bCs/>
          <w:sz w:val="20"/>
          <w:szCs w:val="20"/>
        </w:rPr>
      </w:pPr>
    </w:p>
    <w:p w14:paraId="08A749AC" w14:textId="77777777" w:rsidR="00E34191" w:rsidRDefault="00E34191" w:rsidP="00E02EA3">
      <w:pPr>
        <w:pStyle w:val="3Bodytext"/>
        <w:numPr>
          <w:ilvl w:val="0"/>
          <w:numId w:val="0"/>
        </w:numPr>
        <w:spacing w:after="0"/>
        <w:rPr>
          <w:rFonts w:ascii="Arial Narrow" w:hAnsi="Arial Narrow"/>
          <w:b/>
          <w:bCs/>
          <w:sz w:val="20"/>
          <w:szCs w:val="20"/>
        </w:rPr>
      </w:pPr>
    </w:p>
    <w:p w14:paraId="73811C77" w14:textId="77777777" w:rsidR="00E34191" w:rsidRDefault="00E34191" w:rsidP="00E02EA3">
      <w:pPr>
        <w:pStyle w:val="3Bodytext"/>
        <w:numPr>
          <w:ilvl w:val="0"/>
          <w:numId w:val="0"/>
        </w:numPr>
        <w:spacing w:after="0"/>
        <w:rPr>
          <w:rFonts w:ascii="Arial Narrow" w:hAnsi="Arial Narrow"/>
          <w:b/>
          <w:bCs/>
          <w:sz w:val="20"/>
          <w:szCs w:val="20"/>
        </w:rPr>
      </w:pPr>
    </w:p>
    <w:p w14:paraId="6C8CED01" w14:textId="77777777" w:rsidR="00E34191" w:rsidRDefault="00E34191" w:rsidP="00E02EA3">
      <w:pPr>
        <w:pStyle w:val="3Bodytext"/>
        <w:numPr>
          <w:ilvl w:val="0"/>
          <w:numId w:val="0"/>
        </w:numPr>
        <w:spacing w:after="0"/>
        <w:rPr>
          <w:rFonts w:ascii="Arial Narrow" w:hAnsi="Arial Narrow"/>
          <w:b/>
          <w:bCs/>
          <w:sz w:val="20"/>
          <w:szCs w:val="20"/>
        </w:rPr>
      </w:pPr>
    </w:p>
    <w:p w14:paraId="7791B902" w14:textId="77777777" w:rsidR="00E34191" w:rsidRDefault="00E34191" w:rsidP="00E02EA3">
      <w:pPr>
        <w:pStyle w:val="3Bodytext"/>
        <w:numPr>
          <w:ilvl w:val="0"/>
          <w:numId w:val="0"/>
        </w:numPr>
        <w:spacing w:after="0"/>
        <w:rPr>
          <w:rFonts w:ascii="Arial Narrow" w:hAnsi="Arial Narrow"/>
          <w:b/>
          <w:bCs/>
          <w:sz w:val="20"/>
          <w:szCs w:val="20"/>
        </w:rPr>
      </w:pPr>
    </w:p>
    <w:p w14:paraId="7EC88DC9" w14:textId="756D2783" w:rsidR="00D8405B" w:rsidRPr="003334B9" w:rsidRDefault="00D8405B" w:rsidP="00E02EA3">
      <w:pPr>
        <w:pStyle w:val="3Bodytext"/>
        <w:numPr>
          <w:ilvl w:val="0"/>
          <w:numId w:val="0"/>
        </w:numPr>
        <w:spacing w:after="0"/>
        <w:rPr>
          <w:rFonts w:ascii="Arial Narrow" w:hAnsi="Arial Narrow"/>
          <w:b/>
          <w:bCs/>
          <w:sz w:val="20"/>
          <w:szCs w:val="20"/>
        </w:rPr>
      </w:pPr>
      <w:r w:rsidRPr="003334B9">
        <w:rPr>
          <w:rFonts w:ascii="Arial Narrow" w:hAnsi="Arial Narrow"/>
          <w:b/>
          <w:bCs/>
          <w:sz w:val="20"/>
          <w:szCs w:val="20"/>
        </w:rPr>
        <w:lastRenderedPageBreak/>
        <w:t xml:space="preserve">Table </w:t>
      </w:r>
      <w:bookmarkEnd w:id="1"/>
      <w:r w:rsidR="00784CB0" w:rsidRPr="003334B9">
        <w:rPr>
          <w:rFonts w:ascii="Arial Narrow" w:hAnsi="Arial Narrow"/>
          <w:b/>
          <w:bCs/>
          <w:sz w:val="20"/>
          <w:szCs w:val="20"/>
        </w:rPr>
        <w:t>1</w:t>
      </w:r>
      <w:r w:rsidRPr="003334B9">
        <w:rPr>
          <w:rFonts w:ascii="Arial Narrow" w:hAnsi="Arial Narrow"/>
          <w:b/>
          <w:bCs/>
          <w:sz w:val="20"/>
          <w:szCs w:val="20"/>
        </w:rPr>
        <w:t xml:space="preserve">: Current </w:t>
      </w:r>
      <w:r w:rsidR="009755AE" w:rsidRPr="003334B9">
        <w:rPr>
          <w:rFonts w:ascii="Arial Narrow" w:hAnsi="Arial Narrow"/>
          <w:b/>
          <w:bCs/>
          <w:sz w:val="20"/>
          <w:szCs w:val="20"/>
        </w:rPr>
        <w:t>prices for NovoRapid and price</w:t>
      </w:r>
      <w:r w:rsidR="00477DCB" w:rsidRPr="003334B9">
        <w:rPr>
          <w:rFonts w:ascii="Arial Narrow" w:hAnsi="Arial Narrow"/>
          <w:b/>
          <w:bCs/>
          <w:sz w:val="20"/>
          <w:szCs w:val="20"/>
        </w:rPr>
        <w:t>s</w:t>
      </w:r>
      <w:r w:rsidR="009755AE" w:rsidRPr="003334B9">
        <w:rPr>
          <w:rFonts w:ascii="Arial Narrow" w:hAnsi="Arial Narrow"/>
          <w:b/>
          <w:bCs/>
          <w:sz w:val="20"/>
          <w:szCs w:val="20"/>
        </w:rPr>
        <w:t xml:space="preserve"> for Truvelog</w:t>
      </w:r>
      <w:r w:rsidR="00131732" w:rsidRPr="003334B9">
        <w:rPr>
          <w:rFonts w:ascii="Arial Narrow" w:hAnsi="Arial Narrow"/>
          <w:b/>
          <w:bCs/>
          <w:sz w:val="20"/>
          <w:szCs w:val="20"/>
        </w:rPr>
        <w:t xml:space="preserve"> with </w:t>
      </w:r>
      <w:r w:rsidR="00E70D6F">
        <w:rPr>
          <w:rFonts w:ascii="Arial Narrow" w:hAnsi="Arial Narrow"/>
          <w:b/>
          <w:bCs/>
          <w:noProof/>
          <w:color w:val="000000"/>
          <w:sz w:val="20"/>
          <w:szCs w:val="20"/>
          <w:highlight w:val="black"/>
        </w:rPr>
        <w:t>'''''</w:t>
      </w:r>
      <w:r w:rsidR="00477DCB" w:rsidRPr="003334B9">
        <w:rPr>
          <w:rFonts w:ascii="Arial Narrow" w:hAnsi="Arial Narrow"/>
          <w:b/>
          <w:bCs/>
          <w:sz w:val="20"/>
          <w:szCs w:val="20"/>
        </w:rPr>
        <w:t xml:space="preserve">% and </w:t>
      </w:r>
      <w:r w:rsidR="00131732" w:rsidRPr="003334B9">
        <w:rPr>
          <w:rFonts w:ascii="Arial Narrow" w:hAnsi="Arial Narrow"/>
          <w:b/>
          <w:bCs/>
          <w:sz w:val="20"/>
          <w:szCs w:val="20"/>
        </w:rPr>
        <w:t xml:space="preserve">25% reduction </w:t>
      </w:r>
    </w:p>
    <w:tbl>
      <w:tblPr>
        <w:tblStyle w:val="TableGrid"/>
        <w:tblW w:w="5000" w:type="pct"/>
        <w:tblLook w:val="04A0" w:firstRow="1" w:lastRow="0" w:firstColumn="1" w:lastColumn="0" w:noHBand="0" w:noVBand="1"/>
        <w:tblCaption w:val="Table 1: Current prices for NovoRapid and prices for Truvelog with '''''% and 25% reduction "/>
      </w:tblPr>
      <w:tblGrid>
        <w:gridCol w:w="9016"/>
      </w:tblGrid>
      <w:tr w:rsidR="00D8405B" w:rsidRPr="003334B9" w14:paraId="2DEC5FD6" w14:textId="77777777" w:rsidTr="0088485F">
        <w:trPr>
          <w:trHeight w:val="283"/>
          <w:tblHeader/>
        </w:trPr>
        <w:tc>
          <w:tcPr>
            <w:tcW w:w="5000" w:type="pct"/>
          </w:tcPr>
          <w:p w14:paraId="6EF451A0" w14:textId="77777777" w:rsidR="00D8405B" w:rsidRPr="003334B9" w:rsidRDefault="00D8405B" w:rsidP="00D8405B">
            <w:pPr>
              <w:keepNext/>
              <w:keepLines/>
              <w:spacing w:before="40" w:after="40"/>
              <w:rPr>
                <w:rFonts w:ascii="Arial Narrow" w:eastAsia="SimSun" w:hAnsi="Arial Narrow" w:cs="Arial"/>
                <w:b/>
                <w:sz w:val="20"/>
                <w:szCs w:val="20"/>
                <w:lang w:eastAsia="zh-CN"/>
              </w:rPr>
            </w:pPr>
            <w:bookmarkStart w:id="2" w:name="_GoBack" w:colFirst="0" w:colLast="1"/>
            <w:r w:rsidRPr="003334B9">
              <w:rPr>
                <w:rFonts w:ascii="Arial Narrow" w:eastAsia="SimSun" w:hAnsi="Arial Narrow" w:cs="Arial"/>
                <w:b/>
                <w:sz w:val="20"/>
                <w:szCs w:val="20"/>
                <w:lang w:eastAsia="zh-CN"/>
              </w:rPr>
              <w:t xml:space="preserve">NovoRapid FlexPen/PenFill – Current </w:t>
            </w:r>
            <w:r w:rsidR="00D5041A" w:rsidRPr="003334B9">
              <w:rPr>
                <w:rFonts w:ascii="Arial Narrow" w:eastAsia="SimSun" w:hAnsi="Arial Narrow" w:cs="Arial"/>
                <w:b/>
                <w:sz w:val="20"/>
                <w:szCs w:val="20"/>
                <w:lang w:eastAsia="zh-CN"/>
              </w:rPr>
              <w:t xml:space="preserve">ex-manufacturer </w:t>
            </w:r>
            <w:r w:rsidRPr="003334B9">
              <w:rPr>
                <w:rFonts w:ascii="Arial Narrow" w:eastAsia="SimSun" w:hAnsi="Arial Narrow" w:cs="Arial"/>
                <w:b/>
                <w:sz w:val="20"/>
                <w:szCs w:val="20"/>
                <w:lang w:eastAsia="zh-CN"/>
              </w:rPr>
              <w:t>price</w:t>
            </w:r>
          </w:p>
        </w:tc>
      </w:tr>
      <w:bookmarkEnd w:id="2"/>
      <w:tr w:rsidR="00D5041A" w:rsidRPr="003334B9" w14:paraId="2B37F5DB" w14:textId="77777777" w:rsidTr="00D5041A">
        <w:trPr>
          <w:trHeight w:hRule="exact" w:val="340"/>
        </w:trPr>
        <w:tc>
          <w:tcPr>
            <w:tcW w:w="5000" w:type="pct"/>
          </w:tcPr>
          <w:p w14:paraId="60256031" w14:textId="77777777" w:rsidR="00D5041A" w:rsidRPr="003334B9" w:rsidRDefault="00D5041A" w:rsidP="00D8405B">
            <w:pPr>
              <w:keepNext/>
              <w:keepLines/>
              <w:spacing w:before="40" w:after="40"/>
              <w:rPr>
                <w:rFonts w:ascii="Arial Narrow" w:eastAsia="SimSun" w:hAnsi="Arial Narrow" w:cs="Arial"/>
                <w:sz w:val="20"/>
                <w:szCs w:val="20"/>
                <w:lang w:eastAsia="zh-CN"/>
              </w:rPr>
            </w:pPr>
            <w:r w:rsidRPr="003334B9">
              <w:rPr>
                <w:rFonts w:ascii="Arial Narrow" w:eastAsia="SimSun" w:hAnsi="Arial Narrow" w:cs="Arial"/>
                <w:sz w:val="20"/>
                <w:szCs w:val="20"/>
                <w:lang w:eastAsia="zh-CN"/>
              </w:rPr>
              <w:t>$36.23 (1 pack containing 5 units)</w:t>
            </w:r>
          </w:p>
          <w:p w14:paraId="14E834A2" w14:textId="77777777" w:rsidR="00D5041A" w:rsidRPr="003334B9" w:rsidRDefault="00D5041A" w:rsidP="00D8405B">
            <w:pPr>
              <w:keepNext/>
              <w:keepLines/>
              <w:spacing w:before="40" w:after="40"/>
              <w:rPr>
                <w:rFonts w:ascii="Arial Narrow" w:eastAsia="SimSun" w:hAnsi="Arial Narrow" w:cs="Arial"/>
                <w:sz w:val="20"/>
                <w:szCs w:val="20"/>
                <w:lang w:eastAsia="zh-CN"/>
              </w:rPr>
            </w:pPr>
            <w:r w:rsidRPr="003334B9">
              <w:rPr>
                <w:rFonts w:ascii="Arial Narrow" w:eastAsia="SimSun" w:hAnsi="Arial Narrow" w:cs="Arial"/>
                <w:sz w:val="20"/>
                <w:szCs w:val="20"/>
                <w:lang w:eastAsia="zh-CN"/>
              </w:rPr>
              <w:t>$211.49</w:t>
            </w:r>
          </w:p>
        </w:tc>
      </w:tr>
      <w:tr w:rsidR="00D8405B" w:rsidRPr="003334B9" w14:paraId="4AE0027F" w14:textId="77777777" w:rsidTr="00D8405B">
        <w:trPr>
          <w:trHeight w:val="257"/>
        </w:trPr>
        <w:tc>
          <w:tcPr>
            <w:tcW w:w="5000" w:type="pct"/>
          </w:tcPr>
          <w:p w14:paraId="1CDFA595" w14:textId="77777777" w:rsidR="00D8405B" w:rsidRPr="003334B9" w:rsidRDefault="00D8405B" w:rsidP="00D8405B">
            <w:pPr>
              <w:keepNext/>
              <w:keepLines/>
              <w:spacing w:before="40" w:after="40"/>
              <w:rPr>
                <w:rFonts w:ascii="Arial Narrow" w:eastAsia="SimSun" w:hAnsi="Arial Narrow" w:cs="Arial"/>
                <w:b/>
                <w:sz w:val="20"/>
                <w:szCs w:val="20"/>
                <w:lang w:eastAsia="zh-CN"/>
              </w:rPr>
            </w:pPr>
            <w:r w:rsidRPr="003334B9">
              <w:rPr>
                <w:rFonts w:ascii="Arial Narrow" w:eastAsia="SimSun" w:hAnsi="Arial Narrow" w:cs="Arial"/>
                <w:b/>
                <w:sz w:val="20"/>
                <w:szCs w:val="20"/>
                <w:lang w:eastAsia="zh-CN"/>
              </w:rPr>
              <w:t>Truvelog/Truvelog SoloStar – Proposed</w:t>
            </w:r>
            <w:r w:rsidR="00D5041A" w:rsidRPr="003334B9">
              <w:rPr>
                <w:rFonts w:ascii="Arial Narrow" w:eastAsia="SimSun" w:hAnsi="Arial Narrow" w:cs="Arial"/>
                <w:b/>
                <w:sz w:val="20"/>
                <w:szCs w:val="20"/>
                <w:lang w:eastAsia="zh-CN"/>
              </w:rPr>
              <w:t xml:space="preserve"> ex-manufacturer</w:t>
            </w:r>
            <w:r w:rsidRPr="003334B9">
              <w:rPr>
                <w:rFonts w:ascii="Arial Narrow" w:eastAsia="SimSun" w:hAnsi="Arial Narrow" w:cs="Arial"/>
                <w:b/>
                <w:sz w:val="20"/>
                <w:szCs w:val="20"/>
                <w:lang w:eastAsia="zh-CN"/>
              </w:rPr>
              <w:t xml:space="preserve"> price</w:t>
            </w:r>
            <w:r w:rsidR="00D5041A" w:rsidRPr="003334B9">
              <w:rPr>
                <w:rFonts w:ascii="Arial Narrow" w:eastAsia="SimSun" w:hAnsi="Arial Narrow" w:cs="Arial"/>
                <w:b/>
                <w:sz w:val="20"/>
                <w:szCs w:val="20"/>
                <w:lang w:eastAsia="zh-CN"/>
              </w:rPr>
              <w:t xml:space="preserve"> (</w:t>
            </w:r>
            <w:r w:rsidR="00E70D6F">
              <w:rPr>
                <w:rFonts w:ascii="Arial Narrow" w:eastAsia="SimSun" w:hAnsi="Arial Narrow" w:cs="Arial"/>
                <w:b/>
                <w:noProof/>
                <w:color w:val="000000"/>
                <w:sz w:val="20"/>
                <w:szCs w:val="20"/>
                <w:highlight w:val="black"/>
                <w:lang w:eastAsia="zh-CN"/>
              </w:rPr>
              <w:t>'''''</w:t>
            </w:r>
            <w:r w:rsidR="00D5041A" w:rsidRPr="003334B9">
              <w:rPr>
                <w:rFonts w:ascii="Arial Narrow" w:eastAsia="SimSun" w:hAnsi="Arial Narrow" w:cs="Arial"/>
                <w:b/>
                <w:sz w:val="20"/>
                <w:szCs w:val="20"/>
                <w:lang w:eastAsia="zh-CN"/>
              </w:rPr>
              <w:t>% SPR)</w:t>
            </w:r>
          </w:p>
        </w:tc>
      </w:tr>
      <w:tr w:rsidR="00D5041A" w:rsidRPr="003334B9" w14:paraId="25E08965" w14:textId="77777777" w:rsidTr="00D5041A">
        <w:trPr>
          <w:trHeight w:hRule="exact" w:val="340"/>
        </w:trPr>
        <w:tc>
          <w:tcPr>
            <w:tcW w:w="5000" w:type="pct"/>
          </w:tcPr>
          <w:p w14:paraId="0ECC92EA" w14:textId="77777777" w:rsidR="00D5041A" w:rsidRPr="003334B9" w:rsidRDefault="00D5041A" w:rsidP="00D8405B">
            <w:pPr>
              <w:keepNext/>
              <w:keepLines/>
              <w:spacing w:before="40" w:after="40"/>
              <w:rPr>
                <w:rFonts w:ascii="Arial Narrow" w:eastAsia="SimSun" w:hAnsi="Arial Narrow" w:cs="Arial"/>
                <w:sz w:val="20"/>
                <w:szCs w:val="20"/>
                <w:lang w:eastAsia="zh-CN"/>
              </w:rPr>
            </w:pPr>
            <w:r w:rsidRPr="003334B9">
              <w:rPr>
                <w:rFonts w:ascii="Arial Narrow" w:eastAsia="SimSun" w:hAnsi="Arial Narrow" w:cs="Arial"/>
                <w:sz w:val="20"/>
                <w:szCs w:val="20"/>
                <w:lang w:eastAsia="zh-CN"/>
              </w:rPr>
              <w:t>$</w:t>
            </w:r>
            <w:r w:rsidR="00E70D6F">
              <w:rPr>
                <w:rFonts w:ascii="Arial Narrow" w:eastAsia="SimSun" w:hAnsi="Arial Narrow" w:cs="Arial"/>
                <w:noProof/>
                <w:color w:val="000000"/>
                <w:sz w:val="20"/>
                <w:szCs w:val="20"/>
                <w:highlight w:val="black"/>
                <w:lang w:eastAsia="zh-CN"/>
              </w:rPr>
              <w:t>'''''''''''''''</w:t>
            </w:r>
            <w:r w:rsidRPr="003334B9">
              <w:rPr>
                <w:rFonts w:ascii="Arial Narrow" w:eastAsia="SimSun" w:hAnsi="Arial Narrow" w:cs="Arial"/>
                <w:sz w:val="20"/>
                <w:szCs w:val="20"/>
                <w:lang w:eastAsia="zh-CN"/>
              </w:rPr>
              <w:t xml:space="preserve"> (1 pack containing 5 units)</w:t>
            </w:r>
          </w:p>
          <w:p w14:paraId="592CC724" w14:textId="77777777" w:rsidR="00D5041A" w:rsidRPr="003334B9" w:rsidRDefault="00D5041A" w:rsidP="00297790">
            <w:pPr>
              <w:keepNext/>
              <w:keepLines/>
              <w:spacing w:before="40" w:after="40"/>
              <w:rPr>
                <w:rFonts w:ascii="Arial Narrow" w:eastAsia="SimSun" w:hAnsi="Arial Narrow" w:cs="Arial"/>
                <w:sz w:val="20"/>
                <w:szCs w:val="20"/>
                <w:lang w:eastAsia="zh-CN"/>
              </w:rPr>
            </w:pPr>
            <w:r w:rsidRPr="003334B9">
              <w:rPr>
                <w:rFonts w:ascii="Arial Narrow" w:eastAsia="SimSun" w:hAnsi="Arial Narrow" w:cs="Arial"/>
                <w:sz w:val="20"/>
                <w:szCs w:val="20"/>
                <w:lang w:eastAsia="zh-CN"/>
              </w:rPr>
              <w:t>$160.43</w:t>
            </w:r>
          </w:p>
        </w:tc>
      </w:tr>
      <w:tr w:rsidR="00D5041A" w:rsidRPr="003334B9" w14:paraId="525B7026" w14:textId="77777777" w:rsidTr="00D5041A">
        <w:trPr>
          <w:trHeight w:hRule="exact" w:val="340"/>
        </w:trPr>
        <w:tc>
          <w:tcPr>
            <w:tcW w:w="5000" w:type="pct"/>
          </w:tcPr>
          <w:p w14:paraId="3203AEF3" w14:textId="77777777" w:rsidR="00D5041A" w:rsidRPr="003334B9" w:rsidRDefault="00D5041A" w:rsidP="00D8405B">
            <w:pPr>
              <w:keepNext/>
              <w:keepLines/>
              <w:spacing w:before="40" w:after="40"/>
              <w:rPr>
                <w:rFonts w:ascii="Arial Narrow" w:eastAsia="SimSun" w:hAnsi="Arial Narrow" w:cs="Arial"/>
                <w:sz w:val="20"/>
                <w:szCs w:val="20"/>
                <w:lang w:eastAsia="zh-CN"/>
              </w:rPr>
            </w:pPr>
            <w:r w:rsidRPr="003334B9">
              <w:rPr>
                <w:rFonts w:ascii="Arial Narrow" w:eastAsia="SimSun" w:hAnsi="Arial Narrow" w:cs="Arial"/>
                <w:b/>
                <w:sz w:val="20"/>
                <w:szCs w:val="20"/>
                <w:lang w:eastAsia="zh-CN"/>
              </w:rPr>
              <w:t>Truvelog/Truvelog SoloStar – Proposed ex-manufacturer price (</w:t>
            </w:r>
            <w:r w:rsidR="00477DCB" w:rsidRPr="003334B9">
              <w:rPr>
                <w:rFonts w:ascii="Arial Narrow" w:eastAsia="SimSun" w:hAnsi="Arial Narrow" w:cs="Arial"/>
                <w:b/>
                <w:sz w:val="20"/>
                <w:szCs w:val="20"/>
                <w:lang w:eastAsia="zh-CN"/>
              </w:rPr>
              <w:t>25</w:t>
            </w:r>
            <w:r w:rsidRPr="003334B9">
              <w:rPr>
                <w:rFonts w:ascii="Arial Narrow" w:eastAsia="SimSun" w:hAnsi="Arial Narrow" w:cs="Arial"/>
                <w:b/>
                <w:sz w:val="20"/>
                <w:szCs w:val="20"/>
                <w:lang w:eastAsia="zh-CN"/>
              </w:rPr>
              <w:t>% SPR)</w:t>
            </w:r>
          </w:p>
        </w:tc>
      </w:tr>
      <w:tr w:rsidR="00477DCB" w:rsidRPr="003334B9" w14:paraId="41726338" w14:textId="77777777" w:rsidTr="00D5041A">
        <w:trPr>
          <w:trHeight w:hRule="exact" w:val="340"/>
        </w:trPr>
        <w:tc>
          <w:tcPr>
            <w:tcW w:w="5000" w:type="pct"/>
          </w:tcPr>
          <w:p w14:paraId="18EA53C6" w14:textId="77777777" w:rsidR="00477DCB" w:rsidRPr="003334B9" w:rsidRDefault="00477DCB" w:rsidP="00477DCB">
            <w:pPr>
              <w:keepNext/>
              <w:keepLines/>
              <w:spacing w:before="40" w:after="40"/>
              <w:rPr>
                <w:rFonts w:ascii="Arial Narrow" w:eastAsia="SimSun" w:hAnsi="Arial Narrow" w:cs="Arial"/>
                <w:bCs/>
                <w:sz w:val="20"/>
                <w:szCs w:val="20"/>
                <w:lang w:eastAsia="zh-CN"/>
              </w:rPr>
            </w:pPr>
            <w:r w:rsidRPr="003334B9">
              <w:rPr>
                <w:rFonts w:ascii="Arial Narrow" w:eastAsia="SimSun" w:hAnsi="Arial Narrow" w:cs="Arial"/>
                <w:bCs/>
                <w:sz w:val="20"/>
                <w:szCs w:val="20"/>
                <w:lang w:eastAsia="zh-CN"/>
              </w:rPr>
              <w:t>$27.17 (1 pack containing 5 units)</w:t>
            </w:r>
          </w:p>
          <w:p w14:paraId="709C90F8" w14:textId="77777777" w:rsidR="00477DCB" w:rsidRPr="003334B9" w:rsidRDefault="00477DCB" w:rsidP="00477DCB">
            <w:pPr>
              <w:keepNext/>
              <w:keepLines/>
              <w:spacing w:before="40" w:after="40"/>
              <w:rPr>
                <w:rFonts w:ascii="Arial Narrow" w:eastAsia="SimSun" w:hAnsi="Arial Narrow" w:cs="Arial"/>
                <w:b/>
                <w:sz w:val="20"/>
                <w:szCs w:val="20"/>
                <w:lang w:eastAsia="zh-CN"/>
              </w:rPr>
            </w:pPr>
            <w:r w:rsidRPr="003334B9">
              <w:rPr>
                <w:rFonts w:ascii="Arial Narrow" w:eastAsia="SimSun" w:hAnsi="Arial Narrow" w:cs="Arial"/>
                <w:b/>
                <w:sz w:val="20"/>
                <w:szCs w:val="20"/>
                <w:lang w:eastAsia="zh-CN"/>
              </w:rPr>
              <w:t>$160.43</w:t>
            </w:r>
          </w:p>
        </w:tc>
      </w:tr>
    </w:tbl>
    <w:p w14:paraId="5C552F30" w14:textId="77777777" w:rsidR="00D8405B" w:rsidRPr="003334B9" w:rsidRDefault="00D8405B" w:rsidP="00D8405B">
      <w:pPr>
        <w:rPr>
          <w:rFonts w:ascii="Arial Narrow" w:hAnsi="Arial Narrow" w:cs="Arial"/>
          <w:sz w:val="18"/>
          <w:szCs w:val="18"/>
        </w:rPr>
      </w:pPr>
      <w:r w:rsidRPr="003334B9">
        <w:rPr>
          <w:rFonts w:ascii="Arial Narrow" w:hAnsi="Arial Narrow" w:cs="Arial"/>
          <w:sz w:val="18"/>
          <w:szCs w:val="18"/>
        </w:rPr>
        <w:t>Source:</w:t>
      </w:r>
      <w:r w:rsidR="00477DCB" w:rsidRPr="003334B9">
        <w:rPr>
          <w:rFonts w:ascii="Arial Narrow" w:hAnsi="Arial Narrow" w:cs="Arial"/>
          <w:sz w:val="18"/>
          <w:szCs w:val="18"/>
        </w:rPr>
        <w:t xml:space="preserve"> </w:t>
      </w:r>
      <w:r w:rsidRPr="003334B9">
        <w:rPr>
          <w:rFonts w:ascii="Arial Narrow" w:hAnsi="Arial Narrow" w:cs="Arial"/>
          <w:sz w:val="18"/>
          <w:szCs w:val="18"/>
        </w:rPr>
        <w:t>table 3, p6 of</w:t>
      </w:r>
      <w:r w:rsidR="001C33F8" w:rsidRPr="003334B9">
        <w:rPr>
          <w:rFonts w:ascii="Arial Narrow" w:hAnsi="Arial Narrow" w:cs="Arial"/>
          <w:sz w:val="18"/>
          <w:szCs w:val="18"/>
        </w:rPr>
        <w:t xml:space="preserve"> the</w:t>
      </w:r>
      <w:r w:rsidRPr="003334B9">
        <w:rPr>
          <w:rFonts w:ascii="Arial Narrow" w:hAnsi="Arial Narrow" w:cs="Arial"/>
          <w:sz w:val="18"/>
          <w:szCs w:val="18"/>
        </w:rPr>
        <w:t xml:space="preserve"> submission</w:t>
      </w:r>
    </w:p>
    <w:p w14:paraId="4B002817" w14:textId="77777777" w:rsidR="00D8405B" w:rsidRPr="003334B9" w:rsidRDefault="00D8405B" w:rsidP="00D8405B">
      <w:pPr>
        <w:rPr>
          <w:rFonts w:ascii="Arial Narrow" w:hAnsi="Arial Narrow"/>
          <w:sz w:val="18"/>
          <w:szCs w:val="18"/>
        </w:rPr>
      </w:pPr>
      <w:r w:rsidRPr="003334B9">
        <w:rPr>
          <w:rFonts w:ascii="Arial Narrow" w:hAnsi="Arial Narrow"/>
          <w:sz w:val="18"/>
          <w:szCs w:val="18"/>
        </w:rPr>
        <w:t>Abbreviations: DPMQ</w:t>
      </w:r>
      <w:r w:rsidR="009755AE" w:rsidRPr="003334B9">
        <w:rPr>
          <w:rFonts w:ascii="Arial Narrow" w:hAnsi="Arial Narrow"/>
          <w:sz w:val="18"/>
          <w:szCs w:val="18"/>
        </w:rPr>
        <w:t>:</w:t>
      </w:r>
      <w:r w:rsidRPr="003334B9">
        <w:rPr>
          <w:rFonts w:ascii="Arial Narrow" w:hAnsi="Arial Narrow"/>
          <w:sz w:val="18"/>
          <w:szCs w:val="18"/>
        </w:rPr>
        <w:t xml:space="preserve"> dispensed price maximum quantity</w:t>
      </w:r>
      <w:r w:rsidR="00477DCB" w:rsidRPr="003334B9">
        <w:rPr>
          <w:rFonts w:ascii="Arial Narrow" w:hAnsi="Arial Narrow"/>
          <w:sz w:val="18"/>
          <w:szCs w:val="18"/>
        </w:rPr>
        <w:t>, SPR: statutory price reduction</w:t>
      </w:r>
    </w:p>
    <w:p w14:paraId="600EEA86" w14:textId="77777777" w:rsidR="002F6F0F" w:rsidRPr="003334B9" w:rsidRDefault="002F6F0F" w:rsidP="009D507A">
      <w:pPr>
        <w:pStyle w:val="3Bodytext"/>
        <w:numPr>
          <w:ilvl w:val="0"/>
          <w:numId w:val="0"/>
        </w:numPr>
      </w:pPr>
    </w:p>
    <w:p w14:paraId="3747ED4C" w14:textId="77777777" w:rsidR="00D70349" w:rsidRPr="003334B9" w:rsidRDefault="00D70349" w:rsidP="00D8405B">
      <w:pPr>
        <w:pStyle w:val="4-SubsectionHeading"/>
        <w:rPr>
          <w:lang w:eastAsia="en-US"/>
        </w:rPr>
      </w:pPr>
      <w:r w:rsidRPr="003334B9">
        <w:rPr>
          <w:lang w:eastAsia="en-US"/>
        </w:rPr>
        <w:t>Estimated PBS utilisation and financial implications</w:t>
      </w:r>
    </w:p>
    <w:p w14:paraId="5D67558C" w14:textId="77777777" w:rsidR="00D70349" w:rsidRPr="00167C39" w:rsidRDefault="003E5781" w:rsidP="00D70349">
      <w:pPr>
        <w:pStyle w:val="3Bodytext"/>
      </w:pPr>
      <w:r w:rsidRPr="003334B9">
        <w:t xml:space="preserve">Table </w:t>
      </w:r>
      <w:r w:rsidR="00F8149A" w:rsidRPr="003334B9">
        <w:t>2</w:t>
      </w:r>
      <w:r w:rsidR="00D70349" w:rsidRPr="003334B9">
        <w:t xml:space="preserve"> presents the e</w:t>
      </w:r>
      <w:r w:rsidR="00547789" w:rsidRPr="003334B9">
        <w:t>stimated extent of use</w:t>
      </w:r>
      <w:r w:rsidR="00D70349" w:rsidRPr="003334B9">
        <w:t xml:space="preserve"> and the net financial implic</w:t>
      </w:r>
      <w:r w:rsidRPr="003334B9">
        <w:t>ations to the PBS/RPBS</w:t>
      </w:r>
      <w:r w:rsidR="00D70349" w:rsidRPr="003334B9">
        <w:t>.</w:t>
      </w:r>
      <w:r w:rsidR="0008264F" w:rsidRPr="003334B9">
        <w:t xml:space="preserve"> </w:t>
      </w:r>
      <w:r w:rsidR="00C25ECA" w:rsidRPr="003334B9">
        <w:t xml:space="preserve">The financial estimates assume a </w:t>
      </w:r>
      <w:r w:rsidR="00E70D6F">
        <w:rPr>
          <w:noProof/>
          <w:color w:val="000000"/>
          <w:highlight w:val="black"/>
        </w:rPr>
        <w:t>''''''</w:t>
      </w:r>
      <w:r w:rsidR="00C25ECA" w:rsidRPr="003334B9">
        <w:t>% statutory price reduction is applied</w:t>
      </w:r>
      <w:r w:rsidR="00C25ECA">
        <w:t xml:space="preserve"> </w:t>
      </w:r>
      <w:r w:rsidR="00C50BF8">
        <w:t xml:space="preserve">with </w:t>
      </w:r>
      <w:r w:rsidR="00C25ECA">
        <w:t>the listing of Truvelog.</w:t>
      </w:r>
      <w:r w:rsidR="00C25ECA" w:rsidRPr="00197F03">
        <w:t xml:space="preserve"> </w:t>
      </w:r>
    </w:p>
    <w:p w14:paraId="6049CD00" w14:textId="77777777" w:rsidR="00D70349" w:rsidRPr="00167C39" w:rsidRDefault="00D70349" w:rsidP="00D70349">
      <w:pPr>
        <w:pStyle w:val="3Bodytext"/>
      </w:pPr>
      <w:bookmarkStart w:id="3" w:name="_Hlk83571370"/>
      <w:r>
        <w:t xml:space="preserve">The submission estimated that </w:t>
      </w:r>
      <w:r w:rsidR="00F61DFA">
        <w:t>300,000 to &lt; 400,000</w:t>
      </w:r>
      <w:r w:rsidR="00A46AC9">
        <w:t xml:space="preserve"> scripts</w:t>
      </w:r>
      <w:r w:rsidRPr="00167C39">
        <w:t xml:space="preserve"> </w:t>
      </w:r>
      <w:r w:rsidR="00C50BF8">
        <w:t xml:space="preserve">for Truvelog </w:t>
      </w:r>
      <w:r>
        <w:t>would</w:t>
      </w:r>
      <w:r w:rsidRPr="00167C39">
        <w:t xml:space="preserve"> be supplied</w:t>
      </w:r>
      <w:r w:rsidR="00A46AC9">
        <w:t xml:space="preserve"> </w:t>
      </w:r>
      <w:r w:rsidRPr="00167C39">
        <w:t>over the fir</w:t>
      </w:r>
      <w:r w:rsidR="00A46AC9">
        <w:t>st six years of listing (</w:t>
      </w:r>
      <w:r w:rsidR="00F61DFA">
        <w:t>10,000 to &lt; 20,000</w:t>
      </w:r>
      <w:r w:rsidR="00435099">
        <w:t xml:space="preserve"> in Year 1</w:t>
      </w:r>
      <w:r w:rsidRPr="00167C39">
        <w:t xml:space="preserve"> to</w:t>
      </w:r>
      <w:r w:rsidR="00435099">
        <w:t xml:space="preserve"> </w:t>
      </w:r>
      <w:r w:rsidR="00F61DFA">
        <w:t>70,000 to &lt;</w:t>
      </w:r>
      <w:r w:rsidR="009C4E76">
        <w:t> </w:t>
      </w:r>
      <w:r w:rsidR="00F61DFA">
        <w:t>80,000</w:t>
      </w:r>
      <w:r w:rsidR="00435099">
        <w:t xml:space="preserve"> in</w:t>
      </w:r>
      <w:r w:rsidRPr="00167C39">
        <w:t xml:space="preserve"> Year </w:t>
      </w:r>
      <w:r w:rsidR="00A46AC9">
        <w:t>6</w:t>
      </w:r>
      <w:r w:rsidRPr="00167C39">
        <w:t>).</w:t>
      </w:r>
      <w:r>
        <w:t xml:space="preserve"> </w:t>
      </w:r>
    </w:p>
    <w:bookmarkEnd w:id="3"/>
    <w:p w14:paraId="0A4A5D7C" w14:textId="77777777" w:rsidR="00D70349" w:rsidRDefault="00C25ECA" w:rsidP="00C25ECA">
      <w:pPr>
        <w:pStyle w:val="3Bodytext"/>
        <w:rPr>
          <w:iCs/>
        </w:rPr>
      </w:pPr>
      <w:r w:rsidRPr="00C25ECA">
        <w:rPr>
          <w:iCs/>
        </w:rPr>
        <w:t>The submission estimated the net financial impact to the PBS/RPBS for the listing of Truvelog is a net</w:t>
      </w:r>
      <w:r w:rsidR="000B3D90">
        <w:rPr>
          <w:iCs/>
        </w:rPr>
        <w:t xml:space="preserve"> cost</w:t>
      </w:r>
      <w:r w:rsidRPr="00C25ECA">
        <w:rPr>
          <w:iCs/>
        </w:rPr>
        <w:t xml:space="preserve"> sav</w:t>
      </w:r>
      <w:r w:rsidR="000B3D90">
        <w:rPr>
          <w:iCs/>
        </w:rPr>
        <w:t>ing</w:t>
      </w:r>
      <w:r w:rsidRPr="00C25ECA">
        <w:rPr>
          <w:iCs/>
        </w:rPr>
        <w:t xml:space="preserve"> over six years ($</w:t>
      </w:r>
      <w:r w:rsidR="000B3D90">
        <w:rPr>
          <w:iCs/>
        </w:rPr>
        <w:t xml:space="preserve">0 to &lt; $10 million </w:t>
      </w:r>
      <w:r w:rsidRPr="00C25ECA">
        <w:rPr>
          <w:iCs/>
        </w:rPr>
        <w:t>in Year 1 to $</w:t>
      </w:r>
      <w:r w:rsidR="000B3D90">
        <w:rPr>
          <w:iCs/>
        </w:rPr>
        <w:t>0 to &lt;</w:t>
      </w:r>
      <w:r w:rsidR="009C4E76">
        <w:rPr>
          <w:iCs/>
        </w:rPr>
        <w:t> </w:t>
      </w:r>
      <w:r w:rsidR="000B3D90">
        <w:rPr>
          <w:iCs/>
        </w:rPr>
        <w:t>$10 million</w:t>
      </w:r>
      <w:r w:rsidRPr="00C25ECA">
        <w:rPr>
          <w:iCs/>
        </w:rPr>
        <w:t xml:space="preserve"> in Year 6). </w:t>
      </w:r>
    </w:p>
    <w:p w14:paraId="61F10169" w14:textId="77777777" w:rsidR="006B187B" w:rsidRPr="004450D5" w:rsidRDefault="006B187B" w:rsidP="006B187B">
      <w:pPr>
        <w:pStyle w:val="ListParagraph"/>
        <w:numPr>
          <w:ilvl w:val="1"/>
          <w:numId w:val="2"/>
        </w:numPr>
        <w:jc w:val="both"/>
      </w:pPr>
      <w:r w:rsidRPr="004450D5">
        <w:t>As a Category 3 submission, the financial estimates have not been independently evaluated.</w:t>
      </w:r>
    </w:p>
    <w:p w14:paraId="75D00F27" w14:textId="77777777" w:rsidR="00C25ECA" w:rsidRPr="00BC74CF" w:rsidRDefault="00C25ECA" w:rsidP="00C25ECA">
      <w:pPr>
        <w:pStyle w:val="Tabletitles"/>
        <w:keepNext/>
        <w:spacing w:after="0"/>
      </w:pPr>
      <w:bookmarkStart w:id="4" w:name="_Hlk85552914"/>
      <w:r w:rsidRPr="00167C39">
        <w:rPr>
          <w:rStyle w:val="CommentReference"/>
          <w:sz w:val="20"/>
          <w:szCs w:val="22"/>
        </w:rPr>
        <w:t>Table</w:t>
      </w:r>
      <w:r w:rsidRPr="00167C39">
        <w:rPr>
          <w:rFonts w:eastAsiaTheme="majorEastAsia"/>
        </w:rPr>
        <w:t xml:space="preserve"> </w:t>
      </w:r>
      <w:r>
        <w:rPr>
          <w:rFonts w:eastAsiaTheme="majorEastAsia"/>
        </w:rPr>
        <w:t>2</w:t>
      </w:r>
      <w:r w:rsidRPr="00167C39">
        <w:rPr>
          <w:rFonts w:eastAsiaTheme="majorEastAsia"/>
        </w:rPr>
        <w:t xml:space="preserve">: </w:t>
      </w:r>
      <w:r w:rsidRPr="00167C39">
        <w:rPr>
          <w:rStyle w:val="CommentReference"/>
          <w:sz w:val="20"/>
          <w:szCs w:val="22"/>
        </w:rPr>
        <w:t>Estimated use and financial implications</w:t>
      </w:r>
      <w:r>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
      </w:tblPr>
      <w:tblGrid>
        <w:gridCol w:w="1998"/>
        <w:gridCol w:w="1156"/>
        <w:gridCol w:w="1156"/>
        <w:gridCol w:w="1157"/>
        <w:gridCol w:w="1157"/>
        <w:gridCol w:w="1157"/>
        <w:gridCol w:w="1157"/>
      </w:tblGrid>
      <w:tr w:rsidR="00C25ECA" w:rsidRPr="00197F03" w14:paraId="370E3934" w14:textId="77777777" w:rsidTr="00473C85">
        <w:trPr>
          <w:tblHeader/>
          <w:jc w:val="center"/>
        </w:trPr>
        <w:tc>
          <w:tcPr>
            <w:tcW w:w="1118" w:type="pct"/>
            <w:shd w:val="clear" w:color="auto" w:fill="auto"/>
            <w:vAlign w:val="center"/>
          </w:tcPr>
          <w:p w14:paraId="49E24E98" w14:textId="77777777" w:rsidR="00C25ECA" w:rsidRPr="00167C39" w:rsidRDefault="00C25ECA" w:rsidP="00473C85">
            <w:pPr>
              <w:pStyle w:val="TableText0"/>
            </w:pPr>
          </w:p>
        </w:tc>
        <w:tc>
          <w:tcPr>
            <w:tcW w:w="647" w:type="pct"/>
            <w:shd w:val="clear" w:color="auto" w:fill="auto"/>
            <w:vAlign w:val="center"/>
          </w:tcPr>
          <w:p w14:paraId="09EDE7C7" w14:textId="77777777" w:rsidR="00C25ECA" w:rsidRPr="00167C39" w:rsidRDefault="00C25ECA" w:rsidP="00473C85">
            <w:pPr>
              <w:pStyle w:val="TableText0"/>
              <w:rPr>
                <w:b/>
              </w:rPr>
            </w:pPr>
            <w:r w:rsidRPr="00167C39">
              <w:rPr>
                <w:b/>
              </w:rPr>
              <w:t>Year 1</w:t>
            </w:r>
          </w:p>
        </w:tc>
        <w:tc>
          <w:tcPr>
            <w:tcW w:w="647" w:type="pct"/>
            <w:shd w:val="clear" w:color="auto" w:fill="auto"/>
            <w:vAlign w:val="center"/>
          </w:tcPr>
          <w:p w14:paraId="06E16682" w14:textId="77777777" w:rsidR="00C25ECA" w:rsidRPr="00167C39" w:rsidRDefault="00C25ECA" w:rsidP="00473C85">
            <w:pPr>
              <w:pStyle w:val="TableText0"/>
              <w:rPr>
                <w:b/>
              </w:rPr>
            </w:pPr>
            <w:r w:rsidRPr="00167C39">
              <w:rPr>
                <w:b/>
              </w:rPr>
              <w:t>Year 2</w:t>
            </w:r>
          </w:p>
        </w:tc>
        <w:tc>
          <w:tcPr>
            <w:tcW w:w="647" w:type="pct"/>
            <w:shd w:val="clear" w:color="auto" w:fill="auto"/>
            <w:vAlign w:val="center"/>
          </w:tcPr>
          <w:p w14:paraId="102638F6" w14:textId="77777777" w:rsidR="00C25ECA" w:rsidRPr="00167C39" w:rsidRDefault="00C25ECA" w:rsidP="00473C85">
            <w:pPr>
              <w:pStyle w:val="TableText0"/>
              <w:rPr>
                <w:b/>
              </w:rPr>
            </w:pPr>
            <w:r w:rsidRPr="00167C39">
              <w:rPr>
                <w:b/>
              </w:rPr>
              <w:t>Year 3</w:t>
            </w:r>
          </w:p>
        </w:tc>
        <w:tc>
          <w:tcPr>
            <w:tcW w:w="647" w:type="pct"/>
            <w:shd w:val="clear" w:color="auto" w:fill="auto"/>
            <w:vAlign w:val="center"/>
          </w:tcPr>
          <w:p w14:paraId="2563DD88" w14:textId="77777777" w:rsidR="00C25ECA" w:rsidRPr="00167C39" w:rsidRDefault="00C25ECA" w:rsidP="00473C85">
            <w:pPr>
              <w:pStyle w:val="TableText0"/>
              <w:rPr>
                <w:b/>
              </w:rPr>
            </w:pPr>
            <w:r w:rsidRPr="00167C39">
              <w:rPr>
                <w:b/>
              </w:rPr>
              <w:t>Year 4</w:t>
            </w:r>
          </w:p>
        </w:tc>
        <w:tc>
          <w:tcPr>
            <w:tcW w:w="647" w:type="pct"/>
            <w:shd w:val="clear" w:color="auto" w:fill="auto"/>
            <w:vAlign w:val="center"/>
          </w:tcPr>
          <w:p w14:paraId="03366BAC" w14:textId="77777777" w:rsidR="00C25ECA" w:rsidRPr="00167C39" w:rsidRDefault="00C25ECA" w:rsidP="00473C85">
            <w:pPr>
              <w:pStyle w:val="TableText0"/>
              <w:rPr>
                <w:b/>
              </w:rPr>
            </w:pPr>
            <w:r w:rsidRPr="00167C39">
              <w:rPr>
                <w:b/>
              </w:rPr>
              <w:t>Year 5</w:t>
            </w:r>
          </w:p>
        </w:tc>
        <w:tc>
          <w:tcPr>
            <w:tcW w:w="647" w:type="pct"/>
          </w:tcPr>
          <w:p w14:paraId="59CD60FA" w14:textId="77777777" w:rsidR="00C25ECA" w:rsidRPr="00167C39" w:rsidRDefault="00C25ECA" w:rsidP="00473C85">
            <w:pPr>
              <w:pStyle w:val="TableText0"/>
              <w:rPr>
                <w:b/>
              </w:rPr>
            </w:pPr>
            <w:r w:rsidRPr="00167C39">
              <w:rPr>
                <w:b/>
              </w:rPr>
              <w:t>Year 6</w:t>
            </w:r>
          </w:p>
        </w:tc>
      </w:tr>
      <w:tr w:rsidR="00C25ECA" w:rsidRPr="00197F03" w14:paraId="43CA2666" w14:textId="77777777" w:rsidTr="00473C85">
        <w:trPr>
          <w:jc w:val="center"/>
        </w:trPr>
        <w:tc>
          <w:tcPr>
            <w:tcW w:w="5000" w:type="pct"/>
            <w:gridSpan w:val="7"/>
            <w:shd w:val="clear" w:color="auto" w:fill="auto"/>
            <w:vAlign w:val="center"/>
          </w:tcPr>
          <w:p w14:paraId="37B55D54" w14:textId="77777777" w:rsidR="00C25ECA" w:rsidRPr="00167C39" w:rsidRDefault="00C25ECA" w:rsidP="00473C85">
            <w:pPr>
              <w:pStyle w:val="TableText0"/>
              <w:rPr>
                <w:b/>
                <w:color w:val="000000"/>
              </w:rPr>
            </w:pPr>
            <w:r w:rsidRPr="00167C39">
              <w:rPr>
                <w:b/>
                <w:color w:val="000000"/>
              </w:rPr>
              <w:t>Estimated extent of use</w:t>
            </w:r>
          </w:p>
        </w:tc>
      </w:tr>
      <w:tr w:rsidR="00C25ECA" w:rsidRPr="008D35F6" w14:paraId="1C5EAB61" w14:textId="77777777" w:rsidTr="00473C85">
        <w:trPr>
          <w:jc w:val="center"/>
        </w:trPr>
        <w:tc>
          <w:tcPr>
            <w:tcW w:w="1118" w:type="pct"/>
            <w:shd w:val="clear" w:color="auto" w:fill="auto"/>
            <w:vAlign w:val="center"/>
          </w:tcPr>
          <w:p w14:paraId="3D2FEA73" w14:textId="77777777" w:rsidR="00C25ECA" w:rsidRPr="008D35F6" w:rsidRDefault="00C25ECA" w:rsidP="00473C85">
            <w:pPr>
              <w:pStyle w:val="TableText0"/>
              <w:rPr>
                <w:vertAlign w:val="superscript"/>
              </w:rPr>
            </w:pPr>
            <w:r w:rsidRPr="008D35F6">
              <w:t>Number of scripts dispensed</w:t>
            </w:r>
          </w:p>
        </w:tc>
        <w:tc>
          <w:tcPr>
            <w:tcW w:w="647" w:type="pct"/>
            <w:shd w:val="clear" w:color="auto" w:fill="auto"/>
            <w:vAlign w:val="center"/>
          </w:tcPr>
          <w:p w14:paraId="72421DFC" w14:textId="77777777" w:rsidR="00C25ECA" w:rsidRPr="00DF4F0E" w:rsidRDefault="00E70D6F" w:rsidP="00E83FC1">
            <w:pPr>
              <w:pStyle w:val="TableText0"/>
              <w:jc w:val="right"/>
              <w:rPr>
                <w:szCs w:val="20"/>
              </w:rPr>
            </w:pPr>
            <w:r>
              <w:rPr>
                <w:noProof/>
                <w:color w:val="000000"/>
                <w:szCs w:val="20"/>
                <w:highlight w:val="black"/>
              </w:rPr>
              <w:t>'''''''''''''''</w:t>
            </w:r>
            <w:r w:rsidR="000B3D90">
              <w:rPr>
                <w:szCs w:val="20"/>
                <w:vertAlign w:val="superscript"/>
              </w:rPr>
              <w:t>1</w:t>
            </w:r>
            <w:r w:rsidR="00C25ECA" w:rsidRPr="00DF4F0E">
              <w:rPr>
                <w:szCs w:val="20"/>
              </w:rPr>
              <w:t xml:space="preserve"> </w:t>
            </w:r>
          </w:p>
        </w:tc>
        <w:tc>
          <w:tcPr>
            <w:tcW w:w="647" w:type="pct"/>
            <w:shd w:val="clear" w:color="auto" w:fill="auto"/>
            <w:vAlign w:val="center"/>
          </w:tcPr>
          <w:p w14:paraId="6D852F13" w14:textId="77777777" w:rsidR="00C25ECA" w:rsidRPr="00DF4F0E" w:rsidRDefault="00E70D6F" w:rsidP="00E83FC1">
            <w:pPr>
              <w:pStyle w:val="TableText0"/>
              <w:jc w:val="right"/>
              <w:rPr>
                <w:szCs w:val="20"/>
              </w:rPr>
            </w:pPr>
            <w:r>
              <w:rPr>
                <w:noProof/>
                <w:color w:val="000000"/>
                <w:szCs w:val="20"/>
                <w:highlight w:val="black"/>
              </w:rPr>
              <w:t>''''''''''''''''''</w:t>
            </w:r>
            <w:r w:rsidR="000B3D90">
              <w:rPr>
                <w:szCs w:val="20"/>
                <w:vertAlign w:val="superscript"/>
              </w:rPr>
              <w:t>2</w:t>
            </w:r>
            <w:r w:rsidR="00C25ECA" w:rsidRPr="00DF4F0E">
              <w:rPr>
                <w:szCs w:val="20"/>
              </w:rPr>
              <w:t xml:space="preserve"> </w:t>
            </w:r>
          </w:p>
        </w:tc>
        <w:tc>
          <w:tcPr>
            <w:tcW w:w="647" w:type="pct"/>
            <w:shd w:val="clear" w:color="auto" w:fill="auto"/>
            <w:vAlign w:val="center"/>
          </w:tcPr>
          <w:p w14:paraId="296BE6B6" w14:textId="77777777" w:rsidR="00C25ECA" w:rsidRPr="00DF4F0E" w:rsidRDefault="00E70D6F" w:rsidP="00E83FC1">
            <w:pPr>
              <w:pStyle w:val="TableText0"/>
              <w:jc w:val="right"/>
              <w:rPr>
                <w:szCs w:val="20"/>
              </w:rPr>
            </w:pPr>
            <w:r>
              <w:rPr>
                <w:noProof/>
                <w:color w:val="000000"/>
                <w:szCs w:val="20"/>
                <w:highlight w:val="black"/>
              </w:rPr>
              <w:t>''''''''''''''''''</w:t>
            </w:r>
            <w:r w:rsidR="000B3D90">
              <w:rPr>
                <w:szCs w:val="20"/>
                <w:vertAlign w:val="superscript"/>
              </w:rPr>
              <w:t>3</w:t>
            </w:r>
            <w:r w:rsidR="00C25ECA" w:rsidRPr="00DF4F0E">
              <w:rPr>
                <w:szCs w:val="20"/>
              </w:rPr>
              <w:t xml:space="preserve"> </w:t>
            </w:r>
          </w:p>
        </w:tc>
        <w:tc>
          <w:tcPr>
            <w:tcW w:w="647" w:type="pct"/>
            <w:shd w:val="clear" w:color="auto" w:fill="auto"/>
            <w:vAlign w:val="center"/>
          </w:tcPr>
          <w:p w14:paraId="2B7EA2DE" w14:textId="77777777" w:rsidR="00C25ECA" w:rsidRPr="00DF4F0E" w:rsidRDefault="00E70D6F" w:rsidP="00E83FC1">
            <w:pPr>
              <w:pStyle w:val="TableText0"/>
              <w:jc w:val="right"/>
              <w:rPr>
                <w:szCs w:val="20"/>
              </w:rPr>
            </w:pPr>
            <w:r>
              <w:rPr>
                <w:noProof/>
                <w:color w:val="000000"/>
                <w:szCs w:val="20"/>
                <w:highlight w:val="black"/>
              </w:rPr>
              <w:t>''''''''''''''''</w:t>
            </w:r>
            <w:r w:rsidR="000B3D90">
              <w:rPr>
                <w:szCs w:val="20"/>
                <w:vertAlign w:val="superscript"/>
              </w:rPr>
              <w:t>4</w:t>
            </w:r>
            <w:r w:rsidR="00C25ECA" w:rsidRPr="00DF4F0E">
              <w:rPr>
                <w:szCs w:val="20"/>
              </w:rPr>
              <w:t xml:space="preserve"> </w:t>
            </w:r>
          </w:p>
        </w:tc>
        <w:tc>
          <w:tcPr>
            <w:tcW w:w="647" w:type="pct"/>
            <w:shd w:val="clear" w:color="auto" w:fill="auto"/>
            <w:vAlign w:val="center"/>
          </w:tcPr>
          <w:p w14:paraId="343AF4D1" w14:textId="77777777" w:rsidR="00C25ECA" w:rsidRPr="00DF4F0E" w:rsidRDefault="00E70D6F" w:rsidP="00E83FC1">
            <w:pPr>
              <w:pStyle w:val="TableText0"/>
              <w:jc w:val="right"/>
              <w:rPr>
                <w:szCs w:val="20"/>
              </w:rPr>
            </w:pPr>
            <w:r>
              <w:rPr>
                <w:noProof/>
                <w:color w:val="000000"/>
                <w:szCs w:val="20"/>
                <w:highlight w:val="black"/>
              </w:rPr>
              <w:t>'''''''''''''''</w:t>
            </w:r>
            <w:r w:rsidR="000B3D90">
              <w:rPr>
                <w:szCs w:val="20"/>
                <w:vertAlign w:val="superscript"/>
              </w:rPr>
              <w:t>4</w:t>
            </w:r>
            <w:r w:rsidR="00C25ECA" w:rsidRPr="00DF4F0E">
              <w:rPr>
                <w:szCs w:val="20"/>
              </w:rPr>
              <w:t xml:space="preserve"> </w:t>
            </w:r>
          </w:p>
        </w:tc>
        <w:tc>
          <w:tcPr>
            <w:tcW w:w="647" w:type="pct"/>
            <w:vAlign w:val="center"/>
          </w:tcPr>
          <w:p w14:paraId="54CECB6B" w14:textId="77777777" w:rsidR="00C25ECA" w:rsidRPr="00DF4F0E" w:rsidRDefault="00E70D6F" w:rsidP="00E83FC1">
            <w:pPr>
              <w:pStyle w:val="TableText0"/>
              <w:jc w:val="right"/>
              <w:rPr>
                <w:szCs w:val="20"/>
              </w:rPr>
            </w:pPr>
            <w:r>
              <w:rPr>
                <w:noProof/>
                <w:color w:val="000000"/>
                <w:szCs w:val="20"/>
                <w:highlight w:val="black"/>
              </w:rPr>
              <w:t>'''''''''''''''</w:t>
            </w:r>
            <w:r w:rsidR="000B3D90" w:rsidRPr="003334B9">
              <w:rPr>
                <w:szCs w:val="20"/>
                <w:vertAlign w:val="superscript"/>
              </w:rPr>
              <w:t>5</w:t>
            </w:r>
            <w:r w:rsidR="00C25ECA" w:rsidRPr="00DF4F0E">
              <w:rPr>
                <w:szCs w:val="20"/>
              </w:rPr>
              <w:t xml:space="preserve"> </w:t>
            </w:r>
          </w:p>
        </w:tc>
      </w:tr>
      <w:tr w:rsidR="00C25ECA" w:rsidRPr="008D35F6" w14:paraId="3FCA3EAB" w14:textId="77777777" w:rsidTr="00473C85">
        <w:trPr>
          <w:jc w:val="center"/>
        </w:trPr>
        <w:tc>
          <w:tcPr>
            <w:tcW w:w="5000" w:type="pct"/>
            <w:gridSpan w:val="7"/>
            <w:shd w:val="clear" w:color="auto" w:fill="auto"/>
            <w:vAlign w:val="center"/>
          </w:tcPr>
          <w:p w14:paraId="76E1641A" w14:textId="77777777" w:rsidR="00C25ECA" w:rsidRPr="008D35F6" w:rsidRDefault="00C25ECA" w:rsidP="00473C85">
            <w:pPr>
              <w:pStyle w:val="TableText0"/>
              <w:rPr>
                <w:color w:val="000000"/>
              </w:rPr>
            </w:pPr>
            <w:r>
              <w:rPr>
                <w:b/>
                <w:color w:val="000000"/>
              </w:rPr>
              <w:t xml:space="preserve">Drug costs to </w:t>
            </w:r>
            <w:r w:rsidRPr="00DF4F0E">
              <w:rPr>
                <w:b/>
                <w:color w:val="000000"/>
              </w:rPr>
              <w:t>PBS</w:t>
            </w:r>
            <w:r w:rsidR="007C463B">
              <w:rPr>
                <w:b/>
                <w:color w:val="000000"/>
              </w:rPr>
              <w:t>/RPBS</w:t>
            </w:r>
          </w:p>
        </w:tc>
      </w:tr>
      <w:tr w:rsidR="00C25ECA" w:rsidRPr="008D35F6" w14:paraId="3648FE04" w14:textId="77777777" w:rsidTr="00473C85">
        <w:trPr>
          <w:jc w:val="center"/>
        </w:trPr>
        <w:tc>
          <w:tcPr>
            <w:tcW w:w="1118" w:type="pct"/>
            <w:shd w:val="clear" w:color="auto" w:fill="auto"/>
          </w:tcPr>
          <w:p w14:paraId="4CD2FE76" w14:textId="77777777" w:rsidR="00C25ECA" w:rsidRPr="00A46AC9" w:rsidRDefault="00C25ECA" w:rsidP="00473C85">
            <w:pPr>
              <w:pStyle w:val="TableText0"/>
            </w:pPr>
            <w:r>
              <w:rPr>
                <w:szCs w:val="20"/>
              </w:rPr>
              <w:t>Cost of Truvelog to the PBS</w:t>
            </w:r>
          </w:p>
        </w:tc>
        <w:tc>
          <w:tcPr>
            <w:tcW w:w="647" w:type="pct"/>
            <w:shd w:val="clear" w:color="auto" w:fill="auto"/>
          </w:tcPr>
          <w:p w14:paraId="5578D4A0"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c>
          <w:tcPr>
            <w:tcW w:w="647" w:type="pct"/>
            <w:shd w:val="clear" w:color="auto" w:fill="auto"/>
          </w:tcPr>
          <w:p w14:paraId="1781DD36"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c>
          <w:tcPr>
            <w:tcW w:w="647" w:type="pct"/>
            <w:shd w:val="clear" w:color="auto" w:fill="auto"/>
          </w:tcPr>
          <w:p w14:paraId="6C102759"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7</w:t>
            </w:r>
          </w:p>
        </w:tc>
        <w:tc>
          <w:tcPr>
            <w:tcW w:w="647" w:type="pct"/>
            <w:shd w:val="clear" w:color="auto" w:fill="auto"/>
          </w:tcPr>
          <w:p w14:paraId="42C26D27"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7</w:t>
            </w:r>
          </w:p>
        </w:tc>
        <w:tc>
          <w:tcPr>
            <w:tcW w:w="647" w:type="pct"/>
            <w:shd w:val="clear" w:color="auto" w:fill="auto"/>
          </w:tcPr>
          <w:p w14:paraId="37E259B2"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7</w:t>
            </w:r>
          </w:p>
        </w:tc>
        <w:tc>
          <w:tcPr>
            <w:tcW w:w="647" w:type="pct"/>
          </w:tcPr>
          <w:p w14:paraId="0197C40E"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7</w:t>
            </w:r>
          </w:p>
        </w:tc>
      </w:tr>
      <w:tr w:rsidR="00C25ECA" w:rsidRPr="008D35F6" w14:paraId="262EC8DD" w14:textId="77777777" w:rsidTr="00473C85">
        <w:trPr>
          <w:jc w:val="center"/>
        </w:trPr>
        <w:tc>
          <w:tcPr>
            <w:tcW w:w="1118" w:type="pct"/>
            <w:shd w:val="clear" w:color="auto" w:fill="auto"/>
          </w:tcPr>
          <w:p w14:paraId="2945AA62" w14:textId="77777777" w:rsidR="00C25ECA" w:rsidRPr="00A46AC9" w:rsidRDefault="00C25ECA" w:rsidP="00473C85">
            <w:pPr>
              <w:pStyle w:val="TableText0"/>
            </w:pPr>
            <w:r>
              <w:rPr>
                <w:szCs w:val="20"/>
              </w:rPr>
              <w:t>Cost of Truvelog to the RPBS</w:t>
            </w:r>
          </w:p>
        </w:tc>
        <w:tc>
          <w:tcPr>
            <w:tcW w:w="647" w:type="pct"/>
            <w:shd w:val="clear" w:color="auto" w:fill="auto"/>
          </w:tcPr>
          <w:p w14:paraId="70A6491D"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c>
          <w:tcPr>
            <w:tcW w:w="647" w:type="pct"/>
            <w:shd w:val="clear" w:color="auto" w:fill="auto"/>
          </w:tcPr>
          <w:p w14:paraId="364FE3BC"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c>
          <w:tcPr>
            <w:tcW w:w="647" w:type="pct"/>
            <w:shd w:val="clear" w:color="auto" w:fill="auto"/>
          </w:tcPr>
          <w:p w14:paraId="31E06310"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c>
          <w:tcPr>
            <w:tcW w:w="647" w:type="pct"/>
            <w:shd w:val="clear" w:color="auto" w:fill="auto"/>
          </w:tcPr>
          <w:p w14:paraId="08452665"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c>
          <w:tcPr>
            <w:tcW w:w="647" w:type="pct"/>
            <w:shd w:val="clear" w:color="auto" w:fill="auto"/>
          </w:tcPr>
          <w:p w14:paraId="5FDEB267"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c>
          <w:tcPr>
            <w:tcW w:w="647" w:type="pct"/>
          </w:tcPr>
          <w:p w14:paraId="7D6EFEB8" w14:textId="77777777" w:rsidR="00C25ECA" w:rsidRPr="008D35F6" w:rsidRDefault="00E70D6F" w:rsidP="00E83FC1">
            <w:pPr>
              <w:pStyle w:val="TableText0"/>
              <w:jc w:val="right"/>
              <w:rPr>
                <w:color w:val="000000"/>
              </w:rPr>
            </w:pPr>
            <w:r>
              <w:rPr>
                <w:noProof/>
                <w:color w:val="000000"/>
                <w:highlight w:val="black"/>
              </w:rPr>
              <w:t>'''''''''''''''''''''''</w:t>
            </w:r>
            <w:r w:rsidR="002C60CF">
              <w:rPr>
                <w:vertAlign w:val="superscript"/>
              </w:rPr>
              <w:t>6</w:t>
            </w:r>
          </w:p>
        </w:tc>
      </w:tr>
      <w:tr w:rsidR="00C25ECA" w:rsidRPr="008D35F6" w14:paraId="07685AC9" w14:textId="77777777" w:rsidTr="00473C85">
        <w:trPr>
          <w:jc w:val="center"/>
        </w:trPr>
        <w:tc>
          <w:tcPr>
            <w:tcW w:w="5000" w:type="pct"/>
            <w:gridSpan w:val="7"/>
            <w:shd w:val="clear" w:color="auto" w:fill="auto"/>
            <w:vAlign w:val="center"/>
          </w:tcPr>
          <w:p w14:paraId="6BDC8F0A" w14:textId="77777777" w:rsidR="00C25ECA" w:rsidRPr="00A14EBF" w:rsidRDefault="00C25ECA" w:rsidP="00473C85">
            <w:pPr>
              <w:pStyle w:val="TableText0"/>
              <w:rPr>
                <w:b/>
                <w:bCs w:val="0"/>
                <w:szCs w:val="20"/>
              </w:rPr>
            </w:pPr>
            <w:r w:rsidRPr="00AB4684">
              <w:rPr>
                <w:b/>
                <w:color w:val="000000"/>
              </w:rPr>
              <w:t>Cost of affected PBS/RPBS listing</w:t>
            </w:r>
          </w:p>
        </w:tc>
      </w:tr>
      <w:tr w:rsidR="00C25ECA" w:rsidRPr="008D35F6" w14:paraId="17A8C1C2" w14:textId="77777777" w:rsidTr="00473C85">
        <w:trPr>
          <w:jc w:val="center"/>
        </w:trPr>
        <w:tc>
          <w:tcPr>
            <w:tcW w:w="1118" w:type="pct"/>
            <w:shd w:val="clear" w:color="auto" w:fill="auto"/>
          </w:tcPr>
          <w:p w14:paraId="496F9714" w14:textId="77777777" w:rsidR="00C25ECA" w:rsidRPr="00A46AC9" w:rsidRDefault="00C25ECA" w:rsidP="00473C85">
            <w:pPr>
              <w:pStyle w:val="TableText0"/>
              <w:rPr>
                <w:szCs w:val="20"/>
              </w:rPr>
            </w:pPr>
            <w:r>
              <w:rPr>
                <w:szCs w:val="20"/>
              </w:rPr>
              <w:t>Cost of affected PBS listings (NovoRapid)</w:t>
            </w:r>
          </w:p>
        </w:tc>
        <w:tc>
          <w:tcPr>
            <w:tcW w:w="647" w:type="pct"/>
            <w:shd w:val="clear" w:color="auto" w:fill="auto"/>
          </w:tcPr>
          <w:p w14:paraId="5903ADBC" w14:textId="77777777" w:rsidR="00C25ECA" w:rsidRPr="00547789" w:rsidRDefault="00C25ECA" w:rsidP="00E83FC1">
            <w:pPr>
              <w:pStyle w:val="TableText0"/>
              <w:jc w:val="right"/>
              <w:rPr>
                <w:szCs w:val="20"/>
              </w:rPr>
            </w:pPr>
            <w:r w:rsidRPr="002A0179">
              <w:t>-</w:t>
            </w:r>
            <w:r w:rsidR="00E70D6F">
              <w:rPr>
                <w:noProof/>
                <w:color w:val="000000"/>
                <w:highlight w:val="black"/>
              </w:rPr>
              <w:t>'''''''''''''''''''''''''</w:t>
            </w:r>
            <w:r w:rsidR="002C60CF">
              <w:rPr>
                <w:vertAlign w:val="superscript"/>
              </w:rPr>
              <w:t>6</w:t>
            </w:r>
          </w:p>
        </w:tc>
        <w:tc>
          <w:tcPr>
            <w:tcW w:w="647" w:type="pct"/>
            <w:shd w:val="clear" w:color="auto" w:fill="auto"/>
          </w:tcPr>
          <w:p w14:paraId="7D2CEC78" w14:textId="77777777" w:rsidR="00C25ECA" w:rsidRPr="00547789" w:rsidRDefault="00C25ECA" w:rsidP="00E83FC1">
            <w:pPr>
              <w:pStyle w:val="TableText0"/>
              <w:jc w:val="right"/>
              <w:rPr>
                <w:szCs w:val="20"/>
              </w:rPr>
            </w:pPr>
            <w:r w:rsidRPr="002A0179">
              <w:t>-</w:t>
            </w:r>
            <w:r w:rsidR="00E70D6F">
              <w:rPr>
                <w:noProof/>
                <w:color w:val="000000"/>
                <w:highlight w:val="black"/>
              </w:rPr>
              <w:t>'''''''''''''''''''''''''''''</w:t>
            </w:r>
            <w:r w:rsidR="002C60CF">
              <w:rPr>
                <w:vertAlign w:val="superscript"/>
              </w:rPr>
              <w:t>6</w:t>
            </w:r>
          </w:p>
        </w:tc>
        <w:tc>
          <w:tcPr>
            <w:tcW w:w="647" w:type="pct"/>
            <w:shd w:val="clear" w:color="auto" w:fill="auto"/>
          </w:tcPr>
          <w:p w14:paraId="3F78BC5E" w14:textId="77777777" w:rsidR="00C25ECA" w:rsidRPr="00547789" w:rsidRDefault="00C25ECA" w:rsidP="00E83FC1">
            <w:pPr>
              <w:pStyle w:val="TableText0"/>
              <w:jc w:val="right"/>
              <w:rPr>
                <w:szCs w:val="20"/>
              </w:rPr>
            </w:pPr>
            <w:r w:rsidRPr="002A0179">
              <w:t>-</w:t>
            </w:r>
            <w:r w:rsidR="00E70D6F">
              <w:rPr>
                <w:noProof/>
                <w:color w:val="000000"/>
                <w:highlight w:val="black"/>
              </w:rPr>
              <w:t>'''''''''''''''''''''''''''''''</w:t>
            </w:r>
            <w:r w:rsidR="002C60CF">
              <w:rPr>
                <w:vertAlign w:val="superscript"/>
              </w:rPr>
              <w:t>7</w:t>
            </w:r>
          </w:p>
        </w:tc>
        <w:tc>
          <w:tcPr>
            <w:tcW w:w="647" w:type="pct"/>
            <w:shd w:val="clear" w:color="auto" w:fill="auto"/>
          </w:tcPr>
          <w:p w14:paraId="15DF36E5" w14:textId="77777777" w:rsidR="00C25ECA" w:rsidRPr="00547789" w:rsidRDefault="00C25ECA" w:rsidP="00E83FC1">
            <w:pPr>
              <w:pStyle w:val="TableText0"/>
              <w:jc w:val="right"/>
              <w:rPr>
                <w:szCs w:val="20"/>
              </w:rPr>
            </w:pPr>
            <w:r w:rsidRPr="002A0179">
              <w:t>-</w:t>
            </w:r>
            <w:r w:rsidR="00E70D6F">
              <w:rPr>
                <w:noProof/>
                <w:color w:val="000000"/>
                <w:highlight w:val="black"/>
              </w:rPr>
              <w:t>'''''''''''''''''''''''''''''''</w:t>
            </w:r>
            <w:r w:rsidR="002C60CF">
              <w:rPr>
                <w:vertAlign w:val="superscript"/>
              </w:rPr>
              <w:t>7</w:t>
            </w:r>
          </w:p>
        </w:tc>
        <w:tc>
          <w:tcPr>
            <w:tcW w:w="647" w:type="pct"/>
            <w:shd w:val="clear" w:color="auto" w:fill="auto"/>
          </w:tcPr>
          <w:p w14:paraId="2F49B361" w14:textId="77777777" w:rsidR="00C25ECA" w:rsidRPr="00547789" w:rsidRDefault="00C25ECA" w:rsidP="00E83FC1">
            <w:pPr>
              <w:pStyle w:val="TableText0"/>
              <w:jc w:val="right"/>
              <w:rPr>
                <w:szCs w:val="20"/>
              </w:rPr>
            </w:pPr>
            <w:r w:rsidRPr="002A0179">
              <w:t>-</w:t>
            </w:r>
            <w:r w:rsidR="00E70D6F">
              <w:rPr>
                <w:noProof/>
                <w:color w:val="000000"/>
                <w:highlight w:val="black"/>
              </w:rPr>
              <w:t>'''''''''''''''''''''''''''</w:t>
            </w:r>
            <w:r w:rsidR="002C60CF">
              <w:rPr>
                <w:vertAlign w:val="superscript"/>
              </w:rPr>
              <w:t>7</w:t>
            </w:r>
          </w:p>
        </w:tc>
        <w:tc>
          <w:tcPr>
            <w:tcW w:w="647" w:type="pct"/>
          </w:tcPr>
          <w:p w14:paraId="39734EF4" w14:textId="77777777" w:rsidR="00C25ECA" w:rsidRPr="00547789" w:rsidRDefault="00C25ECA" w:rsidP="00E83FC1">
            <w:pPr>
              <w:pStyle w:val="TableText0"/>
              <w:jc w:val="right"/>
              <w:rPr>
                <w:szCs w:val="20"/>
              </w:rPr>
            </w:pPr>
            <w:r w:rsidRPr="002A0179">
              <w:t>-</w:t>
            </w:r>
            <w:r w:rsidR="00E70D6F">
              <w:rPr>
                <w:noProof/>
                <w:color w:val="000000"/>
                <w:highlight w:val="black"/>
              </w:rPr>
              <w:t>'''''''''''''''''''''''''''</w:t>
            </w:r>
            <w:r w:rsidR="002C60CF">
              <w:rPr>
                <w:vertAlign w:val="superscript"/>
              </w:rPr>
              <w:t>7</w:t>
            </w:r>
          </w:p>
        </w:tc>
      </w:tr>
      <w:tr w:rsidR="00C25ECA" w:rsidRPr="008D35F6" w14:paraId="1F81DC58" w14:textId="77777777" w:rsidTr="00473C85">
        <w:trPr>
          <w:jc w:val="center"/>
        </w:trPr>
        <w:tc>
          <w:tcPr>
            <w:tcW w:w="1118" w:type="pct"/>
            <w:shd w:val="clear" w:color="auto" w:fill="auto"/>
          </w:tcPr>
          <w:p w14:paraId="401DDE28" w14:textId="77777777" w:rsidR="00C25ECA" w:rsidRDefault="00C25ECA" w:rsidP="00473C85">
            <w:pPr>
              <w:pStyle w:val="TableText0"/>
              <w:rPr>
                <w:szCs w:val="20"/>
              </w:rPr>
            </w:pPr>
            <w:r>
              <w:rPr>
                <w:szCs w:val="20"/>
              </w:rPr>
              <w:t>Cost of affected RPBS listings (NovoRapid)</w:t>
            </w:r>
          </w:p>
        </w:tc>
        <w:tc>
          <w:tcPr>
            <w:tcW w:w="647" w:type="pct"/>
            <w:shd w:val="clear" w:color="auto" w:fill="auto"/>
          </w:tcPr>
          <w:p w14:paraId="54E08497" w14:textId="77777777" w:rsidR="00C25ECA" w:rsidRPr="002A0179" w:rsidRDefault="00C25ECA" w:rsidP="00E83FC1">
            <w:pPr>
              <w:pStyle w:val="TableText0"/>
              <w:jc w:val="right"/>
            </w:pPr>
            <w:r w:rsidRPr="00DA78FF">
              <w:t>-</w:t>
            </w:r>
            <w:r w:rsidR="00E70D6F">
              <w:rPr>
                <w:noProof/>
                <w:color w:val="000000"/>
                <w:highlight w:val="black"/>
              </w:rPr>
              <w:t>''''''''''''''''''''</w:t>
            </w:r>
            <w:r w:rsidR="002C60CF">
              <w:rPr>
                <w:vertAlign w:val="superscript"/>
              </w:rPr>
              <w:t>6</w:t>
            </w:r>
          </w:p>
        </w:tc>
        <w:tc>
          <w:tcPr>
            <w:tcW w:w="647" w:type="pct"/>
            <w:shd w:val="clear" w:color="auto" w:fill="auto"/>
          </w:tcPr>
          <w:p w14:paraId="444B6973" w14:textId="77777777" w:rsidR="00C25ECA" w:rsidRPr="002A0179" w:rsidRDefault="00C25ECA" w:rsidP="00E83FC1">
            <w:pPr>
              <w:pStyle w:val="TableText0"/>
              <w:jc w:val="right"/>
            </w:pPr>
            <w:r w:rsidRPr="00DA78FF">
              <w:t>-</w:t>
            </w:r>
            <w:r w:rsidR="00E70D6F">
              <w:rPr>
                <w:noProof/>
                <w:color w:val="000000"/>
                <w:highlight w:val="black"/>
              </w:rPr>
              <w:t>''''''''''''''''''''''</w:t>
            </w:r>
            <w:r w:rsidR="002C60CF">
              <w:rPr>
                <w:vertAlign w:val="superscript"/>
              </w:rPr>
              <w:t>6</w:t>
            </w:r>
          </w:p>
        </w:tc>
        <w:tc>
          <w:tcPr>
            <w:tcW w:w="647" w:type="pct"/>
            <w:shd w:val="clear" w:color="auto" w:fill="auto"/>
          </w:tcPr>
          <w:p w14:paraId="1C193D64" w14:textId="77777777" w:rsidR="00C25ECA" w:rsidRPr="002A0179" w:rsidRDefault="00C25ECA" w:rsidP="00E83FC1">
            <w:pPr>
              <w:pStyle w:val="TableText0"/>
              <w:jc w:val="right"/>
            </w:pPr>
            <w:r w:rsidRPr="00DA78FF">
              <w:t>-</w:t>
            </w:r>
            <w:r w:rsidR="00E70D6F">
              <w:rPr>
                <w:noProof/>
                <w:color w:val="000000"/>
                <w:highlight w:val="black"/>
              </w:rPr>
              <w:t>''''''''''''''''''''</w:t>
            </w:r>
            <w:r w:rsidR="002C60CF">
              <w:rPr>
                <w:vertAlign w:val="superscript"/>
              </w:rPr>
              <w:t>6</w:t>
            </w:r>
          </w:p>
        </w:tc>
        <w:tc>
          <w:tcPr>
            <w:tcW w:w="647" w:type="pct"/>
            <w:shd w:val="clear" w:color="auto" w:fill="auto"/>
          </w:tcPr>
          <w:p w14:paraId="0F54EC4A" w14:textId="77777777" w:rsidR="00C25ECA" w:rsidRPr="002A0179" w:rsidRDefault="00C25ECA" w:rsidP="00E83FC1">
            <w:pPr>
              <w:pStyle w:val="TableText0"/>
              <w:jc w:val="right"/>
            </w:pPr>
            <w:r w:rsidRPr="00DA78FF">
              <w:t>-</w:t>
            </w:r>
            <w:r w:rsidR="00E70D6F">
              <w:rPr>
                <w:noProof/>
                <w:color w:val="000000"/>
                <w:highlight w:val="black"/>
              </w:rPr>
              <w:t>''''''''''''''''''''''</w:t>
            </w:r>
            <w:r w:rsidR="002C60CF">
              <w:rPr>
                <w:vertAlign w:val="superscript"/>
              </w:rPr>
              <w:t>6</w:t>
            </w:r>
          </w:p>
        </w:tc>
        <w:tc>
          <w:tcPr>
            <w:tcW w:w="647" w:type="pct"/>
            <w:shd w:val="clear" w:color="auto" w:fill="auto"/>
          </w:tcPr>
          <w:p w14:paraId="47F986E2" w14:textId="77777777" w:rsidR="00C25ECA" w:rsidRPr="002A0179" w:rsidRDefault="00C25ECA" w:rsidP="00E83FC1">
            <w:pPr>
              <w:pStyle w:val="TableText0"/>
              <w:jc w:val="right"/>
            </w:pPr>
            <w:r w:rsidRPr="00DA78FF">
              <w:t>-</w:t>
            </w:r>
            <w:r w:rsidR="00E70D6F">
              <w:rPr>
                <w:noProof/>
                <w:color w:val="000000"/>
                <w:highlight w:val="black"/>
              </w:rPr>
              <w:t>'''''''''''''''''''''</w:t>
            </w:r>
            <w:r w:rsidR="002C60CF">
              <w:rPr>
                <w:vertAlign w:val="superscript"/>
              </w:rPr>
              <w:t>6</w:t>
            </w:r>
          </w:p>
        </w:tc>
        <w:tc>
          <w:tcPr>
            <w:tcW w:w="647" w:type="pct"/>
          </w:tcPr>
          <w:p w14:paraId="4AB86830" w14:textId="77777777" w:rsidR="00C25ECA" w:rsidRPr="002A0179" w:rsidRDefault="00C25ECA" w:rsidP="00E83FC1">
            <w:pPr>
              <w:pStyle w:val="TableText0"/>
              <w:jc w:val="right"/>
            </w:pPr>
            <w:r w:rsidRPr="00DA78FF">
              <w:t>-</w:t>
            </w:r>
            <w:r w:rsidR="00E70D6F">
              <w:rPr>
                <w:noProof/>
                <w:color w:val="000000"/>
                <w:highlight w:val="black"/>
              </w:rPr>
              <w:t>''''''''''''''''''''''''</w:t>
            </w:r>
            <w:r w:rsidR="002C60CF">
              <w:rPr>
                <w:vertAlign w:val="superscript"/>
              </w:rPr>
              <w:t>6</w:t>
            </w:r>
          </w:p>
        </w:tc>
      </w:tr>
      <w:tr w:rsidR="00C25ECA" w:rsidRPr="008D35F6" w14:paraId="0FFFE765" w14:textId="77777777" w:rsidTr="00473C85">
        <w:trPr>
          <w:jc w:val="center"/>
        </w:trPr>
        <w:tc>
          <w:tcPr>
            <w:tcW w:w="5000" w:type="pct"/>
            <w:gridSpan w:val="7"/>
            <w:shd w:val="clear" w:color="auto" w:fill="auto"/>
          </w:tcPr>
          <w:p w14:paraId="53EEECD1" w14:textId="77777777" w:rsidR="00C25ECA" w:rsidRPr="008006B4" w:rsidRDefault="00C25ECA" w:rsidP="00473C85">
            <w:pPr>
              <w:pStyle w:val="TableText0"/>
              <w:rPr>
                <w:b/>
                <w:bCs w:val="0"/>
              </w:rPr>
            </w:pPr>
            <w:r w:rsidRPr="008006B4">
              <w:rPr>
                <w:b/>
                <w:bCs w:val="0"/>
              </w:rPr>
              <w:t>Estimated net financial implications</w:t>
            </w:r>
          </w:p>
        </w:tc>
      </w:tr>
      <w:tr w:rsidR="00C25ECA" w:rsidRPr="008D35F6" w14:paraId="458020F1" w14:textId="77777777" w:rsidTr="00473C85">
        <w:trPr>
          <w:jc w:val="center"/>
        </w:trPr>
        <w:tc>
          <w:tcPr>
            <w:tcW w:w="1118" w:type="pct"/>
            <w:shd w:val="clear" w:color="auto" w:fill="auto"/>
          </w:tcPr>
          <w:p w14:paraId="675CBC85" w14:textId="77777777" w:rsidR="00C25ECA" w:rsidRPr="00547789" w:rsidRDefault="00C25ECA" w:rsidP="00473C85">
            <w:pPr>
              <w:pStyle w:val="TableText0"/>
              <w:rPr>
                <w:b/>
                <w:szCs w:val="20"/>
              </w:rPr>
            </w:pPr>
            <w:r w:rsidRPr="00547789">
              <w:rPr>
                <w:b/>
                <w:szCs w:val="20"/>
              </w:rPr>
              <w:t>Net cost PBS / RPBS</w:t>
            </w:r>
          </w:p>
        </w:tc>
        <w:tc>
          <w:tcPr>
            <w:tcW w:w="647" w:type="pct"/>
            <w:shd w:val="clear" w:color="auto" w:fill="auto"/>
            <w:vAlign w:val="center"/>
          </w:tcPr>
          <w:p w14:paraId="6BB9284F" w14:textId="77777777" w:rsidR="00C25ECA" w:rsidRPr="00547789" w:rsidRDefault="00C25ECA" w:rsidP="00E83FC1">
            <w:pPr>
              <w:pStyle w:val="TableText0"/>
              <w:jc w:val="right"/>
              <w:rPr>
                <w:szCs w:val="20"/>
              </w:rPr>
            </w:pPr>
            <w:r w:rsidRPr="00547789">
              <w:rPr>
                <w:szCs w:val="20"/>
              </w:rPr>
              <w:t>-</w:t>
            </w:r>
            <w:r w:rsidR="00E70D6F">
              <w:rPr>
                <w:noProof/>
                <w:color w:val="000000"/>
                <w:szCs w:val="20"/>
                <w:highlight w:val="black"/>
              </w:rPr>
              <w:t>'''''''''''''''''''''</w:t>
            </w:r>
            <w:r w:rsidR="002C60CF">
              <w:rPr>
                <w:vertAlign w:val="superscript"/>
              </w:rPr>
              <w:t>6</w:t>
            </w:r>
          </w:p>
        </w:tc>
        <w:tc>
          <w:tcPr>
            <w:tcW w:w="647" w:type="pct"/>
            <w:shd w:val="clear" w:color="auto" w:fill="auto"/>
            <w:vAlign w:val="center"/>
          </w:tcPr>
          <w:p w14:paraId="394C516A" w14:textId="77777777" w:rsidR="00C25ECA" w:rsidRPr="00547789" w:rsidRDefault="00C25ECA" w:rsidP="00E83FC1">
            <w:pPr>
              <w:pStyle w:val="TableText0"/>
              <w:jc w:val="right"/>
              <w:rPr>
                <w:szCs w:val="20"/>
              </w:rPr>
            </w:pPr>
            <w:r w:rsidRPr="00547789">
              <w:rPr>
                <w:szCs w:val="20"/>
              </w:rPr>
              <w:t>-</w:t>
            </w:r>
            <w:r w:rsidR="00E70D6F">
              <w:rPr>
                <w:noProof/>
                <w:color w:val="000000"/>
                <w:szCs w:val="20"/>
                <w:highlight w:val="black"/>
              </w:rPr>
              <w:t>''''''''''''''''''''''''''</w:t>
            </w:r>
            <w:r w:rsidR="002C60CF">
              <w:rPr>
                <w:vertAlign w:val="superscript"/>
              </w:rPr>
              <w:t>6</w:t>
            </w:r>
          </w:p>
        </w:tc>
        <w:tc>
          <w:tcPr>
            <w:tcW w:w="647" w:type="pct"/>
            <w:shd w:val="clear" w:color="auto" w:fill="auto"/>
            <w:vAlign w:val="center"/>
          </w:tcPr>
          <w:p w14:paraId="3FDC2CF2" w14:textId="77777777" w:rsidR="00C25ECA" w:rsidRPr="00547789" w:rsidRDefault="00C25ECA" w:rsidP="00E83FC1">
            <w:pPr>
              <w:pStyle w:val="TableText0"/>
              <w:jc w:val="right"/>
              <w:rPr>
                <w:szCs w:val="20"/>
              </w:rPr>
            </w:pPr>
            <w:r w:rsidRPr="00547789">
              <w:rPr>
                <w:szCs w:val="20"/>
              </w:rPr>
              <w:t>-</w:t>
            </w:r>
            <w:r w:rsidR="00E70D6F">
              <w:rPr>
                <w:noProof/>
                <w:color w:val="000000"/>
                <w:szCs w:val="20"/>
                <w:highlight w:val="black"/>
              </w:rPr>
              <w:t>''''''''''''''''''''''''</w:t>
            </w:r>
            <w:r w:rsidR="002C60CF">
              <w:rPr>
                <w:vertAlign w:val="superscript"/>
              </w:rPr>
              <w:t>6</w:t>
            </w:r>
          </w:p>
        </w:tc>
        <w:tc>
          <w:tcPr>
            <w:tcW w:w="647" w:type="pct"/>
            <w:shd w:val="clear" w:color="auto" w:fill="auto"/>
            <w:vAlign w:val="center"/>
          </w:tcPr>
          <w:p w14:paraId="7CB506CB" w14:textId="77777777" w:rsidR="00C25ECA" w:rsidRPr="00547789" w:rsidRDefault="00C25ECA" w:rsidP="00E83FC1">
            <w:pPr>
              <w:pStyle w:val="TableText0"/>
              <w:jc w:val="right"/>
              <w:rPr>
                <w:szCs w:val="20"/>
              </w:rPr>
            </w:pPr>
            <w:r w:rsidRPr="00547789">
              <w:rPr>
                <w:szCs w:val="20"/>
              </w:rPr>
              <w:t>-</w:t>
            </w:r>
            <w:r w:rsidR="00E70D6F">
              <w:rPr>
                <w:noProof/>
                <w:color w:val="000000"/>
                <w:szCs w:val="20"/>
                <w:highlight w:val="black"/>
              </w:rPr>
              <w:t>''''''''''''''''''''''''''''</w:t>
            </w:r>
            <w:r w:rsidR="002C60CF">
              <w:rPr>
                <w:vertAlign w:val="superscript"/>
              </w:rPr>
              <w:t>6</w:t>
            </w:r>
          </w:p>
        </w:tc>
        <w:tc>
          <w:tcPr>
            <w:tcW w:w="647" w:type="pct"/>
            <w:shd w:val="clear" w:color="auto" w:fill="auto"/>
            <w:vAlign w:val="center"/>
          </w:tcPr>
          <w:p w14:paraId="47D29381" w14:textId="77777777" w:rsidR="00C25ECA" w:rsidRPr="00547789" w:rsidRDefault="00C25ECA" w:rsidP="00E83FC1">
            <w:pPr>
              <w:pStyle w:val="TableText0"/>
              <w:jc w:val="right"/>
              <w:rPr>
                <w:szCs w:val="20"/>
              </w:rPr>
            </w:pPr>
            <w:r w:rsidRPr="00547789">
              <w:rPr>
                <w:szCs w:val="20"/>
              </w:rPr>
              <w:t>-</w:t>
            </w:r>
            <w:r w:rsidR="00E70D6F">
              <w:rPr>
                <w:noProof/>
                <w:color w:val="000000"/>
                <w:szCs w:val="20"/>
                <w:highlight w:val="black"/>
              </w:rPr>
              <w:t>''''''''''''''''''''''''''</w:t>
            </w:r>
            <w:r w:rsidR="002C60CF">
              <w:rPr>
                <w:vertAlign w:val="superscript"/>
              </w:rPr>
              <w:t>6</w:t>
            </w:r>
          </w:p>
        </w:tc>
        <w:tc>
          <w:tcPr>
            <w:tcW w:w="647" w:type="pct"/>
            <w:vAlign w:val="center"/>
          </w:tcPr>
          <w:p w14:paraId="74719C25" w14:textId="77777777" w:rsidR="00C25ECA" w:rsidRPr="00547789" w:rsidRDefault="00C25ECA" w:rsidP="00E83FC1">
            <w:pPr>
              <w:pStyle w:val="TableText0"/>
              <w:jc w:val="right"/>
              <w:rPr>
                <w:szCs w:val="20"/>
              </w:rPr>
            </w:pPr>
            <w:r w:rsidRPr="00547789">
              <w:rPr>
                <w:szCs w:val="20"/>
              </w:rPr>
              <w:t>-</w:t>
            </w:r>
            <w:r w:rsidR="00E70D6F">
              <w:rPr>
                <w:noProof/>
                <w:color w:val="000000"/>
                <w:szCs w:val="20"/>
                <w:highlight w:val="black"/>
              </w:rPr>
              <w:t>''''''''''''''''''''''''</w:t>
            </w:r>
            <w:r w:rsidR="002C60CF">
              <w:rPr>
                <w:vertAlign w:val="superscript"/>
              </w:rPr>
              <w:t>6</w:t>
            </w:r>
          </w:p>
        </w:tc>
      </w:tr>
    </w:tbl>
    <w:p w14:paraId="5F7C8DCC" w14:textId="77777777" w:rsidR="00C25ECA" w:rsidRPr="00DF4F0E" w:rsidRDefault="00C25ECA" w:rsidP="00C25ECA">
      <w:pPr>
        <w:keepNext/>
        <w:keepLines/>
        <w:spacing w:line="276" w:lineRule="auto"/>
        <w:ind w:left="-567" w:firstLine="567"/>
        <w:rPr>
          <w:rFonts w:ascii="Arial Narrow" w:hAnsi="Arial Narrow" w:cs="Arial"/>
          <w:snapToGrid w:val="0"/>
          <w:sz w:val="18"/>
          <w:szCs w:val="22"/>
        </w:rPr>
      </w:pPr>
      <w:r w:rsidRPr="00DF4F0E">
        <w:rPr>
          <w:rFonts w:ascii="Arial Narrow" w:hAnsi="Arial Narrow" w:cs="Arial"/>
          <w:snapToGrid w:val="0"/>
          <w:sz w:val="18"/>
          <w:szCs w:val="22"/>
        </w:rPr>
        <w:t>Source</w:t>
      </w:r>
      <w:r>
        <w:rPr>
          <w:rFonts w:ascii="Arial Narrow" w:hAnsi="Arial Narrow" w:cs="Arial"/>
          <w:snapToGrid w:val="0"/>
          <w:sz w:val="18"/>
          <w:szCs w:val="22"/>
        </w:rPr>
        <w:t>:</w:t>
      </w:r>
      <w:r w:rsidRPr="00DF4F0E">
        <w:rPr>
          <w:rFonts w:ascii="Arial Narrow" w:hAnsi="Arial Narrow" w:cs="Arial"/>
          <w:snapToGrid w:val="0"/>
          <w:sz w:val="18"/>
          <w:szCs w:val="22"/>
        </w:rPr>
        <w:t xml:space="preserve"> utilisation and cost model workbook from the submission</w:t>
      </w:r>
    </w:p>
    <w:p w14:paraId="4858B98E" w14:textId="77777777" w:rsidR="00C25ECA" w:rsidRDefault="00C25ECA" w:rsidP="00C25ECA">
      <w:pPr>
        <w:pStyle w:val="TableFigureFooter"/>
        <w:keepNext/>
        <w:spacing w:after="0"/>
        <w:contextualSpacing w:val="0"/>
        <w:jc w:val="left"/>
      </w:pPr>
      <w:r w:rsidRPr="00AB4684">
        <w:t>Abbreviations: PBS = Pharmaceutical Benefits Scheme; RPBS = Repatriation Pharmaceutical Benefits Scheme.</w:t>
      </w:r>
    </w:p>
    <w:p w14:paraId="0ED34C63" w14:textId="77777777" w:rsidR="000B3D90" w:rsidRPr="003334B9" w:rsidRDefault="000B3D90" w:rsidP="00C25ECA">
      <w:pPr>
        <w:pStyle w:val="TableFigureFooter"/>
        <w:keepNext/>
        <w:spacing w:after="0"/>
        <w:contextualSpacing w:val="0"/>
        <w:jc w:val="left"/>
        <w:rPr>
          <w:i/>
        </w:rPr>
      </w:pPr>
      <w:r w:rsidRPr="003334B9">
        <w:rPr>
          <w:i/>
        </w:rPr>
        <w:t>The redacted values correspond to the following ranges:</w:t>
      </w:r>
    </w:p>
    <w:p w14:paraId="5B263699" w14:textId="77777777" w:rsidR="000B3D90" w:rsidRPr="003334B9" w:rsidRDefault="000B3D90" w:rsidP="00C25ECA">
      <w:pPr>
        <w:pStyle w:val="TableFigureFooter"/>
        <w:keepNext/>
        <w:spacing w:after="0"/>
        <w:contextualSpacing w:val="0"/>
        <w:jc w:val="left"/>
        <w:rPr>
          <w:i/>
        </w:rPr>
      </w:pPr>
      <w:r w:rsidRPr="003334B9">
        <w:rPr>
          <w:i/>
          <w:vertAlign w:val="superscript"/>
        </w:rPr>
        <w:t>1</w:t>
      </w:r>
      <w:r w:rsidRPr="003334B9">
        <w:rPr>
          <w:i/>
        </w:rPr>
        <w:t xml:space="preserve"> 10,000 to &lt; 20,000</w:t>
      </w:r>
    </w:p>
    <w:p w14:paraId="6409741B" w14:textId="77777777" w:rsidR="000B3D90" w:rsidRPr="003334B9" w:rsidRDefault="000B3D90" w:rsidP="00C25ECA">
      <w:pPr>
        <w:pStyle w:val="TableFigureFooter"/>
        <w:keepNext/>
        <w:spacing w:after="0"/>
        <w:contextualSpacing w:val="0"/>
        <w:jc w:val="left"/>
        <w:rPr>
          <w:i/>
        </w:rPr>
      </w:pPr>
      <w:r w:rsidRPr="003334B9">
        <w:rPr>
          <w:i/>
          <w:vertAlign w:val="superscript"/>
        </w:rPr>
        <w:t>2</w:t>
      </w:r>
      <w:r w:rsidRPr="003334B9">
        <w:rPr>
          <w:i/>
        </w:rPr>
        <w:t xml:space="preserve"> 40,000 to &lt; 50,000</w:t>
      </w:r>
    </w:p>
    <w:p w14:paraId="59B8188F" w14:textId="77777777" w:rsidR="000B3D90" w:rsidRPr="003334B9" w:rsidRDefault="000B3D90" w:rsidP="00C25ECA">
      <w:pPr>
        <w:pStyle w:val="TableFigureFooter"/>
        <w:keepNext/>
        <w:spacing w:after="0"/>
        <w:contextualSpacing w:val="0"/>
        <w:jc w:val="left"/>
        <w:rPr>
          <w:i/>
        </w:rPr>
      </w:pPr>
      <w:r w:rsidRPr="003334B9">
        <w:rPr>
          <w:i/>
          <w:vertAlign w:val="superscript"/>
        </w:rPr>
        <w:t>3</w:t>
      </w:r>
      <w:r w:rsidRPr="003334B9">
        <w:rPr>
          <w:i/>
        </w:rPr>
        <w:t xml:space="preserve"> 50,000 to &lt; 60,000</w:t>
      </w:r>
    </w:p>
    <w:p w14:paraId="0692FD3F" w14:textId="77777777" w:rsidR="000B3D90" w:rsidRPr="003334B9" w:rsidRDefault="000B3D90" w:rsidP="00C25ECA">
      <w:pPr>
        <w:pStyle w:val="TableFigureFooter"/>
        <w:keepNext/>
        <w:spacing w:after="0"/>
        <w:contextualSpacing w:val="0"/>
        <w:jc w:val="left"/>
        <w:rPr>
          <w:i/>
        </w:rPr>
      </w:pPr>
      <w:r w:rsidRPr="003334B9">
        <w:rPr>
          <w:i/>
          <w:vertAlign w:val="superscript"/>
        </w:rPr>
        <w:t>4</w:t>
      </w:r>
      <w:r w:rsidRPr="003334B9">
        <w:rPr>
          <w:i/>
        </w:rPr>
        <w:t xml:space="preserve"> 60,000 to &lt; 70,000</w:t>
      </w:r>
    </w:p>
    <w:p w14:paraId="5009FE73" w14:textId="77777777" w:rsidR="000B3D90" w:rsidRPr="003334B9" w:rsidRDefault="000B3D90" w:rsidP="00C25ECA">
      <w:pPr>
        <w:pStyle w:val="TableFigureFooter"/>
        <w:keepNext/>
        <w:spacing w:after="0"/>
        <w:contextualSpacing w:val="0"/>
        <w:jc w:val="left"/>
        <w:rPr>
          <w:i/>
        </w:rPr>
      </w:pPr>
      <w:r w:rsidRPr="003334B9">
        <w:rPr>
          <w:i/>
          <w:vertAlign w:val="superscript"/>
        </w:rPr>
        <w:t>5</w:t>
      </w:r>
      <w:r w:rsidRPr="003334B9">
        <w:rPr>
          <w:i/>
        </w:rPr>
        <w:t xml:space="preserve"> 70,000 to &lt; 80,000</w:t>
      </w:r>
    </w:p>
    <w:p w14:paraId="2A737432" w14:textId="77777777" w:rsidR="000B3D90" w:rsidRPr="003334B9" w:rsidRDefault="000B3D90" w:rsidP="00C25ECA">
      <w:pPr>
        <w:pStyle w:val="TableFigureFooter"/>
        <w:keepNext/>
        <w:spacing w:after="0"/>
        <w:contextualSpacing w:val="0"/>
        <w:jc w:val="left"/>
        <w:rPr>
          <w:i/>
        </w:rPr>
      </w:pPr>
      <w:r w:rsidRPr="003334B9">
        <w:rPr>
          <w:i/>
          <w:vertAlign w:val="superscript"/>
        </w:rPr>
        <w:t>6</w:t>
      </w:r>
      <w:r w:rsidRPr="003334B9">
        <w:rPr>
          <w:i/>
        </w:rPr>
        <w:t xml:space="preserve"> $0 to &lt; $10 million </w:t>
      </w:r>
    </w:p>
    <w:p w14:paraId="2A3D63A7" w14:textId="77777777" w:rsidR="002C60CF" w:rsidRPr="003334B9" w:rsidRDefault="002C60CF" w:rsidP="00C25ECA">
      <w:pPr>
        <w:pStyle w:val="TableFigureFooter"/>
        <w:keepNext/>
        <w:spacing w:after="0"/>
        <w:contextualSpacing w:val="0"/>
        <w:jc w:val="left"/>
        <w:rPr>
          <w:i/>
        </w:rPr>
      </w:pPr>
      <w:r w:rsidRPr="003334B9">
        <w:rPr>
          <w:i/>
          <w:vertAlign w:val="superscript"/>
        </w:rPr>
        <w:t>7</w:t>
      </w:r>
      <w:r w:rsidRPr="003334B9">
        <w:rPr>
          <w:i/>
        </w:rPr>
        <w:t xml:space="preserve"> $10 million to &lt; $20 million</w:t>
      </w:r>
    </w:p>
    <w:p w14:paraId="1024CE12" w14:textId="77777777" w:rsidR="002C60CF" w:rsidRPr="002C60CF" w:rsidRDefault="002C60CF" w:rsidP="00C25ECA">
      <w:pPr>
        <w:pStyle w:val="TableFigureFooter"/>
        <w:keepNext/>
        <w:spacing w:after="0"/>
        <w:contextualSpacing w:val="0"/>
        <w:jc w:val="left"/>
      </w:pPr>
    </w:p>
    <w:bookmarkEnd w:id="4"/>
    <w:p w14:paraId="6F023831" w14:textId="77777777" w:rsidR="004450D5" w:rsidRDefault="004450D5">
      <w:pPr>
        <w:jc w:val="left"/>
      </w:pPr>
    </w:p>
    <w:p w14:paraId="43329DB9" w14:textId="77777777" w:rsidR="004450D5" w:rsidRPr="004450D5" w:rsidRDefault="004450D5" w:rsidP="004450D5">
      <w:pPr>
        <w:pStyle w:val="3-BodyText"/>
        <w:numPr>
          <w:ilvl w:val="0"/>
          <w:numId w:val="0"/>
        </w:numPr>
        <w:ind w:left="720"/>
        <w:rPr>
          <w:i/>
        </w:rPr>
      </w:pPr>
      <w:r w:rsidRPr="004450D5">
        <w:rPr>
          <w:i/>
        </w:rPr>
        <w:t>For more detail on PBAC’s</w:t>
      </w:r>
      <w:r w:rsidR="007076A8">
        <w:rPr>
          <w:i/>
        </w:rPr>
        <w:t xml:space="preserve"> view, see section 6</w:t>
      </w:r>
      <w:r w:rsidRPr="004450D5">
        <w:rPr>
          <w:i/>
        </w:rPr>
        <w:t xml:space="preserve"> PBAC outcome.</w:t>
      </w:r>
    </w:p>
    <w:p w14:paraId="07D987AB" w14:textId="77777777" w:rsidR="00AA1909" w:rsidRPr="0090150D" w:rsidRDefault="00AA1909" w:rsidP="006D6FC7">
      <w:pPr>
        <w:pStyle w:val="2-SectionHeading"/>
      </w:pPr>
      <w:r w:rsidRPr="0090150D">
        <w:t>PBAC Outcome</w:t>
      </w:r>
    </w:p>
    <w:p w14:paraId="3F366D35" w14:textId="77777777" w:rsidR="000D5699" w:rsidRDefault="000D5699" w:rsidP="000D5699">
      <w:pPr>
        <w:pStyle w:val="3Bodytext"/>
        <w:rPr>
          <w:snapToGrid w:val="0"/>
        </w:rPr>
      </w:pPr>
      <w:r w:rsidRPr="00447F2C">
        <w:rPr>
          <w:snapToGrid w:val="0"/>
        </w:rPr>
        <w:t xml:space="preserve">The PBAC recommended the listing of a new </w:t>
      </w:r>
      <w:r w:rsidR="006F4B4C">
        <w:rPr>
          <w:snapToGrid w:val="0"/>
        </w:rPr>
        <w:t>biosimilar</w:t>
      </w:r>
      <w:r w:rsidRPr="00447F2C">
        <w:rPr>
          <w:snapToGrid w:val="0"/>
        </w:rPr>
        <w:t xml:space="preserve"> brand of </w:t>
      </w:r>
      <w:r>
        <w:rPr>
          <w:snapToGrid w:val="0"/>
        </w:rPr>
        <w:t xml:space="preserve">insulin aspart </w:t>
      </w:r>
      <w:r>
        <w:t xml:space="preserve">in the form of </w:t>
      </w:r>
      <w:bookmarkStart w:id="5" w:name="_Hlk87370811"/>
      <w:r>
        <w:t>100 IU/mL cartridge</w:t>
      </w:r>
      <w:bookmarkEnd w:id="5"/>
      <w:r>
        <w:t xml:space="preserve"> </w:t>
      </w:r>
      <w:r w:rsidR="00C50BF8">
        <w:t xml:space="preserve">(Truvelog) </w:t>
      </w:r>
      <w:r w:rsidRPr="00327776">
        <w:t>and</w:t>
      </w:r>
      <w:r>
        <w:t xml:space="preserve"> </w:t>
      </w:r>
      <w:r w:rsidRPr="00327776">
        <w:t>100 IU/mL pre-filled pen</w:t>
      </w:r>
      <w:r>
        <w:t xml:space="preserve"> </w:t>
      </w:r>
      <w:r w:rsidRPr="00447F2C">
        <w:rPr>
          <w:snapToGrid w:val="0"/>
        </w:rPr>
        <w:t>(</w:t>
      </w:r>
      <w:r>
        <w:t>Truvelog Solostar</w:t>
      </w:r>
      <w:r w:rsidRPr="00447F2C">
        <w:rPr>
          <w:snapToGrid w:val="0"/>
        </w:rPr>
        <w:t>) under the same circumstances as the</w:t>
      </w:r>
      <w:r w:rsidR="0007754F">
        <w:rPr>
          <w:snapToGrid w:val="0"/>
        </w:rPr>
        <w:t xml:space="preserve"> </w:t>
      </w:r>
      <w:r w:rsidRPr="00447F2C">
        <w:rPr>
          <w:snapToGrid w:val="0"/>
        </w:rPr>
        <w:t>PBS-listed</w:t>
      </w:r>
      <w:r w:rsidR="009A45B4">
        <w:rPr>
          <w:snapToGrid w:val="0"/>
        </w:rPr>
        <w:t xml:space="preserve"> reference</w:t>
      </w:r>
      <w:r w:rsidRPr="00447F2C">
        <w:rPr>
          <w:snapToGrid w:val="0"/>
        </w:rPr>
        <w:t xml:space="preserve"> brands </w:t>
      </w:r>
      <w:r>
        <w:rPr>
          <w:snapToGrid w:val="0"/>
        </w:rPr>
        <w:t>NovoRapid Penfill and NovoRapid Flexpen.</w:t>
      </w:r>
      <w:r w:rsidR="00F940C0" w:rsidRPr="00F940C0">
        <w:t xml:space="preserve"> </w:t>
      </w:r>
      <w:r w:rsidR="00F940C0" w:rsidRPr="009639EE">
        <w:t xml:space="preserve">The PBAC’s recommendation for listing was based on, among other matters, its assessment that the cost-effectiveness of </w:t>
      </w:r>
      <w:r w:rsidR="00F940C0">
        <w:t>Truvelog and Truvelog Solostar</w:t>
      </w:r>
      <w:r w:rsidR="00F940C0" w:rsidRPr="009639EE">
        <w:t xml:space="preserve"> would be acceptable if </w:t>
      </w:r>
      <w:r w:rsidR="007B406F">
        <w:t>they</w:t>
      </w:r>
      <w:r w:rsidR="00F940C0" w:rsidRPr="009639EE">
        <w:t xml:space="preserve"> were cost-minimised to </w:t>
      </w:r>
      <w:r w:rsidR="00F940C0">
        <w:t xml:space="preserve">NovoRapid Penfill and NovoRapid Flexpen respectively. </w:t>
      </w:r>
    </w:p>
    <w:p w14:paraId="26086C0A" w14:textId="77777777" w:rsidR="008259CE" w:rsidRPr="003C15D5" w:rsidRDefault="008259CE" w:rsidP="002247C8">
      <w:pPr>
        <w:pStyle w:val="3Bodytext"/>
        <w:rPr>
          <w:snapToGrid w:val="0"/>
        </w:rPr>
      </w:pPr>
      <w:r w:rsidRPr="003C15D5">
        <w:rPr>
          <w:snapToGrid w:val="0"/>
        </w:rPr>
        <w:t xml:space="preserve">The PBAC advised that the equi-effective </w:t>
      </w:r>
      <w:r w:rsidRPr="0007754F">
        <w:rPr>
          <w:snapToGrid w:val="0"/>
        </w:rPr>
        <w:t>doses are: Truvelog</w:t>
      </w:r>
      <w:r w:rsidRPr="00643EA1">
        <w:rPr>
          <w:snapToGrid w:val="0"/>
        </w:rPr>
        <w:t xml:space="preserve"> 100 IU/mL cartridge</w:t>
      </w:r>
      <w:r w:rsidRPr="00EC7EFB">
        <w:rPr>
          <w:snapToGrid w:val="0"/>
        </w:rPr>
        <w:t xml:space="preserve"> = </w:t>
      </w:r>
      <w:r w:rsidR="003C15D5" w:rsidRPr="00EC7EFB">
        <w:rPr>
          <w:snapToGrid w:val="0"/>
        </w:rPr>
        <w:t>NovoRapid Penfill 100 IU</w:t>
      </w:r>
      <w:r w:rsidR="003C15D5" w:rsidRPr="001220F6">
        <w:rPr>
          <w:snapToGrid w:val="0"/>
        </w:rPr>
        <w:t xml:space="preserve">/mL cartridge and Truvelog </w:t>
      </w:r>
      <w:r w:rsidR="003C15D5">
        <w:rPr>
          <w:snapToGrid w:val="0"/>
        </w:rPr>
        <w:t xml:space="preserve">Solostar </w:t>
      </w:r>
      <w:r w:rsidR="00F0033B" w:rsidRPr="00F0033B">
        <w:rPr>
          <w:snapToGrid w:val="0"/>
        </w:rPr>
        <w:t>100 IU/mL pre-filled pen</w:t>
      </w:r>
      <w:r w:rsidR="00F0033B">
        <w:rPr>
          <w:snapToGrid w:val="0"/>
        </w:rPr>
        <w:t xml:space="preserve"> = NovoRapid Flexpen </w:t>
      </w:r>
      <w:r w:rsidR="00F0033B" w:rsidRPr="00F0033B">
        <w:rPr>
          <w:snapToGrid w:val="0"/>
        </w:rPr>
        <w:t>100 IU/mL pre-filled pen</w:t>
      </w:r>
      <w:r w:rsidR="00F0033B">
        <w:rPr>
          <w:snapToGrid w:val="0"/>
        </w:rPr>
        <w:t>.</w:t>
      </w:r>
    </w:p>
    <w:p w14:paraId="2C2570AF" w14:textId="77777777" w:rsidR="00F940C0" w:rsidRPr="000D5699" w:rsidRDefault="0007754F" w:rsidP="000D5699">
      <w:pPr>
        <w:pStyle w:val="3Bodytext"/>
        <w:rPr>
          <w:snapToGrid w:val="0"/>
        </w:rPr>
      </w:pPr>
      <w:r>
        <w:rPr>
          <w:snapToGrid w:val="0"/>
        </w:rPr>
        <w:t xml:space="preserve">The PBAC noted that the TGA </w:t>
      </w:r>
      <w:r w:rsidRPr="0007754F">
        <w:rPr>
          <w:snapToGrid w:val="0"/>
        </w:rPr>
        <w:t xml:space="preserve">determined </w:t>
      </w:r>
      <w:r>
        <w:rPr>
          <w:snapToGrid w:val="0"/>
        </w:rPr>
        <w:t>Truvelog</w:t>
      </w:r>
      <w:r w:rsidRPr="0007754F">
        <w:rPr>
          <w:snapToGrid w:val="0"/>
        </w:rPr>
        <w:t xml:space="preserve"> to be biosimilar to the reference brand </w:t>
      </w:r>
      <w:r>
        <w:rPr>
          <w:snapToGrid w:val="0"/>
        </w:rPr>
        <w:t>NovoRapid</w:t>
      </w:r>
      <w:r w:rsidRPr="0007754F">
        <w:rPr>
          <w:snapToGrid w:val="0"/>
        </w:rPr>
        <w:t xml:space="preserve"> based on the clinical evidence presented in the submission</w:t>
      </w:r>
      <w:r w:rsidR="00AC47D7">
        <w:rPr>
          <w:snapToGrid w:val="0"/>
        </w:rPr>
        <w:t xml:space="preserve">. The PBAC noted the TGA delegate considered Truvelog Solostar and NovoRapid Flexpen to be sufficiently similar </w:t>
      </w:r>
      <w:r w:rsidR="00AC47D7" w:rsidRPr="00AC47D7">
        <w:rPr>
          <w:snapToGrid w:val="0"/>
        </w:rPr>
        <w:t>for patients to know how to use the device without the need for re-education.</w:t>
      </w:r>
    </w:p>
    <w:p w14:paraId="3360B421" w14:textId="77777777" w:rsidR="000D5699" w:rsidRPr="00810BC6" w:rsidRDefault="000D5699" w:rsidP="000D5699">
      <w:pPr>
        <w:numPr>
          <w:ilvl w:val="1"/>
          <w:numId w:val="2"/>
        </w:numPr>
        <w:spacing w:after="120"/>
        <w:rPr>
          <w:rFonts w:asciiTheme="minorHAnsi" w:hAnsiTheme="minorHAnsi" w:cs="Arial"/>
          <w:snapToGrid w:val="0"/>
        </w:rPr>
      </w:pPr>
      <w:r w:rsidRPr="00447F2C">
        <w:rPr>
          <w:rFonts w:asciiTheme="minorHAnsi" w:hAnsiTheme="minorHAnsi" w:cs="Arial"/>
          <w:bCs/>
          <w:snapToGrid w:val="0"/>
        </w:rPr>
        <w:t xml:space="preserve">The PBAC advised, under </w:t>
      </w:r>
      <w:bookmarkStart w:id="6" w:name="_Hlk87432890"/>
      <w:r w:rsidRPr="00447F2C">
        <w:rPr>
          <w:rFonts w:asciiTheme="minorHAnsi" w:hAnsiTheme="minorHAnsi" w:cs="Arial"/>
          <w:bCs/>
          <w:snapToGrid w:val="0"/>
        </w:rPr>
        <w:t>Section 101 (4AACD) of the</w:t>
      </w:r>
      <w:bookmarkEnd w:id="6"/>
      <w:r w:rsidRPr="00447F2C">
        <w:rPr>
          <w:rFonts w:asciiTheme="minorHAnsi" w:hAnsiTheme="minorHAnsi" w:cs="Arial"/>
          <w:bCs/>
          <w:snapToGrid w:val="0"/>
        </w:rPr>
        <w:t xml:space="preserve"> </w:t>
      </w:r>
      <w:r w:rsidRPr="00447F2C">
        <w:rPr>
          <w:rFonts w:asciiTheme="minorHAnsi" w:hAnsiTheme="minorHAnsi" w:cs="Arial"/>
          <w:bCs/>
          <w:i/>
          <w:iCs/>
          <w:snapToGrid w:val="0"/>
        </w:rPr>
        <w:t>National Health Act 1953</w:t>
      </w:r>
      <w:r w:rsidR="00400492">
        <w:rPr>
          <w:rFonts w:asciiTheme="minorHAnsi" w:hAnsiTheme="minorHAnsi" w:cs="Arial"/>
          <w:bCs/>
          <w:snapToGrid w:val="0"/>
        </w:rPr>
        <w:t xml:space="preserve"> (</w:t>
      </w:r>
      <w:r w:rsidR="001543ED">
        <w:rPr>
          <w:rFonts w:asciiTheme="minorHAnsi" w:hAnsiTheme="minorHAnsi" w:cs="Arial"/>
          <w:bCs/>
          <w:snapToGrid w:val="0"/>
        </w:rPr>
        <w:t>“</w:t>
      </w:r>
      <w:r w:rsidR="00400492">
        <w:rPr>
          <w:rFonts w:asciiTheme="minorHAnsi" w:hAnsiTheme="minorHAnsi" w:cs="Arial"/>
          <w:bCs/>
          <w:snapToGrid w:val="0"/>
        </w:rPr>
        <w:t>the Act</w:t>
      </w:r>
      <w:r w:rsidR="001543ED">
        <w:rPr>
          <w:rFonts w:asciiTheme="minorHAnsi" w:hAnsiTheme="minorHAnsi" w:cs="Arial"/>
          <w:bCs/>
          <w:snapToGrid w:val="0"/>
        </w:rPr>
        <w:t>”</w:t>
      </w:r>
      <w:r w:rsidR="00400492">
        <w:rPr>
          <w:rFonts w:asciiTheme="minorHAnsi" w:hAnsiTheme="minorHAnsi" w:cs="Arial"/>
          <w:bCs/>
          <w:snapToGrid w:val="0"/>
        </w:rPr>
        <w:t>)</w:t>
      </w:r>
      <w:r w:rsidRPr="00447F2C">
        <w:rPr>
          <w:rFonts w:asciiTheme="minorHAnsi" w:hAnsiTheme="minorHAnsi" w:cs="Arial"/>
          <w:bCs/>
          <w:snapToGrid w:val="0"/>
        </w:rPr>
        <w:t xml:space="preserve">, that </w:t>
      </w:r>
      <w:r>
        <w:rPr>
          <w:rFonts w:cs="Calibri"/>
        </w:rPr>
        <w:t>Truvelog</w:t>
      </w:r>
      <w:r w:rsidR="00810BC6">
        <w:rPr>
          <w:rFonts w:cs="Calibri"/>
        </w:rPr>
        <w:t xml:space="preserve"> Solostar</w:t>
      </w:r>
      <w:r w:rsidRPr="00447F2C">
        <w:rPr>
          <w:rFonts w:cs="Calibri"/>
        </w:rPr>
        <w:t xml:space="preserve"> should be treated as equivalent to </w:t>
      </w:r>
      <w:r>
        <w:rPr>
          <w:rFonts w:cs="Calibri"/>
        </w:rPr>
        <w:t>NovoRapid</w:t>
      </w:r>
      <w:r w:rsidR="00810BC6">
        <w:rPr>
          <w:rFonts w:cs="Calibri"/>
        </w:rPr>
        <w:t xml:space="preserve"> Flexpen</w:t>
      </w:r>
      <w:r>
        <w:rPr>
          <w:rFonts w:cs="Calibri"/>
        </w:rPr>
        <w:t xml:space="preserve"> for the purposes of substitution (i.e. ‘a’ flagged). </w:t>
      </w:r>
    </w:p>
    <w:p w14:paraId="1FEB2590" w14:textId="77777777" w:rsidR="00810BC6" w:rsidRPr="00400492" w:rsidRDefault="00810BC6" w:rsidP="00810BC6">
      <w:pPr>
        <w:pStyle w:val="3Bodytext"/>
        <w:rPr>
          <w:rFonts w:cs="Arial"/>
          <w:snapToGrid w:val="0"/>
        </w:rPr>
      </w:pPr>
      <w:r>
        <w:rPr>
          <w:rFonts w:cs="Calibri"/>
        </w:rPr>
        <w:t xml:space="preserve">The PBAC </w:t>
      </w:r>
      <w:r w:rsidR="001220F6">
        <w:rPr>
          <w:rFonts w:cs="Calibri"/>
        </w:rPr>
        <w:t xml:space="preserve">noted </w:t>
      </w:r>
      <w:r>
        <w:rPr>
          <w:rFonts w:cs="Calibri"/>
        </w:rPr>
        <w:t xml:space="preserve">that </w:t>
      </w:r>
      <w:r w:rsidRPr="00810BC6">
        <w:rPr>
          <w:rFonts w:ascii="Calibri" w:eastAsia="Times New Roman" w:hAnsi="Calibri" w:cs="Calibri"/>
          <w:szCs w:val="24"/>
        </w:rPr>
        <w:t xml:space="preserve">Truvelog and NovoRapid </w:t>
      </w:r>
      <w:r w:rsidR="001220F6">
        <w:rPr>
          <w:rFonts w:ascii="Calibri" w:eastAsia="Times New Roman" w:hAnsi="Calibri" w:cs="Calibri"/>
          <w:szCs w:val="24"/>
        </w:rPr>
        <w:t xml:space="preserve">Penfill </w:t>
      </w:r>
      <w:r w:rsidR="00D00E1A">
        <w:rPr>
          <w:rFonts w:ascii="Calibri" w:eastAsia="Times New Roman" w:hAnsi="Calibri" w:cs="Calibri"/>
          <w:szCs w:val="24"/>
        </w:rPr>
        <w:t xml:space="preserve">cartridges </w:t>
      </w:r>
      <w:r w:rsidR="00201735">
        <w:rPr>
          <w:rFonts w:ascii="Calibri" w:eastAsia="Times New Roman" w:hAnsi="Calibri" w:cs="Calibri"/>
          <w:szCs w:val="24"/>
        </w:rPr>
        <w:t>are designed to be used with specific</w:t>
      </w:r>
      <w:r w:rsidR="00400492">
        <w:rPr>
          <w:rFonts w:ascii="Calibri" w:eastAsia="Times New Roman" w:hAnsi="Calibri" w:cs="Calibri"/>
          <w:szCs w:val="24"/>
        </w:rPr>
        <w:t xml:space="preserve"> insulin</w:t>
      </w:r>
      <w:r w:rsidR="00201735">
        <w:rPr>
          <w:rFonts w:ascii="Calibri" w:eastAsia="Times New Roman" w:hAnsi="Calibri" w:cs="Calibri"/>
          <w:szCs w:val="24"/>
        </w:rPr>
        <w:t xml:space="preserve"> delivery systems and </w:t>
      </w:r>
      <w:r>
        <w:rPr>
          <w:rFonts w:ascii="Calibri" w:eastAsia="Times New Roman" w:hAnsi="Calibri" w:cs="Calibri"/>
          <w:szCs w:val="24"/>
        </w:rPr>
        <w:t>compatible sterile needles</w:t>
      </w:r>
      <w:r w:rsidR="00A410D5">
        <w:rPr>
          <w:rFonts w:ascii="Calibri" w:eastAsia="Times New Roman" w:hAnsi="Calibri" w:cs="Calibri"/>
          <w:szCs w:val="24"/>
        </w:rPr>
        <w:t xml:space="preserve">. </w:t>
      </w:r>
      <w:r w:rsidR="00201735">
        <w:rPr>
          <w:rFonts w:ascii="Calibri" w:eastAsia="Times New Roman" w:hAnsi="Calibri" w:cs="Calibri"/>
          <w:szCs w:val="24"/>
        </w:rPr>
        <w:t>On this basis,</w:t>
      </w:r>
      <w:r>
        <w:rPr>
          <w:rFonts w:ascii="Calibri" w:eastAsia="Times New Roman" w:hAnsi="Calibri" w:cs="Calibri"/>
          <w:szCs w:val="24"/>
        </w:rPr>
        <w:t xml:space="preserve"> </w:t>
      </w:r>
      <w:r w:rsidR="00201735">
        <w:rPr>
          <w:rFonts w:ascii="Calibri" w:eastAsia="Times New Roman" w:hAnsi="Calibri" w:cs="Calibri"/>
          <w:szCs w:val="24"/>
        </w:rPr>
        <w:t>t</w:t>
      </w:r>
      <w:r>
        <w:rPr>
          <w:rFonts w:ascii="Calibri" w:eastAsia="Times New Roman" w:hAnsi="Calibri" w:cs="Calibri"/>
          <w:szCs w:val="24"/>
        </w:rPr>
        <w:t xml:space="preserve">he PBAC </w:t>
      </w:r>
      <w:r w:rsidR="00400492">
        <w:rPr>
          <w:rFonts w:ascii="Calibri" w:eastAsia="Times New Roman" w:hAnsi="Calibri" w:cs="Calibri"/>
          <w:szCs w:val="24"/>
        </w:rPr>
        <w:t xml:space="preserve">advised under </w:t>
      </w:r>
      <w:r w:rsidR="00400492" w:rsidRPr="00400492">
        <w:rPr>
          <w:rFonts w:ascii="Calibri" w:eastAsia="Times New Roman" w:hAnsi="Calibri" w:cs="Calibri"/>
          <w:szCs w:val="24"/>
        </w:rPr>
        <w:t>Section 101 (4AACD) of the</w:t>
      </w:r>
      <w:r w:rsidR="00400492">
        <w:rPr>
          <w:rFonts w:ascii="Calibri" w:eastAsia="Times New Roman" w:hAnsi="Calibri" w:cs="Calibri"/>
          <w:szCs w:val="24"/>
        </w:rPr>
        <w:t xml:space="preserve"> Act that Truvelog and NovoRapid Penfill cartridges should not be treated as equivalent for the purposes of substitution. </w:t>
      </w:r>
    </w:p>
    <w:p w14:paraId="1B0CDB68" w14:textId="77777777" w:rsidR="00EC7EFB" w:rsidRDefault="00EC7EFB" w:rsidP="00EC7EFB">
      <w:pPr>
        <w:pStyle w:val="3-BodyText"/>
        <w:numPr>
          <w:ilvl w:val="1"/>
          <w:numId w:val="2"/>
        </w:numPr>
      </w:pPr>
      <w:r>
        <w:t xml:space="preserve">The PBAC considered that </w:t>
      </w:r>
      <w:r w:rsidRPr="009639EE">
        <w:t xml:space="preserve">the ‘Biosimilar prescribing policy’ administrative note </w:t>
      </w:r>
      <w:r w:rsidR="00E9056A">
        <w:t>should be included</w:t>
      </w:r>
      <w:r>
        <w:t>:</w:t>
      </w:r>
    </w:p>
    <w:p w14:paraId="5749F34E" w14:textId="77777777" w:rsidR="00EC7EFB" w:rsidRPr="00CF51A1" w:rsidRDefault="00EC7EFB" w:rsidP="00EC7EFB">
      <w:pPr>
        <w:pStyle w:val="3-BodyText"/>
        <w:numPr>
          <w:ilvl w:val="0"/>
          <w:numId w:val="0"/>
        </w:numPr>
        <w:ind w:left="720"/>
        <w:rPr>
          <w:i/>
          <w:iCs/>
        </w:rPr>
      </w:pPr>
      <w:r w:rsidRPr="00CF51A1">
        <w:rPr>
          <w:i/>
          <w:iCs/>
        </w:rPr>
        <w:t xml:space="preserve">Prescribing of the biosimilar brand, </w:t>
      </w:r>
      <w:r w:rsidR="001220F6">
        <w:rPr>
          <w:i/>
          <w:iCs/>
        </w:rPr>
        <w:t>Truvelog/Truvelog Solostar</w:t>
      </w:r>
      <w:r w:rsidRPr="00CF51A1">
        <w:rPr>
          <w:i/>
          <w:iCs/>
        </w:rPr>
        <w:t>, is encouraged for treatment naive patients.</w:t>
      </w:r>
    </w:p>
    <w:p w14:paraId="4B07DEF6" w14:textId="77777777" w:rsidR="00EC7EFB" w:rsidRPr="00EC7EFB" w:rsidRDefault="00EC7EFB" w:rsidP="00EC7EFB">
      <w:pPr>
        <w:pStyle w:val="3-BodyText"/>
        <w:numPr>
          <w:ilvl w:val="0"/>
          <w:numId w:val="0"/>
        </w:numPr>
        <w:ind w:left="720"/>
        <w:rPr>
          <w:i/>
          <w:iCs/>
        </w:rPr>
      </w:pPr>
      <w:r w:rsidRPr="00CF51A1">
        <w:rPr>
          <w:i/>
          <w:iC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t>
      </w:r>
      <w:r w:rsidRPr="00CF51A1">
        <w:rPr>
          <w:i/>
          <w:iCs/>
          <w:u w:val="single"/>
        </w:rPr>
        <w:t>www.health.gov.au/biosimilars</w:t>
      </w:r>
      <w:r w:rsidRPr="00CF51A1">
        <w:rPr>
          <w:i/>
          <w:iCs/>
        </w:rPr>
        <w:t>).</w:t>
      </w:r>
    </w:p>
    <w:p w14:paraId="0801653A" w14:textId="77777777" w:rsidR="00AA1909" w:rsidRDefault="00AA1909" w:rsidP="00AA1909">
      <w:pPr>
        <w:widowControl w:val="0"/>
        <w:numPr>
          <w:ilvl w:val="1"/>
          <w:numId w:val="2"/>
        </w:numPr>
        <w:spacing w:after="120"/>
        <w:rPr>
          <w:rFonts w:asciiTheme="minorHAnsi" w:hAnsiTheme="minorHAnsi" w:cs="Arial"/>
          <w:snapToGrid w:val="0"/>
          <w:lang w:val="en-GB"/>
        </w:rPr>
      </w:pPr>
      <w:r w:rsidRPr="0076010C">
        <w:rPr>
          <w:rFonts w:asciiTheme="minorHAnsi" w:hAnsiTheme="minorHAnsi" w:cs="Arial"/>
          <w:snapToGrid w:val="0"/>
          <w:lang w:val="en-GB"/>
        </w:rPr>
        <w:t xml:space="preserve">The PBAC noted that its recommendation was on a cost-minimisation basis and advised that, because </w:t>
      </w:r>
      <w:r w:rsidR="00FB2D58">
        <w:rPr>
          <w:rFonts w:asciiTheme="minorHAnsi" w:hAnsiTheme="minorHAnsi" w:cs="Arial"/>
          <w:snapToGrid w:val="0"/>
          <w:lang w:val="en-GB"/>
        </w:rPr>
        <w:t xml:space="preserve">Truvelog </w:t>
      </w:r>
      <w:r w:rsidRPr="0076010C">
        <w:rPr>
          <w:rFonts w:asciiTheme="minorHAnsi" w:hAnsiTheme="minorHAnsi" w:cs="Arial"/>
          <w:snapToGrid w:val="0"/>
          <w:lang w:val="en-GB"/>
        </w:rPr>
        <w:t xml:space="preserve">is not expected to provide a substantial and clinically relevant improvement in efficacy, or reduction of toxicity, over </w:t>
      </w:r>
      <w:r w:rsidR="00FB2D58">
        <w:rPr>
          <w:rFonts w:asciiTheme="minorHAnsi" w:hAnsiTheme="minorHAnsi" w:cs="Arial"/>
          <w:snapToGrid w:val="0"/>
          <w:lang w:val="en-GB"/>
        </w:rPr>
        <w:t>NovoRapid</w:t>
      </w:r>
      <w:r w:rsidRPr="0076010C">
        <w:rPr>
          <w:rFonts w:asciiTheme="minorHAnsi" w:hAnsiTheme="minorHAnsi" w:cs="Arial"/>
          <w:snapToGrid w:val="0"/>
          <w:lang w:val="en-GB"/>
        </w:rPr>
        <w:t xml:space="preserve">, or not expected to address a high and urgent unmet clinical need given the presence of an alternative therapy, the criteria prescribed by the </w:t>
      </w:r>
      <w:r w:rsidRPr="00EC7EFB">
        <w:rPr>
          <w:rFonts w:asciiTheme="minorHAnsi" w:hAnsiTheme="minorHAnsi" w:cs="Arial"/>
          <w:i/>
          <w:iCs/>
          <w:snapToGrid w:val="0"/>
          <w:lang w:val="en-GB"/>
        </w:rPr>
        <w:t>National Health (Pharmaceuticals and Vaccines – Cost Recovery) Regulations 2009</w:t>
      </w:r>
      <w:r w:rsidRPr="0076010C">
        <w:rPr>
          <w:rFonts w:asciiTheme="minorHAnsi" w:hAnsiTheme="minorHAnsi" w:cs="Arial"/>
          <w:snapToGrid w:val="0"/>
          <w:lang w:val="en-GB"/>
        </w:rPr>
        <w:t xml:space="preserve"> for Pricing Pathway A were not met.</w:t>
      </w:r>
    </w:p>
    <w:p w14:paraId="38951E17" w14:textId="77777777" w:rsidR="00FB2D58" w:rsidRPr="0058368C" w:rsidRDefault="00FB2D58" w:rsidP="00FB2D58">
      <w:pPr>
        <w:numPr>
          <w:ilvl w:val="1"/>
          <w:numId w:val="2"/>
        </w:numPr>
        <w:spacing w:after="120"/>
        <w:rPr>
          <w:rFonts w:asciiTheme="minorHAnsi" w:hAnsiTheme="minorHAnsi" w:cs="Arial"/>
          <w:bCs/>
          <w:snapToGrid w:val="0"/>
        </w:rPr>
      </w:pPr>
      <w:r w:rsidRPr="0058368C">
        <w:t>The PBAC noted that this submission is not eligible for an Independent Review as it received a positive recommendation.</w:t>
      </w:r>
    </w:p>
    <w:p w14:paraId="4BB01ECA" w14:textId="77777777" w:rsidR="00AA1909" w:rsidRPr="00525B39" w:rsidRDefault="00AA1909" w:rsidP="00AA1909">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E99FB55" w14:textId="77777777" w:rsidR="00AA1909" w:rsidRPr="00525B39" w:rsidRDefault="00AA1909" w:rsidP="00AA1909">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344BBE73" w14:textId="77777777" w:rsidR="00AA1909" w:rsidRPr="00525B39" w:rsidRDefault="00AA1909" w:rsidP="00AA1909">
      <w:pPr>
        <w:widowControl w:val="0"/>
        <w:rPr>
          <w:rFonts w:asciiTheme="minorHAnsi" w:hAnsiTheme="minorHAnsi" w:cs="Arial"/>
          <w:b/>
          <w:bCs/>
          <w:snapToGrid w:val="0"/>
        </w:rPr>
      </w:pPr>
    </w:p>
    <w:p w14:paraId="58D6220F" w14:textId="77777777" w:rsidR="00AA1909" w:rsidRPr="00F237A4" w:rsidRDefault="00AA1909" w:rsidP="006D6FC7">
      <w:pPr>
        <w:pStyle w:val="2-SectionHeading"/>
        <w:rPr>
          <w:b w:val="0"/>
          <w:iCs/>
          <w:lang w:val="en-GB"/>
        </w:rPr>
      </w:pPr>
      <w:r w:rsidRPr="00525B39">
        <w:rPr>
          <w:lang w:val="en-GB"/>
        </w:rPr>
        <w:t>Recommended listing</w:t>
      </w:r>
    </w:p>
    <w:p w14:paraId="29E582F3" w14:textId="77777777" w:rsidR="00AA1909" w:rsidRPr="00193220" w:rsidRDefault="00A046A4" w:rsidP="00193220">
      <w:pPr>
        <w:numPr>
          <w:ilvl w:val="1"/>
          <w:numId w:val="2"/>
        </w:numPr>
        <w:spacing w:after="120"/>
      </w:pPr>
      <w:r w:rsidRPr="00193220">
        <w:t>Add new</w:t>
      </w:r>
      <w:r w:rsidR="009E6EF0" w:rsidRPr="00193220">
        <w:t xml:space="preserve"> trade products (Truvelog and Truvelog Solostar)</w:t>
      </w:r>
      <w:r w:rsidRPr="00193220">
        <w:t xml:space="preserve"> </w:t>
      </w:r>
      <w:r w:rsidR="009E6EF0" w:rsidRPr="00193220">
        <w:t xml:space="preserve">to existing listings for NovoRapid Penfill and NovoRapid Flexpen </w:t>
      </w:r>
      <w:r w:rsidRPr="00193220">
        <w:t xml:space="preserve">as follows: </w:t>
      </w:r>
    </w:p>
    <w:p w14:paraId="64DD7486" w14:textId="77777777" w:rsidR="00193220" w:rsidRDefault="00193220" w:rsidP="009D6C4A">
      <w:pPr>
        <w:numPr>
          <w:ilvl w:val="1"/>
          <w:numId w:val="2"/>
        </w:numPr>
        <w:spacing w:after="120"/>
      </w:pPr>
      <w:r w:rsidRPr="00632EF3">
        <w:t>Add equivalence indicators to the trade products ‘</w:t>
      </w:r>
      <w:r>
        <w:t>Truvelog Solostar</w:t>
      </w:r>
      <w:r w:rsidRPr="00632EF3">
        <w:t>’ and ‘</w:t>
      </w:r>
      <w:r>
        <w:t>NovoRapid Flexpen</w:t>
      </w:r>
      <w:r w:rsidRPr="00632EF3">
        <w:t>’ as follows:</w:t>
      </w:r>
    </w:p>
    <w:p w14:paraId="1ECC2720" w14:textId="77777777" w:rsidR="009D6C4A" w:rsidRPr="00632EF3" w:rsidRDefault="009D6C4A" w:rsidP="009D6C4A">
      <w:pPr>
        <w:spacing w:after="120"/>
        <w:ind w:left="7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8"/>
        <w:gridCol w:w="2976"/>
        <w:gridCol w:w="993"/>
        <w:gridCol w:w="850"/>
        <w:gridCol w:w="709"/>
        <w:gridCol w:w="709"/>
        <w:gridCol w:w="1842"/>
      </w:tblGrid>
      <w:tr w:rsidR="009D6C4A" w:rsidRPr="009A610D" w14:paraId="3455FE5B" w14:textId="77777777" w:rsidTr="00CF4731">
        <w:trPr>
          <w:cantSplit/>
          <w:trHeight w:val="471"/>
        </w:trPr>
        <w:tc>
          <w:tcPr>
            <w:tcW w:w="3964" w:type="dxa"/>
            <w:gridSpan w:val="3"/>
          </w:tcPr>
          <w:p w14:paraId="1905C66D" w14:textId="77777777" w:rsidR="009D6C4A" w:rsidRDefault="009D6C4A" w:rsidP="00CF4731">
            <w:pPr>
              <w:keepNext/>
              <w:ind w:left="-57"/>
              <w:rPr>
                <w:rFonts w:ascii="Arial Narrow" w:hAnsi="Arial Narrow" w:cs="Arial"/>
                <w:b/>
                <w:bCs/>
                <w:sz w:val="18"/>
                <w:szCs w:val="18"/>
              </w:rPr>
            </w:pPr>
            <w:bookmarkStart w:id="7" w:name="_Hlk88050756"/>
            <w:bookmarkStart w:id="8" w:name="_Hlk76377978"/>
            <w:r>
              <w:rPr>
                <w:rFonts w:ascii="Arial Narrow" w:hAnsi="Arial Narrow" w:cs="Arial"/>
                <w:b/>
                <w:bCs/>
                <w:sz w:val="18"/>
                <w:szCs w:val="18"/>
              </w:rPr>
              <w:t>MEDICINAL PRODUCT</w:t>
            </w:r>
          </w:p>
          <w:p w14:paraId="0D9A083C" w14:textId="77777777" w:rsidR="009D6C4A" w:rsidRPr="009A610D" w:rsidRDefault="009D6C4A" w:rsidP="00CF4731">
            <w:pPr>
              <w:keepNext/>
              <w:ind w:left="-57"/>
              <w:rPr>
                <w:rFonts w:ascii="Arial Narrow" w:hAnsi="Arial Narrow" w:cs="Arial"/>
                <w:b/>
                <w:sz w:val="18"/>
                <w:szCs w:val="18"/>
              </w:rPr>
            </w:pPr>
            <w:r>
              <w:rPr>
                <w:rFonts w:ascii="Arial Narrow" w:hAnsi="Arial Narrow" w:cs="Arial"/>
                <w:b/>
                <w:bCs/>
                <w:sz w:val="18"/>
                <w:szCs w:val="18"/>
              </w:rPr>
              <w:t>medicinal product p</w:t>
            </w:r>
            <w:r w:rsidRPr="003A5B23">
              <w:rPr>
                <w:rFonts w:ascii="Arial Narrow" w:hAnsi="Arial Narrow" w:cs="Arial"/>
                <w:b/>
                <w:bCs/>
                <w:sz w:val="18"/>
                <w:szCs w:val="18"/>
              </w:rPr>
              <w:t>ack</w:t>
            </w:r>
          </w:p>
        </w:tc>
        <w:tc>
          <w:tcPr>
            <w:tcW w:w="993" w:type="dxa"/>
          </w:tcPr>
          <w:p w14:paraId="693AA7F5" w14:textId="77777777" w:rsidR="009D6C4A" w:rsidRPr="009A610D" w:rsidRDefault="009D6C4A" w:rsidP="00CF4731">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14:paraId="0A4A4AC2" w14:textId="77777777" w:rsidR="009D6C4A" w:rsidRPr="009A610D" w:rsidRDefault="009D6C4A" w:rsidP="00CF4731">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709" w:type="dxa"/>
          </w:tcPr>
          <w:p w14:paraId="5F22A567" w14:textId="77777777" w:rsidR="009D6C4A" w:rsidRPr="009A610D" w:rsidRDefault="009D6C4A" w:rsidP="00CF4731">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9" w:type="dxa"/>
          </w:tcPr>
          <w:p w14:paraId="4F3051B5" w14:textId="77777777" w:rsidR="009D6C4A" w:rsidRPr="009A610D" w:rsidRDefault="009D6C4A" w:rsidP="00CF4731">
            <w:pPr>
              <w:keepNext/>
              <w:ind w:left="-108"/>
              <w:jc w:val="center"/>
              <w:rPr>
                <w:rFonts w:ascii="Arial Narrow" w:hAnsi="Arial Narrow" w:cs="Arial"/>
                <w:b/>
                <w:sz w:val="18"/>
                <w:szCs w:val="18"/>
              </w:rPr>
            </w:pPr>
            <w:r w:rsidRPr="009A610D">
              <w:rPr>
                <w:rFonts w:ascii="Arial Narrow" w:hAnsi="Arial Narrow" w:cs="Arial"/>
                <w:b/>
                <w:sz w:val="18"/>
                <w:szCs w:val="18"/>
              </w:rPr>
              <w:t>№.of</w:t>
            </w:r>
          </w:p>
          <w:p w14:paraId="0BBB7F2C" w14:textId="77777777" w:rsidR="009D6C4A" w:rsidRPr="009A610D" w:rsidRDefault="009D6C4A" w:rsidP="00CF4731">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1842" w:type="dxa"/>
          </w:tcPr>
          <w:p w14:paraId="330A7C79" w14:textId="77777777" w:rsidR="009D6C4A" w:rsidRPr="009A610D" w:rsidRDefault="009D6C4A" w:rsidP="00CF4731">
            <w:pPr>
              <w:keepNext/>
              <w:rPr>
                <w:rFonts w:ascii="Arial Narrow" w:hAnsi="Arial Narrow" w:cs="Arial"/>
                <w:b/>
                <w:sz w:val="18"/>
                <w:szCs w:val="18"/>
                <w:lang w:val="fr-FR"/>
              </w:rPr>
            </w:pPr>
            <w:r>
              <w:rPr>
                <w:rFonts w:ascii="Arial Narrow" w:hAnsi="Arial Narrow" w:cs="Arial"/>
                <w:b/>
                <w:sz w:val="18"/>
                <w:szCs w:val="18"/>
              </w:rPr>
              <w:t>Available brands</w:t>
            </w:r>
          </w:p>
        </w:tc>
      </w:tr>
      <w:tr w:rsidR="009D6C4A" w:rsidRPr="001A5667" w14:paraId="77AE29D2" w14:textId="77777777" w:rsidTr="00CF4731">
        <w:trPr>
          <w:cantSplit/>
          <w:trHeight w:val="224"/>
        </w:trPr>
        <w:tc>
          <w:tcPr>
            <w:tcW w:w="9067" w:type="dxa"/>
            <w:gridSpan w:val="8"/>
          </w:tcPr>
          <w:p w14:paraId="620BBF13" w14:textId="77777777" w:rsidR="009D6C4A" w:rsidRPr="001A5667" w:rsidRDefault="009D6C4A" w:rsidP="00CF4731">
            <w:pPr>
              <w:keepNext/>
              <w:ind w:left="-57"/>
              <w:rPr>
                <w:rFonts w:ascii="Arial Narrow" w:hAnsi="Arial Narrow" w:cs="Arial"/>
                <w:sz w:val="18"/>
                <w:szCs w:val="18"/>
              </w:rPr>
            </w:pPr>
            <w:r>
              <w:rPr>
                <w:rFonts w:ascii="Arial Narrow" w:hAnsi="Arial Narrow" w:cs="Arial"/>
                <w:sz w:val="18"/>
                <w:szCs w:val="18"/>
              </w:rPr>
              <w:t>INSULIN ASPART</w:t>
            </w:r>
          </w:p>
        </w:tc>
      </w:tr>
      <w:tr w:rsidR="009D6C4A" w:rsidRPr="009A610D" w14:paraId="6C55B66E" w14:textId="77777777" w:rsidTr="00CF4731">
        <w:trPr>
          <w:cantSplit/>
          <w:trHeight w:val="553"/>
        </w:trPr>
        <w:tc>
          <w:tcPr>
            <w:tcW w:w="3964" w:type="dxa"/>
            <w:gridSpan w:val="3"/>
          </w:tcPr>
          <w:p w14:paraId="6F874909" w14:textId="77777777" w:rsidR="009D6C4A" w:rsidRPr="003803A0" w:rsidRDefault="009D6C4A" w:rsidP="00CF4731">
            <w:pPr>
              <w:keepNext/>
              <w:ind w:left="-57"/>
              <w:rPr>
                <w:rFonts w:ascii="Arial Narrow" w:hAnsi="Arial Narrow" w:cs="Arial"/>
                <w:sz w:val="18"/>
                <w:szCs w:val="18"/>
              </w:rPr>
            </w:pPr>
            <w:r w:rsidRPr="00092C77">
              <w:rPr>
                <w:rFonts w:ascii="Arial Narrow" w:hAnsi="Arial Narrow" w:cs="Arial"/>
                <w:sz w:val="18"/>
                <w:szCs w:val="18"/>
              </w:rPr>
              <w:t xml:space="preserve">insulin aspart 100 units/mL injection, 5 x 3 mL </w:t>
            </w:r>
            <w:r>
              <w:rPr>
                <w:rFonts w:ascii="Arial Narrow" w:hAnsi="Arial Narrow" w:cs="Arial"/>
                <w:sz w:val="18"/>
                <w:szCs w:val="18"/>
              </w:rPr>
              <w:t xml:space="preserve">cartridges </w:t>
            </w:r>
          </w:p>
        </w:tc>
        <w:tc>
          <w:tcPr>
            <w:tcW w:w="993" w:type="dxa"/>
          </w:tcPr>
          <w:p w14:paraId="3409BFE7" w14:textId="77777777" w:rsidR="009D6C4A" w:rsidRPr="009A610D" w:rsidRDefault="009D6C4A" w:rsidP="00CF4731">
            <w:pPr>
              <w:keepNext/>
              <w:jc w:val="center"/>
              <w:rPr>
                <w:rFonts w:ascii="Arial Narrow" w:hAnsi="Arial Narrow" w:cs="Arial"/>
                <w:sz w:val="18"/>
                <w:szCs w:val="18"/>
              </w:rPr>
            </w:pPr>
            <w:r>
              <w:rPr>
                <w:rFonts w:ascii="Arial Narrow" w:hAnsi="Arial Narrow" w:cs="Arial"/>
                <w:sz w:val="18"/>
                <w:szCs w:val="18"/>
              </w:rPr>
              <w:t>8435Y</w:t>
            </w:r>
          </w:p>
        </w:tc>
        <w:tc>
          <w:tcPr>
            <w:tcW w:w="850" w:type="dxa"/>
          </w:tcPr>
          <w:p w14:paraId="7513CE77" w14:textId="77777777" w:rsidR="009D6C4A" w:rsidRPr="009A610D" w:rsidRDefault="009D6C4A" w:rsidP="00CF4731">
            <w:pPr>
              <w:keepNext/>
              <w:jc w:val="center"/>
              <w:rPr>
                <w:rFonts w:ascii="Arial Narrow" w:hAnsi="Arial Narrow" w:cs="Arial"/>
                <w:sz w:val="18"/>
                <w:szCs w:val="18"/>
              </w:rPr>
            </w:pPr>
            <w:r>
              <w:rPr>
                <w:rFonts w:ascii="Arial Narrow" w:hAnsi="Arial Narrow" w:cs="Arial"/>
                <w:sz w:val="18"/>
                <w:szCs w:val="18"/>
              </w:rPr>
              <w:t>5</w:t>
            </w:r>
          </w:p>
        </w:tc>
        <w:tc>
          <w:tcPr>
            <w:tcW w:w="709" w:type="dxa"/>
          </w:tcPr>
          <w:p w14:paraId="13E4AB5C" w14:textId="77777777" w:rsidR="009D6C4A" w:rsidRPr="009A610D" w:rsidRDefault="009D6C4A" w:rsidP="00CF4731">
            <w:pPr>
              <w:keepNext/>
              <w:jc w:val="center"/>
              <w:rPr>
                <w:rFonts w:ascii="Arial Narrow" w:hAnsi="Arial Narrow" w:cs="Arial"/>
                <w:sz w:val="18"/>
                <w:szCs w:val="18"/>
              </w:rPr>
            </w:pPr>
            <w:r>
              <w:rPr>
                <w:rFonts w:ascii="Arial Narrow" w:hAnsi="Arial Narrow" w:cs="Arial"/>
                <w:sz w:val="18"/>
                <w:szCs w:val="18"/>
              </w:rPr>
              <w:t>5</w:t>
            </w:r>
          </w:p>
        </w:tc>
        <w:tc>
          <w:tcPr>
            <w:tcW w:w="709" w:type="dxa"/>
          </w:tcPr>
          <w:p w14:paraId="468EB346" w14:textId="77777777" w:rsidR="009D6C4A" w:rsidRPr="009A610D" w:rsidRDefault="009D6C4A" w:rsidP="00CF4731">
            <w:pPr>
              <w:keepNext/>
              <w:jc w:val="center"/>
              <w:rPr>
                <w:rFonts w:ascii="Arial Narrow" w:hAnsi="Arial Narrow" w:cs="Arial"/>
                <w:sz w:val="18"/>
                <w:szCs w:val="18"/>
              </w:rPr>
            </w:pPr>
            <w:r>
              <w:rPr>
                <w:rFonts w:ascii="Arial Narrow" w:hAnsi="Arial Narrow" w:cs="Arial"/>
                <w:sz w:val="18"/>
                <w:szCs w:val="18"/>
              </w:rPr>
              <w:t>1</w:t>
            </w:r>
          </w:p>
        </w:tc>
        <w:tc>
          <w:tcPr>
            <w:tcW w:w="1842" w:type="dxa"/>
          </w:tcPr>
          <w:p w14:paraId="6B806FE0" w14:textId="77777777" w:rsidR="009D6C4A" w:rsidRPr="00092C77" w:rsidRDefault="009D6C4A" w:rsidP="00CF4731">
            <w:pPr>
              <w:keepNext/>
              <w:rPr>
                <w:rFonts w:ascii="Arial Narrow" w:hAnsi="Arial Narrow" w:cs="Arial"/>
                <w:sz w:val="18"/>
                <w:szCs w:val="18"/>
                <w:vertAlign w:val="superscript"/>
              </w:rPr>
            </w:pPr>
            <w:r>
              <w:rPr>
                <w:rFonts w:ascii="Arial Narrow" w:hAnsi="Arial Narrow" w:cs="Arial"/>
                <w:sz w:val="18"/>
                <w:szCs w:val="18"/>
              </w:rPr>
              <w:t>Novorapid Penfill 3 mL</w:t>
            </w:r>
          </w:p>
          <w:p w14:paraId="3950D059" w14:textId="77777777" w:rsidR="009D6C4A" w:rsidRPr="00092C77" w:rsidRDefault="009D6C4A" w:rsidP="00CF4731">
            <w:pPr>
              <w:keepNext/>
              <w:rPr>
                <w:rFonts w:ascii="Arial Narrow" w:hAnsi="Arial Narrow" w:cs="Arial"/>
                <w:sz w:val="18"/>
                <w:szCs w:val="18"/>
                <w:vertAlign w:val="superscript"/>
              </w:rPr>
            </w:pPr>
            <w:r w:rsidRPr="00092C77">
              <w:rPr>
                <w:rFonts w:ascii="Arial Narrow" w:hAnsi="Arial Narrow" w:cs="Arial"/>
                <w:sz w:val="18"/>
                <w:szCs w:val="18"/>
              </w:rPr>
              <w:t>Truvelog</w:t>
            </w:r>
          </w:p>
        </w:tc>
      </w:tr>
      <w:tr w:rsidR="009D6C4A" w:rsidRPr="00320925" w14:paraId="711B25A2" w14:textId="77777777" w:rsidTr="00CF4731">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2F447A78" w14:textId="77777777" w:rsidR="009D6C4A" w:rsidRPr="00320925" w:rsidRDefault="009D6C4A" w:rsidP="00CF4731">
            <w:pPr>
              <w:rPr>
                <w:rFonts w:ascii="Arial Narrow" w:hAnsi="Arial Narrow" w:cs="Arial"/>
                <w:sz w:val="18"/>
                <w:szCs w:val="18"/>
              </w:rPr>
            </w:pPr>
          </w:p>
        </w:tc>
      </w:tr>
      <w:tr w:rsidR="009D6C4A" w:rsidRPr="0020649C" w14:paraId="707A88CC" w14:textId="77777777" w:rsidTr="00CF4731">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97FA21A" w14:textId="77777777" w:rsidR="009D6C4A" w:rsidRPr="0020649C" w:rsidRDefault="009D6C4A" w:rsidP="00CF4731">
            <w:pPr>
              <w:rPr>
                <w:rFonts w:ascii="Arial Narrow" w:hAnsi="Arial Narrow" w:cs="Arial"/>
                <w:b/>
                <w:sz w:val="18"/>
                <w:szCs w:val="18"/>
              </w:rPr>
            </w:pPr>
          </w:p>
        </w:tc>
      </w:tr>
      <w:tr w:rsidR="009D6C4A" w:rsidRPr="00120A12" w14:paraId="180B90E7" w14:textId="77777777" w:rsidTr="00CF4731">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27DEF3A5" w14:textId="77777777" w:rsidR="009D6C4A" w:rsidRPr="00507253" w:rsidRDefault="009D6C4A" w:rsidP="00CF4731">
            <w:pPr>
              <w:rPr>
                <w:rFonts w:ascii="Arial Narrow" w:hAnsi="Arial Narrow" w:cs="Arial"/>
                <w:b/>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2F35CC65" w14:textId="77777777" w:rsidR="009D6C4A" w:rsidRPr="00120A12" w:rsidRDefault="009D6C4A" w:rsidP="00CF4731">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GENERAL – General Schedule (Code GE)</w:t>
            </w:r>
            <w:r w:rsidRPr="00320925">
              <w:rPr>
                <w:rFonts w:ascii="Arial Narrow" w:hAnsi="Arial Narrow" w:cs="Arial"/>
                <w:color w:val="FF0000"/>
                <w:sz w:val="18"/>
                <w:szCs w:val="18"/>
              </w:rPr>
              <w:t xml:space="preserve"> </w:t>
            </w:r>
          </w:p>
          <w:p w14:paraId="3DEF1529" w14:textId="77777777" w:rsidR="009D6C4A" w:rsidRPr="00120A12" w:rsidRDefault="009D6C4A" w:rsidP="00CF4731">
            <w:pPr>
              <w:rPr>
                <w:rFonts w:ascii="Arial Narrow" w:hAnsi="Arial Narrow" w:cs="Arial"/>
                <w:sz w:val="18"/>
                <w:szCs w:val="18"/>
              </w:rPr>
            </w:pPr>
          </w:p>
        </w:tc>
      </w:tr>
      <w:tr w:rsidR="009D6C4A" w:rsidRPr="00772067" w14:paraId="4E203220" w14:textId="77777777" w:rsidTr="00CF4731">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0EC29A94" w14:textId="77777777" w:rsidR="009D6C4A" w:rsidRPr="0020649C" w:rsidRDefault="009D6C4A" w:rsidP="00CF4731">
            <w:pPr>
              <w:rPr>
                <w:rFonts w:ascii="Arial Narrow" w:hAnsi="Arial Narrow" w:cs="Arial"/>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5AB0DD21" w14:textId="77777777" w:rsidR="009D6C4A" w:rsidRPr="00772067" w:rsidRDefault="009D6C4A" w:rsidP="00CF4731">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8485F">
              <w:rPr>
                <w:rFonts w:ascii="Arial Narrow" w:hAnsi="Arial Narrow" w:cs="Arial"/>
                <w:sz w:val="18"/>
                <w:szCs w:val="18"/>
              </w:rPr>
            </w:r>
            <w:r w:rsidR="0088485F">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r>
              <w:rPr>
                <w:rFonts w:ascii="Arial Narrow" w:hAnsi="Arial Narrow" w:cs="Arial"/>
                <w:sz w:val="18"/>
                <w:szCs w:val="18"/>
              </w:rPr>
              <w:t xml:space="preserve">  </w:t>
            </w:r>
            <w:r w:rsidRPr="00120A12">
              <w:rPr>
                <w:rFonts w:ascii="Arial Narrow" w:hAnsi="Arial Narrow" w:cs="Arial"/>
                <w:sz w:val="18"/>
                <w:szCs w:val="18"/>
              </w:rPr>
              <w:t xml:space="preserve">  </w:t>
            </w:r>
            <w:r>
              <w:rPr>
                <w:rFonts w:ascii="Arial Narrow" w:hAnsi="Arial Narrow" w:cs="Arial"/>
                <w:sz w:val="18"/>
                <w:szCs w:val="18"/>
              </w:rPr>
              <w:fldChar w:fldCharType="begin">
                <w:ffData>
                  <w:name w:val="Check3"/>
                  <w:enabled/>
                  <w:calcOnExit w:val="0"/>
                  <w:checkBox>
                    <w:sizeAuto/>
                    <w:default w:val="1"/>
                  </w:checkBox>
                </w:ffData>
              </w:fldChar>
            </w:r>
            <w:r>
              <w:rPr>
                <w:rFonts w:ascii="Arial Narrow" w:hAnsi="Arial Narrow" w:cs="Arial"/>
                <w:sz w:val="18"/>
                <w:szCs w:val="18"/>
              </w:rPr>
              <w:instrText xml:space="preserve"> FORMCHECKBOX </w:instrText>
            </w:r>
            <w:r w:rsidR="0088485F">
              <w:rPr>
                <w:rFonts w:ascii="Arial Narrow" w:hAnsi="Arial Narrow" w:cs="Arial"/>
                <w:sz w:val="18"/>
                <w:szCs w:val="18"/>
              </w:rPr>
            </w:r>
            <w:r w:rsidR="0088485F">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 xml:space="preserve">Nurse </w:t>
            </w:r>
          </w:p>
        </w:tc>
      </w:tr>
      <w:tr w:rsidR="009D6C4A" w:rsidRPr="00677540" w14:paraId="115DC307" w14:textId="77777777" w:rsidTr="00CF4731">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442FC81F" w14:textId="77777777" w:rsidR="009D6C4A" w:rsidRPr="0020649C" w:rsidRDefault="009D6C4A" w:rsidP="00CF4731">
            <w:pPr>
              <w:rPr>
                <w:rFonts w:ascii="Arial Narrow" w:hAnsi="Arial Narrow" w:cs="Arial"/>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781D2693" w14:textId="77777777" w:rsidR="009D6C4A" w:rsidRPr="00677540" w:rsidRDefault="009D6C4A" w:rsidP="00CF4731">
            <w:pPr>
              <w:rPr>
                <w:rFonts w:ascii="Arial Narrow" w:eastAsia="Calibri" w:hAnsi="Arial Narrow" w:cs="Arial"/>
                <w:color w:val="FF00FF"/>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Check1"/>
                  <w:enabled/>
                  <w:calcOnExit w:val="0"/>
                  <w:checkBox>
                    <w:sizeAuto/>
                    <w:default w:val="1"/>
                  </w:checkBox>
                </w:ffData>
              </w:fldChar>
            </w:r>
            <w:r>
              <w:rPr>
                <w:rFonts w:ascii="Arial Narrow" w:eastAsia="Calibri" w:hAnsi="Arial Narrow" w:cs="Arial"/>
                <w:sz w:val="18"/>
                <w:szCs w:val="18"/>
              </w:rPr>
              <w:instrText xml:space="preserve"> FORMCHECKBOX </w:instrText>
            </w:r>
            <w:r w:rsidR="0088485F">
              <w:rPr>
                <w:rFonts w:ascii="Arial Narrow" w:eastAsia="Calibri" w:hAnsi="Arial Narrow" w:cs="Arial"/>
                <w:sz w:val="18"/>
                <w:szCs w:val="18"/>
              </w:rPr>
            </w:r>
            <w:r w:rsidR="0088485F">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F86065">
              <w:rPr>
                <w:rFonts w:ascii="Arial Narrow" w:eastAsia="Calibri" w:hAnsi="Arial Narrow" w:cs="Arial"/>
                <w:sz w:val="18"/>
                <w:szCs w:val="18"/>
              </w:rPr>
              <w:t>Unrestricted benefit</w:t>
            </w:r>
          </w:p>
        </w:tc>
      </w:tr>
      <w:tr w:rsidR="009D6C4A" w:rsidRPr="00120A12" w14:paraId="255DF0FC" w14:textId="77777777" w:rsidTr="00CF4731">
        <w:tblPrEx>
          <w:tblCellMar>
            <w:top w:w="15" w:type="dxa"/>
            <w:left w:w="15" w:type="dxa"/>
            <w:bottom w:w="15" w:type="dxa"/>
            <w:right w:w="15" w:type="dxa"/>
          </w:tblCellMar>
          <w:tblLook w:val="04A0" w:firstRow="1" w:lastRow="0" w:firstColumn="1" w:lastColumn="0" w:noHBand="0" w:noVBand="1"/>
        </w:tblPrEx>
        <w:tc>
          <w:tcPr>
            <w:tcW w:w="490" w:type="dxa"/>
            <w:tcBorders>
              <w:left w:val="single" w:sz="4" w:space="0" w:color="auto"/>
              <w:right w:val="single" w:sz="4" w:space="0" w:color="auto"/>
            </w:tcBorders>
            <w:textDirection w:val="btLr"/>
          </w:tcPr>
          <w:p w14:paraId="550F8D21" w14:textId="77777777" w:rsidR="009D6C4A" w:rsidRPr="00BC3AF4" w:rsidRDefault="009D6C4A" w:rsidP="00CF4731">
            <w:pPr>
              <w:ind w:left="113" w:right="113"/>
              <w:rPr>
                <w:rFonts w:ascii="Arial Narrow" w:hAnsi="Arial Narrow" w:cs="Arial"/>
                <w:sz w:val="18"/>
                <w:szCs w:val="18"/>
              </w:rPr>
            </w:pPr>
          </w:p>
        </w:tc>
        <w:tc>
          <w:tcPr>
            <w:tcW w:w="498" w:type="dxa"/>
            <w:vAlign w:val="center"/>
          </w:tcPr>
          <w:p w14:paraId="50A5FD8F" w14:textId="77777777" w:rsidR="009D6C4A" w:rsidRPr="00120A12" w:rsidRDefault="009D6C4A" w:rsidP="00CF4731">
            <w:pPr>
              <w:jc w:val="center"/>
              <w:rPr>
                <w:rFonts w:ascii="Arial Narrow" w:hAnsi="Arial Narrow"/>
                <w:color w:val="333333"/>
                <w:sz w:val="18"/>
                <w:szCs w:val="18"/>
              </w:rPr>
            </w:pPr>
          </w:p>
        </w:tc>
        <w:tc>
          <w:tcPr>
            <w:tcW w:w="8079" w:type="dxa"/>
            <w:gridSpan w:val="6"/>
            <w:vAlign w:val="center"/>
          </w:tcPr>
          <w:p w14:paraId="0AFD373C" w14:textId="77777777" w:rsidR="009D6C4A" w:rsidRPr="00120A12" w:rsidRDefault="009D6C4A" w:rsidP="00CF4731">
            <w:pPr>
              <w:rPr>
                <w:rFonts w:ascii="Arial Narrow" w:hAnsi="Arial Narrow"/>
                <w:color w:val="333333"/>
                <w:sz w:val="18"/>
                <w:szCs w:val="18"/>
              </w:rPr>
            </w:pPr>
            <w:r w:rsidRPr="00120A12">
              <w:rPr>
                <w:rFonts w:ascii="Arial Narrow" w:hAnsi="Arial Narrow"/>
                <w:b/>
                <w:bCs/>
                <w:color w:val="333333"/>
                <w:sz w:val="18"/>
                <w:szCs w:val="18"/>
              </w:rPr>
              <w:t>Administrative Advice:</w:t>
            </w:r>
          </w:p>
          <w:p w14:paraId="2F3CBBEF" w14:textId="77777777" w:rsidR="009D6C4A" w:rsidRPr="00BA36FD" w:rsidRDefault="009D6C4A" w:rsidP="00CF4731">
            <w:pPr>
              <w:pStyle w:val="NormalWeb"/>
              <w:spacing w:before="0" w:beforeAutospacing="0" w:after="0" w:afterAutospacing="0"/>
              <w:textAlignment w:val="baseline"/>
              <w:rPr>
                <w:rFonts w:ascii="Arial Narrow" w:hAnsi="Arial Narrow" w:cs="Arial"/>
                <w:color w:val="333333"/>
                <w:sz w:val="18"/>
                <w:szCs w:val="18"/>
              </w:rPr>
            </w:pPr>
            <w:r>
              <w:rPr>
                <w:rFonts w:ascii="Arial" w:hAnsi="Arial" w:cs="Arial"/>
                <w:b/>
                <w:bCs/>
                <w:color w:val="333333"/>
                <w:sz w:val="22"/>
                <w:szCs w:val="22"/>
                <w:bdr w:val="none" w:sz="0" w:space="0" w:color="auto" w:frame="1"/>
              </w:rPr>
              <w:br/>
            </w:r>
            <w:r w:rsidRPr="00BA36FD">
              <w:rPr>
                <w:rFonts w:ascii="Arial Narrow" w:hAnsi="Arial Narrow" w:cs="Arial"/>
                <w:b/>
                <w:bCs/>
                <w:color w:val="333333"/>
                <w:sz w:val="18"/>
                <w:szCs w:val="18"/>
                <w:bdr w:val="none" w:sz="0" w:space="0" w:color="auto" w:frame="1"/>
              </w:rPr>
              <w:t>Biosimilar prescribing policy</w:t>
            </w:r>
            <w:r w:rsidRPr="00BA36FD">
              <w:rPr>
                <w:rFonts w:ascii="Arial Narrow" w:hAnsi="Arial Narrow" w:cs="Arial"/>
                <w:b/>
                <w:bCs/>
                <w:color w:val="333333"/>
                <w:sz w:val="18"/>
                <w:szCs w:val="18"/>
                <w:bdr w:val="none" w:sz="0" w:space="0" w:color="auto" w:frame="1"/>
              </w:rPr>
              <w:br/>
            </w:r>
            <w:r w:rsidRPr="00BA36FD">
              <w:rPr>
                <w:rFonts w:ascii="Arial Narrow" w:hAnsi="Arial Narrow" w:cs="Arial"/>
                <w:color w:val="333333"/>
                <w:sz w:val="18"/>
                <w:szCs w:val="18"/>
              </w:rPr>
              <w:br/>
              <w:t xml:space="preserve">Prescribing of the biosimilar brand, </w:t>
            </w:r>
            <w:r>
              <w:rPr>
                <w:rFonts w:ascii="Arial Narrow" w:hAnsi="Arial Narrow" w:cs="Arial"/>
                <w:color w:val="333333"/>
                <w:sz w:val="18"/>
                <w:szCs w:val="18"/>
              </w:rPr>
              <w:t>Truvelog</w:t>
            </w:r>
            <w:r w:rsidRPr="00BA36FD">
              <w:rPr>
                <w:rFonts w:ascii="Arial Narrow" w:hAnsi="Arial Narrow" w:cs="Arial"/>
                <w:color w:val="333333"/>
                <w:sz w:val="18"/>
                <w:szCs w:val="18"/>
              </w:rPr>
              <w:t>, is encouraged for treatment naive patients.</w:t>
            </w:r>
          </w:p>
          <w:p w14:paraId="48029012" w14:textId="77777777" w:rsidR="009D6C4A" w:rsidRPr="00120A12" w:rsidRDefault="009D6C4A" w:rsidP="00CF4731">
            <w:pPr>
              <w:rPr>
                <w:rFonts w:ascii="Arial Narrow" w:hAnsi="Arial Narrow"/>
                <w:color w:val="333333"/>
                <w:sz w:val="18"/>
                <w:szCs w:val="18"/>
              </w:rPr>
            </w:pPr>
            <w:r w:rsidRPr="00BA36FD">
              <w:rPr>
                <w:rFonts w:ascii="Arial Narrow" w:hAnsi="Arial Narrow" w:cs="Arial"/>
                <w:color w:val="333333"/>
                <w:sz w:val="18"/>
                <w:szCs w:val="18"/>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bookmarkEnd w:id="7"/>
    </w:tbl>
    <w:p w14:paraId="1FF2C359" w14:textId="77777777" w:rsidR="009D6C4A" w:rsidRPr="00A046A4" w:rsidRDefault="009D6C4A" w:rsidP="00A046A4">
      <w:pPr>
        <w:rPr>
          <w:rFonts w:cs="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8"/>
        <w:gridCol w:w="2976"/>
        <w:gridCol w:w="993"/>
        <w:gridCol w:w="850"/>
        <w:gridCol w:w="709"/>
        <w:gridCol w:w="709"/>
        <w:gridCol w:w="1842"/>
      </w:tblGrid>
      <w:tr w:rsidR="00AC50C6" w:rsidRPr="009A610D" w14:paraId="15135E50" w14:textId="77777777" w:rsidTr="00DC6123">
        <w:trPr>
          <w:cantSplit/>
          <w:trHeight w:val="471"/>
        </w:trPr>
        <w:tc>
          <w:tcPr>
            <w:tcW w:w="3964" w:type="dxa"/>
            <w:gridSpan w:val="3"/>
          </w:tcPr>
          <w:p w14:paraId="3F3CF1F7" w14:textId="77777777" w:rsidR="00AC50C6" w:rsidRDefault="00AC50C6" w:rsidP="00DC6123">
            <w:pPr>
              <w:keepNext/>
              <w:ind w:left="-57"/>
              <w:rPr>
                <w:rFonts w:ascii="Arial Narrow" w:hAnsi="Arial Narrow" w:cs="Arial"/>
                <w:b/>
                <w:bCs/>
                <w:sz w:val="18"/>
                <w:szCs w:val="18"/>
              </w:rPr>
            </w:pPr>
            <w:bookmarkStart w:id="9" w:name="_Hlk88050776"/>
            <w:r>
              <w:rPr>
                <w:rFonts w:ascii="Arial Narrow" w:hAnsi="Arial Narrow" w:cs="Arial"/>
                <w:b/>
                <w:bCs/>
                <w:sz w:val="18"/>
                <w:szCs w:val="18"/>
              </w:rPr>
              <w:t>MEDICINAL PRODUCT</w:t>
            </w:r>
          </w:p>
          <w:p w14:paraId="201B7942" w14:textId="77777777" w:rsidR="00AC50C6" w:rsidRPr="009A610D" w:rsidRDefault="00AC50C6" w:rsidP="00DC6123">
            <w:pPr>
              <w:keepNext/>
              <w:ind w:left="-57"/>
              <w:rPr>
                <w:rFonts w:ascii="Arial Narrow" w:hAnsi="Arial Narrow" w:cs="Arial"/>
                <w:b/>
                <w:sz w:val="18"/>
                <w:szCs w:val="18"/>
              </w:rPr>
            </w:pPr>
            <w:r>
              <w:rPr>
                <w:rFonts w:ascii="Arial Narrow" w:hAnsi="Arial Narrow" w:cs="Arial"/>
                <w:b/>
                <w:bCs/>
                <w:sz w:val="18"/>
                <w:szCs w:val="18"/>
              </w:rPr>
              <w:t>medicinal product p</w:t>
            </w:r>
            <w:r w:rsidRPr="003A5B23">
              <w:rPr>
                <w:rFonts w:ascii="Arial Narrow" w:hAnsi="Arial Narrow" w:cs="Arial"/>
                <w:b/>
                <w:bCs/>
                <w:sz w:val="18"/>
                <w:szCs w:val="18"/>
              </w:rPr>
              <w:t>ack</w:t>
            </w:r>
          </w:p>
        </w:tc>
        <w:tc>
          <w:tcPr>
            <w:tcW w:w="993" w:type="dxa"/>
          </w:tcPr>
          <w:p w14:paraId="59079B5D" w14:textId="77777777" w:rsidR="00AC50C6" w:rsidRPr="009A610D" w:rsidRDefault="00AC50C6" w:rsidP="00DC6123">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14:paraId="13E01614" w14:textId="77777777" w:rsidR="00AC50C6" w:rsidRPr="009A610D" w:rsidRDefault="00AC50C6" w:rsidP="00DC6123">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709" w:type="dxa"/>
          </w:tcPr>
          <w:p w14:paraId="16BBC832" w14:textId="77777777" w:rsidR="00AC50C6" w:rsidRPr="009A610D" w:rsidRDefault="00AC50C6" w:rsidP="00DC6123">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9" w:type="dxa"/>
          </w:tcPr>
          <w:p w14:paraId="3CFBF237" w14:textId="77777777" w:rsidR="00AC50C6" w:rsidRPr="009A610D" w:rsidRDefault="00AC50C6" w:rsidP="00DC6123">
            <w:pPr>
              <w:keepNext/>
              <w:ind w:left="-108"/>
              <w:jc w:val="center"/>
              <w:rPr>
                <w:rFonts w:ascii="Arial Narrow" w:hAnsi="Arial Narrow" w:cs="Arial"/>
                <w:b/>
                <w:sz w:val="18"/>
                <w:szCs w:val="18"/>
              </w:rPr>
            </w:pPr>
            <w:r w:rsidRPr="009A610D">
              <w:rPr>
                <w:rFonts w:ascii="Arial Narrow" w:hAnsi="Arial Narrow" w:cs="Arial"/>
                <w:b/>
                <w:sz w:val="18"/>
                <w:szCs w:val="18"/>
              </w:rPr>
              <w:t>№.of</w:t>
            </w:r>
          </w:p>
          <w:p w14:paraId="28880FD5" w14:textId="77777777" w:rsidR="00AC50C6" w:rsidRPr="009A610D" w:rsidRDefault="00AC50C6" w:rsidP="00DC6123">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1842" w:type="dxa"/>
          </w:tcPr>
          <w:p w14:paraId="06D42EC8" w14:textId="77777777" w:rsidR="00AC50C6" w:rsidRPr="009A610D" w:rsidRDefault="00AC50C6" w:rsidP="00DC6123">
            <w:pPr>
              <w:keepNext/>
              <w:rPr>
                <w:rFonts w:ascii="Arial Narrow" w:hAnsi="Arial Narrow" w:cs="Arial"/>
                <w:b/>
                <w:sz w:val="18"/>
                <w:szCs w:val="18"/>
                <w:lang w:val="fr-FR"/>
              </w:rPr>
            </w:pPr>
            <w:r>
              <w:rPr>
                <w:rFonts w:ascii="Arial Narrow" w:hAnsi="Arial Narrow" w:cs="Arial"/>
                <w:b/>
                <w:sz w:val="18"/>
                <w:szCs w:val="18"/>
              </w:rPr>
              <w:t>Available brands</w:t>
            </w:r>
          </w:p>
        </w:tc>
      </w:tr>
      <w:tr w:rsidR="00AC50C6" w:rsidRPr="001A5667" w14:paraId="1AD69B26" w14:textId="77777777" w:rsidTr="00DC6123">
        <w:trPr>
          <w:cantSplit/>
          <w:trHeight w:val="224"/>
        </w:trPr>
        <w:tc>
          <w:tcPr>
            <w:tcW w:w="9067" w:type="dxa"/>
            <w:gridSpan w:val="8"/>
          </w:tcPr>
          <w:p w14:paraId="2315EA9F" w14:textId="77777777" w:rsidR="00AC50C6" w:rsidRPr="001A5667" w:rsidRDefault="00AC50C6" w:rsidP="00DC6123">
            <w:pPr>
              <w:keepNext/>
              <w:ind w:left="-57"/>
              <w:rPr>
                <w:rFonts w:ascii="Arial Narrow" w:hAnsi="Arial Narrow" w:cs="Arial"/>
                <w:sz w:val="18"/>
                <w:szCs w:val="18"/>
              </w:rPr>
            </w:pPr>
            <w:r>
              <w:rPr>
                <w:rFonts w:ascii="Arial Narrow" w:hAnsi="Arial Narrow" w:cs="Arial"/>
                <w:sz w:val="18"/>
                <w:szCs w:val="18"/>
              </w:rPr>
              <w:t>INSULIN ASPART</w:t>
            </w:r>
          </w:p>
        </w:tc>
      </w:tr>
      <w:tr w:rsidR="00AC50C6" w:rsidRPr="009A610D" w14:paraId="2AB2158C" w14:textId="77777777" w:rsidTr="00DC6123">
        <w:trPr>
          <w:cantSplit/>
          <w:trHeight w:val="553"/>
        </w:trPr>
        <w:tc>
          <w:tcPr>
            <w:tcW w:w="3964" w:type="dxa"/>
            <w:gridSpan w:val="3"/>
          </w:tcPr>
          <w:p w14:paraId="360ABBED" w14:textId="77777777" w:rsidR="00AC50C6" w:rsidRPr="003803A0" w:rsidRDefault="00AC50C6" w:rsidP="00DC6123">
            <w:pPr>
              <w:keepNext/>
              <w:ind w:left="-57"/>
              <w:rPr>
                <w:rFonts w:ascii="Arial Narrow" w:hAnsi="Arial Narrow" w:cs="Arial"/>
                <w:sz w:val="18"/>
                <w:szCs w:val="18"/>
              </w:rPr>
            </w:pPr>
            <w:r w:rsidRPr="00092C77">
              <w:rPr>
                <w:rFonts w:ascii="Arial Narrow" w:hAnsi="Arial Narrow" w:cs="Arial"/>
                <w:sz w:val="18"/>
                <w:szCs w:val="18"/>
              </w:rPr>
              <w:t>insulin aspart 100 units/mL injection, 5 x 3 mL pen device</w:t>
            </w:r>
            <w:r>
              <w:rPr>
                <w:rFonts w:ascii="Arial Narrow" w:hAnsi="Arial Narrow" w:cs="Arial"/>
                <w:sz w:val="18"/>
                <w:szCs w:val="18"/>
              </w:rPr>
              <w:t xml:space="preserve"> </w:t>
            </w:r>
          </w:p>
        </w:tc>
        <w:tc>
          <w:tcPr>
            <w:tcW w:w="993" w:type="dxa"/>
          </w:tcPr>
          <w:p w14:paraId="54D832A3" w14:textId="77777777" w:rsidR="00AC50C6" w:rsidRPr="009A610D" w:rsidRDefault="00AC50C6" w:rsidP="00DC6123">
            <w:pPr>
              <w:keepNext/>
              <w:jc w:val="center"/>
              <w:rPr>
                <w:rFonts w:ascii="Arial Narrow" w:hAnsi="Arial Narrow" w:cs="Arial"/>
                <w:sz w:val="18"/>
                <w:szCs w:val="18"/>
              </w:rPr>
            </w:pPr>
            <w:r>
              <w:rPr>
                <w:rFonts w:ascii="Arial Narrow" w:hAnsi="Arial Narrow" w:cs="Arial"/>
                <w:sz w:val="18"/>
                <w:szCs w:val="18"/>
              </w:rPr>
              <w:t>12254Y</w:t>
            </w:r>
          </w:p>
        </w:tc>
        <w:tc>
          <w:tcPr>
            <w:tcW w:w="850" w:type="dxa"/>
          </w:tcPr>
          <w:p w14:paraId="051B7242" w14:textId="77777777" w:rsidR="00AC50C6" w:rsidRPr="009A610D" w:rsidRDefault="00AC50C6" w:rsidP="00DC6123">
            <w:pPr>
              <w:keepNext/>
              <w:jc w:val="center"/>
              <w:rPr>
                <w:rFonts w:ascii="Arial Narrow" w:hAnsi="Arial Narrow" w:cs="Arial"/>
                <w:sz w:val="18"/>
                <w:szCs w:val="18"/>
              </w:rPr>
            </w:pPr>
            <w:r>
              <w:rPr>
                <w:rFonts w:ascii="Arial Narrow" w:hAnsi="Arial Narrow" w:cs="Arial"/>
                <w:sz w:val="18"/>
                <w:szCs w:val="18"/>
              </w:rPr>
              <w:t>5</w:t>
            </w:r>
          </w:p>
        </w:tc>
        <w:tc>
          <w:tcPr>
            <w:tcW w:w="709" w:type="dxa"/>
          </w:tcPr>
          <w:p w14:paraId="08FAF5B1" w14:textId="77777777" w:rsidR="00AC50C6" w:rsidRPr="009A610D" w:rsidRDefault="00AC50C6" w:rsidP="00DC6123">
            <w:pPr>
              <w:keepNext/>
              <w:jc w:val="center"/>
              <w:rPr>
                <w:rFonts w:ascii="Arial Narrow" w:hAnsi="Arial Narrow" w:cs="Arial"/>
                <w:sz w:val="18"/>
                <w:szCs w:val="18"/>
              </w:rPr>
            </w:pPr>
            <w:r>
              <w:rPr>
                <w:rFonts w:ascii="Arial Narrow" w:hAnsi="Arial Narrow" w:cs="Arial"/>
                <w:sz w:val="18"/>
                <w:szCs w:val="18"/>
              </w:rPr>
              <w:t>5</w:t>
            </w:r>
          </w:p>
        </w:tc>
        <w:tc>
          <w:tcPr>
            <w:tcW w:w="709" w:type="dxa"/>
          </w:tcPr>
          <w:p w14:paraId="1EB0451E" w14:textId="77777777" w:rsidR="00AC50C6" w:rsidRPr="009A610D" w:rsidRDefault="00AC50C6" w:rsidP="00DC6123">
            <w:pPr>
              <w:keepNext/>
              <w:jc w:val="center"/>
              <w:rPr>
                <w:rFonts w:ascii="Arial Narrow" w:hAnsi="Arial Narrow" w:cs="Arial"/>
                <w:sz w:val="18"/>
                <w:szCs w:val="18"/>
              </w:rPr>
            </w:pPr>
            <w:r>
              <w:rPr>
                <w:rFonts w:ascii="Arial Narrow" w:hAnsi="Arial Narrow" w:cs="Arial"/>
                <w:sz w:val="18"/>
                <w:szCs w:val="18"/>
              </w:rPr>
              <w:t>1</w:t>
            </w:r>
          </w:p>
        </w:tc>
        <w:tc>
          <w:tcPr>
            <w:tcW w:w="1842" w:type="dxa"/>
          </w:tcPr>
          <w:p w14:paraId="6B58641E" w14:textId="77777777" w:rsidR="00AC50C6" w:rsidRPr="00092C77" w:rsidRDefault="00AC50C6" w:rsidP="00DC6123">
            <w:pPr>
              <w:keepNext/>
              <w:rPr>
                <w:rFonts w:ascii="Arial Narrow" w:hAnsi="Arial Narrow" w:cs="Arial"/>
                <w:sz w:val="18"/>
                <w:szCs w:val="18"/>
                <w:vertAlign w:val="superscript"/>
              </w:rPr>
            </w:pPr>
            <w:r>
              <w:rPr>
                <w:rFonts w:ascii="Arial Narrow" w:hAnsi="Arial Narrow" w:cs="Arial"/>
                <w:sz w:val="18"/>
                <w:szCs w:val="18"/>
              </w:rPr>
              <w:t>Novo</w:t>
            </w:r>
            <w:r w:rsidR="00193220">
              <w:rPr>
                <w:rFonts w:ascii="Arial Narrow" w:hAnsi="Arial Narrow" w:cs="Arial"/>
                <w:sz w:val="18"/>
                <w:szCs w:val="18"/>
              </w:rPr>
              <w:t>R</w:t>
            </w:r>
            <w:r>
              <w:rPr>
                <w:rFonts w:ascii="Arial Narrow" w:hAnsi="Arial Narrow" w:cs="Arial"/>
                <w:sz w:val="18"/>
                <w:szCs w:val="18"/>
              </w:rPr>
              <w:t>apid Flexpen</w:t>
            </w:r>
            <w:r>
              <w:rPr>
                <w:rFonts w:ascii="Arial Narrow" w:hAnsi="Arial Narrow" w:cs="Arial"/>
                <w:sz w:val="18"/>
                <w:szCs w:val="18"/>
                <w:vertAlign w:val="superscript"/>
              </w:rPr>
              <w:t>a</w:t>
            </w:r>
          </w:p>
          <w:p w14:paraId="3905B308" w14:textId="77777777" w:rsidR="00AC50C6" w:rsidRPr="00092C77" w:rsidRDefault="00AC50C6" w:rsidP="00DC6123">
            <w:pPr>
              <w:keepNext/>
              <w:rPr>
                <w:rFonts w:ascii="Arial Narrow" w:hAnsi="Arial Narrow" w:cs="Arial"/>
                <w:sz w:val="18"/>
                <w:szCs w:val="18"/>
                <w:vertAlign w:val="superscript"/>
              </w:rPr>
            </w:pPr>
            <w:r w:rsidRPr="00092C77">
              <w:rPr>
                <w:rFonts w:ascii="Arial Narrow" w:hAnsi="Arial Narrow" w:cs="Arial"/>
                <w:sz w:val="18"/>
                <w:szCs w:val="18"/>
              </w:rPr>
              <w:t>Truvelog Solostar</w:t>
            </w:r>
            <w:r>
              <w:rPr>
                <w:rFonts w:ascii="Arial Narrow" w:hAnsi="Arial Narrow" w:cs="Arial"/>
                <w:sz w:val="18"/>
                <w:szCs w:val="18"/>
                <w:vertAlign w:val="superscript"/>
              </w:rPr>
              <w:t>a</w:t>
            </w:r>
          </w:p>
        </w:tc>
      </w:tr>
      <w:tr w:rsidR="00AC50C6" w:rsidRPr="00320925" w14:paraId="2154FE37" w14:textId="77777777" w:rsidTr="00DC6123">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CF154F5" w14:textId="77777777" w:rsidR="00AC50C6" w:rsidRPr="00320925" w:rsidRDefault="00AC50C6" w:rsidP="00DC6123">
            <w:pPr>
              <w:rPr>
                <w:rFonts w:ascii="Arial Narrow" w:hAnsi="Arial Narrow" w:cs="Arial"/>
                <w:sz w:val="18"/>
                <w:szCs w:val="18"/>
              </w:rPr>
            </w:pPr>
          </w:p>
        </w:tc>
      </w:tr>
      <w:tr w:rsidR="00AC50C6" w:rsidRPr="0020649C" w14:paraId="001C777E" w14:textId="77777777" w:rsidTr="00DC6123">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4A95B32" w14:textId="77777777" w:rsidR="00AC50C6" w:rsidRPr="0020649C" w:rsidRDefault="00AC50C6" w:rsidP="00DC6123">
            <w:pPr>
              <w:rPr>
                <w:rFonts w:ascii="Arial Narrow" w:hAnsi="Arial Narrow" w:cs="Arial"/>
                <w:b/>
                <w:sz w:val="18"/>
                <w:szCs w:val="18"/>
              </w:rPr>
            </w:pPr>
          </w:p>
        </w:tc>
      </w:tr>
      <w:tr w:rsidR="00AC50C6" w:rsidRPr="00120A12" w14:paraId="51F6C9DD" w14:textId="77777777" w:rsidTr="00DC6123">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5F20C695" w14:textId="77777777" w:rsidR="00AC50C6" w:rsidRPr="00507253" w:rsidRDefault="00AC50C6" w:rsidP="00DC6123">
            <w:pPr>
              <w:rPr>
                <w:rFonts w:ascii="Arial Narrow" w:hAnsi="Arial Narrow" w:cs="Arial"/>
                <w:b/>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076F299C" w14:textId="77777777" w:rsidR="00AC50C6" w:rsidRPr="00120A12" w:rsidRDefault="00AC50C6" w:rsidP="00DC6123">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GENERAL – General Schedule (Code GE)</w:t>
            </w:r>
            <w:r w:rsidRPr="00320925">
              <w:rPr>
                <w:rFonts w:ascii="Arial Narrow" w:hAnsi="Arial Narrow" w:cs="Arial"/>
                <w:color w:val="FF0000"/>
                <w:sz w:val="18"/>
                <w:szCs w:val="18"/>
              </w:rPr>
              <w:t xml:space="preserve"> </w:t>
            </w:r>
          </w:p>
          <w:p w14:paraId="4E9C019D" w14:textId="77777777" w:rsidR="00AC50C6" w:rsidRPr="00120A12" w:rsidRDefault="00AC50C6" w:rsidP="00DC6123">
            <w:pPr>
              <w:rPr>
                <w:rFonts w:ascii="Arial Narrow" w:hAnsi="Arial Narrow" w:cs="Arial"/>
                <w:sz w:val="18"/>
                <w:szCs w:val="18"/>
              </w:rPr>
            </w:pPr>
          </w:p>
        </w:tc>
      </w:tr>
      <w:tr w:rsidR="00AC50C6" w:rsidRPr="00772067" w14:paraId="43A8116B" w14:textId="77777777" w:rsidTr="00DC6123">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03AAF75C" w14:textId="77777777" w:rsidR="00AC50C6" w:rsidRPr="0020649C" w:rsidRDefault="00AC50C6" w:rsidP="00DC6123">
            <w:pPr>
              <w:rPr>
                <w:rFonts w:ascii="Arial Narrow" w:hAnsi="Arial Narrow" w:cs="Arial"/>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50E03041" w14:textId="77777777" w:rsidR="00AC50C6" w:rsidRPr="00772067" w:rsidRDefault="00AC50C6" w:rsidP="00DC6123">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8485F">
              <w:rPr>
                <w:rFonts w:ascii="Arial Narrow" w:hAnsi="Arial Narrow" w:cs="Arial"/>
                <w:sz w:val="18"/>
                <w:szCs w:val="18"/>
              </w:rPr>
            </w:r>
            <w:r w:rsidR="0088485F">
              <w:rPr>
                <w:rFonts w:ascii="Arial Narrow" w:hAnsi="Arial Narrow" w:cs="Arial"/>
                <w:sz w:val="18"/>
                <w:szCs w:val="18"/>
              </w:rPr>
              <w:fldChar w:fldCharType="separate"/>
            </w:r>
            <w:r>
              <w:rPr>
                <w:rFonts w:ascii="Arial Narrow" w:hAnsi="Arial Narrow" w:cs="Arial"/>
                <w:sz w:val="18"/>
                <w:szCs w:val="18"/>
              </w:rPr>
              <w:fldChar w:fldCharType="end"/>
            </w:r>
            <w:r w:rsidRPr="00120A12">
              <w:rPr>
                <w:rFonts w:ascii="Arial Narrow" w:hAnsi="Arial Narrow" w:cs="Arial"/>
                <w:sz w:val="18"/>
                <w:szCs w:val="18"/>
              </w:rPr>
              <w:t>Medical Practitioners</w:t>
            </w:r>
            <w:r>
              <w:rPr>
                <w:rFonts w:ascii="Arial Narrow" w:hAnsi="Arial Narrow" w:cs="Arial"/>
                <w:sz w:val="18"/>
                <w:szCs w:val="18"/>
              </w:rPr>
              <w:t xml:space="preserve">  </w:t>
            </w:r>
            <w:r w:rsidRPr="00120A12">
              <w:rPr>
                <w:rFonts w:ascii="Arial Narrow" w:hAnsi="Arial Narrow" w:cs="Arial"/>
                <w:sz w:val="18"/>
                <w:szCs w:val="18"/>
              </w:rPr>
              <w:t xml:space="preserve">  </w:t>
            </w:r>
            <w:r>
              <w:rPr>
                <w:rFonts w:ascii="Arial Narrow" w:hAnsi="Arial Narrow" w:cs="Arial"/>
                <w:sz w:val="18"/>
                <w:szCs w:val="18"/>
              </w:rPr>
              <w:fldChar w:fldCharType="begin">
                <w:ffData>
                  <w:name w:val="Check3"/>
                  <w:enabled/>
                  <w:calcOnExit w:val="0"/>
                  <w:checkBox>
                    <w:sizeAuto/>
                    <w:default w:val="1"/>
                  </w:checkBox>
                </w:ffData>
              </w:fldChar>
            </w:r>
            <w:bookmarkStart w:id="10" w:name="Check3"/>
            <w:r>
              <w:rPr>
                <w:rFonts w:ascii="Arial Narrow" w:hAnsi="Arial Narrow" w:cs="Arial"/>
                <w:sz w:val="18"/>
                <w:szCs w:val="18"/>
              </w:rPr>
              <w:instrText xml:space="preserve"> FORMCHECKBOX </w:instrText>
            </w:r>
            <w:r w:rsidR="0088485F">
              <w:rPr>
                <w:rFonts w:ascii="Arial Narrow" w:hAnsi="Arial Narrow" w:cs="Arial"/>
                <w:sz w:val="18"/>
                <w:szCs w:val="18"/>
              </w:rPr>
            </w:r>
            <w:r w:rsidR="0088485F">
              <w:rPr>
                <w:rFonts w:ascii="Arial Narrow" w:hAnsi="Arial Narrow" w:cs="Arial"/>
                <w:sz w:val="18"/>
                <w:szCs w:val="18"/>
              </w:rPr>
              <w:fldChar w:fldCharType="separate"/>
            </w:r>
            <w:r>
              <w:rPr>
                <w:rFonts w:ascii="Arial Narrow" w:hAnsi="Arial Narrow" w:cs="Arial"/>
                <w:sz w:val="18"/>
                <w:szCs w:val="18"/>
              </w:rPr>
              <w:fldChar w:fldCharType="end"/>
            </w:r>
            <w:bookmarkEnd w:id="10"/>
            <w:r w:rsidRPr="00120A12">
              <w:rPr>
                <w:rFonts w:ascii="Arial Narrow" w:hAnsi="Arial Narrow" w:cs="Arial"/>
                <w:sz w:val="18"/>
                <w:szCs w:val="18"/>
              </w:rPr>
              <w:t xml:space="preserve">Nurse </w:t>
            </w:r>
          </w:p>
        </w:tc>
      </w:tr>
      <w:tr w:rsidR="00AC50C6" w:rsidRPr="00677540" w14:paraId="3989ABD6" w14:textId="77777777" w:rsidTr="00DC6123">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21B10D9D" w14:textId="77777777" w:rsidR="00AC50C6" w:rsidRPr="0020649C" w:rsidRDefault="00AC50C6" w:rsidP="00DC6123">
            <w:pPr>
              <w:rPr>
                <w:rFonts w:ascii="Arial Narrow" w:hAnsi="Arial Narrow" w:cs="Arial"/>
                <w:sz w:val="18"/>
                <w:szCs w:val="18"/>
              </w:rPr>
            </w:pPr>
          </w:p>
        </w:tc>
        <w:tc>
          <w:tcPr>
            <w:tcW w:w="8079" w:type="dxa"/>
            <w:gridSpan w:val="6"/>
            <w:tcBorders>
              <w:top w:val="single" w:sz="4" w:space="0" w:color="auto"/>
              <w:left w:val="single" w:sz="4" w:space="0" w:color="auto"/>
              <w:bottom w:val="single" w:sz="4" w:space="0" w:color="auto"/>
              <w:right w:val="single" w:sz="4" w:space="0" w:color="auto"/>
            </w:tcBorders>
          </w:tcPr>
          <w:p w14:paraId="20640E6A" w14:textId="77777777" w:rsidR="00AC50C6" w:rsidRPr="00677540" w:rsidRDefault="00AC50C6" w:rsidP="00DC6123">
            <w:pPr>
              <w:rPr>
                <w:rFonts w:ascii="Arial Narrow" w:eastAsia="Calibri" w:hAnsi="Arial Narrow" w:cs="Arial"/>
                <w:color w:val="FF00FF"/>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Check1"/>
                  <w:enabled/>
                  <w:calcOnExit w:val="0"/>
                  <w:checkBox>
                    <w:sizeAuto/>
                    <w:default w:val="1"/>
                  </w:checkBox>
                </w:ffData>
              </w:fldChar>
            </w:r>
            <w:r>
              <w:rPr>
                <w:rFonts w:ascii="Arial Narrow" w:eastAsia="Calibri" w:hAnsi="Arial Narrow" w:cs="Arial"/>
                <w:sz w:val="18"/>
                <w:szCs w:val="18"/>
              </w:rPr>
              <w:instrText xml:space="preserve"> FORMCHECKBOX </w:instrText>
            </w:r>
            <w:r w:rsidR="0088485F">
              <w:rPr>
                <w:rFonts w:ascii="Arial Narrow" w:eastAsia="Calibri" w:hAnsi="Arial Narrow" w:cs="Arial"/>
                <w:sz w:val="18"/>
                <w:szCs w:val="18"/>
              </w:rPr>
            </w:r>
            <w:r w:rsidR="0088485F">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F86065">
              <w:rPr>
                <w:rFonts w:ascii="Arial Narrow" w:eastAsia="Calibri" w:hAnsi="Arial Narrow" w:cs="Arial"/>
                <w:sz w:val="18"/>
                <w:szCs w:val="18"/>
              </w:rPr>
              <w:t>Unrestricted benefit</w:t>
            </w:r>
          </w:p>
        </w:tc>
      </w:tr>
      <w:tr w:rsidR="00AC50C6" w:rsidRPr="00120A12" w14:paraId="5D1063BF" w14:textId="77777777" w:rsidTr="00DC6123">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extDirection w:val="btLr"/>
          </w:tcPr>
          <w:p w14:paraId="7191F47A" w14:textId="77777777" w:rsidR="00AC50C6" w:rsidRPr="00BC3AF4" w:rsidRDefault="00AC50C6" w:rsidP="00DC6123">
            <w:pPr>
              <w:ind w:left="113" w:right="113"/>
              <w:rPr>
                <w:rFonts w:ascii="Arial Narrow" w:hAnsi="Arial Narrow" w:cs="Arial"/>
                <w:sz w:val="18"/>
                <w:szCs w:val="18"/>
              </w:rPr>
            </w:pPr>
          </w:p>
        </w:tc>
        <w:tc>
          <w:tcPr>
            <w:tcW w:w="498" w:type="dxa"/>
            <w:vAlign w:val="center"/>
          </w:tcPr>
          <w:p w14:paraId="075CCDF5" w14:textId="77777777" w:rsidR="00AC50C6" w:rsidRPr="00120A12" w:rsidRDefault="00AC50C6" w:rsidP="00DC6123">
            <w:pPr>
              <w:jc w:val="center"/>
              <w:rPr>
                <w:rFonts w:ascii="Arial Narrow" w:hAnsi="Arial Narrow"/>
                <w:color w:val="333333"/>
                <w:sz w:val="18"/>
                <w:szCs w:val="18"/>
              </w:rPr>
            </w:pPr>
          </w:p>
        </w:tc>
        <w:tc>
          <w:tcPr>
            <w:tcW w:w="8079" w:type="dxa"/>
            <w:gridSpan w:val="6"/>
            <w:vAlign w:val="center"/>
          </w:tcPr>
          <w:p w14:paraId="0E55D732" w14:textId="77777777" w:rsidR="00AC50C6" w:rsidRPr="00120A12" w:rsidRDefault="00AC50C6" w:rsidP="00DC6123">
            <w:pPr>
              <w:rPr>
                <w:rFonts w:ascii="Arial Narrow" w:hAnsi="Arial Narrow"/>
                <w:color w:val="333333"/>
                <w:sz w:val="18"/>
                <w:szCs w:val="18"/>
              </w:rPr>
            </w:pPr>
            <w:r w:rsidRPr="00120A12">
              <w:rPr>
                <w:rFonts w:ascii="Arial Narrow" w:hAnsi="Arial Narrow"/>
                <w:b/>
                <w:bCs/>
                <w:color w:val="333333"/>
                <w:sz w:val="18"/>
                <w:szCs w:val="18"/>
              </w:rPr>
              <w:t>Administrative Advice:</w:t>
            </w:r>
          </w:p>
          <w:p w14:paraId="0E2D4C91" w14:textId="77777777" w:rsidR="00AC50C6" w:rsidRPr="00BA36FD" w:rsidRDefault="00AC50C6" w:rsidP="00DC6123">
            <w:pPr>
              <w:pStyle w:val="NormalWeb"/>
              <w:spacing w:before="0" w:beforeAutospacing="0" w:after="0" w:afterAutospacing="0"/>
              <w:textAlignment w:val="baseline"/>
              <w:rPr>
                <w:rFonts w:ascii="Arial Narrow" w:hAnsi="Arial Narrow" w:cs="Arial"/>
                <w:color w:val="333333"/>
                <w:sz w:val="18"/>
                <w:szCs w:val="18"/>
              </w:rPr>
            </w:pPr>
            <w:r>
              <w:rPr>
                <w:rFonts w:ascii="Arial" w:hAnsi="Arial" w:cs="Arial"/>
                <w:b/>
                <w:bCs/>
                <w:color w:val="333333"/>
                <w:sz w:val="22"/>
                <w:szCs w:val="22"/>
                <w:bdr w:val="none" w:sz="0" w:space="0" w:color="auto" w:frame="1"/>
              </w:rPr>
              <w:br/>
            </w:r>
            <w:r w:rsidRPr="00BA36FD">
              <w:rPr>
                <w:rFonts w:ascii="Arial Narrow" w:hAnsi="Arial Narrow" w:cs="Arial"/>
                <w:b/>
                <w:bCs/>
                <w:color w:val="333333"/>
                <w:sz w:val="18"/>
                <w:szCs w:val="18"/>
                <w:bdr w:val="none" w:sz="0" w:space="0" w:color="auto" w:frame="1"/>
              </w:rPr>
              <w:t>Biosimilar prescribing policy</w:t>
            </w:r>
            <w:r w:rsidRPr="00BA36FD">
              <w:rPr>
                <w:rFonts w:ascii="Arial Narrow" w:hAnsi="Arial Narrow" w:cs="Arial"/>
                <w:b/>
                <w:bCs/>
                <w:color w:val="333333"/>
                <w:sz w:val="18"/>
                <w:szCs w:val="18"/>
                <w:bdr w:val="none" w:sz="0" w:space="0" w:color="auto" w:frame="1"/>
              </w:rPr>
              <w:br/>
            </w:r>
            <w:r w:rsidRPr="00BA36FD">
              <w:rPr>
                <w:rFonts w:ascii="Arial Narrow" w:hAnsi="Arial Narrow" w:cs="Arial"/>
                <w:color w:val="333333"/>
                <w:sz w:val="18"/>
                <w:szCs w:val="18"/>
              </w:rPr>
              <w:br/>
              <w:t xml:space="preserve">Prescribing of the biosimilar brand, </w:t>
            </w:r>
            <w:r>
              <w:rPr>
                <w:rFonts w:ascii="Arial Narrow" w:hAnsi="Arial Narrow" w:cs="Arial"/>
                <w:color w:val="333333"/>
                <w:sz w:val="18"/>
                <w:szCs w:val="18"/>
              </w:rPr>
              <w:t>Truvelog Solostar</w:t>
            </w:r>
            <w:r w:rsidRPr="00BA36FD">
              <w:rPr>
                <w:rFonts w:ascii="Arial Narrow" w:hAnsi="Arial Narrow" w:cs="Arial"/>
                <w:color w:val="333333"/>
                <w:sz w:val="18"/>
                <w:szCs w:val="18"/>
              </w:rPr>
              <w:t>, is encouraged for treatment naive patients.</w:t>
            </w:r>
          </w:p>
          <w:p w14:paraId="7ADF2160" w14:textId="77777777" w:rsidR="00AC50C6" w:rsidRPr="00120A12" w:rsidRDefault="00AC50C6" w:rsidP="00DC6123">
            <w:pPr>
              <w:rPr>
                <w:rFonts w:ascii="Arial Narrow" w:hAnsi="Arial Narrow"/>
                <w:color w:val="333333"/>
                <w:sz w:val="18"/>
                <w:szCs w:val="18"/>
              </w:rPr>
            </w:pPr>
            <w:r w:rsidRPr="00BA36FD">
              <w:rPr>
                <w:rFonts w:ascii="Arial Narrow" w:hAnsi="Arial Narrow" w:cs="Arial"/>
                <w:color w:val="333333"/>
                <w:sz w:val="18"/>
                <w:szCs w:val="18"/>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AC50C6" w:rsidRPr="00120A12" w14:paraId="493E65F0" w14:textId="77777777" w:rsidTr="00DC6123">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right w:val="single" w:sz="4" w:space="0" w:color="auto"/>
            </w:tcBorders>
          </w:tcPr>
          <w:p w14:paraId="58CF8A99" w14:textId="77777777" w:rsidR="00AC50C6" w:rsidRPr="0020649C" w:rsidRDefault="00AC50C6" w:rsidP="00DC6123">
            <w:pPr>
              <w:rPr>
                <w:rFonts w:ascii="Arial Narrow" w:hAnsi="Arial Narrow" w:cs="Arial"/>
                <w:sz w:val="18"/>
                <w:szCs w:val="18"/>
              </w:rPr>
            </w:pPr>
          </w:p>
        </w:tc>
        <w:tc>
          <w:tcPr>
            <w:tcW w:w="498" w:type="dxa"/>
            <w:vAlign w:val="center"/>
          </w:tcPr>
          <w:p w14:paraId="2D050539" w14:textId="77777777" w:rsidR="00AC50C6" w:rsidRDefault="00AC50C6" w:rsidP="00DC6123">
            <w:pPr>
              <w:jc w:val="center"/>
              <w:rPr>
                <w:rFonts w:ascii="Arial Narrow" w:hAnsi="Arial Narrow"/>
                <w:color w:val="333333"/>
                <w:sz w:val="18"/>
                <w:szCs w:val="18"/>
              </w:rPr>
            </w:pPr>
          </w:p>
        </w:tc>
        <w:tc>
          <w:tcPr>
            <w:tcW w:w="8079" w:type="dxa"/>
            <w:gridSpan w:val="6"/>
            <w:vAlign w:val="center"/>
          </w:tcPr>
          <w:p w14:paraId="34A615ED" w14:textId="77777777" w:rsidR="00AC50C6" w:rsidRPr="00BF6191" w:rsidRDefault="00AC50C6" w:rsidP="00DC6123">
            <w:pPr>
              <w:rPr>
                <w:rFonts w:ascii="Arial Narrow" w:hAnsi="Arial Narrow"/>
                <w:b/>
                <w:bCs/>
                <w:color w:val="333333"/>
                <w:sz w:val="18"/>
                <w:szCs w:val="18"/>
              </w:rPr>
            </w:pPr>
            <w:r w:rsidRPr="00BF6191">
              <w:rPr>
                <w:rFonts w:ascii="Arial Narrow" w:hAnsi="Arial Narrow"/>
                <w:b/>
                <w:bCs/>
                <w:color w:val="333333"/>
                <w:sz w:val="18"/>
                <w:szCs w:val="18"/>
              </w:rPr>
              <w:t>Administrative Advice:</w:t>
            </w:r>
          </w:p>
          <w:p w14:paraId="62A4041B" w14:textId="77777777" w:rsidR="00AC50C6" w:rsidRPr="00120A12" w:rsidRDefault="00AC50C6" w:rsidP="00DC6123">
            <w:pPr>
              <w:pStyle w:val="NormalWeb"/>
              <w:spacing w:before="0" w:beforeAutospacing="0" w:after="0" w:afterAutospacing="0"/>
              <w:textAlignment w:val="baseline"/>
              <w:rPr>
                <w:rFonts w:ascii="Arial Narrow" w:hAnsi="Arial Narrow"/>
                <w:b/>
                <w:bCs/>
                <w:color w:val="333333"/>
                <w:sz w:val="18"/>
                <w:szCs w:val="18"/>
              </w:rPr>
            </w:pPr>
            <w:r w:rsidRPr="00BA36FD">
              <w:rPr>
                <w:rFonts w:ascii="Arial Narrow" w:hAnsi="Arial Narrow" w:cs="Arial"/>
                <w:color w:val="333333"/>
                <w:sz w:val="18"/>
                <w:szCs w:val="18"/>
              </w:rPr>
              <w:t xml:space="preserve">Pharmaceutical benefits that have the brand </w:t>
            </w:r>
            <w:r>
              <w:rPr>
                <w:rFonts w:ascii="Arial Narrow" w:hAnsi="Arial Narrow" w:cs="Arial"/>
                <w:color w:val="333333"/>
                <w:sz w:val="18"/>
                <w:szCs w:val="18"/>
              </w:rPr>
              <w:t>Truvelog</w:t>
            </w:r>
            <w:r w:rsidRPr="00BA36FD">
              <w:rPr>
                <w:rFonts w:ascii="Arial Narrow" w:hAnsi="Arial Narrow" w:cs="Arial"/>
                <w:color w:val="333333"/>
                <w:sz w:val="18"/>
                <w:szCs w:val="18"/>
              </w:rPr>
              <w:t xml:space="preserve"> Solo</w:t>
            </w:r>
            <w:r>
              <w:rPr>
                <w:rFonts w:ascii="Arial Narrow" w:hAnsi="Arial Narrow" w:cs="Arial"/>
                <w:color w:val="333333"/>
                <w:sz w:val="18"/>
                <w:szCs w:val="18"/>
              </w:rPr>
              <w:t>s</w:t>
            </w:r>
            <w:r w:rsidRPr="00BA36FD">
              <w:rPr>
                <w:rFonts w:ascii="Arial Narrow" w:hAnsi="Arial Narrow" w:cs="Arial"/>
                <w:color w:val="333333"/>
                <w:sz w:val="18"/>
                <w:szCs w:val="18"/>
              </w:rPr>
              <w:t xml:space="preserve">tar 100 units/mL injection, 5 x 3 mL and pharmaceutical benefits that have the brand </w:t>
            </w:r>
            <w:r>
              <w:rPr>
                <w:rFonts w:ascii="Arial Narrow" w:hAnsi="Arial Narrow" w:cs="Arial"/>
                <w:color w:val="333333"/>
                <w:sz w:val="18"/>
                <w:szCs w:val="18"/>
              </w:rPr>
              <w:t xml:space="preserve">Novorapid Flexpen </w:t>
            </w:r>
            <w:r w:rsidRPr="00BA36FD">
              <w:rPr>
                <w:rFonts w:ascii="Arial Narrow" w:hAnsi="Arial Narrow" w:cs="Arial"/>
                <w:color w:val="333333"/>
                <w:sz w:val="18"/>
                <w:szCs w:val="18"/>
              </w:rPr>
              <w:t>100 units/mL injection, 5 x 3 mL are equivalent for the purposes of substitution.</w:t>
            </w:r>
          </w:p>
        </w:tc>
      </w:tr>
      <w:bookmarkEnd w:id="9"/>
    </w:tbl>
    <w:p w14:paraId="79D971C4" w14:textId="77777777" w:rsidR="005C0220" w:rsidRDefault="005C0220" w:rsidP="00AC50C6">
      <w:pPr>
        <w:pStyle w:val="ListBullet"/>
        <w:numPr>
          <w:ilvl w:val="0"/>
          <w:numId w:val="0"/>
        </w:numPr>
        <w:rPr>
          <w:b/>
          <w:bCs/>
          <w:i/>
          <w:iCs/>
        </w:rPr>
      </w:pPr>
    </w:p>
    <w:p w14:paraId="25EE5448" w14:textId="77777777" w:rsidR="00AC50C6" w:rsidRPr="00197545" w:rsidRDefault="00AC50C6" w:rsidP="00E34191">
      <w:pPr>
        <w:pStyle w:val="ListBullet"/>
        <w:numPr>
          <w:ilvl w:val="0"/>
          <w:numId w:val="0"/>
        </w:numPr>
        <w:ind w:left="720"/>
        <w:rPr>
          <w:b/>
          <w:bCs/>
          <w:i/>
          <w:iCs/>
        </w:rPr>
      </w:pPr>
      <w:r w:rsidRPr="00197545">
        <w:rPr>
          <w:b/>
          <w:bCs/>
          <w:i/>
          <w:iCs/>
        </w:rPr>
        <w:t>Th</w:t>
      </w:r>
      <w:r w:rsidR="005C0220">
        <w:rPr>
          <w:b/>
          <w:bCs/>
          <w:i/>
          <w:iCs/>
        </w:rPr>
        <w:t>ese</w:t>
      </w:r>
      <w:r w:rsidRPr="00197545">
        <w:rPr>
          <w:b/>
          <w:bCs/>
          <w:i/>
          <w:iCs/>
        </w:rPr>
        <w:t xml:space="preserve"> restriction</w:t>
      </w:r>
      <w:r w:rsidR="005C0220">
        <w:rPr>
          <w:b/>
          <w:bCs/>
          <w:i/>
          <w:iCs/>
        </w:rPr>
        <w:t>s</w:t>
      </w:r>
      <w:r w:rsidRPr="00197545">
        <w:rPr>
          <w:b/>
          <w:bCs/>
          <w:i/>
          <w:iCs/>
        </w:rPr>
        <w:t xml:space="preserve"> may be subject to further review. Should there be any changes made to the restriction the Sponsor will be informed.</w:t>
      </w:r>
    </w:p>
    <w:p w14:paraId="43240D2C" w14:textId="77777777" w:rsidR="00AC50C6" w:rsidRDefault="00AC50C6" w:rsidP="00AA1909">
      <w:pPr>
        <w:pStyle w:val="ListParagraph"/>
        <w:ind w:left="360"/>
        <w:rPr>
          <w:rFonts w:ascii="Calibri" w:hAnsi="Calibri" w:cs="Calibri"/>
        </w:rPr>
      </w:pPr>
    </w:p>
    <w:bookmarkEnd w:id="8"/>
    <w:p w14:paraId="591A219B" w14:textId="77777777" w:rsidR="00912630" w:rsidRDefault="00912630" w:rsidP="006D6FC7">
      <w:pPr>
        <w:pStyle w:val="2-SectionHeading"/>
        <w:rPr>
          <w:lang w:val="en-GB"/>
        </w:rPr>
      </w:pPr>
      <w:r w:rsidRPr="00912630">
        <w:rPr>
          <w:lang w:val="en-GB"/>
        </w:rPr>
        <w:t>Context for Decision</w:t>
      </w:r>
    </w:p>
    <w:p w14:paraId="5A88223B" w14:textId="77777777" w:rsidR="00912630" w:rsidRPr="007129F2" w:rsidRDefault="00912630" w:rsidP="00912630">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9612FE" w14:textId="77777777" w:rsidR="00912630" w:rsidRPr="00912630" w:rsidRDefault="00912630" w:rsidP="006D6FC7">
      <w:pPr>
        <w:pStyle w:val="2-SectionHeading"/>
        <w:rPr>
          <w:lang w:val="en-GB"/>
        </w:rPr>
      </w:pPr>
      <w:r w:rsidRPr="00912630">
        <w:rPr>
          <w:lang w:val="en-GB"/>
        </w:rPr>
        <w:t>Sponsor’s Comment</w:t>
      </w:r>
    </w:p>
    <w:p w14:paraId="1F6360C9" w14:textId="77777777" w:rsidR="00912630" w:rsidRPr="001179AC" w:rsidRDefault="00912630" w:rsidP="00912630">
      <w:pPr>
        <w:spacing w:after="120"/>
        <w:ind w:left="426" w:firstLine="294"/>
        <w:rPr>
          <w:rFonts w:asciiTheme="minorHAnsi" w:hAnsiTheme="minorHAnsi" w:cs="Arial"/>
          <w:bCs/>
        </w:rPr>
      </w:pPr>
      <w:r w:rsidRPr="00C07617">
        <w:rPr>
          <w:rFonts w:asciiTheme="minorHAnsi" w:hAnsiTheme="minorHAnsi" w:cs="Arial"/>
          <w:bCs/>
        </w:rPr>
        <w:t>The sponsor had no comment.</w:t>
      </w:r>
    </w:p>
    <w:p w14:paraId="4284AF93" w14:textId="77777777" w:rsidR="00E732C4" w:rsidRPr="000B608A" w:rsidRDefault="00E732C4">
      <w:pPr>
        <w:jc w:val="left"/>
        <w:rPr>
          <w:rFonts w:ascii="Arial Narrow" w:hAnsi="Arial Narrow" w:cs="Arial"/>
          <w:snapToGrid w:val="0"/>
          <w:sz w:val="18"/>
          <w:szCs w:val="22"/>
        </w:rPr>
      </w:pPr>
    </w:p>
    <w:sectPr w:rsidR="00E732C4" w:rsidRPr="000B608A"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73E9B" w14:textId="77777777" w:rsidR="00E70D6F" w:rsidRDefault="00E70D6F">
      <w:r>
        <w:separator/>
      </w:r>
    </w:p>
    <w:p w14:paraId="7C399845" w14:textId="77777777" w:rsidR="00E70D6F" w:rsidRDefault="00E70D6F"/>
  </w:endnote>
  <w:endnote w:type="continuationSeparator" w:id="0">
    <w:p w14:paraId="61564B84" w14:textId="77777777" w:rsidR="00E70D6F" w:rsidRDefault="00E70D6F">
      <w:r>
        <w:continuationSeparator/>
      </w:r>
    </w:p>
    <w:p w14:paraId="469BF925" w14:textId="77777777" w:rsidR="00E70D6F" w:rsidRDefault="00E70D6F"/>
  </w:endnote>
  <w:endnote w:type="continuationNotice" w:id="1">
    <w:p w14:paraId="090759BB" w14:textId="77777777" w:rsidR="00E70D6F" w:rsidRDefault="00E70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B4C6D" w14:paraId="12FE0B0E" w14:textId="77777777" w:rsidTr="005A3173">
      <w:trPr>
        <w:trHeight w:val="151"/>
      </w:trPr>
      <w:tc>
        <w:tcPr>
          <w:tcW w:w="2250" w:type="pct"/>
          <w:tcBorders>
            <w:top w:val="nil"/>
            <w:left w:val="nil"/>
            <w:bottom w:val="single" w:sz="4" w:space="0" w:color="4F81BD"/>
            <w:right w:val="nil"/>
          </w:tcBorders>
        </w:tcPr>
        <w:p w14:paraId="71E6D3B6" w14:textId="77777777" w:rsidR="00BB4C6D" w:rsidRPr="005A3173" w:rsidRDefault="00BB4C6D" w:rsidP="005A3173">
          <w:pPr>
            <w:pStyle w:val="Header"/>
            <w:spacing w:line="276" w:lineRule="auto"/>
            <w:rPr>
              <w:rFonts w:eastAsia="MS Gothic"/>
              <w:b/>
              <w:bCs/>
              <w:color w:val="4F81BD"/>
            </w:rPr>
          </w:pPr>
        </w:p>
      </w:tc>
      <w:tc>
        <w:tcPr>
          <w:tcW w:w="500" w:type="pct"/>
          <w:vMerge w:val="restart"/>
          <w:noWrap/>
          <w:vAlign w:val="center"/>
          <w:hideMark/>
        </w:tcPr>
        <w:p w14:paraId="3F54D2A5" w14:textId="77777777" w:rsidR="00BB4C6D" w:rsidRPr="005A3173" w:rsidRDefault="00BB4C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421E294" w14:textId="77777777" w:rsidR="00BB4C6D" w:rsidRPr="005A3173" w:rsidRDefault="00BB4C6D" w:rsidP="005A3173">
          <w:pPr>
            <w:pStyle w:val="Header"/>
            <w:spacing w:line="276" w:lineRule="auto"/>
            <w:rPr>
              <w:rFonts w:eastAsia="MS Gothic"/>
              <w:b/>
              <w:bCs/>
              <w:color w:val="4F81BD"/>
            </w:rPr>
          </w:pPr>
        </w:p>
      </w:tc>
    </w:tr>
    <w:tr w:rsidR="00BB4C6D" w14:paraId="1F15E12D" w14:textId="77777777" w:rsidTr="005A3173">
      <w:trPr>
        <w:trHeight w:val="150"/>
      </w:trPr>
      <w:tc>
        <w:tcPr>
          <w:tcW w:w="2250" w:type="pct"/>
          <w:tcBorders>
            <w:top w:val="single" w:sz="4" w:space="0" w:color="4F81BD"/>
            <w:left w:val="nil"/>
            <w:bottom w:val="nil"/>
            <w:right w:val="nil"/>
          </w:tcBorders>
        </w:tcPr>
        <w:p w14:paraId="36FACFE9" w14:textId="77777777" w:rsidR="00BB4C6D" w:rsidRPr="005A3173" w:rsidRDefault="00BB4C6D" w:rsidP="005A3173">
          <w:pPr>
            <w:pStyle w:val="Header"/>
            <w:spacing w:line="276" w:lineRule="auto"/>
            <w:rPr>
              <w:rFonts w:eastAsia="MS Gothic"/>
              <w:b/>
              <w:bCs/>
              <w:color w:val="4F81BD"/>
            </w:rPr>
          </w:pPr>
        </w:p>
      </w:tc>
      <w:tc>
        <w:tcPr>
          <w:tcW w:w="0" w:type="auto"/>
          <w:vMerge/>
          <w:vAlign w:val="center"/>
          <w:hideMark/>
        </w:tcPr>
        <w:p w14:paraId="4F06DD7C" w14:textId="77777777" w:rsidR="00BB4C6D" w:rsidRPr="005A3173" w:rsidRDefault="00BB4C6D" w:rsidP="005A3173">
          <w:pPr>
            <w:rPr>
              <w:color w:val="365F91"/>
              <w:sz w:val="22"/>
              <w:szCs w:val="22"/>
            </w:rPr>
          </w:pPr>
        </w:p>
      </w:tc>
      <w:tc>
        <w:tcPr>
          <w:tcW w:w="2250" w:type="pct"/>
          <w:tcBorders>
            <w:top w:val="single" w:sz="4" w:space="0" w:color="4F81BD"/>
            <w:left w:val="nil"/>
            <w:bottom w:val="nil"/>
            <w:right w:val="nil"/>
          </w:tcBorders>
        </w:tcPr>
        <w:p w14:paraId="556BAE98" w14:textId="77777777" w:rsidR="00BB4C6D" w:rsidRPr="005A3173" w:rsidRDefault="00BB4C6D" w:rsidP="005A3173">
          <w:pPr>
            <w:pStyle w:val="Header"/>
            <w:spacing w:line="276" w:lineRule="auto"/>
            <w:rPr>
              <w:rFonts w:eastAsia="MS Gothic"/>
              <w:b/>
              <w:bCs/>
              <w:color w:val="4F81BD"/>
            </w:rPr>
          </w:pPr>
        </w:p>
      </w:tc>
    </w:tr>
  </w:tbl>
  <w:p w14:paraId="256C3AAA" w14:textId="77777777" w:rsidR="00BB4C6D" w:rsidRDefault="00BB4C6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1351E4" w14:textId="77777777" w:rsidR="00BB4C6D" w:rsidRDefault="00BB4C6D">
    <w:pPr>
      <w:pStyle w:val="Footer"/>
    </w:pPr>
  </w:p>
  <w:p w14:paraId="34397245" w14:textId="77777777" w:rsidR="00BB4C6D" w:rsidRDefault="00BB4C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032081"/>
      <w:docPartObj>
        <w:docPartGallery w:val="Page Numbers (Bottom of Page)"/>
        <w:docPartUnique/>
      </w:docPartObj>
    </w:sdtPr>
    <w:sdtEndPr>
      <w:rPr>
        <w:b/>
        <w:noProof/>
      </w:rPr>
    </w:sdtEndPr>
    <w:sdtContent>
      <w:p w14:paraId="57A25A42" w14:textId="77777777" w:rsidR="004450D5" w:rsidRDefault="004450D5" w:rsidP="004450D5">
        <w:pPr>
          <w:pStyle w:val="Footer"/>
          <w:jc w:val="center"/>
        </w:pPr>
      </w:p>
      <w:p w14:paraId="0A6D8D91" w14:textId="2BF98B4E" w:rsidR="00BB4C6D" w:rsidRPr="004450D5" w:rsidRDefault="004450D5" w:rsidP="004450D5">
        <w:pPr>
          <w:pStyle w:val="Footer"/>
          <w:jc w:val="center"/>
          <w:rPr>
            <w:b/>
          </w:rPr>
        </w:pPr>
        <w:r w:rsidRPr="004450D5">
          <w:rPr>
            <w:b/>
          </w:rPr>
          <w:fldChar w:fldCharType="begin"/>
        </w:r>
        <w:r w:rsidRPr="004450D5">
          <w:rPr>
            <w:b/>
          </w:rPr>
          <w:instrText xml:space="preserve"> PAGE   \* MERGEFORMAT </w:instrText>
        </w:r>
        <w:r w:rsidRPr="004450D5">
          <w:rPr>
            <w:b/>
          </w:rPr>
          <w:fldChar w:fldCharType="separate"/>
        </w:r>
        <w:r w:rsidR="0088485F">
          <w:rPr>
            <w:b/>
            <w:noProof/>
          </w:rPr>
          <w:t>7</w:t>
        </w:r>
        <w:r w:rsidRPr="004450D5">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BB4C6D" w14:paraId="433DE2E5" w14:textId="77777777" w:rsidTr="005A3173">
      <w:trPr>
        <w:trHeight w:val="151"/>
      </w:trPr>
      <w:tc>
        <w:tcPr>
          <w:tcW w:w="2250" w:type="pct"/>
          <w:tcBorders>
            <w:top w:val="nil"/>
            <w:left w:val="nil"/>
            <w:bottom w:val="single" w:sz="4" w:space="0" w:color="4F81BD"/>
            <w:right w:val="nil"/>
          </w:tcBorders>
        </w:tcPr>
        <w:p w14:paraId="6DB7ACD1" w14:textId="77777777" w:rsidR="00BB4C6D" w:rsidRPr="005A3173" w:rsidRDefault="00BB4C6D" w:rsidP="005A3173">
          <w:pPr>
            <w:pStyle w:val="Header"/>
            <w:spacing w:line="276" w:lineRule="auto"/>
            <w:rPr>
              <w:rFonts w:eastAsia="MS Gothic"/>
              <w:b/>
              <w:bCs/>
              <w:color w:val="4F81BD"/>
            </w:rPr>
          </w:pPr>
        </w:p>
      </w:tc>
      <w:tc>
        <w:tcPr>
          <w:tcW w:w="500" w:type="pct"/>
          <w:vMerge w:val="restart"/>
          <w:noWrap/>
          <w:vAlign w:val="center"/>
          <w:hideMark/>
        </w:tcPr>
        <w:p w14:paraId="3A6DB75A" w14:textId="77777777" w:rsidR="00BB4C6D" w:rsidRPr="005A3173" w:rsidRDefault="00BB4C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E1FC10D" w14:textId="77777777" w:rsidR="00BB4C6D" w:rsidRPr="005A3173" w:rsidRDefault="00BB4C6D" w:rsidP="005A3173">
          <w:pPr>
            <w:pStyle w:val="Header"/>
            <w:spacing w:line="276" w:lineRule="auto"/>
            <w:rPr>
              <w:rFonts w:eastAsia="MS Gothic"/>
              <w:b/>
              <w:bCs/>
              <w:color w:val="4F81BD"/>
            </w:rPr>
          </w:pPr>
        </w:p>
      </w:tc>
    </w:tr>
    <w:tr w:rsidR="00BB4C6D" w14:paraId="1AEE0D6C" w14:textId="77777777" w:rsidTr="005A3173">
      <w:trPr>
        <w:trHeight w:val="150"/>
      </w:trPr>
      <w:tc>
        <w:tcPr>
          <w:tcW w:w="2250" w:type="pct"/>
          <w:tcBorders>
            <w:top w:val="single" w:sz="4" w:space="0" w:color="4F81BD"/>
            <w:left w:val="nil"/>
            <w:bottom w:val="nil"/>
            <w:right w:val="nil"/>
          </w:tcBorders>
        </w:tcPr>
        <w:p w14:paraId="3836367F" w14:textId="77777777" w:rsidR="00BB4C6D" w:rsidRPr="005A3173" w:rsidRDefault="00BB4C6D" w:rsidP="005A3173">
          <w:pPr>
            <w:pStyle w:val="Header"/>
            <w:spacing w:line="276" w:lineRule="auto"/>
            <w:rPr>
              <w:rFonts w:eastAsia="MS Gothic"/>
              <w:b/>
              <w:bCs/>
              <w:color w:val="4F81BD"/>
            </w:rPr>
          </w:pPr>
        </w:p>
      </w:tc>
      <w:tc>
        <w:tcPr>
          <w:tcW w:w="0" w:type="auto"/>
          <w:vMerge/>
          <w:vAlign w:val="center"/>
          <w:hideMark/>
        </w:tcPr>
        <w:p w14:paraId="12D56EAC" w14:textId="77777777" w:rsidR="00BB4C6D" w:rsidRPr="005A3173" w:rsidRDefault="00BB4C6D" w:rsidP="005A3173">
          <w:pPr>
            <w:rPr>
              <w:color w:val="365F91"/>
              <w:sz w:val="22"/>
              <w:szCs w:val="22"/>
            </w:rPr>
          </w:pPr>
        </w:p>
      </w:tc>
      <w:tc>
        <w:tcPr>
          <w:tcW w:w="2250" w:type="pct"/>
          <w:tcBorders>
            <w:top w:val="single" w:sz="4" w:space="0" w:color="4F81BD"/>
            <w:left w:val="nil"/>
            <w:bottom w:val="nil"/>
            <w:right w:val="nil"/>
          </w:tcBorders>
        </w:tcPr>
        <w:p w14:paraId="2103695E" w14:textId="77777777" w:rsidR="00BB4C6D" w:rsidRPr="005A3173" w:rsidRDefault="00BB4C6D"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B4C6D" w14:paraId="1FD043FB" w14:textId="77777777" w:rsidTr="005A3173">
      <w:trPr>
        <w:trHeight w:val="151"/>
      </w:trPr>
      <w:tc>
        <w:tcPr>
          <w:tcW w:w="2250" w:type="pct"/>
          <w:tcBorders>
            <w:top w:val="nil"/>
            <w:left w:val="nil"/>
            <w:bottom w:val="single" w:sz="4" w:space="0" w:color="4F81BD"/>
            <w:right w:val="nil"/>
          </w:tcBorders>
        </w:tcPr>
        <w:p w14:paraId="3985ACA5" w14:textId="77777777" w:rsidR="00BB4C6D" w:rsidRPr="005A3173" w:rsidRDefault="00BB4C6D" w:rsidP="005A3173">
          <w:pPr>
            <w:pStyle w:val="Header"/>
            <w:spacing w:line="276" w:lineRule="auto"/>
            <w:rPr>
              <w:rFonts w:eastAsia="MS Gothic"/>
              <w:b/>
              <w:bCs/>
              <w:color w:val="4F81BD"/>
            </w:rPr>
          </w:pPr>
        </w:p>
      </w:tc>
      <w:tc>
        <w:tcPr>
          <w:tcW w:w="500" w:type="pct"/>
          <w:vMerge w:val="restart"/>
          <w:noWrap/>
          <w:vAlign w:val="center"/>
          <w:hideMark/>
        </w:tcPr>
        <w:p w14:paraId="583D098F" w14:textId="77777777" w:rsidR="00BB4C6D" w:rsidRPr="005A3173" w:rsidRDefault="00BB4C6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8A4A810" w14:textId="77777777" w:rsidR="00BB4C6D" w:rsidRPr="005A3173" w:rsidRDefault="00BB4C6D" w:rsidP="005A3173">
          <w:pPr>
            <w:pStyle w:val="Header"/>
            <w:spacing w:line="276" w:lineRule="auto"/>
            <w:rPr>
              <w:rFonts w:eastAsia="MS Gothic"/>
              <w:b/>
              <w:bCs/>
              <w:color w:val="4F81BD"/>
            </w:rPr>
          </w:pPr>
        </w:p>
      </w:tc>
    </w:tr>
    <w:tr w:rsidR="00BB4C6D" w14:paraId="11C9C5F6" w14:textId="77777777" w:rsidTr="005A3173">
      <w:trPr>
        <w:trHeight w:val="150"/>
      </w:trPr>
      <w:tc>
        <w:tcPr>
          <w:tcW w:w="2250" w:type="pct"/>
          <w:tcBorders>
            <w:top w:val="single" w:sz="4" w:space="0" w:color="4F81BD"/>
            <w:left w:val="nil"/>
            <w:bottom w:val="nil"/>
            <w:right w:val="nil"/>
          </w:tcBorders>
        </w:tcPr>
        <w:p w14:paraId="13CCC9AE" w14:textId="77777777" w:rsidR="00BB4C6D" w:rsidRPr="005A3173" w:rsidRDefault="00BB4C6D" w:rsidP="005A3173">
          <w:pPr>
            <w:pStyle w:val="Header"/>
            <w:spacing w:line="276" w:lineRule="auto"/>
            <w:rPr>
              <w:rFonts w:eastAsia="MS Gothic"/>
              <w:b/>
              <w:bCs/>
              <w:color w:val="4F81BD"/>
            </w:rPr>
          </w:pPr>
        </w:p>
      </w:tc>
      <w:tc>
        <w:tcPr>
          <w:tcW w:w="0" w:type="auto"/>
          <w:vMerge/>
          <w:vAlign w:val="center"/>
          <w:hideMark/>
        </w:tcPr>
        <w:p w14:paraId="3261D55B" w14:textId="77777777" w:rsidR="00BB4C6D" w:rsidRPr="005A3173" w:rsidRDefault="00BB4C6D" w:rsidP="005A3173">
          <w:pPr>
            <w:rPr>
              <w:color w:val="365F91"/>
              <w:sz w:val="22"/>
              <w:szCs w:val="22"/>
            </w:rPr>
          </w:pPr>
        </w:p>
      </w:tc>
      <w:tc>
        <w:tcPr>
          <w:tcW w:w="2250" w:type="pct"/>
          <w:tcBorders>
            <w:top w:val="single" w:sz="4" w:space="0" w:color="4F81BD"/>
            <w:left w:val="nil"/>
            <w:bottom w:val="nil"/>
            <w:right w:val="nil"/>
          </w:tcBorders>
        </w:tcPr>
        <w:p w14:paraId="6E42BFEC" w14:textId="77777777" w:rsidR="00BB4C6D" w:rsidRPr="005A3173" w:rsidRDefault="00BB4C6D" w:rsidP="005A3173">
          <w:pPr>
            <w:pStyle w:val="Header"/>
            <w:spacing w:line="276" w:lineRule="auto"/>
            <w:rPr>
              <w:rFonts w:eastAsia="MS Gothic"/>
              <w:b/>
              <w:bCs/>
              <w:color w:val="4F81BD"/>
            </w:rPr>
          </w:pPr>
        </w:p>
      </w:tc>
    </w:tr>
  </w:tbl>
  <w:p w14:paraId="04BC2059" w14:textId="77777777" w:rsidR="00BB4C6D" w:rsidRPr="007C0F57" w:rsidRDefault="00BB4C6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AA77DA">
      <w:rPr>
        <w:rStyle w:val="PageNumber"/>
        <w:noProof/>
      </w:rPr>
      <w:t>1</w:t>
    </w:r>
    <w:r>
      <w:rPr>
        <w:rStyle w:val="PageNumber"/>
      </w:rPr>
      <w:fldChar w:fldCharType="end"/>
    </w:r>
    <w:r w:rsidRPr="007C0F57">
      <w:rPr>
        <w:b/>
        <w:i/>
        <w:sz w:val="20"/>
        <w:szCs w:val="20"/>
      </w:rPr>
      <w:t>BAC Meeting</w:t>
    </w:r>
  </w:p>
  <w:p w14:paraId="4031AFBA" w14:textId="77777777" w:rsidR="00BB4C6D" w:rsidRPr="007C0F57" w:rsidRDefault="00BB4C6D" w:rsidP="007C0F57">
    <w:pPr>
      <w:pStyle w:val="Footer"/>
      <w:jc w:val="center"/>
      <w:rPr>
        <w:b/>
        <w:i/>
        <w:sz w:val="20"/>
        <w:szCs w:val="20"/>
      </w:rPr>
    </w:pPr>
    <w:r w:rsidRPr="007C0F57">
      <w:rPr>
        <w:b/>
        <w:i/>
        <w:sz w:val="20"/>
        <w:szCs w:val="20"/>
      </w:rPr>
      <w:t>Commercial-in-Confidence</w:t>
    </w:r>
  </w:p>
  <w:p w14:paraId="4D2F51A7" w14:textId="77777777" w:rsidR="00BB4C6D" w:rsidRDefault="00BB4C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068D9" w14:textId="77777777" w:rsidR="00E70D6F" w:rsidRDefault="00E70D6F">
      <w:r>
        <w:separator/>
      </w:r>
    </w:p>
    <w:p w14:paraId="62D353DA" w14:textId="77777777" w:rsidR="00E70D6F" w:rsidRDefault="00E70D6F"/>
  </w:footnote>
  <w:footnote w:type="continuationSeparator" w:id="0">
    <w:p w14:paraId="476011BB" w14:textId="77777777" w:rsidR="00E70D6F" w:rsidRDefault="00E70D6F">
      <w:r>
        <w:continuationSeparator/>
      </w:r>
    </w:p>
    <w:p w14:paraId="4B951B02" w14:textId="77777777" w:rsidR="00E70D6F" w:rsidRDefault="00E70D6F"/>
  </w:footnote>
  <w:footnote w:type="continuationNotice" w:id="1">
    <w:p w14:paraId="7646598F" w14:textId="77777777" w:rsidR="00E70D6F" w:rsidRDefault="00E70D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BB4C6D" w:rsidRPr="008E0D90" w14:paraId="7281AB02" w14:textId="77777777" w:rsidTr="00A06225">
      <w:trPr>
        <w:trHeight w:val="151"/>
      </w:trPr>
      <w:tc>
        <w:tcPr>
          <w:tcW w:w="2389" w:type="pct"/>
          <w:tcBorders>
            <w:top w:val="nil"/>
            <w:left w:val="nil"/>
            <w:bottom w:val="single" w:sz="4" w:space="0" w:color="4F81BD"/>
            <w:right w:val="nil"/>
          </w:tcBorders>
        </w:tcPr>
        <w:p w14:paraId="6E19EC59" w14:textId="77777777" w:rsidR="00BB4C6D" w:rsidRPr="00A06225" w:rsidRDefault="00BB4C6D">
          <w:pPr>
            <w:pStyle w:val="Header"/>
            <w:spacing w:line="276" w:lineRule="auto"/>
            <w:rPr>
              <w:rFonts w:ascii="Cambria" w:eastAsia="MS Gothic" w:hAnsi="Cambria"/>
              <w:b/>
              <w:bCs/>
              <w:color w:val="4F81BD"/>
            </w:rPr>
          </w:pPr>
        </w:p>
      </w:tc>
      <w:tc>
        <w:tcPr>
          <w:tcW w:w="333" w:type="pct"/>
          <w:vMerge w:val="restart"/>
          <w:noWrap/>
          <w:vAlign w:val="center"/>
          <w:hideMark/>
        </w:tcPr>
        <w:p w14:paraId="738D1587" w14:textId="77777777" w:rsidR="00BB4C6D" w:rsidRPr="00A06225" w:rsidRDefault="00BB4C6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067FDE59" w14:textId="77777777" w:rsidR="00BB4C6D" w:rsidRPr="00A06225" w:rsidRDefault="00BB4C6D">
          <w:pPr>
            <w:pStyle w:val="Header"/>
            <w:spacing w:line="276" w:lineRule="auto"/>
            <w:rPr>
              <w:rFonts w:ascii="Cambria" w:eastAsia="MS Gothic" w:hAnsi="Cambria"/>
              <w:b/>
              <w:bCs/>
              <w:color w:val="4F81BD"/>
            </w:rPr>
          </w:pPr>
        </w:p>
      </w:tc>
    </w:tr>
    <w:tr w:rsidR="00BB4C6D" w:rsidRPr="008E0D90" w14:paraId="47AAFBBB" w14:textId="77777777" w:rsidTr="00A06225">
      <w:trPr>
        <w:trHeight w:val="150"/>
      </w:trPr>
      <w:tc>
        <w:tcPr>
          <w:tcW w:w="2389" w:type="pct"/>
          <w:tcBorders>
            <w:top w:val="single" w:sz="4" w:space="0" w:color="4F81BD"/>
            <w:left w:val="nil"/>
            <w:bottom w:val="nil"/>
            <w:right w:val="nil"/>
          </w:tcBorders>
        </w:tcPr>
        <w:p w14:paraId="738A7225" w14:textId="77777777" w:rsidR="00BB4C6D" w:rsidRPr="00A06225" w:rsidRDefault="00BB4C6D">
          <w:pPr>
            <w:pStyle w:val="Header"/>
            <w:spacing w:line="276" w:lineRule="auto"/>
            <w:rPr>
              <w:rFonts w:ascii="Cambria" w:eastAsia="MS Gothic" w:hAnsi="Cambria"/>
              <w:b/>
              <w:bCs/>
              <w:color w:val="4F81BD"/>
            </w:rPr>
          </w:pPr>
        </w:p>
      </w:tc>
      <w:tc>
        <w:tcPr>
          <w:tcW w:w="0" w:type="auto"/>
          <w:vMerge/>
          <w:vAlign w:val="center"/>
          <w:hideMark/>
        </w:tcPr>
        <w:p w14:paraId="2149F08D" w14:textId="77777777" w:rsidR="00BB4C6D" w:rsidRPr="00A06225" w:rsidRDefault="00BB4C6D">
          <w:pPr>
            <w:rPr>
              <w:rFonts w:ascii="Cambria" w:hAnsi="Cambria"/>
              <w:color w:val="4F81BD"/>
              <w:sz w:val="22"/>
              <w:szCs w:val="22"/>
            </w:rPr>
          </w:pPr>
        </w:p>
      </w:tc>
      <w:tc>
        <w:tcPr>
          <w:tcW w:w="2278" w:type="pct"/>
          <w:tcBorders>
            <w:top w:val="single" w:sz="4" w:space="0" w:color="4F81BD"/>
            <w:left w:val="nil"/>
            <w:bottom w:val="nil"/>
            <w:right w:val="nil"/>
          </w:tcBorders>
        </w:tcPr>
        <w:p w14:paraId="2C9E157C" w14:textId="77777777" w:rsidR="00BB4C6D" w:rsidRPr="00A06225" w:rsidRDefault="00BB4C6D">
          <w:pPr>
            <w:pStyle w:val="Header"/>
            <w:spacing w:line="276" w:lineRule="auto"/>
            <w:rPr>
              <w:rFonts w:ascii="Cambria" w:eastAsia="MS Gothic" w:hAnsi="Cambria"/>
              <w:b/>
              <w:bCs/>
              <w:color w:val="4F81BD"/>
            </w:rPr>
          </w:pPr>
        </w:p>
      </w:tc>
    </w:tr>
  </w:tbl>
  <w:p w14:paraId="05880BEE" w14:textId="77777777" w:rsidR="00BB4C6D" w:rsidRDefault="00BB4C6D">
    <w:pPr>
      <w:pStyle w:val="Header"/>
    </w:pPr>
  </w:p>
  <w:p w14:paraId="4F3E5884" w14:textId="77777777" w:rsidR="00BB4C6D" w:rsidRDefault="00BB4C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4DC3" w14:textId="77777777" w:rsidR="004450D5" w:rsidRPr="00056684" w:rsidRDefault="00EB7826" w:rsidP="004450D5">
    <w:pPr>
      <w:pStyle w:val="Header"/>
      <w:ind w:left="360"/>
      <w:rPr>
        <w:rFonts w:asciiTheme="minorHAnsi" w:hAnsiTheme="minorHAnsi" w:cs="Arial"/>
        <w:i/>
        <w:color w:val="808080"/>
      </w:rPr>
    </w:pPr>
    <w:bookmarkStart w:id="11" w:name="_Hlk76375146"/>
    <w:r>
      <w:rPr>
        <w:rFonts w:asciiTheme="minorHAnsi" w:hAnsiTheme="minorHAnsi" w:cs="Arial"/>
        <w:i/>
        <w:color w:val="808080"/>
      </w:rPr>
      <w:t>Public Summary Document</w:t>
    </w:r>
    <w:r w:rsidR="004450D5" w:rsidRPr="00056684">
      <w:rPr>
        <w:rFonts w:asciiTheme="minorHAnsi" w:hAnsiTheme="minorHAnsi" w:cs="Arial"/>
        <w:i/>
        <w:color w:val="808080"/>
      </w:rPr>
      <w:t xml:space="preserve"> – </w:t>
    </w:r>
    <w:r w:rsidR="0014519E">
      <w:rPr>
        <w:rFonts w:asciiTheme="minorHAnsi" w:hAnsiTheme="minorHAnsi" w:cs="Arial"/>
        <w:i/>
        <w:color w:val="808080"/>
      </w:rPr>
      <w:t>November</w:t>
    </w:r>
    <w:r w:rsidR="004450D5">
      <w:rPr>
        <w:rFonts w:asciiTheme="minorHAnsi" w:hAnsiTheme="minorHAnsi" w:cs="Arial"/>
        <w:i/>
        <w:color w:val="808080"/>
      </w:rPr>
      <w:t xml:space="preserve"> 2021</w:t>
    </w:r>
    <w:r w:rsidR="004450D5" w:rsidRPr="00056684">
      <w:rPr>
        <w:rFonts w:asciiTheme="minorHAnsi" w:hAnsiTheme="minorHAnsi" w:cs="Arial"/>
        <w:i/>
        <w:color w:val="808080"/>
      </w:rPr>
      <w:t xml:space="preserve"> PBAC Meeting</w:t>
    </w:r>
  </w:p>
  <w:bookmarkEnd w:id="11"/>
  <w:p w14:paraId="323A1053" w14:textId="77777777" w:rsidR="00BB4C6D" w:rsidRDefault="00BB4C6D"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C202428C"/>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244933"/>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1B0D18"/>
    <w:multiLevelType w:val="hybridMultilevel"/>
    <w:tmpl w:val="FC888B2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0"/>
  </w:num>
  <w:num w:numId="4">
    <w:abstractNumId w:val="9"/>
  </w:num>
  <w:num w:numId="5">
    <w:abstractNumId w:val="13"/>
  </w:num>
  <w:num w:numId="6">
    <w:abstractNumId w:val="11"/>
  </w:num>
  <w:num w:numId="7">
    <w:abstractNumId w:val="6"/>
  </w:num>
  <w:num w:numId="8">
    <w:abstractNumId w:val="5"/>
  </w:num>
  <w:num w:numId="9">
    <w:abstractNumId w:val="1"/>
  </w:num>
  <w:num w:numId="10">
    <w:abstractNumId w:val="12"/>
  </w:num>
  <w:num w:numId="11">
    <w:abstractNumId w:val="10"/>
  </w:num>
  <w:num w:numId="12">
    <w:abstractNumId w:val="2"/>
  </w:num>
  <w:num w:numId="13">
    <w:abstractNumId w:val="8"/>
  </w:num>
  <w:num w:numId="14">
    <w:abstractNumId w:val="12"/>
  </w:num>
  <w:num w:numId="15">
    <w:abstractNumId w:val="3"/>
  </w:num>
  <w:num w:numId="16">
    <w:abstractNumId w:val="7"/>
  </w:num>
  <w:num w:numId="17">
    <w:abstractNumId w:val="12"/>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1A59"/>
    <w:rsid w:val="00014D69"/>
    <w:rsid w:val="00015BD0"/>
    <w:rsid w:val="00016A41"/>
    <w:rsid w:val="00016A63"/>
    <w:rsid w:val="000214D1"/>
    <w:rsid w:val="00022532"/>
    <w:rsid w:val="0002464A"/>
    <w:rsid w:val="00025A04"/>
    <w:rsid w:val="0002693D"/>
    <w:rsid w:val="0003050E"/>
    <w:rsid w:val="0003106B"/>
    <w:rsid w:val="00034905"/>
    <w:rsid w:val="000421A1"/>
    <w:rsid w:val="0004240E"/>
    <w:rsid w:val="00044EC4"/>
    <w:rsid w:val="00045CF0"/>
    <w:rsid w:val="00045E26"/>
    <w:rsid w:val="000514B5"/>
    <w:rsid w:val="00051508"/>
    <w:rsid w:val="0005322E"/>
    <w:rsid w:val="00054E2B"/>
    <w:rsid w:val="00060E64"/>
    <w:rsid w:val="00062E88"/>
    <w:rsid w:val="00066193"/>
    <w:rsid w:val="00066755"/>
    <w:rsid w:val="00071A5B"/>
    <w:rsid w:val="00072730"/>
    <w:rsid w:val="0007337F"/>
    <w:rsid w:val="00074320"/>
    <w:rsid w:val="000763D5"/>
    <w:rsid w:val="00076C38"/>
    <w:rsid w:val="00077143"/>
    <w:rsid w:val="0007754F"/>
    <w:rsid w:val="00077DF7"/>
    <w:rsid w:val="0008050C"/>
    <w:rsid w:val="00082169"/>
    <w:rsid w:val="0008264F"/>
    <w:rsid w:val="000834BE"/>
    <w:rsid w:val="00083F01"/>
    <w:rsid w:val="00087C4C"/>
    <w:rsid w:val="000918CB"/>
    <w:rsid w:val="00091B06"/>
    <w:rsid w:val="000951C4"/>
    <w:rsid w:val="00095ADA"/>
    <w:rsid w:val="000969AD"/>
    <w:rsid w:val="000975FB"/>
    <w:rsid w:val="000A02F8"/>
    <w:rsid w:val="000A3AA2"/>
    <w:rsid w:val="000A44B2"/>
    <w:rsid w:val="000A52F6"/>
    <w:rsid w:val="000B3D90"/>
    <w:rsid w:val="000B44C3"/>
    <w:rsid w:val="000B558D"/>
    <w:rsid w:val="000B5A89"/>
    <w:rsid w:val="000B608A"/>
    <w:rsid w:val="000B65F6"/>
    <w:rsid w:val="000B7767"/>
    <w:rsid w:val="000C5F95"/>
    <w:rsid w:val="000C6996"/>
    <w:rsid w:val="000C7C46"/>
    <w:rsid w:val="000D09E9"/>
    <w:rsid w:val="000D113F"/>
    <w:rsid w:val="000D23BA"/>
    <w:rsid w:val="000D5699"/>
    <w:rsid w:val="000E19B7"/>
    <w:rsid w:val="000E20FC"/>
    <w:rsid w:val="000E26A1"/>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059F9"/>
    <w:rsid w:val="001107BF"/>
    <w:rsid w:val="00113649"/>
    <w:rsid w:val="00113D5C"/>
    <w:rsid w:val="001220F6"/>
    <w:rsid w:val="0012417C"/>
    <w:rsid w:val="00124BF2"/>
    <w:rsid w:val="0012597F"/>
    <w:rsid w:val="0012749D"/>
    <w:rsid w:val="00127EB5"/>
    <w:rsid w:val="001306A5"/>
    <w:rsid w:val="00130918"/>
    <w:rsid w:val="001311AE"/>
    <w:rsid w:val="00131732"/>
    <w:rsid w:val="00140B74"/>
    <w:rsid w:val="00140D94"/>
    <w:rsid w:val="00142395"/>
    <w:rsid w:val="00142714"/>
    <w:rsid w:val="00144D09"/>
    <w:rsid w:val="0014519E"/>
    <w:rsid w:val="001452ED"/>
    <w:rsid w:val="00147D84"/>
    <w:rsid w:val="001543ED"/>
    <w:rsid w:val="001549C1"/>
    <w:rsid w:val="00156C8D"/>
    <w:rsid w:val="00160F4D"/>
    <w:rsid w:val="00162BDD"/>
    <w:rsid w:val="00162D4E"/>
    <w:rsid w:val="00163329"/>
    <w:rsid w:val="00164623"/>
    <w:rsid w:val="001652DE"/>
    <w:rsid w:val="00165B64"/>
    <w:rsid w:val="00167C39"/>
    <w:rsid w:val="00175B49"/>
    <w:rsid w:val="00176B9D"/>
    <w:rsid w:val="00180713"/>
    <w:rsid w:val="00180720"/>
    <w:rsid w:val="001830CE"/>
    <w:rsid w:val="001836E3"/>
    <w:rsid w:val="0018643B"/>
    <w:rsid w:val="00193220"/>
    <w:rsid w:val="00196307"/>
    <w:rsid w:val="00197817"/>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E84"/>
    <w:rsid w:val="001C2E42"/>
    <w:rsid w:val="001C33F8"/>
    <w:rsid w:val="001D1F5F"/>
    <w:rsid w:val="001E06D2"/>
    <w:rsid w:val="001E17C4"/>
    <w:rsid w:val="001E29D6"/>
    <w:rsid w:val="001E58D4"/>
    <w:rsid w:val="001E7BCD"/>
    <w:rsid w:val="001F005B"/>
    <w:rsid w:val="001F1850"/>
    <w:rsid w:val="001F1FBF"/>
    <w:rsid w:val="001F2170"/>
    <w:rsid w:val="001F2B80"/>
    <w:rsid w:val="001F2D85"/>
    <w:rsid w:val="001F2F1C"/>
    <w:rsid w:val="001F3189"/>
    <w:rsid w:val="002006D1"/>
    <w:rsid w:val="00201735"/>
    <w:rsid w:val="00201FB8"/>
    <w:rsid w:val="00203FAC"/>
    <w:rsid w:val="00211289"/>
    <w:rsid w:val="00213CFB"/>
    <w:rsid w:val="0021553C"/>
    <w:rsid w:val="0021557B"/>
    <w:rsid w:val="0021610B"/>
    <w:rsid w:val="00216B87"/>
    <w:rsid w:val="002174FD"/>
    <w:rsid w:val="00217BE1"/>
    <w:rsid w:val="002214B9"/>
    <w:rsid w:val="00223370"/>
    <w:rsid w:val="0022438E"/>
    <w:rsid w:val="00230F63"/>
    <w:rsid w:val="00234252"/>
    <w:rsid w:val="0023466E"/>
    <w:rsid w:val="0023592F"/>
    <w:rsid w:val="00237AC6"/>
    <w:rsid w:val="00244139"/>
    <w:rsid w:val="00244490"/>
    <w:rsid w:val="00245B9C"/>
    <w:rsid w:val="00247DA8"/>
    <w:rsid w:val="00253499"/>
    <w:rsid w:val="002551A4"/>
    <w:rsid w:val="00257664"/>
    <w:rsid w:val="00260165"/>
    <w:rsid w:val="00265151"/>
    <w:rsid w:val="00265C2C"/>
    <w:rsid w:val="00266509"/>
    <w:rsid w:val="00271BA1"/>
    <w:rsid w:val="00273AC5"/>
    <w:rsid w:val="00276045"/>
    <w:rsid w:val="002762FA"/>
    <w:rsid w:val="00277505"/>
    <w:rsid w:val="0028158C"/>
    <w:rsid w:val="002823B6"/>
    <w:rsid w:val="00290C03"/>
    <w:rsid w:val="0029180C"/>
    <w:rsid w:val="00294274"/>
    <w:rsid w:val="0029458F"/>
    <w:rsid w:val="00297790"/>
    <w:rsid w:val="002A018F"/>
    <w:rsid w:val="002A0E04"/>
    <w:rsid w:val="002A104C"/>
    <w:rsid w:val="002A1EF7"/>
    <w:rsid w:val="002A494D"/>
    <w:rsid w:val="002A4960"/>
    <w:rsid w:val="002A636A"/>
    <w:rsid w:val="002B0AE0"/>
    <w:rsid w:val="002B1AE6"/>
    <w:rsid w:val="002B1D51"/>
    <w:rsid w:val="002B2DE8"/>
    <w:rsid w:val="002B30F8"/>
    <w:rsid w:val="002B388A"/>
    <w:rsid w:val="002B3C1A"/>
    <w:rsid w:val="002B42FC"/>
    <w:rsid w:val="002B5596"/>
    <w:rsid w:val="002B597E"/>
    <w:rsid w:val="002B77D7"/>
    <w:rsid w:val="002C212F"/>
    <w:rsid w:val="002C2F35"/>
    <w:rsid w:val="002C60CF"/>
    <w:rsid w:val="002C6AA9"/>
    <w:rsid w:val="002C7485"/>
    <w:rsid w:val="002D0F78"/>
    <w:rsid w:val="002D2641"/>
    <w:rsid w:val="002D283A"/>
    <w:rsid w:val="002D4543"/>
    <w:rsid w:val="002E3153"/>
    <w:rsid w:val="002E4A02"/>
    <w:rsid w:val="002E5292"/>
    <w:rsid w:val="002E72CA"/>
    <w:rsid w:val="002F1D07"/>
    <w:rsid w:val="002F600D"/>
    <w:rsid w:val="002F6F0F"/>
    <w:rsid w:val="002F7E47"/>
    <w:rsid w:val="00300AD6"/>
    <w:rsid w:val="00300B1B"/>
    <w:rsid w:val="003019D0"/>
    <w:rsid w:val="003064AF"/>
    <w:rsid w:val="00307DC6"/>
    <w:rsid w:val="00310A8B"/>
    <w:rsid w:val="00310B68"/>
    <w:rsid w:val="003160D2"/>
    <w:rsid w:val="003173FC"/>
    <w:rsid w:val="00317C6C"/>
    <w:rsid w:val="00320B80"/>
    <w:rsid w:val="00320CD3"/>
    <w:rsid w:val="00325AD0"/>
    <w:rsid w:val="00326E79"/>
    <w:rsid w:val="0032748A"/>
    <w:rsid w:val="00327776"/>
    <w:rsid w:val="003301B1"/>
    <w:rsid w:val="00331189"/>
    <w:rsid w:val="0033263D"/>
    <w:rsid w:val="003334B9"/>
    <w:rsid w:val="003338C1"/>
    <w:rsid w:val="00334E69"/>
    <w:rsid w:val="0033518A"/>
    <w:rsid w:val="00335535"/>
    <w:rsid w:val="003367EF"/>
    <w:rsid w:val="003409B2"/>
    <w:rsid w:val="00341AE4"/>
    <w:rsid w:val="003476EE"/>
    <w:rsid w:val="003541DD"/>
    <w:rsid w:val="00356E5B"/>
    <w:rsid w:val="00360E73"/>
    <w:rsid w:val="00366AB8"/>
    <w:rsid w:val="003736C9"/>
    <w:rsid w:val="00373873"/>
    <w:rsid w:val="00375B9D"/>
    <w:rsid w:val="00383B77"/>
    <w:rsid w:val="00384988"/>
    <w:rsid w:val="003872CF"/>
    <w:rsid w:val="003907CC"/>
    <w:rsid w:val="0039782C"/>
    <w:rsid w:val="003A13A6"/>
    <w:rsid w:val="003A2165"/>
    <w:rsid w:val="003A3AF3"/>
    <w:rsid w:val="003A5B4A"/>
    <w:rsid w:val="003A5D95"/>
    <w:rsid w:val="003B07FD"/>
    <w:rsid w:val="003B0D3A"/>
    <w:rsid w:val="003B2302"/>
    <w:rsid w:val="003B23C5"/>
    <w:rsid w:val="003B2A75"/>
    <w:rsid w:val="003B49B2"/>
    <w:rsid w:val="003B6124"/>
    <w:rsid w:val="003B7960"/>
    <w:rsid w:val="003C0908"/>
    <w:rsid w:val="003C093A"/>
    <w:rsid w:val="003C15D5"/>
    <w:rsid w:val="003C1ECF"/>
    <w:rsid w:val="003C2FB5"/>
    <w:rsid w:val="003D0CC0"/>
    <w:rsid w:val="003D24C5"/>
    <w:rsid w:val="003D4594"/>
    <w:rsid w:val="003D4AC4"/>
    <w:rsid w:val="003D63B7"/>
    <w:rsid w:val="003D74C5"/>
    <w:rsid w:val="003E39AC"/>
    <w:rsid w:val="003E4374"/>
    <w:rsid w:val="003E468B"/>
    <w:rsid w:val="003E5781"/>
    <w:rsid w:val="003E62BD"/>
    <w:rsid w:val="003F044F"/>
    <w:rsid w:val="003F0C3A"/>
    <w:rsid w:val="003F15F0"/>
    <w:rsid w:val="003F3228"/>
    <w:rsid w:val="003F5C8C"/>
    <w:rsid w:val="003F63CE"/>
    <w:rsid w:val="003F775A"/>
    <w:rsid w:val="00400492"/>
    <w:rsid w:val="00400E55"/>
    <w:rsid w:val="0040128E"/>
    <w:rsid w:val="0040216B"/>
    <w:rsid w:val="0040590E"/>
    <w:rsid w:val="00414F0C"/>
    <w:rsid w:val="00415B91"/>
    <w:rsid w:val="00420400"/>
    <w:rsid w:val="004252EC"/>
    <w:rsid w:val="00430D39"/>
    <w:rsid w:val="00435099"/>
    <w:rsid w:val="00442C91"/>
    <w:rsid w:val="004450D5"/>
    <w:rsid w:val="004465BD"/>
    <w:rsid w:val="00446938"/>
    <w:rsid w:val="004528FA"/>
    <w:rsid w:val="00461A44"/>
    <w:rsid w:val="00462D26"/>
    <w:rsid w:val="0046385A"/>
    <w:rsid w:val="00464039"/>
    <w:rsid w:val="00466ADA"/>
    <w:rsid w:val="004702BB"/>
    <w:rsid w:val="0047494B"/>
    <w:rsid w:val="00476245"/>
    <w:rsid w:val="00477A9B"/>
    <w:rsid w:val="00477DCB"/>
    <w:rsid w:val="00483035"/>
    <w:rsid w:val="00484C58"/>
    <w:rsid w:val="00485940"/>
    <w:rsid w:val="00486C95"/>
    <w:rsid w:val="004877C2"/>
    <w:rsid w:val="004904B9"/>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FFA"/>
    <w:rsid w:val="004C691D"/>
    <w:rsid w:val="004C6C07"/>
    <w:rsid w:val="004C7E15"/>
    <w:rsid w:val="004D1F4E"/>
    <w:rsid w:val="004D2CD1"/>
    <w:rsid w:val="004D4FF6"/>
    <w:rsid w:val="004D5ADD"/>
    <w:rsid w:val="004E692D"/>
    <w:rsid w:val="004E7230"/>
    <w:rsid w:val="004E7D87"/>
    <w:rsid w:val="004F2553"/>
    <w:rsid w:val="004F306A"/>
    <w:rsid w:val="00501554"/>
    <w:rsid w:val="005025B7"/>
    <w:rsid w:val="00502AFE"/>
    <w:rsid w:val="00502E64"/>
    <w:rsid w:val="00503AD7"/>
    <w:rsid w:val="00503E89"/>
    <w:rsid w:val="00504E0C"/>
    <w:rsid w:val="00504E13"/>
    <w:rsid w:val="00507641"/>
    <w:rsid w:val="005100FC"/>
    <w:rsid w:val="005109D4"/>
    <w:rsid w:val="00514CD7"/>
    <w:rsid w:val="005167EC"/>
    <w:rsid w:val="005170DA"/>
    <w:rsid w:val="00520D6A"/>
    <w:rsid w:val="00522DB6"/>
    <w:rsid w:val="005264A7"/>
    <w:rsid w:val="0052792D"/>
    <w:rsid w:val="005319B2"/>
    <w:rsid w:val="00532402"/>
    <w:rsid w:val="00532C74"/>
    <w:rsid w:val="005344C1"/>
    <w:rsid w:val="00534E2E"/>
    <w:rsid w:val="00535133"/>
    <w:rsid w:val="0054064C"/>
    <w:rsid w:val="00544552"/>
    <w:rsid w:val="00545130"/>
    <w:rsid w:val="00547789"/>
    <w:rsid w:val="0055286A"/>
    <w:rsid w:val="005551F7"/>
    <w:rsid w:val="00555745"/>
    <w:rsid w:val="00557D4F"/>
    <w:rsid w:val="0056122E"/>
    <w:rsid w:val="0056484E"/>
    <w:rsid w:val="00567D8A"/>
    <w:rsid w:val="005764CD"/>
    <w:rsid w:val="00577C4D"/>
    <w:rsid w:val="00580532"/>
    <w:rsid w:val="00581932"/>
    <w:rsid w:val="00585379"/>
    <w:rsid w:val="005963BB"/>
    <w:rsid w:val="005A15D2"/>
    <w:rsid w:val="005A3173"/>
    <w:rsid w:val="005A3223"/>
    <w:rsid w:val="005A3DA3"/>
    <w:rsid w:val="005A52C4"/>
    <w:rsid w:val="005A63A1"/>
    <w:rsid w:val="005A7F68"/>
    <w:rsid w:val="005B1473"/>
    <w:rsid w:val="005C0220"/>
    <w:rsid w:val="005C4D69"/>
    <w:rsid w:val="005C4F73"/>
    <w:rsid w:val="005D0279"/>
    <w:rsid w:val="005D03AB"/>
    <w:rsid w:val="005D401D"/>
    <w:rsid w:val="005D5017"/>
    <w:rsid w:val="005D63FA"/>
    <w:rsid w:val="005D73C7"/>
    <w:rsid w:val="005E0C2D"/>
    <w:rsid w:val="005E0D82"/>
    <w:rsid w:val="005E0F59"/>
    <w:rsid w:val="005E1333"/>
    <w:rsid w:val="005E28A0"/>
    <w:rsid w:val="005E3136"/>
    <w:rsid w:val="005E507D"/>
    <w:rsid w:val="005F0AD0"/>
    <w:rsid w:val="00601A91"/>
    <w:rsid w:val="00602BA3"/>
    <w:rsid w:val="00605B63"/>
    <w:rsid w:val="00605F9A"/>
    <w:rsid w:val="00606442"/>
    <w:rsid w:val="00606EED"/>
    <w:rsid w:val="0060722F"/>
    <w:rsid w:val="00612A95"/>
    <w:rsid w:val="00612E34"/>
    <w:rsid w:val="00614159"/>
    <w:rsid w:val="006158A3"/>
    <w:rsid w:val="00616C5F"/>
    <w:rsid w:val="00616DAC"/>
    <w:rsid w:val="00617725"/>
    <w:rsid w:val="00617C00"/>
    <w:rsid w:val="006263BF"/>
    <w:rsid w:val="0062748A"/>
    <w:rsid w:val="00630546"/>
    <w:rsid w:val="00630A2C"/>
    <w:rsid w:val="006358A7"/>
    <w:rsid w:val="0063682E"/>
    <w:rsid w:val="00640088"/>
    <w:rsid w:val="00642672"/>
    <w:rsid w:val="00642DA8"/>
    <w:rsid w:val="006436CD"/>
    <w:rsid w:val="00643EA1"/>
    <w:rsid w:val="00646079"/>
    <w:rsid w:val="00651169"/>
    <w:rsid w:val="00653D69"/>
    <w:rsid w:val="0065452F"/>
    <w:rsid w:val="006552E6"/>
    <w:rsid w:val="00655794"/>
    <w:rsid w:val="00656F2F"/>
    <w:rsid w:val="00657C63"/>
    <w:rsid w:val="00660E5E"/>
    <w:rsid w:val="00661CBC"/>
    <w:rsid w:val="00662B85"/>
    <w:rsid w:val="006658B8"/>
    <w:rsid w:val="006670BE"/>
    <w:rsid w:val="00670A76"/>
    <w:rsid w:val="006711AA"/>
    <w:rsid w:val="00672B57"/>
    <w:rsid w:val="00673F1F"/>
    <w:rsid w:val="00675622"/>
    <w:rsid w:val="0067747D"/>
    <w:rsid w:val="006818D5"/>
    <w:rsid w:val="00681CA4"/>
    <w:rsid w:val="006874ED"/>
    <w:rsid w:val="0069039D"/>
    <w:rsid w:val="006906DB"/>
    <w:rsid w:val="00691900"/>
    <w:rsid w:val="00691E6C"/>
    <w:rsid w:val="006930B0"/>
    <w:rsid w:val="0069342D"/>
    <w:rsid w:val="00693DFB"/>
    <w:rsid w:val="00694FD5"/>
    <w:rsid w:val="0069501D"/>
    <w:rsid w:val="00696129"/>
    <w:rsid w:val="00697CF2"/>
    <w:rsid w:val="006A12A5"/>
    <w:rsid w:val="006A2515"/>
    <w:rsid w:val="006A5E20"/>
    <w:rsid w:val="006B0D94"/>
    <w:rsid w:val="006B187B"/>
    <w:rsid w:val="006B485D"/>
    <w:rsid w:val="006C0C45"/>
    <w:rsid w:val="006C1EE7"/>
    <w:rsid w:val="006C334C"/>
    <w:rsid w:val="006C5386"/>
    <w:rsid w:val="006C6C10"/>
    <w:rsid w:val="006C708E"/>
    <w:rsid w:val="006D14E7"/>
    <w:rsid w:val="006D4444"/>
    <w:rsid w:val="006D6493"/>
    <w:rsid w:val="006D6EC7"/>
    <w:rsid w:val="006D6FC7"/>
    <w:rsid w:val="006E1BCD"/>
    <w:rsid w:val="006E2732"/>
    <w:rsid w:val="006E59CD"/>
    <w:rsid w:val="006F0A71"/>
    <w:rsid w:val="006F1C6B"/>
    <w:rsid w:val="006F40C2"/>
    <w:rsid w:val="006F4B4C"/>
    <w:rsid w:val="006F5125"/>
    <w:rsid w:val="006F733D"/>
    <w:rsid w:val="00700765"/>
    <w:rsid w:val="00702959"/>
    <w:rsid w:val="00702B6F"/>
    <w:rsid w:val="00704069"/>
    <w:rsid w:val="00706A2F"/>
    <w:rsid w:val="0070718E"/>
    <w:rsid w:val="007076A8"/>
    <w:rsid w:val="00707E52"/>
    <w:rsid w:val="00710259"/>
    <w:rsid w:val="0071031F"/>
    <w:rsid w:val="0071340B"/>
    <w:rsid w:val="0071436D"/>
    <w:rsid w:val="00715274"/>
    <w:rsid w:val="00715BBB"/>
    <w:rsid w:val="007174BB"/>
    <w:rsid w:val="0072025D"/>
    <w:rsid w:val="00723328"/>
    <w:rsid w:val="0073137C"/>
    <w:rsid w:val="007340B9"/>
    <w:rsid w:val="007353D3"/>
    <w:rsid w:val="0074156B"/>
    <w:rsid w:val="00741619"/>
    <w:rsid w:val="00747092"/>
    <w:rsid w:val="007526E6"/>
    <w:rsid w:val="00754DF9"/>
    <w:rsid w:val="007555E8"/>
    <w:rsid w:val="00755CC5"/>
    <w:rsid w:val="00756AC4"/>
    <w:rsid w:val="007607C7"/>
    <w:rsid w:val="0076239B"/>
    <w:rsid w:val="0076420C"/>
    <w:rsid w:val="007648D5"/>
    <w:rsid w:val="007657BF"/>
    <w:rsid w:val="00771D07"/>
    <w:rsid w:val="00773BE3"/>
    <w:rsid w:val="007743DD"/>
    <w:rsid w:val="00774E2C"/>
    <w:rsid w:val="0077518D"/>
    <w:rsid w:val="007753C2"/>
    <w:rsid w:val="007810E1"/>
    <w:rsid w:val="007838B8"/>
    <w:rsid w:val="00784CB0"/>
    <w:rsid w:val="00787FD8"/>
    <w:rsid w:val="007915BA"/>
    <w:rsid w:val="00791844"/>
    <w:rsid w:val="007940E7"/>
    <w:rsid w:val="007979BD"/>
    <w:rsid w:val="007A1065"/>
    <w:rsid w:val="007A2EB6"/>
    <w:rsid w:val="007A6A2F"/>
    <w:rsid w:val="007B024E"/>
    <w:rsid w:val="007B3DDC"/>
    <w:rsid w:val="007B406F"/>
    <w:rsid w:val="007B72A6"/>
    <w:rsid w:val="007C06D2"/>
    <w:rsid w:val="007C08E0"/>
    <w:rsid w:val="007C0F57"/>
    <w:rsid w:val="007C40B6"/>
    <w:rsid w:val="007C463B"/>
    <w:rsid w:val="007C5D86"/>
    <w:rsid w:val="007C729F"/>
    <w:rsid w:val="007D1681"/>
    <w:rsid w:val="007D503D"/>
    <w:rsid w:val="007D59E7"/>
    <w:rsid w:val="007D5C81"/>
    <w:rsid w:val="007D5D7C"/>
    <w:rsid w:val="007D5F2A"/>
    <w:rsid w:val="007E1D28"/>
    <w:rsid w:val="007E1EC9"/>
    <w:rsid w:val="007E490F"/>
    <w:rsid w:val="007E7C30"/>
    <w:rsid w:val="007F0021"/>
    <w:rsid w:val="007F2641"/>
    <w:rsid w:val="007F31E4"/>
    <w:rsid w:val="007F7C36"/>
    <w:rsid w:val="008006B4"/>
    <w:rsid w:val="008055AF"/>
    <w:rsid w:val="008057CD"/>
    <w:rsid w:val="00806796"/>
    <w:rsid w:val="00810167"/>
    <w:rsid w:val="00810BC6"/>
    <w:rsid w:val="00811CC0"/>
    <w:rsid w:val="008151D6"/>
    <w:rsid w:val="00821527"/>
    <w:rsid w:val="00822696"/>
    <w:rsid w:val="008259CE"/>
    <w:rsid w:val="00825A6C"/>
    <w:rsid w:val="0082617E"/>
    <w:rsid w:val="008268BB"/>
    <w:rsid w:val="00826F6D"/>
    <w:rsid w:val="008306F3"/>
    <w:rsid w:val="00830E40"/>
    <w:rsid w:val="00832D9A"/>
    <w:rsid w:val="00835C23"/>
    <w:rsid w:val="00835C62"/>
    <w:rsid w:val="008364CC"/>
    <w:rsid w:val="008368A1"/>
    <w:rsid w:val="00840EF7"/>
    <w:rsid w:val="00844C0A"/>
    <w:rsid w:val="00846056"/>
    <w:rsid w:val="0084681F"/>
    <w:rsid w:val="00847EC0"/>
    <w:rsid w:val="00853E32"/>
    <w:rsid w:val="00855FD6"/>
    <w:rsid w:val="00856DDD"/>
    <w:rsid w:val="00863E68"/>
    <w:rsid w:val="008647B5"/>
    <w:rsid w:val="008649AF"/>
    <w:rsid w:val="00867D64"/>
    <w:rsid w:val="00870220"/>
    <w:rsid w:val="00872E8F"/>
    <w:rsid w:val="00875467"/>
    <w:rsid w:val="00875DCB"/>
    <w:rsid w:val="0087755A"/>
    <w:rsid w:val="00882085"/>
    <w:rsid w:val="00883188"/>
    <w:rsid w:val="0088485F"/>
    <w:rsid w:val="00884A0C"/>
    <w:rsid w:val="00886ACA"/>
    <w:rsid w:val="0089031E"/>
    <w:rsid w:val="0089460B"/>
    <w:rsid w:val="00897262"/>
    <w:rsid w:val="00897D58"/>
    <w:rsid w:val="00897F22"/>
    <w:rsid w:val="008A0B39"/>
    <w:rsid w:val="008A17A3"/>
    <w:rsid w:val="008A1956"/>
    <w:rsid w:val="008A1E85"/>
    <w:rsid w:val="008A2419"/>
    <w:rsid w:val="008A3A07"/>
    <w:rsid w:val="008A4937"/>
    <w:rsid w:val="008A50F1"/>
    <w:rsid w:val="008A59D9"/>
    <w:rsid w:val="008A643E"/>
    <w:rsid w:val="008A6819"/>
    <w:rsid w:val="008B1BF3"/>
    <w:rsid w:val="008B2EC0"/>
    <w:rsid w:val="008B6DCF"/>
    <w:rsid w:val="008C022F"/>
    <w:rsid w:val="008D0945"/>
    <w:rsid w:val="008D1409"/>
    <w:rsid w:val="008D15CC"/>
    <w:rsid w:val="008D1729"/>
    <w:rsid w:val="008D1B5C"/>
    <w:rsid w:val="008D3C82"/>
    <w:rsid w:val="008D447E"/>
    <w:rsid w:val="008D6ACF"/>
    <w:rsid w:val="008D7A41"/>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49D6"/>
    <w:rsid w:val="009067B7"/>
    <w:rsid w:val="0090775A"/>
    <w:rsid w:val="00907DFD"/>
    <w:rsid w:val="00910338"/>
    <w:rsid w:val="00912630"/>
    <w:rsid w:val="00913C99"/>
    <w:rsid w:val="00917D69"/>
    <w:rsid w:val="00920B6D"/>
    <w:rsid w:val="00926560"/>
    <w:rsid w:val="00926B15"/>
    <w:rsid w:val="00930291"/>
    <w:rsid w:val="0093029C"/>
    <w:rsid w:val="00930937"/>
    <w:rsid w:val="009324A6"/>
    <w:rsid w:val="00933E6C"/>
    <w:rsid w:val="00935A6E"/>
    <w:rsid w:val="00937958"/>
    <w:rsid w:val="009406E5"/>
    <w:rsid w:val="00941602"/>
    <w:rsid w:val="00942160"/>
    <w:rsid w:val="00946921"/>
    <w:rsid w:val="00947343"/>
    <w:rsid w:val="0095146F"/>
    <w:rsid w:val="009534C7"/>
    <w:rsid w:val="0095624F"/>
    <w:rsid w:val="00957944"/>
    <w:rsid w:val="009602C5"/>
    <w:rsid w:val="00962223"/>
    <w:rsid w:val="0096252B"/>
    <w:rsid w:val="00964A9F"/>
    <w:rsid w:val="00964C4B"/>
    <w:rsid w:val="00966D0D"/>
    <w:rsid w:val="00967732"/>
    <w:rsid w:val="0096783C"/>
    <w:rsid w:val="009722B3"/>
    <w:rsid w:val="00973E24"/>
    <w:rsid w:val="00974C21"/>
    <w:rsid w:val="009755AE"/>
    <w:rsid w:val="00975948"/>
    <w:rsid w:val="00977BF3"/>
    <w:rsid w:val="009803E4"/>
    <w:rsid w:val="00980B0E"/>
    <w:rsid w:val="00982B39"/>
    <w:rsid w:val="009836A3"/>
    <w:rsid w:val="00984C58"/>
    <w:rsid w:val="009855A8"/>
    <w:rsid w:val="00985D1A"/>
    <w:rsid w:val="009913F4"/>
    <w:rsid w:val="00991782"/>
    <w:rsid w:val="009937F7"/>
    <w:rsid w:val="0099465B"/>
    <w:rsid w:val="009951A1"/>
    <w:rsid w:val="00997A44"/>
    <w:rsid w:val="009A0CDD"/>
    <w:rsid w:val="009A3168"/>
    <w:rsid w:val="009A45B4"/>
    <w:rsid w:val="009A4BDF"/>
    <w:rsid w:val="009A5D04"/>
    <w:rsid w:val="009A61CA"/>
    <w:rsid w:val="009B0C64"/>
    <w:rsid w:val="009B0F67"/>
    <w:rsid w:val="009B2756"/>
    <w:rsid w:val="009B3D56"/>
    <w:rsid w:val="009B3F8C"/>
    <w:rsid w:val="009B533B"/>
    <w:rsid w:val="009C4E76"/>
    <w:rsid w:val="009C703C"/>
    <w:rsid w:val="009D0C29"/>
    <w:rsid w:val="009D206E"/>
    <w:rsid w:val="009D3CAA"/>
    <w:rsid w:val="009D507A"/>
    <w:rsid w:val="009D6532"/>
    <w:rsid w:val="009D6C4A"/>
    <w:rsid w:val="009D71FD"/>
    <w:rsid w:val="009E10AD"/>
    <w:rsid w:val="009E14E0"/>
    <w:rsid w:val="009E2588"/>
    <w:rsid w:val="009E2E8E"/>
    <w:rsid w:val="009E3FD7"/>
    <w:rsid w:val="009E40E1"/>
    <w:rsid w:val="009E6EF0"/>
    <w:rsid w:val="009F0EFA"/>
    <w:rsid w:val="009F1E51"/>
    <w:rsid w:val="009F4E46"/>
    <w:rsid w:val="009F5B65"/>
    <w:rsid w:val="009F5F2E"/>
    <w:rsid w:val="00A01432"/>
    <w:rsid w:val="00A046A4"/>
    <w:rsid w:val="00A06225"/>
    <w:rsid w:val="00A110D1"/>
    <w:rsid w:val="00A12587"/>
    <w:rsid w:val="00A128E6"/>
    <w:rsid w:val="00A144D3"/>
    <w:rsid w:val="00A14EBF"/>
    <w:rsid w:val="00A22AC3"/>
    <w:rsid w:val="00A22BE5"/>
    <w:rsid w:val="00A23F3F"/>
    <w:rsid w:val="00A24067"/>
    <w:rsid w:val="00A2446D"/>
    <w:rsid w:val="00A2476C"/>
    <w:rsid w:val="00A24A4B"/>
    <w:rsid w:val="00A2744D"/>
    <w:rsid w:val="00A27545"/>
    <w:rsid w:val="00A30D16"/>
    <w:rsid w:val="00A34E6C"/>
    <w:rsid w:val="00A34FD0"/>
    <w:rsid w:val="00A36398"/>
    <w:rsid w:val="00A37C8D"/>
    <w:rsid w:val="00A4020E"/>
    <w:rsid w:val="00A408E8"/>
    <w:rsid w:val="00A40FB5"/>
    <w:rsid w:val="00A410D5"/>
    <w:rsid w:val="00A42826"/>
    <w:rsid w:val="00A429B3"/>
    <w:rsid w:val="00A44EC1"/>
    <w:rsid w:val="00A46AC9"/>
    <w:rsid w:val="00A510E4"/>
    <w:rsid w:val="00A5273B"/>
    <w:rsid w:val="00A53A9D"/>
    <w:rsid w:val="00A55FEE"/>
    <w:rsid w:val="00A57422"/>
    <w:rsid w:val="00A618B8"/>
    <w:rsid w:val="00A62C1A"/>
    <w:rsid w:val="00A6426D"/>
    <w:rsid w:val="00A65576"/>
    <w:rsid w:val="00A65DF0"/>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1909"/>
    <w:rsid w:val="00AA4D1C"/>
    <w:rsid w:val="00AA52FD"/>
    <w:rsid w:val="00AA7006"/>
    <w:rsid w:val="00AA77DA"/>
    <w:rsid w:val="00AB4684"/>
    <w:rsid w:val="00AB5856"/>
    <w:rsid w:val="00AB70CD"/>
    <w:rsid w:val="00AC081D"/>
    <w:rsid w:val="00AC193C"/>
    <w:rsid w:val="00AC30C1"/>
    <w:rsid w:val="00AC47D7"/>
    <w:rsid w:val="00AC4DE5"/>
    <w:rsid w:val="00AC50C6"/>
    <w:rsid w:val="00AC5206"/>
    <w:rsid w:val="00AD3106"/>
    <w:rsid w:val="00AD4322"/>
    <w:rsid w:val="00AE11A5"/>
    <w:rsid w:val="00AE13E2"/>
    <w:rsid w:val="00AE22D3"/>
    <w:rsid w:val="00AE5A49"/>
    <w:rsid w:val="00AF11D8"/>
    <w:rsid w:val="00AF5867"/>
    <w:rsid w:val="00AF62DF"/>
    <w:rsid w:val="00AF68CC"/>
    <w:rsid w:val="00AF70D7"/>
    <w:rsid w:val="00B00CD0"/>
    <w:rsid w:val="00B00E7F"/>
    <w:rsid w:val="00B01FF4"/>
    <w:rsid w:val="00B023F2"/>
    <w:rsid w:val="00B0326D"/>
    <w:rsid w:val="00B06478"/>
    <w:rsid w:val="00B07533"/>
    <w:rsid w:val="00B07CFB"/>
    <w:rsid w:val="00B1059E"/>
    <w:rsid w:val="00B11EC9"/>
    <w:rsid w:val="00B14A36"/>
    <w:rsid w:val="00B16273"/>
    <w:rsid w:val="00B170A5"/>
    <w:rsid w:val="00B1725F"/>
    <w:rsid w:val="00B176C8"/>
    <w:rsid w:val="00B17EE5"/>
    <w:rsid w:val="00B205AA"/>
    <w:rsid w:val="00B22E84"/>
    <w:rsid w:val="00B233AD"/>
    <w:rsid w:val="00B23E25"/>
    <w:rsid w:val="00B25F75"/>
    <w:rsid w:val="00B26B3F"/>
    <w:rsid w:val="00B2778F"/>
    <w:rsid w:val="00B327E2"/>
    <w:rsid w:val="00B33635"/>
    <w:rsid w:val="00B36B15"/>
    <w:rsid w:val="00B4008D"/>
    <w:rsid w:val="00B42AF4"/>
    <w:rsid w:val="00B43E90"/>
    <w:rsid w:val="00B44308"/>
    <w:rsid w:val="00B45722"/>
    <w:rsid w:val="00B467DC"/>
    <w:rsid w:val="00B50810"/>
    <w:rsid w:val="00B5392A"/>
    <w:rsid w:val="00B56118"/>
    <w:rsid w:val="00B566E1"/>
    <w:rsid w:val="00B602F6"/>
    <w:rsid w:val="00B65396"/>
    <w:rsid w:val="00B6773F"/>
    <w:rsid w:val="00B70EB3"/>
    <w:rsid w:val="00B72906"/>
    <w:rsid w:val="00B74F48"/>
    <w:rsid w:val="00B750CA"/>
    <w:rsid w:val="00B7525E"/>
    <w:rsid w:val="00B760FB"/>
    <w:rsid w:val="00B76765"/>
    <w:rsid w:val="00B767AB"/>
    <w:rsid w:val="00B801BA"/>
    <w:rsid w:val="00B812D6"/>
    <w:rsid w:val="00B84D5C"/>
    <w:rsid w:val="00B8550B"/>
    <w:rsid w:val="00B85AF6"/>
    <w:rsid w:val="00B93ECB"/>
    <w:rsid w:val="00B956ED"/>
    <w:rsid w:val="00B97BCF"/>
    <w:rsid w:val="00BA2DA8"/>
    <w:rsid w:val="00BA347C"/>
    <w:rsid w:val="00BB298A"/>
    <w:rsid w:val="00BB3469"/>
    <w:rsid w:val="00BB4C6D"/>
    <w:rsid w:val="00BB5C49"/>
    <w:rsid w:val="00BB6240"/>
    <w:rsid w:val="00BB6285"/>
    <w:rsid w:val="00BB69F5"/>
    <w:rsid w:val="00BB7EC3"/>
    <w:rsid w:val="00BC04B1"/>
    <w:rsid w:val="00BC470E"/>
    <w:rsid w:val="00BC4B9A"/>
    <w:rsid w:val="00BC74CF"/>
    <w:rsid w:val="00BD02C3"/>
    <w:rsid w:val="00BD391F"/>
    <w:rsid w:val="00BD7483"/>
    <w:rsid w:val="00BD784C"/>
    <w:rsid w:val="00BE020A"/>
    <w:rsid w:val="00BE13DF"/>
    <w:rsid w:val="00BE25D7"/>
    <w:rsid w:val="00BF092C"/>
    <w:rsid w:val="00BF27A0"/>
    <w:rsid w:val="00BF3794"/>
    <w:rsid w:val="00BF4CB6"/>
    <w:rsid w:val="00BF6397"/>
    <w:rsid w:val="00BF6CBD"/>
    <w:rsid w:val="00C00DA7"/>
    <w:rsid w:val="00C04CDE"/>
    <w:rsid w:val="00C068A6"/>
    <w:rsid w:val="00C12768"/>
    <w:rsid w:val="00C12D70"/>
    <w:rsid w:val="00C16724"/>
    <w:rsid w:val="00C21B09"/>
    <w:rsid w:val="00C25ECA"/>
    <w:rsid w:val="00C2673A"/>
    <w:rsid w:val="00C27B58"/>
    <w:rsid w:val="00C27C1C"/>
    <w:rsid w:val="00C33186"/>
    <w:rsid w:val="00C35996"/>
    <w:rsid w:val="00C43A43"/>
    <w:rsid w:val="00C46EA9"/>
    <w:rsid w:val="00C4747E"/>
    <w:rsid w:val="00C50BF8"/>
    <w:rsid w:val="00C5151E"/>
    <w:rsid w:val="00C5342C"/>
    <w:rsid w:val="00C53B2B"/>
    <w:rsid w:val="00C57465"/>
    <w:rsid w:val="00C60272"/>
    <w:rsid w:val="00C603D4"/>
    <w:rsid w:val="00C6256A"/>
    <w:rsid w:val="00C64EBC"/>
    <w:rsid w:val="00C664D2"/>
    <w:rsid w:val="00C710E2"/>
    <w:rsid w:val="00C71435"/>
    <w:rsid w:val="00C71C3F"/>
    <w:rsid w:val="00C7409E"/>
    <w:rsid w:val="00C74D6D"/>
    <w:rsid w:val="00C76E76"/>
    <w:rsid w:val="00C77891"/>
    <w:rsid w:val="00C829A9"/>
    <w:rsid w:val="00C87B80"/>
    <w:rsid w:val="00C90330"/>
    <w:rsid w:val="00C91449"/>
    <w:rsid w:val="00C92D10"/>
    <w:rsid w:val="00C96EC0"/>
    <w:rsid w:val="00CA48D9"/>
    <w:rsid w:val="00CB1193"/>
    <w:rsid w:val="00CB4767"/>
    <w:rsid w:val="00CB493D"/>
    <w:rsid w:val="00CC1ED5"/>
    <w:rsid w:val="00CC3B97"/>
    <w:rsid w:val="00CC4833"/>
    <w:rsid w:val="00CD1479"/>
    <w:rsid w:val="00CD6257"/>
    <w:rsid w:val="00CD7C0B"/>
    <w:rsid w:val="00CE10C4"/>
    <w:rsid w:val="00CE229B"/>
    <w:rsid w:val="00CE2343"/>
    <w:rsid w:val="00CE27B5"/>
    <w:rsid w:val="00CE6DAF"/>
    <w:rsid w:val="00CF410A"/>
    <w:rsid w:val="00CF7528"/>
    <w:rsid w:val="00CF7FDE"/>
    <w:rsid w:val="00D00E1A"/>
    <w:rsid w:val="00D01F24"/>
    <w:rsid w:val="00D02079"/>
    <w:rsid w:val="00D0321E"/>
    <w:rsid w:val="00D05961"/>
    <w:rsid w:val="00D069EB"/>
    <w:rsid w:val="00D07A8A"/>
    <w:rsid w:val="00D11199"/>
    <w:rsid w:val="00D1455A"/>
    <w:rsid w:val="00D14A70"/>
    <w:rsid w:val="00D14EE5"/>
    <w:rsid w:val="00D150A4"/>
    <w:rsid w:val="00D207EA"/>
    <w:rsid w:val="00D22093"/>
    <w:rsid w:val="00D25021"/>
    <w:rsid w:val="00D25777"/>
    <w:rsid w:val="00D31150"/>
    <w:rsid w:val="00D3138B"/>
    <w:rsid w:val="00D31D97"/>
    <w:rsid w:val="00D31FCE"/>
    <w:rsid w:val="00D3280C"/>
    <w:rsid w:val="00D3406A"/>
    <w:rsid w:val="00D40B11"/>
    <w:rsid w:val="00D429EC"/>
    <w:rsid w:val="00D441F1"/>
    <w:rsid w:val="00D4572C"/>
    <w:rsid w:val="00D469B2"/>
    <w:rsid w:val="00D5041A"/>
    <w:rsid w:val="00D52B24"/>
    <w:rsid w:val="00D54B09"/>
    <w:rsid w:val="00D565A5"/>
    <w:rsid w:val="00D6243E"/>
    <w:rsid w:val="00D65658"/>
    <w:rsid w:val="00D67A9B"/>
    <w:rsid w:val="00D67EB2"/>
    <w:rsid w:val="00D70349"/>
    <w:rsid w:val="00D72B6F"/>
    <w:rsid w:val="00D741EB"/>
    <w:rsid w:val="00D7679C"/>
    <w:rsid w:val="00D820F3"/>
    <w:rsid w:val="00D83605"/>
    <w:rsid w:val="00D8405B"/>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04D7"/>
    <w:rsid w:val="00DB2A63"/>
    <w:rsid w:val="00DB50E1"/>
    <w:rsid w:val="00DC0566"/>
    <w:rsid w:val="00DC05E1"/>
    <w:rsid w:val="00DC1499"/>
    <w:rsid w:val="00DC2C3E"/>
    <w:rsid w:val="00DC3137"/>
    <w:rsid w:val="00DC4880"/>
    <w:rsid w:val="00DD26F9"/>
    <w:rsid w:val="00DD42AB"/>
    <w:rsid w:val="00DD6399"/>
    <w:rsid w:val="00DE06AF"/>
    <w:rsid w:val="00DE6D27"/>
    <w:rsid w:val="00DF01F8"/>
    <w:rsid w:val="00DF021D"/>
    <w:rsid w:val="00DF14EE"/>
    <w:rsid w:val="00DF217D"/>
    <w:rsid w:val="00DF26A7"/>
    <w:rsid w:val="00DF3277"/>
    <w:rsid w:val="00DF4F0E"/>
    <w:rsid w:val="00DF6A31"/>
    <w:rsid w:val="00DF77A1"/>
    <w:rsid w:val="00DF7919"/>
    <w:rsid w:val="00E0207E"/>
    <w:rsid w:val="00E02AE6"/>
    <w:rsid w:val="00E02EA3"/>
    <w:rsid w:val="00E03912"/>
    <w:rsid w:val="00E04728"/>
    <w:rsid w:val="00E04748"/>
    <w:rsid w:val="00E06FF3"/>
    <w:rsid w:val="00E078D9"/>
    <w:rsid w:val="00E10293"/>
    <w:rsid w:val="00E103A0"/>
    <w:rsid w:val="00E1043F"/>
    <w:rsid w:val="00E11F44"/>
    <w:rsid w:val="00E13E60"/>
    <w:rsid w:val="00E15379"/>
    <w:rsid w:val="00E15627"/>
    <w:rsid w:val="00E164B3"/>
    <w:rsid w:val="00E16910"/>
    <w:rsid w:val="00E239E2"/>
    <w:rsid w:val="00E24E09"/>
    <w:rsid w:val="00E27234"/>
    <w:rsid w:val="00E34191"/>
    <w:rsid w:val="00E3495C"/>
    <w:rsid w:val="00E42BDB"/>
    <w:rsid w:val="00E50625"/>
    <w:rsid w:val="00E5726D"/>
    <w:rsid w:val="00E57EEB"/>
    <w:rsid w:val="00E62D94"/>
    <w:rsid w:val="00E62ECC"/>
    <w:rsid w:val="00E64F37"/>
    <w:rsid w:val="00E65091"/>
    <w:rsid w:val="00E65E54"/>
    <w:rsid w:val="00E661C7"/>
    <w:rsid w:val="00E70D6F"/>
    <w:rsid w:val="00E732C4"/>
    <w:rsid w:val="00E74E41"/>
    <w:rsid w:val="00E7627D"/>
    <w:rsid w:val="00E80155"/>
    <w:rsid w:val="00E8134B"/>
    <w:rsid w:val="00E81E0D"/>
    <w:rsid w:val="00E81F28"/>
    <w:rsid w:val="00E82BDC"/>
    <w:rsid w:val="00E837E9"/>
    <w:rsid w:val="00E83FC1"/>
    <w:rsid w:val="00E848C0"/>
    <w:rsid w:val="00E84BB8"/>
    <w:rsid w:val="00E86F92"/>
    <w:rsid w:val="00E9056A"/>
    <w:rsid w:val="00E91B96"/>
    <w:rsid w:val="00E935DA"/>
    <w:rsid w:val="00E93D1E"/>
    <w:rsid w:val="00E941A1"/>
    <w:rsid w:val="00E95CE3"/>
    <w:rsid w:val="00E95F9A"/>
    <w:rsid w:val="00EA0856"/>
    <w:rsid w:val="00EA252F"/>
    <w:rsid w:val="00EA2825"/>
    <w:rsid w:val="00EA6518"/>
    <w:rsid w:val="00EA71A2"/>
    <w:rsid w:val="00EA7466"/>
    <w:rsid w:val="00EA7EDE"/>
    <w:rsid w:val="00EB0B63"/>
    <w:rsid w:val="00EB1936"/>
    <w:rsid w:val="00EB3545"/>
    <w:rsid w:val="00EB37BE"/>
    <w:rsid w:val="00EB4BAE"/>
    <w:rsid w:val="00EB5088"/>
    <w:rsid w:val="00EB5E8D"/>
    <w:rsid w:val="00EB619B"/>
    <w:rsid w:val="00EB7210"/>
    <w:rsid w:val="00EB7826"/>
    <w:rsid w:val="00EC2726"/>
    <w:rsid w:val="00EC38F4"/>
    <w:rsid w:val="00EC681C"/>
    <w:rsid w:val="00EC7EFB"/>
    <w:rsid w:val="00ED1644"/>
    <w:rsid w:val="00ED2593"/>
    <w:rsid w:val="00ED3709"/>
    <w:rsid w:val="00ED7D55"/>
    <w:rsid w:val="00ED7D9C"/>
    <w:rsid w:val="00EE16F8"/>
    <w:rsid w:val="00EE31A2"/>
    <w:rsid w:val="00EE7276"/>
    <w:rsid w:val="00EF0069"/>
    <w:rsid w:val="00EF44A0"/>
    <w:rsid w:val="00EF4580"/>
    <w:rsid w:val="00EF4FED"/>
    <w:rsid w:val="00EF535B"/>
    <w:rsid w:val="00EF5F45"/>
    <w:rsid w:val="00EF6843"/>
    <w:rsid w:val="00EF6FB3"/>
    <w:rsid w:val="00F0033B"/>
    <w:rsid w:val="00F0068B"/>
    <w:rsid w:val="00F007C6"/>
    <w:rsid w:val="00F00F9A"/>
    <w:rsid w:val="00F0172E"/>
    <w:rsid w:val="00F050BD"/>
    <w:rsid w:val="00F05657"/>
    <w:rsid w:val="00F05AB0"/>
    <w:rsid w:val="00F06753"/>
    <w:rsid w:val="00F12C74"/>
    <w:rsid w:val="00F1559A"/>
    <w:rsid w:val="00F159D2"/>
    <w:rsid w:val="00F17ED6"/>
    <w:rsid w:val="00F20676"/>
    <w:rsid w:val="00F209E2"/>
    <w:rsid w:val="00F245A6"/>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2D72"/>
    <w:rsid w:val="00F43AF2"/>
    <w:rsid w:val="00F450C8"/>
    <w:rsid w:val="00F45216"/>
    <w:rsid w:val="00F5007E"/>
    <w:rsid w:val="00F50EC4"/>
    <w:rsid w:val="00F52232"/>
    <w:rsid w:val="00F52DC2"/>
    <w:rsid w:val="00F54960"/>
    <w:rsid w:val="00F550CF"/>
    <w:rsid w:val="00F553D2"/>
    <w:rsid w:val="00F57A6D"/>
    <w:rsid w:val="00F6044B"/>
    <w:rsid w:val="00F60E79"/>
    <w:rsid w:val="00F61DFA"/>
    <w:rsid w:val="00F62F19"/>
    <w:rsid w:val="00F638CC"/>
    <w:rsid w:val="00F64C9E"/>
    <w:rsid w:val="00F64CC1"/>
    <w:rsid w:val="00F72317"/>
    <w:rsid w:val="00F7247C"/>
    <w:rsid w:val="00F73DC1"/>
    <w:rsid w:val="00F75BB8"/>
    <w:rsid w:val="00F77714"/>
    <w:rsid w:val="00F80475"/>
    <w:rsid w:val="00F80E6E"/>
    <w:rsid w:val="00F81390"/>
    <w:rsid w:val="00F8149A"/>
    <w:rsid w:val="00F81F7A"/>
    <w:rsid w:val="00F8247A"/>
    <w:rsid w:val="00F82E5C"/>
    <w:rsid w:val="00F83F58"/>
    <w:rsid w:val="00F85206"/>
    <w:rsid w:val="00F87CEA"/>
    <w:rsid w:val="00F91407"/>
    <w:rsid w:val="00F940C0"/>
    <w:rsid w:val="00F9629A"/>
    <w:rsid w:val="00F97EFC"/>
    <w:rsid w:val="00FA0B04"/>
    <w:rsid w:val="00FA0C7C"/>
    <w:rsid w:val="00FA1BDD"/>
    <w:rsid w:val="00FA305C"/>
    <w:rsid w:val="00FA462E"/>
    <w:rsid w:val="00FA4DD5"/>
    <w:rsid w:val="00FA5883"/>
    <w:rsid w:val="00FA6055"/>
    <w:rsid w:val="00FB0B39"/>
    <w:rsid w:val="00FB2D58"/>
    <w:rsid w:val="00FB322F"/>
    <w:rsid w:val="00FB406D"/>
    <w:rsid w:val="00FB442F"/>
    <w:rsid w:val="00FC118C"/>
    <w:rsid w:val="00FC1929"/>
    <w:rsid w:val="00FC5B46"/>
    <w:rsid w:val="00FD1D4F"/>
    <w:rsid w:val="00FD24BF"/>
    <w:rsid w:val="00FD3B6E"/>
    <w:rsid w:val="00FD4E6C"/>
    <w:rsid w:val="00FD57EB"/>
    <w:rsid w:val="00FD6D8E"/>
    <w:rsid w:val="00FE0663"/>
    <w:rsid w:val="00FE0E94"/>
    <w:rsid w:val="00FE369C"/>
    <w:rsid w:val="00FE3A01"/>
    <w:rsid w:val="00FE3CD9"/>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54A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AC50C6"/>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734718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92BC5-9A91-4839-98BC-F2A5D89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2022-02-22T22:31:00Z</dcterms:created>
  <dcterms:modified xsi:type="dcterms:W3CDTF">2022-03-02T03:15:00Z</dcterms:modified>
</cp:coreProperties>
</file>