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D0C9" w14:textId="77777777" w:rsidR="00B60939" w:rsidRDefault="00CA3DD2" w:rsidP="004A6040">
      <w:pPr>
        <w:pStyle w:val="1-MainHeading"/>
      </w:pPr>
      <w:r>
        <w:t>7.06</w:t>
      </w:r>
      <w:r w:rsidR="00163F66" w:rsidRPr="00610FCD">
        <w:tab/>
      </w:r>
      <w:r w:rsidR="004C20A7" w:rsidRPr="00610FCD">
        <w:t>GEMTUZUMAB OZOGAMICIN,</w:t>
      </w:r>
      <w:r w:rsidR="004C20A7" w:rsidRPr="00610FCD">
        <w:br/>
        <w:t>Powder for injection 5 mg,</w:t>
      </w:r>
      <w:r w:rsidR="004C20A7" w:rsidRPr="00610FCD">
        <w:br/>
        <w:t>Mylotarg</w:t>
      </w:r>
      <w:r w:rsidR="004C20A7" w:rsidRPr="00610FCD">
        <w:rPr>
          <w:vertAlign w:val="superscript"/>
        </w:rPr>
        <w:t>®</w:t>
      </w:r>
      <w:r w:rsidR="004C20A7" w:rsidRPr="00610FCD">
        <w:t>,</w:t>
      </w:r>
      <w:r w:rsidR="004C20A7" w:rsidRPr="00610FCD">
        <w:br/>
        <w:t>Pfizer Australia Pty Ltd.</w:t>
      </w:r>
    </w:p>
    <w:p w14:paraId="03AE7AC7" w14:textId="77777777" w:rsidR="00B50DB8" w:rsidRPr="00610FCD" w:rsidRDefault="00B50DB8" w:rsidP="004A6040">
      <w:pPr>
        <w:pStyle w:val="2-SectionHeading"/>
      </w:pPr>
      <w:bookmarkStart w:id="0" w:name="_Toc82591331"/>
      <w:r w:rsidRPr="00610FCD">
        <w:t xml:space="preserve">Purpose of </w:t>
      </w:r>
      <w:r w:rsidR="00CD7193" w:rsidRPr="00610FCD">
        <w:t>s</w:t>
      </w:r>
      <w:r w:rsidR="00BB3A45" w:rsidRPr="00610FCD">
        <w:t>ubmission</w:t>
      </w:r>
      <w:bookmarkEnd w:id="0"/>
    </w:p>
    <w:p w14:paraId="57A8C9E8" w14:textId="77777777" w:rsidR="00D70675" w:rsidRPr="00610FCD" w:rsidRDefault="007170DA" w:rsidP="004E18E9">
      <w:pPr>
        <w:pStyle w:val="ExecSumBodyText"/>
      </w:pPr>
      <w:r w:rsidRPr="00610FCD">
        <w:t>The</w:t>
      </w:r>
      <w:r w:rsidR="00CA3DD2">
        <w:t xml:space="preserve"> standard re-entry</w:t>
      </w:r>
      <w:r w:rsidRPr="00610FCD">
        <w:t xml:space="preserve"> </w:t>
      </w:r>
      <w:r w:rsidR="00F839F9" w:rsidRPr="00610FCD">
        <w:t>re</w:t>
      </w:r>
      <w:r w:rsidRPr="00610FCD">
        <w:t xml:space="preserve">submission requested </w:t>
      </w:r>
      <w:r w:rsidR="00DC3752" w:rsidRPr="00610FCD">
        <w:t xml:space="preserve">a Section 100 Authority Required (Efficient Funding of Chemotherapy) listing for gemtuzumab ozogamicin in combination with </w:t>
      </w:r>
      <w:r w:rsidR="00EA5CEF" w:rsidRPr="00610FCD">
        <w:t>standard intensive chemotherapy (an anthracycline and cytarabine) for the treatment of</w:t>
      </w:r>
      <w:r w:rsidR="00565399">
        <w:t xml:space="preserve"> patients with</w:t>
      </w:r>
      <w:r w:rsidR="00EA5CEF" w:rsidRPr="00610FCD">
        <w:t xml:space="preserve"> previously untreated, de novo CD33-positve acute myeloid leukaemia</w:t>
      </w:r>
      <w:r w:rsidR="00565399">
        <w:t xml:space="preserve"> </w:t>
      </w:r>
      <w:r w:rsidR="00565399" w:rsidRPr="00565399">
        <w:t>(AML)</w:t>
      </w:r>
      <w:r w:rsidR="00EA5CEF" w:rsidRPr="00610FCD">
        <w:t xml:space="preserve">, except acute promyelocytic leukaemia, </w:t>
      </w:r>
      <w:r w:rsidR="00A77810" w:rsidRPr="00610FCD">
        <w:t>who have favourable/intermediate/unknown cytogenetic risk</w:t>
      </w:r>
      <w:r w:rsidR="008B1757" w:rsidRPr="00610FCD">
        <w:t>.</w:t>
      </w:r>
      <w:r w:rsidR="001F3396">
        <w:t xml:space="preserve"> </w:t>
      </w:r>
      <w:r w:rsidR="001F3396" w:rsidRPr="00FB1983">
        <w:rPr>
          <w:iCs/>
        </w:rPr>
        <w:t xml:space="preserve">The PBAC </w:t>
      </w:r>
      <w:r w:rsidR="009C0B2E">
        <w:rPr>
          <w:iCs/>
        </w:rPr>
        <w:t xml:space="preserve">had </w:t>
      </w:r>
      <w:r w:rsidR="001F3396" w:rsidRPr="00FB1983">
        <w:rPr>
          <w:iCs/>
        </w:rPr>
        <w:t>previously considered gemtuzumab</w:t>
      </w:r>
      <w:r w:rsidR="00565399" w:rsidRPr="00FB1983">
        <w:rPr>
          <w:iCs/>
        </w:rPr>
        <w:t xml:space="preserve"> ozogamicin</w:t>
      </w:r>
      <w:r w:rsidR="001F3396" w:rsidRPr="00FB1983">
        <w:rPr>
          <w:iCs/>
        </w:rPr>
        <w:t xml:space="preserve"> for the same indication in March 2021.</w:t>
      </w:r>
    </w:p>
    <w:p w14:paraId="0156AA2B" w14:textId="77777777" w:rsidR="002C2775" w:rsidRPr="00FB1983" w:rsidRDefault="00D70675" w:rsidP="004E18E9">
      <w:pPr>
        <w:pStyle w:val="ExecSumBodyText"/>
        <w:rPr>
          <w:iCs/>
        </w:rPr>
      </w:pPr>
      <w:r w:rsidRPr="00FB1983">
        <w:rPr>
          <w:iCs/>
        </w:rPr>
        <w:t xml:space="preserve">Any further reference to gemtuzumab </w:t>
      </w:r>
      <w:r w:rsidRPr="00A458FF">
        <w:rPr>
          <w:iCs/>
        </w:rPr>
        <w:t xml:space="preserve">in </w:t>
      </w:r>
      <w:r w:rsidR="00A458FF">
        <w:rPr>
          <w:iCs/>
        </w:rPr>
        <w:t>this document</w:t>
      </w:r>
      <w:r w:rsidRPr="00A458FF">
        <w:rPr>
          <w:iCs/>
        </w:rPr>
        <w:t xml:space="preserve"> refers</w:t>
      </w:r>
      <w:r w:rsidRPr="00FB1983">
        <w:rPr>
          <w:iCs/>
        </w:rPr>
        <w:t xml:space="preserve"> to gemtuzumab ozogamicin.</w:t>
      </w:r>
      <w:r w:rsidR="008B1757" w:rsidRPr="00FB1983">
        <w:rPr>
          <w:iCs/>
        </w:rPr>
        <w:t xml:space="preserve"> </w:t>
      </w:r>
    </w:p>
    <w:p w14:paraId="74CAE1C6" w14:textId="77777777" w:rsidR="00C2778B" w:rsidRPr="00610FCD" w:rsidRDefault="005750C5" w:rsidP="004E18E9">
      <w:pPr>
        <w:pStyle w:val="ExecSumBodyText"/>
      </w:pPr>
      <w:r w:rsidRPr="00610FCD">
        <w:t>Listing was requested on the basis of a</w:t>
      </w:r>
      <w:r w:rsidR="00D70675" w:rsidRPr="00610FCD">
        <w:t xml:space="preserve"> </w:t>
      </w:r>
      <w:r w:rsidRPr="00610FCD">
        <w:t>cost-effectiveness analysis versus</w:t>
      </w:r>
      <w:r w:rsidR="00D70675" w:rsidRPr="00610FCD">
        <w:t xml:space="preserve"> standard </w:t>
      </w:r>
      <w:r w:rsidR="00F07E65" w:rsidRPr="00610FCD">
        <w:t>intensive chemotherapy (an anthracycline and cytarabine).</w:t>
      </w:r>
    </w:p>
    <w:p w14:paraId="264464F0" w14:textId="77777777" w:rsidR="00F07E65" w:rsidRPr="00610FCD" w:rsidRDefault="00565399" w:rsidP="00565399">
      <w:pPr>
        <w:pStyle w:val="TableFigureCaption"/>
      </w:pPr>
      <w:r>
        <w:t xml:space="preserve">Table </w:t>
      </w:r>
      <w:r w:rsidR="00F90EC3">
        <w:rPr>
          <w:noProof/>
        </w:rPr>
        <w:t>1</w:t>
      </w:r>
      <w:r w:rsidR="00F07E65" w:rsidRPr="00610FCD">
        <w:t>: Key components of the clinical issue addressed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381"/>
        <w:gridCol w:w="7775"/>
      </w:tblGrid>
      <w:tr w:rsidR="00F07E65" w:rsidRPr="00610FCD" w14:paraId="529C6AF6" w14:textId="77777777" w:rsidTr="00CA3DD2">
        <w:tc>
          <w:tcPr>
            <w:tcW w:w="1381" w:type="dxa"/>
            <w:vAlign w:val="center"/>
          </w:tcPr>
          <w:p w14:paraId="28E121E2" w14:textId="77777777" w:rsidR="00F07E65" w:rsidRPr="00610FCD" w:rsidRDefault="00F07E65" w:rsidP="00CA3DD2">
            <w:pPr>
              <w:pStyle w:val="Tableheadingrow"/>
              <w:rPr>
                <w:lang w:val="en-AU"/>
              </w:rPr>
            </w:pPr>
            <w:r w:rsidRPr="00610FCD">
              <w:rPr>
                <w:lang w:val="en-AU"/>
              </w:rPr>
              <w:t>Component</w:t>
            </w:r>
          </w:p>
        </w:tc>
        <w:tc>
          <w:tcPr>
            <w:tcW w:w="7775" w:type="dxa"/>
            <w:vAlign w:val="center"/>
          </w:tcPr>
          <w:p w14:paraId="5FDD94A5" w14:textId="77777777" w:rsidR="00F07E65" w:rsidRPr="00610FCD" w:rsidRDefault="00F07E65" w:rsidP="00CA3DD2">
            <w:pPr>
              <w:pStyle w:val="Tableheadingrow"/>
              <w:rPr>
                <w:lang w:val="en-AU"/>
              </w:rPr>
            </w:pPr>
            <w:r w:rsidRPr="00610FCD">
              <w:rPr>
                <w:lang w:val="en-AU"/>
              </w:rPr>
              <w:t>Description</w:t>
            </w:r>
          </w:p>
        </w:tc>
      </w:tr>
      <w:tr w:rsidR="00F07E65" w:rsidRPr="00610FCD" w14:paraId="1DF7666B" w14:textId="77777777" w:rsidTr="00CA3DD2">
        <w:tc>
          <w:tcPr>
            <w:tcW w:w="1381" w:type="dxa"/>
            <w:vAlign w:val="center"/>
          </w:tcPr>
          <w:p w14:paraId="55C04438" w14:textId="77777777" w:rsidR="00F07E65" w:rsidRPr="00610FCD" w:rsidRDefault="00F07E65" w:rsidP="00CA3DD2">
            <w:pPr>
              <w:pStyle w:val="TableText"/>
            </w:pPr>
            <w:r w:rsidRPr="00610FCD">
              <w:t>Population</w:t>
            </w:r>
          </w:p>
        </w:tc>
        <w:tc>
          <w:tcPr>
            <w:tcW w:w="7775" w:type="dxa"/>
          </w:tcPr>
          <w:p w14:paraId="4C0604EA" w14:textId="77777777" w:rsidR="00F07E65" w:rsidRPr="00610FCD" w:rsidRDefault="00F07E65" w:rsidP="00CA3DD2">
            <w:pPr>
              <w:pStyle w:val="TableText"/>
            </w:pPr>
            <w:r w:rsidRPr="00610FCD">
              <w:t xml:space="preserve">Patients with previously untreated, de novo CD33-positive acute myeloid leukaemia, except acute promyelocytic leukaemia who do not have known unfavourable cytogenetic profile (i.e. favourable, </w:t>
            </w:r>
            <w:r w:rsidR="00002070" w:rsidRPr="00610FCD">
              <w:t>intermediate,</w:t>
            </w:r>
            <w:r w:rsidRPr="00610FCD">
              <w:t xml:space="preserve"> or unknown risk)</w:t>
            </w:r>
            <w:r w:rsidR="000C20E5">
              <w:t>.</w:t>
            </w:r>
          </w:p>
        </w:tc>
      </w:tr>
      <w:tr w:rsidR="00F07E65" w:rsidRPr="00610FCD" w14:paraId="5B870520" w14:textId="77777777" w:rsidTr="00CA3DD2">
        <w:tc>
          <w:tcPr>
            <w:tcW w:w="1381" w:type="dxa"/>
            <w:vAlign w:val="center"/>
          </w:tcPr>
          <w:p w14:paraId="3720CF71" w14:textId="77777777" w:rsidR="00F07E65" w:rsidRPr="00610FCD" w:rsidRDefault="00F07E65" w:rsidP="00CA3DD2">
            <w:pPr>
              <w:pStyle w:val="TableText"/>
            </w:pPr>
            <w:r w:rsidRPr="00610FCD">
              <w:t>Intervention</w:t>
            </w:r>
          </w:p>
        </w:tc>
        <w:tc>
          <w:tcPr>
            <w:tcW w:w="7775" w:type="dxa"/>
          </w:tcPr>
          <w:p w14:paraId="00C30137" w14:textId="77777777" w:rsidR="00F07E65" w:rsidRPr="00610FCD" w:rsidRDefault="00F07E65" w:rsidP="00CA3DD2">
            <w:pPr>
              <w:pStyle w:val="TableText"/>
            </w:pPr>
            <w:r w:rsidRPr="00610FCD">
              <w:t xml:space="preserve">1-2 induction cycles: </w:t>
            </w:r>
            <w:r w:rsidR="000C20E5">
              <w:t>g</w:t>
            </w:r>
            <w:r w:rsidRPr="00610FCD">
              <w:t>emtuzumab ozogamicin 3 mg/m</w:t>
            </w:r>
            <w:r w:rsidRPr="00610FCD">
              <w:rPr>
                <w:vertAlign w:val="superscript"/>
              </w:rPr>
              <w:t>2</w:t>
            </w:r>
            <w:r w:rsidRPr="00610FCD">
              <w:t xml:space="preserve">/dose (maximum 5 mg) via intravenous infusion in combination with standard intensive chemotherapy on Day 1, 4 and 7 for one cycle only. If required, a second induction cycle may be administered with standard intensive chemotherapy alone. </w:t>
            </w:r>
          </w:p>
          <w:p w14:paraId="54124251" w14:textId="77777777" w:rsidR="00F07E65" w:rsidRPr="00610FCD" w:rsidRDefault="00F07E65" w:rsidP="00CA3DD2">
            <w:pPr>
              <w:pStyle w:val="TableText"/>
            </w:pPr>
            <w:r w:rsidRPr="00610FCD">
              <w:t xml:space="preserve">2 consolidation cycles: </w:t>
            </w:r>
            <w:r w:rsidR="000C20E5">
              <w:t>g</w:t>
            </w:r>
            <w:r w:rsidRPr="00610FCD">
              <w:t>emtuzumab ozogamicin 3 mg/m</w:t>
            </w:r>
            <w:r w:rsidRPr="00610FCD">
              <w:rPr>
                <w:vertAlign w:val="superscript"/>
              </w:rPr>
              <w:t>2</w:t>
            </w:r>
            <w:r w:rsidRPr="00610FCD">
              <w:t>/dose (maximum 5 mg) via intravenous infusion in combination with standard intensive chemotherapy on Day 1 only.</w:t>
            </w:r>
          </w:p>
        </w:tc>
      </w:tr>
      <w:tr w:rsidR="00F07E65" w:rsidRPr="00610FCD" w14:paraId="58446EB6" w14:textId="77777777" w:rsidTr="00CA3DD2">
        <w:tc>
          <w:tcPr>
            <w:tcW w:w="1381" w:type="dxa"/>
            <w:vAlign w:val="center"/>
          </w:tcPr>
          <w:p w14:paraId="65DC90E9" w14:textId="77777777" w:rsidR="00F07E65" w:rsidRPr="00610FCD" w:rsidRDefault="00F07E65" w:rsidP="00CA3DD2">
            <w:pPr>
              <w:pStyle w:val="TableText"/>
            </w:pPr>
            <w:r w:rsidRPr="00610FCD">
              <w:t>Comparator</w:t>
            </w:r>
          </w:p>
        </w:tc>
        <w:tc>
          <w:tcPr>
            <w:tcW w:w="7775" w:type="dxa"/>
          </w:tcPr>
          <w:p w14:paraId="59B03740" w14:textId="77777777" w:rsidR="00F07E65" w:rsidRPr="00610FCD" w:rsidRDefault="00F07E65" w:rsidP="00CA3DD2">
            <w:pPr>
              <w:pStyle w:val="TableText"/>
            </w:pPr>
            <w:r w:rsidRPr="00610FCD">
              <w:t>Standard intensive chemotherapy for induction and consolidation therapy (an anthracycline and cytarabine)</w:t>
            </w:r>
            <w:r w:rsidR="000C20E5">
              <w:t>.</w:t>
            </w:r>
          </w:p>
        </w:tc>
      </w:tr>
      <w:tr w:rsidR="00F07E65" w:rsidRPr="00610FCD" w14:paraId="22594726" w14:textId="77777777" w:rsidTr="00CA3DD2">
        <w:tc>
          <w:tcPr>
            <w:tcW w:w="1381" w:type="dxa"/>
            <w:vAlign w:val="center"/>
          </w:tcPr>
          <w:p w14:paraId="54581B80" w14:textId="77777777" w:rsidR="00F07E65" w:rsidRPr="00610FCD" w:rsidRDefault="00F07E65" w:rsidP="00CA3DD2">
            <w:pPr>
              <w:pStyle w:val="TableText"/>
            </w:pPr>
            <w:r w:rsidRPr="00610FCD">
              <w:t>Outcomes</w:t>
            </w:r>
          </w:p>
        </w:tc>
        <w:tc>
          <w:tcPr>
            <w:tcW w:w="7775" w:type="dxa"/>
          </w:tcPr>
          <w:p w14:paraId="5323E01B" w14:textId="77777777" w:rsidR="00F07E65" w:rsidRPr="00610FCD" w:rsidRDefault="00F07E65" w:rsidP="00CA3DD2">
            <w:pPr>
              <w:pStyle w:val="TableText"/>
            </w:pPr>
            <w:r w:rsidRPr="00610FCD">
              <w:t xml:space="preserve">Event-free survival, haematological response, relapse-free survival, overall </w:t>
            </w:r>
            <w:r w:rsidR="00002070" w:rsidRPr="00610FCD">
              <w:t>survival,</w:t>
            </w:r>
            <w:r w:rsidRPr="00610FCD">
              <w:t xml:space="preserve"> and potential for functional cure</w:t>
            </w:r>
            <w:r w:rsidR="000C20E5">
              <w:t>.</w:t>
            </w:r>
          </w:p>
        </w:tc>
      </w:tr>
      <w:tr w:rsidR="00F07E65" w:rsidRPr="00610FCD" w14:paraId="321D8BE6" w14:textId="77777777" w:rsidTr="00CA3DD2">
        <w:tc>
          <w:tcPr>
            <w:tcW w:w="1381" w:type="dxa"/>
            <w:vAlign w:val="center"/>
          </w:tcPr>
          <w:p w14:paraId="560B4064" w14:textId="77777777" w:rsidR="00F07E65" w:rsidRPr="00610FCD" w:rsidRDefault="00F07E65" w:rsidP="00CA3DD2">
            <w:pPr>
              <w:pStyle w:val="TableText"/>
            </w:pPr>
            <w:r w:rsidRPr="00610FCD">
              <w:t>Clinical claim</w:t>
            </w:r>
          </w:p>
        </w:tc>
        <w:tc>
          <w:tcPr>
            <w:tcW w:w="7775" w:type="dxa"/>
          </w:tcPr>
          <w:p w14:paraId="08B21007" w14:textId="77777777" w:rsidR="00F07E65" w:rsidRPr="00610FCD" w:rsidRDefault="00F07E65" w:rsidP="00CA3DD2">
            <w:pPr>
              <w:pStyle w:val="TableText"/>
            </w:pPr>
            <w:r w:rsidRPr="00610FCD">
              <w:t xml:space="preserve">Gemtuzumab ozogamicin in addition to standard intensive chemotherapy is superior in terms of </w:t>
            </w:r>
            <w:r w:rsidR="00A458FF">
              <w:t>effectiveness (for event-free survival and relapse-free survival, “with a trend towards improved OS”)</w:t>
            </w:r>
            <w:r w:rsidR="00A458FF" w:rsidRPr="00610FCD">
              <w:t xml:space="preserve"> </w:t>
            </w:r>
            <w:r w:rsidRPr="00610FCD">
              <w:t>and inferior in terms of safety compared to standard intensive chemotherapy.</w:t>
            </w:r>
          </w:p>
        </w:tc>
      </w:tr>
    </w:tbl>
    <w:p w14:paraId="328CC89A" w14:textId="77777777" w:rsidR="00F07E65" w:rsidRDefault="00F07E65" w:rsidP="00F07E65">
      <w:pPr>
        <w:pStyle w:val="TableFigureFooter"/>
      </w:pPr>
      <w:r w:rsidRPr="00610FCD">
        <w:t>Source: Table 1.1.1, p30 of the resubmission</w:t>
      </w:r>
    </w:p>
    <w:p w14:paraId="5DF891D0" w14:textId="77777777" w:rsidR="005C25FF" w:rsidRPr="00610FCD" w:rsidRDefault="005C25FF" w:rsidP="004A6040">
      <w:pPr>
        <w:pStyle w:val="2-SectionHeading"/>
      </w:pPr>
      <w:bookmarkStart w:id="1" w:name="_Toc82591332"/>
      <w:r w:rsidRPr="00610FCD">
        <w:t>Background</w:t>
      </w:r>
      <w:bookmarkEnd w:id="1"/>
    </w:p>
    <w:p w14:paraId="23FEB88C" w14:textId="77777777" w:rsidR="005C25FF" w:rsidRPr="00610FCD" w:rsidRDefault="005C25FF" w:rsidP="004A6040">
      <w:pPr>
        <w:pStyle w:val="3-SubsectionHeading"/>
      </w:pPr>
      <w:bookmarkStart w:id="2" w:name="_Toc22897638"/>
      <w:bookmarkStart w:id="3" w:name="_Toc82591333"/>
      <w:r w:rsidRPr="00610FCD">
        <w:t>Registration status</w:t>
      </w:r>
      <w:bookmarkEnd w:id="2"/>
      <w:bookmarkEnd w:id="3"/>
    </w:p>
    <w:p w14:paraId="7DFAA07B" w14:textId="77777777" w:rsidR="005C25FF" w:rsidRPr="00610FCD" w:rsidRDefault="00A30E51" w:rsidP="004E18E9">
      <w:pPr>
        <w:pStyle w:val="ExecSumBodyText"/>
      </w:pPr>
      <w:r w:rsidRPr="00610FCD">
        <w:t>Gemtuzumab was approved by the TGA on 9 April 2020 for the following indication: combination therapy with standard anthracycline and cytarabine (AraC) for the treatment of patients age 15 years and above with previously untreated, de novo CD33-positive AML, except acute promyelocytic leukaemia.</w:t>
      </w:r>
    </w:p>
    <w:p w14:paraId="12EB95C8" w14:textId="77777777" w:rsidR="008A5FC7" w:rsidRPr="00610FCD" w:rsidRDefault="009A0824" w:rsidP="004E18E9">
      <w:pPr>
        <w:pStyle w:val="ExecSumBodyText"/>
      </w:pPr>
      <w:r w:rsidRPr="00FB1983">
        <w:rPr>
          <w:iCs/>
        </w:rPr>
        <w:lastRenderedPageBreak/>
        <w:t>The approved indication is agnostic to which anthracycline is used</w:t>
      </w:r>
      <w:r w:rsidR="00051F43" w:rsidRPr="00FB1983">
        <w:rPr>
          <w:iCs/>
        </w:rPr>
        <w:t xml:space="preserve"> </w:t>
      </w:r>
      <w:r w:rsidRPr="00FB1983">
        <w:rPr>
          <w:iCs/>
        </w:rPr>
        <w:t xml:space="preserve">whereas the key trial data was based on daunorubicin only. </w:t>
      </w:r>
      <w:r w:rsidR="00051F43" w:rsidRPr="00FB1983">
        <w:rPr>
          <w:iCs/>
        </w:rPr>
        <w:t>T</w:t>
      </w:r>
      <w:r w:rsidRPr="00FB1983">
        <w:rPr>
          <w:iCs/>
        </w:rPr>
        <w:t>he sponsor indicated that the rationale for an anthracycline agnostic indication was to allow broader treatment options for clinicians</w:t>
      </w:r>
      <w:r w:rsidR="00E4018B" w:rsidRPr="00FB1983">
        <w:rPr>
          <w:iCs/>
        </w:rPr>
        <w:t>.</w:t>
      </w:r>
      <w:r w:rsidRPr="00FB1983">
        <w:rPr>
          <w:iCs/>
        </w:rPr>
        <w:t xml:space="preserve"> </w:t>
      </w:r>
      <w:r w:rsidR="00EC0351">
        <w:rPr>
          <w:iCs/>
        </w:rPr>
        <w:t>I</w:t>
      </w:r>
      <w:r w:rsidR="0095521B" w:rsidRPr="00FB1983">
        <w:rPr>
          <w:iCs/>
        </w:rPr>
        <w:t>darubicin</w:t>
      </w:r>
      <w:r w:rsidR="00E4018B" w:rsidRPr="00FB1983">
        <w:rPr>
          <w:iCs/>
        </w:rPr>
        <w:t>, which is the more commonly used anthracycline in Australia</w:t>
      </w:r>
      <w:r w:rsidR="00EC0351">
        <w:rPr>
          <w:iCs/>
        </w:rPr>
        <w:t>, is PBS funded</w:t>
      </w:r>
      <w:r w:rsidR="009229BE" w:rsidRPr="00FB1983">
        <w:rPr>
          <w:iCs/>
        </w:rPr>
        <w:t xml:space="preserve">. </w:t>
      </w:r>
      <w:r w:rsidR="00EC0351" w:rsidRPr="00FB1983">
        <w:rPr>
          <w:iCs/>
        </w:rPr>
        <w:t>Daunorubicin is not PBS</w:t>
      </w:r>
      <w:r w:rsidR="006F7722">
        <w:rPr>
          <w:iCs/>
        </w:rPr>
        <w:t xml:space="preserve"> </w:t>
      </w:r>
      <w:r w:rsidR="00EC0351" w:rsidRPr="00FB1983">
        <w:rPr>
          <w:iCs/>
        </w:rPr>
        <w:t>funded</w:t>
      </w:r>
      <w:r w:rsidR="00EC0351">
        <w:rPr>
          <w:iCs/>
        </w:rPr>
        <w:t xml:space="preserve">. </w:t>
      </w:r>
    </w:p>
    <w:p w14:paraId="72DDE050" w14:textId="77777777" w:rsidR="009A0824" w:rsidRPr="00610FCD" w:rsidRDefault="008A5FC7" w:rsidP="004E18E9">
      <w:pPr>
        <w:pStyle w:val="ExecSumBodyText"/>
      </w:pPr>
      <w:r w:rsidRPr="00610FCD">
        <w:t>The TGA</w:t>
      </w:r>
      <w:r w:rsidR="00C613A0">
        <w:t>-</w:t>
      </w:r>
      <w:r w:rsidRPr="00610FCD">
        <w:t xml:space="preserve">approved </w:t>
      </w:r>
      <w:r w:rsidR="008D6BBF">
        <w:t>P</w:t>
      </w:r>
      <w:r w:rsidRPr="00610FCD">
        <w:t xml:space="preserve">roduct </w:t>
      </w:r>
      <w:r w:rsidR="008D6BBF">
        <w:t>I</w:t>
      </w:r>
      <w:r w:rsidRPr="00610FCD">
        <w:t>nformation includes special warnings and precautions for use of gemtuzumab including the risk of veno-occlusive disease (VOD). Gemtuzumab is also included in the Black Triangle Scheme for additional monitoring and identification of new safety information.</w:t>
      </w:r>
    </w:p>
    <w:p w14:paraId="44F341EB" w14:textId="77777777" w:rsidR="005C25FF" w:rsidRPr="00610FCD" w:rsidRDefault="005C25FF" w:rsidP="004E18E9">
      <w:pPr>
        <w:pStyle w:val="3-SubsectionHeading"/>
      </w:pPr>
      <w:bookmarkStart w:id="4" w:name="_Toc22897639"/>
      <w:bookmarkStart w:id="5" w:name="_Toc82591334"/>
      <w:r w:rsidRPr="00610FCD">
        <w:t>Previous PBAC consideration</w:t>
      </w:r>
      <w:bookmarkEnd w:id="4"/>
      <w:bookmarkEnd w:id="5"/>
    </w:p>
    <w:p w14:paraId="43349ABB" w14:textId="77777777" w:rsidR="002E4F02" w:rsidRPr="00610FCD" w:rsidRDefault="004225F5" w:rsidP="002E4F02">
      <w:pPr>
        <w:pStyle w:val="ExecSumBodyText"/>
      </w:pPr>
      <w:r w:rsidRPr="00610FCD">
        <w:rPr>
          <w:snapToGrid/>
        </w:rPr>
        <w:t>The outstanding matters of concern from the previous March 2021 PBAC meeting are summarised in the table below.</w:t>
      </w:r>
      <w:r w:rsidR="003664DD" w:rsidRPr="00610FCD">
        <w:rPr>
          <w:snapToGrid/>
        </w:rPr>
        <w:t xml:space="preserve"> </w:t>
      </w:r>
      <w:r w:rsidR="003664DD" w:rsidRPr="00FB1983">
        <w:rPr>
          <w:iCs/>
          <w:snapToGrid/>
        </w:rPr>
        <w:t>Overall</w:t>
      </w:r>
      <w:r w:rsidR="00647FC9" w:rsidRPr="00FB1983">
        <w:rPr>
          <w:iCs/>
          <w:snapToGrid/>
        </w:rPr>
        <w:t>,</w:t>
      </w:r>
      <w:r w:rsidR="003664DD" w:rsidRPr="00FB1983">
        <w:rPr>
          <w:iCs/>
          <w:snapToGrid/>
        </w:rPr>
        <w:t xml:space="preserve"> the PBAC considered a resubmission for gemtuzumab should address issues with the economic model and present updated utilisation and financial estimates (para 7.16, gemtuzumab </w:t>
      </w:r>
      <w:r w:rsidR="00887394" w:rsidRPr="00FB1983">
        <w:rPr>
          <w:iCs/>
          <w:snapToGrid/>
        </w:rPr>
        <w:t>Public Summary Document (</w:t>
      </w:r>
      <w:r w:rsidR="003664DD" w:rsidRPr="00FB1983">
        <w:rPr>
          <w:iCs/>
          <w:snapToGrid/>
        </w:rPr>
        <w:t>PSD</w:t>
      </w:r>
      <w:r w:rsidR="00887394" w:rsidRPr="00FB1983">
        <w:rPr>
          <w:iCs/>
          <w:snapToGrid/>
        </w:rPr>
        <w:t>)</w:t>
      </w:r>
      <w:r w:rsidR="003664DD" w:rsidRPr="00FB1983">
        <w:rPr>
          <w:iCs/>
          <w:snapToGrid/>
        </w:rPr>
        <w:t>, March 2021 PBAC meeting).</w:t>
      </w:r>
    </w:p>
    <w:p w14:paraId="5420C0EA" w14:textId="77777777" w:rsidR="005C25FF" w:rsidRPr="00610FCD" w:rsidRDefault="00484063" w:rsidP="00484063">
      <w:pPr>
        <w:pStyle w:val="TableFigureCaption"/>
      </w:pPr>
      <w:r>
        <w:t xml:space="preserve">Table </w:t>
      </w:r>
      <w:r w:rsidR="00F90EC3">
        <w:rPr>
          <w:noProof/>
        </w:rPr>
        <w:t>2</w:t>
      </w:r>
      <w:r>
        <w:t xml:space="preserve">: </w:t>
      </w:r>
      <w:r w:rsidR="005C25FF" w:rsidRPr="00610FCD">
        <w:t>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5949"/>
        <w:gridCol w:w="3068"/>
      </w:tblGrid>
      <w:tr w:rsidR="004225F5" w:rsidRPr="00610FCD" w14:paraId="66D386D8" w14:textId="77777777" w:rsidTr="00C75C09">
        <w:trPr>
          <w:cantSplit/>
          <w:trHeight w:val="20"/>
          <w:tblHeader/>
        </w:trPr>
        <w:tc>
          <w:tcPr>
            <w:tcW w:w="3299" w:type="pct"/>
            <w:vAlign w:val="center"/>
          </w:tcPr>
          <w:p w14:paraId="0795A7B4" w14:textId="77777777" w:rsidR="004225F5" w:rsidRPr="00610FCD" w:rsidRDefault="004225F5" w:rsidP="00F6648F">
            <w:pPr>
              <w:pStyle w:val="Tableheadingrow"/>
              <w:keepNext w:val="0"/>
              <w:widowControl w:val="0"/>
              <w:rPr>
                <w:lang w:val="en-AU"/>
              </w:rPr>
            </w:pPr>
            <w:r w:rsidRPr="00610FCD">
              <w:rPr>
                <w:lang w:val="en-AU"/>
              </w:rPr>
              <w:t>Matter of concern</w:t>
            </w:r>
          </w:p>
        </w:tc>
        <w:tc>
          <w:tcPr>
            <w:tcW w:w="1701" w:type="pct"/>
            <w:vAlign w:val="center"/>
          </w:tcPr>
          <w:p w14:paraId="134F5DF0" w14:textId="77777777" w:rsidR="004225F5" w:rsidRPr="00610FCD" w:rsidRDefault="004225F5" w:rsidP="00F6648F">
            <w:pPr>
              <w:pStyle w:val="Tableheadingrow"/>
              <w:keepNext w:val="0"/>
              <w:widowControl w:val="0"/>
              <w:rPr>
                <w:lang w:val="en-AU"/>
              </w:rPr>
            </w:pPr>
            <w:r w:rsidRPr="00610FCD">
              <w:rPr>
                <w:lang w:val="en-AU"/>
              </w:rPr>
              <w:t>How the resubmission addresses it</w:t>
            </w:r>
          </w:p>
        </w:tc>
      </w:tr>
      <w:tr w:rsidR="00856FA8" w:rsidRPr="00FB1983" w14:paraId="4BC2182D" w14:textId="77777777" w:rsidTr="00C75C09">
        <w:trPr>
          <w:cantSplit/>
          <w:trHeight w:val="20"/>
        </w:trPr>
        <w:tc>
          <w:tcPr>
            <w:tcW w:w="3299" w:type="pct"/>
            <w:vAlign w:val="center"/>
          </w:tcPr>
          <w:p w14:paraId="0403B12E" w14:textId="79371673" w:rsidR="00856FA8" w:rsidRPr="00D32B02" w:rsidRDefault="00BD0785" w:rsidP="00D32B02">
            <w:pPr>
              <w:pStyle w:val="TableText"/>
              <w:keepNext w:val="0"/>
              <w:widowControl w:val="0"/>
              <w:rPr>
                <w:rFonts w:eastAsia="Times New Roman" w:cs="Arial"/>
                <w:bCs w:val="0"/>
                <w:iCs/>
                <w:snapToGrid w:val="0"/>
                <w:color w:val="0066FF"/>
                <w:szCs w:val="20"/>
              </w:rPr>
            </w:pPr>
            <w:r w:rsidRPr="00FB1983">
              <w:rPr>
                <w:rFonts w:eastAsia="Times New Roman" w:cs="Arial"/>
                <w:bCs w:val="0"/>
                <w:iCs/>
                <w:snapToGrid w:val="0"/>
                <w:szCs w:val="20"/>
              </w:rPr>
              <w:t>The</w:t>
            </w:r>
            <w:r w:rsidRPr="00FB1983">
              <w:rPr>
                <w:rFonts w:eastAsia="Times New Roman" w:cs="Arial"/>
                <w:bCs w:val="0"/>
                <w:iCs/>
                <w:snapToGrid w:val="0"/>
                <w:color w:val="0066FF"/>
                <w:szCs w:val="20"/>
              </w:rPr>
              <w:t xml:space="preserve"> </w:t>
            </w:r>
            <w:r w:rsidR="00267C53" w:rsidRPr="00FB1983">
              <w:rPr>
                <w:rFonts w:eastAsia="Times New Roman" w:cs="Arial"/>
                <w:bCs w:val="0"/>
                <w:iCs/>
                <w:snapToGrid w:val="0"/>
                <w:szCs w:val="20"/>
              </w:rPr>
              <w:t xml:space="preserve">PBAC considered </w:t>
            </w:r>
            <w:r w:rsidR="003664DD" w:rsidRPr="00FB1983">
              <w:rPr>
                <w:rFonts w:eastAsia="Times New Roman" w:cs="Arial"/>
                <w:bCs w:val="0"/>
                <w:iCs/>
                <w:snapToGrid w:val="0"/>
                <w:szCs w:val="20"/>
              </w:rPr>
              <w:t xml:space="preserve">that the economic model structure was overly complex making it difficult to determine the flow of patients through the model. The PBAC identified a number of issues with the model which meant </w:t>
            </w:r>
            <w:r w:rsidR="002717AE" w:rsidRPr="00FB1983">
              <w:rPr>
                <w:rFonts w:eastAsia="Times New Roman" w:cs="Arial"/>
                <w:bCs w:val="0"/>
                <w:iCs/>
                <w:snapToGrid w:val="0"/>
                <w:szCs w:val="20"/>
              </w:rPr>
              <w:t>the base case ICER per QALY gained of $</w:t>
            </w:r>
            <w:r w:rsidR="00FF0EA4">
              <w:rPr>
                <w:rFonts w:eastAsia="Times New Roman" w:cs="Arial"/>
                <w:bCs w:val="0"/>
                <w:iCs/>
                <w:noProof/>
                <w:snapToGrid w:val="0"/>
                <w:color w:val="000000"/>
                <w:szCs w:val="20"/>
                <w:highlight w:val="black"/>
              </w:rPr>
              <w:t>''''''''''''''''</w:t>
            </w:r>
            <w:r w:rsidR="00C737F9">
              <w:rPr>
                <w:rFonts w:eastAsia="Times New Roman" w:cs="Arial"/>
                <w:bCs w:val="0"/>
                <w:iCs/>
                <w:snapToGrid w:val="0"/>
                <w:szCs w:val="20"/>
                <w:vertAlign w:val="superscript"/>
              </w:rPr>
              <w:t>1</w:t>
            </w:r>
            <w:r w:rsidR="002717AE" w:rsidRPr="00FB1983">
              <w:rPr>
                <w:rFonts w:eastAsia="Times New Roman" w:cs="Arial"/>
                <w:bCs w:val="0"/>
                <w:iCs/>
                <w:snapToGrid w:val="0"/>
                <w:szCs w:val="20"/>
              </w:rPr>
              <w:t xml:space="preserve"> was highly uncertain and likely optimistic</w:t>
            </w:r>
            <w:r w:rsidR="005B2DB4" w:rsidRPr="00FB1983">
              <w:rPr>
                <w:rFonts w:eastAsia="Times New Roman" w:cs="Arial"/>
                <w:bCs w:val="0"/>
                <w:iCs/>
                <w:snapToGrid w:val="0"/>
                <w:szCs w:val="20"/>
              </w:rPr>
              <w:t xml:space="preserve"> (para 7.13, gemtuzumab PBAC </w:t>
            </w:r>
            <w:r w:rsidR="00B6729A">
              <w:rPr>
                <w:rFonts w:eastAsia="Times New Roman" w:cs="Arial"/>
                <w:bCs w:val="0"/>
                <w:iCs/>
                <w:snapToGrid w:val="0"/>
                <w:szCs w:val="20"/>
              </w:rPr>
              <w:t>PSD</w:t>
            </w:r>
            <w:r w:rsidR="005B2DB4" w:rsidRPr="00FB1983">
              <w:rPr>
                <w:rFonts w:eastAsia="Times New Roman" w:cs="Arial"/>
                <w:bCs w:val="0"/>
                <w:iCs/>
                <w:snapToGrid w:val="0"/>
                <w:szCs w:val="20"/>
              </w:rPr>
              <w:t>, March 2021 PBAC meeting).</w:t>
            </w:r>
            <w:r w:rsidR="002717AE" w:rsidRPr="00FB1983">
              <w:rPr>
                <w:rFonts w:eastAsia="Times New Roman" w:cs="Arial"/>
                <w:bCs w:val="0"/>
                <w:iCs/>
                <w:snapToGrid w:val="0"/>
                <w:szCs w:val="20"/>
              </w:rPr>
              <w:t xml:space="preserve"> </w:t>
            </w:r>
          </w:p>
        </w:tc>
        <w:tc>
          <w:tcPr>
            <w:tcW w:w="1701" w:type="pct"/>
          </w:tcPr>
          <w:p w14:paraId="1CB0F560" w14:textId="77777777" w:rsidR="00856FA8" w:rsidRPr="00FB1983" w:rsidRDefault="005B2DB4" w:rsidP="00F6648F">
            <w:pPr>
              <w:pStyle w:val="TableText"/>
              <w:keepNext w:val="0"/>
              <w:widowControl w:val="0"/>
              <w:rPr>
                <w:rFonts w:eastAsia="Times New Roman" w:cs="Arial"/>
                <w:bCs w:val="0"/>
                <w:snapToGrid w:val="0"/>
                <w:color w:val="0066FF"/>
                <w:szCs w:val="20"/>
              </w:rPr>
            </w:pPr>
            <w:r w:rsidRPr="00FB1983">
              <w:rPr>
                <w:rFonts w:eastAsia="Times New Roman" w:cs="Arial"/>
                <w:bCs w:val="0"/>
                <w:snapToGrid w:val="0"/>
                <w:szCs w:val="20"/>
              </w:rPr>
              <w:t xml:space="preserve">The resubmission presented the same economic model structure as the previous submission. However, </w:t>
            </w:r>
            <w:r w:rsidR="00850B40" w:rsidRPr="00FB1983">
              <w:rPr>
                <w:rFonts w:eastAsia="Times New Roman" w:cs="Arial"/>
                <w:bCs w:val="0"/>
                <w:snapToGrid w:val="0"/>
                <w:szCs w:val="20"/>
              </w:rPr>
              <w:t>the resubmission attempted to address a number of PBAC’s concerns, as below.</w:t>
            </w:r>
          </w:p>
        </w:tc>
      </w:tr>
      <w:tr w:rsidR="00F6648F" w:rsidRPr="00FB1983" w14:paraId="326B0052" w14:textId="77777777" w:rsidTr="00C75C09">
        <w:trPr>
          <w:cantSplit/>
          <w:trHeight w:val="20"/>
        </w:trPr>
        <w:tc>
          <w:tcPr>
            <w:tcW w:w="3299" w:type="pct"/>
            <w:vAlign w:val="center"/>
          </w:tcPr>
          <w:p w14:paraId="47B9D6FD" w14:textId="516520CE" w:rsidR="00F6648F" w:rsidRPr="00D32B02" w:rsidRDefault="00F6648F" w:rsidP="00D32B02">
            <w:pPr>
              <w:pStyle w:val="TableText"/>
              <w:keepNext w:val="0"/>
              <w:widowControl w:val="0"/>
              <w:rPr>
                <w:rFonts w:eastAsia="Times New Roman" w:cs="Arial"/>
                <w:bCs w:val="0"/>
                <w:iCs/>
                <w:snapToGrid w:val="0"/>
                <w:szCs w:val="20"/>
              </w:rPr>
            </w:pPr>
            <w:r w:rsidRPr="00FB1983">
              <w:rPr>
                <w:rFonts w:eastAsia="Times New Roman" w:cs="Arial"/>
                <w:bCs w:val="0"/>
                <w:iCs/>
                <w:snapToGrid w:val="0"/>
                <w:szCs w:val="20"/>
              </w:rPr>
              <w:t>The PBAC considered the 40</w:t>
            </w:r>
            <w:r w:rsidR="0054719C" w:rsidRPr="00FB1983">
              <w:rPr>
                <w:rFonts w:eastAsia="Times New Roman" w:cs="Arial"/>
                <w:bCs w:val="0"/>
                <w:iCs/>
                <w:snapToGrid w:val="0"/>
                <w:szCs w:val="20"/>
              </w:rPr>
              <w:t>-</w:t>
            </w:r>
            <w:r w:rsidRPr="00FB1983">
              <w:rPr>
                <w:rFonts w:eastAsia="Times New Roman" w:cs="Arial"/>
                <w:bCs w:val="0"/>
                <w:iCs/>
                <w:snapToGrid w:val="0"/>
                <w:szCs w:val="20"/>
              </w:rPr>
              <w:t xml:space="preserve">year time horizon applied in the model was optimistic given the baseline age of patients of 62 years (para 7.13, gemtuzumab PBAC </w:t>
            </w:r>
            <w:r w:rsidR="00C613A0" w:rsidRPr="00FB1983">
              <w:rPr>
                <w:rFonts w:eastAsia="Times New Roman" w:cs="Arial"/>
                <w:bCs w:val="0"/>
                <w:iCs/>
                <w:snapToGrid w:val="0"/>
                <w:szCs w:val="20"/>
              </w:rPr>
              <w:t>PSD</w:t>
            </w:r>
            <w:r w:rsidRPr="00FB1983">
              <w:rPr>
                <w:rFonts w:eastAsia="Times New Roman" w:cs="Arial"/>
                <w:bCs w:val="0"/>
                <w:iCs/>
                <w:snapToGrid w:val="0"/>
                <w:szCs w:val="20"/>
              </w:rPr>
              <w:t>, March 2021 PBAC meeting).</w:t>
            </w:r>
          </w:p>
        </w:tc>
        <w:tc>
          <w:tcPr>
            <w:tcW w:w="1701" w:type="pct"/>
          </w:tcPr>
          <w:p w14:paraId="3F797ADB" w14:textId="77777777" w:rsidR="00F6648F" w:rsidRPr="00FB1983" w:rsidRDefault="005B5BD5" w:rsidP="00F6648F">
            <w:pPr>
              <w:pStyle w:val="TableText"/>
              <w:keepNext w:val="0"/>
              <w:widowControl w:val="0"/>
              <w:rPr>
                <w:rFonts w:eastAsia="Times New Roman" w:cs="Arial"/>
                <w:bCs w:val="0"/>
                <w:snapToGrid w:val="0"/>
                <w:szCs w:val="20"/>
              </w:rPr>
            </w:pPr>
            <w:r w:rsidRPr="00FB1983">
              <w:rPr>
                <w:rFonts w:eastAsia="Times New Roman" w:cs="Arial"/>
                <w:bCs w:val="0"/>
                <w:snapToGrid w:val="0"/>
                <w:szCs w:val="20"/>
              </w:rPr>
              <w:t>The time horizon in the resubmission was revised to 25 years.</w:t>
            </w:r>
          </w:p>
        </w:tc>
      </w:tr>
      <w:tr w:rsidR="00850B40" w:rsidRPr="00FB1983" w14:paraId="03F959DB" w14:textId="77777777" w:rsidTr="00C75C09">
        <w:trPr>
          <w:cantSplit/>
          <w:trHeight w:val="20"/>
        </w:trPr>
        <w:tc>
          <w:tcPr>
            <w:tcW w:w="3299" w:type="pct"/>
            <w:vAlign w:val="center"/>
          </w:tcPr>
          <w:p w14:paraId="6DCC95BD" w14:textId="2FA84F63" w:rsidR="00850B40" w:rsidRPr="00D32B02" w:rsidRDefault="00850B40" w:rsidP="00D32B02">
            <w:pPr>
              <w:pStyle w:val="TableText"/>
              <w:keepNext w:val="0"/>
              <w:widowControl w:val="0"/>
              <w:rPr>
                <w:rFonts w:eastAsia="Times New Roman" w:cs="Arial"/>
                <w:bCs w:val="0"/>
                <w:iCs/>
                <w:snapToGrid w:val="0"/>
                <w:szCs w:val="20"/>
              </w:rPr>
            </w:pPr>
            <w:r w:rsidRPr="00FB1983">
              <w:rPr>
                <w:rFonts w:eastAsia="Times New Roman" w:cs="Arial"/>
                <w:bCs w:val="0"/>
                <w:iCs/>
                <w:snapToGrid w:val="0"/>
                <w:szCs w:val="20"/>
              </w:rPr>
              <w:t xml:space="preserve">The PBAC </w:t>
            </w:r>
            <w:r w:rsidR="00726399" w:rsidRPr="00FB1983">
              <w:rPr>
                <w:rFonts w:eastAsia="Times New Roman" w:cs="Arial"/>
                <w:bCs w:val="0"/>
                <w:iCs/>
                <w:snapToGrid w:val="0"/>
                <w:szCs w:val="20"/>
              </w:rPr>
              <w:t>considered that the model relied on transition probabilities that were informed by subgroups consisting of small patient numbers, unsubstantiated assumptions and unverifiable expert opinion</w:t>
            </w:r>
            <w:r w:rsidR="0054719C" w:rsidRPr="00FB1983">
              <w:rPr>
                <w:rFonts w:eastAsia="Times New Roman" w:cs="Arial"/>
                <w:bCs w:val="0"/>
                <w:iCs/>
                <w:snapToGrid w:val="0"/>
                <w:szCs w:val="20"/>
              </w:rPr>
              <w:t>,</w:t>
            </w:r>
            <w:r w:rsidR="00726399" w:rsidRPr="00FB1983">
              <w:rPr>
                <w:rFonts w:eastAsia="Times New Roman" w:cs="Arial"/>
                <w:bCs w:val="0"/>
                <w:iCs/>
                <w:snapToGrid w:val="0"/>
                <w:szCs w:val="20"/>
              </w:rPr>
              <w:t xml:space="preserve"> which resulted in highly uncertain outcomes (para 7.13, gemtuzumab PSD, March 2021 PBAC meeting).</w:t>
            </w:r>
          </w:p>
        </w:tc>
        <w:tc>
          <w:tcPr>
            <w:tcW w:w="1701" w:type="pct"/>
          </w:tcPr>
          <w:p w14:paraId="5C996660" w14:textId="77777777" w:rsidR="00850B40" w:rsidRPr="00FB1983" w:rsidRDefault="00726399" w:rsidP="00F6648F">
            <w:pPr>
              <w:pStyle w:val="TableText"/>
              <w:keepNext w:val="0"/>
              <w:widowControl w:val="0"/>
              <w:rPr>
                <w:rFonts w:eastAsia="Times New Roman" w:cs="Arial"/>
                <w:bCs w:val="0"/>
                <w:snapToGrid w:val="0"/>
                <w:szCs w:val="20"/>
              </w:rPr>
            </w:pPr>
            <w:r w:rsidRPr="00FB1983">
              <w:t>The transition probabilities in the resubmission were informed by the same data.</w:t>
            </w:r>
          </w:p>
        </w:tc>
      </w:tr>
      <w:tr w:rsidR="0027723F" w:rsidRPr="00FB1983" w14:paraId="4133DFA3" w14:textId="77777777" w:rsidTr="00C75C09">
        <w:trPr>
          <w:cantSplit/>
          <w:trHeight w:val="20"/>
        </w:trPr>
        <w:tc>
          <w:tcPr>
            <w:tcW w:w="3299" w:type="pct"/>
            <w:vAlign w:val="center"/>
          </w:tcPr>
          <w:p w14:paraId="0FF8C608" w14:textId="77777777" w:rsidR="0027723F" w:rsidRPr="00FB1983" w:rsidRDefault="0027723F" w:rsidP="00F6648F">
            <w:pPr>
              <w:pStyle w:val="TableText"/>
              <w:keepNext w:val="0"/>
              <w:widowControl w:val="0"/>
              <w:rPr>
                <w:rFonts w:eastAsia="Times New Roman" w:cs="Arial"/>
                <w:bCs w:val="0"/>
                <w:iCs/>
                <w:snapToGrid w:val="0"/>
                <w:szCs w:val="20"/>
              </w:rPr>
            </w:pPr>
            <w:r w:rsidRPr="00FB1983">
              <w:rPr>
                <w:rFonts w:eastAsia="Times New Roman" w:cs="Arial"/>
                <w:bCs w:val="0"/>
                <w:iCs/>
                <w:snapToGrid w:val="0"/>
                <w:szCs w:val="20"/>
              </w:rPr>
              <w:t xml:space="preserve">The PBAC considered that relative treatment effects for gemtuzumab in terms of EFS and </w:t>
            </w:r>
            <w:r w:rsidR="00A43DC8" w:rsidRPr="00FB1983">
              <w:rPr>
                <w:rFonts w:eastAsia="Times New Roman" w:cs="Arial"/>
                <w:bCs w:val="0"/>
                <w:iCs/>
                <w:snapToGrid w:val="0"/>
                <w:szCs w:val="20"/>
              </w:rPr>
              <w:t>OS</w:t>
            </w:r>
            <w:r w:rsidRPr="00FB1983">
              <w:rPr>
                <w:rFonts w:eastAsia="Times New Roman" w:cs="Arial"/>
                <w:bCs w:val="0"/>
                <w:iCs/>
                <w:snapToGrid w:val="0"/>
                <w:szCs w:val="20"/>
              </w:rPr>
              <w:t xml:space="preserve"> were derived from a subset of patients in the favourable/intermediate/unknown cytogenetic risk subgroup who achieved an overall response. The PBAC noted that the submission did not adequately justify the use of the subgroup results over the ITT results or provide the relative and absolute treatment effect measures for the subgroups or their complements</w:t>
            </w:r>
            <w:r w:rsidR="0094449B" w:rsidRPr="00FB1983">
              <w:rPr>
                <w:rFonts w:eastAsia="Times New Roman" w:cs="Arial"/>
                <w:bCs w:val="0"/>
                <w:iCs/>
                <w:snapToGrid w:val="0"/>
                <w:szCs w:val="20"/>
              </w:rPr>
              <w:t xml:space="preserve"> </w:t>
            </w:r>
            <w:r w:rsidR="00107292" w:rsidRPr="00FB1983">
              <w:rPr>
                <w:rFonts w:eastAsia="Times New Roman" w:cs="Arial"/>
                <w:bCs w:val="0"/>
                <w:iCs/>
                <w:snapToGrid w:val="0"/>
                <w:szCs w:val="20"/>
              </w:rPr>
              <w:t>(para 7.13, gemtuzumab PSD, March 2021 PBAC meeting).</w:t>
            </w:r>
          </w:p>
        </w:tc>
        <w:tc>
          <w:tcPr>
            <w:tcW w:w="1701" w:type="pct"/>
          </w:tcPr>
          <w:p w14:paraId="55D1DF78" w14:textId="77777777" w:rsidR="003B764A" w:rsidRPr="00FB1983" w:rsidRDefault="00107292" w:rsidP="00F6648F">
            <w:pPr>
              <w:pStyle w:val="TableText"/>
              <w:keepNext w:val="0"/>
              <w:widowControl w:val="0"/>
            </w:pPr>
            <w:r w:rsidRPr="00FB1983">
              <w:t>The model in the resubmission relied on the same relative treatment effects based on the favourable/intermediate/ unknown cytogenetic risk subgroup.</w:t>
            </w:r>
            <w:r w:rsidR="0014547E" w:rsidRPr="00FB1983">
              <w:t xml:space="preserve"> </w:t>
            </w:r>
          </w:p>
          <w:p w14:paraId="6F76F221" w14:textId="77777777" w:rsidR="0027723F" w:rsidRPr="00FB1983" w:rsidRDefault="0014547E" w:rsidP="00F6648F">
            <w:pPr>
              <w:pStyle w:val="TableText"/>
              <w:keepNext w:val="0"/>
              <w:widowControl w:val="0"/>
            </w:pPr>
            <w:r w:rsidRPr="00FB1983">
              <w:t xml:space="preserve">The resubmission </w:t>
            </w:r>
            <w:r w:rsidR="001D5046" w:rsidRPr="00FB1983">
              <w:t xml:space="preserve">conducted </w:t>
            </w:r>
            <w:r w:rsidR="00DE709B" w:rsidRPr="00FB1983">
              <w:t xml:space="preserve">multiple </w:t>
            </w:r>
            <w:r w:rsidR="001D5046" w:rsidRPr="00FB1983">
              <w:t>interaction test</w:t>
            </w:r>
            <w:r w:rsidR="00DE709B" w:rsidRPr="00FB1983">
              <w:t>s</w:t>
            </w:r>
            <w:r w:rsidR="001D5046" w:rsidRPr="00FB1983">
              <w:t xml:space="preserve"> for subgroup </w:t>
            </w:r>
            <w:r w:rsidR="00DE709B" w:rsidRPr="00FB1983">
              <w:t>analyses of EFS, RFS and OS as</w:t>
            </w:r>
            <w:r w:rsidRPr="00FB1983">
              <w:t xml:space="preserve"> additional justification for the use of this subgroup’s estimates over the ITT results</w:t>
            </w:r>
            <w:r w:rsidR="00DE709B" w:rsidRPr="00FB1983">
              <w:t xml:space="preserve">. The resubmission also provided the treatment effect </w:t>
            </w:r>
            <w:r w:rsidR="004A14F1" w:rsidRPr="00FB1983">
              <w:t>estimates</w:t>
            </w:r>
            <w:r w:rsidR="00DE709B" w:rsidRPr="00FB1983">
              <w:t xml:space="preserve"> </w:t>
            </w:r>
            <w:r w:rsidR="004A14F1" w:rsidRPr="00FB1983">
              <w:t xml:space="preserve">used in the economic model. </w:t>
            </w:r>
          </w:p>
        </w:tc>
      </w:tr>
      <w:tr w:rsidR="00EA5CBB" w:rsidRPr="00FB1983" w14:paraId="6E96A3C6" w14:textId="77777777" w:rsidTr="00C75C09">
        <w:trPr>
          <w:cantSplit/>
          <w:trHeight w:val="20"/>
        </w:trPr>
        <w:tc>
          <w:tcPr>
            <w:tcW w:w="3299" w:type="pct"/>
            <w:vAlign w:val="center"/>
          </w:tcPr>
          <w:p w14:paraId="7E174F98" w14:textId="77777777" w:rsidR="00EA5CBB" w:rsidRPr="00FB1983" w:rsidRDefault="0094449B" w:rsidP="00F6648F">
            <w:pPr>
              <w:pStyle w:val="TableText"/>
              <w:keepNext w:val="0"/>
              <w:widowControl w:val="0"/>
              <w:rPr>
                <w:rFonts w:eastAsia="Times New Roman" w:cs="Arial"/>
                <w:bCs w:val="0"/>
                <w:iCs/>
                <w:snapToGrid w:val="0"/>
                <w:szCs w:val="20"/>
              </w:rPr>
            </w:pPr>
            <w:r w:rsidRPr="00FB1983">
              <w:rPr>
                <w:rFonts w:eastAsia="Times New Roman" w:cs="Arial"/>
                <w:bCs w:val="0"/>
                <w:iCs/>
                <w:snapToGrid w:val="0"/>
                <w:szCs w:val="20"/>
              </w:rPr>
              <w:lastRenderedPageBreak/>
              <w:t xml:space="preserve">The PBAC considered that the assumption of increased </w:t>
            </w:r>
            <w:r w:rsidR="00A43DC8" w:rsidRPr="00FB1983">
              <w:rPr>
                <w:rFonts w:eastAsia="Times New Roman" w:cs="Arial"/>
                <w:bCs w:val="0"/>
                <w:iCs/>
                <w:snapToGrid w:val="0"/>
                <w:szCs w:val="20"/>
              </w:rPr>
              <w:t>OS</w:t>
            </w:r>
            <w:r w:rsidRPr="00FB1983">
              <w:rPr>
                <w:rFonts w:eastAsia="Times New Roman" w:cs="Arial"/>
                <w:bCs w:val="0"/>
                <w:iCs/>
                <w:snapToGrid w:val="0"/>
                <w:szCs w:val="20"/>
              </w:rPr>
              <w:t xml:space="preserve"> for patients in the gemtuzumab arm, which was a key driver of the model, was highly uncertain as the clinical evidence did not suggest a statistically significant difference in the mITT population of the ALFA-0701 trial and the </w:t>
            </w:r>
            <w:r w:rsidR="00A43DC8" w:rsidRPr="00FB1983">
              <w:rPr>
                <w:rFonts w:eastAsia="Times New Roman" w:cs="Arial"/>
                <w:bCs w:val="0"/>
                <w:iCs/>
                <w:snapToGrid w:val="0"/>
                <w:szCs w:val="20"/>
              </w:rPr>
              <w:t>OS</w:t>
            </w:r>
            <w:r w:rsidRPr="00FB1983">
              <w:rPr>
                <w:rFonts w:eastAsia="Times New Roman" w:cs="Arial"/>
                <w:bCs w:val="0"/>
                <w:iCs/>
                <w:snapToGrid w:val="0"/>
                <w:szCs w:val="20"/>
              </w:rPr>
              <w:t xml:space="preserve"> difference in the proposed PBS population was difficult to interpret. </w:t>
            </w:r>
            <w:r w:rsidR="00904C77" w:rsidRPr="00FB1983">
              <w:rPr>
                <w:rFonts w:eastAsia="Times New Roman" w:cs="Arial"/>
                <w:bCs w:val="0"/>
                <w:iCs/>
                <w:snapToGrid w:val="0"/>
                <w:szCs w:val="20"/>
              </w:rPr>
              <w:t xml:space="preserve">The PBAC considered that </w:t>
            </w:r>
            <w:r w:rsidR="00A43DC8" w:rsidRPr="00FB1983">
              <w:rPr>
                <w:rFonts w:eastAsia="Times New Roman" w:cs="Arial"/>
                <w:bCs w:val="0"/>
                <w:iCs/>
                <w:snapToGrid w:val="0"/>
                <w:szCs w:val="20"/>
              </w:rPr>
              <w:t xml:space="preserve">RFS and OS </w:t>
            </w:r>
            <w:r w:rsidR="00EA5CBB" w:rsidRPr="00FB1983">
              <w:rPr>
                <w:rFonts w:eastAsia="Times New Roman" w:cs="Arial"/>
                <w:bCs w:val="0"/>
                <w:iCs/>
                <w:snapToGrid w:val="0"/>
                <w:szCs w:val="20"/>
              </w:rPr>
              <w:t xml:space="preserve">curves only converged towards the end of the </w:t>
            </w:r>
            <w:r w:rsidR="00002070" w:rsidRPr="00FB1983">
              <w:rPr>
                <w:rFonts w:eastAsia="Times New Roman" w:cs="Arial"/>
                <w:bCs w:val="0"/>
                <w:iCs/>
                <w:snapToGrid w:val="0"/>
                <w:szCs w:val="20"/>
              </w:rPr>
              <w:t>40-year</w:t>
            </w:r>
            <w:r w:rsidR="00EA5CBB" w:rsidRPr="00FB1983">
              <w:rPr>
                <w:rFonts w:eastAsia="Times New Roman" w:cs="Arial"/>
                <w:bCs w:val="0"/>
                <w:iCs/>
                <w:snapToGrid w:val="0"/>
                <w:szCs w:val="20"/>
              </w:rPr>
              <w:t xml:space="preserve"> time horizon. The PBAC considered that the differences, particularly the difference in </w:t>
            </w:r>
            <w:r w:rsidR="00A43DC8" w:rsidRPr="00FB1983">
              <w:rPr>
                <w:rFonts w:eastAsia="Times New Roman" w:cs="Arial"/>
                <w:bCs w:val="0"/>
                <w:iCs/>
                <w:snapToGrid w:val="0"/>
                <w:szCs w:val="20"/>
              </w:rPr>
              <w:t>OS</w:t>
            </w:r>
            <w:r w:rsidR="00EA5CBB" w:rsidRPr="00FB1983">
              <w:rPr>
                <w:rFonts w:eastAsia="Times New Roman" w:cs="Arial"/>
                <w:bCs w:val="0"/>
                <w:iCs/>
                <w:snapToGrid w:val="0"/>
                <w:szCs w:val="20"/>
              </w:rPr>
              <w:t>, were not adequately supported by the clinical data</w:t>
            </w:r>
            <w:r w:rsidR="00904C77" w:rsidRPr="00FB1983">
              <w:rPr>
                <w:rFonts w:eastAsia="Times New Roman" w:cs="Arial"/>
                <w:bCs w:val="0"/>
                <w:iCs/>
                <w:snapToGrid w:val="0"/>
                <w:szCs w:val="20"/>
              </w:rPr>
              <w:t xml:space="preserve"> (para 7.13, gemtuzumab PSD, March 2021 PBAC meeting).</w:t>
            </w:r>
          </w:p>
        </w:tc>
        <w:tc>
          <w:tcPr>
            <w:tcW w:w="1701" w:type="pct"/>
          </w:tcPr>
          <w:p w14:paraId="5F558330" w14:textId="77777777" w:rsidR="00EA5CBB" w:rsidRPr="00FB1983" w:rsidRDefault="0094449B" w:rsidP="00F6648F">
            <w:pPr>
              <w:pStyle w:val="TableText"/>
              <w:keepNext w:val="0"/>
              <w:widowControl w:val="0"/>
            </w:pPr>
            <w:r w:rsidRPr="00FB1983">
              <w:t xml:space="preserve">The model in the resubmission maintained an overall survival benefit, however, the magnitude of benefit was more conservative as the resubmission applied forced convergence of </w:t>
            </w:r>
            <w:r w:rsidR="00A43DC8" w:rsidRPr="00FB1983">
              <w:t>OS</w:t>
            </w:r>
            <w:r w:rsidRPr="00FB1983">
              <w:t xml:space="preserve"> curves</w:t>
            </w:r>
            <w:r w:rsidR="00FA7048" w:rsidRPr="00FB1983">
              <w:t xml:space="preserve"> at the end of the 25</w:t>
            </w:r>
            <w:r w:rsidR="0054719C" w:rsidRPr="00FB1983">
              <w:t>-</w:t>
            </w:r>
            <w:r w:rsidR="00FA7048" w:rsidRPr="00FB1983">
              <w:t>year time horizon.</w:t>
            </w:r>
          </w:p>
        </w:tc>
      </w:tr>
      <w:tr w:rsidR="005B5BD5" w:rsidRPr="00FB1983" w14:paraId="0466E2CA" w14:textId="77777777" w:rsidTr="00C75C09">
        <w:trPr>
          <w:cantSplit/>
          <w:trHeight w:val="20"/>
        </w:trPr>
        <w:tc>
          <w:tcPr>
            <w:tcW w:w="3299" w:type="pct"/>
            <w:vAlign w:val="center"/>
          </w:tcPr>
          <w:p w14:paraId="2415CCE1" w14:textId="77777777" w:rsidR="005B5BD5" w:rsidRPr="00FB1983" w:rsidRDefault="005B5BD5" w:rsidP="00F6648F">
            <w:pPr>
              <w:pStyle w:val="TableText"/>
              <w:keepNext w:val="0"/>
              <w:widowControl w:val="0"/>
              <w:rPr>
                <w:rFonts w:eastAsia="Times New Roman" w:cs="Arial"/>
                <w:bCs w:val="0"/>
                <w:iCs/>
                <w:snapToGrid w:val="0"/>
                <w:szCs w:val="20"/>
              </w:rPr>
            </w:pPr>
            <w:r w:rsidRPr="00FB1983">
              <w:rPr>
                <w:rFonts w:eastAsia="Times New Roman" w:cs="Arial"/>
                <w:bCs w:val="0"/>
                <w:iCs/>
                <w:snapToGrid w:val="0"/>
                <w:szCs w:val="20"/>
              </w:rPr>
              <w:t xml:space="preserve">The PBAC considered that the extrapolated survival curves in both arms were driven by patients achieving a functional cure. The PBAC considered that it was unclear whether the plateaus at the tail-end of the Kaplan-Meier data for </w:t>
            </w:r>
            <w:r w:rsidR="00184838" w:rsidRPr="00FB1983">
              <w:rPr>
                <w:rFonts w:eastAsia="Times New Roman" w:cs="Arial"/>
                <w:bCs w:val="0"/>
                <w:iCs/>
                <w:snapToGrid w:val="0"/>
                <w:szCs w:val="20"/>
              </w:rPr>
              <w:t>EFS</w:t>
            </w:r>
            <w:r w:rsidRPr="00FB1983">
              <w:rPr>
                <w:rFonts w:eastAsia="Times New Roman" w:cs="Arial"/>
                <w:bCs w:val="0"/>
                <w:iCs/>
                <w:snapToGrid w:val="0"/>
                <w:szCs w:val="20"/>
              </w:rPr>
              <w:t xml:space="preserve"> and </w:t>
            </w:r>
            <w:r w:rsidR="00184838" w:rsidRPr="00FB1983">
              <w:rPr>
                <w:rFonts w:eastAsia="Times New Roman" w:cs="Arial"/>
                <w:bCs w:val="0"/>
                <w:iCs/>
                <w:snapToGrid w:val="0"/>
                <w:szCs w:val="20"/>
              </w:rPr>
              <w:t>OS</w:t>
            </w:r>
            <w:r w:rsidRPr="00FB1983">
              <w:rPr>
                <w:rFonts w:eastAsia="Times New Roman" w:cs="Arial"/>
                <w:bCs w:val="0"/>
                <w:iCs/>
                <w:snapToGrid w:val="0"/>
                <w:szCs w:val="20"/>
              </w:rPr>
              <w:t xml:space="preserve"> were sufficiently robust representations of functional cure which would translate into ongoing survival benefits, particularly as there were substantial differences in the estimated cure fractions for </w:t>
            </w:r>
            <w:r w:rsidR="00184838" w:rsidRPr="00FB1983">
              <w:rPr>
                <w:rFonts w:eastAsia="Times New Roman" w:cs="Arial"/>
                <w:bCs w:val="0"/>
                <w:iCs/>
                <w:snapToGrid w:val="0"/>
                <w:szCs w:val="20"/>
              </w:rPr>
              <w:t>RFS</w:t>
            </w:r>
            <w:r w:rsidRPr="00FB1983">
              <w:rPr>
                <w:rFonts w:eastAsia="Times New Roman" w:cs="Arial"/>
                <w:bCs w:val="0"/>
                <w:iCs/>
                <w:snapToGrid w:val="0"/>
                <w:szCs w:val="20"/>
              </w:rPr>
              <w:t xml:space="preserve"> and </w:t>
            </w:r>
            <w:r w:rsidR="00184838" w:rsidRPr="00FB1983">
              <w:rPr>
                <w:rFonts w:eastAsia="Times New Roman" w:cs="Arial"/>
                <w:bCs w:val="0"/>
                <w:iCs/>
                <w:snapToGrid w:val="0"/>
                <w:szCs w:val="20"/>
              </w:rPr>
              <w:t>OS</w:t>
            </w:r>
            <w:r w:rsidRPr="00FB1983">
              <w:rPr>
                <w:rFonts w:eastAsia="Times New Roman" w:cs="Arial"/>
                <w:bCs w:val="0"/>
                <w:iCs/>
                <w:snapToGrid w:val="0"/>
                <w:szCs w:val="20"/>
              </w:rPr>
              <w:t xml:space="preserve">. The PBAC noted that higher cure fractions were estimated for </w:t>
            </w:r>
            <w:r w:rsidR="00184838" w:rsidRPr="00FB1983">
              <w:rPr>
                <w:rFonts w:eastAsia="Times New Roman" w:cs="Arial"/>
                <w:bCs w:val="0"/>
                <w:iCs/>
                <w:snapToGrid w:val="0"/>
                <w:szCs w:val="20"/>
              </w:rPr>
              <w:t>OS</w:t>
            </w:r>
            <w:r w:rsidRPr="00FB1983">
              <w:rPr>
                <w:rFonts w:eastAsia="Times New Roman" w:cs="Arial"/>
                <w:bCs w:val="0"/>
                <w:iCs/>
                <w:snapToGrid w:val="0"/>
                <w:szCs w:val="20"/>
              </w:rPr>
              <w:t xml:space="preserve"> than </w:t>
            </w:r>
            <w:r w:rsidR="00184838" w:rsidRPr="00FB1983">
              <w:rPr>
                <w:rFonts w:eastAsia="Times New Roman" w:cs="Arial"/>
                <w:bCs w:val="0"/>
                <w:iCs/>
                <w:snapToGrid w:val="0"/>
                <w:szCs w:val="20"/>
              </w:rPr>
              <w:t>for RFS</w:t>
            </w:r>
            <w:r w:rsidRPr="00FB1983">
              <w:rPr>
                <w:rFonts w:eastAsia="Times New Roman" w:cs="Arial"/>
                <w:bCs w:val="0"/>
                <w:iCs/>
                <w:snapToGrid w:val="0"/>
                <w:szCs w:val="20"/>
              </w:rPr>
              <w:t>, which was not clinically plausible unless patients who relapsed became functionally cured due to subsequent therapies and/or HSCT, which is relatively rare in AML. In addition, the PBAC considered that the cure fractions based on overall survival (52.1% in the gemtuzumab arm and 40.0% in the comparator arm) were high compared to the estimated cure fraction due to HSCT (42.2%)</w:t>
            </w:r>
            <w:r w:rsidR="005A43EB" w:rsidRPr="00FB1983">
              <w:rPr>
                <w:rFonts w:eastAsia="Times New Roman" w:cs="Arial"/>
                <w:bCs w:val="0"/>
                <w:iCs/>
                <w:snapToGrid w:val="0"/>
                <w:szCs w:val="20"/>
              </w:rPr>
              <w:t xml:space="preserve"> (para 7.13, gemtuzumab PSD, March 2021 PBAC meeting).</w:t>
            </w:r>
          </w:p>
        </w:tc>
        <w:tc>
          <w:tcPr>
            <w:tcW w:w="1701" w:type="pct"/>
          </w:tcPr>
          <w:p w14:paraId="7361A795" w14:textId="77777777" w:rsidR="005B5BD5" w:rsidRPr="00FB1983" w:rsidRDefault="005A43EB" w:rsidP="00F6648F">
            <w:pPr>
              <w:pStyle w:val="TableText"/>
              <w:keepNext w:val="0"/>
              <w:widowControl w:val="0"/>
            </w:pPr>
            <w:r w:rsidRPr="00FB1983">
              <w:t>The same methods of extra</w:t>
            </w:r>
            <w:r w:rsidR="00A43DC8" w:rsidRPr="00FB1983">
              <w:t xml:space="preserve">polation were employed in the </w:t>
            </w:r>
            <w:r w:rsidR="00002070" w:rsidRPr="00FB1983">
              <w:t>resubmission;</w:t>
            </w:r>
            <w:r w:rsidR="00A43DC8" w:rsidRPr="00FB1983">
              <w:t xml:space="preserve"> however, the resubmission claimed the inclusion of forced convergence of OS</w:t>
            </w:r>
            <w:r w:rsidR="00184838" w:rsidRPr="00FB1983">
              <w:t xml:space="preserve"> reduced the impact of the cure fraction assumptions in the model. </w:t>
            </w:r>
          </w:p>
        </w:tc>
      </w:tr>
      <w:tr w:rsidR="00766C58" w:rsidRPr="00FB1983" w14:paraId="46B316F0" w14:textId="77777777" w:rsidTr="00C75C09">
        <w:trPr>
          <w:cantSplit/>
          <w:trHeight w:val="20"/>
        </w:trPr>
        <w:tc>
          <w:tcPr>
            <w:tcW w:w="3299" w:type="pct"/>
            <w:vAlign w:val="center"/>
          </w:tcPr>
          <w:p w14:paraId="7A1702F8" w14:textId="77777777" w:rsidR="00766C58" w:rsidRPr="00FB1983" w:rsidRDefault="00766C58" w:rsidP="00F6648F">
            <w:pPr>
              <w:pStyle w:val="TableText"/>
              <w:keepNext w:val="0"/>
              <w:widowControl w:val="0"/>
              <w:rPr>
                <w:rFonts w:eastAsia="Times New Roman" w:cs="Arial"/>
                <w:bCs w:val="0"/>
                <w:iCs/>
                <w:snapToGrid w:val="0"/>
                <w:szCs w:val="20"/>
              </w:rPr>
            </w:pPr>
            <w:r w:rsidRPr="00FB1983">
              <w:rPr>
                <w:rFonts w:eastAsia="Times New Roman" w:cs="Arial"/>
                <w:bCs w:val="0"/>
                <w:iCs/>
                <w:snapToGrid w:val="0"/>
                <w:szCs w:val="20"/>
              </w:rPr>
              <w:t>The PBAC considered the model assumed a higher proportion of patients in the standard of care arm would receive HSCT after relapse. The PBAC noted that this was a key offset in the economic model and considered that the rate should be equal in both arms (para 7.13, gemtuzumab PSD, March 2021 PBAC meeting).</w:t>
            </w:r>
          </w:p>
        </w:tc>
        <w:tc>
          <w:tcPr>
            <w:tcW w:w="1701" w:type="pct"/>
          </w:tcPr>
          <w:p w14:paraId="5FD9EF02" w14:textId="77777777" w:rsidR="00766C58" w:rsidRPr="00FB1983" w:rsidRDefault="00EC6751" w:rsidP="00F6648F">
            <w:pPr>
              <w:pStyle w:val="TableText"/>
              <w:keepNext w:val="0"/>
              <w:widowControl w:val="0"/>
            </w:pPr>
            <w:r w:rsidRPr="00FB1983">
              <w:t>The resubmission used revised transition probabilities to HSCT based on an updated analysis of individual patient data from the trial, however, the resubmission maintained the use of individual arm HSCT rates in relapsed patients.</w:t>
            </w:r>
            <w:r w:rsidR="00C44356">
              <w:t xml:space="preserve"> Pooled rates were presented as a sensitivity analysis during evaluation, and in the pre-PBAC response.</w:t>
            </w:r>
          </w:p>
        </w:tc>
      </w:tr>
      <w:tr w:rsidR="00C87013" w:rsidRPr="00FB1983" w14:paraId="160332EB" w14:textId="77777777" w:rsidTr="00C75C09">
        <w:trPr>
          <w:cantSplit/>
          <w:trHeight w:val="20"/>
        </w:trPr>
        <w:tc>
          <w:tcPr>
            <w:tcW w:w="3299" w:type="pct"/>
            <w:vAlign w:val="center"/>
          </w:tcPr>
          <w:p w14:paraId="5F83CEA6" w14:textId="77777777" w:rsidR="00C87013" w:rsidRPr="00FB1983" w:rsidRDefault="00E7530B" w:rsidP="00F6648F">
            <w:pPr>
              <w:pStyle w:val="TableText"/>
              <w:keepNext w:val="0"/>
              <w:widowControl w:val="0"/>
              <w:rPr>
                <w:rFonts w:eastAsia="Times New Roman" w:cs="Arial"/>
                <w:bCs w:val="0"/>
                <w:iCs/>
                <w:snapToGrid w:val="0"/>
                <w:szCs w:val="20"/>
              </w:rPr>
            </w:pPr>
            <w:r w:rsidRPr="00FB1983">
              <w:rPr>
                <w:rFonts w:eastAsia="Times New Roman" w:cs="Arial"/>
                <w:bCs w:val="0"/>
                <w:iCs/>
                <w:snapToGrid w:val="0"/>
                <w:szCs w:val="20"/>
              </w:rPr>
              <w:t xml:space="preserve">The PBAC considered that the majority of use of gemtuzumab would be in the public hospital setting, but that the financial impact was highly dependent on </w:t>
            </w:r>
            <w:r w:rsidR="00DA4D50" w:rsidRPr="00FB1983">
              <w:rPr>
                <w:rFonts w:eastAsia="Times New Roman" w:cs="Arial"/>
                <w:bCs w:val="0"/>
                <w:iCs/>
                <w:snapToGrid w:val="0"/>
                <w:szCs w:val="20"/>
              </w:rPr>
              <w:t>the public hospital/private hospital split of 83%/17% presented in the PSCR (para 7.14, gemtuzumab PSD, March 2021 PBAC meeting).</w:t>
            </w:r>
          </w:p>
        </w:tc>
        <w:tc>
          <w:tcPr>
            <w:tcW w:w="1701" w:type="pct"/>
          </w:tcPr>
          <w:p w14:paraId="5E9BB1DC" w14:textId="77777777" w:rsidR="00C87013" w:rsidRPr="00FB1983" w:rsidRDefault="005B0CCC" w:rsidP="00F6648F">
            <w:pPr>
              <w:pStyle w:val="TableText"/>
              <w:keepNext w:val="0"/>
              <w:widowControl w:val="0"/>
              <w:rPr>
                <w:rFonts w:eastAsia="Times New Roman" w:cs="Arial"/>
                <w:bCs w:val="0"/>
                <w:snapToGrid w:val="0"/>
                <w:color w:val="0066FF"/>
                <w:szCs w:val="20"/>
              </w:rPr>
            </w:pPr>
            <w:r w:rsidRPr="00FB1983">
              <w:rPr>
                <w:rFonts w:eastAsia="Times New Roman" w:cs="Arial"/>
                <w:bCs w:val="0"/>
                <w:snapToGrid w:val="0"/>
                <w:szCs w:val="20"/>
              </w:rPr>
              <w:t>The estimated financial impact was</w:t>
            </w:r>
            <w:r w:rsidR="003C0A6B" w:rsidRPr="00FB1983">
              <w:rPr>
                <w:rFonts w:eastAsia="Times New Roman" w:cs="Arial"/>
                <w:bCs w:val="0"/>
                <w:snapToGrid w:val="0"/>
                <w:szCs w:val="20"/>
              </w:rPr>
              <w:t xml:space="preserve"> updated</w:t>
            </w:r>
            <w:r w:rsidRPr="00FB1983">
              <w:rPr>
                <w:rFonts w:eastAsia="Times New Roman" w:cs="Arial"/>
                <w:bCs w:val="0"/>
                <w:snapToGrid w:val="0"/>
                <w:szCs w:val="20"/>
              </w:rPr>
              <w:t xml:space="preserve"> based on </w:t>
            </w:r>
            <w:r w:rsidR="003C0A6B" w:rsidRPr="00FB1983">
              <w:rPr>
                <w:rFonts w:eastAsia="Times New Roman" w:cs="Arial"/>
                <w:bCs w:val="0"/>
                <w:snapToGrid w:val="0"/>
                <w:szCs w:val="20"/>
              </w:rPr>
              <w:t>a public hospital versus private hospital ratio of 83%/17%, as presented in the PSCR for the March 2021 submission.</w:t>
            </w:r>
          </w:p>
        </w:tc>
      </w:tr>
      <w:tr w:rsidR="00DA4D50" w:rsidRPr="00FB1983" w14:paraId="2A2E73F4" w14:textId="77777777" w:rsidTr="00C75C09">
        <w:trPr>
          <w:cantSplit/>
          <w:trHeight w:val="20"/>
        </w:trPr>
        <w:tc>
          <w:tcPr>
            <w:tcW w:w="3299" w:type="pct"/>
            <w:vAlign w:val="center"/>
          </w:tcPr>
          <w:p w14:paraId="13C52DBA" w14:textId="77777777" w:rsidR="00DA4D50" w:rsidRPr="00FB1983" w:rsidRDefault="00DA4D50" w:rsidP="00F6648F">
            <w:pPr>
              <w:pStyle w:val="TableText"/>
              <w:keepNext w:val="0"/>
              <w:widowControl w:val="0"/>
              <w:rPr>
                <w:rFonts w:eastAsia="Times New Roman" w:cs="Arial"/>
                <w:bCs w:val="0"/>
                <w:iCs/>
                <w:snapToGrid w:val="0"/>
                <w:szCs w:val="20"/>
              </w:rPr>
            </w:pPr>
            <w:r w:rsidRPr="00FB1983">
              <w:rPr>
                <w:rFonts w:eastAsia="Times New Roman" w:cs="Arial"/>
                <w:bCs w:val="0"/>
                <w:iCs/>
                <w:snapToGrid w:val="0"/>
                <w:szCs w:val="20"/>
              </w:rPr>
              <w:t>The PBAC considered that the utilisation and financial impact estimations were uncertain and that a resubmission should present updated estimates to address a number of issues concerning key inputs to determine the size of the eligible and treated populations, and additional costs to the PBS/MBS associated with the use of gemtuzumab (para 7.15 and 7.16, gemtuzumab PSD, March 2021 PBAC meeting)</w:t>
            </w:r>
          </w:p>
        </w:tc>
        <w:tc>
          <w:tcPr>
            <w:tcW w:w="1701" w:type="pct"/>
          </w:tcPr>
          <w:p w14:paraId="0E77EF92" w14:textId="77777777" w:rsidR="00DA4D50" w:rsidRPr="00FB1983" w:rsidRDefault="00DA4D50" w:rsidP="00F6648F">
            <w:pPr>
              <w:pStyle w:val="TableText"/>
              <w:keepNext w:val="0"/>
              <w:widowControl w:val="0"/>
              <w:rPr>
                <w:rFonts w:eastAsia="Times New Roman" w:cs="Arial"/>
                <w:bCs w:val="0"/>
                <w:snapToGrid w:val="0"/>
                <w:szCs w:val="20"/>
              </w:rPr>
            </w:pPr>
            <w:r w:rsidRPr="00FB1983">
              <w:rPr>
                <w:rFonts w:eastAsia="Times New Roman" w:cs="Arial"/>
                <w:bCs w:val="0"/>
                <w:snapToGrid w:val="0"/>
                <w:szCs w:val="20"/>
              </w:rPr>
              <w:t>The resubmission presented updated utilisation and financial estimates, with multiple revisions including the size of the eligible and treated populations and additional costs to Government associated with gemtuzumab treatment.</w:t>
            </w:r>
          </w:p>
        </w:tc>
      </w:tr>
    </w:tbl>
    <w:p w14:paraId="53232F28" w14:textId="77777777" w:rsidR="005C25FF" w:rsidRDefault="005C25FF" w:rsidP="00EE07CC">
      <w:pPr>
        <w:pStyle w:val="TableFigureFooter"/>
      </w:pPr>
      <w:r w:rsidRPr="00610FCD">
        <w:t xml:space="preserve">Source: </w:t>
      </w:r>
      <w:r w:rsidR="00DF0C88" w:rsidRPr="00610FCD">
        <w:t>adapted from Table OV, p20 of the resubmission</w:t>
      </w:r>
      <w:r w:rsidR="00757EB3">
        <w:t>.</w:t>
      </w:r>
    </w:p>
    <w:p w14:paraId="07D4F15E" w14:textId="77777777" w:rsidR="0054719C" w:rsidRDefault="008F0AFA" w:rsidP="00EE07CC">
      <w:pPr>
        <w:pStyle w:val="TableFigureFooter"/>
      </w:pPr>
      <w:r>
        <w:t xml:space="preserve">EFS, event-free survival; HSCT, haematopoietic stem cell transplant; OS, overall survival; </w:t>
      </w:r>
      <w:r w:rsidR="006A3396">
        <w:t xml:space="preserve">PSCR, </w:t>
      </w:r>
      <w:r w:rsidR="00061AF6">
        <w:t>P</w:t>
      </w:r>
      <w:r w:rsidR="006A3396">
        <w:t>r</w:t>
      </w:r>
      <w:r w:rsidR="00061AF6">
        <w:t>e-S</w:t>
      </w:r>
      <w:r w:rsidR="006A3396">
        <w:t>ub-</w:t>
      </w:r>
      <w:r w:rsidR="00061AF6">
        <w:t>C</w:t>
      </w:r>
      <w:r w:rsidR="006A3396">
        <w:t>ommittee</w:t>
      </w:r>
      <w:r w:rsidR="00061AF6">
        <w:t xml:space="preserve"> R</w:t>
      </w:r>
      <w:r w:rsidR="006A3396">
        <w:t xml:space="preserve">esponse; </w:t>
      </w:r>
      <w:r>
        <w:t>RFS, relapse-free survival</w:t>
      </w:r>
    </w:p>
    <w:p w14:paraId="0F3C62D7" w14:textId="77777777" w:rsidR="0035212A" w:rsidRPr="00C737F9" w:rsidRDefault="0035212A" w:rsidP="00EE07CC">
      <w:pPr>
        <w:pStyle w:val="TableFigureFooter"/>
        <w:rPr>
          <w:i/>
        </w:rPr>
      </w:pPr>
      <w:r w:rsidRPr="00C737F9">
        <w:rPr>
          <w:i/>
        </w:rPr>
        <w:t>The redacted values correspond to the following ranges:</w:t>
      </w:r>
    </w:p>
    <w:p w14:paraId="1AA894B8" w14:textId="77777777" w:rsidR="0035212A" w:rsidRPr="00C737F9" w:rsidRDefault="0035212A" w:rsidP="00EE07CC">
      <w:pPr>
        <w:pStyle w:val="TableFigureFooter"/>
        <w:rPr>
          <w:i/>
        </w:rPr>
      </w:pPr>
      <w:r w:rsidRPr="00C737F9">
        <w:rPr>
          <w:i/>
          <w:vertAlign w:val="superscript"/>
        </w:rPr>
        <w:t>1</w:t>
      </w:r>
      <w:r w:rsidRPr="00C737F9">
        <w:rPr>
          <w:i/>
        </w:rPr>
        <w:t xml:space="preserve"> </w:t>
      </w:r>
      <w:r w:rsidR="00C737F9" w:rsidRPr="00C737F9">
        <w:rPr>
          <w:i/>
        </w:rPr>
        <w:t>$35,000 to &lt; $45,000</w:t>
      </w:r>
    </w:p>
    <w:p w14:paraId="505E1CAD" w14:textId="77777777" w:rsidR="00B60939" w:rsidRPr="00610FCD" w:rsidRDefault="00B50DB8" w:rsidP="004E18E9">
      <w:pPr>
        <w:pStyle w:val="2-SectionHeading"/>
      </w:pPr>
      <w:bookmarkStart w:id="6" w:name="_Toc82591335"/>
      <w:r w:rsidRPr="00610FCD">
        <w:t>Requested listing</w:t>
      </w:r>
      <w:bookmarkEnd w:id="6"/>
    </w:p>
    <w:p w14:paraId="457EFDC7" w14:textId="77777777" w:rsidR="00591957" w:rsidRPr="00610FCD" w:rsidRDefault="00F9076E" w:rsidP="004E18E9">
      <w:pPr>
        <w:pStyle w:val="ExecSumBodyText"/>
      </w:pPr>
      <w:r w:rsidRPr="00610FCD">
        <w:t xml:space="preserve">The resubmission claimed the administration of gemtuzumab would occur primarily in the public hospital inpatient setting. Therefore, the funding of gemtuzumab is expected to largely fall within the budget of public hospitals and not the </w:t>
      </w:r>
      <w:r w:rsidR="00757EB3">
        <w:t>Australian</w:t>
      </w:r>
      <w:r w:rsidR="00757EB3" w:rsidRPr="00610FCD">
        <w:t xml:space="preserve"> </w:t>
      </w:r>
      <w:r w:rsidRPr="00610FCD">
        <w:t xml:space="preserve">Government. </w:t>
      </w:r>
      <w:r w:rsidR="00F85877" w:rsidRPr="00FB1983">
        <w:rPr>
          <w:iCs/>
        </w:rPr>
        <w:t xml:space="preserve">The </w:t>
      </w:r>
      <w:r w:rsidR="00F01BEC" w:rsidRPr="00FB1983">
        <w:rPr>
          <w:iCs/>
        </w:rPr>
        <w:t xml:space="preserve">PBAC </w:t>
      </w:r>
      <w:r w:rsidR="009C0B2E">
        <w:rPr>
          <w:iCs/>
        </w:rPr>
        <w:t xml:space="preserve">had </w:t>
      </w:r>
      <w:r w:rsidR="00F01BEC" w:rsidRPr="00FB1983">
        <w:rPr>
          <w:iCs/>
        </w:rPr>
        <w:t>previously considered the majority of use would be in the public hospital setting</w:t>
      </w:r>
      <w:r w:rsidR="00B0012C" w:rsidRPr="00FB1983">
        <w:rPr>
          <w:iCs/>
        </w:rPr>
        <w:t xml:space="preserve"> (para 7.14, gemtuzumab PSD, March 2021 PBAC meeting).</w:t>
      </w:r>
    </w:p>
    <w:p w14:paraId="33DA8878" w14:textId="77777777" w:rsidR="00B97CCD" w:rsidRPr="00C44356" w:rsidRDefault="00B00BDF" w:rsidP="004E18E9">
      <w:pPr>
        <w:pStyle w:val="ExecSumBodyText"/>
      </w:pPr>
      <w:r w:rsidRPr="00F91542">
        <w:rPr>
          <w:rFonts w:cstheme="minorHAnsi"/>
          <w:iCs/>
        </w:rPr>
        <w:t>Suggestions and additions proposed by the Secretariat are added in italics and suggested deletions are crossed out with strikethrough</w:t>
      </w:r>
      <w:r>
        <w:rPr>
          <w:rFonts w:cstheme="minorHAns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2618"/>
        <w:gridCol w:w="1417"/>
        <w:gridCol w:w="1806"/>
        <w:gridCol w:w="1029"/>
        <w:gridCol w:w="1084"/>
      </w:tblGrid>
      <w:tr w:rsidR="006D0A2C" w:rsidRPr="009E7076" w14:paraId="611A72D7" w14:textId="77777777" w:rsidTr="006D0A2C">
        <w:trPr>
          <w:cantSplit/>
          <w:trHeight w:val="20"/>
        </w:trPr>
        <w:tc>
          <w:tcPr>
            <w:tcW w:w="3681" w:type="dxa"/>
            <w:gridSpan w:val="2"/>
            <w:vAlign w:val="center"/>
          </w:tcPr>
          <w:p w14:paraId="61B240E1" w14:textId="77777777" w:rsidR="006D0A2C" w:rsidRPr="009E7076" w:rsidRDefault="006D0A2C" w:rsidP="006D0A2C">
            <w:pPr>
              <w:pStyle w:val="Tableheadingrow"/>
            </w:pPr>
            <w:r w:rsidRPr="009E7076">
              <w:t xml:space="preserve">MEDICINAL PRODUCT </w:t>
            </w:r>
          </w:p>
          <w:p w14:paraId="0E6FD70D" w14:textId="77777777" w:rsidR="006D0A2C" w:rsidRPr="009E7076" w:rsidRDefault="006D0A2C" w:rsidP="006D0A2C">
            <w:pPr>
              <w:pStyle w:val="Tableheadingrow"/>
            </w:pPr>
            <w:r w:rsidRPr="009E7076">
              <w:t>medicinal product pack (MPP)</w:t>
            </w:r>
          </w:p>
        </w:tc>
        <w:tc>
          <w:tcPr>
            <w:tcW w:w="1417" w:type="dxa"/>
            <w:vAlign w:val="center"/>
          </w:tcPr>
          <w:p w14:paraId="7399C2FE" w14:textId="77777777" w:rsidR="006D0A2C" w:rsidRPr="00BC40EE" w:rsidRDefault="006D0A2C" w:rsidP="006D0A2C">
            <w:pPr>
              <w:pStyle w:val="Tableheadingrow"/>
              <w:jc w:val="center"/>
              <w:rPr>
                <w:szCs w:val="20"/>
              </w:rPr>
            </w:pPr>
            <w:r w:rsidRPr="00BC40EE">
              <w:rPr>
                <w:szCs w:val="20"/>
              </w:rPr>
              <w:t>PBS item code</w:t>
            </w:r>
          </w:p>
        </w:tc>
        <w:tc>
          <w:tcPr>
            <w:tcW w:w="1806" w:type="dxa"/>
            <w:vAlign w:val="center"/>
          </w:tcPr>
          <w:p w14:paraId="6CDA9018" w14:textId="77777777" w:rsidR="006D0A2C" w:rsidRPr="006D0A2C" w:rsidRDefault="006D0A2C" w:rsidP="006D0A2C">
            <w:pPr>
              <w:pStyle w:val="Tableheadingrow"/>
              <w:jc w:val="center"/>
              <w:rPr>
                <w:bCs/>
                <w:szCs w:val="20"/>
              </w:rPr>
            </w:pPr>
            <w:r w:rsidRPr="006D0A2C">
              <w:rPr>
                <w:bCs/>
              </w:rPr>
              <w:t>Dispensed Price for Max. Amt</w:t>
            </w:r>
          </w:p>
        </w:tc>
        <w:tc>
          <w:tcPr>
            <w:tcW w:w="1029" w:type="dxa"/>
            <w:vAlign w:val="center"/>
          </w:tcPr>
          <w:p w14:paraId="17D6D272" w14:textId="77777777" w:rsidR="006D0A2C" w:rsidRPr="00BC40EE" w:rsidRDefault="006D0A2C" w:rsidP="006D0A2C">
            <w:pPr>
              <w:pStyle w:val="Tableheadingrow"/>
              <w:jc w:val="center"/>
              <w:rPr>
                <w:szCs w:val="20"/>
              </w:rPr>
            </w:pPr>
            <w:r w:rsidRPr="00BC40EE">
              <w:rPr>
                <w:szCs w:val="20"/>
              </w:rPr>
              <w:t>Max. Amount</w:t>
            </w:r>
          </w:p>
        </w:tc>
        <w:tc>
          <w:tcPr>
            <w:tcW w:w="1084" w:type="dxa"/>
            <w:vAlign w:val="center"/>
          </w:tcPr>
          <w:p w14:paraId="27541E48" w14:textId="77777777" w:rsidR="006D0A2C" w:rsidRPr="00BC40EE" w:rsidRDefault="006D0A2C" w:rsidP="006D0A2C">
            <w:pPr>
              <w:pStyle w:val="Tableheadingrow"/>
              <w:jc w:val="center"/>
              <w:rPr>
                <w:szCs w:val="20"/>
              </w:rPr>
            </w:pPr>
            <w:r w:rsidRPr="00BC40EE">
              <w:rPr>
                <w:szCs w:val="20"/>
              </w:rPr>
              <w:t>№.of</w:t>
            </w:r>
            <w:r>
              <w:rPr>
                <w:szCs w:val="20"/>
              </w:rPr>
              <w:t xml:space="preserve"> </w:t>
            </w:r>
            <w:r w:rsidRPr="00BC40EE">
              <w:rPr>
                <w:szCs w:val="20"/>
              </w:rPr>
              <w:t>Rpts</w:t>
            </w:r>
          </w:p>
        </w:tc>
      </w:tr>
      <w:tr w:rsidR="006D0A2C" w:rsidRPr="009E7076" w14:paraId="01019A88" w14:textId="77777777" w:rsidTr="006D0A2C">
        <w:trPr>
          <w:cantSplit/>
          <w:trHeight w:val="20"/>
        </w:trPr>
        <w:tc>
          <w:tcPr>
            <w:tcW w:w="3681" w:type="dxa"/>
            <w:gridSpan w:val="2"/>
          </w:tcPr>
          <w:p w14:paraId="4EB49545" w14:textId="77777777" w:rsidR="006D0A2C" w:rsidRPr="009E7076" w:rsidRDefault="006D0A2C" w:rsidP="006D0A2C">
            <w:pPr>
              <w:keepNext/>
              <w:rPr>
                <w:rFonts w:ascii="Arial Narrow" w:hAnsi="Arial Narrow"/>
                <w:sz w:val="20"/>
                <w:szCs w:val="20"/>
              </w:rPr>
            </w:pPr>
            <w:r w:rsidRPr="009E7076">
              <w:rPr>
                <w:rFonts w:ascii="Arial Narrow" w:hAnsi="Arial Narrow"/>
                <w:sz w:val="20"/>
                <w:szCs w:val="20"/>
              </w:rPr>
              <w:t>GEMTUZUMAB OZOGAMICIN</w:t>
            </w:r>
          </w:p>
          <w:p w14:paraId="00CF58E1" w14:textId="77777777" w:rsidR="006D0A2C" w:rsidRPr="009E7076" w:rsidRDefault="006D0A2C" w:rsidP="006D0A2C">
            <w:pPr>
              <w:keepNext/>
              <w:rPr>
                <w:rFonts w:ascii="Arial Narrow" w:hAnsi="Arial Narrow"/>
                <w:sz w:val="20"/>
                <w:szCs w:val="20"/>
              </w:rPr>
            </w:pPr>
            <w:r w:rsidRPr="009E7076">
              <w:rPr>
                <w:rFonts w:ascii="Arial Narrow" w:hAnsi="Arial Narrow"/>
                <w:sz w:val="20"/>
                <w:szCs w:val="20"/>
              </w:rPr>
              <w:t>gemtuzumab ozogamicin 5 mg injection, 1 vial</w:t>
            </w:r>
          </w:p>
        </w:tc>
        <w:tc>
          <w:tcPr>
            <w:tcW w:w="1417" w:type="dxa"/>
            <w:vAlign w:val="center"/>
          </w:tcPr>
          <w:p w14:paraId="2D9156ED" w14:textId="77777777" w:rsidR="006D0A2C" w:rsidRPr="009E7076" w:rsidRDefault="006D0A2C" w:rsidP="006D0A2C">
            <w:pPr>
              <w:keepNext/>
              <w:ind w:left="-108"/>
              <w:jc w:val="center"/>
              <w:rPr>
                <w:rFonts w:ascii="Arial Narrow" w:hAnsi="Arial Narrow"/>
                <w:i/>
                <w:iCs/>
                <w:sz w:val="20"/>
                <w:szCs w:val="20"/>
              </w:rPr>
            </w:pPr>
            <w:r w:rsidRPr="009E7076">
              <w:rPr>
                <w:rFonts w:ascii="Arial Narrow" w:hAnsi="Arial Narrow"/>
                <w:i/>
                <w:iCs/>
                <w:sz w:val="20"/>
                <w:szCs w:val="20"/>
              </w:rPr>
              <w:t>NEW (Public)</w:t>
            </w:r>
          </w:p>
          <w:p w14:paraId="3BC09BDD" w14:textId="77777777" w:rsidR="006D0A2C" w:rsidRPr="009E7076" w:rsidRDefault="006D0A2C" w:rsidP="006D0A2C">
            <w:pPr>
              <w:keepNext/>
              <w:ind w:left="-108"/>
              <w:jc w:val="center"/>
              <w:rPr>
                <w:rFonts w:ascii="Arial Narrow" w:hAnsi="Arial Narrow"/>
                <w:i/>
                <w:iCs/>
                <w:sz w:val="20"/>
                <w:szCs w:val="20"/>
              </w:rPr>
            </w:pPr>
            <w:r w:rsidRPr="009E7076">
              <w:rPr>
                <w:rFonts w:ascii="Arial Narrow" w:hAnsi="Arial Narrow"/>
                <w:i/>
                <w:iCs/>
                <w:sz w:val="20"/>
                <w:szCs w:val="20"/>
              </w:rPr>
              <w:t>NEW (Private)</w:t>
            </w:r>
          </w:p>
        </w:tc>
        <w:tc>
          <w:tcPr>
            <w:tcW w:w="1806" w:type="dxa"/>
            <w:vAlign w:val="center"/>
          </w:tcPr>
          <w:p w14:paraId="6728437D" w14:textId="77777777" w:rsidR="006D0A2C" w:rsidRDefault="006D0A2C" w:rsidP="006D0A2C">
            <w:pPr>
              <w:keepNext/>
              <w:jc w:val="center"/>
              <w:rPr>
                <w:rFonts w:ascii="Arial Narrow" w:hAnsi="Arial Narrow"/>
                <w:sz w:val="20"/>
              </w:rPr>
            </w:pPr>
            <w:r>
              <w:rPr>
                <w:rFonts w:ascii="Arial Narrow" w:hAnsi="Arial Narrow"/>
                <w:sz w:val="20"/>
              </w:rPr>
              <w:t>$</w:t>
            </w:r>
            <w:r w:rsidR="00FF0EA4">
              <w:rPr>
                <w:rFonts w:ascii="Arial Narrow" w:hAnsi="Arial Narrow"/>
                <w:noProof/>
                <w:color w:val="000000"/>
                <w:sz w:val="20"/>
                <w:highlight w:val="black"/>
              </w:rPr>
              <w:t>'''''''''''''''''''''''</w:t>
            </w:r>
            <w:r>
              <w:rPr>
                <w:rFonts w:ascii="Arial Narrow" w:hAnsi="Arial Narrow"/>
                <w:sz w:val="20"/>
              </w:rPr>
              <w:t xml:space="preserve"> (public)</w:t>
            </w:r>
          </w:p>
          <w:p w14:paraId="0EB1FE9C" w14:textId="77777777" w:rsidR="006D0A2C" w:rsidRPr="009E7076" w:rsidRDefault="006D0A2C" w:rsidP="006D0A2C">
            <w:pPr>
              <w:keepNext/>
              <w:jc w:val="center"/>
              <w:rPr>
                <w:rFonts w:ascii="Arial Narrow" w:hAnsi="Arial Narrow"/>
                <w:i/>
                <w:iCs/>
                <w:sz w:val="20"/>
                <w:szCs w:val="20"/>
              </w:rPr>
            </w:pPr>
            <w:r>
              <w:rPr>
                <w:rFonts w:ascii="Arial Narrow" w:hAnsi="Arial Narrow"/>
                <w:sz w:val="20"/>
              </w:rPr>
              <w:t>$</w:t>
            </w:r>
            <w:r w:rsidR="00FF0EA4">
              <w:rPr>
                <w:rFonts w:ascii="Arial Narrow" w:hAnsi="Arial Narrow"/>
                <w:noProof/>
                <w:color w:val="000000"/>
                <w:sz w:val="20"/>
                <w:highlight w:val="black"/>
              </w:rPr>
              <w:t>''''''''''''''''''''''''''</w:t>
            </w:r>
            <w:r>
              <w:rPr>
                <w:rFonts w:ascii="Arial Narrow" w:hAnsi="Arial Narrow"/>
                <w:sz w:val="20"/>
              </w:rPr>
              <w:t xml:space="preserve"> (private)</w:t>
            </w:r>
          </w:p>
        </w:tc>
        <w:tc>
          <w:tcPr>
            <w:tcW w:w="1029" w:type="dxa"/>
            <w:vAlign w:val="center"/>
          </w:tcPr>
          <w:p w14:paraId="5D81653C" w14:textId="77777777" w:rsidR="006D0A2C" w:rsidRPr="009E7076" w:rsidRDefault="006D0A2C" w:rsidP="006D0A2C">
            <w:pPr>
              <w:keepNext/>
              <w:ind w:left="-108"/>
              <w:jc w:val="center"/>
              <w:rPr>
                <w:rFonts w:ascii="Arial Narrow" w:hAnsi="Arial Narrow"/>
                <w:i/>
                <w:iCs/>
                <w:sz w:val="20"/>
                <w:szCs w:val="20"/>
              </w:rPr>
            </w:pPr>
            <w:r w:rsidRPr="009E7076">
              <w:rPr>
                <w:rFonts w:ascii="Arial Narrow" w:hAnsi="Arial Narrow"/>
                <w:strike/>
                <w:sz w:val="20"/>
                <w:szCs w:val="20"/>
              </w:rPr>
              <w:t>1</w:t>
            </w:r>
            <w:r w:rsidRPr="009E7076">
              <w:rPr>
                <w:rFonts w:ascii="Arial Narrow" w:hAnsi="Arial Narrow"/>
                <w:sz w:val="20"/>
                <w:szCs w:val="20"/>
              </w:rPr>
              <w:t xml:space="preserve"> </w:t>
            </w:r>
            <w:r w:rsidRPr="009E7076">
              <w:rPr>
                <w:rFonts w:ascii="Arial Narrow" w:hAnsi="Arial Narrow"/>
                <w:i/>
                <w:iCs/>
                <w:sz w:val="20"/>
                <w:szCs w:val="20"/>
              </w:rPr>
              <w:t>5 mg</w:t>
            </w:r>
          </w:p>
        </w:tc>
        <w:tc>
          <w:tcPr>
            <w:tcW w:w="1084" w:type="dxa"/>
            <w:vAlign w:val="center"/>
          </w:tcPr>
          <w:p w14:paraId="4815A256" w14:textId="77777777" w:rsidR="006D0A2C" w:rsidRPr="009E7076" w:rsidRDefault="006D0A2C" w:rsidP="006D0A2C">
            <w:pPr>
              <w:keepNext/>
              <w:ind w:left="-108"/>
              <w:jc w:val="center"/>
              <w:rPr>
                <w:rFonts w:ascii="Arial Narrow" w:hAnsi="Arial Narrow"/>
                <w:i/>
                <w:sz w:val="20"/>
                <w:szCs w:val="20"/>
              </w:rPr>
            </w:pPr>
            <w:r w:rsidRPr="009E7076">
              <w:rPr>
                <w:rFonts w:ascii="Arial Narrow" w:hAnsi="Arial Narrow"/>
                <w:i/>
                <w:sz w:val="20"/>
                <w:szCs w:val="20"/>
              </w:rPr>
              <w:t>2</w:t>
            </w:r>
          </w:p>
        </w:tc>
      </w:tr>
      <w:tr w:rsidR="006D0A2C" w:rsidRPr="009E7076" w14:paraId="3EF0B456" w14:textId="77777777" w:rsidTr="006D0A2C">
        <w:trPr>
          <w:cantSplit/>
          <w:trHeight w:val="20"/>
        </w:trPr>
        <w:tc>
          <w:tcPr>
            <w:tcW w:w="9017" w:type="dxa"/>
            <w:gridSpan w:val="6"/>
          </w:tcPr>
          <w:p w14:paraId="35920C5A" w14:textId="77777777" w:rsidR="006D0A2C" w:rsidRPr="009E7076" w:rsidRDefault="006D0A2C" w:rsidP="006D0A2C">
            <w:pPr>
              <w:keepNext/>
              <w:rPr>
                <w:rFonts w:ascii="Arial Narrow" w:hAnsi="Arial Narrow"/>
                <w:b/>
                <w:sz w:val="20"/>
                <w:szCs w:val="20"/>
              </w:rPr>
            </w:pPr>
            <w:r w:rsidRPr="009E7076">
              <w:rPr>
                <w:rFonts w:ascii="Arial Narrow" w:hAnsi="Arial Narrow"/>
                <w:b/>
                <w:sz w:val="20"/>
                <w:szCs w:val="20"/>
              </w:rPr>
              <w:t>Available brands</w:t>
            </w:r>
          </w:p>
        </w:tc>
      </w:tr>
      <w:tr w:rsidR="006D0A2C" w:rsidRPr="009E7076" w14:paraId="2E289908" w14:textId="77777777" w:rsidTr="006D0A2C">
        <w:trPr>
          <w:cantSplit/>
          <w:trHeight w:val="20"/>
        </w:trPr>
        <w:tc>
          <w:tcPr>
            <w:tcW w:w="9017" w:type="dxa"/>
            <w:gridSpan w:val="6"/>
          </w:tcPr>
          <w:p w14:paraId="33430BCD" w14:textId="77777777" w:rsidR="006D0A2C" w:rsidRPr="009E7076" w:rsidRDefault="006D0A2C" w:rsidP="006D0A2C">
            <w:pPr>
              <w:rPr>
                <w:rFonts w:ascii="Arial Narrow" w:hAnsi="Arial Narrow"/>
                <w:sz w:val="20"/>
                <w:szCs w:val="20"/>
              </w:rPr>
            </w:pPr>
            <w:r w:rsidRPr="009E7076">
              <w:rPr>
                <w:rFonts w:ascii="Arial Narrow" w:hAnsi="Arial Narrow"/>
                <w:sz w:val="20"/>
                <w:szCs w:val="20"/>
              </w:rPr>
              <w:t xml:space="preserve">Mylotarg </w:t>
            </w:r>
          </w:p>
        </w:tc>
      </w:tr>
      <w:tr w:rsidR="006D0A2C" w:rsidRPr="009E7076" w14:paraId="5FFB4F6C" w14:textId="77777777" w:rsidTr="006D0A2C">
        <w:trPr>
          <w:cantSplit/>
          <w:trHeight w:val="20"/>
        </w:trPr>
        <w:tc>
          <w:tcPr>
            <w:tcW w:w="9017" w:type="dxa"/>
            <w:gridSpan w:val="6"/>
          </w:tcPr>
          <w:p w14:paraId="66838E69" w14:textId="77777777" w:rsidR="006D0A2C" w:rsidRPr="009E7076" w:rsidRDefault="006D0A2C" w:rsidP="006D0A2C">
            <w:pPr>
              <w:rPr>
                <w:rFonts w:ascii="Arial Narrow" w:hAnsi="Arial Narrow"/>
                <w:sz w:val="20"/>
                <w:szCs w:val="20"/>
              </w:rPr>
            </w:pPr>
          </w:p>
        </w:tc>
      </w:tr>
      <w:tr w:rsidR="006D0A2C" w:rsidRPr="009E7076" w14:paraId="1EA0C805" w14:textId="77777777" w:rsidTr="006D0A2C">
        <w:trPr>
          <w:cantSplit/>
          <w:trHeight w:val="20"/>
        </w:trPr>
        <w:tc>
          <w:tcPr>
            <w:tcW w:w="9017" w:type="dxa"/>
            <w:gridSpan w:val="6"/>
          </w:tcPr>
          <w:p w14:paraId="4722D70C" w14:textId="77777777" w:rsidR="006D0A2C" w:rsidRPr="009E7076" w:rsidRDefault="006D0A2C" w:rsidP="006D0A2C">
            <w:pPr>
              <w:rPr>
                <w:rFonts w:ascii="Arial Narrow" w:hAnsi="Arial Narrow"/>
                <w:sz w:val="20"/>
                <w:szCs w:val="20"/>
              </w:rPr>
            </w:pPr>
            <w:r w:rsidRPr="009E7076">
              <w:rPr>
                <w:rFonts w:ascii="Arial Narrow" w:hAnsi="Arial Narrow"/>
                <w:b/>
                <w:sz w:val="20"/>
                <w:szCs w:val="20"/>
              </w:rPr>
              <w:t>Restriction Summary [new] / Treatment of Concept: [new]</w:t>
            </w:r>
          </w:p>
        </w:tc>
      </w:tr>
      <w:tr w:rsidR="006D0A2C" w:rsidRPr="009E7076" w14:paraId="536A5C0C"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Merge w:val="restart"/>
            <w:tcBorders>
              <w:top w:val="single" w:sz="4" w:space="0" w:color="auto"/>
              <w:left w:val="single" w:sz="4" w:space="0" w:color="auto"/>
              <w:right w:val="single" w:sz="4" w:space="0" w:color="auto"/>
            </w:tcBorders>
          </w:tcPr>
          <w:p w14:paraId="1926276F" w14:textId="77777777" w:rsidR="006D0A2C" w:rsidRPr="009E7076" w:rsidRDefault="006D0A2C" w:rsidP="006D0A2C">
            <w:pPr>
              <w:rPr>
                <w:rFonts w:ascii="Arial Narrow" w:hAnsi="Arial Narrow"/>
                <w:b/>
                <w:sz w:val="20"/>
                <w:szCs w:val="20"/>
              </w:rPr>
            </w:pPr>
          </w:p>
        </w:tc>
        <w:tc>
          <w:tcPr>
            <w:tcW w:w="7954" w:type="dxa"/>
            <w:gridSpan w:val="5"/>
            <w:tcBorders>
              <w:top w:val="single" w:sz="4" w:space="0" w:color="auto"/>
              <w:left w:val="single" w:sz="4" w:space="0" w:color="auto"/>
              <w:bottom w:val="single" w:sz="4" w:space="0" w:color="auto"/>
              <w:right w:val="single" w:sz="4" w:space="0" w:color="auto"/>
            </w:tcBorders>
          </w:tcPr>
          <w:p w14:paraId="67C388F7" w14:textId="77777777" w:rsidR="006D0A2C" w:rsidRPr="009E7076" w:rsidRDefault="006D0A2C" w:rsidP="006D0A2C">
            <w:pPr>
              <w:rPr>
                <w:rFonts w:ascii="Arial Narrow" w:hAnsi="Arial Narrow"/>
                <w:sz w:val="20"/>
                <w:szCs w:val="20"/>
              </w:rPr>
            </w:pPr>
            <w:r w:rsidRPr="009E7076">
              <w:rPr>
                <w:rFonts w:ascii="Arial Narrow" w:hAnsi="Arial Narrow"/>
                <w:b/>
                <w:sz w:val="20"/>
                <w:szCs w:val="20"/>
              </w:rPr>
              <w:t xml:space="preserve">Category / Program: </w:t>
            </w:r>
            <w:r w:rsidRPr="009E7076">
              <w:rPr>
                <w:rFonts w:ascii="Arial Narrow" w:hAnsi="Arial Narrow"/>
                <w:sz w:val="20"/>
                <w:szCs w:val="20"/>
              </w:rPr>
              <w:t xml:space="preserve">Section 100 – Efficient Funding of Chemotherapy Public/Private hospitals </w:t>
            </w:r>
          </w:p>
        </w:tc>
      </w:tr>
      <w:tr w:rsidR="006D0A2C" w:rsidRPr="009E7076" w14:paraId="0A5EA449"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Merge/>
            <w:tcBorders>
              <w:left w:val="single" w:sz="4" w:space="0" w:color="auto"/>
              <w:right w:val="single" w:sz="4" w:space="0" w:color="auto"/>
            </w:tcBorders>
          </w:tcPr>
          <w:p w14:paraId="325A1CEA" w14:textId="77777777" w:rsidR="006D0A2C" w:rsidRPr="009E7076" w:rsidRDefault="006D0A2C" w:rsidP="006D0A2C">
            <w:pPr>
              <w:rPr>
                <w:rFonts w:ascii="Arial Narrow" w:hAnsi="Arial Narrow"/>
                <w:sz w:val="20"/>
                <w:szCs w:val="20"/>
              </w:rPr>
            </w:pPr>
          </w:p>
        </w:tc>
        <w:tc>
          <w:tcPr>
            <w:tcW w:w="7954" w:type="dxa"/>
            <w:gridSpan w:val="5"/>
            <w:tcBorders>
              <w:top w:val="single" w:sz="4" w:space="0" w:color="auto"/>
              <w:left w:val="single" w:sz="4" w:space="0" w:color="auto"/>
              <w:bottom w:val="single" w:sz="4" w:space="0" w:color="auto"/>
              <w:right w:val="single" w:sz="4" w:space="0" w:color="auto"/>
            </w:tcBorders>
          </w:tcPr>
          <w:p w14:paraId="46140DB5" w14:textId="77777777" w:rsidR="006D0A2C" w:rsidRPr="009E7076" w:rsidRDefault="006D0A2C" w:rsidP="006D0A2C">
            <w:pPr>
              <w:rPr>
                <w:rFonts w:ascii="Arial Narrow" w:hAnsi="Arial Narrow"/>
                <w:b/>
                <w:sz w:val="20"/>
                <w:szCs w:val="20"/>
              </w:rPr>
            </w:pPr>
            <w:r w:rsidRPr="009E7076">
              <w:rPr>
                <w:rFonts w:ascii="Arial Narrow" w:hAnsi="Arial Narrow"/>
                <w:b/>
                <w:sz w:val="20"/>
                <w:szCs w:val="20"/>
              </w:rPr>
              <w:t xml:space="preserve">Prescriber type: </w:t>
            </w:r>
            <w:r w:rsidRPr="009E7076">
              <w:rPr>
                <w:rFonts w:ascii="Arial Narrow" w:hAnsi="Arial Narrow"/>
                <w:sz w:val="20"/>
                <w:szCs w:val="20"/>
              </w:rPr>
              <w:fldChar w:fldCharType="begin">
                <w:ffData>
                  <w:name w:val=""/>
                  <w:enabled/>
                  <w:calcOnExit w:val="0"/>
                  <w:checkBox>
                    <w:sizeAuto/>
                    <w:default w:val="1"/>
                  </w:checkBox>
                </w:ffData>
              </w:fldChar>
            </w:r>
            <w:r w:rsidRPr="009E7076">
              <w:rPr>
                <w:rFonts w:ascii="Arial Narrow" w:hAnsi="Arial Narrow"/>
                <w:sz w:val="20"/>
                <w:szCs w:val="20"/>
              </w:rPr>
              <w:instrText xml:space="preserve"> FORMCHECKBOX </w:instrText>
            </w:r>
            <w:r w:rsidR="000B5D34">
              <w:rPr>
                <w:rFonts w:ascii="Arial Narrow" w:hAnsi="Arial Narrow"/>
                <w:sz w:val="20"/>
                <w:szCs w:val="20"/>
              </w:rPr>
            </w:r>
            <w:r w:rsidR="000B5D34">
              <w:rPr>
                <w:rFonts w:ascii="Arial Narrow" w:hAnsi="Arial Narrow"/>
                <w:sz w:val="20"/>
                <w:szCs w:val="20"/>
              </w:rPr>
              <w:fldChar w:fldCharType="separate"/>
            </w:r>
            <w:r w:rsidRPr="009E7076">
              <w:rPr>
                <w:rFonts w:ascii="Arial Narrow" w:hAnsi="Arial Narrow"/>
                <w:sz w:val="20"/>
                <w:szCs w:val="20"/>
              </w:rPr>
              <w:fldChar w:fldCharType="end"/>
            </w:r>
            <w:r w:rsidRPr="009E7076">
              <w:rPr>
                <w:rFonts w:ascii="Arial Narrow" w:hAnsi="Arial Narrow"/>
                <w:sz w:val="20"/>
                <w:szCs w:val="20"/>
              </w:rPr>
              <w:t>Medical Practitioners</w:t>
            </w:r>
          </w:p>
        </w:tc>
      </w:tr>
      <w:tr w:rsidR="006D0A2C" w:rsidRPr="009E7076" w14:paraId="55BFD460"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Merge/>
            <w:tcBorders>
              <w:left w:val="single" w:sz="4" w:space="0" w:color="auto"/>
              <w:bottom w:val="single" w:sz="4" w:space="0" w:color="auto"/>
              <w:right w:val="single" w:sz="4" w:space="0" w:color="auto"/>
            </w:tcBorders>
          </w:tcPr>
          <w:p w14:paraId="6BD13B97" w14:textId="77777777" w:rsidR="006D0A2C" w:rsidRPr="009E7076" w:rsidRDefault="006D0A2C" w:rsidP="006D0A2C">
            <w:pPr>
              <w:rPr>
                <w:rFonts w:ascii="Arial Narrow" w:hAnsi="Arial Narrow"/>
                <w:sz w:val="20"/>
                <w:szCs w:val="20"/>
              </w:rPr>
            </w:pPr>
          </w:p>
        </w:tc>
        <w:tc>
          <w:tcPr>
            <w:tcW w:w="7954" w:type="dxa"/>
            <w:gridSpan w:val="5"/>
            <w:tcBorders>
              <w:top w:val="single" w:sz="4" w:space="0" w:color="auto"/>
              <w:left w:val="single" w:sz="4" w:space="0" w:color="auto"/>
              <w:bottom w:val="single" w:sz="4" w:space="0" w:color="auto"/>
              <w:right w:val="single" w:sz="4" w:space="0" w:color="auto"/>
            </w:tcBorders>
          </w:tcPr>
          <w:p w14:paraId="54E7FD1A" w14:textId="77777777" w:rsidR="006D0A2C" w:rsidRPr="009E7076" w:rsidRDefault="006D0A2C" w:rsidP="006D0A2C">
            <w:pPr>
              <w:rPr>
                <w:rFonts w:ascii="Arial Narrow" w:hAnsi="Arial Narrow"/>
                <w:b/>
                <w:sz w:val="20"/>
                <w:szCs w:val="20"/>
              </w:rPr>
            </w:pPr>
            <w:r w:rsidRPr="009E7076">
              <w:rPr>
                <w:rFonts w:ascii="Arial Narrow" w:hAnsi="Arial Narrow"/>
                <w:b/>
                <w:sz w:val="20"/>
                <w:szCs w:val="20"/>
              </w:rPr>
              <w:t xml:space="preserve">Restriction Type: </w:t>
            </w:r>
          </w:p>
          <w:p w14:paraId="62E5A1FD" w14:textId="77777777" w:rsidR="006D0A2C" w:rsidRPr="009E7076" w:rsidRDefault="006D0A2C" w:rsidP="006D0A2C">
            <w:pPr>
              <w:rPr>
                <w:rFonts w:ascii="Arial Narrow" w:hAnsi="Arial Narrow"/>
                <w:strike/>
                <w:sz w:val="20"/>
                <w:szCs w:val="20"/>
              </w:rPr>
            </w:pPr>
            <w:r w:rsidRPr="009E7076">
              <w:rPr>
                <w:rFonts w:ascii="Arial Narrow" w:hAnsi="Arial Narrow"/>
                <w:strike/>
                <w:sz w:val="20"/>
                <w:szCs w:val="20"/>
              </w:rPr>
              <w:fldChar w:fldCharType="begin">
                <w:ffData>
                  <w:name w:val="Check3"/>
                  <w:enabled/>
                  <w:calcOnExit w:val="0"/>
                  <w:checkBox>
                    <w:sizeAuto/>
                    <w:default w:val="1"/>
                  </w:checkBox>
                </w:ffData>
              </w:fldChar>
            </w:r>
            <w:r w:rsidRPr="009E7076">
              <w:rPr>
                <w:rFonts w:ascii="Arial Narrow" w:hAnsi="Arial Narrow"/>
                <w:strike/>
                <w:sz w:val="20"/>
                <w:szCs w:val="20"/>
              </w:rPr>
              <w:instrText xml:space="preserve"> FORMCHECKBOX </w:instrText>
            </w:r>
            <w:r w:rsidR="000B5D34">
              <w:rPr>
                <w:rFonts w:ascii="Arial Narrow" w:hAnsi="Arial Narrow"/>
                <w:strike/>
                <w:sz w:val="20"/>
                <w:szCs w:val="20"/>
              </w:rPr>
            </w:r>
            <w:r w:rsidR="000B5D34">
              <w:rPr>
                <w:rFonts w:ascii="Arial Narrow" w:hAnsi="Arial Narrow"/>
                <w:strike/>
                <w:sz w:val="20"/>
                <w:szCs w:val="20"/>
              </w:rPr>
              <w:fldChar w:fldCharType="separate"/>
            </w:r>
            <w:r w:rsidRPr="009E7076">
              <w:rPr>
                <w:rFonts w:ascii="Arial Narrow" w:hAnsi="Arial Narrow"/>
                <w:strike/>
                <w:sz w:val="20"/>
                <w:szCs w:val="20"/>
              </w:rPr>
              <w:fldChar w:fldCharType="end"/>
            </w:r>
            <w:r w:rsidRPr="009E7076">
              <w:rPr>
                <w:rFonts w:ascii="Arial Narrow" w:hAnsi="Arial Narrow"/>
                <w:strike/>
                <w:sz w:val="20"/>
                <w:szCs w:val="20"/>
              </w:rPr>
              <w:t xml:space="preserve">Authority Required – Telephone  </w:t>
            </w:r>
            <w:r w:rsidRPr="009E7076">
              <w:rPr>
                <w:rFonts w:ascii="Arial Narrow" w:hAnsi="Arial Narrow"/>
                <w:strike/>
                <w:sz w:val="20"/>
                <w:szCs w:val="20"/>
              </w:rPr>
              <w:fldChar w:fldCharType="begin">
                <w:ffData>
                  <w:name w:val=""/>
                  <w:enabled/>
                  <w:calcOnExit w:val="0"/>
                  <w:checkBox>
                    <w:sizeAuto/>
                    <w:default w:val="1"/>
                  </w:checkBox>
                </w:ffData>
              </w:fldChar>
            </w:r>
            <w:r w:rsidRPr="009E7076">
              <w:rPr>
                <w:rFonts w:ascii="Arial Narrow" w:hAnsi="Arial Narrow"/>
                <w:strike/>
                <w:sz w:val="20"/>
                <w:szCs w:val="20"/>
              </w:rPr>
              <w:instrText xml:space="preserve"> FORMCHECKBOX </w:instrText>
            </w:r>
            <w:r w:rsidR="000B5D34">
              <w:rPr>
                <w:rFonts w:ascii="Arial Narrow" w:hAnsi="Arial Narrow"/>
                <w:strike/>
                <w:sz w:val="20"/>
                <w:szCs w:val="20"/>
              </w:rPr>
            </w:r>
            <w:r w:rsidR="000B5D34">
              <w:rPr>
                <w:rFonts w:ascii="Arial Narrow" w:hAnsi="Arial Narrow"/>
                <w:strike/>
                <w:sz w:val="20"/>
                <w:szCs w:val="20"/>
              </w:rPr>
              <w:fldChar w:fldCharType="separate"/>
            </w:r>
            <w:r w:rsidRPr="009E7076">
              <w:rPr>
                <w:rFonts w:ascii="Arial Narrow" w:hAnsi="Arial Narrow"/>
                <w:strike/>
                <w:sz w:val="20"/>
                <w:szCs w:val="20"/>
              </w:rPr>
              <w:fldChar w:fldCharType="end"/>
            </w:r>
            <w:r w:rsidRPr="009E7076">
              <w:rPr>
                <w:rFonts w:ascii="Arial Narrow" w:hAnsi="Arial Narrow"/>
                <w:strike/>
                <w:sz w:val="20"/>
                <w:szCs w:val="20"/>
              </w:rPr>
              <w:t>Authority Required - Electronic</w:t>
            </w:r>
          </w:p>
          <w:p w14:paraId="1E84550F" w14:textId="77777777" w:rsidR="006D0A2C" w:rsidRPr="009E7076" w:rsidRDefault="006D0A2C" w:rsidP="006D0A2C">
            <w:pPr>
              <w:rPr>
                <w:rFonts w:ascii="Arial Narrow" w:eastAsia="Calibri" w:hAnsi="Arial Narrow"/>
                <w:sz w:val="20"/>
                <w:szCs w:val="20"/>
              </w:rPr>
            </w:pPr>
            <w:r w:rsidRPr="009E7076">
              <w:rPr>
                <w:rFonts w:ascii="Arial Narrow" w:eastAsia="Calibri" w:hAnsi="Arial Narrow"/>
                <w:sz w:val="20"/>
                <w:szCs w:val="20"/>
              </w:rPr>
              <w:fldChar w:fldCharType="begin">
                <w:ffData>
                  <w:name w:val=""/>
                  <w:enabled/>
                  <w:calcOnExit w:val="0"/>
                  <w:checkBox>
                    <w:sizeAuto/>
                    <w:default w:val="1"/>
                  </w:checkBox>
                </w:ffData>
              </w:fldChar>
            </w:r>
            <w:r w:rsidRPr="009E7076">
              <w:rPr>
                <w:rFonts w:ascii="Arial Narrow" w:eastAsia="Calibri" w:hAnsi="Arial Narrow"/>
                <w:sz w:val="20"/>
                <w:szCs w:val="20"/>
              </w:rPr>
              <w:instrText xml:space="preserve"> FORMCHECKBOX </w:instrText>
            </w:r>
            <w:r w:rsidR="000B5D34">
              <w:rPr>
                <w:rFonts w:ascii="Arial Narrow" w:eastAsia="Calibri" w:hAnsi="Arial Narrow"/>
                <w:sz w:val="20"/>
                <w:szCs w:val="20"/>
              </w:rPr>
            </w:r>
            <w:r w:rsidR="000B5D34">
              <w:rPr>
                <w:rFonts w:ascii="Arial Narrow" w:eastAsia="Calibri" w:hAnsi="Arial Narrow"/>
                <w:sz w:val="20"/>
                <w:szCs w:val="20"/>
              </w:rPr>
              <w:fldChar w:fldCharType="separate"/>
            </w:r>
            <w:r w:rsidRPr="009E7076">
              <w:rPr>
                <w:rFonts w:ascii="Arial Narrow" w:eastAsia="Calibri" w:hAnsi="Arial Narrow"/>
                <w:sz w:val="20"/>
                <w:szCs w:val="20"/>
              </w:rPr>
              <w:fldChar w:fldCharType="end"/>
            </w:r>
            <w:r w:rsidRPr="009E7076">
              <w:rPr>
                <w:rFonts w:ascii="Arial Narrow" w:eastAsia="Calibri" w:hAnsi="Arial Narrow"/>
                <w:i/>
                <w:sz w:val="20"/>
                <w:szCs w:val="20"/>
              </w:rPr>
              <w:t>Authority Required – Telephone/electronic via Online PBS Authorities</w:t>
            </w:r>
          </w:p>
        </w:tc>
      </w:tr>
      <w:tr w:rsidR="006D0A2C" w:rsidRPr="009E7076" w14:paraId="3C9E6872"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3B433BFF"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1D61664D" w14:textId="77777777" w:rsidR="006D0A2C" w:rsidRPr="009E7076" w:rsidRDefault="006D0A2C" w:rsidP="006D0A2C">
            <w:pPr>
              <w:rPr>
                <w:rFonts w:ascii="Arial Narrow" w:hAnsi="Arial Narrow"/>
                <w:b/>
                <w:bCs/>
                <w:sz w:val="20"/>
                <w:szCs w:val="20"/>
              </w:rPr>
            </w:pPr>
            <w:r w:rsidRPr="009E7076">
              <w:rPr>
                <w:rFonts w:ascii="Arial Narrow" w:hAnsi="Arial Narrow"/>
                <w:b/>
                <w:bCs/>
                <w:sz w:val="20"/>
                <w:szCs w:val="20"/>
              </w:rPr>
              <w:t xml:space="preserve">Condition: </w:t>
            </w:r>
            <w:r w:rsidRPr="009E7076">
              <w:rPr>
                <w:rFonts w:ascii="Arial Narrow" w:hAnsi="Arial Narrow"/>
                <w:bCs/>
                <w:strike/>
                <w:sz w:val="20"/>
                <w:szCs w:val="20"/>
              </w:rPr>
              <w:t>Previously untreated de novo</w:t>
            </w:r>
            <w:r w:rsidRPr="009E7076">
              <w:rPr>
                <w:rFonts w:ascii="Arial Narrow" w:hAnsi="Arial Narrow"/>
                <w:bCs/>
                <w:sz w:val="20"/>
                <w:szCs w:val="20"/>
              </w:rPr>
              <w:t xml:space="preserve"> Acute Myeloid Leukaemia </w:t>
            </w:r>
            <w:r w:rsidRPr="009E7076">
              <w:rPr>
                <w:rFonts w:ascii="Arial Narrow" w:hAnsi="Arial Narrow"/>
                <w:bCs/>
                <w:strike/>
                <w:sz w:val="20"/>
                <w:szCs w:val="20"/>
              </w:rPr>
              <w:t>(AML)</w:t>
            </w:r>
          </w:p>
        </w:tc>
      </w:tr>
      <w:tr w:rsidR="006D0A2C" w:rsidRPr="009E7076" w14:paraId="405CCB51"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2419BA67" w14:textId="77777777" w:rsidR="006D0A2C" w:rsidRPr="009E7076" w:rsidRDefault="006D0A2C" w:rsidP="006D0A2C">
            <w:pPr>
              <w:jc w:val="center"/>
              <w:rPr>
                <w:rFonts w:ascii="Arial Narrow" w:hAnsi="Arial Narrow"/>
                <w:sz w:val="20"/>
                <w:szCs w:val="20"/>
              </w:rPr>
            </w:pPr>
          </w:p>
        </w:tc>
        <w:tc>
          <w:tcPr>
            <w:tcW w:w="7954" w:type="dxa"/>
            <w:gridSpan w:val="5"/>
            <w:vAlign w:val="center"/>
            <w:hideMark/>
          </w:tcPr>
          <w:p w14:paraId="0A10C4DB" w14:textId="77777777" w:rsidR="006D0A2C" w:rsidRPr="009E7076" w:rsidRDefault="006D0A2C" w:rsidP="006D0A2C">
            <w:pPr>
              <w:rPr>
                <w:rFonts w:ascii="Arial Narrow" w:hAnsi="Arial Narrow"/>
                <w:sz w:val="20"/>
                <w:szCs w:val="20"/>
              </w:rPr>
            </w:pPr>
            <w:r w:rsidRPr="009E7076">
              <w:rPr>
                <w:rFonts w:ascii="Arial Narrow" w:hAnsi="Arial Narrow"/>
                <w:b/>
                <w:bCs/>
                <w:sz w:val="20"/>
                <w:szCs w:val="20"/>
              </w:rPr>
              <w:t>Indication:</w:t>
            </w:r>
            <w:r w:rsidRPr="009E7076">
              <w:rPr>
                <w:rFonts w:ascii="Arial Narrow" w:hAnsi="Arial Narrow"/>
                <w:sz w:val="20"/>
                <w:szCs w:val="20"/>
              </w:rPr>
              <w:t xml:space="preserve"> </w:t>
            </w:r>
            <w:r w:rsidRPr="009E7076">
              <w:rPr>
                <w:rFonts w:ascii="Arial Narrow" w:hAnsi="Arial Narrow"/>
                <w:bCs/>
                <w:i/>
                <w:sz w:val="20"/>
                <w:szCs w:val="20"/>
              </w:rPr>
              <w:t>Acute Myeloid Leukaemia</w:t>
            </w:r>
          </w:p>
        </w:tc>
      </w:tr>
      <w:tr w:rsidR="006D0A2C" w:rsidRPr="009E7076" w14:paraId="1BB35241"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42F0C063" w14:textId="77777777" w:rsidR="006D0A2C" w:rsidRPr="009E7076" w:rsidRDefault="006D0A2C" w:rsidP="006D0A2C">
            <w:pPr>
              <w:jc w:val="center"/>
              <w:rPr>
                <w:rFonts w:ascii="Arial Narrow" w:hAnsi="Arial Narrow"/>
                <w:sz w:val="20"/>
                <w:szCs w:val="20"/>
              </w:rPr>
            </w:pPr>
          </w:p>
        </w:tc>
        <w:tc>
          <w:tcPr>
            <w:tcW w:w="7954" w:type="dxa"/>
            <w:gridSpan w:val="5"/>
            <w:vAlign w:val="center"/>
            <w:hideMark/>
          </w:tcPr>
          <w:p w14:paraId="29116744" w14:textId="77777777" w:rsidR="006D0A2C" w:rsidRPr="009E7076" w:rsidRDefault="006D0A2C" w:rsidP="006D0A2C">
            <w:pPr>
              <w:rPr>
                <w:rFonts w:ascii="Arial Narrow" w:hAnsi="Arial Narrow"/>
                <w:sz w:val="20"/>
                <w:szCs w:val="20"/>
              </w:rPr>
            </w:pPr>
            <w:r w:rsidRPr="009E7076">
              <w:rPr>
                <w:rFonts w:ascii="Arial Narrow" w:hAnsi="Arial Narrow"/>
                <w:b/>
                <w:bCs/>
                <w:sz w:val="20"/>
                <w:szCs w:val="20"/>
              </w:rPr>
              <w:t>Treatment Phase:</w:t>
            </w:r>
            <w:r w:rsidRPr="009E7076">
              <w:rPr>
                <w:rFonts w:ascii="Arial Narrow" w:hAnsi="Arial Narrow"/>
                <w:sz w:val="20"/>
                <w:szCs w:val="20"/>
              </w:rPr>
              <w:t xml:space="preserve"> Induction treatment</w:t>
            </w:r>
          </w:p>
        </w:tc>
      </w:tr>
      <w:tr w:rsidR="006D0A2C" w:rsidRPr="009E7076" w14:paraId="68AC8FCF"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49674415"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19ABA383" w14:textId="77777777" w:rsidR="006D0A2C" w:rsidRPr="009E7076" w:rsidRDefault="006D0A2C" w:rsidP="006D0A2C">
            <w:pPr>
              <w:rPr>
                <w:rFonts w:ascii="Arial Narrow" w:hAnsi="Arial Narrow"/>
                <w:b/>
                <w:bCs/>
                <w:sz w:val="20"/>
                <w:szCs w:val="20"/>
              </w:rPr>
            </w:pPr>
            <w:r w:rsidRPr="009E7076">
              <w:rPr>
                <w:rFonts w:ascii="Arial Narrow" w:hAnsi="Arial Narrow"/>
                <w:b/>
                <w:bCs/>
                <w:sz w:val="20"/>
                <w:szCs w:val="20"/>
              </w:rPr>
              <w:t xml:space="preserve">Clinical criteria: </w:t>
            </w:r>
          </w:p>
        </w:tc>
      </w:tr>
      <w:tr w:rsidR="006D0A2C" w:rsidRPr="009E7076" w14:paraId="11E3EA13"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3F15F362"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4826C1C1" w14:textId="77777777" w:rsidR="006D0A2C" w:rsidRPr="009E7076" w:rsidRDefault="006D0A2C" w:rsidP="006D0A2C">
            <w:pPr>
              <w:rPr>
                <w:rFonts w:ascii="Arial Narrow" w:hAnsi="Arial Narrow"/>
                <w:b/>
                <w:bCs/>
                <w:sz w:val="20"/>
                <w:szCs w:val="20"/>
              </w:rPr>
            </w:pPr>
            <w:r w:rsidRPr="009E7076">
              <w:rPr>
                <w:rFonts w:ascii="Arial Narrow" w:hAnsi="Arial Narrow"/>
                <w:b/>
                <w:bCs/>
                <w:sz w:val="20"/>
                <w:szCs w:val="20"/>
              </w:rPr>
              <w:t>AND</w:t>
            </w:r>
          </w:p>
        </w:tc>
      </w:tr>
      <w:tr w:rsidR="006D0A2C" w:rsidRPr="009E7076" w14:paraId="715D0DA0"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6F979006"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247D2E11" w14:textId="77777777" w:rsidR="006D0A2C" w:rsidRPr="009E7076" w:rsidRDefault="006D0A2C" w:rsidP="006D0A2C">
            <w:pPr>
              <w:rPr>
                <w:rFonts w:ascii="Arial Narrow" w:hAnsi="Arial Narrow"/>
                <w:sz w:val="20"/>
                <w:szCs w:val="20"/>
              </w:rPr>
            </w:pPr>
            <w:r w:rsidRPr="009E7076">
              <w:rPr>
                <w:rFonts w:ascii="Arial Narrow" w:hAnsi="Arial Narrow"/>
                <w:sz w:val="20"/>
                <w:szCs w:val="20"/>
              </w:rPr>
              <w:t>Patient must have confirmed CD33-positive AML prior to initiation of treatment,</w:t>
            </w:r>
          </w:p>
        </w:tc>
      </w:tr>
      <w:tr w:rsidR="006D0A2C" w:rsidRPr="009E7076" w14:paraId="18F7807E"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19E0AFF5"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5BCB1528" w14:textId="77777777" w:rsidR="006D0A2C" w:rsidRPr="009E7076" w:rsidRDefault="006D0A2C" w:rsidP="006D0A2C">
            <w:pPr>
              <w:rPr>
                <w:rFonts w:ascii="Arial Narrow" w:hAnsi="Arial Narrow"/>
                <w:b/>
                <w:bCs/>
                <w:i/>
                <w:iCs/>
                <w:sz w:val="20"/>
                <w:szCs w:val="20"/>
              </w:rPr>
            </w:pPr>
            <w:r w:rsidRPr="009E7076">
              <w:rPr>
                <w:rFonts w:ascii="Arial Narrow" w:hAnsi="Arial Narrow"/>
                <w:b/>
                <w:bCs/>
                <w:i/>
                <w:iCs/>
                <w:sz w:val="20"/>
                <w:szCs w:val="20"/>
              </w:rPr>
              <w:t xml:space="preserve">Clinical criteria: </w:t>
            </w:r>
          </w:p>
        </w:tc>
      </w:tr>
      <w:tr w:rsidR="006D0A2C" w:rsidRPr="009E7076" w14:paraId="607395B7"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6A0916E5"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79C04713" w14:textId="77777777" w:rsidR="006D0A2C" w:rsidRPr="009E7076" w:rsidRDefault="006D0A2C" w:rsidP="006D0A2C">
            <w:pPr>
              <w:rPr>
                <w:rFonts w:ascii="Arial Narrow" w:hAnsi="Arial Narrow"/>
                <w:b/>
                <w:bCs/>
                <w:i/>
                <w:iCs/>
                <w:sz w:val="20"/>
                <w:szCs w:val="20"/>
              </w:rPr>
            </w:pPr>
            <w:r w:rsidRPr="009E7076">
              <w:rPr>
                <w:rFonts w:ascii="Arial Narrow" w:hAnsi="Arial Narrow"/>
                <w:b/>
                <w:bCs/>
                <w:i/>
                <w:iCs/>
                <w:sz w:val="20"/>
                <w:szCs w:val="20"/>
              </w:rPr>
              <w:t>AND</w:t>
            </w:r>
          </w:p>
        </w:tc>
      </w:tr>
      <w:tr w:rsidR="006D0A2C" w:rsidRPr="009E7076" w14:paraId="0BEFCB17"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4D438A63"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3320C9F0" w14:textId="77777777" w:rsidR="006D0A2C" w:rsidRPr="009E7076" w:rsidRDefault="006D0A2C" w:rsidP="006D0A2C">
            <w:pPr>
              <w:rPr>
                <w:rFonts w:ascii="Arial Narrow" w:hAnsi="Arial Narrow"/>
                <w:i/>
                <w:sz w:val="20"/>
                <w:szCs w:val="20"/>
              </w:rPr>
            </w:pPr>
            <w:r w:rsidRPr="009E7076">
              <w:rPr>
                <w:rFonts w:ascii="Arial Narrow" w:hAnsi="Arial Narrow"/>
                <w:i/>
                <w:sz w:val="20"/>
                <w:szCs w:val="20"/>
              </w:rPr>
              <w:t>The condition must be de novo,</w:t>
            </w:r>
          </w:p>
        </w:tc>
      </w:tr>
      <w:tr w:rsidR="006D0A2C" w:rsidRPr="009E7076" w14:paraId="4B512422"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094EEF1A"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34375F56" w14:textId="77777777" w:rsidR="006D0A2C" w:rsidRPr="009E7076" w:rsidRDefault="006D0A2C" w:rsidP="006D0A2C">
            <w:pPr>
              <w:rPr>
                <w:rFonts w:ascii="Arial Narrow" w:hAnsi="Arial Narrow"/>
                <w:b/>
                <w:bCs/>
                <w:i/>
                <w:iCs/>
                <w:sz w:val="20"/>
                <w:szCs w:val="20"/>
              </w:rPr>
            </w:pPr>
            <w:r w:rsidRPr="009E7076">
              <w:rPr>
                <w:rFonts w:ascii="Arial Narrow" w:hAnsi="Arial Narrow"/>
                <w:b/>
                <w:bCs/>
                <w:i/>
                <w:iCs/>
                <w:sz w:val="20"/>
                <w:szCs w:val="20"/>
              </w:rPr>
              <w:t xml:space="preserve">Clinical criteria: </w:t>
            </w:r>
          </w:p>
        </w:tc>
      </w:tr>
      <w:tr w:rsidR="006D0A2C" w:rsidRPr="009E7076" w14:paraId="47F20861"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02E4078B"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01021526" w14:textId="77777777" w:rsidR="006D0A2C" w:rsidRPr="009E7076" w:rsidRDefault="006D0A2C" w:rsidP="006D0A2C">
            <w:pPr>
              <w:rPr>
                <w:rFonts w:ascii="Arial Narrow" w:hAnsi="Arial Narrow"/>
                <w:i/>
                <w:iCs/>
                <w:sz w:val="20"/>
                <w:szCs w:val="20"/>
              </w:rPr>
            </w:pPr>
            <w:r w:rsidRPr="009E7076">
              <w:rPr>
                <w:rFonts w:ascii="Arial Narrow" w:hAnsi="Arial Narrow"/>
                <w:b/>
                <w:bCs/>
                <w:i/>
                <w:iCs/>
                <w:sz w:val="20"/>
                <w:szCs w:val="20"/>
              </w:rPr>
              <w:t>AND</w:t>
            </w:r>
          </w:p>
        </w:tc>
      </w:tr>
      <w:tr w:rsidR="006D0A2C" w:rsidRPr="009E7076" w14:paraId="7254A04F"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2B385D35"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2C5C772C" w14:textId="77777777" w:rsidR="006D0A2C" w:rsidRPr="009E7076" w:rsidRDefault="006D0A2C" w:rsidP="006D0A2C">
            <w:pPr>
              <w:rPr>
                <w:rFonts w:ascii="Arial Narrow" w:hAnsi="Arial Narrow"/>
                <w:i/>
                <w:sz w:val="20"/>
                <w:szCs w:val="20"/>
              </w:rPr>
            </w:pPr>
            <w:r w:rsidRPr="009E7076">
              <w:rPr>
                <w:rFonts w:ascii="Arial Narrow" w:hAnsi="Arial Narrow"/>
                <w:i/>
                <w:sz w:val="20"/>
                <w:szCs w:val="20"/>
              </w:rPr>
              <w:t>The condition must be previously untreated,</w:t>
            </w:r>
          </w:p>
        </w:tc>
      </w:tr>
      <w:tr w:rsidR="006D0A2C" w:rsidRPr="009E7076" w14:paraId="67FD01BA"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3396E1EC"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3E65F1E0" w14:textId="77777777" w:rsidR="006D0A2C" w:rsidRPr="009E7076" w:rsidRDefault="006D0A2C" w:rsidP="006D0A2C">
            <w:pPr>
              <w:rPr>
                <w:rFonts w:ascii="Arial Narrow" w:hAnsi="Arial Narrow"/>
                <w:b/>
                <w:bCs/>
                <w:sz w:val="20"/>
                <w:szCs w:val="20"/>
              </w:rPr>
            </w:pPr>
            <w:r w:rsidRPr="009E7076">
              <w:rPr>
                <w:rFonts w:ascii="Arial Narrow" w:hAnsi="Arial Narrow"/>
                <w:b/>
                <w:bCs/>
                <w:sz w:val="20"/>
                <w:szCs w:val="20"/>
              </w:rPr>
              <w:t xml:space="preserve">Clinical criteria: </w:t>
            </w:r>
          </w:p>
        </w:tc>
      </w:tr>
      <w:tr w:rsidR="006D0A2C" w:rsidRPr="009E7076" w14:paraId="4C39D66D"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7038373A"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37AB932C" w14:textId="77777777" w:rsidR="006D0A2C" w:rsidRPr="009E7076" w:rsidRDefault="006D0A2C" w:rsidP="006D0A2C">
            <w:pPr>
              <w:rPr>
                <w:rFonts w:ascii="Arial Narrow" w:hAnsi="Arial Narrow"/>
                <w:i/>
                <w:sz w:val="20"/>
                <w:szCs w:val="20"/>
              </w:rPr>
            </w:pPr>
            <w:r w:rsidRPr="009E7076">
              <w:rPr>
                <w:rFonts w:ascii="Arial Narrow" w:hAnsi="Arial Narrow"/>
                <w:b/>
                <w:bCs/>
                <w:iCs/>
                <w:sz w:val="20"/>
                <w:szCs w:val="20"/>
              </w:rPr>
              <w:t>AND</w:t>
            </w:r>
          </w:p>
        </w:tc>
      </w:tr>
      <w:tr w:rsidR="006D0A2C" w:rsidRPr="009E7076" w14:paraId="04AB9FEA"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61E3EC76"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7FF35509" w14:textId="77777777" w:rsidR="006D0A2C" w:rsidRPr="009E7076" w:rsidRDefault="006D0A2C" w:rsidP="006D0A2C">
            <w:pPr>
              <w:rPr>
                <w:rFonts w:ascii="Arial Narrow" w:hAnsi="Arial Narrow"/>
                <w:strike/>
                <w:sz w:val="20"/>
                <w:szCs w:val="20"/>
              </w:rPr>
            </w:pPr>
            <w:r w:rsidRPr="009E7076">
              <w:rPr>
                <w:rFonts w:ascii="Arial Narrow" w:hAnsi="Arial Narrow"/>
                <w:strike/>
                <w:sz w:val="20"/>
                <w:szCs w:val="20"/>
              </w:rPr>
              <w:t>Patients must not have confirmed unfavourable cytogenetic risk,</w:t>
            </w:r>
          </w:p>
          <w:p w14:paraId="3512493C" w14:textId="77777777" w:rsidR="006D0A2C" w:rsidRPr="009E7076" w:rsidRDefault="006D0A2C" w:rsidP="006D0A2C">
            <w:pPr>
              <w:rPr>
                <w:rFonts w:ascii="Arial Narrow" w:hAnsi="Arial Narrow"/>
                <w:i/>
                <w:iCs/>
                <w:sz w:val="20"/>
                <w:szCs w:val="20"/>
              </w:rPr>
            </w:pPr>
            <w:r w:rsidRPr="009E7076">
              <w:rPr>
                <w:rFonts w:ascii="Arial Narrow" w:hAnsi="Arial Narrow"/>
                <w:i/>
                <w:iCs/>
                <w:sz w:val="20"/>
                <w:szCs w:val="20"/>
              </w:rPr>
              <w:t xml:space="preserve">Patient must have confirmed intermediate/favourable cytogenetic risk, </w:t>
            </w:r>
          </w:p>
          <w:p w14:paraId="19904C28" w14:textId="77777777" w:rsidR="006D0A2C" w:rsidRPr="009E7076" w:rsidRDefault="006D0A2C" w:rsidP="006D0A2C">
            <w:pPr>
              <w:rPr>
                <w:rFonts w:ascii="Arial Narrow" w:hAnsi="Arial Narrow"/>
                <w:i/>
                <w:iCs/>
                <w:sz w:val="20"/>
                <w:szCs w:val="20"/>
              </w:rPr>
            </w:pPr>
            <w:r w:rsidRPr="009E7076">
              <w:rPr>
                <w:rFonts w:ascii="Arial Narrow" w:hAnsi="Arial Narrow"/>
                <w:i/>
                <w:iCs/>
                <w:sz w:val="20"/>
                <w:szCs w:val="20"/>
              </w:rPr>
              <w:t>OR</w:t>
            </w:r>
          </w:p>
          <w:p w14:paraId="4FC64756" w14:textId="77777777" w:rsidR="006D0A2C" w:rsidRPr="009E7076" w:rsidRDefault="006D0A2C" w:rsidP="006D0A2C">
            <w:pPr>
              <w:rPr>
                <w:rFonts w:ascii="Arial Narrow" w:hAnsi="Arial Narrow"/>
                <w:i/>
                <w:iCs/>
                <w:sz w:val="20"/>
                <w:szCs w:val="20"/>
              </w:rPr>
            </w:pPr>
            <w:r w:rsidRPr="009E7076">
              <w:rPr>
                <w:rFonts w:ascii="Arial Narrow" w:hAnsi="Arial Narrow"/>
                <w:i/>
                <w:iCs/>
                <w:sz w:val="20"/>
                <w:szCs w:val="20"/>
              </w:rPr>
              <w:t xml:space="preserve">Patient must have unknown cytogenetic risk due to inconclusive test results. </w:t>
            </w:r>
          </w:p>
        </w:tc>
      </w:tr>
      <w:tr w:rsidR="006D0A2C" w:rsidRPr="009E7076" w14:paraId="2DF1EC7E"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4722762D"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101C6F99" w14:textId="77777777" w:rsidR="006D0A2C" w:rsidRPr="009E7076" w:rsidRDefault="006D0A2C" w:rsidP="006D0A2C">
            <w:pPr>
              <w:rPr>
                <w:rFonts w:ascii="Arial Narrow" w:hAnsi="Arial Narrow"/>
                <w:b/>
                <w:bCs/>
                <w:sz w:val="20"/>
                <w:szCs w:val="20"/>
              </w:rPr>
            </w:pPr>
            <w:r w:rsidRPr="009E7076">
              <w:rPr>
                <w:rFonts w:ascii="Arial Narrow" w:hAnsi="Arial Narrow"/>
                <w:b/>
                <w:bCs/>
                <w:sz w:val="20"/>
                <w:szCs w:val="20"/>
              </w:rPr>
              <w:t xml:space="preserve">Clinical criteria: </w:t>
            </w:r>
          </w:p>
        </w:tc>
      </w:tr>
      <w:tr w:rsidR="006D0A2C" w:rsidRPr="009E7076" w14:paraId="51D4136A"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350A622F" w14:textId="77777777" w:rsidR="006D0A2C" w:rsidRPr="009E7076" w:rsidRDefault="006D0A2C" w:rsidP="006D0A2C">
            <w:pPr>
              <w:jc w:val="center"/>
              <w:rPr>
                <w:rFonts w:ascii="Arial Narrow" w:hAnsi="Arial Narrow"/>
                <w:sz w:val="20"/>
                <w:szCs w:val="20"/>
              </w:rPr>
            </w:pPr>
          </w:p>
        </w:tc>
        <w:tc>
          <w:tcPr>
            <w:tcW w:w="7954" w:type="dxa"/>
            <w:gridSpan w:val="5"/>
            <w:vAlign w:val="center"/>
            <w:hideMark/>
          </w:tcPr>
          <w:p w14:paraId="6A6578B1" w14:textId="77777777" w:rsidR="006D0A2C" w:rsidRPr="009E7076" w:rsidRDefault="006D0A2C" w:rsidP="006D0A2C">
            <w:pPr>
              <w:rPr>
                <w:rFonts w:ascii="Arial Narrow" w:hAnsi="Arial Narrow"/>
                <w:sz w:val="20"/>
                <w:szCs w:val="20"/>
              </w:rPr>
            </w:pPr>
            <w:r w:rsidRPr="009E7076">
              <w:rPr>
                <w:rFonts w:ascii="Arial Narrow" w:hAnsi="Arial Narrow"/>
                <w:b/>
                <w:bCs/>
                <w:sz w:val="20"/>
                <w:szCs w:val="20"/>
              </w:rPr>
              <w:t>AND</w:t>
            </w:r>
          </w:p>
        </w:tc>
      </w:tr>
      <w:tr w:rsidR="006D0A2C" w:rsidRPr="009E7076" w14:paraId="6F5B3E1C"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4FF99FAD"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366F8557" w14:textId="77777777" w:rsidR="006D0A2C" w:rsidRPr="009E7076" w:rsidRDefault="006D0A2C" w:rsidP="006D0A2C">
            <w:pPr>
              <w:rPr>
                <w:rFonts w:ascii="Arial Narrow" w:hAnsi="Arial Narrow"/>
                <w:i/>
                <w:sz w:val="20"/>
                <w:szCs w:val="20"/>
              </w:rPr>
            </w:pPr>
            <w:r w:rsidRPr="009E7076">
              <w:rPr>
                <w:rFonts w:ascii="Arial Narrow" w:hAnsi="Arial Narrow"/>
                <w:sz w:val="20"/>
                <w:szCs w:val="20"/>
              </w:rPr>
              <w:t xml:space="preserve">Patient must have </w:t>
            </w:r>
            <w:r w:rsidRPr="009E7076">
              <w:rPr>
                <w:rFonts w:ascii="Arial Narrow" w:hAnsi="Arial Narrow"/>
                <w:strike/>
                <w:sz w:val="20"/>
                <w:szCs w:val="20"/>
              </w:rPr>
              <w:t xml:space="preserve">an ECOG performance status of 0-3 </w:t>
            </w:r>
            <w:r w:rsidRPr="009E7076">
              <w:rPr>
                <w:rFonts w:ascii="Arial Narrow" w:hAnsi="Arial Narrow"/>
                <w:i/>
                <w:sz w:val="20"/>
                <w:szCs w:val="20"/>
              </w:rPr>
              <w:t>an Eastern Cooperative Oncology Group (ECOG) performance status score of 3 or less,</w:t>
            </w:r>
          </w:p>
        </w:tc>
      </w:tr>
      <w:tr w:rsidR="006D0A2C" w:rsidRPr="009E7076" w14:paraId="7F5B9BDA"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1A6A9A68"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06B2405B" w14:textId="77777777" w:rsidR="006D0A2C" w:rsidRPr="009E7076" w:rsidRDefault="006D0A2C" w:rsidP="006D0A2C">
            <w:pPr>
              <w:rPr>
                <w:rFonts w:ascii="Arial Narrow" w:hAnsi="Arial Narrow"/>
                <w:b/>
                <w:bCs/>
                <w:sz w:val="20"/>
                <w:szCs w:val="20"/>
              </w:rPr>
            </w:pPr>
            <w:r w:rsidRPr="009E7076">
              <w:rPr>
                <w:rFonts w:ascii="Arial Narrow" w:hAnsi="Arial Narrow"/>
                <w:b/>
                <w:bCs/>
                <w:sz w:val="20"/>
                <w:szCs w:val="20"/>
              </w:rPr>
              <w:t xml:space="preserve">Clinical criteria: </w:t>
            </w:r>
          </w:p>
        </w:tc>
      </w:tr>
      <w:tr w:rsidR="006D0A2C" w:rsidRPr="009E7076" w14:paraId="49AA529E"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7876EE42"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059F41C2" w14:textId="77777777" w:rsidR="006D0A2C" w:rsidRPr="009E7076" w:rsidRDefault="006D0A2C" w:rsidP="006D0A2C">
            <w:pPr>
              <w:rPr>
                <w:rFonts w:ascii="Arial Narrow" w:hAnsi="Arial Narrow"/>
                <w:sz w:val="20"/>
                <w:szCs w:val="20"/>
              </w:rPr>
            </w:pPr>
            <w:r w:rsidRPr="009E7076">
              <w:rPr>
                <w:rFonts w:ascii="Arial Narrow" w:hAnsi="Arial Narrow"/>
                <w:b/>
                <w:bCs/>
                <w:sz w:val="20"/>
                <w:szCs w:val="20"/>
              </w:rPr>
              <w:t>AND</w:t>
            </w:r>
          </w:p>
        </w:tc>
      </w:tr>
      <w:tr w:rsidR="006D0A2C" w:rsidRPr="009E7076" w14:paraId="13EF7E2A"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26305882"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27C0364A" w14:textId="77777777" w:rsidR="006D0A2C" w:rsidRPr="009E7076" w:rsidRDefault="006D0A2C" w:rsidP="006D0A2C">
            <w:pPr>
              <w:rPr>
                <w:rFonts w:ascii="Arial Narrow" w:hAnsi="Arial Narrow"/>
                <w:sz w:val="20"/>
                <w:szCs w:val="20"/>
              </w:rPr>
            </w:pPr>
            <w:r w:rsidRPr="009E7076">
              <w:rPr>
                <w:rFonts w:ascii="Arial Narrow" w:hAnsi="Arial Narrow"/>
                <w:sz w:val="20"/>
                <w:szCs w:val="20"/>
              </w:rPr>
              <w:t>The condition must not be acute promyelocytic leukaemia,</w:t>
            </w:r>
          </w:p>
        </w:tc>
      </w:tr>
      <w:tr w:rsidR="006D0A2C" w:rsidRPr="009E7076" w14:paraId="56F55067"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65C7DD75"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3F87C74B" w14:textId="77777777" w:rsidR="006D0A2C" w:rsidRPr="009E7076" w:rsidRDefault="006D0A2C" w:rsidP="006D0A2C">
            <w:pPr>
              <w:rPr>
                <w:rFonts w:ascii="Arial Narrow" w:hAnsi="Arial Narrow"/>
                <w:b/>
                <w:bCs/>
                <w:sz w:val="20"/>
                <w:szCs w:val="20"/>
              </w:rPr>
            </w:pPr>
            <w:r w:rsidRPr="009E7076">
              <w:rPr>
                <w:rFonts w:ascii="Arial Narrow" w:hAnsi="Arial Narrow"/>
                <w:b/>
                <w:bCs/>
                <w:sz w:val="20"/>
                <w:szCs w:val="20"/>
              </w:rPr>
              <w:t xml:space="preserve">Clinical criteria: </w:t>
            </w:r>
          </w:p>
        </w:tc>
      </w:tr>
      <w:tr w:rsidR="006D0A2C" w:rsidRPr="009E7076" w14:paraId="1361662E"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1C1A5630"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39692FF4" w14:textId="77777777" w:rsidR="006D0A2C" w:rsidRPr="009E7076" w:rsidRDefault="006D0A2C" w:rsidP="006D0A2C">
            <w:pPr>
              <w:rPr>
                <w:rFonts w:ascii="Arial Narrow" w:hAnsi="Arial Narrow"/>
                <w:sz w:val="20"/>
                <w:szCs w:val="20"/>
              </w:rPr>
            </w:pPr>
            <w:r w:rsidRPr="009E7076">
              <w:rPr>
                <w:rFonts w:ascii="Arial Narrow" w:hAnsi="Arial Narrow"/>
                <w:b/>
                <w:bCs/>
                <w:sz w:val="20"/>
                <w:szCs w:val="20"/>
              </w:rPr>
              <w:t>AND</w:t>
            </w:r>
          </w:p>
        </w:tc>
      </w:tr>
      <w:tr w:rsidR="006D0A2C" w:rsidRPr="009E7076" w14:paraId="0FC857F2"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1A99B194"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153E3D74" w14:textId="77777777" w:rsidR="006D0A2C" w:rsidRPr="009E7076" w:rsidRDefault="006D0A2C" w:rsidP="006D0A2C">
            <w:pPr>
              <w:rPr>
                <w:rFonts w:ascii="Arial Narrow" w:hAnsi="Arial Narrow"/>
                <w:sz w:val="20"/>
                <w:szCs w:val="20"/>
              </w:rPr>
            </w:pPr>
            <w:r w:rsidRPr="009E7076">
              <w:rPr>
                <w:rFonts w:ascii="Arial Narrow" w:hAnsi="Arial Narrow"/>
                <w:sz w:val="20"/>
                <w:szCs w:val="20"/>
              </w:rPr>
              <w:t>The treatment must be in combination with standard intensive remission induction chemotherapy for this condition,</w:t>
            </w:r>
          </w:p>
        </w:tc>
      </w:tr>
      <w:tr w:rsidR="006D0A2C" w:rsidRPr="009E7076" w14:paraId="74FDC938"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13E2995C"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77222BF8" w14:textId="77777777" w:rsidR="006D0A2C" w:rsidRPr="009E7076" w:rsidRDefault="006D0A2C" w:rsidP="006D0A2C">
            <w:pPr>
              <w:rPr>
                <w:rFonts w:ascii="Arial Narrow" w:hAnsi="Arial Narrow"/>
                <w:sz w:val="20"/>
                <w:szCs w:val="20"/>
              </w:rPr>
            </w:pPr>
            <w:r w:rsidRPr="009E7076">
              <w:rPr>
                <w:rFonts w:ascii="Arial Narrow" w:hAnsi="Arial Narrow"/>
                <w:b/>
                <w:bCs/>
                <w:sz w:val="20"/>
                <w:szCs w:val="20"/>
              </w:rPr>
              <w:t xml:space="preserve">Clinical criteria: </w:t>
            </w:r>
          </w:p>
        </w:tc>
      </w:tr>
      <w:tr w:rsidR="006D0A2C" w:rsidRPr="009E7076" w14:paraId="374CED89"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471D5A8F"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4C280B79" w14:textId="77777777" w:rsidR="006D0A2C" w:rsidRPr="009E7076" w:rsidRDefault="006D0A2C" w:rsidP="006D0A2C">
            <w:pPr>
              <w:rPr>
                <w:rFonts w:ascii="Arial Narrow" w:hAnsi="Arial Narrow"/>
                <w:sz w:val="20"/>
                <w:szCs w:val="20"/>
              </w:rPr>
            </w:pPr>
            <w:r w:rsidRPr="009E7076">
              <w:rPr>
                <w:rFonts w:ascii="Arial Narrow" w:hAnsi="Arial Narrow"/>
                <w:b/>
                <w:bCs/>
                <w:sz w:val="20"/>
                <w:szCs w:val="20"/>
              </w:rPr>
              <w:t>AND</w:t>
            </w:r>
          </w:p>
        </w:tc>
      </w:tr>
      <w:tr w:rsidR="006D0A2C" w:rsidRPr="009E7076" w14:paraId="0CFE0DB3"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1D416CAD" w14:textId="77777777" w:rsidR="006D0A2C" w:rsidRPr="009E7076" w:rsidRDefault="006D0A2C" w:rsidP="006D0A2C">
            <w:pPr>
              <w:jc w:val="center"/>
              <w:rPr>
                <w:rFonts w:ascii="Arial Narrow" w:hAnsi="Arial Narrow"/>
                <w:i/>
                <w:iCs/>
                <w:sz w:val="20"/>
                <w:szCs w:val="20"/>
              </w:rPr>
            </w:pPr>
          </w:p>
        </w:tc>
        <w:tc>
          <w:tcPr>
            <w:tcW w:w="7954" w:type="dxa"/>
            <w:gridSpan w:val="5"/>
            <w:vAlign w:val="center"/>
          </w:tcPr>
          <w:p w14:paraId="71F2DC65" w14:textId="77777777" w:rsidR="006D0A2C" w:rsidRPr="009E7076" w:rsidRDefault="006D0A2C" w:rsidP="006D0A2C">
            <w:pPr>
              <w:rPr>
                <w:rFonts w:ascii="Arial Narrow" w:hAnsi="Arial Narrow"/>
                <w:i/>
                <w:iCs/>
                <w:sz w:val="20"/>
                <w:szCs w:val="20"/>
              </w:rPr>
            </w:pPr>
            <w:r w:rsidRPr="009E7076">
              <w:rPr>
                <w:rFonts w:ascii="Arial Narrow" w:hAnsi="Arial Narrow"/>
                <w:i/>
                <w:iCs/>
                <w:sz w:val="20"/>
                <w:szCs w:val="20"/>
              </w:rPr>
              <w:t>The treatment must not be used in combination with a tyrosine kinase inhibitor.</w:t>
            </w:r>
          </w:p>
        </w:tc>
      </w:tr>
      <w:tr w:rsidR="006D0A2C" w:rsidRPr="009E7076" w14:paraId="2CCFCD0C"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09603B03"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4BC4914B" w14:textId="77777777" w:rsidR="006D0A2C" w:rsidRPr="009E7076" w:rsidRDefault="006D0A2C" w:rsidP="006D0A2C">
            <w:pPr>
              <w:rPr>
                <w:rFonts w:ascii="Arial Narrow" w:hAnsi="Arial Narrow"/>
                <w:strike/>
                <w:sz w:val="20"/>
                <w:szCs w:val="20"/>
              </w:rPr>
            </w:pPr>
            <w:r w:rsidRPr="009E7076">
              <w:rPr>
                <w:rFonts w:ascii="Arial Narrow" w:hAnsi="Arial Narrow"/>
                <w:strike/>
                <w:sz w:val="20"/>
                <w:szCs w:val="20"/>
              </w:rPr>
              <w:t>The treatment must not be used in combination with other therapies, including tyrosine kinase inhibitors.</w:t>
            </w:r>
          </w:p>
          <w:p w14:paraId="4F06D4B8" w14:textId="77777777" w:rsidR="006D0A2C" w:rsidRPr="009E7076" w:rsidRDefault="006D0A2C" w:rsidP="006D0A2C">
            <w:pPr>
              <w:rPr>
                <w:rFonts w:ascii="Arial Narrow" w:hAnsi="Arial Narrow"/>
                <w:strike/>
                <w:sz w:val="20"/>
                <w:szCs w:val="20"/>
              </w:rPr>
            </w:pPr>
            <w:r w:rsidRPr="009E7076">
              <w:rPr>
                <w:rFonts w:ascii="Arial Narrow" w:hAnsi="Arial Narrow"/>
                <w:strike/>
                <w:sz w:val="20"/>
                <w:szCs w:val="20"/>
              </w:rPr>
              <w:t>A maximum of 1 induction cycle will be authorised under this restriction in a lifetime.</w:t>
            </w:r>
          </w:p>
          <w:p w14:paraId="541B74F4" w14:textId="77777777" w:rsidR="006D0A2C" w:rsidRPr="009E7076" w:rsidRDefault="006D0A2C" w:rsidP="006D0A2C">
            <w:pPr>
              <w:rPr>
                <w:rFonts w:ascii="Arial Narrow" w:hAnsi="Arial Narrow"/>
                <w:strike/>
                <w:sz w:val="20"/>
                <w:szCs w:val="20"/>
              </w:rPr>
            </w:pPr>
            <w:r w:rsidRPr="009E7076">
              <w:rPr>
                <w:rFonts w:ascii="Arial Narrow" w:hAnsi="Arial Narrow"/>
                <w:strike/>
                <w:sz w:val="20"/>
                <w:szCs w:val="20"/>
              </w:rPr>
              <w:t xml:space="preserve">Standard intensive remission induction combination chemotherapy must include cytarabine and an anthracycline. </w:t>
            </w:r>
          </w:p>
          <w:p w14:paraId="3C6293E0" w14:textId="77777777" w:rsidR="006D0A2C" w:rsidRPr="009E7076" w:rsidRDefault="006D0A2C" w:rsidP="006D0A2C">
            <w:pPr>
              <w:rPr>
                <w:rFonts w:ascii="Arial Narrow" w:hAnsi="Arial Narrow"/>
                <w:sz w:val="20"/>
                <w:szCs w:val="20"/>
              </w:rPr>
            </w:pPr>
            <w:r w:rsidRPr="009E7076">
              <w:rPr>
                <w:rFonts w:ascii="Arial Narrow" w:hAnsi="Arial Narrow"/>
                <w:strike/>
                <w:sz w:val="20"/>
                <w:szCs w:val="20"/>
              </w:rPr>
              <w:t>A patient who has progressive disease when treated with this drug is no longer eligible for PBS-subsidised treatment with this drug.</w:t>
            </w:r>
          </w:p>
        </w:tc>
      </w:tr>
      <w:tr w:rsidR="006D0A2C" w:rsidRPr="009E7076" w14:paraId="063AB0B0"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3AFA0294" w14:textId="77777777" w:rsidR="006D0A2C" w:rsidRPr="009E7076" w:rsidRDefault="006D0A2C" w:rsidP="006D0A2C">
            <w:pPr>
              <w:jc w:val="center"/>
              <w:rPr>
                <w:rFonts w:ascii="Arial Narrow" w:hAnsi="Arial Narrow"/>
                <w:sz w:val="20"/>
                <w:szCs w:val="20"/>
              </w:rPr>
            </w:pPr>
          </w:p>
        </w:tc>
        <w:tc>
          <w:tcPr>
            <w:tcW w:w="7954" w:type="dxa"/>
            <w:gridSpan w:val="5"/>
            <w:vAlign w:val="center"/>
            <w:hideMark/>
          </w:tcPr>
          <w:p w14:paraId="2441AA9B" w14:textId="77777777" w:rsidR="006D0A2C" w:rsidRPr="009E7076" w:rsidRDefault="006D0A2C" w:rsidP="006D0A2C">
            <w:pPr>
              <w:rPr>
                <w:rFonts w:ascii="Arial Narrow" w:hAnsi="Arial Narrow"/>
                <w:strike/>
                <w:sz w:val="20"/>
                <w:szCs w:val="20"/>
              </w:rPr>
            </w:pPr>
            <w:r w:rsidRPr="009E7076">
              <w:rPr>
                <w:rFonts w:ascii="Arial Narrow" w:hAnsi="Arial Narrow"/>
                <w:b/>
                <w:bCs/>
                <w:strike/>
                <w:sz w:val="20"/>
                <w:szCs w:val="20"/>
              </w:rPr>
              <w:t>Treatment criteria:</w:t>
            </w:r>
          </w:p>
        </w:tc>
      </w:tr>
      <w:tr w:rsidR="006D0A2C" w:rsidRPr="009E7076" w14:paraId="44E674F6"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14990224" w14:textId="77777777" w:rsidR="006D0A2C" w:rsidRPr="009E7076" w:rsidRDefault="006D0A2C" w:rsidP="006D0A2C">
            <w:pPr>
              <w:jc w:val="center"/>
              <w:rPr>
                <w:rFonts w:ascii="Arial Narrow" w:hAnsi="Arial Narrow"/>
                <w:sz w:val="20"/>
                <w:szCs w:val="20"/>
                <w:highlight w:val="yellow"/>
              </w:rPr>
            </w:pPr>
          </w:p>
        </w:tc>
        <w:tc>
          <w:tcPr>
            <w:tcW w:w="7954" w:type="dxa"/>
            <w:gridSpan w:val="5"/>
            <w:vAlign w:val="center"/>
            <w:hideMark/>
          </w:tcPr>
          <w:p w14:paraId="4CF3ED61" w14:textId="77777777" w:rsidR="006D0A2C" w:rsidRPr="009E7076" w:rsidRDefault="006D0A2C" w:rsidP="006D0A2C">
            <w:pPr>
              <w:autoSpaceDE w:val="0"/>
              <w:autoSpaceDN w:val="0"/>
              <w:adjustRightInd w:val="0"/>
              <w:rPr>
                <w:rFonts w:ascii="Arial Narrow" w:hAnsi="Arial Narrow" w:cs="Arial Narrow"/>
                <w:iCs/>
                <w:strike/>
                <w:sz w:val="20"/>
                <w:szCs w:val="20"/>
              </w:rPr>
            </w:pPr>
            <w:r w:rsidRPr="009E7076">
              <w:rPr>
                <w:rFonts w:ascii="Arial Narrow" w:hAnsi="Arial Narrow" w:cs="Arial Narrow"/>
                <w:iCs/>
                <w:strike/>
                <w:sz w:val="20"/>
                <w:szCs w:val="20"/>
              </w:rPr>
              <w:t>This drug is not PBS-subsidised if it is prescribed to an in-patient in a public hospital setting.</w:t>
            </w:r>
          </w:p>
        </w:tc>
      </w:tr>
      <w:tr w:rsidR="006D0A2C" w:rsidRPr="009E7076" w14:paraId="3AC784BB"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5821C939"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233170F7" w14:textId="77777777" w:rsidR="006D0A2C" w:rsidRPr="009E7076" w:rsidRDefault="006D0A2C" w:rsidP="006D0A2C">
            <w:pPr>
              <w:rPr>
                <w:rFonts w:ascii="Arial Narrow" w:hAnsi="Arial Narrow"/>
                <w:i/>
                <w:iCs/>
                <w:sz w:val="20"/>
                <w:szCs w:val="20"/>
              </w:rPr>
            </w:pPr>
            <w:r w:rsidRPr="009E7076">
              <w:rPr>
                <w:rFonts w:ascii="Arial Narrow" w:hAnsi="Arial Narrow"/>
                <w:b/>
                <w:bCs/>
                <w:i/>
                <w:iCs/>
                <w:sz w:val="20"/>
                <w:szCs w:val="20"/>
              </w:rPr>
              <w:t>Prescribing Instructions:</w:t>
            </w:r>
            <w:r w:rsidRPr="009E7076">
              <w:rPr>
                <w:rFonts w:ascii="Arial Narrow" w:hAnsi="Arial Narrow"/>
                <w:i/>
                <w:iCs/>
                <w:sz w:val="20"/>
                <w:szCs w:val="20"/>
              </w:rPr>
              <w:t xml:space="preserve"> This drug is not PBS-subsidised if it is prescribed to an in-patient in a public hospital setting.</w:t>
            </w:r>
          </w:p>
        </w:tc>
      </w:tr>
      <w:tr w:rsidR="006D0A2C" w:rsidRPr="009E7076" w14:paraId="64D61786"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133BBAF9"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7580AF68" w14:textId="77777777" w:rsidR="006D0A2C" w:rsidRPr="009E7076" w:rsidRDefault="006D0A2C" w:rsidP="006D0A2C">
            <w:pPr>
              <w:rPr>
                <w:rFonts w:ascii="Arial Narrow" w:hAnsi="Arial Narrow"/>
                <w:i/>
                <w:iCs/>
                <w:sz w:val="20"/>
                <w:szCs w:val="20"/>
              </w:rPr>
            </w:pPr>
            <w:r w:rsidRPr="009E7076">
              <w:rPr>
                <w:rFonts w:ascii="Arial Narrow" w:hAnsi="Arial Narrow"/>
                <w:b/>
                <w:bCs/>
                <w:i/>
                <w:iCs/>
                <w:sz w:val="20"/>
                <w:szCs w:val="20"/>
              </w:rPr>
              <w:t>Prescribing Instructions:</w:t>
            </w:r>
            <w:r w:rsidRPr="009E7076">
              <w:rPr>
                <w:rFonts w:ascii="Arial Narrow" w:hAnsi="Arial Narrow"/>
                <w:i/>
                <w:iCs/>
                <w:sz w:val="20"/>
                <w:szCs w:val="20"/>
              </w:rPr>
              <w:t xml:space="preserve"> Patients will still be considered eligible despite receiving prior, but essential treatment with hydroxyurea or leukapheresis.</w:t>
            </w:r>
          </w:p>
        </w:tc>
      </w:tr>
      <w:tr w:rsidR="006D0A2C" w:rsidRPr="009E7076" w14:paraId="122CBD10"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04515B81"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403025F3" w14:textId="77777777" w:rsidR="006D0A2C" w:rsidRPr="009E7076" w:rsidRDefault="006D0A2C" w:rsidP="006D0A2C">
            <w:pPr>
              <w:rPr>
                <w:rFonts w:ascii="Arial Narrow" w:hAnsi="Arial Narrow"/>
                <w:i/>
                <w:iCs/>
                <w:sz w:val="20"/>
                <w:szCs w:val="20"/>
              </w:rPr>
            </w:pPr>
            <w:r w:rsidRPr="009E7076">
              <w:rPr>
                <w:rFonts w:ascii="Arial Narrow" w:hAnsi="Arial Narrow"/>
                <w:b/>
                <w:bCs/>
                <w:i/>
                <w:iCs/>
                <w:sz w:val="20"/>
                <w:szCs w:val="20"/>
              </w:rPr>
              <w:t>Prescribing Instructions:</w:t>
            </w:r>
            <w:r w:rsidRPr="009E7076">
              <w:rPr>
                <w:rFonts w:ascii="Arial Narrow" w:hAnsi="Arial Narrow"/>
                <w:i/>
                <w:iCs/>
                <w:sz w:val="20"/>
                <w:szCs w:val="20"/>
              </w:rPr>
              <w:t xml:space="preserve"> A patient who has progressive disease when treated with this drug is no longer eligible for PBS-subsidised treatment with this drug.</w:t>
            </w:r>
          </w:p>
        </w:tc>
      </w:tr>
      <w:tr w:rsidR="006D0A2C" w:rsidRPr="009E7076" w14:paraId="2BDF6AAE"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595DC3DC"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7D2FBFD6" w14:textId="77777777" w:rsidR="006D0A2C" w:rsidRPr="009E7076" w:rsidRDefault="006D0A2C" w:rsidP="006D0A2C">
            <w:pPr>
              <w:rPr>
                <w:rFonts w:ascii="Arial Narrow" w:hAnsi="Arial Narrow"/>
                <w:i/>
                <w:iCs/>
                <w:sz w:val="20"/>
                <w:szCs w:val="20"/>
              </w:rPr>
            </w:pPr>
            <w:r w:rsidRPr="009E7076">
              <w:rPr>
                <w:rFonts w:ascii="Arial Narrow" w:hAnsi="Arial Narrow"/>
                <w:b/>
                <w:bCs/>
                <w:i/>
                <w:iCs/>
                <w:sz w:val="20"/>
                <w:szCs w:val="20"/>
              </w:rPr>
              <w:t>Prescribing Instructions:</w:t>
            </w:r>
            <w:r w:rsidRPr="009E7076">
              <w:rPr>
                <w:rFonts w:ascii="Arial Narrow" w:hAnsi="Arial Narrow"/>
                <w:i/>
                <w:iCs/>
                <w:sz w:val="20"/>
                <w:szCs w:val="20"/>
              </w:rPr>
              <w:t xml:space="preserve"> Standard intensive remission induction combination chemotherapy must include cytarabine and an anthracycline. </w:t>
            </w:r>
          </w:p>
        </w:tc>
      </w:tr>
      <w:tr w:rsidR="006D0A2C" w:rsidRPr="009E7076" w14:paraId="12C9E02B"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350C6B74" w14:textId="77777777" w:rsidR="006D0A2C" w:rsidRPr="009E7076" w:rsidRDefault="006D0A2C" w:rsidP="006D0A2C">
            <w:pPr>
              <w:jc w:val="center"/>
              <w:rPr>
                <w:rFonts w:ascii="Arial Narrow" w:hAnsi="Arial Narrow"/>
                <w:sz w:val="20"/>
                <w:szCs w:val="20"/>
              </w:rPr>
            </w:pPr>
          </w:p>
        </w:tc>
        <w:tc>
          <w:tcPr>
            <w:tcW w:w="7954" w:type="dxa"/>
            <w:gridSpan w:val="5"/>
            <w:vAlign w:val="center"/>
            <w:hideMark/>
          </w:tcPr>
          <w:p w14:paraId="38831D9A" w14:textId="77777777" w:rsidR="006D0A2C" w:rsidRPr="009E7076" w:rsidRDefault="006D0A2C" w:rsidP="006D0A2C">
            <w:pPr>
              <w:rPr>
                <w:rFonts w:ascii="Arial Narrow" w:hAnsi="Arial Narrow"/>
                <w:i/>
                <w:iCs/>
                <w:sz w:val="20"/>
                <w:szCs w:val="20"/>
              </w:rPr>
            </w:pPr>
            <w:r w:rsidRPr="009E7076">
              <w:rPr>
                <w:rFonts w:ascii="Arial Narrow" w:hAnsi="Arial Narrow"/>
                <w:b/>
                <w:bCs/>
                <w:i/>
                <w:iCs/>
                <w:sz w:val="20"/>
                <w:szCs w:val="20"/>
              </w:rPr>
              <w:t>Prescribing Instructions:</w:t>
            </w:r>
            <w:r w:rsidRPr="009E7076">
              <w:rPr>
                <w:rFonts w:ascii="Arial Narrow" w:hAnsi="Arial Narrow"/>
                <w:i/>
                <w:iCs/>
                <w:sz w:val="20"/>
                <w:szCs w:val="20"/>
              </w:rPr>
              <w:t xml:space="preserve"> </w:t>
            </w:r>
          </w:p>
          <w:p w14:paraId="19137C55" w14:textId="77777777" w:rsidR="006D0A2C" w:rsidRPr="009E7076" w:rsidRDefault="006D0A2C" w:rsidP="006D0A2C">
            <w:pPr>
              <w:rPr>
                <w:rFonts w:ascii="Arial Narrow" w:hAnsi="Arial Narrow"/>
                <w:i/>
                <w:iCs/>
                <w:sz w:val="20"/>
                <w:szCs w:val="20"/>
              </w:rPr>
            </w:pPr>
            <w:r w:rsidRPr="009E7076">
              <w:rPr>
                <w:rFonts w:ascii="Arial Narrow" w:hAnsi="Arial Narrow"/>
                <w:i/>
                <w:iCs/>
                <w:sz w:val="20"/>
                <w:szCs w:val="20"/>
              </w:rPr>
              <w:t xml:space="preserve">Progressive disease is defined as the presence of any of the following: </w:t>
            </w:r>
          </w:p>
          <w:p w14:paraId="1B958520" w14:textId="77777777" w:rsidR="006D0A2C" w:rsidRPr="009E7076" w:rsidRDefault="006D0A2C" w:rsidP="006D0A2C">
            <w:pPr>
              <w:rPr>
                <w:rFonts w:ascii="Arial Narrow" w:hAnsi="Arial Narrow"/>
                <w:i/>
                <w:iCs/>
                <w:sz w:val="20"/>
                <w:szCs w:val="20"/>
              </w:rPr>
            </w:pPr>
            <w:r w:rsidRPr="009E7076">
              <w:rPr>
                <w:rFonts w:ascii="Arial Narrow" w:hAnsi="Arial Narrow"/>
                <w:i/>
                <w:iCs/>
                <w:sz w:val="20"/>
                <w:szCs w:val="20"/>
              </w:rPr>
              <w:t>•Leukaemic cells in the CSF;</w:t>
            </w:r>
          </w:p>
          <w:p w14:paraId="5220D199" w14:textId="77777777" w:rsidR="006D0A2C" w:rsidRPr="009E7076" w:rsidRDefault="006D0A2C" w:rsidP="006D0A2C">
            <w:pPr>
              <w:rPr>
                <w:rFonts w:ascii="Arial Narrow" w:hAnsi="Arial Narrow"/>
                <w:i/>
                <w:iCs/>
                <w:sz w:val="20"/>
                <w:szCs w:val="20"/>
              </w:rPr>
            </w:pPr>
            <w:r w:rsidRPr="009E7076">
              <w:rPr>
                <w:rFonts w:ascii="Arial Narrow" w:hAnsi="Arial Narrow"/>
                <w:i/>
                <w:iCs/>
                <w:sz w:val="20"/>
                <w:szCs w:val="20"/>
              </w:rPr>
              <w:t xml:space="preserve">•Re-appearance of circulating blast cells in the peripheral blood, not attributable to overshoot following recovery from myeloablative therapy; </w:t>
            </w:r>
          </w:p>
          <w:p w14:paraId="5015C488" w14:textId="77777777" w:rsidR="006D0A2C" w:rsidRPr="009E7076" w:rsidRDefault="006D0A2C" w:rsidP="006D0A2C">
            <w:pPr>
              <w:rPr>
                <w:rFonts w:ascii="Arial Narrow" w:hAnsi="Arial Narrow"/>
                <w:i/>
                <w:iCs/>
                <w:sz w:val="20"/>
                <w:szCs w:val="20"/>
              </w:rPr>
            </w:pPr>
            <w:r w:rsidRPr="009E7076">
              <w:rPr>
                <w:rFonts w:ascii="Arial Narrow" w:hAnsi="Arial Narrow"/>
                <w:i/>
                <w:iCs/>
                <w:sz w:val="20"/>
                <w:szCs w:val="20"/>
              </w:rPr>
              <w:t xml:space="preserve">•Greater than 5 % blasts in the marrow not attributable to bone marrow regeneration or another cause; </w:t>
            </w:r>
          </w:p>
          <w:p w14:paraId="6E216919" w14:textId="77777777" w:rsidR="006D0A2C" w:rsidRPr="009E7076" w:rsidRDefault="006D0A2C" w:rsidP="006D0A2C">
            <w:pPr>
              <w:rPr>
                <w:rFonts w:ascii="Arial Narrow" w:hAnsi="Arial Narrow"/>
                <w:i/>
                <w:iCs/>
                <w:sz w:val="20"/>
                <w:szCs w:val="20"/>
              </w:rPr>
            </w:pPr>
            <w:r w:rsidRPr="009E7076">
              <w:rPr>
                <w:rFonts w:ascii="Arial Narrow" w:hAnsi="Arial Narrow"/>
                <w:i/>
                <w:iCs/>
                <w:sz w:val="20"/>
                <w:szCs w:val="20"/>
              </w:rPr>
              <w:t>•Extramedullary leukaemia.</w:t>
            </w:r>
          </w:p>
        </w:tc>
      </w:tr>
      <w:tr w:rsidR="006D0A2C" w:rsidRPr="009E7076" w14:paraId="4D3D7DE0"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65A97D4D"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3238EF34" w14:textId="77777777" w:rsidR="006D0A2C" w:rsidRPr="009E7076" w:rsidRDefault="006D0A2C" w:rsidP="006D0A2C">
            <w:pPr>
              <w:rPr>
                <w:rFonts w:ascii="Arial Narrow" w:hAnsi="Arial Narrow"/>
                <w:i/>
                <w:iCs/>
                <w:sz w:val="20"/>
                <w:szCs w:val="20"/>
              </w:rPr>
            </w:pPr>
            <w:r w:rsidRPr="009E7076">
              <w:rPr>
                <w:rFonts w:ascii="Arial Narrow" w:hAnsi="Arial Narrow"/>
                <w:b/>
                <w:bCs/>
                <w:i/>
                <w:iCs/>
                <w:sz w:val="20"/>
                <w:szCs w:val="20"/>
              </w:rPr>
              <w:t xml:space="preserve">Administrative Advice: </w:t>
            </w:r>
            <w:r w:rsidRPr="009E7076">
              <w:rPr>
                <w:rFonts w:ascii="Arial Narrow" w:hAnsi="Arial Narrow"/>
                <w:i/>
                <w:iCs/>
                <w:sz w:val="20"/>
                <w:szCs w:val="20"/>
              </w:rPr>
              <w:t>No increase in the maximum number of repeats may be authorised.</w:t>
            </w:r>
          </w:p>
        </w:tc>
      </w:tr>
      <w:tr w:rsidR="006D0A2C" w:rsidRPr="009E7076" w14:paraId="5F7D5AE1"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4B12C800"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2A8F88BC" w14:textId="77777777" w:rsidR="006D0A2C" w:rsidRPr="009E7076" w:rsidRDefault="006D0A2C" w:rsidP="006D0A2C">
            <w:pPr>
              <w:rPr>
                <w:rFonts w:ascii="Arial Narrow" w:hAnsi="Arial Narrow"/>
                <w:i/>
                <w:iCs/>
                <w:sz w:val="20"/>
                <w:szCs w:val="20"/>
              </w:rPr>
            </w:pPr>
            <w:r w:rsidRPr="009E7076">
              <w:rPr>
                <w:rFonts w:ascii="Arial Narrow" w:hAnsi="Arial Narrow"/>
                <w:b/>
                <w:bCs/>
                <w:i/>
                <w:iCs/>
                <w:sz w:val="20"/>
                <w:szCs w:val="20"/>
              </w:rPr>
              <w:t xml:space="preserve">Administrative Advice: </w:t>
            </w:r>
            <w:r w:rsidRPr="009E7076">
              <w:rPr>
                <w:rFonts w:ascii="Arial Narrow" w:hAnsi="Arial Narrow"/>
                <w:i/>
                <w:iCs/>
                <w:sz w:val="20"/>
                <w:szCs w:val="20"/>
              </w:rPr>
              <w:t>No increase in the maximum amount or number of units may be authorised.</w:t>
            </w:r>
          </w:p>
        </w:tc>
      </w:tr>
      <w:tr w:rsidR="006D0A2C" w:rsidRPr="009E7076" w14:paraId="03731872"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6714479F" w14:textId="77777777" w:rsidR="006D0A2C" w:rsidRPr="009E7076" w:rsidRDefault="006D0A2C" w:rsidP="006D0A2C">
            <w:pPr>
              <w:jc w:val="center"/>
              <w:rPr>
                <w:rFonts w:ascii="Arial Narrow" w:hAnsi="Arial Narrow"/>
                <w:sz w:val="20"/>
                <w:szCs w:val="20"/>
              </w:rPr>
            </w:pPr>
          </w:p>
        </w:tc>
        <w:tc>
          <w:tcPr>
            <w:tcW w:w="7954" w:type="dxa"/>
            <w:gridSpan w:val="5"/>
            <w:vAlign w:val="center"/>
            <w:hideMark/>
          </w:tcPr>
          <w:p w14:paraId="100C8F75" w14:textId="77777777" w:rsidR="006D0A2C" w:rsidRPr="009E7076" w:rsidRDefault="006D0A2C" w:rsidP="006D0A2C">
            <w:pPr>
              <w:rPr>
                <w:rFonts w:ascii="Arial Narrow" w:hAnsi="Arial Narrow"/>
                <w:b/>
                <w:bCs/>
                <w:i/>
                <w:iCs/>
                <w:sz w:val="20"/>
                <w:szCs w:val="20"/>
              </w:rPr>
            </w:pPr>
            <w:r w:rsidRPr="009E7076">
              <w:rPr>
                <w:rFonts w:ascii="Arial Narrow" w:hAnsi="Arial Narrow"/>
                <w:b/>
                <w:bCs/>
                <w:i/>
                <w:iCs/>
                <w:sz w:val="20"/>
                <w:szCs w:val="20"/>
              </w:rPr>
              <w:t>Administrative Advice:</w:t>
            </w:r>
          </w:p>
          <w:p w14:paraId="4CE8362C" w14:textId="77777777" w:rsidR="006D0A2C" w:rsidRPr="009E7076" w:rsidRDefault="006D0A2C" w:rsidP="006D0A2C">
            <w:pPr>
              <w:rPr>
                <w:rFonts w:ascii="Arial Narrow" w:hAnsi="Arial Narrow"/>
                <w:i/>
                <w:iCs/>
                <w:sz w:val="20"/>
                <w:szCs w:val="20"/>
              </w:rPr>
            </w:pPr>
            <w:r w:rsidRPr="009E7076">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6D0A2C" w:rsidRPr="009E7076" w14:paraId="3478D23E" w14:textId="77777777" w:rsidTr="006D0A2C">
        <w:tblPrEx>
          <w:tblCellMar>
            <w:top w:w="15" w:type="dxa"/>
            <w:left w:w="15" w:type="dxa"/>
            <w:bottom w:w="15" w:type="dxa"/>
            <w:right w:w="15" w:type="dxa"/>
          </w:tblCellMar>
          <w:tblLook w:val="04A0" w:firstRow="1" w:lastRow="0" w:firstColumn="1" w:lastColumn="0" w:noHBand="0" w:noVBand="1"/>
        </w:tblPrEx>
        <w:trPr>
          <w:trHeight w:val="20"/>
        </w:trPr>
        <w:tc>
          <w:tcPr>
            <w:tcW w:w="1063" w:type="dxa"/>
            <w:vAlign w:val="center"/>
          </w:tcPr>
          <w:p w14:paraId="717D7473" w14:textId="77777777" w:rsidR="006D0A2C" w:rsidRPr="009E7076" w:rsidRDefault="006D0A2C" w:rsidP="006D0A2C">
            <w:pPr>
              <w:jc w:val="center"/>
              <w:rPr>
                <w:rFonts w:ascii="Arial Narrow" w:hAnsi="Arial Narrow"/>
                <w:sz w:val="20"/>
                <w:szCs w:val="20"/>
              </w:rPr>
            </w:pPr>
          </w:p>
        </w:tc>
        <w:tc>
          <w:tcPr>
            <w:tcW w:w="7954" w:type="dxa"/>
            <w:gridSpan w:val="5"/>
            <w:vAlign w:val="center"/>
          </w:tcPr>
          <w:p w14:paraId="74E951F7" w14:textId="77777777" w:rsidR="006D0A2C" w:rsidRPr="009E7076" w:rsidRDefault="006D0A2C" w:rsidP="006D0A2C">
            <w:pPr>
              <w:autoSpaceDE w:val="0"/>
              <w:autoSpaceDN w:val="0"/>
              <w:adjustRightInd w:val="0"/>
              <w:rPr>
                <w:rFonts w:ascii="Arial Narrow" w:hAnsi="Arial Narrow"/>
                <w:b/>
                <w:strike/>
                <w:sz w:val="20"/>
                <w:szCs w:val="20"/>
              </w:rPr>
            </w:pPr>
            <w:r w:rsidRPr="009E7076">
              <w:rPr>
                <w:rFonts w:ascii="Arial Narrow" w:hAnsi="Arial Narrow"/>
                <w:b/>
                <w:strike/>
                <w:sz w:val="20"/>
                <w:szCs w:val="20"/>
              </w:rPr>
              <w:t>Definitions:</w:t>
            </w:r>
          </w:p>
          <w:p w14:paraId="35FA6A0A" w14:textId="77777777" w:rsidR="006D0A2C" w:rsidRPr="009E7076" w:rsidRDefault="006D0A2C" w:rsidP="006D0A2C">
            <w:pPr>
              <w:autoSpaceDE w:val="0"/>
              <w:autoSpaceDN w:val="0"/>
              <w:adjustRightInd w:val="0"/>
              <w:rPr>
                <w:rFonts w:ascii="Arial Narrow" w:hAnsi="Arial Narrow"/>
                <w:strike/>
                <w:sz w:val="20"/>
                <w:szCs w:val="20"/>
              </w:rPr>
            </w:pPr>
            <w:r w:rsidRPr="009E7076">
              <w:rPr>
                <w:rFonts w:ascii="Arial Narrow" w:hAnsi="Arial Narrow"/>
                <w:strike/>
                <w:sz w:val="20"/>
                <w:szCs w:val="20"/>
              </w:rPr>
              <w:t>Progressive disease is defined as the presence of any of the following:</w:t>
            </w:r>
          </w:p>
          <w:p w14:paraId="62C2DE78" w14:textId="77777777" w:rsidR="006D0A2C" w:rsidRPr="009E7076" w:rsidRDefault="006D0A2C" w:rsidP="006D0A2C">
            <w:pPr>
              <w:autoSpaceDE w:val="0"/>
              <w:autoSpaceDN w:val="0"/>
              <w:adjustRightInd w:val="0"/>
              <w:rPr>
                <w:rFonts w:ascii="Arial Narrow" w:hAnsi="Arial Narrow"/>
                <w:strike/>
                <w:sz w:val="20"/>
                <w:szCs w:val="20"/>
              </w:rPr>
            </w:pPr>
            <w:r w:rsidRPr="009E7076">
              <w:rPr>
                <w:rFonts w:ascii="Arial Narrow" w:hAnsi="Arial Narrow"/>
                <w:strike/>
                <w:sz w:val="20"/>
                <w:szCs w:val="20"/>
              </w:rPr>
              <w:t>•Leukaemic cells in the CSF;</w:t>
            </w:r>
          </w:p>
          <w:p w14:paraId="68DD7D74" w14:textId="77777777" w:rsidR="006D0A2C" w:rsidRPr="009E7076" w:rsidRDefault="006D0A2C" w:rsidP="006D0A2C">
            <w:pPr>
              <w:autoSpaceDE w:val="0"/>
              <w:autoSpaceDN w:val="0"/>
              <w:adjustRightInd w:val="0"/>
              <w:rPr>
                <w:rFonts w:ascii="Arial Narrow" w:hAnsi="Arial Narrow"/>
                <w:strike/>
                <w:sz w:val="20"/>
                <w:szCs w:val="20"/>
              </w:rPr>
            </w:pPr>
            <w:r w:rsidRPr="009E7076">
              <w:rPr>
                <w:rFonts w:ascii="Arial Narrow" w:hAnsi="Arial Narrow"/>
                <w:strike/>
                <w:sz w:val="20"/>
                <w:szCs w:val="20"/>
              </w:rPr>
              <w:t xml:space="preserve">•Re-appearance of circulating blast cells in the peripheral blood, not attributable to overshoot following recovery from myeloablative therapy; </w:t>
            </w:r>
          </w:p>
          <w:p w14:paraId="1422BF82" w14:textId="77777777" w:rsidR="006D0A2C" w:rsidRPr="009E7076" w:rsidRDefault="006D0A2C" w:rsidP="006D0A2C">
            <w:pPr>
              <w:autoSpaceDE w:val="0"/>
              <w:autoSpaceDN w:val="0"/>
              <w:adjustRightInd w:val="0"/>
              <w:rPr>
                <w:rFonts w:ascii="Arial Narrow" w:hAnsi="Arial Narrow"/>
                <w:strike/>
                <w:sz w:val="20"/>
                <w:szCs w:val="20"/>
              </w:rPr>
            </w:pPr>
            <w:r w:rsidRPr="009E7076">
              <w:rPr>
                <w:rFonts w:ascii="Arial Narrow" w:hAnsi="Arial Narrow"/>
                <w:strike/>
                <w:sz w:val="20"/>
                <w:szCs w:val="20"/>
              </w:rPr>
              <w:t xml:space="preserve">•Greater than 5 % blasts in the marrow not attributable to bone marrow regeneration or another cause; </w:t>
            </w:r>
          </w:p>
          <w:p w14:paraId="14199514" w14:textId="77777777" w:rsidR="006D0A2C" w:rsidRPr="009E7076" w:rsidRDefault="006D0A2C" w:rsidP="006D0A2C">
            <w:pPr>
              <w:rPr>
                <w:rFonts w:ascii="Arial Narrow" w:hAnsi="Arial Narrow"/>
                <w:b/>
                <w:bCs/>
                <w:sz w:val="20"/>
                <w:szCs w:val="20"/>
              </w:rPr>
            </w:pPr>
            <w:r w:rsidRPr="009E7076">
              <w:rPr>
                <w:rFonts w:ascii="Arial Narrow" w:hAnsi="Arial Narrow"/>
                <w:strike/>
                <w:sz w:val="20"/>
                <w:szCs w:val="20"/>
              </w:rPr>
              <w:t>•Extramedullary leukaemia.</w:t>
            </w:r>
          </w:p>
        </w:tc>
      </w:tr>
    </w:tbl>
    <w:p w14:paraId="1A267449" w14:textId="77777777" w:rsidR="00C44356" w:rsidRPr="009E7076" w:rsidRDefault="00C44356" w:rsidP="00C443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2554"/>
        <w:gridCol w:w="1276"/>
        <w:gridCol w:w="1984"/>
        <w:gridCol w:w="1276"/>
        <w:gridCol w:w="942"/>
      </w:tblGrid>
      <w:tr w:rsidR="006D0A2C" w:rsidRPr="009E7076" w14:paraId="1BC89B2A" w14:textId="77777777" w:rsidTr="006D0A2C">
        <w:trPr>
          <w:cantSplit/>
          <w:trHeight w:val="57"/>
        </w:trPr>
        <w:tc>
          <w:tcPr>
            <w:tcW w:w="3539" w:type="dxa"/>
            <w:gridSpan w:val="2"/>
            <w:vAlign w:val="center"/>
          </w:tcPr>
          <w:p w14:paraId="5047CD3D" w14:textId="77777777" w:rsidR="006D0A2C" w:rsidRPr="009E7076" w:rsidRDefault="006D0A2C" w:rsidP="006D0A2C">
            <w:pPr>
              <w:keepNext/>
              <w:rPr>
                <w:rFonts w:ascii="Arial Narrow" w:hAnsi="Arial Narrow"/>
                <w:b/>
                <w:sz w:val="20"/>
                <w:szCs w:val="20"/>
              </w:rPr>
            </w:pPr>
            <w:r w:rsidRPr="009E7076">
              <w:rPr>
                <w:rFonts w:ascii="Arial Narrow" w:hAnsi="Arial Narrow"/>
                <w:b/>
                <w:sz w:val="20"/>
                <w:szCs w:val="20"/>
              </w:rPr>
              <w:t xml:space="preserve">MEDICINAL PRODUCT </w:t>
            </w:r>
          </w:p>
          <w:p w14:paraId="6D998A41" w14:textId="77777777" w:rsidR="006D0A2C" w:rsidRPr="009E7076" w:rsidRDefault="006D0A2C" w:rsidP="006D0A2C">
            <w:pPr>
              <w:keepNext/>
              <w:rPr>
                <w:rFonts w:ascii="Arial Narrow" w:hAnsi="Arial Narrow"/>
                <w:b/>
                <w:sz w:val="20"/>
                <w:szCs w:val="20"/>
              </w:rPr>
            </w:pPr>
            <w:r w:rsidRPr="009E7076">
              <w:rPr>
                <w:rFonts w:ascii="Arial Narrow" w:hAnsi="Arial Narrow"/>
                <w:b/>
                <w:sz w:val="20"/>
                <w:szCs w:val="20"/>
              </w:rPr>
              <w:t>medicinal product pack (MPP)</w:t>
            </w:r>
          </w:p>
        </w:tc>
        <w:tc>
          <w:tcPr>
            <w:tcW w:w="1276" w:type="dxa"/>
            <w:vAlign w:val="center"/>
          </w:tcPr>
          <w:p w14:paraId="3659CB70" w14:textId="77777777" w:rsidR="006D0A2C" w:rsidRPr="009E7076" w:rsidRDefault="006D0A2C" w:rsidP="006D0A2C">
            <w:pPr>
              <w:keepNext/>
              <w:ind w:left="-108"/>
              <w:jc w:val="center"/>
              <w:rPr>
                <w:rFonts w:ascii="Arial Narrow" w:hAnsi="Arial Narrow"/>
                <w:b/>
                <w:i/>
                <w:iCs/>
                <w:sz w:val="20"/>
                <w:szCs w:val="20"/>
              </w:rPr>
            </w:pPr>
            <w:r w:rsidRPr="009E7076">
              <w:rPr>
                <w:rFonts w:ascii="Arial Narrow" w:hAnsi="Arial Narrow"/>
                <w:b/>
                <w:i/>
                <w:iCs/>
                <w:sz w:val="20"/>
                <w:szCs w:val="20"/>
              </w:rPr>
              <w:t>PBS item code</w:t>
            </w:r>
          </w:p>
        </w:tc>
        <w:tc>
          <w:tcPr>
            <w:tcW w:w="1984" w:type="dxa"/>
            <w:vAlign w:val="center"/>
          </w:tcPr>
          <w:p w14:paraId="2DDE49DA" w14:textId="77777777" w:rsidR="006D0A2C" w:rsidRPr="006D0A2C" w:rsidRDefault="006D0A2C" w:rsidP="006D0A2C">
            <w:pPr>
              <w:keepNext/>
              <w:ind w:left="-108"/>
              <w:jc w:val="center"/>
              <w:rPr>
                <w:rFonts w:ascii="Arial Narrow" w:hAnsi="Arial Narrow"/>
                <w:b/>
                <w:i/>
                <w:iCs/>
                <w:sz w:val="20"/>
                <w:szCs w:val="20"/>
              </w:rPr>
            </w:pPr>
            <w:r w:rsidRPr="006D0A2C">
              <w:rPr>
                <w:rFonts w:ascii="Arial Narrow" w:hAnsi="Arial Narrow"/>
                <w:b/>
                <w:sz w:val="20"/>
              </w:rPr>
              <w:t>Dispensed Price for Max. Amt</w:t>
            </w:r>
          </w:p>
        </w:tc>
        <w:tc>
          <w:tcPr>
            <w:tcW w:w="1276" w:type="dxa"/>
            <w:vAlign w:val="center"/>
          </w:tcPr>
          <w:p w14:paraId="43C3F295" w14:textId="77777777" w:rsidR="006D0A2C" w:rsidRPr="009E7076" w:rsidRDefault="006D0A2C" w:rsidP="006D0A2C">
            <w:pPr>
              <w:keepNext/>
              <w:ind w:left="-108"/>
              <w:jc w:val="center"/>
              <w:rPr>
                <w:rFonts w:ascii="Arial Narrow" w:hAnsi="Arial Narrow"/>
                <w:b/>
                <w:sz w:val="20"/>
                <w:szCs w:val="20"/>
              </w:rPr>
            </w:pPr>
            <w:r w:rsidRPr="009E7076">
              <w:rPr>
                <w:rFonts w:ascii="Arial Narrow" w:hAnsi="Arial Narrow"/>
                <w:b/>
                <w:sz w:val="20"/>
                <w:szCs w:val="20"/>
              </w:rPr>
              <w:t>Max. Amount</w:t>
            </w:r>
          </w:p>
        </w:tc>
        <w:tc>
          <w:tcPr>
            <w:tcW w:w="942" w:type="dxa"/>
            <w:vAlign w:val="center"/>
          </w:tcPr>
          <w:p w14:paraId="4F3E156B" w14:textId="77777777" w:rsidR="006D0A2C" w:rsidRPr="009E7076" w:rsidRDefault="006D0A2C" w:rsidP="006D0A2C">
            <w:pPr>
              <w:keepNext/>
              <w:ind w:left="-108"/>
              <w:jc w:val="center"/>
              <w:rPr>
                <w:rFonts w:ascii="Arial Narrow" w:hAnsi="Arial Narrow"/>
                <w:b/>
                <w:sz w:val="20"/>
                <w:szCs w:val="20"/>
              </w:rPr>
            </w:pPr>
            <w:r w:rsidRPr="009E7076">
              <w:rPr>
                <w:rFonts w:ascii="Arial Narrow" w:hAnsi="Arial Narrow"/>
                <w:b/>
                <w:sz w:val="20"/>
                <w:szCs w:val="20"/>
              </w:rPr>
              <w:t>№.of</w:t>
            </w:r>
            <w:r>
              <w:rPr>
                <w:rFonts w:ascii="Arial Narrow" w:hAnsi="Arial Narrow"/>
                <w:b/>
                <w:sz w:val="20"/>
                <w:szCs w:val="20"/>
              </w:rPr>
              <w:t xml:space="preserve"> </w:t>
            </w:r>
            <w:r w:rsidRPr="009E7076">
              <w:rPr>
                <w:rFonts w:ascii="Arial Narrow" w:hAnsi="Arial Narrow"/>
                <w:b/>
                <w:sz w:val="20"/>
                <w:szCs w:val="20"/>
              </w:rPr>
              <w:t>Rpts</w:t>
            </w:r>
          </w:p>
        </w:tc>
      </w:tr>
      <w:tr w:rsidR="006D0A2C" w:rsidRPr="009E7076" w14:paraId="0405EFC1" w14:textId="77777777" w:rsidTr="006D0A2C">
        <w:trPr>
          <w:cantSplit/>
          <w:trHeight w:val="57"/>
        </w:trPr>
        <w:tc>
          <w:tcPr>
            <w:tcW w:w="3539" w:type="dxa"/>
            <w:gridSpan w:val="2"/>
          </w:tcPr>
          <w:p w14:paraId="79F5664F" w14:textId="77777777" w:rsidR="006D0A2C" w:rsidRPr="009E7076" w:rsidRDefault="006D0A2C" w:rsidP="006D0A2C">
            <w:pPr>
              <w:keepNext/>
              <w:rPr>
                <w:rFonts w:ascii="Arial Narrow" w:hAnsi="Arial Narrow"/>
                <w:sz w:val="20"/>
                <w:szCs w:val="20"/>
              </w:rPr>
            </w:pPr>
            <w:r w:rsidRPr="009E7076">
              <w:rPr>
                <w:rFonts w:ascii="Arial Narrow" w:hAnsi="Arial Narrow"/>
                <w:sz w:val="20"/>
                <w:szCs w:val="20"/>
              </w:rPr>
              <w:t>GEMTUZUMAB OZOGAMICIN</w:t>
            </w:r>
          </w:p>
          <w:p w14:paraId="5662CC8C" w14:textId="77777777" w:rsidR="006D0A2C" w:rsidRPr="009E7076" w:rsidRDefault="006D0A2C" w:rsidP="006D0A2C">
            <w:pPr>
              <w:keepNext/>
              <w:rPr>
                <w:rFonts w:ascii="Arial Narrow" w:hAnsi="Arial Narrow"/>
                <w:sz w:val="20"/>
                <w:szCs w:val="20"/>
              </w:rPr>
            </w:pPr>
            <w:r w:rsidRPr="009E7076">
              <w:rPr>
                <w:rFonts w:ascii="Arial Narrow" w:hAnsi="Arial Narrow"/>
                <w:sz w:val="20"/>
                <w:szCs w:val="20"/>
              </w:rPr>
              <w:t>gemtuzumab ozogamicin 5 mg injection, 1 vial</w:t>
            </w:r>
          </w:p>
        </w:tc>
        <w:tc>
          <w:tcPr>
            <w:tcW w:w="1276" w:type="dxa"/>
            <w:vAlign w:val="center"/>
          </w:tcPr>
          <w:p w14:paraId="274E0DC6" w14:textId="77777777" w:rsidR="006D0A2C" w:rsidRPr="009E7076" w:rsidRDefault="006D0A2C" w:rsidP="006D0A2C">
            <w:pPr>
              <w:keepNext/>
              <w:jc w:val="center"/>
              <w:rPr>
                <w:rFonts w:ascii="Arial Narrow" w:hAnsi="Arial Narrow"/>
                <w:i/>
                <w:iCs/>
                <w:sz w:val="20"/>
                <w:szCs w:val="20"/>
              </w:rPr>
            </w:pPr>
            <w:r w:rsidRPr="009E7076">
              <w:rPr>
                <w:rFonts w:ascii="Arial Narrow" w:hAnsi="Arial Narrow"/>
                <w:i/>
                <w:iCs/>
                <w:sz w:val="20"/>
                <w:szCs w:val="20"/>
              </w:rPr>
              <w:t>NEW (Public)</w:t>
            </w:r>
          </w:p>
          <w:p w14:paraId="78732285" w14:textId="77777777" w:rsidR="006D0A2C" w:rsidRPr="009E7076" w:rsidRDefault="006D0A2C" w:rsidP="006D0A2C">
            <w:pPr>
              <w:keepNext/>
              <w:jc w:val="center"/>
              <w:rPr>
                <w:rFonts w:ascii="Arial Narrow" w:hAnsi="Arial Narrow"/>
                <w:i/>
                <w:iCs/>
                <w:sz w:val="20"/>
                <w:szCs w:val="20"/>
              </w:rPr>
            </w:pPr>
            <w:r w:rsidRPr="009E7076">
              <w:rPr>
                <w:rFonts w:ascii="Arial Narrow" w:hAnsi="Arial Narrow"/>
                <w:i/>
                <w:iCs/>
                <w:sz w:val="20"/>
                <w:szCs w:val="20"/>
              </w:rPr>
              <w:t>NEW (Private)</w:t>
            </w:r>
          </w:p>
        </w:tc>
        <w:tc>
          <w:tcPr>
            <w:tcW w:w="1984" w:type="dxa"/>
            <w:vAlign w:val="center"/>
          </w:tcPr>
          <w:p w14:paraId="74002DFE" w14:textId="77777777" w:rsidR="006D0A2C" w:rsidRDefault="006D0A2C" w:rsidP="006D0A2C">
            <w:pPr>
              <w:keepNext/>
              <w:jc w:val="center"/>
              <w:rPr>
                <w:rFonts w:ascii="Arial Narrow" w:hAnsi="Arial Narrow"/>
                <w:sz w:val="20"/>
              </w:rPr>
            </w:pPr>
            <w:r>
              <w:rPr>
                <w:rFonts w:ascii="Arial Narrow" w:hAnsi="Arial Narrow"/>
                <w:sz w:val="20"/>
              </w:rPr>
              <w:t>$</w:t>
            </w:r>
            <w:r w:rsidR="00FF0EA4">
              <w:rPr>
                <w:rFonts w:ascii="Arial Narrow" w:hAnsi="Arial Narrow"/>
                <w:noProof/>
                <w:color w:val="000000"/>
                <w:sz w:val="20"/>
                <w:highlight w:val="black"/>
              </w:rPr>
              <w:t>''''''''''''''''''''''''</w:t>
            </w:r>
            <w:r>
              <w:rPr>
                <w:rFonts w:ascii="Arial Narrow" w:hAnsi="Arial Narrow"/>
                <w:sz w:val="20"/>
              </w:rPr>
              <w:t xml:space="preserve"> (public)</w:t>
            </w:r>
          </w:p>
          <w:p w14:paraId="45F155D8" w14:textId="77777777" w:rsidR="006D0A2C" w:rsidRPr="009E7076" w:rsidRDefault="006D0A2C" w:rsidP="006D0A2C">
            <w:pPr>
              <w:keepNext/>
              <w:jc w:val="center"/>
              <w:rPr>
                <w:rFonts w:ascii="Arial Narrow" w:hAnsi="Arial Narrow"/>
                <w:i/>
                <w:iCs/>
                <w:sz w:val="20"/>
                <w:szCs w:val="20"/>
              </w:rPr>
            </w:pPr>
            <w:r>
              <w:rPr>
                <w:rFonts w:ascii="Arial Narrow" w:hAnsi="Arial Narrow"/>
                <w:sz w:val="20"/>
              </w:rPr>
              <w:t>$</w:t>
            </w:r>
            <w:r w:rsidR="00FF0EA4">
              <w:rPr>
                <w:rFonts w:ascii="Arial Narrow" w:hAnsi="Arial Narrow"/>
                <w:noProof/>
                <w:color w:val="000000"/>
                <w:sz w:val="20"/>
                <w:highlight w:val="black"/>
              </w:rPr>
              <w:t>'''''''''''''''''''''''</w:t>
            </w:r>
            <w:r>
              <w:rPr>
                <w:rFonts w:ascii="Arial Narrow" w:hAnsi="Arial Narrow"/>
                <w:sz w:val="20"/>
              </w:rPr>
              <w:t xml:space="preserve"> (private)</w:t>
            </w:r>
          </w:p>
        </w:tc>
        <w:tc>
          <w:tcPr>
            <w:tcW w:w="1276" w:type="dxa"/>
            <w:vAlign w:val="center"/>
          </w:tcPr>
          <w:p w14:paraId="567720F3" w14:textId="77777777" w:rsidR="006D0A2C" w:rsidRPr="009E7076" w:rsidRDefault="006D0A2C" w:rsidP="006D0A2C">
            <w:pPr>
              <w:keepNext/>
              <w:ind w:left="-108"/>
              <w:jc w:val="center"/>
              <w:rPr>
                <w:rFonts w:ascii="Arial Narrow" w:hAnsi="Arial Narrow"/>
                <w:i/>
                <w:sz w:val="20"/>
                <w:szCs w:val="20"/>
              </w:rPr>
            </w:pPr>
            <w:r w:rsidRPr="009E7076">
              <w:rPr>
                <w:rFonts w:ascii="Arial Narrow" w:hAnsi="Arial Narrow"/>
                <w:strike/>
                <w:sz w:val="20"/>
                <w:szCs w:val="20"/>
              </w:rPr>
              <w:t>1</w:t>
            </w:r>
            <w:r w:rsidRPr="006D0A2C">
              <w:rPr>
                <w:rFonts w:ascii="Arial Narrow" w:hAnsi="Arial Narrow"/>
                <w:i/>
                <w:sz w:val="20"/>
                <w:szCs w:val="20"/>
              </w:rPr>
              <w:t xml:space="preserve"> </w:t>
            </w:r>
            <w:r w:rsidRPr="009E7076">
              <w:rPr>
                <w:rFonts w:ascii="Arial Narrow" w:hAnsi="Arial Narrow"/>
                <w:i/>
                <w:sz w:val="20"/>
                <w:szCs w:val="20"/>
              </w:rPr>
              <w:t>5 mg</w:t>
            </w:r>
          </w:p>
        </w:tc>
        <w:tc>
          <w:tcPr>
            <w:tcW w:w="942" w:type="dxa"/>
            <w:vAlign w:val="center"/>
          </w:tcPr>
          <w:p w14:paraId="3337F02E" w14:textId="77777777" w:rsidR="006D0A2C" w:rsidRPr="009E7076" w:rsidRDefault="006D0A2C" w:rsidP="006D0A2C">
            <w:pPr>
              <w:keepNext/>
              <w:ind w:left="-108"/>
              <w:jc w:val="center"/>
              <w:rPr>
                <w:rFonts w:ascii="Arial Narrow" w:hAnsi="Arial Narrow"/>
                <w:sz w:val="20"/>
                <w:szCs w:val="20"/>
              </w:rPr>
            </w:pPr>
            <w:r w:rsidRPr="009E7076">
              <w:rPr>
                <w:rFonts w:ascii="Arial Narrow" w:hAnsi="Arial Narrow"/>
                <w:sz w:val="20"/>
                <w:szCs w:val="20"/>
              </w:rPr>
              <w:t>1</w:t>
            </w:r>
          </w:p>
        </w:tc>
      </w:tr>
      <w:tr w:rsidR="00C44356" w:rsidRPr="009E7076" w14:paraId="003490D6" w14:textId="77777777" w:rsidTr="006D0A2C">
        <w:trPr>
          <w:cantSplit/>
          <w:trHeight w:val="57"/>
        </w:trPr>
        <w:tc>
          <w:tcPr>
            <w:tcW w:w="9017" w:type="dxa"/>
            <w:gridSpan w:val="6"/>
          </w:tcPr>
          <w:p w14:paraId="72CB66D3" w14:textId="77777777" w:rsidR="00C44356" w:rsidRPr="009E7076" w:rsidRDefault="00C44356" w:rsidP="00B00BDF">
            <w:pPr>
              <w:keepNext/>
              <w:rPr>
                <w:rFonts w:ascii="Arial Narrow" w:hAnsi="Arial Narrow"/>
                <w:b/>
                <w:sz w:val="20"/>
                <w:szCs w:val="20"/>
              </w:rPr>
            </w:pPr>
            <w:r w:rsidRPr="009E7076">
              <w:rPr>
                <w:rFonts w:ascii="Arial Narrow" w:hAnsi="Arial Narrow"/>
                <w:b/>
                <w:sz w:val="20"/>
                <w:szCs w:val="20"/>
              </w:rPr>
              <w:t>Available brands</w:t>
            </w:r>
          </w:p>
        </w:tc>
      </w:tr>
      <w:tr w:rsidR="00C44356" w:rsidRPr="009E7076" w14:paraId="06572097" w14:textId="77777777" w:rsidTr="006D0A2C">
        <w:trPr>
          <w:cantSplit/>
          <w:trHeight w:val="57"/>
        </w:trPr>
        <w:tc>
          <w:tcPr>
            <w:tcW w:w="9017" w:type="dxa"/>
            <w:gridSpan w:val="6"/>
          </w:tcPr>
          <w:p w14:paraId="7BA50FAB" w14:textId="77777777" w:rsidR="00C44356" w:rsidRPr="009E7076" w:rsidRDefault="00C44356" w:rsidP="00B00BDF">
            <w:pPr>
              <w:rPr>
                <w:rFonts w:ascii="Arial Narrow" w:hAnsi="Arial Narrow"/>
                <w:sz w:val="20"/>
                <w:szCs w:val="20"/>
              </w:rPr>
            </w:pPr>
            <w:r w:rsidRPr="009E7076">
              <w:rPr>
                <w:rFonts w:ascii="Arial Narrow" w:hAnsi="Arial Narrow"/>
                <w:sz w:val="20"/>
                <w:szCs w:val="20"/>
              </w:rPr>
              <w:t xml:space="preserve">Mylotarg </w:t>
            </w:r>
          </w:p>
        </w:tc>
      </w:tr>
      <w:tr w:rsidR="00C44356" w:rsidRPr="009E7076" w14:paraId="643B1DDB" w14:textId="77777777" w:rsidTr="006D0A2C">
        <w:trPr>
          <w:cantSplit/>
          <w:trHeight w:val="57"/>
        </w:trPr>
        <w:tc>
          <w:tcPr>
            <w:tcW w:w="9017" w:type="dxa"/>
            <w:gridSpan w:val="6"/>
          </w:tcPr>
          <w:p w14:paraId="578A0052" w14:textId="77777777" w:rsidR="00C44356" w:rsidRPr="009E7076" w:rsidRDefault="00C44356" w:rsidP="00B00BDF">
            <w:pPr>
              <w:rPr>
                <w:rFonts w:ascii="Arial Narrow" w:hAnsi="Arial Narrow"/>
                <w:sz w:val="20"/>
                <w:szCs w:val="20"/>
              </w:rPr>
            </w:pPr>
          </w:p>
        </w:tc>
      </w:tr>
      <w:tr w:rsidR="00C44356" w:rsidRPr="009E7076" w14:paraId="408289B4" w14:textId="77777777" w:rsidTr="006D0A2C">
        <w:trPr>
          <w:cantSplit/>
          <w:trHeight w:val="57"/>
        </w:trPr>
        <w:tc>
          <w:tcPr>
            <w:tcW w:w="9017" w:type="dxa"/>
            <w:gridSpan w:val="6"/>
          </w:tcPr>
          <w:p w14:paraId="4AF5531E" w14:textId="77777777" w:rsidR="00C44356" w:rsidRPr="009E7076" w:rsidRDefault="00C44356" w:rsidP="00B00BDF">
            <w:pPr>
              <w:rPr>
                <w:rFonts w:ascii="Arial Narrow" w:hAnsi="Arial Narrow"/>
                <w:sz w:val="20"/>
                <w:szCs w:val="20"/>
              </w:rPr>
            </w:pPr>
            <w:r w:rsidRPr="009E7076">
              <w:rPr>
                <w:rFonts w:ascii="Arial Narrow" w:hAnsi="Arial Narrow"/>
                <w:b/>
                <w:sz w:val="20"/>
                <w:szCs w:val="20"/>
              </w:rPr>
              <w:t>Restriction Summary [new] / Treatment of Concept: [new]</w:t>
            </w:r>
          </w:p>
        </w:tc>
      </w:tr>
      <w:tr w:rsidR="00C44356" w:rsidRPr="009E7076" w14:paraId="67F20D68"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Merge w:val="restart"/>
            <w:tcBorders>
              <w:top w:val="single" w:sz="4" w:space="0" w:color="auto"/>
              <w:left w:val="single" w:sz="4" w:space="0" w:color="auto"/>
              <w:right w:val="single" w:sz="4" w:space="0" w:color="auto"/>
            </w:tcBorders>
          </w:tcPr>
          <w:p w14:paraId="6AE99621" w14:textId="77777777" w:rsidR="00C44356" w:rsidRPr="009E7076" w:rsidRDefault="00C44356" w:rsidP="00B00BDF">
            <w:pPr>
              <w:rPr>
                <w:rFonts w:ascii="Arial Narrow" w:hAnsi="Arial Narrow"/>
                <w:b/>
                <w:sz w:val="20"/>
                <w:szCs w:val="20"/>
              </w:rPr>
            </w:pPr>
          </w:p>
        </w:tc>
        <w:tc>
          <w:tcPr>
            <w:tcW w:w="8032" w:type="dxa"/>
            <w:gridSpan w:val="5"/>
            <w:tcBorders>
              <w:top w:val="single" w:sz="4" w:space="0" w:color="auto"/>
              <w:left w:val="single" w:sz="4" w:space="0" w:color="auto"/>
              <w:bottom w:val="single" w:sz="4" w:space="0" w:color="auto"/>
              <w:right w:val="single" w:sz="4" w:space="0" w:color="auto"/>
            </w:tcBorders>
          </w:tcPr>
          <w:p w14:paraId="1E3164BB" w14:textId="77777777" w:rsidR="00C44356" w:rsidRPr="009E7076" w:rsidRDefault="00C44356" w:rsidP="00B00BDF">
            <w:pPr>
              <w:rPr>
                <w:rFonts w:ascii="Arial Narrow" w:hAnsi="Arial Narrow"/>
                <w:sz w:val="20"/>
                <w:szCs w:val="20"/>
              </w:rPr>
            </w:pPr>
            <w:r w:rsidRPr="009E7076">
              <w:rPr>
                <w:rFonts w:ascii="Arial Narrow" w:hAnsi="Arial Narrow"/>
                <w:b/>
                <w:sz w:val="20"/>
                <w:szCs w:val="20"/>
              </w:rPr>
              <w:t xml:space="preserve">Category / Program: </w:t>
            </w:r>
            <w:r w:rsidRPr="009E7076">
              <w:rPr>
                <w:rFonts w:ascii="Arial Narrow" w:hAnsi="Arial Narrow"/>
                <w:sz w:val="20"/>
                <w:szCs w:val="20"/>
              </w:rPr>
              <w:t xml:space="preserve">Section 100 – Efficient Funding of Chemotherapy Public/Private hospitals </w:t>
            </w:r>
          </w:p>
        </w:tc>
      </w:tr>
      <w:tr w:rsidR="00C44356" w:rsidRPr="009E7076" w14:paraId="71EC86A6"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Merge/>
            <w:tcBorders>
              <w:left w:val="single" w:sz="4" w:space="0" w:color="auto"/>
              <w:right w:val="single" w:sz="4" w:space="0" w:color="auto"/>
            </w:tcBorders>
          </w:tcPr>
          <w:p w14:paraId="4BF946D1" w14:textId="77777777" w:rsidR="00C44356" w:rsidRPr="009E7076" w:rsidRDefault="00C44356" w:rsidP="00B00BDF">
            <w:pPr>
              <w:rPr>
                <w:rFonts w:ascii="Arial Narrow" w:hAnsi="Arial Narrow"/>
                <w:sz w:val="20"/>
                <w:szCs w:val="20"/>
              </w:rPr>
            </w:pPr>
          </w:p>
        </w:tc>
        <w:tc>
          <w:tcPr>
            <w:tcW w:w="8032" w:type="dxa"/>
            <w:gridSpan w:val="5"/>
            <w:tcBorders>
              <w:top w:val="single" w:sz="4" w:space="0" w:color="auto"/>
              <w:left w:val="single" w:sz="4" w:space="0" w:color="auto"/>
              <w:bottom w:val="single" w:sz="4" w:space="0" w:color="auto"/>
              <w:right w:val="single" w:sz="4" w:space="0" w:color="auto"/>
            </w:tcBorders>
          </w:tcPr>
          <w:p w14:paraId="351E9951" w14:textId="77777777" w:rsidR="00C44356" w:rsidRPr="009E7076" w:rsidRDefault="00C44356" w:rsidP="00B00BDF">
            <w:pPr>
              <w:rPr>
                <w:rFonts w:ascii="Arial Narrow" w:hAnsi="Arial Narrow"/>
                <w:b/>
                <w:sz w:val="20"/>
                <w:szCs w:val="20"/>
              </w:rPr>
            </w:pPr>
            <w:r w:rsidRPr="009E7076">
              <w:rPr>
                <w:rFonts w:ascii="Arial Narrow" w:hAnsi="Arial Narrow"/>
                <w:b/>
                <w:sz w:val="20"/>
                <w:szCs w:val="20"/>
              </w:rPr>
              <w:t xml:space="preserve">Prescriber type: </w:t>
            </w:r>
            <w:r w:rsidRPr="009E7076">
              <w:rPr>
                <w:rFonts w:ascii="Arial Narrow" w:hAnsi="Arial Narrow"/>
                <w:sz w:val="20"/>
                <w:szCs w:val="20"/>
              </w:rPr>
              <w:fldChar w:fldCharType="begin">
                <w:ffData>
                  <w:name w:val=""/>
                  <w:enabled/>
                  <w:calcOnExit w:val="0"/>
                  <w:checkBox>
                    <w:sizeAuto/>
                    <w:default w:val="1"/>
                  </w:checkBox>
                </w:ffData>
              </w:fldChar>
            </w:r>
            <w:r w:rsidRPr="009E7076">
              <w:rPr>
                <w:rFonts w:ascii="Arial Narrow" w:hAnsi="Arial Narrow"/>
                <w:sz w:val="20"/>
                <w:szCs w:val="20"/>
              </w:rPr>
              <w:instrText xml:space="preserve"> FORMCHECKBOX </w:instrText>
            </w:r>
            <w:r w:rsidR="000B5D34">
              <w:rPr>
                <w:rFonts w:ascii="Arial Narrow" w:hAnsi="Arial Narrow"/>
                <w:sz w:val="20"/>
                <w:szCs w:val="20"/>
              </w:rPr>
            </w:r>
            <w:r w:rsidR="000B5D34">
              <w:rPr>
                <w:rFonts w:ascii="Arial Narrow" w:hAnsi="Arial Narrow"/>
                <w:sz w:val="20"/>
                <w:szCs w:val="20"/>
              </w:rPr>
              <w:fldChar w:fldCharType="separate"/>
            </w:r>
            <w:r w:rsidRPr="009E7076">
              <w:rPr>
                <w:rFonts w:ascii="Arial Narrow" w:hAnsi="Arial Narrow"/>
                <w:sz w:val="20"/>
                <w:szCs w:val="20"/>
              </w:rPr>
              <w:fldChar w:fldCharType="end"/>
            </w:r>
            <w:r w:rsidRPr="009E7076">
              <w:rPr>
                <w:rFonts w:ascii="Arial Narrow" w:hAnsi="Arial Narrow"/>
                <w:sz w:val="20"/>
                <w:szCs w:val="20"/>
              </w:rPr>
              <w:t>Medical Practitioners</w:t>
            </w:r>
          </w:p>
        </w:tc>
      </w:tr>
      <w:tr w:rsidR="00C44356" w:rsidRPr="009E7076" w14:paraId="06B517EA"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Merge/>
            <w:tcBorders>
              <w:left w:val="single" w:sz="4" w:space="0" w:color="auto"/>
              <w:bottom w:val="single" w:sz="4" w:space="0" w:color="auto"/>
              <w:right w:val="single" w:sz="4" w:space="0" w:color="auto"/>
            </w:tcBorders>
          </w:tcPr>
          <w:p w14:paraId="19F6806C" w14:textId="77777777" w:rsidR="00C44356" w:rsidRPr="009E7076" w:rsidRDefault="00C44356" w:rsidP="00B00BDF">
            <w:pPr>
              <w:rPr>
                <w:rFonts w:ascii="Arial Narrow" w:hAnsi="Arial Narrow"/>
                <w:sz w:val="20"/>
                <w:szCs w:val="20"/>
              </w:rPr>
            </w:pPr>
          </w:p>
        </w:tc>
        <w:tc>
          <w:tcPr>
            <w:tcW w:w="8032" w:type="dxa"/>
            <w:gridSpan w:val="5"/>
            <w:tcBorders>
              <w:top w:val="single" w:sz="4" w:space="0" w:color="auto"/>
              <w:left w:val="single" w:sz="4" w:space="0" w:color="auto"/>
              <w:bottom w:val="single" w:sz="4" w:space="0" w:color="auto"/>
              <w:right w:val="single" w:sz="4" w:space="0" w:color="auto"/>
            </w:tcBorders>
          </w:tcPr>
          <w:p w14:paraId="20A97B4A" w14:textId="77777777" w:rsidR="00C44356" w:rsidRPr="009E7076" w:rsidRDefault="00C44356" w:rsidP="00B00BDF">
            <w:pPr>
              <w:rPr>
                <w:rFonts w:ascii="Arial Narrow" w:hAnsi="Arial Narrow"/>
                <w:strike/>
                <w:sz w:val="20"/>
                <w:szCs w:val="20"/>
              </w:rPr>
            </w:pPr>
            <w:r w:rsidRPr="009E7076">
              <w:rPr>
                <w:rFonts w:ascii="Arial Narrow" w:hAnsi="Arial Narrow"/>
                <w:b/>
                <w:sz w:val="20"/>
                <w:szCs w:val="20"/>
              </w:rPr>
              <w:t xml:space="preserve">Restriction Type: </w:t>
            </w:r>
            <w:r w:rsidRPr="009E7076">
              <w:rPr>
                <w:rFonts w:ascii="Arial Narrow" w:hAnsi="Arial Narrow"/>
                <w:strike/>
                <w:sz w:val="20"/>
                <w:szCs w:val="20"/>
              </w:rPr>
              <w:fldChar w:fldCharType="begin">
                <w:ffData>
                  <w:name w:val="Check3"/>
                  <w:enabled/>
                  <w:calcOnExit w:val="0"/>
                  <w:checkBox>
                    <w:sizeAuto/>
                    <w:default w:val="1"/>
                  </w:checkBox>
                </w:ffData>
              </w:fldChar>
            </w:r>
            <w:r w:rsidRPr="009E7076">
              <w:rPr>
                <w:rFonts w:ascii="Arial Narrow" w:hAnsi="Arial Narrow"/>
                <w:strike/>
                <w:sz w:val="20"/>
                <w:szCs w:val="20"/>
              </w:rPr>
              <w:instrText xml:space="preserve"> FORMCHECKBOX </w:instrText>
            </w:r>
            <w:r w:rsidR="000B5D34">
              <w:rPr>
                <w:rFonts w:ascii="Arial Narrow" w:hAnsi="Arial Narrow"/>
                <w:strike/>
                <w:sz w:val="20"/>
                <w:szCs w:val="20"/>
              </w:rPr>
            </w:r>
            <w:r w:rsidR="000B5D34">
              <w:rPr>
                <w:rFonts w:ascii="Arial Narrow" w:hAnsi="Arial Narrow"/>
                <w:strike/>
                <w:sz w:val="20"/>
                <w:szCs w:val="20"/>
              </w:rPr>
              <w:fldChar w:fldCharType="separate"/>
            </w:r>
            <w:r w:rsidRPr="009E7076">
              <w:rPr>
                <w:rFonts w:ascii="Arial Narrow" w:hAnsi="Arial Narrow"/>
                <w:strike/>
                <w:sz w:val="20"/>
                <w:szCs w:val="20"/>
              </w:rPr>
              <w:fldChar w:fldCharType="end"/>
            </w:r>
            <w:r w:rsidRPr="009E7076">
              <w:rPr>
                <w:rFonts w:ascii="Arial Narrow" w:hAnsi="Arial Narrow"/>
                <w:strike/>
                <w:sz w:val="20"/>
                <w:szCs w:val="20"/>
              </w:rPr>
              <w:t xml:space="preserve">Authority Required – Telephone  </w:t>
            </w:r>
            <w:r w:rsidRPr="009E7076">
              <w:rPr>
                <w:rFonts w:ascii="Arial Narrow" w:hAnsi="Arial Narrow"/>
                <w:strike/>
                <w:sz w:val="20"/>
                <w:szCs w:val="20"/>
              </w:rPr>
              <w:fldChar w:fldCharType="begin">
                <w:ffData>
                  <w:name w:val=""/>
                  <w:enabled/>
                  <w:calcOnExit w:val="0"/>
                  <w:checkBox>
                    <w:sizeAuto/>
                    <w:default w:val="1"/>
                  </w:checkBox>
                </w:ffData>
              </w:fldChar>
            </w:r>
            <w:r w:rsidRPr="009E7076">
              <w:rPr>
                <w:rFonts w:ascii="Arial Narrow" w:hAnsi="Arial Narrow"/>
                <w:strike/>
                <w:sz w:val="20"/>
                <w:szCs w:val="20"/>
              </w:rPr>
              <w:instrText xml:space="preserve"> FORMCHECKBOX </w:instrText>
            </w:r>
            <w:r w:rsidR="000B5D34">
              <w:rPr>
                <w:rFonts w:ascii="Arial Narrow" w:hAnsi="Arial Narrow"/>
                <w:strike/>
                <w:sz w:val="20"/>
                <w:szCs w:val="20"/>
              </w:rPr>
            </w:r>
            <w:r w:rsidR="000B5D34">
              <w:rPr>
                <w:rFonts w:ascii="Arial Narrow" w:hAnsi="Arial Narrow"/>
                <w:strike/>
                <w:sz w:val="20"/>
                <w:szCs w:val="20"/>
              </w:rPr>
              <w:fldChar w:fldCharType="separate"/>
            </w:r>
            <w:r w:rsidRPr="009E7076">
              <w:rPr>
                <w:rFonts w:ascii="Arial Narrow" w:hAnsi="Arial Narrow"/>
                <w:strike/>
                <w:sz w:val="20"/>
                <w:szCs w:val="20"/>
              </w:rPr>
              <w:fldChar w:fldCharType="end"/>
            </w:r>
            <w:r w:rsidRPr="009E7076">
              <w:rPr>
                <w:rFonts w:ascii="Arial Narrow" w:hAnsi="Arial Narrow"/>
                <w:strike/>
                <w:sz w:val="20"/>
                <w:szCs w:val="20"/>
              </w:rPr>
              <w:t>Authority Required - Electronic</w:t>
            </w:r>
          </w:p>
          <w:p w14:paraId="20EB875F" w14:textId="77777777" w:rsidR="00C44356" w:rsidRPr="009E7076" w:rsidRDefault="00C44356" w:rsidP="00B00BDF">
            <w:pPr>
              <w:rPr>
                <w:rFonts w:ascii="Arial Narrow" w:eastAsia="Calibri" w:hAnsi="Arial Narrow"/>
                <w:sz w:val="20"/>
                <w:szCs w:val="20"/>
              </w:rPr>
            </w:pPr>
            <w:r w:rsidRPr="009E7076">
              <w:rPr>
                <w:rFonts w:ascii="Arial Narrow" w:eastAsia="Calibri" w:hAnsi="Arial Narrow"/>
                <w:sz w:val="20"/>
                <w:szCs w:val="20"/>
              </w:rPr>
              <w:fldChar w:fldCharType="begin">
                <w:ffData>
                  <w:name w:val=""/>
                  <w:enabled/>
                  <w:calcOnExit w:val="0"/>
                  <w:checkBox>
                    <w:sizeAuto/>
                    <w:default w:val="1"/>
                  </w:checkBox>
                </w:ffData>
              </w:fldChar>
            </w:r>
            <w:r w:rsidRPr="009E7076">
              <w:rPr>
                <w:rFonts w:ascii="Arial Narrow" w:eastAsia="Calibri" w:hAnsi="Arial Narrow"/>
                <w:sz w:val="20"/>
                <w:szCs w:val="20"/>
              </w:rPr>
              <w:instrText xml:space="preserve"> FORMCHECKBOX </w:instrText>
            </w:r>
            <w:r w:rsidR="000B5D34">
              <w:rPr>
                <w:rFonts w:ascii="Arial Narrow" w:eastAsia="Calibri" w:hAnsi="Arial Narrow"/>
                <w:sz w:val="20"/>
                <w:szCs w:val="20"/>
              </w:rPr>
            </w:r>
            <w:r w:rsidR="000B5D34">
              <w:rPr>
                <w:rFonts w:ascii="Arial Narrow" w:eastAsia="Calibri" w:hAnsi="Arial Narrow"/>
                <w:sz w:val="20"/>
                <w:szCs w:val="20"/>
              </w:rPr>
              <w:fldChar w:fldCharType="separate"/>
            </w:r>
            <w:r w:rsidRPr="009E7076">
              <w:rPr>
                <w:rFonts w:ascii="Arial Narrow" w:eastAsia="Calibri" w:hAnsi="Arial Narrow"/>
                <w:sz w:val="20"/>
                <w:szCs w:val="20"/>
              </w:rPr>
              <w:fldChar w:fldCharType="end"/>
            </w:r>
            <w:r w:rsidRPr="009E7076">
              <w:rPr>
                <w:rFonts w:ascii="Arial Narrow" w:eastAsia="Calibri" w:hAnsi="Arial Narrow"/>
                <w:i/>
                <w:sz w:val="20"/>
                <w:szCs w:val="20"/>
              </w:rPr>
              <w:t>Authority Required – Telephone/electronic via Online PBS Authorities</w:t>
            </w:r>
          </w:p>
        </w:tc>
      </w:tr>
      <w:tr w:rsidR="00C44356" w:rsidRPr="009E7076" w14:paraId="0F63B8E3"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6C631BA9"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31291051" w14:textId="77777777" w:rsidR="00C44356" w:rsidRPr="009E7076" w:rsidRDefault="00C44356" w:rsidP="00B00BDF">
            <w:pPr>
              <w:rPr>
                <w:rFonts w:ascii="Arial Narrow" w:hAnsi="Arial Narrow"/>
                <w:b/>
                <w:bCs/>
                <w:sz w:val="20"/>
                <w:szCs w:val="20"/>
              </w:rPr>
            </w:pPr>
            <w:r w:rsidRPr="009E7076">
              <w:rPr>
                <w:rFonts w:ascii="Arial Narrow" w:hAnsi="Arial Narrow"/>
                <w:b/>
                <w:bCs/>
                <w:sz w:val="20"/>
                <w:szCs w:val="20"/>
              </w:rPr>
              <w:t xml:space="preserve">Condition: </w:t>
            </w:r>
            <w:r w:rsidRPr="009E7076">
              <w:rPr>
                <w:rFonts w:ascii="Arial Narrow" w:hAnsi="Arial Narrow"/>
                <w:bCs/>
                <w:strike/>
                <w:sz w:val="20"/>
                <w:szCs w:val="20"/>
              </w:rPr>
              <w:t>Previously untreated de novo</w:t>
            </w:r>
            <w:r w:rsidRPr="009E7076">
              <w:rPr>
                <w:rFonts w:ascii="Arial Narrow" w:hAnsi="Arial Narrow"/>
                <w:bCs/>
                <w:sz w:val="20"/>
                <w:szCs w:val="20"/>
              </w:rPr>
              <w:t xml:space="preserve"> Acute Myeloid Leukaemia </w:t>
            </w:r>
            <w:r w:rsidRPr="009E7076">
              <w:rPr>
                <w:rFonts w:ascii="Arial Narrow" w:hAnsi="Arial Narrow"/>
                <w:bCs/>
                <w:strike/>
                <w:sz w:val="20"/>
                <w:szCs w:val="20"/>
              </w:rPr>
              <w:t>(AML)</w:t>
            </w:r>
          </w:p>
        </w:tc>
      </w:tr>
      <w:tr w:rsidR="00C44356" w:rsidRPr="009E7076" w14:paraId="797426D9"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7FB89E8C" w14:textId="77777777" w:rsidR="00C44356" w:rsidRPr="009E7076" w:rsidRDefault="00C44356" w:rsidP="00B00BDF">
            <w:pPr>
              <w:jc w:val="center"/>
              <w:rPr>
                <w:rFonts w:ascii="Arial Narrow" w:hAnsi="Arial Narrow"/>
                <w:sz w:val="20"/>
                <w:szCs w:val="20"/>
              </w:rPr>
            </w:pPr>
          </w:p>
        </w:tc>
        <w:tc>
          <w:tcPr>
            <w:tcW w:w="8032" w:type="dxa"/>
            <w:gridSpan w:val="5"/>
            <w:vAlign w:val="center"/>
            <w:hideMark/>
          </w:tcPr>
          <w:p w14:paraId="68A76900" w14:textId="77777777" w:rsidR="00C44356" w:rsidRPr="009E7076" w:rsidRDefault="00C44356" w:rsidP="00B00BDF">
            <w:pPr>
              <w:rPr>
                <w:rFonts w:ascii="Arial Narrow" w:hAnsi="Arial Narrow"/>
                <w:sz w:val="20"/>
                <w:szCs w:val="20"/>
              </w:rPr>
            </w:pPr>
            <w:r w:rsidRPr="009E7076">
              <w:rPr>
                <w:rFonts w:ascii="Arial Narrow" w:hAnsi="Arial Narrow"/>
                <w:b/>
                <w:bCs/>
                <w:sz w:val="20"/>
                <w:szCs w:val="20"/>
              </w:rPr>
              <w:t>Indication:</w:t>
            </w:r>
            <w:r w:rsidRPr="009E7076">
              <w:rPr>
                <w:rFonts w:ascii="Arial Narrow" w:hAnsi="Arial Narrow"/>
                <w:sz w:val="20"/>
                <w:szCs w:val="20"/>
              </w:rPr>
              <w:t xml:space="preserve"> </w:t>
            </w:r>
            <w:r w:rsidRPr="009E7076">
              <w:rPr>
                <w:rFonts w:ascii="Arial Narrow" w:hAnsi="Arial Narrow"/>
                <w:bCs/>
                <w:i/>
                <w:sz w:val="20"/>
                <w:szCs w:val="20"/>
              </w:rPr>
              <w:t>Acute Myeloid Leukaemia</w:t>
            </w:r>
          </w:p>
        </w:tc>
      </w:tr>
      <w:tr w:rsidR="00C44356" w:rsidRPr="009E7076" w14:paraId="54ED7A27"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78034AB7" w14:textId="77777777" w:rsidR="00C44356" w:rsidRPr="009E7076" w:rsidRDefault="00C44356" w:rsidP="00B00BDF">
            <w:pPr>
              <w:jc w:val="center"/>
              <w:rPr>
                <w:rFonts w:ascii="Arial Narrow" w:hAnsi="Arial Narrow"/>
                <w:sz w:val="20"/>
                <w:szCs w:val="20"/>
              </w:rPr>
            </w:pPr>
          </w:p>
        </w:tc>
        <w:tc>
          <w:tcPr>
            <w:tcW w:w="8032" w:type="dxa"/>
            <w:gridSpan w:val="5"/>
            <w:vAlign w:val="center"/>
            <w:hideMark/>
          </w:tcPr>
          <w:p w14:paraId="3156404C" w14:textId="77777777" w:rsidR="00C44356" w:rsidRPr="009E7076" w:rsidRDefault="00C44356" w:rsidP="00B00BDF">
            <w:pPr>
              <w:rPr>
                <w:rFonts w:ascii="Arial Narrow" w:hAnsi="Arial Narrow"/>
                <w:sz w:val="20"/>
                <w:szCs w:val="20"/>
              </w:rPr>
            </w:pPr>
            <w:r w:rsidRPr="009E7076">
              <w:rPr>
                <w:rFonts w:ascii="Arial Narrow" w:hAnsi="Arial Narrow"/>
                <w:b/>
                <w:bCs/>
                <w:sz w:val="20"/>
                <w:szCs w:val="20"/>
              </w:rPr>
              <w:t>Treatment Phase:</w:t>
            </w:r>
            <w:r w:rsidRPr="009E7076">
              <w:rPr>
                <w:rFonts w:ascii="Arial Narrow" w:hAnsi="Arial Narrow"/>
                <w:sz w:val="20"/>
                <w:szCs w:val="20"/>
              </w:rPr>
              <w:t xml:space="preserve"> Consolidation treatment</w:t>
            </w:r>
          </w:p>
        </w:tc>
      </w:tr>
      <w:tr w:rsidR="00C44356" w:rsidRPr="009E7076" w14:paraId="417DBDED"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3573FC24" w14:textId="77777777" w:rsidR="00C44356" w:rsidRPr="009E7076" w:rsidRDefault="00C44356" w:rsidP="00B00BDF">
            <w:pPr>
              <w:jc w:val="center"/>
              <w:rPr>
                <w:rFonts w:ascii="Arial Narrow" w:hAnsi="Arial Narrow"/>
                <w:sz w:val="20"/>
                <w:szCs w:val="20"/>
              </w:rPr>
            </w:pPr>
          </w:p>
        </w:tc>
        <w:tc>
          <w:tcPr>
            <w:tcW w:w="8032" w:type="dxa"/>
            <w:gridSpan w:val="5"/>
            <w:vAlign w:val="center"/>
            <w:hideMark/>
          </w:tcPr>
          <w:p w14:paraId="3D9CBFFA" w14:textId="77777777" w:rsidR="00C44356" w:rsidRPr="009E7076" w:rsidRDefault="00C44356" w:rsidP="00B00BDF">
            <w:pPr>
              <w:rPr>
                <w:rFonts w:ascii="Arial Narrow" w:hAnsi="Arial Narrow"/>
                <w:sz w:val="20"/>
                <w:szCs w:val="20"/>
              </w:rPr>
            </w:pPr>
            <w:r w:rsidRPr="009E7076">
              <w:rPr>
                <w:rFonts w:ascii="Arial Narrow" w:hAnsi="Arial Narrow"/>
                <w:b/>
                <w:bCs/>
                <w:sz w:val="20"/>
                <w:szCs w:val="20"/>
              </w:rPr>
              <w:t>Clinical criteria:</w:t>
            </w:r>
          </w:p>
        </w:tc>
      </w:tr>
      <w:tr w:rsidR="00C44356" w:rsidRPr="009E7076" w14:paraId="58F03C4C"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0FEBFA5A"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6AF00C95" w14:textId="77777777" w:rsidR="00C44356" w:rsidRPr="009E7076" w:rsidRDefault="00C44356" w:rsidP="00B00BDF">
            <w:pPr>
              <w:rPr>
                <w:rFonts w:ascii="Arial Narrow" w:hAnsi="Arial Narrow"/>
                <w:strike/>
                <w:sz w:val="20"/>
                <w:szCs w:val="20"/>
              </w:rPr>
            </w:pPr>
            <w:r w:rsidRPr="009E7076">
              <w:rPr>
                <w:rFonts w:ascii="Arial Narrow" w:hAnsi="Arial Narrow"/>
                <w:strike/>
                <w:sz w:val="20"/>
                <w:szCs w:val="20"/>
              </w:rPr>
              <w:t>The treatment must be for consolidation treatment following induction treatment with gemtuzumab ozogamicin in combination with chemotherapy,</w:t>
            </w:r>
          </w:p>
          <w:p w14:paraId="161FB1AF" w14:textId="77777777" w:rsidR="00C44356" w:rsidRPr="009E7076" w:rsidRDefault="00C44356" w:rsidP="00B00BDF">
            <w:pPr>
              <w:rPr>
                <w:rFonts w:ascii="Arial Narrow" w:hAnsi="Arial Narrow"/>
                <w:i/>
                <w:iCs/>
                <w:sz w:val="20"/>
                <w:szCs w:val="20"/>
              </w:rPr>
            </w:pPr>
            <w:r w:rsidRPr="009E7076">
              <w:rPr>
                <w:rFonts w:ascii="Arial Narrow" w:hAnsi="Arial Narrow"/>
                <w:i/>
                <w:sz w:val="20"/>
                <w:szCs w:val="20"/>
              </w:rPr>
              <w:t>Patient must have achieved a complete remission following induction treatment with this drug for this condition</w:t>
            </w:r>
          </w:p>
        </w:tc>
      </w:tr>
      <w:tr w:rsidR="00C44356" w:rsidRPr="009E7076" w14:paraId="17E0EBF1"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13461285"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024122CE" w14:textId="77777777" w:rsidR="00C44356" w:rsidRPr="009E7076" w:rsidRDefault="00C44356" w:rsidP="00B00BDF">
            <w:pPr>
              <w:rPr>
                <w:rFonts w:ascii="Arial Narrow" w:hAnsi="Arial Narrow"/>
                <w:b/>
                <w:bCs/>
                <w:sz w:val="20"/>
                <w:szCs w:val="20"/>
              </w:rPr>
            </w:pPr>
            <w:r w:rsidRPr="009E7076">
              <w:rPr>
                <w:rFonts w:ascii="Arial Narrow" w:hAnsi="Arial Narrow"/>
                <w:b/>
                <w:bCs/>
                <w:sz w:val="20"/>
                <w:szCs w:val="20"/>
              </w:rPr>
              <w:t>AND</w:t>
            </w:r>
          </w:p>
        </w:tc>
      </w:tr>
      <w:tr w:rsidR="00C44356" w:rsidRPr="009E7076" w14:paraId="7F154071"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2AC82B63"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5C352D3C" w14:textId="77777777" w:rsidR="00C44356" w:rsidRPr="009E7076" w:rsidRDefault="00C44356" w:rsidP="00B00BDF">
            <w:pPr>
              <w:rPr>
                <w:rFonts w:ascii="Arial Narrow" w:hAnsi="Arial Narrow"/>
                <w:b/>
                <w:bCs/>
                <w:sz w:val="20"/>
                <w:szCs w:val="20"/>
              </w:rPr>
            </w:pPr>
            <w:r w:rsidRPr="009E7076">
              <w:rPr>
                <w:rFonts w:ascii="Arial Narrow" w:hAnsi="Arial Narrow"/>
                <w:b/>
                <w:bCs/>
                <w:sz w:val="20"/>
                <w:szCs w:val="20"/>
              </w:rPr>
              <w:t>Clinical criteria:</w:t>
            </w:r>
          </w:p>
        </w:tc>
      </w:tr>
      <w:tr w:rsidR="00C44356" w:rsidRPr="009E7076" w14:paraId="51D88183"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6D563399"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1F065ADD" w14:textId="77777777" w:rsidR="00C44356" w:rsidRPr="009E7076" w:rsidRDefault="00C44356" w:rsidP="00B00BDF">
            <w:pPr>
              <w:rPr>
                <w:rFonts w:ascii="Arial Narrow" w:hAnsi="Arial Narrow"/>
                <w:sz w:val="20"/>
                <w:szCs w:val="20"/>
              </w:rPr>
            </w:pPr>
            <w:r w:rsidRPr="009E7076">
              <w:rPr>
                <w:rFonts w:ascii="Arial Narrow" w:hAnsi="Arial Narrow"/>
                <w:sz w:val="20"/>
                <w:szCs w:val="20"/>
              </w:rPr>
              <w:t>The treatment must be in combination with standard intensive remission consolidation chemotherapy for this condition,</w:t>
            </w:r>
          </w:p>
        </w:tc>
      </w:tr>
      <w:tr w:rsidR="00C44356" w:rsidRPr="009E7076" w14:paraId="711FC066"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79ED6563"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23578F43" w14:textId="77777777" w:rsidR="00C44356" w:rsidRPr="009E7076" w:rsidRDefault="00C44356" w:rsidP="00B00BDF">
            <w:pPr>
              <w:rPr>
                <w:rFonts w:ascii="Arial Narrow" w:hAnsi="Arial Narrow"/>
                <w:strike/>
                <w:sz w:val="20"/>
                <w:szCs w:val="20"/>
              </w:rPr>
            </w:pPr>
            <w:r w:rsidRPr="009E7076">
              <w:rPr>
                <w:rFonts w:ascii="Arial Narrow" w:hAnsi="Arial Narrow"/>
                <w:b/>
                <w:bCs/>
                <w:strike/>
                <w:sz w:val="20"/>
                <w:szCs w:val="20"/>
              </w:rPr>
              <w:t>AND</w:t>
            </w:r>
          </w:p>
        </w:tc>
      </w:tr>
      <w:tr w:rsidR="00C44356" w:rsidRPr="009E7076" w14:paraId="0438E19A"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6A24F8B2"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2765B762" w14:textId="77777777" w:rsidR="00C44356" w:rsidRPr="009E7076" w:rsidRDefault="00C44356" w:rsidP="00B00BDF">
            <w:pPr>
              <w:rPr>
                <w:rFonts w:ascii="Arial Narrow" w:hAnsi="Arial Narrow"/>
                <w:b/>
                <w:bCs/>
                <w:strike/>
                <w:sz w:val="20"/>
                <w:szCs w:val="20"/>
              </w:rPr>
            </w:pPr>
            <w:r w:rsidRPr="009E7076">
              <w:rPr>
                <w:rFonts w:ascii="Arial Narrow" w:hAnsi="Arial Narrow"/>
                <w:b/>
                <w:bCs/>
                <w:strike/>
                <w:sz w:val="20"/>
                <w:szCs w:val="20"/>
              </w:rPr>
              <w:t>Clinical criteria:</w:t>
            </w:r>
          </w:p>
        </w:tc>
      </w:tr>
      <w:tr w:rsidR="00C44356" w:rsidRPr="009E7076" w14:paraId="214D8939"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153390DD" w14:textId="77777777" w:rsidR="00C44356" w:rsidRPr="009E7076" w:rsidRDefault="00C44356" w:rsidP="00B00BDF">
            <w:pPr>
              <w:jc w:val="center"/>
              <w:rPr>
                <w:rFonts w:ascii="Arial Narrow" w:hAnsi="Arial Narrow"/>
                <w:sz w:val="20"/>
                <w:szCs w:val="20"/>
              </w:rPr>
            </w:pPr>
          </w:p>
        </w:tc>
        <w:tc>
          <w:tcPr>
            <w:tcW w:w="8032" w:type="dxa"/>
            <w:gridSpan w:val="5"/>
            <w:vAlign w:val="center"/>
            <w:hideMark/>
          </w:tcPr>
          <w:p w14:paraId="76491F6F" w14:textId="77777777" w:rsidR="00C44356" w:rsidRPr="009E7076" w:rsidRDefault="00C44356" w:rsidP="00B00BDF">
            <w:pPr>
              <w:rPr>
                <w:rFonts w:ascii="Arial Narrow" w:hAnsi="Arial Narrow"/>
                <w:strike/>
                <w:sz w:val="20"/>
                <w:szCs w:val="20"/>
              </w:rPr>
            </w:pPr>
            <w:r w:rsidRPr="009E7076">
              <w:rPr>
                <w:rFonts w:ascii="Arial Narrow" w:hAnsi="Arial Narrow"/>
                <w:strike/>
                <w:sz w:val="20"/>
                <w:szCs w:val="20"/>
              </w:rPr>
              <w:t>Patient must have achieved a complete remission</w:t>
            </w:r>
          </w:p>
          <w:p w14:paraId="6E47EB85" w14:textId="77777777" w:rsidR="00C44356" w:rsidRPr="009E7076" w:rsidRDefault="00C44356" w:rsidP="00B00BDF">
            <w:pPr>
              <w:rPr>
                <w:rFonts w:ascii="Arial Narrow" w:hAnsi="Arial Narrow"/>
                <w:strike/>
                <w:sz w:val="20"/>
                <w:szCs w:val="20"/>
              </w:rPr>
            </w:pPr>
            <w:r w:rsidRPr="009E7076">
              <w:rPr>
                <w:rFonts w:ascii="Arial Narrow" w:hAnsi="Arial Narrow"/>
                <w:strike/>
                <w:sz w:val="20"/>
                <w:szCs w:val="20"/>
              </w:rPr>
              <w:t>A maximum of 2 consolidation cycles will be authorised under this restriction in a lifetime.</w:t>
            </w:r>
          </w:p>
          <w:p w14:paraId="58233371" w14:textId="77777777" w:rsidR="00C44356" w:rsidRPr="009E7076" w:rsidRDefault="00C44356" w:rsidP="00B00BDF">
            <w:pPr>
              <w:rPr>
                <w:rFonts w:ascii="Arial Narrow" w:hAnsi="Arial Narrow"/>
                <w:strike/>
                <w:sz w:val="20"/>
                <w:szCs w:val="20"/>
              </w:rPr>
            </w:pPr>
            <w:r w:rsidRPr="009E7076">
              <w:rPr>
                <w:rFonts w:ascii="Arial Narrow" w:hAnsi="Arial Narrow"/>
                <w:strike/>
                <w:sz w:val="20"/>
                <w:szCs w:val="20"/>
              </w:rPr>
              <w:t>A patient who has progressive disease when treated with this drug is no longer eligible for PBS-subsidised treatment with this drug.</w:t>
            </w:r>
          </w:p>
          <w:p w14:paraId="59796611" w14:textId="77777777" w:rsidR="00C44356" w:rsidRPr="009E7076" w:rsidRDefault="00C44356" w:rsidP="00B00BDF">
            <w:pPr>
              <w:rPr>
                <w:rFonts w:ascii="Arial Narrow" w:hAnsi="Arial Narrow"/>
                <w:sz w:val="20"/>
                <w:szCs w:val="20"/>
              </w:rPr>
            </w:pPr>
            <w:r w:rsidRPr="009E7076">
              <w:rPr>
                <w:rFonts w:ascii="Arial Narrow" w:hAnsi="Arial Narrow"/>
                <w:strike/>
                <w:sz w:val="20"/>
                <w:szCs w:val="20"/>
              </w:rPr>
              <w:t>Standard intensive remission induction combination chemotherapy must include cytarabine and an anthracycline.</w:t>
            </w:r>
          </w:p>
        </w:tc>
      </w:tr>
      <w:tr w:rsidR="00C44356" w:rsidRPr="009E7076" w14:paraId="73FC490F"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36960A87" w14:textId="77777777" w:rsidR="00C44356" w:rsidRPr="009E7076" w:rsidRDefault="00C44356" w:rsidP="00B00BDF">
            <w:pPr>
              <w:jc w:val="center"/>
              <w:rPr>
                <w:rFonts w:ascii="Arial Narrow" w:hAnsi="Arial Narrow"/>
                <w:sz w:val="20"/>
                <w:szCs w:val="20"/>
              </w:rPr>
            </w:pPr>
          </w:p>
        </w:tc>
        <w:tc>
          <w:tcPr>
            <w:tcW w:w="8032" w:type="dxa"/>
            <w:gridSpan w:val="5"/>
            <w:vAlign w:val="center"/>
            <w:hideMark/>
          </w:tcPr>
          <w:p w14:paraId="351EA713" w14:textId="77777777" w:rsidR="00C44356" w:rsidRPr="009E7076" w:rsidRDefault="00C44356" w:rsidP="00B00BDF">
            <w:pPr>
              <w:rPr>
                <w:rFonts w:ascii="Arial Narrow" w:hAnsi="Arial Narrow"/>
                <w:strike/>
                <w:sz w:val="20"/>
                <w:szCs w:val="20"/>
              </w:rPr>
            </w:pPr>
            <w:r w:rsidRPr="009E7076">
              <w:rPr>
                <w:rFonts w:ascii="Arial Narrow" w:hAnsi="Arial Narrow"/>
                <w:b/>
                <w:bCs/>
                <w:strike/>
                <w:sz w:val="20"/>
                <w:szCs w:val="20"/>
              </w:rPr>
              <w:t>Treatment criteria:</w:t>
            </w:r>
          </w:p>
        </w:tc>
      </w:tr>
      <w:tr w:rsidR="00C44356" w:rsidRPr="009E7076" w14:paraId="60B0C816"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308BB764" w14:textId="77777777" w:rsidR="00C44356" w:rsidRPr="009E7076" w:rsidRDefault="00C44356" w:rsidP="00B00BDF">
            <w:pPr>
              <w:jc w:val="center"/>
              <w:rPr>
                <w:rFonts w:ascii="Arial Narrow" w:hAnsi="Arial Narrow"/>
                <w:sz w:val="20"/>
                <w:szCs w:val="20"/>
              </w:rPr>
            </w:pPr>
          </w:p>
        </w:tc>
        <w:tc>
          <w:tcPr>
            <w:tcW w:w="8032" w:type="dxa"/>
            <w:gridSpan w:val="5"/>
            <w:vAlign w:val="center"/>
            <w:hideMark/>
          </w:tcPr>
          <w:p w14:paraId="7B074361" w14:textId="77777777" w:rsidR="00C44356" w:rsidRPr="009E7076" w:rsidRDefault="00C44356" w:rsidP="00B00BDF">
            <w:pPr>
              <w:autoSpaceDE w:val="0"/>
              <w:autoSpaceDN w:val="0"/>
              <w:adjustRightInd w:val="0"/>
              <w:rPr>
                <w:rFonts w:ascii="Arial Narrow" w:hAnsi="Arial Narrow" w:cs="Arial Narrow"/>
                <w:iCs/>
                <w:strike/>
                <w:sz w:val="20"/>
                <w:szCs w:val="20"/>
              </w:rPr>
            </w:pPr>
            <w:r w:rsidRPr="009E7076">
              <w:rPr>
                <w:rFonts w:ascii="Arial Narrow" w:hAnsi="Arial Narrow" w:cs="Arial Narrow"/>
                <w:iCs/>
                <w:strike/>
                <w:sz w:val="20"/>
                <w:szCs w:val="20"/>
              </w:rPr>
              <w:t>This drug is not PBS-subsidised if it is prescribed to an in-patient in a public hospital setting.</w:t>
            </w:r>
          </w:p>
        </w:tc>
      </w:tr>
      <w:tr w:rsidR="00C44356" w:rsidRPr="009E7076" w14:paraId="5EC7E7D6"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78F8EAE6"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005883E0" w14:textId="77777777" w:rsidR="00C44356" w:rsidRPr="009E7076" w:rsidRDefault="00C44356" w:rsidP="00B00BDF">
            <w:pPr>
              <w:autoSpaceDE w:val="0"/>
              <w:autoSpaceDN w:val="0"/>
              <w:adjustRightInd w:val="0"/>
              <w:rPr>
                <w:rFonts w:ascii="Arial Narrow" w:hAnsi="Arial Narrow" w:cs="Arial Narrow"/>
                <w:i/>
                <w:iCs/>
                <w:strike/>
                <w:sz w:val="20"/>
                <w:szCs w:val="20"/>
              </w:rPr>
            </w:pPr>
            <w:r w:rsidRPr="009E7076">
              <w:rPr>
                <w:rFonts w:ascii="Arial Narrow" w:hAnsi="Arial Narrow"/>
                <w:b/>
                <w:bCs/>
                <w:i/>
                <w:iCs/>
                <w:sz w:val="20"/>
                <w:szCs w:val="20"/>
              </w:rPr>
              <w:t>Prescribing Instructions:</w:t>
            </w:r>
            <w:r w:rsidRPr="009E7076">
              <w:rPr>
                <w:rFonts w:ascii="Arial Narrow" w:hAnsi="Arial Narrow"/>
                <w:i/>
                <w:iCs/>
                <w:sz w:val="20"/>
                <w:szCs w:val="20"/>
              </w:rPr>
              <w:t xml:space="preserve"> This drug is not PBS-subsidised if it is prescribed to an in-patient in a public hospital setting.</w:t>
            </w:r>
          </w:p>
        </w:tc>
      </w:tr>
      <w:tr w:rsidR="00C44356" w:rsidRPr="009E7076" w14:paraId="525EDE78"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3615F72D"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03B859EF" w14:textId="77777777" w:rsidR="00C44356" w:rsidRPr="009E7076" w:rsidRDefault="00C44356" w:rsidP="00B00BDF">
            <w:pPr>
              <w:rPr>
                <w:rFonts w:ascii="Arial Narrow" w:hAnsi="Arial Narrow"/>
                <w:i/>
                <w:iCs/>
                <w:sz w:val="20"/>
                <w:szCs w:val="20"/>
              </w:rPr>
            </w:pPr>
            <w:r w:rsidRPr="009E7076">
              <w:rPr>
                <w:rFonts w:ascii="Arial Narrow" w:hAnsi="Arial Narrow"/>
                <w:b/>
                <w:bCs/>
                <w:i/>
                <w:iCs/>
                <w:sz w:val="20"/>
                <w:szCs w:val="20"/>
              </w:rPr>
              <w:t>Prescribing Instructions:</w:t>
            </w:r>
            <w:r w:rsidRPr="009E7076">
              <w:rPr>
                <w:rFonts w:ascii="Arial Narrow" w:hAnsi="Arial Narrow"/>
                <w:i/>
                <w:iCs/>
                <w:sz w:val="20"/>
                <w:szCs w:val="20"/>
              </w:rPr>
              <w:t xml:space="preserve"> A patient who has progressive disease when treated with this drug is no longer eligible for PBS-subsidised treatment with this drug.</w:t>
            </w:r>
          </w:p>
        </w:tc>
      </w:tr>
      <w:tr w:rsidR="00C44356" w:rsidRPr="009E7076" w14:paraId="25D44019"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1C8987B9"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63288DC9" w14:textId="77777777" w:rsidR="00C44356" w:rsidRPr="009E7076" w:rsidRDefault="00C44356" w:rsidP="00B00BDF">
            <w:pPr>
              <w:rPr>
                <w:rFonts w:ascii="Arial Narrow" w:hAnsi="Arial Narrow"/>
                <w:i/>
                <w:iCs/>
                <w:sz w:val="20"/>
                <w:szCs w:val="20"/>
              </w:rPr>
            </w:pPr>
            <w:r w:rsidRPr="009E7076">
              <w:rPr>
                <w:rFonts w:ascii="Arial Narrow" w:hAnsi="Arial Narrow"/>
                <w:b/>
                <w:bCs/>
                <w:i/>
                <w:iCs/>
                <w:sz w:val="20"/>
                <w:szCs w:val="20"/>
              </w:rPr>
              <w:t>Prescribing Instructions:</w:t>
            </w:r>
            <w:r w:rsidRPr="009E7076">
              <w:rPr>
                <w:rFonts w:ascii="Arial Narrow" w:hAnsi="Arial Narrow"/>
                <w:i/>
                <w:iCs/>
                <w:sz w:val="20"/>
                <w:szCs w:val="20"/>
              </w:rPr>
              <w:t xml:space="preserve"> Standard intensive remission consolidation combination chemotherapy must include cytarabine and an anthracycline.</w:t>
            </w:r>
          </w:p>
        </w:tc>
      </w:tr>
      <w:tr w:rsidR="00C44356" w:rsidRPr="009E7076" w14:paraId="353D9B6C"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5AABBE05"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09A5B5D6" w14:textId="77777777" w:rsidR="00C44356" w:rsidRPr="009E7076" w:rsidRDefault="00C44356" w:rsidP="00B00BDF">
            <w:pPr>
              <w:rPr>
                <w:rFonts w:ascii="Arial Narrow" w:hAnsi="Arial Narrow"/>
                <w:i/>
                <w:iCs/>
                <w:sz w:val="20"/>
                <w:szCs w:val="20"/>
              </w:rPr>
            </w:pPr>
            <w:r w:rsidRPr="009E7076">
              <w:rPr>
                <w:rFonts w:ascii="Arial Narrow" w:hAnsi="Arial Narrow"/>
                <w:b/>
                <w:bCs/>
                <w:i/>
                <w:iCs/>
                <w:sz w:val="20"/>
                <w:szCs w:val="20"/>
              </w:rPr>
              <w:t>Prescribing Instructions:</w:t>
            </w:r>
            <w:r w:rsidRPr="009E7076">
              <w:rPr>
                <w:rFonts w:ascii="Arial Narrow" w:hAnsi="Arial Narrow"/>
                <w:i/>
                <w:iCs/>
                <w:sz w:val="20"/>
                <w:szCs w:val="20"/>
              </w:rPr>
              <w:t xml:space="preserve"> Complete remission following induction is defined as fewer than 5% blasts in a normocellular marrow and an absolute neutrophil count of more than 1.0 × 10</w:t>
            </w:r>
            <w:r w:rsidRPr="009E7076">
              <w:rPr>
                <w:rFonts w:ascii="Arial Narrow" w:hAnsi="Arial Narrow"/>
                <w:i/>
                <w:iCs/>
                <w:sz w:val="20"/>
                <w:szCs w:val="20"/>
                <w:vertAlign w:val="superscript"/>
              </w:rPr>
              <w:t>9</w:t>
            </w:r>
            <w:r w:rsidRPr="009E7076">
              <w:rPr>
                <w:rFonts w:ascii="Arial Narrow" w:hAnsi="Arial Narrow"/>
                <w:i/>
                <w:iCs/>
                <w:sz w:val="20"/>
                <w:szCs w:val="20"/>
              </w:rPr>
              <w:t xml:space="preserve"> cells/L with a platelet count of 100 × 10</w:t>
            </w:r>
            <w:r w:rsidRPr="009E7076">
              <w:rPr>
                <w:rFonts w:ascii="Arial Narrow" w:hAnsi="Arial Narrow"/>
                <w:i/>
                <w:iCs/>
                <w:sz w:val="20"/>
                <w:szCs w:val="20"/>
                <w:vertAlign w:val="superscript"/>
              </w:rPr>
              <w:t>9</w:t>
            </w:r>
            <w:r w:rsidRPr="009E7076">
              <w:rPr>
                <w:rFonts w:ascii="Arial Narrow" w:hAnsi="Arial Narrow"/>
                <w:i/>
                <w:iCs/>
                <w:sz w:val="20"/>
                <w:szCs w:val="20"/>
              </w:rPr>
              <w:t>/L or more in the peripheral blood in the absence of transfusion.</w:t>
            </w:r>
          </w:p>
        </w:tc>
      </w:tr>
      <w:tr w:rsidR="00C44356" w:rsidRPr="009E7076" w14:paraId="3325766E"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17805F6B" w14:textId="77777777" w:rsidR="00C44356" w:rsidRPr="009E7076" w:rsidRDefault="00C44356" w:rsidP="00B00BDF">
            <w:pPr>
              <w:jc w:val="center"/>
              <w:rPr>
                <w:rFonts w:ascii="Arial Narrow" w:hAnsi="Arial Narrow"/>
                <w:sz w:val="20"/>
                <w:szCs w:val="20"/>
              </w:rPr>
            </w:pPr>
          </w:p>
        </w:tc>
        <w:tc>
          <w:tcPr>
            <w:tcW w:w="8032" w:type="dxa"/>
            <w:gridSpan w:val="5"/>
            <w:vAlign w:val="center"/>
            <w:hideMark/>
          </w:tcPr>
          <w:p w14:paraId="32D955E7" w14:textId="77777777" w:rsidR="00C44356" w:rsidRPr="009E7076" w:rsidRDefault="00C44356" w:rsidP="00B00BDF">
            <w:pPr>
              <w:rPr>
                <w:rFonts w:ascii="Arial Narrow" w:hAnsi="Arial Narrow"/>
                <w:i/>
                <w:iCs/>
                <w:sz w:val="20"/>
                <w:szCs w:val="20"/>
              </w:rPr>
            </w:pPr>
            <w:r w:rsidRPr="009E7076">
              <w:rPr>
                <w:rFonts w:ascii="Arial Narrow" w:hAnsi="Arial Narrow"/>
                <w:b/>
                <w:bCs/>
                <w:i/>
                <w:iCs/>
                <w:sz w:val="20"/>
                <w:szCs w:val="20"/>
              </w:rPr>
              <w:t>Prescribing Instructions:</w:t>
            </w:r>
            <w:r w:rsidRPr="009E7076">
              <w:rPr>
                <w:rFonts w:ascii="Arial Narrow" w:hAnsi="Arial Narrow"/>
                <w:i/>
                <w:iCs/>
                <w:sz w:val="20"/>
                <w:szCs w:val="20"/>
              </w:rPr>
              <w:t xml:space="preserve"> </w:t>
            </w:r>
          </w:p>
          <w:p w14:paraId="56C14413" w14:textId="77777777" w:rsidR="00C44356" w:rsidRPr="009E7076" w:rsidRDefault="00C44356" w:rsidP="00B00BDF">
            <w:pPr>
              <w:rPr>
                <w:rFonts w:ascii="Arial Narrow" w:hAnsi="Arial Narrow"/>
                <w:i/>
                <w:iCs/>
                <w:sz w:val="20"/>
                <w:szCs w:val="20"/>
              </w:rPr>
            </w:pPr>
            <w:r w:rsidRPr="009E7076">
              <w:rPr>
                <w:rFonts w:ascii="Arial Narrow" w:hAnsi="Arial Narrow"/>
                <w:i/>
                <w:iCs/>
                <w:sz w:val="20"/>
                <w:szCs w:val="20"/>
              </w:rPr>
              <w:t>Progressive disease is defined as the presence of any of the following:</w:t>
            </w:r>
          </w:p>
          <w:p w14:paraId="4F5D7FD7" w14:textId="77777777" w:rsidR="00C44356" w:rsidRPr="009E7076" w:rsidRDefault="00C44356" w:rsidP="00B00BDF">
            <w:pPr>
              <w:rPr>
                <w:rFonts w:ascii="Arial Narrow" w:hAnsi="Arial Narrow"/>
                <w:i/>
                <w:iCs/>
                <w:sz w:val="20"/>
                <w:szCs w:val="20"/>
              </w:rPr>
            </w:pPr>
            <w:r w:rsidRPr="009E7076">
              <w:rPr>
                <w:rFonts w:ascii="Arial Narrow" w:hAnsi="Arial Narrow"/>
                <w:i/>
                <w:iCs/>
                <w:sz w:val="20"/>
                <w:szCs w:val="20"/>
              </w:rPr>
              <w:t>•Leukaemic cells in the CSF;</w:t>
            </w:r>
          </w:p>
          <w:p w14:paraId="50FE4D5F" w14:textId="77777777" w:rsidR="00C44356" w:rsidRPr="009E7076" w:rsidRDefault="00C44356" w:rsidP="00B00BDF">
            <w:pPr>
              <w:rPr>
                <w:rFonts w:ascii="Arial Narrow" w:hAnsi="Arial Narrow"/>
                <w:i/>
                <w:iCs/>
                <w:sz w:val="20"/>
                <w:szCs w:val="20"/>
              </w:rPr>
            </w:pPr>
            <w:r w:rsidRPr="009E7076">
              <w:rPr>
                <w:rFonts w:ascii="Arial Narrow" w:hAnsi="Arial Narrow"/>
                <w:i/>
                <w:iCs/>
                <w:sz w:val="20"/>
                <w:szCs w:val="20"/>
              </w:rPr>
              <w:t xml:space="preserve">•Re-appearance of circulating blast cells in the peripheral blood, not attributable to overshoot following recovery from myeloablative therapy; </w:t>
            </w:r>
          </w:p>
          <w:p w14:paraId="46EB0F6D" w14:textId="77777777" w:rsidR="00C44356" w:rsidRPr="009E7076" w:rsidRDefault="00C44356" w:rsidP="00B00BDF">
            <w:pPr>
              <w:rPr>
                <w:rFonts w:ascii="Arial Narrow" w:hAnsi="Arial Narrow"/>
                <w:i/>
                <w:iCs/>
                <w:sz w:val="20"/>
                <w:szCs w:val="20"/>
              </w:rPr>
            </w:pPr>
            <w:r w:rsidRPr="009E7076">
              <w:rPr>
                <w:rFonts w:ascii="Arial Narrow" w:hAnsi="Arial Narrow"/>
                <w:i/>
                <w:iCs/>
                <w:sz w:val="20"/>
                <w:szCs w:val="20"/>
              </w:rPr>
              <w:t xml:space="preserve">•Greater than 5 % blasts in the marrow not attributable to bone marrow regeneration or another cause; </w:t>
            </w:r>
          </w:p>
          <w:p w14:paraId="42BBA13D" w14:textId="77777777" w:rsidR="00C44356" w:rsidRPr="009E7076" w:rsidRDefault="00C44356" w:rsidP="00B00BDF">
            <w:pPr>
              <w:rPr>
                <w:rFonts w:ascii="Arial Narrow" w:hAnsi="Arial Narrow"/>
                <w:i/>
                <w:iCs/>
                <w:sz w:val="20"/>
                <w:szCs w:val="20"/>
              </w:rPr>
            </w:pPr>
            <w:r w:rsidRPr="009E7076">
              <w:rPr>
                <w:rFonts w:ascii="Arial Narrow" w:hAnsi="Arial Narrow"/>
                <w:i/>
                <w:iCs/>
                <w:sz w:val="20"/>
                <w:szCs w:val="20"/>
              </w:rPr>
              <w:t>•Extramedullary leukaemia.</w:t>
            </w:r>
          </w:p>
        </w:tc>
      </w:tr>
      <w:tr w:rsidR="00C44356" w:rsidRPr="009E7076" w14:paraId="35D1863B"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3F3D2890"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2849E48C" w14:textId="77777777" w:rsidR="00C44356" w:rsidRPr="009E7076" w:rsidRDefault="00C44356" w:rsidP="00B00BDF">
            <w:pPr>
              <w:rPr>
                <w:rFonts w:ascii="Arial Narrow" w:hAnsi="Arial Narrow"/>
                <w:i/>
                <w:iCs/>
                <w:sz w:val="20"/>
                <w:szCs w:val="20"/>
              </w:rPr>
            </w:pPr>
            <w:r w:rsidRPr="009E7076">
              <w:rPr>
                <w:rFonts w:ascii="Arial Narrow" w:hAnsi="Arial Narrow"/>
                <w:b/>
                <w:bCs/>
                <w:i/>
                <w:iCs/>
                <w:sz w:val="20"/>
                <w:szCs w:val="20"/>
              </w:rPr>
              <w:t xml:space="preserve">Administrative Advice: </w:t>
            </w:r>
            <w:r w:rsidRPr="009E7076">
              <w:rPr>
                <w:rFonts w:ascii="Arial Narrow" w:hAnsi="Arial Narrow"/>
                <w:i/>
                <w:iCs/>
                <w:sz w:val="20"/>
                <w:szCs w:val="20"/>
              </w:rPr>
              <w:t>No increase in the maximum number of repeats may be authorised.</w:t>
            </w:r>
          </w:p>
        </w:tc>
      </w:tr>
      <w:tr w:rsidR="00C44356" w:rsidRPr="009E7076" w14:paraId="317A41D3" w14:textId="77777777" w:rsidTr="006D0A2C">
        <w:tblPrEx>
          <w:tblCellMar>
            <w:top w:w="15" w:type="dxa"/>
            <w:left w:w="15" w:type="dxa"/>
            <w:bottom w:w="15" w:type="dxa"/>
            <w:right w:w="15" w:type="dxa"/>
          </w:tblCellMar>
          <w:tblLook w:val="04A0" w:firstRow="1" w:lastRow="0" w:firstColumn="1" w:lastColumn="0" w:noHBand="0" w:noVBand="1"/>
        </w:tblPrEx>
        <w:trPr>
          <w:trHeight w:val="39"/>
        </w:trPr>
        <w:tc>
          <w:tcPr>
            <w:tcW w:w="985" w:type="dxa"/>
            <w:vAlign w:val="center"/>
          </w:tcPr>
          <w:p w14:paraId="42176830" w14:textId="77777777" w:rsidR="00C44356" w:rsidRPr="009E7076" w:rsidRDefault="00C44356" w:rsidP="00B00BDF">
            <w:pPr>
              <w:jc w:val="center"/>
              <w:rPr>
                <w:rFonts w:ascii="Arial Narrow" w:hAnsi="Arial Narrow"/>
                <w:sz w:val="20"/>
                <w:szCs w:val="20"/>
              </w:rPr>
            </w:pPr>
          </w:p>
        </w:tc>
        <w:tc>
          <w:tcPr>
            <w:tcW w:w="8032" w:type="dxa"/>
            <w:gridSpan w:val="5"/>
            <w:vAlign w:val="center"/>
          </w:tcPr>
          <w:p w14:paraId="1704E2B7" w14:textId="77777777" w:rsidR="00C44356" w:rsidRPr="009E7076" w:rsidRDefault="00C44356" w:rsidP="00B00BDF">
            <w:pPr>
              <w:rPr>
                <w:rFonts w:ascii="Arial Narrow" w:hAnsi="Arial Narrow"/>
                <w:i/>
                <w:iCs/>
                <w:sz w:val="20"/>
                <w:szCs w:val="20"/>
              </w:rPr>
            </w:pPr>
            <w:r w:rsidRPr="009E7076">
              <w:rPr>
                <w:rFonts w:ascii="Arial Narrow" w:hAnsi="Arial Narrow"/>
                <w:b/>
                <w:bCs/>
                <w:i/>
                <w:iCs/>
                <w:sz w:val="20"/>
                <w:szCs w:val="20"/>
              </w:rPr>
              <w:t xml:space="preserve">Administrative Advice: </w:t>
            </w:r>
            <w:r w:rsidRPr="009E7076">
              <w:rPr>
                <w:rFonts w:ascii="Arial Narrow" w:hAnsi="Arial Narrow"/>
                <w:i/>
                <w:iCs/>
                <w:sz w:val="20"/>
                <w:szCs w:val="20"/>
              </w:rPr>
              <w:t>No increase in the maximum amount or number of units may be authorised.</w:t>
            </w:r>
          </w:p>
        </w:tc>
      </w:tr>
      <w:tr w:rsidR="00C44356" w:rsidRPr="009E7076" w14:paraId="1B878877"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tcPr>
          <w:p w14:paraId="3A3C1019" w14:textId="77777777" w:rsidR="00C44356" w:rsidRPr="009E7076" w:rsidRDefault="00C44356" w:rsidP="00B00BDF">
            <w:pPr>
              <w:jc w:val="center"/>
              <w:rPr>
                <w:rFonts w:ascii="Arial Narrow" w:hAnsi="Arial Narrow"/>
                <w:b/>
                <w:bCs/>
                <w:sz w:val="20"/>
                <w:szCs w:val="20"/>
              </w:rPr>
            </w:pPr>
          </w:p>
        </w:tc>
        <w:tc>
          <w:tcPr>
            <w:tcW w:w="8032" w:type="dxa"/>
            <w:gridSpan w:val="5"/>
          </w:tcPr>
          <w:p w14:paraId="2D425DC2" w14:textId="77777777" w:rsidR="00C44356" w:rsidRPr="009E7076" w:rsidRDefault="00C44356" w:rsidP="00B00BDF">
            <w:pPr>
              <w:rPr>
                <w:rFonts w:ascii="Arial Narrow" w:hAnsi="Arial Narrow"/>
                <w:b/>
                <w:bCs/>
                <w:i/>
                <w:iCs/>
                <w:sz w:val="20"/>
                <w:szCs w:val="20"/>
              </w:rPr>
            </w:pPr>
            <w:r w:rsidRPr="009E7076">
              <w:rPr>
                <w:rFonts w:ascii="Arial Narrow" w:hAnsi="Arial Narrow"/>
                <w:b/>
                <w:bCs/>
                <w:i/>
                <w:iCs/>
                <w:sz w:val="20"/>
                <w:szCs w:val="20"/>
              </w:rPr>
              <w:t>Administrative Advice:</w:t>
            </w:r>
          </w:p>
          <w:p w14:paraId="6613AAAC" w14:textId="77777777" w:rsidR="00C44356" w:rsidRPr="009E7076" w:rsidRDefault="00C44356" w:rsidP="00B00BDF">
            <w:pPr>
              <w:rPr>
                <w:rFonts w:ascii="Arial Narrow" w:hAnsi="Arial Narrow"/>
                <w:b/>
                <w:bCs/>
                <w:i/>
                <w:iCs/>
                <w:sz w:val="20"/>
                <w:szCs w:val="20"/>
              </w:rPr>
            </w:pPr>
            <w:r w:rsidRPr="009E7076">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C44356" w:rsidRPr="009E7076" w14:paraId="43BD7D64" w14:textId="77777777" w:rsidTr="006D0A2C">
        <w:tblPrEx>
          <w:tblCellMar>
            <w:top w:w="15" w:type="dxa"/>
            <w:left w:w="15" w:type="dxa"/>
            <w:bottom w:w="15" w:type="dxa"/>
            <w:right w:w="15" w:type="dxa"/>
          </w:tblCellMar>
          <w:tblLook w:val="04A0" w:firstRow="1" w:lastRow="0" w:firstColumn="1" w:lastColumn="0" w:noHBand="0" w:noVBand="1"/>
        </w:tblPrEx>
        <w:trPr>
          <w:trHeight w:val="57"/>
        </w:trPr>
        <w:tc>
          <w:tcPr>
            <w:tcW w:w="985" w:type="dxa"/>
            <w:vAlign w:val="center"/>
          </w:tcPr>
          <w:p w14:paraId="398AF9FF" w14:textId="77777777" w:rsidR="00C44356" w:rsidRPr="009E7076" w:rsidRDefault="00C44356" w:rsidP="00B00BDF">
            <w:pPr>
              <w:jc w:val="center"/>
              <w:rPr>
                <w:rFonts w:ascii="Arial Narrow" w:hAnsi="Arial Narrow"/>
                <w:sz w:val="20"/>
                <w:szCs w:val="20"/>
              </w:rPr>
            </w:pPr>
          </w:p>
        </w:tc>
        <w:tc>
          <w:tcPr>
            <w:tcW w:w="8032" w:type="dxa"/>
            <w:gridSpan w:val="5"/>
            <w:vAlign w:val="center"/>
            <w:hideMark/>
          </w:tcPr>
          <w:p w14:paraId="23A59164" w14:textId="77777777" w:rsidR="00C44356" w:rsidRPr="009E7076" w:rsidRDefault="00C44356" w:rsidP="00B00BDF">
            <w:pPr>
              <w:rPr>
                <w:rFonts w:ascii="Arial Narrow" w:hAnsi="Arial Narrow"/>
                <w:b/>
                <w:bCs/>
                <w:strike/>
                <w:sz w:val="20"/>
                <w:szCs w:val="20"/>
              </w:rPr>
            </w:pPr>
            <w:r w:rsidRPr="009E7076">
              <w:rPr>
                <w:rFonts w:ascii="Arial Narrow" w:hAnsi="Arial Narrow"/>
                <w:b/>
                <w:bCs/>
                <w:strike/>
                <w:sz w:val="20"/>
                <w:szCs w:val="20"/>
              </w:rPr>
              <w:t>Definitions:</w:t>
            </w:r>
          </w:p>
          <w:p w14:paraId="21C7766E" w14:textId="77777777" w:rsidR="00C44356" w:rsidRPr="009E7076" w:rsidRDefault="00C44356" w:rsidP="00B00BDF">
            <w:pPr>
              <w:rPr>
                <w:rFonts w:ascii="Arial Narrow" w:hAnsi="Arial Narrow"/>
                <w:strike/>
                <w:sz w:val="20"/>
                <w:szCs w:val="20"/>
              </w:rPr>
            </w:pPr>
            <w:r w:rsidRPr="009E7076">
              <w:rPr>
                <w:rFonts w:ascii="Arial Narrow" w:hAnsi="Arial Narrow"/>
                <w:strike/>
                <w:sz w:val="20"/>
                <w:szCs w:val="20"/>
              </w:rPr>
              <w:t>For patients experiencing a complete remission (CR) following induction, this is defined as fewer than 5% blasts in a normocellular marrow and an absolute neutrophil count (ANC) of more than 1.0 × 109 cells/L with a platelet count of 100 × 109/L or more in the peripheral blood in the absence of transfusion.</w:t>
            </w:r>
          </w:p>
          <w:p w14:paraId="7C173046" w14:textId="77777777" w:rsidR="00C44356" w:rsidRPr="009E7076" w:rsidRDefault="00C44356" w:rsidP="00B00BDF">
            <w:pPr>
              <w:rPr>
                <w:rFonts w:ascii="Arial Narrow" w:hAnsi="Arial Narrow"/>
                <w:strike/>
                <w:sz w:val="20"/>
                <w:szCs w:val="20"/>
              </w:rPr>
            </w:pPr>
            <w:r w:rsidRPr="009E7076">
              <w:rPr>
                <w:rFonts w:ascii="Arial Narrow" w:hAnsi="Arial Narrow"/>
                <w:strike/>
                <w:sz w:val="20"/>
                <w:szCs w:val="20"/>
              </w:rPr>
              <w:t>Progressive disease is defined as the presence of any of the following:</w:t>
            </w:r>
          </w:p>
          <w:p w14:paraId="20A3F73A" w14:textId="77777777" w:rsidR="00C44356" w:rsidRPr="009E7076" w:rsidRDefault="00C44356" w:rsidP="00B00BDF">
            <w:pPr>
              <w:rPr>
                <w:rFonts w:ascii="Arial Narrow" w:hAnsi="Arial Narrow"/>
                <w:strike/>
                <w:sz w:val="20"/>
                <w:szCs w:val="20"/>
              </w:rPr>
            </w:pPr>
            <w:r w:rsidRPr="009E7076">
              <w:rPr>
                <w:rFonts w:ascii="Arial Narrow" w:hAnsi="Arial Narrow"/>
                <w:strike/>
                <w:sz w:val="20"/>
                <w:szCs w:val="20"/>
              </w:rPr>
              <w:t>•Leukaemic cells in the CSF;</w:t>
            </w:r>
          </w:p>
          <w:p w14:paraId="4D50210B" w14:textId="77777777" w:rsidR="00C44356" w:rsidRPr="009E7076" w:rsidRDefault="00C44356" w:rsidP="00B00BDF">
            <w:pPr>
              <w:rPr>
                <w:rFonts w:ascii="Arial Narrow" w:hAnsi="Arial Narrow"/>
                <w:strike/>
                <w:sz w:val="20"/>
                <w:szCs w:val="20"/>
              </w:rPr>
            </w:pPr>
            <w:r w:rsidRPr="009E7076">
              <w:rPr>
                <w:rFonts w:ascii="Arial Narrow" w:hAnsi="Arial Narrow"/>
                <w:strike/>
                <w:sz w:val="20"/>
                <w:szCs w:val="20"/>
              </w:rPr>
              <w:t xml:space="preserve">•Re-appearance of circulating blast cells in the peripheral blood, not attributable to overshoot following recovery from myeloablative therapy; </w:t>
            </w:r>
          </w:p>
          <w:p w14:paraId="16108CF3" w14:textId="77777777" w:rsidR="00C44356" w:rsidRPr="009E7076" w:rsidRDefault="00C44356" w:rsidP="00B00BDF">
            <w:pPr>
              <w:rPr>
                <w:rFonts w:ascii="Arial Narrow" w:hAnsi="Arial Narrow"/>
                <w:strike/>
                <w:sz w:val="20"/>
                <w:szCs w:val="20"/>
              </w:rPr>
            </w:pPr>
            <w:r w:rsidRPr="009E7076">
              <w:rPr>
                <w:rFonts w:ascii="Arial Narrow" w:hAnsi="Arial Narrow"/>
                <w:strike/>
                <w:sz w:val="20"/>
                <w:szCs w:val="20"/>
              </w:rPr>
              <w:t xml:space="preserve">•Greater than 5 % blasts in the marrow not attributable to bone marrow regeneration or another cause; </w:t>
            </w:r>
          </w:p>
          <w:p w14:paraId="13FBF39D" w14:textId="77777777" w:rsidR="00C44356" w:rsidRPr="009E7076" w:rsidRDefault="00C44356" w:rsidP="00B00BDF">
            <w:pPr>
              <w:rPr>
                <w:rFonts w:ascii="Arial Narrow" w:hAnsi="Arial Narrow"/>
                <w:sz w:val="20"/>
                <w:szCs w:val="20"/>
              </w:rPr>
            </w:pPr>
            <w:r w:rsidRPr="009E7076">
              <w:rPr>
                <w:rFonts w:ascii="Arial Narrow" w:hAnsi="Arial Narrow"/>
                <w:strike/>
                <w:sz w:val="20"/>
                <w:szCs w:val="20"/>
              </w:rPr>
              <w:t>•Extramedullary leukaemia.</w:t>
            </w:r>
          </w:p>
        </w:tc>
      </w:tr>
    </w:tbl>
    <w:p w14:paraId="57803760" w14:textId="0DA64B32" w:rsidR="00F67A69" w:rsidRPr="00F21857" w:rsidRDefault="005D5FC7" w:rsidP="006D0A2C">
      <w:pPr>
        <w:pStyle w:val="ExecSumBodyText"/>
        <w:spacing w:before="240"/>
        <w:rPr>
          <w:iCs/>
        </w:rPr>
      </w:pPr>
      <w:r>
        <w:t>T</w:t>
      </w:r>
      <w:r w:rsidR="00526303" w:rsidRPr="00610FCD">
        <w:t xml:space="preserve">he proposed price </w:t>
      </w:r>
      <w:r w:rsidR="00A25FB2">
        <w:t>was</w:t>
      </w:r>
      <w:r w:rsidR="00526303" w:rsidRPr="00610FCD">
        <w:t xml:space="preserve"> an AEMP of $</w:t>
      </w:r>
      <w:r w:rsidR="00FF0EA4">
        <w:rPr>
          <w:noProof/>
          <w:color w:val="000000"/>
          <w:highlight w:val="black"/>
        </w:rPr>
        <w:t>''''''''''''''''''''</w:t>
      </w:r>
      <w:r w:rsidR="00526303" w:rsidRPr="00610FCD">
        <w:t xml:space="preserve"> per vial. </w:t>
      </w:r>
      <w:r w:rsidR="00526303" w:rsidRPr="00FB1983">
        <w:rPr>
          <w:iCs/>
        </w:rPr>
        <w:t>This represent</w:t>
      </w:r>
      <w:r w:rsidR="00A25FB2">
        <w:rPr>
          <w:iCs/>
        </w:rPr>
        <w:t>ed</w:t>
      </w:r>
      <w:r w:rsidR="00526303" w:rsidRPr="00FB1983">
        <w:rPr>
          <w:iCs/>
        </w:rPr>
        <w:t xml:space="preserve"> a 9</w:t>
      </w:r>
      <w:r w:rsidR="00526303" w:rsidRPr="00F21857">
        <w:rPr>
          <w:iCs/>
        </w:rPr>
        <w:t>.7% reduction compared to the previous submission (AEMP $</w:t>
      </w:r>
      <w:r w:rsidR="00FF0EA4">
        <w:rPr>
          <w:iCs/>
          <w:noProof/>
          <w:color w:val="000000"/>
          <w:highlight w:val="black"/>
        </w:rPr>
        <w:t>'''''''''''''''''''</w:t>
      </w:r>
      <w:r w:rsidR="00526303" w:rsidRPr="00F21857">
        <w:rPr>
          <w:iCs/>
        </w:rPr>
        <w:t xml:space="preserve"> per vial).</w:t>
      </w:r>
      <w:r w:rsidR="00061AF6" w:rsidRPr="00F21857">
        <w:rPr>
          <w:iCs/>
        </w:rPr>
        <w:t xml:space="preserve"> The pre-PBAC response</w:t>
      </w:r>
      <w:r w:rsidR="006D0A2C" w:rsidRPr="00F21857">
        <w:rPr>
          <w:iCs/>
        </w:rPr>
        <w:t xml:space="preserve"> </w:t>
      </w:r>
      <w:bookmarkStart w:id="7" w:name="_GoBack"/>
      <w:bookmarkEnd w:id="7"/>
      <w:r w:rsidR="00E55BFB" w:rsidRPr="00F21857">
        <w:rPr>
          <w:iCs/>
        </w:rPr>
        <w:t xml:space="preserve">offered a further 14% price reduction, which the PBAC noted </w:t>
      </w:r>
      <w:r w:rsidR="00EA1390">
        <w:rPr>
          <w:iCs/>
        </w:rPr>
        <w:t>resulted in an AEMP of</w:t>
      </w:r>
      <w:r w:rsidR="00E55BFB" w:rsidRPr="00F21857">
        <w:rPr>
          <w:iCs/>
        </w:rPr>
        <w:t xml:space="preserve"> $</w:t>
      </w:r>
      <w:r w:rsidR="00FF0EA4">
        <w:rPr>
          <w:iCs/>
          <w:noProof/>
          <w:color w:val="000000"/>
          <w:highlight w:val="black"/>
        </w:rPr>
        <w:t>''''''''''''''''</w:t>
      </w:r>
      <w:r w:rsidR="00E55BFB" w:rsidRPr="00F21857">
        <w:rPr>
          <w:iCs/>
        </w:rPr>
        <w:t xml:space="preserve"> per vial. </w:t>
      </w:r>
    </w:p>
    <w:p w14:paraId="6CD933BE" w14:textId="77777777" w:rsidR="00F21857" w:rsidRDefault="00526303" w:rsidP="00F9393E">
      <w:pPr>
        <w:pStyle w:val="ExecSumBodyText"/>
      </w:pPr>
      <w:r w:rsidRPr="00F21857">
        <w:t xml:space="preserve">Key changes to the requested restrictions </w:t>
      </w:r>
      <w:r w:rsidR="009631AD" w:rsidRPr="00F21857">
        <w:t>compared to the previous submission were</w:t>
      </w:r>
      <w:r w:rsidR="0010552C" w:rsidRPr="00F21857">
        <w:t xml:space="preserve"> the exclusion of use of gemtuzumab with other therapies including tyrosine kinase inhibitors </w:t>
      </w:r>
      <w:r w:rsidR="00375C76" w:rsidRPr="00F21857">
        <w:t>and clarification of the clinical criteria that the condition must be CD33-postive prior to treatment</w:t>
      </w:r>
      <w:r w:rsidR="00F21857">
        <w:t>.</w:t>
      </w:r>
    </w:p>
    <w:p w14:paraId="63A2E001" w14:textId="77777777" w:rsidR="00CC35EA" w:rsidRPr="00F21857" w:rsidRDefault="00F21857" w:rsidP="00F21857">
      <w:pPr>
        <w:pStyle w:val="ExecSumBodyText"/>
      </w:pPr>
      <w:r w:rsidRPr="00F21857">
        <w:rPr>
          <w:iCs/>
        </w:rPr>
        <w:t>The clinical criteria limit use of gemtuzumab to patients without confirmed unfavourable cytogenetic risk, which is narrower than the TGA indication that was agnostic to cytogenetic risk classification</w:t>
      </w:r>
      <w:r w:rsidR="009202B0">
        <w:rPr>
          <w:iCs/>
        </w:rPr>
        <w:t>, and narrower than the previous submission which had also permitted use in patients awaiting cytogenetic test results</w:t>
      </w:r>
      <w:r w:rsidRPr="00F21857">
        <w:rPr>
          <w:iCs/>
        </w:rPr>
        <w:t>.</w:t>
      </w:r>
    </w:p>
    <w:p w14:paraId="7A787A6D" w14:textId="77777777" w:rsidR="00BA2BC7" w:rsidRPr="00610FCD" w:rsidRDefault="00BA2BC7" w:rsidP="00F9393E">
      <w:pPr>
        <w:pStyle w:val="ExecSumBodyText"/>
      </w:pPr>
      <w:r w:rsidRPr="00F21857">
        <w:t>The resubmission also removed the request for</w:t>
      </w:r>
      <w:r w:rsidRPr="00610FCD">
        <w:t xml:space="preserve"> a grandfathering provision for gemtuzumab. The sponsor anticipate</w:t>
      </w:r>
      <w:r w:rsidR="00364767">
        <w:t>d</w:t>
      </w:r>
      <w:r w:rsidRPr="00610FCD">
        <w:t xml:space="preserve"> that the likelihood of patients requiring grandfathering </w:t>
      </w:r>
      <w:r w:rsidR="00061AF6">
        <w:t>was</w:t>
      </w:r>
      <w:r w:rsidRPr="00610FCD">
        <w:t xml:space="preserve"> low given the dosing and administration schedule of gemtuzumab.</w:t>
      </w:r>
    </w:p>
    <w:p w14:paraId="7AFD8F4C" w14:textId="77777777" w:rsidR="009631AD" w:rsidRPr="00FB1983" w:rsidRDefault="008E6CF3" w:rsidP="00F9393E">
      <w:pPr>
        <w:pStyle w:val="ExecSumBodyText"/>
        <w:rPr>
          <w:iCs/>
        </w:rPr>
      </w:pPr>
      <w:r w:rsidRPr="00FB1983">
        <w:rPr>
          <w:iCs/>
        </w:rPr>
        <w:t xml:space="preserve">The requested restriction </w:t>
      </w:r>
      <w:r w:rsidR="00E55BFB">
        <w:rPr>
          <w:iCs/>
        </w:rPr>
        <w:t>was</w:t>
      </w:r>
      <w:r w:rsidR="00E55BFB" w:rsidRPr="00FB1983">
        <w:rPr>
          <w:iCs/>
        </w:rPr>
        <w:t xml:space="preserve"> </w:t>
      </w:r>
      <w:r w:rsidRPr="00FB1983">
        <w:rPr>
          <w:iCs/>
        </w:rPr>
        <w:t xml:space="preserve">broader than the TGA indication as it allows use in the paediatric population less than 15 years old. The eligible population in the financial estimates of the resubmission was based on patients aged 15 years and above. </w:t>
      </w:r>
      <w:r w:rsidR="006013E7" w:rsidRPr="00FB1983">
        <w:rPr>
          <w:iCs/>
        </w:rPr>
        <w:t xml:space="preserve">In June 2020, the FDA extended the indication of gemtuzumab for newly diagnosed CD33-positive AML to include paediatric patients 1 month and older based on data from the AAML0531 trial (completed September 2020), a phase 3, randomised open-label study in newly diagnosed AML patients aged 0 to 29 years. Patients were randomised to 5-cycle combination chemotherapy alone (including asparaginase, cytarabine, daunorubicin, etoposide and mitozantrone) or with gemtuzumab, which was different to the treatment regimen used in the ALFA-0701 trial for adults. </w:t>
      </w:r>
    </w:p>
    <w:p w14:paraId="6C6F3F6F" w14:textId="4D8F912C" w:rsidR="00BF1BDE" w:rsidRPr="00477392" w:rsidRDefault="00BF1BDE" w:rsidP="00F9393E">
      <w:pPr>
        <w:pStyle w:val="ExecSumBodyText"/>
        <w:rPr>
          <w:iCs/>
        </w:rPr>
      </w:pPr>
      <w:r w:rsidRPr="00477392">
        <w:rPr>
          <w:iCs/>
        </w:rPr>
        <w:t xml:space="preserve">The ESC noted that the resubmission had clarified that patients with confirmed FLT3 mutations would not be treated with gemtuzumab, </w:t>
      </w:r>
      <w:r w:rsidR="003E1E4D" w:rsidRPr="00477392">
        <w:rPr>
          <w:iCs/>
        </w:rPr>
        <w:t>and ESC considered that</w:t>
      </w:r>
      <w:r w:rsidRPr="00477392">
        <w:rPr>
          <w:iCs/>
        </w:rPr>
        <w:t xml:space="preserve"> the restriction </w:t>
      </w:r>
      <w:r w:rsidR="003E1E4D" w:rsidRPr="00477392">
        <w:rPr>
          <w:iCs/>
        </w:rPr>
        <w:t>should specifically</w:t>
      </w:r>
      <w:r w:rsidRPr="00477392">
        <w:rPr>
          <w:iCs/>
        </w:rPr>
        <w:t xml:space="preserve"> exclude these patients</w:t>
      </w:r>
      <w:r w:rsidR="00FC59A4" w:rsidRPr="00477392">
        <w:rPr>
          <w:iCs/>
        </w:rPr>
        <w:t>, given the lack of evidence to support concomitant use of gemtuzumab and FLT3 inhibitors</w:t>
      </w:r>
      <w:r w:rsidRPr="00477392">
        <w:rPr>
          <w:iCs/>
        </w:rPr>
        <w:t xml:space="preserve">. </w:t>
      </w:r>
      <w:r w:rsidR="00C44356">
        <w:rPr>
          <w:iCs/>
        </w:rPr>
        <w:t xml:space="preserve">The pre-PBAC response agreed, noting that these patients were already excluded from the financial estimates. </w:t>
      </w:r>
    </w:p>
    <w:p w14:paraId="02E163AA" w14:textId="77777777" w:rsidR="007C545D" w:rsidRPr="00F41879" w:rsidRDefault="007C545D" w:rsidP="007C545D">
      <w:pPr>
        <w:pStyle w:val="ExecSumBodyText"/>
        <w:numPr>
          <w:ilvl w:val="0"/>
          <w:numId w:val="0"/>
        </w:numPr>
        <w:ind w:firstLine="720"/>
        <w:rPr>
          <w:i/>
        </w:rPr>
      </w:pPr>
      <w:r w:rsidRPr="007C545D">
        <w:rPr>
          <w:i/>
        </w:rPr>
        <w:t>For more detail on PBAC’s view, see section 7 PBAC outcome.</w:t>
      </w:r>
    </w:p>
    <w:p w14:paraId="1BB9183F" w14:textId="77777777" w:rsidR="00B50DB8" w:rsidRPr="00610FCD" w:rsidRDefault="00203181" w:rsidP="004E18E9">
      <w:pPr>
        <w:pStyle w:val="2-SectionHeading"/>
      </w:pPr>
      <w:bookmarkStart w:id="8" w:name="_Toc82591336"/>
      <w:r w:rsidRPr="00610FCD">
        <w:t xml:space="preserve">Population and </w:t>
      </w:r>
      <w:r w:rsidR="008E0D3C" w:rsidRPr="00610FCD">
        <w:t>d</w:t>
      </w:r>
      <w:r w:rsidRPr="00610FCD">
        <w:t>isease</w:t>
      </w:r>
      <w:bookmarkEnd w:id="8"/>
    </w:p>
    <w:p w14:paraId="26E3F82A" w14:textId="77777777" w:rsidR="00894489" w:rsidRPr="00610FCD" w:rsidRDefault="00252BA4" w:rsidP="004E18E9">
      <w:pPr>
        <w:pStyle w:val="ExecSumBodyText"/>
      </w:pPr>
      <w:r w:rsidRPr="00610FCD">
        <w:t>AML is a type of blood cancer which develops when the body makes too many immature white blood cells known as myeloid blasts. This condition usually occurs suddenly and develops quickly, as the myeloid blasts multiply out of control, continue to divide but never mature into normal cells. These immature and abnormal blast cells are also known as leukaemia cells</w:t>
      </w:r>
      <w:r w:rsidR="00911F46">
        <w:t xml:space="preserve">. They </w:t>
      </w:r>
      <w:r w:rsidRPr="00610FCD">
        <w:t xml:space="preserve">do not perform the usual infection-fighting function of white blood cells, </w:t>
      </w:r>
      <w:r w:rsidR="00911F46">
        <w:t>and</w:t>
      </w:r>
      <w:r w:rsidR="00911F46" w:rsidRPr="00610FCD">
        <w:t xml:space="preserve"> </w:t>
      </w:r>
      <w:r w:rsidRPr="00610FCD">
        <w:t xml:space="preserve">also crowd out normal white blood cells, impairing their function. When the bone marrow is filled with leukaemia cells, there is less room for healthy red blood cells and platelets to be produced. Patients with AML typically experience fatigue, weakness or breathlessness, memory loss, bruising, </w:t>
      </w:r>
      <w:r w:rsidR="00002070" w:rsidRPr="00610FCD">
        <w:t>bleeding,</w:t>
      </w:r>
      <w:r w:rsidRPr="00610FCD">
        <w:t xml:space="preserve"> and frequent infections.</w:t>
      </w:r>
    </w:p>
    <w:p w14:paraId="12B4347C" w14:textId="77777777" w:rsidR="00075785" w:rsidRPr="00610FCD" w:rsidRDefault="00075785" w:rsidP="004E18E9">
      <w:pPr>
        <w:pStyle w:val="ExecSumBodyText"/>
      </w:pPr>
      <w:r w:rsidRPr="00610FCD">
        <w:t xml:space="preserve">AML is the most common type of acute leukaemia in adults. The disease becomes more common with age, mostly occurring after 65 years, and affects more males than females. AML is associated with rapid progression and poor prognosis, with a 5-year relative survival in all ages of 26.3% (2013-2017 period, AIHW Cancer data in Australia, 2021). Relative survival at 5 years is higher in younger </w:t>
      </w:r>
      <w:r w:rsidR="00EA259A" w:rsidRPr="00610FCD">
        <w:t>adults and adolescents (</w:t>
      </w:r>
      <w:r w:rsidRPr="00610FCD">
        <w:t>above 70%</w:t>
      </w:r>
      <w:r w:rsidR="00EA259A" w:rsidRPr="00610FCD">
        <w:t>)</w:t>
      </w:r>
      <w:r w:rsidRPr="00610FCD">
        <w:t>, decreasing to approximately 50% from age 50 years and becom</w:t>
      </w:r>
      <w:r w:rsidR="00442CAA" w:rsidRPr="00610FCD">
        <w:t>ing</w:t>
      </w:r>
      <w:r w:rsidRPr="00610FCD">
        <w:t xml:space="preserve"> worse among older patients </w:t>
      </w:r>
      <w:r w:rsidR="0074096A" w:rsidRPr="00610FCD">
        <w:t xml:space="preserve">age 60 years and above </w:t>
      </w:r>
      <w:r w:rsidRPr="00610FCD">
        <w:t>(30% or less) (AIHW Cancer data in Australia, 2021). The majority of cases occur de novo, however, there are a minority of cases with subtypes of AML, including acute promyelocytic leukaemia and secondary AML</w:t>
      </w:r>
      <w:r w:rsidR="006B34A9">
        <w:t>,</w:t>
      </w:r>
      <w:r w:rsidRPr="00610FCD">
        <w:t xml:space="preserve"> which </w:t>
      </w:r>
      <w:r w:rsidR="006B34A9">
        <w:t>are</w:t>
      </w:r>
      <w:r w:rsidRPr="00610FCD">
        <w:t xml:space="preserve"> associated with prior myelodysplastic syndrome or myeloproliferative disease or prior cytotoxic chemotherapy or radiation for an unrelated malignancy. These subtypes are biologically and clinically distinct variants, which are associated with relatively poorer treatment response and prognosis and are treated differently to de novo AML.</w:t>
      </w:r>
    </w:p>
    <w:p w14:paraId="264E28A1" w14:textId="77777777" w:rsidR="0072429C" w:rsidRPr="00610FCD" w:rsidRDefault="004B2212" w:rsidP="004E18E9">
      <w:pPr>
        <w:pStyle w:val="ExecSumBodyText"/>
      </w:pPr>
      <w:r w:rsidRPr="00610FCD">
        <w:t>Diagnosis of AML is typically confirmed using blood tests, bone marrow examination (to determine cell morphology and degree of bone marrow infiltration with disease), immunophenotyping (to determine cell lineage, e.g. whether AML blasts are CD33 positive), cytogenetics profile and molecular genetics.</w:t>
      </w:r>
    </w:p>
    <w:p w14:paraId="1F796914" w14:textId="77777777" w:rsidR="00B87EA8" w:rsidRPr="00477392" w:rsidRDefault="00D85A3C" w:rsidP="00B87EA8">
      <w:pPr>
        <w:pStyle w:val="ExecSumBodyText"/>
      </w:pPr>
      <w:r w:rsidRPr="00610FCD">
        <w:t xml:space="preserve">The previous submission intended for gemtuzumab to be used in patients awaiting confirmation of their cytogenetic profile. However, the resubmission stated that this scenario was unlikely based on a survey of experts, suggesting that clinicians would rather wait for confirmation of cytogenetic risk before commencing treatment </w:t>
      </w:r>
      <w:r w:rsidR="00B87EA8" w:rsidRPr="00610FCD">
        <w:t xml:space="preserve">due to potential impacts of using gemtuzumab on subsequent treatment decisions and use of alternative treatment options (e.g. adverse risk patients may have a prolonged wait for HSCT due to </w:t>
      </w:r>
      <w:bookmarkStart w:id="9" w:name="_Hlk88630740"/>
      <w:r w:rsidR="00B87EA8" w:rsidRPr="00610FCD">
        <w:t xml:space="preserve">veno-occlusive disease risk </w:t>
      </w:r>
      <w:bookmarkEnd w:id="9"/>
      <w:r w:rsidR="00B87EA8" w:rsidRPr="00610FCD">
        <w:t>following gemtuzumab, alternative therapies for FLT3 and IDH mutation positive patients,</w:t>
      </w:r>
      <w:r w:rsidR="006B34A9">
        <w:t xml:space="preserve"> and</w:t>
      </w:r>
      <w:r w:rsidR="00B87EA8" w:rsidRPr="00610FCD">
        <w:t xml:space="preserve"> no treatment benefit with gemtuzumab in some patients) </w:t>
      </w:r>
      <w:r w:rsidRPr="00610FCD">
        <w:t>(Expert Opinion June 2021, Attachment 11 of the resubmission).</w:t>
      </w:r>
      <w:r w:rsidR="00F41879">
        <w:t xml:space="preserve"> </w:t>
      </w:r>
      <w:r w:rsidR="00F41879" w:rsidRPr="00477392">
        <w:t>The ESC considered that it may not be practical to wait for cytogenetic test results</w:t>
      </w:r>
      <w:r w:rsidR="0033144E" w:rsidRPr="00477392">
        <w:t xml:space="preserve"> in locations with longer wait times (e.g. 5 days)</w:t>
      </w:r>
      <w:r w:rsidR="000C792F" w:rsidRPr="00477392">
        <w:t xml:space="preserve"> </w:t>
      </w:r>
      <w:r w:rsidR="003E1E4D" w:rsidRPr="00477392">
        <w:t>if patients required immediate treatment</w:t>
      </w:r>
      <w:r w:rsidR="00F41879" w:rsidRPr="00477392">
        <w:t xml:space="preserve">.  </w:t>
      </w:r>
    </w:p>
    <w:p w14:paraId="0FC0EDC6" w14:textId="77777777" w:rsidR="00357BC3" w:rsidRPr="00477392" w:rsidRDefault="00357BC3" w:rsidP="004E18E9">
      <w:pPr>
        <w:pStyle w:val="ExecSumBodyText"/>
      </w:pPr>
      <w:r w:rsidRPr="00477392">
        <w:t xml:space="preserve">The target population in the resubmission </w:t>
      </w:r>
      <w:r w:rsidR="006B34A9" w:rsidRPr="00477392">
        <w:t>was</w:t>
      </w:r>
      <w:r w:rsidRPr="00477392">
        <w:t xml:space="preserve"> patients with previously untreated, de novo CD33-positive </w:t>
      </w:r>
      <w:r w:rsidR="00477392">
        <w:t>AML</w:t>
      </w:r>
      <w:r w:rsidRPr="00477392">
        <w:t>, except acute promyelocytic leukaemia</w:t>
      </w:r>
      <w:r w:rsidR="00EA1390">
        <w:t>,</w:t>
      </w:r>
      <w:r w:rsidRPr="00477392">
        <w:t xml:space="preserve"> who </w:t>
      </w:r>
      <w:r w:rsidR="00AA204B" w:rsidRPr="00477392">
        <w:t>have</w:t>
      </w:r>
      <w:r w:rsidRPr="00477392">
        <w:t xml:space="preserve"> favourable, </w:t>
      </w:r>
      <w:r w:rsidR="00002070" w:rsidRPr="00477392">
        <w:t>intermediate,</w:t>
      </w:r>
      <w:r w:rsidRPr="00477392">
        <w:t xml:space="preserve"> or unknown </w:t>
      </w:r>
      <w:r w:rsidR="00AA204B" w:rsidRPr="00477392">
        <w:t xml:space="preserve">cytogenetic </w:t>
      </w:r>
      <w:r w:rsidRPr="00477392">
        <w:t>risk. The resubmission noted that while all patients would receive cytogenetic test results prior to treatment initiation, not all patients would have a confirmed cytogenetic risk classification</w:t>
      </w:r>
      <w:r w:rsidR="004C00D5">
        <w:t>, as</w:t>
      </w:r>
      <w:r w:rsidRPr="00477392">
        <w:t xml:space="preserve"> some patients would be classified as having unknown cytogenetic risk due to inconclusive test results.</w:t>
      </w:r>
      <w:r w:rsidR="000F5634" w:rsidRPr="00477392">
        <w:t xml:space="preserve"> </w:t>
      </w:r>
      <w:r w:rsidR="00FC59A4" w:rsidRPr="00477392">
        <w:t xml:space="preserve">In practice, the ESC considered it was possible that few of these patients would be treated with gemtuzumab. </w:t>
      </w:r>
      <w:r w:rsidR="000F5634" w:rsidRPr="00477392">
        <w:t xml:space="preserve">The ESC recognised </w:t>
      </w:r>
      <w:r w:rsidR="007D3B71" w:rsidRPr="00477392">
        <w:t xml:space="preserve">that some patients with inconclusive test results </w:t>
      </w:r>
      <w:r w:rsidR="00FC59A4" w:rsidRPr="00477392">
        <w:t>w</w:t>
      </w:r>
      <w:r w:rsidR="007D3B71" w:rsidRPr="00477392">
        <w:t xml:space="preserve">ould have </w:t>
      </w:r>
      <w:r w:rsidR="00A11CCB" w:rsidRPr="00477392">
        <w:t>demonstrated</w:t>
      </w:r>
      <w:r w:rsidR="00FC59A4" w:rsidRPr="00477392">
        <w:t xml:space="preserve"> intermediate/favourable cytogenetics h</w:t>
      </w:r>
      <w:r w:rsidR="007D3B71" w:rsidRPr="00477392">
        <w:t>ad their tests been successful</w:t>
      </w:r>
      <w:r w:rsidR="0038258A" w:rsidRPr="00477392">
        <w:t>, and</w:t>
      </w:r>
      <w:r w:rsidR="00FC59A4" w:rsidRPr="00477392">
        <w:t xml:space="preserve"> the ESC</w:t>
      </w:r>
      <w:r w:rsidR="0038258A" w:rsidRPr="00477392">
        <w:t xml:space="preserve"> considered that </w:t>
      </w:r>
      <w:r w:rsidR="00FC59A4" w:rsidRPr="00477392">
        <w:t>it may be reasonable not to exclude this</w:t>
      </w:r>
      <w:r w:rsidR="0038258A" w:rsidRPr="00477392">
        <w:t xml:space="preserve"> </w:t>
      </w:r>
      <w:r w:rsidR="00FC59A4" w:rsidRPr="00477392">
        <w:t xml:space="preserve">group </w:t>
      </w:r>
      <w:r w:rsidR="0038258A" w:rsidRPr="00477392">
        <w:t>from subsidy (</w:t>
      </w:r>
      <w:r w:rsidR="00FC59A4" w:rsidRPr="00477392">
        <w:t xml:space="preserve">which would be a pragmatic decision based on small expected patient numbers and </w:t>
      </w:r>
      <w:r w:rsidR="0038258A" w:rsidRPr="00477392">
        <w:t xml:space="preserve">despite the lack of evidence to support use in patients with </w:t>
      </w:r>
      <w:r w:rsidR="00FC59A4" w:rsidRPr="00477392">
        <w:t>“</w:t>
      </w:r>
      <w:r w:rsidR="0038258A" w:rsidRPr="00477392">
        <w:t>unknown</w:t>
      </w:r>
      <w:r w:rsidR="00FC59A4" w:rsidRPr="00477392">
        <w:t>”</w:t>
      </w:r>
      <w:r w:rsidR="0038258A" w:rsidRPr="00477392">
        <w:t xml:space="preserve"> cytogenetic risk).</w:t>
      </w:r>
    </w:p>
    <w:p w14:paraId="776E7FAC" w14:textId="77777777" w:rsidR="00786AB6" w:rsidRPr="00FB1983" w:rsidRDefault="00786AB6" w:rsidP="004E18E9">
      <w:pPr>
        <w:pStyle w:val="ExecSumBodyText"/>
        <w:rPr>
          <w:iCs/>
        </w:rPr>
      </w:pPr>
      <w:r w:rsidRPr="00FB1983">
        <w:rPr>
          <w:iCs/>
        </w:rPr>
        <w:t>While the pivotal trial included patients with unknown cytogenetic risk, the magnitude of benefit in this subgroup</w:t>
      </w:r>
      <w:r w:rsidR="00D20F76">
        <w:rPr>
          <w:iCs/>
        </w:rPr>
        <w:t>, if any,</w:t>
      </w:r>
      <w:r w:rsidRPr="00FB1983">
        <w:rPr>
          <w:iCs/>
        </w:rPr>
        <w:t xml:space="preserve"> was </w:t>
      </w:r>
      <w:r w:rsidR="00D20F76">
        <w:rPr>
          <w:iCs/>
        </w:rPr>
        <w:t>unclear</w:t>
      </w:r>
      <w:r w:rsidR="00D20F76" w:rsidRPr="00FB1983">
        <w:rPr>
          <w:iCs/>
        </w:rPr>
        <w:t xml:space="preserve"> </w:t>
      </w:r>
      <w:r w:rsidRPr="00FB1983">
        <w:rPr>
          <w:iCs/>
        </w:rPr>
        <w:t xml:space="preserve">as the results were based on </w:t>
      </w:r>
      <w:r w:rsidRPr="00911F46">
        <w:rPr>
          <w:i/>
        </w:rPr>
        <w:t>post</w:t>
      </w:r>
      <w:r w:rsidR="006B34A9" w:rsidRPr="00911F46">
        <w:rPr>
          <w:i/>
        </w:rPr>
        <w:t xml:space="preserve"> </w:t>
      </w:r>
      <w:r w:rsidRPr="00911F46">
        <w:rPr>
          <w:i/>
        </w:rPr>
        <w:t>hoc</w:t>
      </w:r>
      <w:r w:rsidRPr="00FB1983">
        <w:rPr>
          <w:iCs/>
        </w:rPr>
        <w:t xml:space="preserve"> analyses in a relatively small number of patients.</w:t>
      </w:r>
      <w:r w:rsidR="00911F46">
        <w:rPr>
          <w:i/>
        </w:rPr>
        <w:t xml:space="preserve"> </w:t>
      </w:r>
    </w:p>
    <w:p w14:paraId="6524D2E8" w14:textId="77777777" w:rsidR="005C428B" w:rsidRPr="00610FCD" w:rsidRDefault="00902545" w:rsidP="004E18E9">
      <w:pPr>
        <w:pStyle w:val="ExecSumBodyText"/>
      </w:pPr>
      <w:r w:rsidRPr="00610FCD">
        <w:t xml:space="preserve">The resubmission provided additional clarification on the goals of induction treatment and whether it is to achieve remission or to bridge patients to HSCT. </w:t>
      </w:r>
      <w:r w:rsidR="003104B3" w:rsidRPr="00610FCD">
        <w:t xml:space="preserve">A survey of clinicians </w:t>
      </w:r>
      <w:r w:rsidR="006D7613" w:rsidRPr="00610FCD">
        <w:t>provided in the resubmission suggest</w:t>
      </w:r>
      <w:r w:rsidR="006B34A9">
        <w:t>ed</w:t>
      </w:r>
      <w:r w:rsidR="006D7613" w:rsidRPr="00610FCD">
        <w:t xml:space="preserve"> that </w:t>
      </w:r>
      <w:r w:rsidR="00BC5DDF" w:rsidRPr="00610FCD">
        <w:t>t</w:t>
      </w:r>
      <w:r w:rsidR="006D7613" w:rsidRPr="00610FCD">
        <w:t>he primary use of gemtuzumab is in patients with favourable risk and some patients with intermediate risk who are not being considered for HSCT</w:t>
      </w:r>
      <w:r w:rsidR="00BC5DDF" w:rsidRPr="00610FCD">
        <w:t xml:space="preserve"> (i.e. not a b</w:t>
      </w:r>
      <w:r w:rsidR="00065913" w:rsidRPr="00610FCD">
        <w:t>ridging therapy to HSCT)</w:t>
      </w:r>
      <w:r w:rsidR="006D7613" w:rsidRPr="00610FCD">
        <w:t>.</w:t>
      </w:r>
    </w:p>
    <w:p w14:paraId="50BBFE00" w14:textId="77777777" w:rsidR="007627BE" w:rsidRDefault="00EE3F82" w:rsidP="00911F46">
      <w:pPr>
        <w:pStyle w:val="ExecSumBodyText"/>
        <w:rPr>
          <w:iCs/>
        </w:rPr>
      </w:pPr>
      <w:r w:rsidRPr="00477392">
        <w:rPr>
          <w:iCs/>
        </w:rPr>
        <w:t xml:space="preserve">Based on </w:t>
      </w:r>
      <w:r w:rsidR="005B7896" w:rsidRPr="00477392">
        <w:rPr>
          <w:iCs/>
        </w:rPr>
        <w:t>published international guidelines and local expert opinion,</w:t>
      </w:r>
      <w:r w:rsidR="0033144E" w:rsidRPr="00477392">
        <w:rPr>
          <w:iCs/>
        </w:rPr>
        <w:t xml:space="preserve"> the ESC advised that</w:t>
      </w:r>
      <w:r w:rsidR="005B7896" w:rsidRPr="00477392">
        <w:rPr>
          <w:iCs/>
        </w:rPr>
        <w:t xml:space="preserve"> the place in therapy for gemtuzumab appears to be </w:t>
      </w:r>
      <w:bookmarkStart w:id="10" w:name="_Hlk88493467"/>
      <w:r w:rsidR="005B7896" w:rsidRPr="00477392">
        <w:rPr>
          <w:iCs/>
        </w:rPr>
        <w:t>in patients with favourable/intermediate cytogenetic risk, who are not FLT3-mutation positive and who are not being considered for HSCT</w:t>
      </w:r>
      <w:bookmarkEnd w:id="10"/>
      <w:r w:rsidR="005B7896" w:rsidRPr="00477392">
        <w:rPr>
          <w:iCs/>
        </w:rPr>
        <w:t xml:space="preserve">. This role </w:t>
      </w:r>
      <w:r w:rsidR="00477392">
        <w:rPr>
          <w:iCs/>
        </w:rPr>
        <w:t>was</w:t>
      </w:r>
      <w:r w:rsidR="00477392" w:rsidRPr="00477392">
        <w:rPr>
          <w:iCs/>
        </w:rPr>
        <w:t xml:space="preserve"> </w:t>
      </w:r>
      <w:r w:rsidR="005B7896" w:rsidRPr="00477392">
        <w:rPr>
          <w:iCs/>
        </w:rPr>
        <w:t xml:space="preserve">smaller than the requested listing and </w:t>
      </w:r>
      <w:r w:rsidR="00065913" w:rsidRPr="00477392">
        <w:rPr>
          <w:iCs/>
        </w:rPr>
        <w:t xml:space="preserve">proposed </w:t>
      </w:r>
      <w:r w:rsidR="005B7896" w:rsidRPr="00477392">
        <w:rPr>
          <w:iCs/>
        </w:rPr>
        <w:t>target population in the resubmission.</w:t>
      </w:r>
      <w:r w:rsidR="00BF1BDE" w:rsidRPr="00477392">
        <w:rPr>
          <w:iCs/>
        </w:rPr>
        <w:t xml:space="preserve"> </w:t>
      </w:r>
      <w:r w:rsidR="0033144E" w:rsidRPr="00477392">
        <w:rPr>
          <w:iCs/>
        </w:rPr>
        <w:t>The ESC</w:t>
      </w:r>
      <w:r w:rsidR="000C792F" w:rsidRPr="00477392">
        <w:rPr>
          <w:iCs/>
        </w:rPr>
        <w:t xml:space="preserve"> noted that the proposed listing would restrict use in patients requiring immediate treatment (i.e. in settings with longer waiting times for cytogenetic test results). The ESC also</w:t>
      </w:r>
      <w:r w:rsidR="0033144E" w:rsidRPr="00477392">
        <w:rPr>
          <w:iCs/>
        </w:rPr>
        <w:t xml:space="preserve"> considered that the clinical place of gemtuzumab would be further limited </w:t>
      </w:r>
      <w:r w:rsidR="00A46FBE">
        <w:rPr>
          <w:iCs/>
        </w:rPr>
        <w:t xml:space="preserve">to </w:t>
      </w:r>
      <w:r w:rsidR="0033144E" w:rsidRPr="00477392">
        <w:rPr>
          <w:iCs/>
        </w:rPr>
        <w:t>those in good prognosis AML subgroups (e.g. core binding factor AML)</w:t>
      </w:r>
      <w:r w:rsidR="000C792F" w:rsidRPr="00477392">
        <w:rPr>
          <w:iCs/>
        </w:rPr>
        <w:t xml:space="preserve">, and </w:t>
      </w:r>
      <w:r w:rsidR="00EF447C" w:rsidRPr="00477392">
        <w:rPr>
          <w:iCs/>
        </w:rPr>
        <w:t>advised</w:t>
      </w:r>
      <w:r w:rsidR="0033144E" w:rsidRPr="00477392">
        <w:rPr>
          <w:iCs/>
        </w:rPr>
        <w:t xml:space="preserve"> that there may be some clinical hesitancy to use with anthracyclines other than daunorubicin.</w:t>
      </w:r>
      <w:r w:rsidR="00952939" w:rsidRPr="00477392">
        <w:rPr>
          <w:iCs/>
        </w:rPr>
        <w:t xml:space="preserve"> The ESC considered it may be appropriate for the PBAC to seek additional advice from expert clinical groups around the expected clinical place of gemtuzumab</w:t>
      </w:r>
      <w:r w:rsidR="00A45A8B">
        <w:rPr>
          <w:iCs/>
        </w:rPr>
        <w:t xml:space="preserve"> (see </w:t>
      </w:r>
      <w:r w:rsidR="00A2686A">
        <w:rPr>
          <w:iCs/>
        </w:rPr>
        <w:t>‘</w:t>
      </w:r>
      <w:r w:rsidR="00A45A8B">
        <w:rPr>
          <w:iCs/>
        </w:rPr>
        <w:t>Consumer comments</w:t>
      </w:r>
      <w:r w:rsidR="00A2686A">
        <w:rPr>
          <w:iCs/>
        </w:rPr>
        <w:t>’</w:t>
      </w:r>
      <w:r w:rsidR="00A45A8B">
        <w:rPr>
          <w:iCs/>
        </w:rPr>
        <w:t xml:space="preserve"> below)</w:t>
      </w:r>
      <w:r w:rsidR="00952939" w:rsidRPr="00477392">
        <w:rPr>
          <w:iCs/>
        </w:rPr>
        <w:t>.</w:t>
      </w:r>
    </w:p>
    <w:p w14:paraId="570C192B" w14:textId="77777777" w:rsidR="00A45A8B" w:rsidRPr="00A45A8B" w:rsidRDefault="00A45A8B" w:rsidP="00A45A8B">
      <w:pPr>
        <w:pStyle w:val="ExecSumBodyText"/>
        <w:numPr>
          <w:ilvl w:val="0"/>
          <w:numId w:val="0"/>
        </w:numPr>
        <w:ind w:left="720"/>
        <w:rPr>
          <w:i/>
        </w:rPr>
      </w:pPr>
      <w:r w:rsidRPr="00A45A8B">
        <w:rPr>
          <w:i/>
        </w:rPr>
        <w:t>For more detail on PBAC’s view, see section 7 PBAC outcome.</w:t>
      </w:r>
    </w:p>
    <w:p w14:paraId="062E784B" w14:textId="77777777" w:rsidR="00B50DB8" w:rsidRPr="00610FCD" w:rsidRDefault="00B50DB8" w:rsidP="004E18E9">
      <w:pPr>
        <w:pStyle w:val="2-SectionHeading"/>
      </w:pPr>
      <w:bookmarkStart w:id="11" w:name="_Toc82591337"/>
      <w:r w:rsidRPr="00610FCD">
        <w:t>Comparator</w:t>
      </w:r>
      <w:bookmarkEnd w:id="11"/>
    </w:p>
    <w:p w14:paraId="3FC9776A" w14:textId="77777777" w:rsidR="00E2497D" w:rsidRDefault="00065913" w:rsidP="00E2497D">
      <w:pPr>
        <w:pStyle w:val="ExecSumBodyText"/>
      </w:pPr>
      <w:r w:rsidRPr="00610FCD">
        <w:rPr>
          <w:snapToGrid/>
        </w:rPr>
        <w:t>The resubmission nominated standard of care</w:t>
      </w:r>
      <w:r w:rsidR="00E2497D" w:rsidRPr="00610FCD">
        <w:rPr>
          <w:snapToGrid/>
        </w:rPr>
        <w:t xml:space="preserve"> as the main comparator. </w:t>
      </w:r>
      <w:r w:rsidR="00E2497D" w:rsidRPr="00FB1983">
        <w:rPr>
          <w:iCs/>
        </w:rPr>
        <w:t xml:space="preserve">The PBAC </w:t>
      </w:r>
      <w:r w:rsidR="009C0B2E">
        <w:rPr>
          <w:iCs/>
        </w:rPr>
        <w:t xml:space="preserve">had </w:t>
      </w:r>
      <w:r w:rsidR="00E2497D" w:rsidRPr="00FB1983">
        <w:rPr>
          <w:iCs/>
        </w:rPr>
        <w:t>previously considered that standard of care, which consisted of intensive induction and consolidation chemotherapy with an anthracycline and cytarabine, was appropriate (para 7.2, gemtuzumab PSD, March 2021 PBAC meeting).</w:t>
      </w:r>
      <w:r w:rsidR="00E2497D" w:rsidRPr="00610FCD">
        <w:t xml:space="preserve"> </w:t>
      </w:r>
    </w:p>
    <w:p w14:paraId="2EF6F0C1" w14:textId="77777777" w:rsidR="00A45A8B" w:rsidRPr="00A45A8B" w:rsidRDefault="007C545D" w:rsidP="00A45A8B">
      <w:pPr>
        <w:ind w:firstLine="720"/>
        <w:rPr>
          <w:i/>
          <w:iCs/>
        </w:rPr>
      </w:pPr>
      <w:bookmarkStart w:id="12" w:name="_Hlk87971058"/>
      <w:bookmarkStart w:id="13" w:name="_Hlk88576596"/>
      <w:r w:rsidRPr="00A45A8B">
        <w:rPr>
          <w:i/>
          <w:iCs/>
        </w:rPr>
        <w:t>For more detail on PBAC’s view, see section 7 PBAC outcome.</w:t>
      </w:r>
      <w:r w:rsidR="00A45A8B" w:rsidRPr="00A45A8B">
        <w:rPr>
          <w:i/>
          <w:iCs/>
        </w:rPr>
        <w:t xml:space="preserve"> </w:t>
      </w:r>
      <w:bookmarkStart w:id="14" w:name="_Toc82591338"/>
      <w:bookmarkStart w:id="15" w:name="_Toc22897640"/>
      <w:bookmarkEnd w:id="12"/>
    </w:p>
    <w:bookmarkEnd w:id="13"/>
    <w:p w14:paraId="527EEE62" w14:textId="77777777" w:rsidR="00223D5A" w:rsidRDefault="00223D5A" w:rsidP="00A45A8B">
      <w:pPr>
        <w:pStyle w:val="2-SectionHeading"/>
      </w:pPr>
      <w:r w:rsidRPr="00610FCD">
        <w:t>Consideration of the evidence</w:t>
      </w:r>
      <w:bookmarkEnd w:id="14"/>
    </w:p>
    <w:p w14:paraId="6A8C105F" w14:textId="77777777" w:rsidR="007C545D" w:rsidRPr="009202B0" w:rsidRDefault="007C545D" w:rsidP="007C545D">
      <w:pPr>
        <w:pStyle w:val="3-SubsectionHeading"/>
      </w:pPr>
      <w:bookmarkStart w:id="16" w:name="_Hlk76375935"/>
      <w:r w:rsidRPr="009202B0">
        <w:t>Sponsor hearing</w:t>
      </w:r>
    </w:p>
    <w:p w14:paraId="1A5D067F" w14:textId="77777777" w:rsidR="007C545D" w:rsidRPr="009202B0" w:rsidRDefault="007C545D" w:rsidP="007C545D">
      <w:pPr>
        <w:widowControl w:val="0"/>
        <w:numPr>
          <w:ilvl w:val="1"/>
          <w:numId w:val="1"/>
        </w:numPr>
        <w:spacing w:after="120"/>
        <w:rPr>
          <w:rFonts w:cs="Calibri"/>
          <w:bCs/>
          <w:snapToGrid w:val="0"/>
        </w:rPr>
      </w:pPr>
      <w:r w:rsidRPr="009202B0">
        <w:rPr>
          <w:rFonts w:cs="Calibri"/>
          <w:bCs/>
          <w:snapToGrid w:val="0"/>
        </w:rPr>
        <w:t>There was no hearing for this item.</w:t>
      </w:r>
    </w:p>
    <w:p w14:paraId="7DCF04E2" w14:textId="77777777" w:rsidR="007C545D" w:rsidRPr="009202B0" w:rsidRDefault="007C545D" w:rsidP="007C545D">
      <w:pPr>
        <w:pStyle w:val="3-SubsectionHeading"/>
      </w:pPr>
      <w:r w:rsidRPr="009202B0">
        <w:t>Consumer comments</w:t>
      </w:r>
    </w:p>
    <w:p w14:paraId="09FB4EA3" w14:textId="77777777" w:rsidR="00104638" w:rsidRPr="009202B0" w:rsidRDefault="00104638" w:rsidP="00104638">
      <w:pPr>
        <w:widowControl w:val="0"/>
        <w:numPr>
          <w:ilvl w:val="1"/>
          <w:numId w:val="1"/>
        </w:numPr>
        <w:spacing w:after="120"/>
        <w:rPr>
          <w:rFonts w:asciiTheme="minorHAnsi" w:hAnsiTheme="minorHAnsi"/>
          <w:bCs/>
          <w:snapToGrid w:val="0"/>
        </w:rPr>
      </w:pPr>
      <w:bookmarkStart w:id="17" w:name="_Hlk76382618"/>
      <w:bookmarkStart w:id="18" w:name="_Toc82591339"/>
      <w:bookmarkEnd w:id="16"/>
      <w:r w:rsidRPr="009202B0">
        <w:rPr>
          <w:rFonts w:asciiTheme="minorHAnsi" w:hAnsiTheme="minorHAnsi"/>
          <w:bCs/>
          <w:snapToGrid w:val="0"/>
        </w:rPr>
        <w:t xml:space="preserve">The PBAC noted and welcomed the input from health care professionals (1) and organisations (3) via the Consumer Comments facility on the PBS website. Comments were received from the Leukaemia Foundation, Rare Cancers Australia, and the Australasian Leukaemia and Lymphoma Group (ALLG). The comments supported the PBS listing of gemtuzumab, and described a likely small population with a clear clinical need for additional benefits above those provided by standard </w:t>
      </w:r>
      <w:r w:rsidR="008C517B">
        <w:rPr>
          <w:rFonts w:asciiTheme="minorHAnsi" w:hAnsiTheme="minorHAnsi"/>
          <w:bCs/>
          <w:snapToGrid w:val="0"/>
        </w:rPr>
        <w:t>care</w:t>
      </w:r>
      <w:r w:rsidRPr="009202B0">
        <w:rPr>
          <w:rFonts w:asciiTheme="minorHAnsi" w:hAnsiTheme="minorHAnsi"/>
          <w:bCs/>
          <w:snapToGrid w:val="0"/>
        </w:rPr>
        <w:t xml:space="preserve">, </w:t>
      </w:r>
      <w:r>
        <w:rPr>
          <w:rFonts w:asciiTheme="minorHAnsi" w:hAnsiTheme="minorHAnsi"/>
          <w:bCs/>
          <w:snapToGrid w:val="0"/>
        </w:rPr>
        <w:t>given</w:t>
      </w:r>
      <w:r w:rsidRPr="009202B0">
        <w:rPr>
          <w:rFonts w:asciiTheme="minorHAnsi" w:hAnsiTheme="minorHAnsi"/>
          <w:bCs/>
          <w:snapToGrid w:val="0"/>
        </w:rPr>
        <w:t xml:space="preserve"> the</w:t>
      </w:r>
      <w:r>
        <w:rPr>
          <w:rFonts w:asciiTheme="minorHAnsi" w:hAnsiTheme="minorHAnsi"/>
          <w:bCs/>
          <w:snapToGrid w:val="0"/>
        </w:rPr>
        <w:t xml:space="preserve"> overall</w:t>
      </w:r>
      <w:r w:rsidRPr="009202B0">
        <w:rPr>
          <w:rFonts w:asciiTheme="minorHAnsi" w:hAnsiTheme="minorHAnsi"/>
          <w:bCs/>
          <w:snapToGrid w:val="0"/>
        </w:rPr>
        <w:t xml:space="preserve"> poor prognosis </w:t>
      </w:r>
      <w:r>
        <w:rPr>
          <w:rFonts w:asciiTheme="minorHAnsi" w:hAnsiTheme="minorHAnsi"/>
          <w:bCs/>
          <w:snapToGrid w:val="0"/>
        </w:rPr>
        <w:t>for</w:t>
      </w:r>
      <w:r w:rsidRPr="009202B0">
        <w:rPr>
          <w:rFonts w:asciiTheme="minorHAnsi" w:hAnsiTheme="minorHAnsi"/>
          <w:bCs/>
          <w:snapToGrid w:val="0"/>
        </w:rPr>
        <w:t xml:space="preserve"> AML.  The health care professional and the ALLG considered that gemtuzumab would likely be used in patients with CD33-positive AML with favourable/intermediate cytogenetic risk disease, </w:t>
      </w:r>
      <w:r>
        <w:rPr>
          <w:rFonts w:asciiTheme="minorHAnsi" w:hAnsiTheme="minorHAnsi"/>
          <w:bCs/>
          <w:snapToGrid w:val="0"/>
        </w:rPr>
        <w:t xml:space="preserve">who are fit for chemotherapy, </w:t>
      </w:r>
      <w:r w:rsidRPr="009202B0">
        <w:rPr>
          <w:rFonts w:asciiTheme="minorHAnsi" w:hAnsiTheme="minorHAnsi"/>
          <w:bCs/>
          <w:snapToGrid w:val="0"/>
        </w:rPr>
        <w:t>and that use would be limited in patients considered candidates for HSCT due to the potential AEs associated with gemtuzumab. The comments further expected that clinicians would favour use with daunorubicin</w:t>
      </w:r>
      <w:r>
        <w:rPr>
          <w:rFonts w:asciiTheme="minorHAnsi" w:hAnsiTheme="minorHAnsi"/>
          <w:bCs/>
          <w:snapToGrid w:val="0"/>
        </w:rPr>
        <w:t xml:space="preserve"> (rather than another anthracycline)</w:t>
      </w:r>
      <w:r w:rsidRPr="009202B0">
        <w:rPr>
          <w:rFonts w:asciiTheme="minorHAnsi" w:hAnsiTheme="minorHAnsi"/>
          <w:bCs/>
          <w:snapToGrid w:val="0"/>
        </w:rPr>
        <w:t xml:space="preserve">, </w:t>
      </w:r>
      <w:r>
        <w:rPr>
          <w:rFonts w:asciiTheme="minorHAnsi" w:hAnsiTheme="minorHAnsi"/>
          <w:bCs/>
          <w:snapToGrid w:val="0"/>
        </w:rPr>
        <w:t>because</w:t>
      </w:r>
      <w:r w:rsidRPr="009202B0">
        <w:rPr>
          <w:rFonts w:asciiTheme="minorHAnsi" w:hAnsiTheme="minorHAnsi"/>
          <w:bCs/>
          <w:snapToGrid w:val="0"/>
        </w:rPr>
        <w:t xml:space="preserve"> the key clinical evidence</w:t>
      </w:r>
      <w:r>
        <w:rPr>
          <w:rFonts w:asciiTheme="minorHAnsi" w:hAnsiTheme="minorHAnsi"/>
          <w:bCs/>
          <w:snapToGrid w:val="0"/>
        </w:rPr>
        <w:t xml:space="preserve"> supported use of</w:t>
      </w:r>
      <w:r w:rsidRPr="009202B0">
        <w:rPr>
          <w:rFonts w:asciiTheme="minorHAnsi" w:hAnsiTheme="minorHAnsi"/>
          <w:bCs/>
          <w:snapToGrid w:val="0"/>
        </w:rPr>
        <w:t xml:space="preserve"> this combination. </w:t>
      </w:r>
    </w:p>
    <w:p w14:paraId="09047280" w14:textId="77777777" w:rsidR="00104638" w:rsidRDefault="00104638" w:rsidP="00104638">
      <w:pPr>
        <w:widowControl w:val="0"/>
        <w:numPr>
          <w:ilvl w:val="1"/>
          <w:numId w:val="1"/>
        </w:numPr>
        <w:spacing w:after="120"/>
        <w:rPr>
          <w:rFonts w:asciiTheme="minorHAnsi" w:hAnsiTheme="minorHAnsi"/>
          <w:bCs/>
          <w:snapToGrid w:val="0"/>
        </w:rPr>
      </w:pPr>
      <w:r>
        <w:rPr>
          <w:rFonts w:asciiTheme="minorHAnsi" w:hAnsiTheme="minorHAnsi"/>
          <w:bCs/>
          <w:snapToGrid w:val="0"/>
        </w:rPr>
        <w:t>The</w:t>
      </w:r>
      <w:r w:rsidRPr="009202B0">
        <w:rPr>
          <w:rFonts w:asciiTheme="minorHAnsi" w:hAnsiTheme="minorHAnsi"/>
          <w:bCs/>
          <w:snapToGrid w:val="0"/>
        </w:rPr>
        <w:t xml:space="preserve"> PBAC sought additional clinical advice from the Haematology Society</w:t>
      </w:r>
      <w:r w:rsidRPr="00EE2430">
        <w:rPr>
          <w:rFonts w:asciiTheme="minorHAnsi" w:hAnsiTheme="minorHAnsi"/>
          <w:bCs/>
          <w:snapToGrid w:val="0"/>
        </w:rPr>
        <w:t xml:space="preserve"> of Australia and New Zealand </w:t>
      </w:r>
      <w:r>
        <w:rPr>
          <w:rFonts w:asciiTheme="minorHAnsi" w:hAnsiTheme="minorHAnsi"/>
          <w:bCs/>
          <w:snapToGrid w:val="0"/>
        </w:rPr>
        <w:t xml:space="preserve">(HSANZ) </w:t>
      </w:r>
      <w:r w:rsidRPr="00EE2430">
        <w:rPr>
          <w:rFonts w:asciiTheme="minorHAnsi" w:hAnsiTheme="minorHAnsi"/>
          <w:bCs/>
          <w:snapToGrid w:val="0"/>
        </w:rPr>
        <w:t>and the ALLG</w:t>
      </w:r>
      <w:r>
        <w:rPr>
          <w:rFonts w:asciiTheme="minorHAnsi" w:hAnsiTheme="minorHAnsi"/>
          <w:bCs/>
          <w:snapToGrid w:val="0"/>
        </w:rPr>
        <w:t>. Among other matters, the PBAC noted that:</w:t>
      </w:r>
    </w:p>
    <w:p w14:paraId="0AA93D38" w14:textId="77777777" w:rsidR="00104638" w:rsidRPr="00A64620" w:rsidRDefault="00104638" w:rsidP="00104638">
      <w:pPr>
        <w:pStyle w:val="ListParagraph"/>
        <w:widowControl w:val="0"/>
        <w:numPr>
          <w:ilvl w:val="0"/>
          <w:numId w:val="23"/>
        </w:numPr>
        <w:spacing w:after="120"/>
        <w:rPr>
          <w:rFonts w:asciiTheme="minorHAnsi" w:hAnsiTheme="minorHAnsi"/>
          <w:bCs/>
          <w:snapToGrid w:val="0"/>
        </w:rPr>
      </w:pPr>
      <w:r w:rsidRPr="00A64620">
        <w:rPr>
          <w:rFonts w:asciiTheme="minorHAnsi" w:hAnsiTheme="minorHAnsi"/>
          <w:bCs/>
          <w:snapToGrid w:val="0"/>
        </w:rPr>
        <w:t xml:space="preserve">HSANZ advised that AML was a poor prognosis aggressive blood cancer, and that gemtuzumab has shown benefits in terms of event-free survival and overall survival, thus addressing an unmet clinical need. HSANZ commented that the benefit in event-free survival was related to a reduction in relapsed leukaemia, and corresponded to a small benefit in overall survival. HSANZ noted no evidence to support the use of gemtuzumab in combination with midostaurin, and also did not support use in combination with novel low-intensity regimens (except in the context of a clinical trial). </w:t>
      </w:r>
    </w:p>
    <w:p w14:paraId="199E40F9" w14:textId="77777777" w:rsidR="00104638" w:rsidRDefault="00104638" w:rsidP="00104638">
      <w:pPr>
        <w:pStyle w:val="ListParagraph"/>
        <w:widowControl w:val="0"/>
        <w:numPr>
          <w:ilvl w:val="0"/>
          <w:numId w:val="23"/>
        </w:numPr>
        <w:spacing w:after="120"/>
        <w:rPr>
          <w:rFonts w:asciiTheme="minorHAnsi" w:hAnsiTheme="minorHAnsi"/>
          <w:bCs/>
          <w:snapToGrid w:val="0"/>
        </w:rPr>
      </w:pPr>
      <w:r w:rsidRPr="000455E1">
        <w:rPr>
          <w:rFonts w:asciiTheme="minorHAnsi" w:hAnsiTheme="minorHAnsi"/>
          <w:bCs/>
          <w:snapToGrid w:val="0"/>
        </w:rPr>
        <w:t xml:space="preserve">ALLG also </w:t>
      </w:r>
      <w:r w:rsidR="008C517B">
        <w:rPr>
          <w:rFonts w:asciiTheme="minorHAnsi" w:hAnsiTheme="minorHAnsi"/>
          <w:bCs/>
          <w:snapToGrid w:val="0"/>
        </w:rPr>
        <w:t xml:space="preserve">again </w:t>
      </w:r>
      <w:r w:rsidRPr="000455E1">
        <w:rPr>
          <w:rFonts w:asciiTheme="minorHAnsi" w:hAnsiTheme="minorHAnsi"/>
          <w:bCs/>
          <w:snapToGrid w:val="0"/>
        </w:rPr>
        <w:t>emphasised that gemtuzumab would likely be used in patients with CD33</w:t>
      </w:r>
      <w:r w:rsidR="008C517B">
        <w:rPr>
          <w:rFonts w:asciiTheme="minorHAnsi" w:hAnsiTheme="minorHAnsi"/>
          <w:bCs/>
          <w:snapToGrid w:val="0"/>
        </w:rPr>
        <w:t>-positive</w:t>
      </w:r>
      <w:r w:rsidRPr="000455E1">
        <w:rPr>
          <w:rFonts w:asciiTheme="minorHAnsi" w:hAnsiTheme="minorHAnsi"/>
          <w:bCs/>
          <w:snapToGrid w:val="0"/>
        </w:rPr>
        <w:t xml:space="preserve"> de novo AML with either favourable </w:t>
      </w:r>
      <w:r>
        <w:rPr>
          <w:rFonts w:asciiTheme="minorHAnsi" w:hAnsiTheme="minorHAnsi"/>
          <w:bCs/>
          <w:snapToGrid w:val="0"/>
        </w:rPr>
        <w:t>or</w:t>
      </w:r>
      <w:r w:rsidRPr="000455E1">
        <w:rPr>
          <w:rFonts w:asciiTheme="minorHAnsi" w:hAnsiTheme="minorHAnsi"/>
          <w:bCs/>
          <w:snapToGrid w:val="0"/>
        </w:rPr>
        <w:t xml:space="preserve"> intermediate cytogenetic disease (and was not expected to be used extensively outside those with core binding factor AML).</w:t>
      </w:r>
      <w:r>
        <w:rPr>
          <w:rFonts w:asciiTheme="minorHAnsi" w:hAnsiTheme="minorHAnsi"/>
          <w:bCs/>
          <w:snapToGrid w:val="0"/>
        </w:rPr>
        <w:t xml:space="preserve"> </w:t>
      </w:r>
      <w:r w:rsidRPr="000455E1">
        <w:rPr>
          <w:rFonts w:asciiTheme="minorHAnsi" w:hAnsiTheme="minorHAnsi"/>
          <w:bCs/>
          <w:snapToGrid w:val="0"/>
        </w:rPr>
        <w:t xml:space="preserve">It was </w:t>
      </w:r>
      <w:r w:rsidR="008C517B">
        <w:rPr>
          <w:rFonts w:asciiTheme="minorHAnsi" w:hAnsiTheme="minorHAnsi"/>
          <w:bCs/>
          <w:snapToGrid w:val="0"/>
        </w:rPr>
        <w:t xml:space="preserve">again </w:t>
      </w:r>
      <w:r w:rsidRPr="000455E1">
        <w:rPr>
          <w:rFonts w:asciiTheme="minorHAnsi" w:hAnsiTheme="minorHAnsi"/>
          <w:bCs/>
          <w:snapToGrid w:val="0"/>
        </w:rPr>
        <w:t xml:space="preserve">commented that clinicians would likely favour use in combination with daunorubicin, as the clinical literature was predominantly with this anthracycline. </w:t>
      </w:r>
      <w:r>
        <w:rPr>
          <w:rFonts w:asciiTheme="minorHAnsi" w:hAnsiTheme="minorHAnsi"/>
          <w:bCs/>
          <w:snapToGrid w:val="0"/>
        </w:rPr>
        <w:t xml:space="preserve">ALLG considered that </w:t>
      </w:r>
      <w:r w:rsidRPr="000455E1">
        <w:rPr>
          <w:rFonts w:asciiTheme="minorHAnsi" w:hAnsiTheme="minorHAnsi"/>
          <w:bCs/>
          <w:snapToGrid w:val="0"/>
        </w:rPr>
        <w:t xml:space="preserve">if remission is not achieved in a first cycle of therapy, it is highly unlikely that gemtuzumab would be used for a second cycle of therapy. </w:t>
      </w:r>
      <w:r>
        <w:rPr>
          <w:rFonts w:asciiTheme="minorHAnsi" w:hAnsiTheme="minorHAnsi"/>
          <w:bCs/>
          <w:snapToGrid w:val="0"/>
        </w:rPr>
        <w:t xml:space="preserve">There may also be a hesitancy to use during consolidation for patients expected to proceed to HSCT, due to concerns around </w:t>
      </w:r>
      <w:r w:rsidRPr="007B7E05">
        <w:rPr>
          <w:rFonts w:asciiTheme="minorHAnsi" w:hAnsiTheme="minorHAnsi"/>
          <w:bCs/>
          <w:snapToGrid w:val="0"/>
        </w:rPr>
        <w:t>veno-occlusive disease ri</w:t>
      </w:r>
      <w:r>
        <w:rPr>
          <w:rFonts w:asciiTheme="minorHAnsi" w:hAnsiTheme="minorHAnsi"/>
          <w:bCs/>
          <w:snapToGrid w:val="0"/>
        </w:rPr>
        <w:t xml:space="preserve">sk of gemtuzumab. </w:t>
      </w:r>
      <w:r w:rsidRPr="007B7E05">
        <w:rPr>
          <w:rFonts w:asciiTheme="minorHAnsi" w:hAnsiTheme="minorHAnsi"/>
          <w:bCs/>
          <w:snapToGrid w:val="0"/>
        </w:rPr>
        <w:t xml:space="preserve">Clinicians are </w:t>
      </w:r>
      <w:r>
        <w:rPr>
          <w:rFonts w:asciiTheme="minorHAnsi" w:hAnsiTheme="minorHAnsi"/>
          <w:bCs/>
          <w:snapToGrid w:val="0"/>
        </w:rPr>
        <w:t>unlikely to use gemtuzumab until</w:t>
      </w:r>
      <w:r w:rsidRPr="007B7E05">
        <w:rPr>
          <w:rFonts w:asciiTheme="minorHAnsi" w:hAnsiTheme="minorHAnsi"/>
          <w:bCs/>
          <w:snapToGrid w:val="0"/>
        </w:rPr>
        <w:t xml:space="preserve"> cytogenetic resul</w:t>
      </w:r>
      <w:r>
        <w:rPr>
          <w:rFonts w:asciiTheme="minorHAnsi" w:hAnsiTheme="minorHAnsi"/>
          <w:bCs/>
          <w:snapToGrid w:val="0"/>
        </w:rPr>
        <w:t xml:space="preserve">ts are confirmed, in order to select better prognosis patients for treatment. ALLG also considered that patients with unknown cytogenetics should not necessarily be excluded from PBS subsidy, as molecular testing could also identify better prognosis disease in patients whose cytogenetic test results were inconclusive. ALLG considered that there is not currently sufficient evidence to support use in FLT3-mutation positive patients. Finally, ALLG advised that there was an expected survival benefit over standard of care, and highlighted that paediatric populations should have access to such novel oncological therapies (although noted that the benefit in this population was observed in relation to event-free survival, rather than overall survival). </w:t>
      </w:r>
    </w:p>
    <w:p w14:paraId="672F49B3" w14:textId="77777777" w:rsidR="00104638" w:rsidRPr="000455E1" w:rsidRDefault="00104638" w:rsidP="00104638">
      <w:pPr>
        <w:pStyle w:val="ExecSumBodyText"/>
      </w:pPr>
      <w:r>
        <w:t xml:space="preserve">The PBAC noted that the expert advice from HSANZ, ALLG and the ESC was broadly aligned, and considered that gemtuzumab would likely be used in a smaller, more defined population of patients most likely to see benefit, than </w:t>
      </w:r>
      <w:r w:rsidR="008661BE">
        <w:t xml:space="preserve">that which </w:t>
      </w:r>
      <w:r>
        <w:t>had been assumed by the resubmission.</w:t>
      </w:r>
    </w:p>
    <w:bookmarkEnd w:id="17"/>
    <w:p w14:paraId="1C2B4F8A" w14:textId="77777777" w:rsidR="00B60939" w:rsidRPr="00610FCD" w:rsidRDefault="00B60939" w:rsidP="002E4F02">
      <w:pPr>
        <w:pStyle w:val="3-SubsectionHeading"/>
      </w:pPr>
      <w:r w:rsidRPr="00610FCD">
        <w:t>Clinical</w:t>
      </w:r>
      <w:r w:rsidR="00AE6692" w:rsidRPr="00610FCD">
        <w:t xml:space="preserve"> </w:t>
      </w:r>
      <w:r w:rsidRPr="00610FCD">
        <w:t>trials</w:t>
      </w:r>
      <w:bookmarkEnd w:id="15"/>
      <w:bookmarkEnd w:id="18"/>
    </w:p>
    <w:p w14:paraId="4497301B" w14:textId="77777777" w:rsidR="007F1017" w:rsidRPr="00610FCD" w:rsidRDefault="00AE6692" w:rsidP="002E4F02">
      <w:pPr>
        <w:pStyle w:val="ExecSumBodyText"/>
      </w:pPr>
      <w:r w:rsidRPr="00610FCD">
        <w:rPr>
          <w:snapToGrid/>
        </w:rPr>
        <w:t>The</w:t>
      </w:r>
      <w:r w:rsidR="00BC591F" w:rsidRPr="00610FCD">
        <w:t xml:space="preserve"> </w:t>
      </w:r>
      <w:r w:rsidRPr="00610FCD">
        <w:t xml:space="preserve">resubmission was based on the following clinical evidence, </w:t>
      </w:r>
      <w:r w:rsidRPr="00FB1983">
        <w:rPr>
          <w:iCs/>
        </w:rPr>
        <w:t>previously considered by the PBAC at the March 2021 PBAC meeting:</w:t>
      </w:r>
    </w:p>
    <w:p w14:paraId="771D66E1" w14:textId="77777777" w:rsidR="00AE6692" w:rsidRPr="00610FCD" w:rsidRDefault="00AE6692" w:rsidP="00561C6A">
      <w:pPr>
        <w:pStyle w:val="ListParagraph"/>
        <w:numPr>
          <w:ilvl w:val="0"/>
          <w:numId w:val="6"/>
        </w:numPr>
      </w:pPr>
      <w:r w:rsidRPr="00610FCD">
        <w:t xml:space="preserve">A head-to-head trial, ALFA-0701, comparing gemtuzumab with standard intensive remission chemotherapy (cytarabine and daunorubicin) versus standard intensive remission chemotherapy (cytarabine and daunorubicin) alone in induction and consolidation chemotherapy. </w:t>
      </w:r>
    </w:p>
    <w:p w14:paraId="3E00B53B" w14:textId="77777777" w:rsidR="00AE6692" w:rsidRPr="00610FCD" w:rsidRDefault="00AE6692" w:rsidP="00561C6A">
      <w:pPr>
        <w:pStyle w:val="ListParagraph"/>
        <w:numPr>
          <w:ilvl w:val="0"/>
          <w:numId w:val="6"/>
        </w:numPr>
      </w:pPr>
      <w:r w:rsidRPr="00610FCD">
        <w:t xml:space="preserve">A supportive meta-analysis of individual patient data (IPD) of 5 trials including the pivotal trial, ALFA-0701, and 4 other trials (MRC AML15, SWOG S0106, NCRI AML16, GOELAMS AML 2006 IR) comparing gemtuzumab as add-on to induction chemotherapy versus induction chemotherapy alone. The resubmission noted that this analysis </w:t>
      </w:r>
      <w:r w:rsidR="008D6BBF">
        <w:t>was</w:t>
      </w:r>
      <w:r w:rsidRPr="00610FCD">
        <w:t xml:space="preserve"> considered supportive only as the 4 other trials employed dosage regimens for gemtuzumab that were inconsistent with the Product Information. </w:t>
      </w:r>
      <w:r w:rsidRPr="00FB1983">
        <w:rPr>
          <w:iCs/>
        </w:rPr>
        <w:t xml:space="preserve">These trials were also based on broader patient populations (including secondary AML and high-risk myelodysplastic syndrome), used varying dosing regimens of gemtuzumab and varying backbone chemotherapy regimens. </w:t>
      </w:r>
    </w:p>
    <w:p w14:paraId="3C357D10" w14:textId="77777777" w:rsidR="003F11D4" w:rsidRPr="00610FCD" w:rsidRDefault="00AE6692" w:rsidP="00561C6A">
      <w:pPr>
        <w:pStyle w:val="ListParagraph"/>
        <w:numPr>
          <w:ilvl w:val="0"/>
          <w:numId w:val="6"/>
        </w:numPr>
        <w:spacing w:after="120"/>
        <w:ind w:left="1077" w:hanging="357"/>
      </w:pPr>
      <w:r w:rsidRPr="00610FCD">
        <w:t xml:space="preserve">Supportive data from a published systematic review (Li 2014) and network meta-analysis (Ashaye 2019) assessing gemtuzumab as add-on to standard induction chemotherapy. </w:t>
      </w:r>
      <w:r w:rsidRPr="00FB1983">
        <w:rPr>
          <w:iCs/>
        </w:rPr>
        <w:t>Another relevant systematic review (Kharfan-Dabaja 2013) was identified during the evaluation of the previous submission and included in the March 2021 commentary.</w:t>
      </w:r>
    </w:p>
    <w:p w14:paraId="6B0BA67A" w14:textId="77777777" w:rsidR="00862502" w:rsidRPr="00610FCD" w:rsidRDefault="00A73134" w:rsidP="002E4F02">
      <w:pPr>
        <w:pStyle w:val="ExecSumBodyText"/>
      </w:pPr>
      <w:r w:rsidRPr="00610FCD">
        <w:rPr>
          <w:snapToGrid/>
        </w:rPr>
        <w:t xml:space="preserve">Details of the </w:t>
      </w:r>
      <w:r w:rsidR="00C30265" w:rsidRPr="00610FCD">
        <w:rPr>
          <w:snapToGrid/>
        </w:rPr>
        <w:t>key trial and supportive studies presented in the resubmission are provided in the table below.</w:t>
      </w:r>
    </w:p>
    <w:p w14:paraId="38FE8417" w14:textId="77777777" w:rsidR="00E24D5E" w:rsidRPr="00610FCD" w:rsidRDefault="00484063" w:rsidP="00484063">
      <w:pPr>
        <w:pStyle w:val="TableFigureCaption"/>
      </w:pPr>
      <w:r>
        <w:t xml:space="preserve">Table </w:t>
      </w:r>
      <w:r w:rsidR="00F90EC3">
        <w:rPr>
          <w:noProof/>
        </w:rPr>
        <w:t>3</w:t>
      </w:r>
      <w:r w:rsidR="00E24D5E" w:rsidRPr="00610FCD">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158"/>
        <w:gridCol w:w="6256"/>
        <w:gridCol w:w="1603"/>
      </w:tblGrid>
      <w:tr w:rsidR="00E24D5E" w:rsidRPr="00610FCD" w14:paraId="5F3A7799" w14:textId="77777777" w:rsidTr="00CA3DD2">
        <w:trPr>
          <w:cantSplit/>
          <w:tblHeader/>
        </w:trPr>
        <w:tc>
          <w:tcPr>
            <w:tcW w:w="642" w:type="pct"/>
            <w:vAlign w:val="center"/>
          </w:tcPr>
          <w:p w14:paraId="171E443E" w14:textId="77777777" w:rsidR="00E24D5E" w:rsidRPr="00610FCD" w:rsidRDefault="00E24D5E" w:rsidP="003D660F">
            <w:pPr>
              <w:pStyle w:val="Tableheadingrow"/>
              <w:jc w:val="center"/>
              <w:rPr>
                <w:lang w:val="en-AU"/>
              </w:rPr>
            </w:pPr>
            <w:r w:rsidRPr="00610FCD">
              <w:rPr>
                <w:lang w:val="en-AU"/>
              </w:rPr>
              <w:t>Trial ID</w:t>
            </w:r>
          </w:p>
        </w:tc>
        <w:tc>
          <w:tcPr>
            <w:tcW w:w="3469" w:type="pct"/>
            <w:tcBorders>
              <w:bottom w:val="single" w:sz="4" w:space="0" w:color="auto"/>
            </w:tcBorders>
            <w:vAlign w:val="center"/>
          </w:tcPr>
          <w:p w14:paraId="7F2CC8D9" w14:textId="77777777" w:rsidR="00E24D5E" w:rsidRPr="00610FCD" w:rsidRDefault="00E24D5E" w:rsidP="003D660F">
            <w:pPr>
              <w:pStyle w:val="Tableheadingrow"/>
              <w:rPr>
                <w:lang w:val="en-AU"/>
              </w:rPr>
            </w:pPr>
            <w:r w:rsidRPr="00610FCD">
              <w:rPr>
                <w:lang w:val="en-AU"/>
              </w:rPr>
              <w:t>Protocol title/ Publication title</w:t>
            </w:r>
          </w:p>
        </w:tc>
        <w:tc>
          <w:tcPr>
            <w:tcW w:w="889" w:type="pct"/>
            <w:tcBorders>
              <w:bottom w:val="single" w:sz="4" w:space="0" w:color="auto"/>
            </w:tcBorders>
            <w:vAlign w:val="center"/>
          </w:tcPr>
          <w:p w14:paraId="74223439" w14:textId="77777777" w:rsidR="00E24D5E" w:rsidRPr="00610FCD" w:rsidRDefault="00E24D5E" w:rsidP="003D660F">
            <w:pPr>
              <w:pStyle w:val="Tableheadingrow"/>
              <w:rPr>
                <w:lang w:val="en-AU"/>
              </w:rPr>
            </w:pPr>
            <w:r w:rsidRPr="00610FCD">
              <w:rPr>
                <w:lang w:val="en-AU"/>
              </w:rPr>
              <w:t>Publication citation</w:t>
            </w:r>
          </w:p>
        </w:tc>
      </w:tr>
      <w:tr w:rsidR="00E24D5E" w:rsidRPr="00610FCD" w14:paraId="03598202" w14:textId="77777777" w:rsidTr="00CA3DD2">
        <w:trPr>
          <w:cantSplit/>
        </w:trPr>
        <w:tc>
          <w:tcPr>
            <w:tcW w:w="5000" w:type="pct"/>
            <w:gridSpan w:val="3"/>
            <w:vAlign w:val="center"/>
          </w:tcPr>
          <w:p w14:paraId="610B2363" w14:textId="77777777" w:rsidR="00E24D5E" w:rsidRPr="00610FCD" w:rsidRDefault="00E24D5E" w:rsidP="003D660F">
            <w:pPr>
              <w:pStyle w:val="Tableheadingrow"/>
              <w:rPr>
                <w:lang w:val="en-AU"/>
              </w:rPr>
            </w:pPr>
            <w:r w:rsidRPr="00610FCD">
              <w:rPr>
                <w:lang w:val="en-AU"/>
              </w:rPr>
              <w:t>Key clinical trial</w:t>
            </w:r>
          </w:p>
        </w:tc>
      </w:tr>
      <w:tr w:rsidR="00E24D5E" w:rsidRPr="00610FCD" w14:paraId="4B7F81D3" w14:textId="77777777" w:rsidTr="00CA3DD2">
        <w:trPr>
          <w:cantSplit/>
        </w:trPr>
        <w:tc>
          <w:tcPr>
            <w:tcW w:w="642" w:type="pct"/>
            <w:vMerge w:val="restart"/>
            <w:tcBorders>
              <w:right w:val="single" w:sz="4" w:space="0" w:color="auto"/>
            </w:tcBorders>
          </w:tcPr>
          <w:p w14:paraId="1BDD2F91" w14:textId="77777777" w:rsidR="00E24D5E" w:rsidRPr="00610FCD" w:rsidRDefault="00E24D5E" w:rsidP="003D660F">
            <w:pPr>
              <w:pStyle w:val="TableText"/>
              <w:rPr>
                <w:rFonts w:ascii="Times" w:hAnsi="Times"/>
              </w:rPr>
            </w:pPr>
            <w:r w:rsidRPr="00610FCD">
              <w:t>ALFA-0701</w:t>
            </w:r>
          </w:p>
        </w:tc>
        <w:tc>
          <w:tcPr>
            <w:tcW w:w="3469" w:type="pct"/>
            <w:tcBorders>
              <w:top w:val="single" w:sz="4" w:space="0" w:color="auto"/>
              <w:left w:val="single" w:sz="4" w:space="0" w:color="auto"/>
              <w:bottom w:val="nil"/>
              <w:right w:val="single" w:sz="4" w:space="0" w:color="auto"/>
            </w:tcBorders>
          </w:tcPr>
          <w:p w14:paraId="0F7680EE" w14:textId="77777777" w:rsidR="00E24D5E" w:rsidRPr="00610FCD" w:rsidRDefault="00E24D5E" w:rsidP="003D660F">
            <w:pPr>
              <w:pStyle w:val="TableText"/>
            </w:pPr>
            <w:r w:rsidRPr="00610FCD">
              <w:t>Multicentre, randomized, phase 3 study of fractionated doses of the monoclonal antibody Gemtuzumab Ozogamicin (Mylotarg) in addition to Daunorubicin + Cytarabine for induction and consolidation therapy in patients with Acute Myeloid Leukaemia (AML) aged 50-70 years. (NCT00927498).</w:t>
            </w:r>
          </w:p>
        </w:tc>
        <w:tc>
          <w:tcPr>
            <w:tcW w:w="889" w:type="pct"/>
            <w:tcBorders>
              <w:top w:val="single" w:sz="4" w:space="0" w:color="auto"/>
              <w:left w:val="single" w:sz="4" w:space="0" w:color="auto"/>
              <w:bottom w:val="nil"/>
              <w:right w:val="single" w:sz="4" w:space="0" w:color="auto"/>
            </w:tcBorders>
          </w:tcPr>
          <w:p w14:paraId="503CE73A" w14:textId="77777777" w:rsidR="00E24D5E" w:rsidRPr="00610FCD" w:rsidRDefault="00E24D5E" w:rsidP="003D660F">
            <w:pPr>
              <w:pStyle w:val="TableText"/>
              <w:rPr>
                <w:rFonts w:ascii="Times" w:hAnsi="Times"/>
              </w:rPr>
            </w:pPr>
            <w:r w:rsidRPr="00610FCD">
              <w:t>Clinical Study Report, 26 July 2016</w:t>
            </w:r>
          </w:p>
        </w:tc>
      </w:tr>
      <w:tr w:rsidR="00E24D5E" w:rsidRPr="00610FCD" w14:paraId="335A1498" w14:textId="77777777" w:rsidTr="00CA3DD2">
        <w:trPr>
          <w:cantSplit/>
        </w:trPr>
        <w:tc>
          <w:tcPr>
            <w:tcW w:w="642" w:type="pct"/>
            <w:vMerge/>
            <w:tcBorders>
              <w:right w:val="single" w:sz="4" w:space="0" w:color="auto"/>
            </w:tcBorders>
            <w:vAlign w:val="center"/>
          </w:tcPr>
          <w:p w14:paraId="75A448C0" w14:textId="77777777" w:rsidR="00E24D5E" w:rsidRPr="00610FCD" w:rsidRDefault="00E24D5E" w:rsidP="003D660F">
            <w:pPr>
              <w:pStyle w:val="TableText"/>
              <w:jc w:val="center"/>
            </w:pPr>
          </w:p>
        </w:tc>
        <w:tc>
          <w:tcPr>
            <w:tcW w:w="3469" w:type="pct"/>
            <w:tcBorders>
              <w:top w:val="nil"/>
              <w:left w:val="single" w:sz="4" w:space="0" w:color="auto"/>
              <w:bottom w:val="nil"/>
              <w:right w:val="single" w:sz="4" w:space="0" w:color="auto"/>
            </w:tcBorders>
          </w:tcPr>
          <w:p w14:paraId="3A87EA6E" w14:textId="77777777" w:rsidR="00E24D5E" w:rsidRPr="00610FCD" w:rsidRDefault="00E24D5E" w:rsidP="003D660F">
            <w:pPr>
              <w:pStyle w:val="TableText"/>
            </w:pPr>
            <w:r w:rsidRPr="00610FCD">
              <w:t>Castaigne, Pautas, Terre et al. Effect of gemtuzumab ozogamicin on survival of adult patients with de-novo acute myeloid leukaemia (ALFA-0701): a randomised, open-label, phase 3 study.</w:t>
            </w:r>
          </w:p>
        </w:tc>
        <w:tc>
          <w:tcPr>
            <w:tcW w:w="889" w:type="pct"/>
            <w:tcBorders>
              <w:top w:val="nil"/>
              <w:left w:val="single" w:sz="4" w:space="0" w:color="auto"/>
              <w:bottom w:val="nil"/>
              <w:right w:val="single" w:sz="4" w:space="0" w:color="auto"/>
            </w:tcBorders>
          </w:tcPr>
          <w:p w14:paraId="0B396165" w14:textId="77777777" w:rsidR="00E24D5E" w:rsidRPr="00610FCD" w:rsidRDefault="00E24D5E" w:rsidP="003D660F">
            <w:pPr>
              <w:pStyle w:val="TableText"/>
            </w:pPr>
            <w:r w:rsidRPr="00610FCD">
              <w:rPr>
                <w:i/>
              </w:rPr>
              <w:t>Lancet</w:t>
            </w:r>
            <w:r w:rsidRPr="00610FCD">
              <w:t xml:space="preserve"> 2012; 379(9825):1508-16</w:t>
            </w:r>
          </w:p>
        </w:tc>
      </w:tr>
      <w:tr w:rsidR="00E24D5E" w:rsidRPr="00610FCD" w14:paraId="4B643DE4" w14:textId="77777777" w:rsidTr="00CA3DD2">
        <w:trPr>
          <w:cantSplit/>
        </w:trPr>
        <w:tc>
          <w:tcPr>
            <w:tcW w:w="642" w:type="pct"/>
            <w:vMerge/>
            <w:tcBorders>
              <w:right w:val="single" w:sz="4" w:space="0" w:color="auto"/>
            </w:tcBorders>
            <w:vAlign w:val="center"/>
          </w:tcPr>
          <w:p w14:paraId="21D4C7D7" w14:textId="77777777" w:rsidR="00E24D5E" w:rsidRPr="00610FCD" w:rsidRDefault="00E24D5E" w:rsidP="003D660F">
            <w:pPr>
              <w:pStyle w:val="TableText"/>
              <w:jc w:val="center"/>
            </w:pPr>
          </w:p>
        </w:tc>
        <w:tc>
          <w:tcPr>
            <w:tcW w:w="3469" w:type="pct"/>
            <w:tcBorders>
              <w:top w:val="nil"/>
              <w:left w:val="single" w:sz="4" w:space="0" w:color="auto"/>
              <w:bottom w:val="nil"/>
              <w:right w:val="single" w:sz="4" w:space="0" w:color="auto"/>
            </w:tcBorders>
          </w:tcPr>
          <w:p w14:paraId="7B03348E" w14:textId="77777777" w:rsidR="00E24D5E" w:rsidRPr="00610FCD" w:rsidRDefault="00E24D5E" w:rsidP="003D660F">
            <w:pPr>
              <w:pStyle w:val="TableText"/>
            </w:pPr>
            <w:r w:rsidRPr="00610FCD">
              <w:t>Fournier, Duployez, Ducourneau et al. Mutational profile and benefit of gemtuzumab in acute myeloid leukemia.</w:t>
            </w:r>
          </w:p>
        </w:tc>
        <w:tc>
          <w:tcPr>
            <w:tcW w:w="889" w:type="pct"/>
            <w:tcBorders>
              <w:top w:val="nil"/>
              <w:left w:val="single" w:sz="4" w:space="0" w:color="auto"/>
              <w:bottom w:val="nil"/>
              <w:right w:val="single" w:sz="4" w:space="0" w:color="auto"/>
            </w:tcBorders>
          </w:tcPr>
          <w:p w14:paraId="4504274B" w14:textId="77777777" w:rsidR="00E24D5E" w:rsidRPr="00610FCD" w:rsidRDefault="00E24D5E" w:rsidP="003D660F">
            <w:pPr>
              <w:pStyle w:val="TableText"/>
              <w:rPr>
                <w:i/>
              </w:rPr>
            </w:pPr>
            <w:r w:rsidRPr="00610FCD">
              <w:rPr>
                <w:i/>
              </w:rPr>
              <w:t>Blood</w:t>
            </w:r>
            <w:r w:rsidRPr="00610FCD">
              <w:t xml:space="preserve"> 2020; 135(8):542-546</w:t>
            </w:r>
          </w:p>
        </w:tc>
      </w:tr>
      <w:tr w:rsidR="00E24D5E" w:rsidRPr="00610FCD" w14:paraId="6E55FFFE" w14:textId="77777777" w:rsidTr="00CA3DD2">
        <w:trPr>
          <w:cantSplit/>
        </w:trPr>
        <w:tc>
          <w:tcPr>
            <w:tcW w:w="642" w:type="pct"/>
            <w:vMerge/>
            <w:tcBorders>
              <w:right w:val="single" w:sz="4" w:space="0" w:color="auto"/>
            </w:tcBorders>
            <w:vAlign w:val="center"/>
          </w:tcPr>
          <w:p w14:paraId="5FA71EE8" w14:textId="77777777" w:rsidR="00E24D5E" w:rsidRPr="00610FCD" w:rsidRDefault="00E24D5E" w:rsidP="003D660F">
            <w:pPr>
              <w:pStyle w:val="TableText"/>
              <w:jc w:val="center"/>
              <w:rPr>
                <w:rFonts w:ascii="Times" w:hAnsi="Times"/>
              </w:rPr>
            </w:pPr>
          </w:p>
        </w:tc>
        <w:tc>
          <w:tcPr>
            <w:tcW w:w="3469" w:type="pct"/>
            <w:tcBorders>
              <w:top w:val="nil"/>
              <w:left w:val="single" w:sz="4" w:space="0" w:color="auto"/>
              <w:bottom w:val="nil"/>
            </w:tcBorders>
          </w:tcPr>
          <w:p w14:paraId="29598446" w14:textId="77777777" w:rsidR="00E24D5E" w:rsidRPr="00610FCD" w:rsidRDefault="00E24D5E" w:rsidP="003D660F">
            <w:pPr>
              <w:pStyle w:val="TableText"/>
              <w:rPr>
                <w:rFonts w:ascii="Times" w:hAnsi="Times"/>
              </w:rPr>
            </w:pPr>
            <w:r w:rsidRPr="00610FCD">
              <w:t>Lambert, Pautas, Terre et al. Gemtuzumab ozogamicin for de novo acute myeloid leukemia: final efficacy and safety updates from the open-label, phase II ALFA-0701 trial.</w:t>
            </w:r>
          </w:p>
        </w:tc>
        <w:tc>
          <w:tcPr>
            <w:tcW w:w="889" w:type="pct"/>
            <w:tcBorders>
              <w:top w:val="nil"/>
              <w:bottom w:val="nil"/>
            </w:tcBorders>
          </w:tcPr>
          <w:p w14:paraId="6A342AAC" w14:textId="77777777" w:rsidR="00E24D5E" w:rsidRPr="00610FCD" w:rsidRDefault="00E24D5E" w:rsidP="003D660F">
            <w:pPr>
              <w:pStyle w:val="TableText"/>
            </w:pPr>
            <w:r w:rsidRPr="00610FCD">
              <w:rPr>
                <w:i/>
              </w:rPr>
              <w:t>Haematologica</w:t>
            </w:r>
            <w:r w:rsidRPr="00610FCD">
              <w:t xml:space="preserve"> 2019; 104(1):113-119</w:t>
            </w:r>
          </w:p>
        </w:tc>
      </w:tr>
      <w:tr w:rsidR="00E24D5E" w:rsidRPr="00610FCD" w14:paraId="1BBE5350" w14:textId="77777777" w:rsidTr="00CA3DD2">
        <w:trPr>
          <w:cantSplit/>
        </w:trPr>
        <w:tc>
          <w:tcPr>
            <w:tcW w:w="642" w:type="pct"/>
            <w:vMerge/>
            <w:tcBorders>
              <w:right w:val="single" w:sz="4" w:space="0" w:color="auto"/>
            </w:tcBorders>
            <w:vAlign w:val="center"/>
          </w:tcPr>
          <w:p w14:paraId="744AA89C" w14:textId="77777777" w:rsidR="00E24D5E" w:rsidRPr="00610FCD" w:rsidRDefault="00E24D5E" w:rsidP="003D660F">
            <w:pPr>
              <w:pStyle w:val="TableText"/>
              <w:jc w:val="center"/>
            </w:pPr>
          </w:p>
        </w:tc>
        <w:tc>
          <w:tcPr>
            <w:tcW w:w="3469" w:type="pct"/>
            <w:tcBorders>
              <w:top w:val="nil"/>
              <w:left w:val="single" w:sz="4" w:space="0" w:color="auto"/>
              <w:bottom w:val="nil"/>
            </w:tcBorders>
          </w:tcPr>
          <w:p w14:paraId="6F3353E4" w14:textId="77777777" w:rsidR="00E24D5E" w:rsidRPr="00610FCD" w:rsidRDefault="00E24D5E" w:rsidP="003D660F">
            <w:pPr>
              <w:pStyle w:val="TableText"/>
            </w:pPr>
            <w:r w:rsidRPr="00610FCD">
              <w:t>Olombel, Guerin, Guy et al. The level of blast CD33 expression positively impacts the effect of gemtuzumab ozogamicin in patients with acute myeloid leukemia.</w:t>
            </w:r>
          </w:p>
        </w:tc>
        <w:tc>
          <w:tcPr>
            <w:tcW w:w="889" w:type="pct"/>
            <w:tcBorders>
              <w:top w:val="nil"/>
              <w:bottom w:val="nil"/>
            </w:tcBorders>
          </w:tcPr>
          <w:p w14:paraId="1F264F56" w14:textId="77777777" w:rsidR="00E24D5E" w:rsidRPr="00610FCD" w:rsidRDefault="00E24D5E" w:rsidP="003D660F">
            <w:pPr>
              <w:pStyle w:val="TableText"/>
              <w:rPr>
                <w:i/>
              </w:rPr>
            </w:pPr>
            <w:r w:rsidRPr="00610FCD">
              <w:rPr>
                <w:i/>
              </w:rPr>
              <w:t>Blood</w:t>
            </w:r>
            <w:r w:rsidRPr="00610FCD">
              <w:t xml:space="preserve"> 2016; 124(17):2157-60</w:t>
            </w:r>
          </w:p>
        </w:tc>
      </w:tr>
      <w:tr w:rsidR="00E24D5E" w:rsidRPr="00610FCD" w14:paraId="79C61504" w14:textId="77777777" w:rsidTr="00CA3DD2">
        <w:trPr>
          <w:cantSplit/>
        </w:trPr>
        <w:tc>
          <w:tcPr>
            <w:tcW w:w="642" w:type="pct"/>
            <w:vMerge/>
            <w:tcBorders>
              <w:bottom w:val="nil"/>
              <w:right w:val="single" w:sz="4" w:space="0" w:color="auto"/>
            </w:tcBorders>
            <w:vAlign w:val="center"/>
          </w:tcPr>
          <w:p w14:paraId="6F8ED8F6" w14:textId="77777777" w:rsidR="00E24D5E" w:rsidRPr="00610FCD" w:rsidRDefault="00E24D5E" w:rsidP="003D660F">
            <w:pPr>
              <w:pStyle w:val="TableText"/>
              <w:jc w:val="center"/>
            </w:pPr>
          </w:p>
        </w:tc>
        <w:tc>
          <w:tcPr>
            <w:tcW w:w="3469" w:type="pct"/>
            <w:tcBorders>
              <w:top w:val="nil"/>
              <w:left w:val="single" w:sz="4" w:space="0" w:color="auto"/>
              <w:bottom w:val="nil"/>
            </w:tcBorders>
          </w:tcPr>
          <w:p w14:paraId="56263859" w14:textId="77777777" w:rsidR="00E24D5E" w:rsidRPr="00610FCD" w:rsidRDefault="00E24D5E" w:rsidP="003D660F">
            <w:pPr>
              <w:pStyle w:val="TableText"/>
            </w:pPr>
            <w:r w:rsidRPr="00610FCD">
              <w:t>Renneville, Abdelali, Chevret et al. Clinical impact of gene mutations and lesions detected by SNP-array karyotyping in acute myeloid leukemia patients in the context of gemtuzumab ozogamicin treatment: Results of the ALFA-0701 trial.</w:t>
            </w:r>
          </w:p>
        </w:tc>
        <w:tc>
          <w:tcPr>
            <w:tcW w:w="889" w:type="pct"/>
            <w:tcBorders>
              <w:top w:val="nil"/>
              <w:bottom w:val="nil"/>
            </w:tcBorders>
          </w:tcPr>
          <w:p w14:paraId="134C863A" w14:textId="77777777" w:rsidR="00E24D5E" w:rsidRPr="00610FCD" w:rsidRDefault="00E24D5E" w:rsidP="003D660F">
            <w:pPr>
              <w:pStyle w:val="TableText"/>
              <w:rPr>
                <w:rFonts w:ascii="Times" w:hAnsi="Times"/>
              </w:rPr>
            </w:pPr>
            <w:r w:rsidRPr="00610FCD">
              <w:rPr>
                <w:i/>
              </w:rPr>
              <w:t xml:space="preserve">Oncotarget </w:t>
            </w:r>
            <w:r w:rsidRPr="00610FCD">
              <w:t>2014; 5(4):916-932</w:t>
            </w:r>
          </w:p>
        </w:tc>
      </w:tr>
      <w:tr w:rsidR="00E24D5E" w:rsidRPr="00610FCD" w14:paraId="3D01F436" w14:textId="77777777" w:rsidTr="00CA3DD2">
        <w:trPr>
          <w:cantSplit/>
        </w:trPr>
        <w:tc>
          <w:tcPr>
            <w:tcW w:w="642" w:type="pct"/>
            <w:vMerge/>
            <w:tcBorders>
              <w:bottom w:val="nil"/>
            </w:tcBorders>
            <w:vAlign w:val="center"/>
          </w:tcPr>
          <w:p w14:paraId="3F213244" w14:textId="77777777" w:rsidR="00E24D5E" w:rsidRPr="00610FCD" w:rsidRDefault="00E24D5E" w:rsidP="003D660F">
            <w:pPr>
              <w:pStyle w:val="TableText"/>
              <w:jc w:val="center"/>
            </w:pPr>
          </w:p>
        </w:tc>
        <w:tc>
          <w:tcPr>
            <w:tcW w:w="3469" w:type="pct"/>
            <w:tcBorders>
              <w:top w:val="nil"/>
              <w:bottom w:val="nil"/>
            </w:tcBorders>
          </w:tcPr>
          <w:p w14:paraId="77921F42" w14:textId="77777777" w:rsidR="00E24D5E" w:rsidRPr="00610FCD" w:rsidRDefault="00E24D5E" w:rsidP="003D660F">
            <w:pPr>
              <w:pStyle w:val="TableText"/>
            </w:pPr>
            <w:r w:rsidRPr="00610FCD">
              <w:rPr>
                <w:szCs w:val="18"/>
              </w:rPr>
              <w:t xml:space="preserve">Othus, Wood, Stirewalt et al. Effect of measurable (“minimal”) residual disease (MRD) information on prediction of relapse and survival in adult acute myeloid leukemia. </w:t>
            </w:r>
          </w:p>
        </w:tc>
        <w:tc>
          <w:tcPr>
            <w:tcW w:w="889" w:type="pct"/>
            <w:tcBorders>
              <w:top w:val="nil"/>
              <w:bottom w:val="nil"/>
            </w:tcBorders>
          </w:tcPr>
          <w:p w14:paraId="3BC62EE6" w14:textId="77777777" w:rsidR="00E24D5E" w:rsidRPr="00610FCD" w:rsidRDefault="00E24D5E" w:rsidP="003D660F">
            <w:pPr>
              <w:pStyle w:val="TableText"/>
              <w:rPr>
                <w:i/>
              </w:rPr>
            </w:pPr>
            <w:r w:rsidRPr="00610FCD">
              <w:rPr>
                <w:i/>
              </w:rPr>
              <w:t>Leukemia</w:t>
            </w:r>
            <w:r w:rsidRPr="00610FCD">
              <w:t xml:space="preserve"> 2016; 30(10):2080-83</w:t>
            </w:r>
          </w:p>
        </w:tc>
      </w:tr>
      <w:tr w:rsidR="00E24D5E" w:rsidRPr="00610FCD" w14:paraId="72D30829" w14:textId="77777777" w:rsidTr="00CA3DD2">
        <w:trPr>
          <w:cantSplit/>
        </w:trPr>
        <w:tc>
          <w:tcPr>
            <w:tcW w:w="5000" w:type="pct"/>
            <w:gridSpan w:val="3"/>
            <w:tcBorders>
              <w:bottom w:val="single" w:sz="4" w:space="0" w:color="auto"/>
            </w:tcBorders>
            <w:vAlign w:val="center"/>
          </w:tcPr>
          <w:p w14:paraId="0F02A079" w14:textId="77777777" w:rsidR="00E24D5E" w:rsidRPr="00610FCD" w:rsidRDefault="00E24D5E" w:rsidP="003D660F">
            <w:pPr>
              <w:pStyle w:val="TableText"/>
            </w:pPr>
            <w:r w:rsidRPr="00610FCD">
              <w:rPr>
                <w:b/>
              </w:rPr>
              <w:t>Systematic reviews and meta-analyses</w:t>
            </w:r>
          </w:p>
        </w:tc>
      </w:tr>
      <w:tr w:rsidR="00E24D5E" w:rsidRPr="00610FCD" w14:paraId="05C0A992" w14:textId="77777777" w:rsidTr="00CA3DD2">
        <w:trPr>
          <w:cantSplit/>
        </w:trPr>
        <w:tc>
          <w:tcPr>
            <w:tcW w:w="642" w:type="pct"/>
            <w:tcBorders>
              <w:bottom w:val="single" w:sz="4" w:space="0" w:color="auto"/>
            </w:tcBorders>
          </w:tcPr>
          <w:p w14:paraId="24ED14AB" w14:textId="77777777" w:rsidR="00E24D5E" w:rsidRPr="00610FCD" w:rsidRDefault="00E24D5E" w:rsidP="003D660F">
            <w:pPr>
              <w:pStyle w:val="TableText"/>
            </w:pPr>
            <w:r w:rsidRPr="00610FCD">
              <w:t>Ashaye 2019</w:t>
            </w:r>
          </w:p>
        </w:tc>
        <w:tc>
          <w:tcPr>
            <w:tcW w:w="3469" w:type="pct"/>
            <w:tcBorders>
              <w:bottom w:val="single" w:sz="4" w:space="0" w:color="auto"/>
            </w:tcBorders>
          </w:tcPr>
          <w:p w14:paraId="363E9CB1" w14:textId="77777777" w:rsidR="00E24D5E" w:rsidRPr="00610FCD" w:rsidRDefault="00E24D5E" w:rsidP="003D660F">
            <w:pPr>
              <w:pStyle w:val="TableText"/>
            </w:pPr>
            <w:r w:rsidRPr="00610FCD">
              <w:rPr>
                <w:szCs w:val="18"/>
              </w:rPr>
              <w:t>Ashaye, Khankel, Xu et al. A comparative evaluation of gemtuzumab ozogamicin + daunorubicin-cytarabine and other treatments for newly diagnosed acute myeloid leukemia.</w:t>
            </w:r>
          </w:p>
        </w:tc>
        <w:tc>
          <w:tcPr>
            <w:tcW w:w="889" w:type="pct"/>
            <w:tcBorders>
              <w:bottom w:val="single" w:sz="4" w:space="0" w:color="auto"/>
            </w:tcBorders>
          </w:tcPr>
          <w:p w14:paraId="1B0E1176" w14:textId="77777777" w:rsidR="00E24D5E" w:rsidRPr="00610FCD" w:rsidRDefault="00E24D5E" w:rsidP="003D660F">
            <w:pPr>
              <w:pStyle w:val="TableText"/>
            </w:pPr>
            <w:r w:rsidRPr="00610FCD">
              <w:rPr>
                <w:i/>
              </w:rPr>
              <w:t>Future Oncology</w:t>
            </w:r>
            <w:r w:rsidRPr="00610FCD">
              <w:t xml:space="preserve"> 2019; 15(6):663-81</w:t>
            </w:r>
          </w:p>
        </w:tc>
      </w:tr>
      <w:tr w:rsidR="00E24D5E" w:rsidRPr="00610FCD" w14:paraId="331C30D7" w14:textId="77777777" w:rsidTr="00CA3DD2">
        <w:trPr>
          <w:cantSplit/>
        </w:trPr>
        <w:tc>
          <w:tcPr>
            <w:tcW w:w="642" w:type="pct"/>
            <w:vMerge w:val="restart"/>
          </w:tcPr>
          <w:p w14:paraId="4B360760" w14:textId="77777777" w:rsidR="00E24D5E" w:rsidRPr="00610FCD" w:rsidRDefault="00E24D5E" w:rsidP="003D660F">
            <w:pPr>
              <w:pStyle w:val="TableText"/>
            </w:pPr>
            <w:r w:rsidRPr="00610FCD">
              <w:t>IPD meta-analysis</w:t>
            </w:r>
          </w:p>
        </w:tc>
        <w:tc>
          <w:tcPr>
            <w:tcW w:w="3469" w:type="pct"/>
            <w:tcBorders>
              <w:bottom w:val="nil"/>
            </w:tcBorders>
          </w:tcPr>
          <w:p w14:paraId="72C5D6B2" w14:textId="77777777" w:rsidR="00E24D5E" w:rsidRPr="00610FCD" w:rsidRDefault="00E24D5E" w:rsidP="003D660F">
            <w:pPr>
              <w:pStyle w:val="TableText"/>
            </w:pPr>
            <w:r w:rsidRPr="00610FCD">
              <w:rPr>
                <w:szCs w:val="18"/>
              </w:rPr>
              <w:t>Hills, Castaigne, Appelbaum et al. Addition of gemtuzumab ozogamicin to induction chemotherapy in adult patients with acute myeloid leukaemia: a meta-analysis of individual patient data from randomised controlled trials.</w:t>
            </w:r>
          </w:p>
        </w:tc>
        <w:tc>
          <w:tcPr>
            <w:tcW w:w="889" w:type="pct"/>
            <w:tcBorders>
              <w:bottom w:val="nil"/>
            </w:tcBorders>
          </w:tcPr>
          <w:p w14:paraId="2ACA6F4A" w14:textId="77777777" w:rsidR="00E24D5E" w:rsidRPr="00610FCD" w:rsidRDefault="00E24D5E" w:rsidP="003D660F">
            <w:pPr>
              <w:pStyle w:val="TableText"/>
            </w:pPr>
            <w:r w:rsidRPr="00610FCD">
              <w:rPr>
                <w:i/>
              </w:rPr>
              <w:t>Lancet Oncology</w:t>
            </w:r>
            <w:r w:rsidRPr="00610FCD">
              <w:t xml:space="preserve"> 2014; 15(9):986-96</w:t>
            </w:r>
          </w:p>
        </w:tc>
      </w:tr>
      <w:tr w:rsidR="00E24D5E" w:rsidRPr="00610FCD" w14:paraId="5EF306BF" w14:textId="77777777" w:rsidTr="00CA3DD2">
        <w:trPr>
          <w:cantSplit/>
        </w:trPr>
        <w:tc>
          <w:tcPr>
            <w:tcW w:w="642" w:type="pct"/>
            <w:vMerge/>
            <w:tcBorders>
              <w:bottom w:val="single" w:sz="4" w:space="0" w:color="auto"/>
            </w:tcBorders>
          </w:tcPr>
          <w:p w14:paraId="5B8A8278" w14:textId="77777777" w:rsidR="00E24D5E" w:rsidRPr="00610FCD" w:rsidRDefault="00E24D5E" w:rsidP="003D660F">
            <w:pPr>
              <w:pStyle w:val="TableText"/>
            </w:pPr>
          </w:p>
        </w:tc>
        <w:tc>
          <w:tcPr>
            <w:tcW w:w="3469" w:type="pct"/>
            <w:tcBorders>
              <w:top w:val="nil"/>
              <w:bottom w:val="single" w:sz="4" w:space="0" w:color="auto"/>
            </w:tcBorders>
          </w:tcPr>
          <w:p w14:paraId="6BBC11AE" w14:textId="77777777" w:rsidR="00E24D5E" w:rsidRPr="00610FCD" w:rsidRDefault="00E24D5E" w:rsidP="003D660F">
            <w:pPr>
              <w:pStyle w:val="TableText"/>
            </w:pPr>
            <w:r w:rsidRPr="00610FCD">
              <w:rPr>
                <w:szCs w:val="18"/>
              </w:rPr>
              <w:t>Pfizer. Section 2.5.4.2. Individual patient data meta-analysis. Module 2.5 clinical overview gemtuzumab ozogamicin (Mylotarg) for the treatment of acute myeloid leukaemia.</w:t>
            </w:r>
          </w:p>
        </w:tc>
        <w:tc>
          <w:tcPr>
            <w:tcW w:w="889" w:type="pct"/>
            <w:tcBorders>
              <w:top w:val="nil"/>
              <w:bottom w:val="single" w:sz="4" w:space="0" w:color="auto"/>
            </w:tcBorders>
          </w:tcPr>
          <w:p w14:paraId="28FF231E" w14:textId="77777777" w:rsidR="00E24D5E" w:rsidRPr="00610FCD" w:rsidRDefault="00E24D5E" w:rsidP="003D660F">
            <w:pPr>
              <w:pStyle w:val="TableText"/>
            </w:pPr>
            <w:r w:rsidRPr="00610FCD">
              <w:t>Mylotarg Clinical Overview, 2016, attached in the submission</w:t>
            </w:r>
          </w:p>
        </w:tc>
      </w:tr>
      <w:tr w:rsidR="00E24D5E" w:rsidRPr="00610FCD" w14:paraId="62D43EB8" w14:textId="77777777" w:rsidTr="00CA3DD2">
        <w:trPr>
          <w:cantSplit/>
        </w:trPr>
        <w:tc>
          <w:tcPr>
            <w:tcW w:w="642" w:type="pct"/>
            <w:tcBorders>
              <w:bottom w:val="single" w:sz="4" w:space="0" w:color="auto"/>
            </w:tcBorders>
          </w:tcPr>
          <w:p w14:paraId="2C56A6DA" w14:textId="77777777" w:rsidR="00E24D5E" w:rsidRPr="000C2110" w:rsidRDefault="00E24D5E" w:rsidP="003D660F">
            <w:pPr>
              <w:pStyle w:val="TableText"/>
              <w:rPr>
                <w:vertAlign w:val="superscript"/>
              </w:rPr>
            </w:pPr>
            <w:r w:rsidRPr="000C2110">
              <w:t>Kharfan-Dabaja 2013</w:t>
            </w:r>
            <w:r w:rsidR="000C2110" w:rsidRPr="000C2110">
              <w:rPr>
                <w:vertAlign w:val="superscript"/>
              </w:rPr>
              <w:t>a</w:t>
            </w:r>
          </w:p>
        </w:tc>
        <w:tc>
          <w:tcPr>
            <w:tcW w:w="3469" w:type="pct"/>
            <w:tcBorders>
              <w:bottom w:val="single" w:sz="4" w:space="0" w:color="auto"/>
            </w:tcBorders>
          </w:tcPr>
          <w:p w14:paraId="134BCE64" w14:textId="77777777" w:rsidR="00E24D5E" w:rsidRPr="000C2110" w:rsidRDefault="00E24D5E" w:rsidP="003D660F">
            <w:pPr>
              <w:pStyle w:val="TableText"/>
            </w:pPr>
            <w:r w:rsidRPr="000C2110">
              <w:rPr>
                <w:szCs w:val="18"/>
              </w:rPr>
              <w:t>Kharfan-Dabaja, Hamadani, Reljic et al. Gemtuzumab ozogamicin for the treatment of newly diagnosed acute myeloid leukaemia: a systematic review and meta-analysis.</w:t>
            </w:r>
          </w:p>
        </w:tc>
        <w:tc>
          <w:tcPr>
            <w:tcW w:w="889" w:type="pct"/>
            <w:tcBorders>
              <w:bottom w:val="single" w:sz="4" w:space="0" w:color="auto"/>
            </w:tcBorders>
          </w:tcPr>
          <w:p w14:paraId="5E3999F5" w14:textId="77777777" w:rsidR="00E24D5E" w:rsidRPr="00610FCD" w:rsidRDefault="00E24D5E" w:rsidP="003D660F">
            <w:pPr>
              <w:pStyle w:val="TableText"/>
            </w:pPr>
            <w:r w:rsidRPr="00610FCD">
              <w:rPr>
                <w:i/>
                <w:iCs/>
              </w:rPr>
              <w:t>British Journal of Haematology</w:t>
            </w:r>
            <w:r w:rsidRPr="00610FCD">
              <w:rPr>
                <w:iCs/>
              </w:rPr>
              <w:t xml:space="preserve"> 2013; 163:315-25</w:t>
            </w:r>
          </w:p>
        </w:tc>
      </w:tr>
      <w:tr w:rsidR="00E24D5E" w:rsidRPr="00610FCD" w14:paraId="2A586A8D" w14:textId="77777777" w:rsidTr="00CA3DD2">
        <w:trPr>
          <w:cantSplit/>
        </w:trPr>
        <w:tc>
          <w:tcPr>
            <w:tcW w:w="642" w:type="pct"/>
            <w:tcBorders>
              <w:top w:val="single" w:sz="4" w:space="0" w:color="auto"/>
              <w:bottom w:val="single" w:sz="4" w:space="0" w:color="auto"/>
            </w:tcBorders>
          </w:tcPr>
          <w:p w14:paraId="0376F635" w14:textId="77777777" w:rsidR="00E24D5E" w:rsidRPr="00610FCD" w:rsidRDefault="00E24D5E" w:rsidP="003D660F">
            <w:pPr>
              <w:keepNext/>
              <w:keepLines/>
              <w:jc w:val="left"/>
            </w:pPr>
            <w:r w:rsidRPr="00610FCD">
              <w:rPr>
                <w:rFonts w:ascii="Arial Narrow" w:eastAsiaTheme="majorEastAsia" w:hAnsi="Arial Narrow" w:cstheme="majorBidi"/>
                <w:bCs/>
                <w:sz w:val="20"/>
              </w:rPr>
              <w:t>Li 2014</w:t>
            </w:r>
          </w:p>
        </w:tc>
        <w:tc>
          <w:tcPr>
            <w:tcW w:w="3469" w:type="pct"/>
            <w:tcBorders>
              <w:top w:val="single" w:sz="4" w:space="0" w:color="auto"/>
              <w:bottom w:val="single" w:sz="4" w:space="0" w:color="auto"/>
            </w:tcBorders>
          </w:tcPr>
          <w:p w14:paraId="05D00F2C" w14:textId="77777777" w:rsidR="00E24D5E" w:rsidRPr="00610FCD" w:rsidRDefault="00E24D5E" w:rsidP="003D660F">
            <w:pPr>
              <w:pStyle w:val="TableText"/>
            </w:pPr>
            <w:r w:rsidRPr="00610FCD">
              <w:rPr>
                <w:szCs w:val="18"/>
              </w:rPr>
              <w:t>Li, Su, Qin et al 2014. Effect of adding gemtuzumab ozogamicin to induction chemotherapy for newly diagnosed acute myeloid leukemia: a meta-analysis of prospective randomized phase III trials.</w:t>
            </w:r>
          </w:p>
        </w:tc>
        <w:tc>
          <w:tcPr>
            <w:tcW w:w="889" w:type="pct"/>
            <w:tcBorders>
              <w:top w:val="single" w:sz="4" w:space="0" w:color="auto"/>
              <w:bottom w:val="single" w:sz="4" w:space="0" w:color="auto"/>
            </w:tcBorders>
          </w:tcPr>
          <w:p w14:paraId="19E2BC24" w14:textId="77777777" w:rsidR="00E24D5E" w:rsidRPr="00610FCD" w:rsidRDefault="00E24D5E" w:rsidP="003D660F">
            <w:pPr>
              <w:pStyle w:val="TableText"/>
              <w:rPr>
                <w:i/>
              </w:rPr>
            </w:pPr>
            <w:r w:rsidRPr="00610FCD">
              <w:rPr>
                <w:i/>
              </w:rPr>
              <w:t>Annals of Oncology</w:t>
            </w:r>
            <w:r w:rsidRPr="00610FCD">
              <w:t xml:space="preserve"> 2014; 25:455-61</w:t>
            </w:r>
          </w:p>
        </w:tc>
      </w:tr>
    </w:tbl>
    <w:p w14:paraId="1CFC62EA" w14:textId="77777777" w:rsidR="00E24D5E" w:rsidRPr="00610FCD" w:rsidRDefault="00E24D5E" w:rsidP="00E24D5E">
      <w:pPr>
        <w:pStyle w:val="TableFigureFooter"/>
      </w:pPr>
      <w:r w:rsidRPr="00610FCD">
        <w:t xml:space="preserve">Source: ‘Section 2 Literature Searches Report and Annotated Results’ Excel workbook, Attachment 1 of the </w:t>
      </w:r>
      <w:r w:rsidR="00F45725" w:rsidRPr="00610FCD">
        <w:t>re</w:t>
      </w:r>
      <w:r w:rsidRPr="00610FCD">
        <w:t>submission</w:t>
      </w:r>
      <w:r w:rsidR="008D6BBF">
        <w:t>.</w:t>
      </w:r>
    </w:p>
    <w:p w14:paraId="196B6D9F" w14:textId="77777777" w:rsidR="00E24D5E" w:rsidRPr="000C2110" w:rsidRDefault="000C2110" w:rsidP="00E24D5E">
      <w:pPr>
        <w:pStyle w:val="TableFigureFooter"/>
        <w:rPr>
          <w:sz w:val="20"/>
        </w:rPr>
      </w:pPr>
      <w:r w:rsidRPr="000C2110">
        <w:rPr>
          <w:vertAlign w:val="superscript"/>
        </w:rPr>
        <w:t>a</w:t>
      </w:r>
      <w:r w:rsidRPr="000C2110">
        <w:t xml:space="preserve"> I</w:t>
      </w:r>
      <w:r w:rsidR="00E24D5E" w:rsidRPr="000C2110">
        <w:t>dentified during the evaluation.</w:t>
      </w:r>
    </w:p>
    <w:p w14:paraId="49593298" w14:textId="77777777" w:rsidR="007F1017" w:rsidRPr="00610FCD" w:rsidRDefault="008F120A" w:rsidP="00EC5836">
      <w:pPr>
        <w:pStyle w:val="ExecSumBodyText"/>
        <w:rPr>
          <w:color w:val="0066FF"/>
        </w:rPr>
      </w:pPr>
      <w:r w:rsidRPr="00610FCD">
        <w:t xml:space="preserve">The key features of the </w:t>
      </w:r>
      <w:r w:rsidR="00DE7ABB" w:rsidRPr="00610FCD">
        <w:t xml:space="preserve">ALFA-0701 trial </w:t>
      </w:r>
      <w:r w:rsidR="008C06D0">
        <w:t>are</w:t>
      </w:r>
      <w:r w:rsidR="008C06D0" w:rsidRPr="00610FCD">
        <w:t xml:space="preserve"> </w:t>
      </w:r>
      <w:r w:rsidRPr="00610FCD">
        <w:t>summarised in the table below.</w:t>
      </w:r>
      <w:r w:rsidR="00BC591F" w:rsidRPr="00610FCD">
        <w:t xml:space="preserve"> </w:t>
      </w:r>
    </w:p>
    <w:p w14:paraId="7DF6D625" w14:textId="77777777" w:rsidR="00196E27" w:rsidRPr="00610FCD" w:rsidRDefault="00484063" w:rsidP="00484063">
      <w:pPr>
        <w:pStyle w:val="TableFigureCaption"/>
      </w:pPr>
      <w:r>
        <w:t xml:space="preserve">Table </w:t>
      </w:r>
      <w:r w:rsidR="00F90EC3">
        <w:rPr>
          <w:noProof/>
        </w:rPr>
        <w:t>4</w:t>
      </w:r>
      <w:r w:rsidR="00196E27" w:rsidRPr="00610FCD">
        <w:t>: Features of the key trial included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Features of the key trial included in the submission"/>
      </w:tblPr>
      <w:tblGrid>
        <w:gridCol w:w="989"/>
        <w:gridCol w:w="566"/>
        <w:gridCol w:w="1980"/>
        <w:gridCol w:w="712"/>
        <w:gridCol w:w="1955"/>
        <w:gridCol w:w="1122"/>
        <w:gridCol w:w="1693"/>
      </w:tblGrid>
      <w:tr w:rsidR="00196E27" w:rsidRPr="00610FCD" w14:paraId="536EEA04" w14:textId="77777777" w:rsidTr="00CA3DD2">
        <w:trPr>
          <w:cantSplit/>
          <w:tblHeader/>
        </w:trPr>
        <w:tc>
          <w:tcPr>
            <w:tcW w:w="548" w:type="pct"/>
            <w:shd w:val="clear" w:color="auto" w:fill="auto"/>
            <w:vAlign w:val="center"/>
          </w:tcPr>
          <w:p w14:paraId="01823CFC" w14:textId="77777777" w:rsidR="00196E27" w:rsidRPr="00610FCD" w:rsidRDefault="00196E27" w:rsidP="00CA3DD2">
            <w:pPr>
              <w:pStyle w:val="Tableheadingrow"/>
              <w:rPr>
                <w:lang w:val="en-AU"/>
              </w:rPr>
            </w:pPr>
            <w:r w:rsidRPr="00610FCD">
              <w:rPr>
                <w:lang w:val="en-AU"/>
              </w:rPr>
              <w:t>Trial</w:t>
            </w:r>
          </w:p>
        </w:tc>
        <w:tc>
          <w:tcPr>
            <w:tcW w:w="314" w:type="pct"/>
            <w:shd w:val="clear" w:color="auto" w:fill="auto"/>
            <w:vAlign w:val="center"/>
          </w:tcPr>
          <w:p w14:paraId="7C6A469E" w14:textId="77777777" w:rsidR="00196E27" w:rsidRPr="00610FCD" w:rsidRDefault="00196E27" w:rsidP="00CA3DD2">
            <w:pPr>
              <w:pStyle w:val="Tableheadingrow"/>
              <w:jc w:val="center"/>
              <w:rPr>
                <w:lang w:val="en-AU"/>
              </w:rPr>
            </w:pPr>
            <w:r w:rsidRPr="00610FCD">
              <w:rPr>
                <w:lang w:val="en-AU"/>
              </w:rPr>
              <w:t>N</w:t>
            </w:r>
          </w:p>
        </w:tc>
        <w:tc>
          <w:tcPr>
            <w:tcW w:w="1098" w:type="pct"/>
            <w:shd w:val="clear" w:color="auto" w:fill="auto"/>
            <w:vAlign w:val="center"/>
          </w:tcPr>
          <w:p w14:paraId="142408A6" w14:textId="77777777" w:rsidR="00196E27" w:rsidRPr="00610FCD" w:rsidRDefault="00196E27" w:rsidP="00CA3DD2">
            <w:pPr>
              <w:pStyle w:val="Tableheadingrow"/>
              <w:jc w:val="center"/>
              <w:rPr>
                <w:lang w:val="en-AU"/>
              </w:rPr>
            </w:pPr>
            <w:r w:rsidRPr="00610FCD">
              <w:rPr>
                <w:lang w:val="en-AU"/>
              </w:rPr>
              <w:t>Design/ duration</w:t>
            </w:r>
          </w:p>
        </w:tc>
        <w:tc>
          <w:tcPr>
            <w:tcW w:w="395" w:type="pct"/>
            <w:shd w:val="clear" w:color="auto" w:fill="auto"/>
            <w:vAlign w:val="center"/>
          </w:tcPr>
          <w:p w14:paraId="456C80E0" w14:textId="77777777" w:rsidR="00196E27" w:rsidRPr="00610FCD" w:rsidRDefault="00196E27" w:rsidP="00CA3DD2">
            <w:pPr>
              <w:pStyle w:val="Tableheadingrow"/>
              <w:jc w:val="center"/>
              <w:rPr>
                <w:lang w:val="en-AU"/>
              </w:rPr>
            </w:pPr>
            <w:r w:rsidRPr="00610FCD">
              <w:rPr>
                <w:lang w:val="en-AU"/>
              </w:rPr>
              <w:t>Risk of bias</w:t>
            </w:r>
          </w:p>
        </w:tc>
        <w:tc>
          <w:tcPr>
            <w:tcW w:w="1084" w:type="pct"/>
            <w:shd w:val="clear" w:color="auto" w:fill="auto"/>
            <w:vAlign w:val="center"/>
          </w:tcPr>
          <w:p w14:paraId="6E98F088" w14:textId="77777777" w:rsidR="00196E27" w:rsidRPr="00610FCD" w:rsidRDefault="00196E27" w:rsidP="00CA3DD2">
            <w:pPr>
              <w:pStyle w:val="Tableheadingrow"/>
              <w:jc w:val="center"/>
              <w:rPr>
                <w:lang w:val="en-AU"/>
              </w:rPr>
            </w:pPr>
            <w:r w:rsidRPr="00610FCD">
              <w:rPr>
                <w:lang w:val="en-AU"/>
              </w:rPr>
              <w:t>Patient population</w:t>
            </w:r>
          </w:p>
        </w:tc>
        <w:tc>
          <w:tcPr>
            <w:tcW w:w="622" w:type="pct"/>
            <w:shd w:val="clear" w:color="auto" w:fill="auto"/>
            <w:vAlign w:val="center"/>
          </w:tcPr>
          <w:p w14:paraId="7C508578" w14:textId="77777777" w:rsidR="00196E27" w:rsidRPr="00610FCD" w:rsidRDefault="00196E27" w:rsidP="00CA3DD2">
            <w:pPr>
              <w:pStyle w:val="Tableheadingrow"/>
              <w:jc w:val="center"/>
              <w:rPr>
                <w:lang w:val="en-AU"/>
              </w:rPr>
            </w:pPr>
            <w:r w:rsidRPr="00610FCD">
              <w:rPr>
                <w:lang w:val="en-AU"/>
              </w:rPr>
              <w:t>Outcomes</w:t>
            </w:r>
          </w:p>
        </w:tc>
        <w:tc>
          <w:tcPr>
            <w:tcW w:w="939" w:type="pct"/>
            <w:shd w:val="clear" w:color="auto" w:fill="auto"/>
            <w:vAlign w:val="center"/>
          </w:tcPr>
          <w:p w14:paraId="381D345F" w14:textId="77777777" w:rsidR="00196E27" w:rsidRPr="00610FCD" w:rsidRDefault="00196E27" w:rsidP="00CA3DD2">
            <w:pPr>
              <w:pStyle w:val="Tableheadingrow"/>
              <w:jc w:val="center"/>
              <w:rPr>
                <w:lang w:val="en-AU"/>
              </w:rPr>
            </w:pPr>
            <w:r w:rsidRPr="00610FCD">
              <w:rPr>
                <w:lang w:val="en-AU"/>
              </w:rPr>
              <w:t>Use in modelled evaluation</w:t>
            </w:r>
          </w:p>
        </w:tc>
      </w:tr>
      <w:tr w:rsidR="00196E27" w:rsidRPr="00FB1983" w14:paraId="1B498A76" w14:textId="77777777" w:rsidTr="00CA3DD2">
        <w:trPr>
          <w:cantSplit/>
        </w:trPr>
        <w:tc>
          <w:tcPr>
            <w:tcW w:w="548" w:type="pct"/>
            <w:shd w:val="clear" w:color="auto" w:fill="auto"/>
            <w:vAlign w:val="center"/>
          </w:tcPr>
          <w:p w14:paraId="61147C8F" w14:textId="77777777" w:rsidR="00196E27" w:rsidRPr="00FB1983" w:rsidRDefault="00196E27" w:rsidP="00CA3DD2">
            <w:pPr>
              <w:pStyle w:val="TableText"/>
            </w:pPr>
            <w:r w:rsidRPr="00FB1983">
              <w:t>ALFA-0701</w:t>
            </w:r>
          </w:p>
        </w:tc>
        <w:tc>
          <w:tcPr>
            <w:tcW w:w="314" w:type="pct"/>
            <w:shd w:val="clear" w:color="auto" w:fill="auto"/>
            <w:vAlign w:val="center"/>
          </w:tcPr>
          <w:p w14:paraId="69FB635F" w14:textId="77777777" w:rsidR="00196E27" w:rsidRPr="00FB1983" w:rsidRDefault="00196E27" w:rsidP="00CA3DD2">
            <w:pPr>
              <w:pStyle w:val="TableText"/>
              <w:jc w:val="center"/>
            </w:pPr>
            <w:r w:rsidRPr="00FB1983">
              <w:t>271</w:t>
            </w:r>
          </w:p>
        </w:tc>
        <w:tc>
          <w:tcPr>
            <w:tcW w:w="1098" w:type="pct"/>
            <w:shd w:val="clear" w:color="auto" w:fill="auto"/>
            <w:vAlign w:val="center"/>
          </w:tcPr>
          <w:p w14:paraId="6C202327" w14:textId="77777777" w:rsidR="00582997" w:rsidRPr="00FB1983" w:rsidRDefault="00196E27" w:rsidP="00582997">
            <w:pPr>
              <w:pStyle w:val="TableText"/>
              <w:jc w:val="center"/>
            </w:pPr>
            <w:r w:rsidRPr="00FB1983">
              <w:t>Phase 3, multi-centre, open label, parallel</w:t>
            </w:r>
            <w:r w:rsidR="000C2110">
              <w:t xml:space="preserve"> </w:t>
            </w:r>
            <w:r w:rsidRPr="00FB1983">
              <w:t xml:space="preserve">group RCT </w:t>
            </w:r>
          </w:p>
          <w:p w14:paraId="27F181BC" w14:textId="77777777" w:rsidR="00582997" w:rsidRPr="00FB1983" w:rsidRDefault="00582997" w:rsidP="00582997">
            <w:pPr>
              <w:pStyle w:val="TableText"/>
              <w:jc w:val="center"/>
            </w:pPr>
          </w:p>
          <w:p w14:paraId="770AD8CB" w14:textId="77777777" w:rsidR="00582997" w:rsidRPr="00FB1983" w:rsidRDefault="00582997" w:rsidP="00582997">
            <w:pPr>
              <w:pStyle w:val="TableText"/>
              <w:jc w:val="center"/>
            </w:pPr>
            <w:r w:rsidRPr="00FB1983">
              <w:t>1 August 2011 data cut:</w:t>
            </w:r>
          </w:p>
          <w:p w14:paraId="762BD93B" w14:textId="77777777" w:rsidR="00582997" w:rsidRPr="00FB1983" w:rsidRDefault="00582997" w:rsidP="00582997">
            <w:pPr>
              <w:pStyle w:val="TableText"/>
              <w:jc w:val="center"/>
            </w:pPr>
            <w:r w:rsidRPr="00FB1983">
              <w:t>median follow-up duration</w:t>
            </w:r>
          </w:p>
          <w:p w14:paraId="0B39A572" w14:textId="77777777" w:rsidR="00582997" w:rsidRPr="00FB1983" w:rsidRDefault="00582997" w:rsidP="00582997">
            <w:pPr>
              <w:pStyle w:val="TableText"/>
              <w:jc w:val="center"/>
            </w:pPr>
            <w:r w:rsidRPr="00FB1983">
              <w:t>14.8 months;</w:t>
            </w:r>
          </w:p>
          <w:p w14:paraId="3D8CC761" w14:textId="77777777" w:rsidR="00582997" w:rsidRPr="00FB1983" w:rsidRDefault="00582997" w:rsidP="00582997">
            <w:pPr>
              <w:pStyle w:val="TableText"/>
              <w:jc w:val="center"/>
            </w:pPr>
          </w:p>
          <w:p w14:paraId="5CC99A38" w14:textId="77777777" w:rsidR="00582997" w:rsidRPr="00FB1983" w:rsidRDefault="00582997" w:rsidP="00582997">
            <w:pPr>
              <w:pStyle w:val="TableText"/>
              <w:jc w:val="center"/>
            </w:pPr>
            <w:r w:rsidRPr="00FB1983">
              <w:t>30 April 2013 data cut:</w:t>
            </w:r>
          </w:p>
          <w:p w14:paraId="3D2E4936" w14:textId="77777777" w:rsidR="00582997" w:rsidRPr="00FB1983" w:rsidRDefault="00582997" w:rsidP="00582997">
            <w:pPr>
              <w:pStyle w:val="TableText"/>
              <w:jc w:val="center"/>
            </w:pPr>
            <w:r w:rsidRPr="00FB1983">
              <w:t>47.6 months for</w:t>
            </w:r>
          </w:p>
          <w:p w14:paraId="33BB618D" w14:textId="77777777" w:rsidR="00582997" w:rsidRPr="00FB1983" w:rsidRDefault="00582997" w:rsidP="00582997">
            <w:pPr>
              <w:pStyle w:val="TableText"/>
              <w:jc w:val="center"/>
            </w:pPr>
            <w:r w:rsidRPr="00FB1983">
              <w:t>gemtuzumab and 41.0</w:t>
            </w:r>
          </w:p>
          <w:p w14:paraId="369A3C42" w14:textId="77777777" w:rsidR="00196E27" w:rsidRPr="00FB1983" w:rsidRDefault="00582997" w:rsidP="00582997">
            <w:pPr>
              <w:pStyle w:val="TableText"/>
              <w:jc w:val="center"/>
            </w:pPr>
            <w:r w:rsidRPr="00FB1983">
              <w:t>months in control arm</w:t>
            </w:r>
          </w:p>
        </w:tc>
        <w:tc>
          <w:tcPr>
            <w:tcW w:w="395" w:type="pct"/>
            <w:shd w:val="clear" w:color="auto" w:fill="auto"/>
            <w:vAlign w:val="center"/>
          </w:tcPr>
          <w:p w14:paraId="5606883E" w14:textId="77777777" w:rsidR="00196E27" w:rsidRPr="00FB1983" w:rsidRDefault="00196E27" w:rsidP="00CA3DD2">
            <w:pPr>
              <w:pStyle w:val="TableText"/>
              <w:jc w:val="center"/>
            </w:pPr>
            <w:r w:rsidRPr="00FB1983">
              <w:t>High</w:t>
            </w:r>
          </w:p>
        </w:tc>
        <w:tc>
          <w:tcPr>
            <w:tcW w:w="1084" w:type="pct"/>
            <w:shd w:val="clear" w:color="auto" w:fill="auto"/>
            <w:vAlign w:val="center"/>
          </w:tcPr>
          <w:p w14:paraId="53A58B50" w14:textId="77777777" w:rsidR="00196E27" w:rsidRPr="00FB1983" w:rsidRDefault="00196E27" w:rsidP="00CA3DD2">
            <w:pPr>
              <w:pStyle w:val="TableText"/>
              <w:jc w:val="center"/>
            </w:pPr>
            <w:r w:rsidRPr="00FB1983">
              <w:t>Adults aged 50 to 70</w:t>
            </w:r>
            <w:r w:rsidR="00556BFB" w:rsidRPr="00FB1983">
              <w:t xml:space="preserve"> </w:t>
            </w:r>
            <w:r w:rsidRPr="00FB1983">
              <w:t>years with previously untreated morphologically documented AML, normal cardiac function, ECOG PS 0 to 3. Excluded patients with acute promyelocytic leukaemia and secondary AML.</w:t>
            </w:r>
          </w:p>
        </w:tc>
        <w:tc>
          <w:tcPr>
            <w:tcW w:w="622" w:type="pct"/>
            <w:shd w:val="clear" w:color="auto" w:fill="auto"/>
            <w:vAlign w:val="center"/>
          </w:tcPr>
          <w:p w14:paraId="10DE5F45" w14:textId="77777777" w:rsidR="00196E27" w:rsidRPr="00FB1983" w:rsidRDefault="00196E27" w:rsidP="00CA3DD2">
            <w:pPr>
              <w:pStyle w:val="TableText"/>
              <w:jc w:val="center"/>
            </w:pPr>
            <w:r w:rsidRPr="00FB1983">
              <w:t>Primary: EFS</w:t>
            </w:r>
          </w:p>
          <w:p w14:paraId="3DF9A06D" w14:textId="77777777" w:rsidR="00196E27" w:rsidRPr="00FB1983" w:rsidRDefault="00196E27" w:rsidP="00CA3DD2">
            <w:pPr>
              <w:pStyle w:val="TableText"/>
              <w:jc w:val="center"/>
            </w:pPr>
            <w:r w:rsidRPr="00FB1983">
              <w:t>Secondary: CR/CRp, RFS, OS</w:t>
            </w:r>
          </w:p>
        </w:tc>
        <w:tc>
          <w:tcPr>
            <w:tcW w:w="939" w:type="pct"/>
            <w:shd w:val="clear" w:color="auto" w:fill="auto"/>
            <w:vAlign w:val="center"/>
          </w:tcPr>
          <w:p w14:paraId="2C8C3E94" w14:textId="77777777" w:rsidR="00196E27" w:rsidRPr="00FB1983" w:rsidRDefault="00196E27" w:rsidP="00CA3DD2">
            <w:pPr>
              <w:pStyle w:val="TableText"/>
              <w:jc w:val="center"/>
            </w:pPr>
            <w:r w:rsidRPr="00FB1983">
              <w:t xml:space="preserve">CR/CRp, </w:t>
            </w:r>
            <w:r w:rsidR="009543A9" w:rsidRPr="00FB1983">
              <w:t>R</w:t>
            </w:r>
            <w:r w:rsidRPr="00FB1983">
              <w:t>FS, OS, time to HSCT, RMST for patients receiving subsequent therapies, post-HSCT cure rates, adverse events, age, gender, BSA, weight, treatment courses received in induction and consolidation.</w:t>
            </w:r>
          </w:p>
        </w:tc>
      </w:tr>
    </w:tbl>
    <w:p w14:paraId="6F518A69" w14:textId="77777777" w:rsidR="00196E27" w:rsidRPr="00610FCD" w:rsidRDefault="00196E27" w:rsidP="00196E27">
      <w:pPr>
        <w:pStyle w:val="TableFigureFooter"/>
      </w:pPr>
      <w:r w:rsidRPr="00610FCD">
        <w:t xml:space="preserve">Source: </w:t>
      </w:r>
      <w:r w:rsidRPr="00610FCD">
        <w:rPr>
          <w:lang w:eastAsia="en-US"/>
        </w:rPr>
        <w:t>Section 2.3.1, p86</w:t>
      </w:r>
      <w:r w:rsidR="00A2520A" w:rsidRPr="00610FCD">
        <w:rPr>
          <w:lang w:eastAsia="en-US"/>
        </w:rPr>
        <w:t xml:space="preserve"> </w:t>
      </w:r>
      <w:r w:rsidRPr="00610FCD">
        <w:rPr>
          <w:lang w:eastAsia="en-US"/>
        </w:rPr>
        <w:t xml:space="preserve">of the </w:t>
      </w:r>
      <w:r w:rsidR="00A2520A" w:rsidRPr="00610FCD">
        <w:rPr>
          <w:lang w:eastAsia="en-US"/>
        </w:rPr>
        <w:t>re</w:t>
      </w:r>
      <w:r w:rsidRPr="00610FCD">
        <w:rPr>
          <w:lang w:eastAsia="en-US"/>
        </w:rPr>
        <w:t>submission</w:t>
      </w:r>
      <w:r w:rsidRPr="00610FCD">
        <w:t>.</w:t>
      </w:r>
    </w:p>
    <w:p w14:paraId="2637CB2B" w14:textId="77777777" w:rsidR="00196E27" w:rsidRPr="00610FCD" w:rsidRDefault="00196E27" w:rsidP="00196E27">
      <w:pPr>
        <w:pStyle w:val="TableFigureFooter"/>
        <w:rPr>
          <w:sz w:val="20"/>
        </w:rPr>
      </w:pPr>
      <w:r w:rsidRPr="00610FCD">
        <w:t>AML, acute myeloid leukaemia; BSA, body surface area; CR/CRp, complete remission with or without incomplete platelet recovery; ECOG PS, Eastern Cooperative Oncology Group Performance Status; EFS, event-free survival; HSCT, haematopoietic stem cell transplant; OS, overall survival; RCT, randomised controlled trial; RFS, relapse-free survival; RMST, restricted mean survival time.</w:t>
      </w:r>
    </w:p>
    <w:p w14:paraId="4579EF30" w14:textId="77777777" w:rsidR="009F37BC" w:rsidRPr="00610FCD" w:rsidRDefault="009F37BC" w:rsidP="009F37BC">
      <w:pPr>
        <w:pStyle w:val="ExecSumBodyText"/>
        <w:numPr>
          <w:ilvl w:val="1"/>
          <w:numId w:val="1"/>
        </w:numPr>
        <w:rPr>
          <w:color w:val="0066FF"/>
        </w:rPr>
      </w:pPr>
      <w:r w:rsidRPr="00FB1983">
        <w:rPr>
          <w:iCs/>
        </w:rPr>
        <w:t>The open-label trial design for ALFA-0701 ha</w:t>
      </w:r>
      <w:r w:rsidR="00217D42">
        <w:rPr>
          <w:iCs/>
        </w:rPr>
        <w:t>d</w:t>
      </w:r>
      <w:r w:rsidRPr="00FB1983">
        <w:rPr>
          <w:iCs/>
        </w:rPr>
        <w:t xml:space="preserve"> the potential to introduce bias as knowledge of treatment assignment may</w:t>
      </w:r>
      <w:r w:rsidR="009C0B2E">
        <w:rPr>
          <w:iCs/>
        </w:rPr>
        <w:t xml:space="preserve"> have</w:t>
      </w:r>
      <w:r w:rsidRPr="00FB1983">
        <w:rPr>
          <w:iCs/>
        </w:rPr>
        <w:t xml:space="preserve"> affect</w:t>
      </w:r>
      <w:r w:rsidR="009C0B2E">
        <w:rPr>
          <w:iCs/>
        </w:rPr>
        <w:t>ed</w:t>
      </w:r>
      <w:r w:rsidRPr="00FB1983">
        <w:rPr>
          <w:iCs/>
        </w:rPr>
        <w:t xml:space="preserve"> disease management decisions as well as the reporting of subjective outcomes (e.g. response, relapse) that were not centrally-assessed during the trial. </w:t>
      </w:r>
    </w:p>
    <w:p w14:paraId="71D9D19C" w14:textId="77777777" w:rsidR="003F2085" w:rsidRPr="00610FCD" w:rsidRDefault="003F2085" w:rsidP="002B503E">
      <w:pPr>
        <w:pStyle w:val="ExecSumBodyText"/>
      </w:pPr>
      <w:r w:rsidRPr="00610FCD">
        <w:t>There was some attrition of data following data acquisition by the current sponsor in March 2013, and the safety analysis set was based on the ‘As Treated’ population who were grouped by whether or not any gemtuzumab was received and not as per randomisation.</w:t>
      </w:r>
    </w:p>
    <w:p w14:paraId="4C4B5152" w14:textId="77777777" w:rsidR="00F85C56" w:rsidRPr="00FB1983" w:rsidRDefault="00F85C56" w:rsidP="00F85C56">
      <w:pPr>
        <w:pStyle w:val="ExecSumBodyText"/>
        <w:numPr>
          <w:ilvl w:val="1"/>
          <w:numId w:val="1"/>
        </w:numPr>
        <w:rPr>
          <w:iCs/>
        </w:rPr>
      </w:pPr>
      <w:r w:rsidRPr="00610FCD">
        <w:rPr>
          <w:iCs/>
        </w:rPr>
        <w:t xml:space="preserve">A retrospective collection of additional safety and efficacy data was performed by an independent research organisation at the sponsor’s request (1 November 2013 data cut-off date). </w:t>
      </w:r>
      <w:r w:rsidRPr="00FB1983">
        <w:rPr>
          <w:iCs/>
        </w:rPr>
        <w:t xml:space="preserve">A concordance analysis of investigator assessment and independent review indicated an overall discordance rate of 21.4% for </w:t>
      </w:r>
      <w:r w:rsidR="007F43F2" w:rsidRPr="00FB1983">
        <w:rPr>
          <w:iCs/>
        </w:rPr>
        <w:t>event-free survival</w:t>
      </w:r>
      <w:r w:rsidRPr="00FB1983">
        <w:rPr>
          <w:iCs/>
        </w:rPr>
        <w:t>. The results suggest differential discordance between the gemtuzumab arm (19.2%) and the comparator arm (23.5%), primarily driven by timing and occurrence of an event.</w:t>
      </w:r>
    </w:p>
    <w:p w14:paraId="007B962D" w14:textId="77777777" w:rsidR="00045017" w:rsidRPr="00610FCD" w:rsidRDefault="009C1A58" w:rsidP="00EC5836">
      <w:pPr>
        <w:pStyle w:val="ExecSumBodyText"/>
      </w:pPr>
      <w:r w:rsidRPr="00FB1983">
        <w:rPr>
          <w:iCs/>
        </w:rPr>
        <w:t xml:space="preserve">Adverse events in this study were not collected as per usual industry standards that typically include an extensive review of any untoward or unplanned events. </w:t>
      </w:r>
      <w:r w:rsidR="004D2111" w:rsidRPr="00FB1983">
        <w:rPr>
          <w:iCs/>
        </w:rPr>
        <w:t>During the initial study conduct, safety information was captured using a predefined checklist developed by the original sponsor (</w:t>
      </w:r>
      <w:r w:rsidR="002D6D14" w:rsidRPr="00FB1983">
        <w:rPr>
          <w:iCs/>
        </w:rPr>
        <w:t>Centre Hospitalier de Versailles</w:t>
      </w:r>
      <w:r w:rsidR="004D2111" w:rsidRPr="00FB1983">
        <w:rPr>
          <w:iCs/>
        </w:rPr>
        <w:t>) rather than open-ended solicitation of all-causality treatment-emergent adverse events. Notable omissions were that Grade 1 or 2 events were not recorded, nor adverse events leading to dose reduction or temporary discontinuation. A retrospective safety data collection via review of individual patient records was conducted to capture this missing information.</w:t>
      </w:r>
    </w:p>
    <w:p w14:paraId="203CF898" w14:textId="77777777" w:rsidR="00D0273C" w:rsidRPr="00FB1983" w:rsidRDefault="00EB2D88" w:rsidP="00B85F03">
      <w:pPr>
        <w:pStyle w:val="ExecSumBodyText"/>
        <w:rPr>
          <w:iCs/>
        </w:rPr>
      </w:pPr>
      <w:r w:rsidRPr="00FB1983">
        <w:rPr>
          <w:iCs/>
        </w:rPr>
        <w:t>The trial report noted a number of protocol deviations including 8 patients who had a treatment allocation deviation, 30 patients with a gemtuzumab dosing error, 68 patients with a chemotherapy dosing error, 2 patients with source data missing during retrospective data collection, and 31 patients who had eligibility criteria deviations. The impact of protocol deviations was unclear as the proportion of patients with deviations in each treatment arm was not reported.</w:t>
      </w:r>
    </w:p>
    <w:p w14:paraId="5E199431" w14:textId="77777777" w:rsidR="00B60939" w:rsidRPr="00610FCD" w:rsidRDefault="00B60939" w:rsidP="00EC5836">
      <w:pPr>
        <w:pStyle w:val="3-SubsectionHeading"/>
      </w:pPr>
      <w:bookmarkStart w:id="19" w:name="_Toc22897641"/>
      <w:bookmarkStart w:id="20" w:name="_Toc82591340"/>
      <w:r w:rsidRPr="00610FCD">
        <w:t>Comparative effectiveness</w:t>
      </w:r>
      <w:bookmarkEnd w:id="19"/>
      <w:bookmarkEnd w:id="20"/>
    </w:p>
    <w:p w14:paraId="16571141" w14:textId="77777777" w:rsidR="0040707E" w:rsidRPr="00610FCD" w:rsidRDefault="0098232A" w:rsidP="0040707E">
      <w:pPr>
        <w:pStyle w:val="ExecSumBodyText"/>
      </w:pPr>
      <w:r w:rsidRPr="00610FCD">
        <w:t xml:space="preserve">The majority of patients in both arms achieved complete remission (CR) or complete remission with incomplete platelet recovery (CRp) (74.1% in gemtuzumab arm and 70.6% in the control arm). </w:t>
      </w:r>
    </w:p>
    <w:p w14:paraId="253DA68F" w14:textId="77777777" w:rsidR="00170844" w:rsidRPr="00610FCD" w:rsidRDefault="00170844" w:rsidP="0040707E">
      <w:pPr>
        <w:pStyle w:val="ExecSumBodyText"/>
      </w:pPr>
      <w:r w:rsidRPr="00FB1983">
        <w:rPr>
          <w:iCs/>
        </w:rPr>
        <w:t xml:space="preserve">The PBAC </w:t>
      </w:r>
      <w:r w:rsidR="00217D42">
        <w:rPr>
          <w:iCs/>
        </w:rPr>
        <w:t xml:space="preserve">had </w:t>
      </w:r>
      <w:r w:rsidRPr="00FB1983">
        <w:rPr>
          <w:iCs/>
        </w:rPr>
        <w:t>previously noted there was no statistically significant difference in overall response rate between arms</w:t>
      </w:r>
      <w:r w:rsidR="0040707E" w:rsidRPr="00FB1983">
        <w:rPr>
          <w:iCs/>
        </w:rPr>
        <w:t xml:space="preserve"> when assessed either by the investigator (HR = 1.58; 95%</w:t>
      </w:r>
      <w:r w:rsidR="00D07858" w:rsidRPr="00FB1983">
        <w:rPr>
          <w:iCs/>
        </w:rPr>
        <w:t> </w:t>
      </w:r>
      <w:r w:rsidR="0040707E" w:rsidRPr="00FB1983">
        <w:rPr>
          <w:iCs/>
        </w:rPr>
        <w:t>CI: 0.86, 2.96) or by independent review (HR = 1.19; 95% CI: 0.67, 2.10) (para 7.6, gemtuzumab PSD, March 2021 PBAC meeting).</w:t>
      </w:r>
    </w:p>
    <w:p w14:paraId="492B7B6A" w14:textId="77777777" w:rsidR="0098232A" w:rsidRPr="00610FCD" w:rsidRDefault="009F6373" w:rsidP="00EA4C22">
      <w:pPr>
        <w:pStyle w:val="ExecSumBodyText"/>
      </w:pPr>
      <w:r w:rsidRPr="00610FCD">
        <w:t>Subgroup analysis results (favourable/intermediate/unknown cytogenetic risk) were consistent with the overall results, with no statistically significant differences in response rates between treatment arms.</w:t>
      </w:r>
    </w:p>
    <w:p w14:paraId="242A6594" w14:textId="77777777" w:rsidR="00DA3167" w:rsidRPr="00610FCD" w:rsidRDefault="00FC471A" w:rsidP="00B56C4D">
      <w:pPr>
        <w:pStyle w:val="ExecSumBodyText"/>
      </w:pPr>
      <w:r w:rsidRPr="00FB1983">
        <w:rPr>
          <w:iCs/>
        </w:rPr>
        <w:t>In terms of event-free survival, t</w:t>
      </w:r>
      <w:r w:rsidR="004C23A4" w:rsidRPr="00FB1983">
        <w:rPr>
          <w:iCs/>
        </w:rPr>
        <w:t xml:space="preserve">he PBAC </w:t>
      </w:r>
      <w:r w:rsidR="00217D42">
        <w:rPr>
          <w:iCs/>
        </w:rPr>
        <w:t xml:space="preserve">had </w:t>
      </w:r>
      <w:r w:rsidR="004C23A4" w:rsidRPr="00FB1983">
        <w:rPr>
          <w:iCs/>
        </w:rPr>
        <w:t xml:space="preserve">noted that gemtuzumab plus standard intensive chemotherapy versus standard intensive chemotherapy alone was associated with a modest statistically significant benefit </w:t>
      </w:r>
      <w:r w:rsidRPr="00FB1983">
        <w:rPr>
          <w:iCs/>
        </w:rPr>
        <w:t xml:space="preserve">in the </w:t>
      </w:r>
      <w:r w:rsidR="00D07858" w:rsidRPr="00FB1983">
        <w:rPr>
          <w:iCs/>
        </w:rPr>
        <w:t>modified Intention to Treat (</w:t>
      </w:r>
      <w:r w:rsidRPr="00FB1983">
        <w:rPr>
          <w:iCs/>
        </w:rPr>
        <w:t>mITT</w:t>
      </w:r>
      <w:r w:rsidR="00D07858" w:rsidRPr="00FB1983">
        <w:rPr>
          <w:iCs/>
        </w:rPr>
        <w:t>)</w:t>
      </w:r>
      <w:r w:rsidRPr="00FB1983">
        <w:rPr>
          <w:iCs/>
        </w:rPr>
        <w:t xml:space="preserve"> population (independent review committee dataset) </w:t>
      </w:r>
      <w:r w:rsidR="003218C6" w:rsidRPr="00FB1983">
        <w:rPr>
          <w:iCs/>
          <w:snapToGrid/>
        </w:rPr>
        <w:t>(</w:t>
      </w:r>
      <w:r w:rsidR="003C7FFB" w:rsidRPr="00FB1983">
        <w:rPr>
          <w:iCs/>
          <w:snapToGrid/>
        </w:rPr>
        <w:t xml:space="preserve">5.7 months; </w:t>
      </w:r>
      <w:r w:rsidR="003218C6" w:rsidRPr="00FB1983">
        <w:rPr>
          <w:iCs/>
          <w:snapToGrid/>
        </w:rPr>
        <w:t>HR</w:t>
      </w:r>
      <w:r w:rsidR="003C7FFB" w:rsidRPr="00FB1983">
        <w:rPr>
          <w:iCs/>
          <w:snapToGrid/>
        </w:rPr>
        <w:t xml:space="preserve"> =</w:t>
      </w:r>
      <w:r w:rsidR="003218C6" w:rsidRPr="00FB1983">
        <w:rPr>
          <w:iCs/>
          <w:snapToGrid/>
        </w:rPr>
        <w:t xml:space="preserve"> 0.705, 95% CI: 0.536, 0.928)</w:t>
      </w:r>
      <w:r w:rsidR="00B56C4D" w:rsidRPr="00FB1983">
        <w:rPr>
          <w:iCs/>
          <w:snapToGrid/>
        </w:rPr>
        <w:t>.</w:t>
      </w:r>
      <w:r w:rsidR="00B56C4D" w:rsidRPr="00610FCD">
        <w:rPr>
          <w:snapToGrid/>
        </w:rPr>
        <w:t xml:space="preserve"> </w:t>
      </w:r>
      <w:r w:rsidR="00B56C4D" w:rsidRPr="00FB1983">
        <w:rPr>
          <w:iCs/>
          <w:snapToGrid/>
        </w:rPr>
        <w:t xml:space="preserve">The PBAC </w:t>
      </w:r>
      <w:r w:rsidR="00217D42">
        <w:rPr>
          <w:iCs/>
          <w:snapToGrid/>
        </w:rPr>
        <w:t xml:space="preserve">had </w:t>
      </w:r>
      <w:r w:rsidR="00B56C4D" w:rsidRPr="00FB1983">
        <w:rPr>
          <w:iCs/>
          <w:snapToGrid/>
        </w:rPr>
        <w:t>noted that the result in the favourable/intermediate/unknown cytogenetic risk subgroup was also statistically significant (</w:t>
      </w:r>
      <w:r w:rsidR="003C7FFB" w:rsidRPr="00FB1983">
        <w:rPr>
          <w:iCs/>
          <w:snapToGrid/>
        </w:rPr>
        <w:t xml:space="preserve">7.2 months; HR = 0.630, 95% CI: 0.459, 0.866) (para 7.5, gemtuzumab PSD, March 2021 PBAC meeting). </w:t>
      </w:r>
    </w:p>
    <w:p w14:paraId="0987B0F7" w14:textId="77777777" w:rsidR="00181141" w:rsidRPr="00610FCD" w:rsidRDefault="008D15A7" w:rsidP="00954979">
      <w:pPr>
        <w:pStyle w:val="ExecSumBodyText"/>
      </w:pPr>
      <w:r w:rsidRPr="00610FCD">
        <w:t>In the economic model, relative treatment effects for gemtuzumab were derived from event-free survival observed in the subset of patients in the subgroup with favourable/intermediate/unknown cytogenetic risk, who achieved an overall response.</w:t>
      </w:r>
      <w:r w:rsidR="00E107D4" w:rsidRPr="00610FCD">
        <w:t xml:space="preserve"> The resubmission clarified that event-free survival assessed in patients achieving response would be the same as relapse-free survival.</w:t>
      </w:r>
      <w:r w:rsidRPr="00610FCD">
        <w:t xml:space="preserve"> </w:t>
      </w:r>
      <w:r w:rsidR="0099618C" w:rsidRPr="00FB1983">
        <w:rPr>
          <w:iCs/>
        </w:rPr>
        <w:t xml:space="preserve">This was consistent with outcomes definitions in the trial protocol. </w:t>
      </w:r>
    </w:p>
    <w:p w14:paraId="359CB12C" w14:textId="77777777" w:rsidR="00954979" w:rsidRPr="00610FCD" w:rsidRDefault="00181141" w:rsidP="00954979">
      <w:pPr>
        <w:pStyle w:val="ExecSumBodyText"/>
      </w:pPr>
      <w:r w:rsidRPr="00FB1983">
        <w:rPr>
          <w:iCs/>
        </w:rPr>
        <w:t xml:space="preserve">The </w:t>
      </w:r>
      <w:r w:rsidR="00E03076" w:rsidRPr="00FB1983">
        <w:rPr>
          <w:iCs/>
        </w:rPr>
        <w:t xml:space="preserve">clinical input </w:t>
      </w:r>
      <w:r w:rsidRPr="00FB1983">
        <w:rPr>
          <w:iCs/>
        </w:rPr>
        <w:t xml:space="preserve">data used in the economic model was unchanged compared to the previous submission, however, the resubmission provided </w:t>
      </w:r>
      <w:r w:rsidR="00E03076" w:rsidRPr="00FB1983">
        <w:rPr>
          <w:iCs/>
        </w:rPr>
        <w:t xml:space="preserve">new Kaplan-Meier figures and </w:t>
      </w:r>
      <w:r w:rsidRPr="00FB1983">
        <w:rPr>
          <w:iCs/>
        </w:rPr>
        <w:t>treatment effect estimates for these inputs</w:t>
      </w:r>
      <w:r w:rsidR="00E03076" w:rsidRPr="00FB1983">
        <w:rPr>
          <w:iCs/>
        </w:rPr>
        <w:t xml:space="preserve"> that were not available in the previous submission</w:t>
      </w:r>
      <w:r w:rsidRPr="00FB1983">
        <w:rPr>
          <w:iCs/>
        </w:rPr>
        <w:t>.</w:t>
      </w:r>
    </w:p>
    <w:p w14:paraId="5745BCB9" w14:textId="77777777" w:rsidR="00753F77" w:rsidRPr="00FB1983" w:rsidRDefault="00753F77" w:rsidP="00EC5836">
      <w:pPr>
        <w:pStyle w:val="ExecSumBodyText"/>
        <w:rPr>
          <w:iCs/>
        </w:rPr>
      </w:pPr>
      <w:r w:rsidRPr="00610FCD">
        <w:t xml:space="preserve">The table below presents the results </w:t>
      </w:r>
      <w:r w:rsidR="00D81EA8" w:rsidRPr="00610FCD">
        <w:t xml:space="preserve">of </w:t>
      </w:r>
      <w:r w:rsidR="00D81EA8" w:rsidRPr="00BE37F2">
        <w:rPr>
          <w:i/>
          <w:iCs/>
        </w:rPr>
        <w:t>post</w:t>
      </w:r>
      <w:r w:rsidR="00D07858" w:rsidRPr="00BE37F2">
        <w:rPr>
          <w:i/>
          <w:iCs/>
        </w:rPr>
        <w:t xml:space="preserve"> </w:t>
      </w:r>
      <w:r w:rsidR="00D81EA8" w:rsidRPr="00BE37F2">
        <w:rPr>
          <w:i/>
          <w:iCs/>
        </w:rPr>
        <w:t>hoc</w:t>
      </w:r>
      <w:r w:rsidR="00D81EA8" w:rsidRPr="00610FCD">
        <w:t xml:space="preserve"> analyses of relapse-free survival by cytogenetic risk. </w:t>
      </w:r>
      <w:r w:rsidR="00D81EA8" w:rsidRPr="00FB1983">
        <w:rPr>
          <w:iCs/>
        </w:rPr>
        <w:t xml:space="preserve">These estimates </w:t>
      </w:r>
      <w:r w:rsidR="00217D42">
        <w:rPr>
          <w:iCs/>
        </w:rPr>
        <w:t>had</w:t>
      </w:r>
      <w:r w:rsidR="00217D42" w:rsidRPr="00FB1983">
        <w:rPr>
          <w:iCs/>
        </w:rPr>
        <w:t xml:space="preserve"> </w:t>
      </w:r>
      <w:r w:rsidR="00D81EA8" w:rsidRPr="00FB1983">
        <w:rPr>
          <w:iCs/>
        </w:rPr>
        <w:t>not previously been considered by the PBAC.</w:t>
      </w:r>
    </w:p>
    <w:p w14:paraId="2965F9F2" w14:textId="77777777" w:rsidR="00D81EA8" w:rsidRPr="00610FCD" w:rsidRDefault="00484063" w:rsidP="003D660F">
      <w:pPr>
        <w:pStyle w:val="TableFigureCaption"/>
        <w:keepLines/>
      </w:pPr>
      <w:r>
        <w:t xml:space="preserve">Table </w:t>
      </w:r>
      <w:r w:rsidR="00F90EC3">
        <w:rPr>
          <w:noProof/>
        </w:rPr>
        <w:t>5</w:t>
      </w:r>
      <w:r w:rsidR="00D81EA8" w:rsidRPr="00610FCD">
        <w:t xml:space="preserve">: </w:t>
      </w:r>
      <w:r w:rsidR="00D81EA8" w:rsidRPr="00484063">
        <w:rPr>
          <w:i/>
          <w:iCs/>
        </w:rPr>
        <w:t>Post</w:t>
      </w:r>
      <w:r w:rsidR="00250335" w:rsidRPr="00484063">
        <w:rPr>
          <w:i/>
          <w:iCs/>
        </w:rPr>
        <w:t xml:space="preserve"> </w:t>
      </w:r>
      <w:r w:rsidR="00D81EA8" w:rsidRPr="00484063">
        <w:rPr>
          <w:i/>
          <w:iCs/>
        </w:rPr>
        <w:t>hoc</w:t>
      </w:r>
      <w:r w:rsidR="00D81EA8" w:rsidRPr="00610FCD">
        <w:t xml:space="preserve"> analysis of relapse-free survival by cytogenetic risk subgroups (30 April 2013 cut off)</w:t>
      </w:r>
    </w:p>
    <w:tbl>
      <w:tblPr>
        <w:tblStyle w:val="LashStyleTable3"/>
        <w:tblW w:w="0" w:type="auto"/>
        <w:tblLook w:val="04A0" w:firstRow="1" w:lastRow="0" w:firstColumn="1" w:lastColumn="0" w:noHBand="0" w:noVBand="1"/>
        <w:tblCaption w:val="Table 5: Post hoc analysis of relapse-free survival by cytogenetic risk subgroups (30 April 2013 cut off)"/>
      </w:tblPr>
      <w:tblGrid>
        <w:gridCol w:w="4673"/>
        <w:gridCol w:w="2172"/>
        <w:gridCol w:w="2172"/>
      </w:tblGrid>
      <w:tr w:rsidR="00D81EA8" w:rsidRPr="00610FCD" w14:paraId="3C4B40F7" w14:textId="77777777" w:rsidTr="00D81EA8">
        <w:trPr>
          <w:tblHeader/>
        </w:trPr>
        <w:tc>
          <w:tcPr>
            <w:tcW w:w="4673" w:type="dxa"/>
            <w:shd w:val="clear" w:color="auto" w:fill="auto"/>
          </w:tcPr>
          <w:p w14:paraId="4832929A" w14:textId="77777777" w:rsidR="00D81EA8" w:rsidRPr="00610FCD" w:rsidRDefault="00D81EA8" w:rsidP="003D660F">
            <w:pPr>
              <w:keepNext/>
              <w:keepLines/>
              <w:widowControl w:val="0"/>
              <w:jc w:val="left"/>
              <w:rPr>
                <w:rFonts w:ascii="Arial Narrow" w:eastAsiaTheme="majorEastAsia" w:hAnsi="Arial Narrow" w:cstheme="majorBidi"/>
                <w:sz w:val="20"/>
              </w:rPr>
            </w:pPr>
          </w:p>
        </w:tc>
        <w:tc>
          <w:tcPr>
            <w:tcW w:w="2172" w:type="dxa"/>
            <w:shd w:val="clear" w:color="auto" w:fill="auto"/>
          </w:tcPr>
          <w:p w14:paraId="572F080B" w14:textId="77777777" w:rsidR="00D81EA8" w:rsidRPr="00610FCD" w:rsidRDefault="00D81EA8" w:rsidP="003D660F">
            <w:pPr>
              <w:keepNext/>
              <w:keepLines/>
              <w:widowControl w:val="0"/>
              <w:jc w:val="center"/>
              <w:rPr>
                <w:rFonts w:ascii="Arial Narrow" w:eastAsiaTheme="majorEastAsia" w:hAnsi="Arial Narrow" w:cstheme="majorBidi"/>
                <w:b/>
                <w:bCs/>
                <w:sz w:val="20"/>
              </w:rPr>
            </w:pPr>
            <w:r w:rsidRPr="00610FCD">
              <w:rPr>
                <w:rFonts w:ascii="Arial Narrow" w:eastAsiaTheme="majorEastAsia" w:hAnsi="Arial Narrow" w:cstheme="majorBidi"/>
                <w:b/>
                <w:bCs/>
                <w:sz w:val="20"/>
              </w:rPr>
              <w:t>GO+DA</w:t>
            </w:r>
          </w:p>
        </w:tc>
        <w:tc>
          <w:tcPr>
            <w:tcW w:w="2172" w:type="dxa"/>
            <w:shd w:val="clear" w:color="auto" w:fill="auto"/>
          </w:tcPr>
          <w:p w14:paraId="42546FA1" w14:textId="77777777" w:rsidR="00D81EA8" w:rsidRPr="00610FCD" w:rsidRDefault="00D81EA8" w:rsidP="003D660F">
            <w:pPr>
              <w:keepNext/>
              <w:keepLines/>
              <w:widowControl w:val="0"/>
              <w:jc w:val="center"/>
              <w:rPr>
                <w:rFonts w:ascii="Arial Narrow" w:eastAsiaTheme="majorEastAsia" w:hAnsi="Arial Narrow" w:cstheme="majorBidi"/>
                <w:b/>
                <w:bCs/>
                <w:sz w:val="20"/>
              </w:rPr>
            </w:pPr>
            <w:r w:rsidRPr="00610FCD">
              <w:rPr>
                <w:rFonts w:ascii="Arial Narrow" w:eastAsiaTheme="majorEastAsia" w:hAnsi="Arial Narrow" w:cstheme="majorBidi"/>
                <w:b/>
                <w:bCs/>
                <w:sz w:val="20"/>
              </w:rPr>
              <w:t>DA</w:t>
            </w:r>
          </w:p>
        </w:tc>
      </w:tr>
      <w:tr w:rsidR="00D81EA8" w:rsidRPr="00610FCD" w14:paraId="075507DF" w14:textId="77777777" w:rsidTr="00D81EA8">
        <w:tc>
          <w:tcPr>
            <w:tcW w:w="9017" w:type="dxa"/>
            <w:gridSpan w:val="3"/>
            <w:shd w:val="clear" w:color="auto" w:fill="auto"/>
          </w:tcPr>
          <w:p w14:paraId="2E081687" w14:textId="77777777" w:rsidR="00D81EA8" w:rsidRPr="00610FCD" w:rsidRDefault="00D81EA8" w:rsidP="003D660F">
            <w:pPr>
              <w:keepNext/>
              <w:keepLines/>
              <w:widowControl w:val="0"/>
              <w:jc w:val="left"/>
              <w:rPr>
                <w:rFonts w:ascii="Arial Narrow" w:eastAsiaTheme="majorEastAsia" w:hAnsi="Arial Narrow" w:cstheme="majorBidi"/>
                <w:b/>
                <w:bCs/>
                <w:sz w:val="20"/>
              </w:rPr>
            </w:pPr>
            <w:r w:rsidRPr="00610FCD">
              <w:rPr>
                <w:rFonts w:ascii="Arial Narrow" w:eastAsiaTheme="majorEastAsia" w:hAnsi="Arial Narrow" w:cstheme="majorBidi"/>
                <w:b/>
                <w:bCs/>
                <w:sz w:val="20"/>
              </w:rPr>
              <w:t>mITT population</w:t>
            </w:r>
          </w:p>
        </w:tc>
      </w:tr>
      <w:tr w:rsidR="00D81EA8" w:rsidRPr="00610FCD" w14:paraId="0645FBF8" w14:textId="77777777" w:rsidTr="00D81EA8">
        <w:trPr>
          <w:tblHeader/>
        </w:trPr>
        <w:tc>
          <w:tcPr>
            <w:tcW w:w="4673" w:type="dxa"/>
            <w:shd w:val="clear" w:color="auto" w:fill="auto"/>
          </w:tcPr>
          <w:p w14:paraId="641BACC8"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Number of patients</w:t>
            </w:r>
          </w:p>
        </w:tc>
        <w:tc>
          <w:tcPr>
            <w:tcW w:w="2172" w:type="dxa"/>
            <w:shd w:val="clear" w:color="auto" w:fill="auto"/>
          </w:tcPr>
          <w:p w14:paraId="14C06C65"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100</w:t>
            </w:r>
          </w:p>
        </w:tc>
        <w:tc>
          <w:tcPr>
            <w:tcW w:w="2172" w:type="dxa"/>
            <w:shd w:val="clear" w:color="auto" w:fill="auto"/>
          </w:tcPr>
          <w:p w14:paraId="350B1C35"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96</w:t>
            </w:r>
          </w:p>
        </w:tc>
      </w:tr>
      <w:tr w:rsidR="00D81EA8" w:rsidRPr="00610FCD" w14:paraId="43B46047" w14:textId="77777777" w:rsidTr="00D81EA8">
        <w:tc>
          <w:tcPr>
            <w:tcW w:w="4673" w:type="dxa"/>
            <w:shd w:val="clear" w:color="auto" w:fill="auto"/>
          </w:tcPr>
          <w:p w14:paraId="45DFFCFC"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Number of events, n (%)</w:t>
            </w:r>
          </w:p>
        </w:tc>
        <w:tc>
          <w:tcPr>
            <w:tcW w:w="2172" w:type="dxa"/>
            <w:shd w:val="clear" w:color="auto" w:fill="auto"/>
          </w:tcPr>
          <w:p w14:paraId="3CF9299C"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63 (63.0)</w:t>
            </w:r>
          </w:p>
        </w:tc>
        <w:tc>
          <w:tcPr>
            <w:tcW w:w="2172" w:type="dxa"/>
            <w:shd w:val="clear" w:color="auto" w:fill="auto"/>
          </w:tcPr>
          <w:p w14:paraId="3DBE2C40"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72 (75.0)</w:t>
            </w:r>
          </w:p>
        </w:tc>
      </w:tr>
      <w:tr w:rsidR="00D81EA8" w:rsidRPr="00610FCD" w14:paraId="677B831E" w14:textId="77777777" w:rsidTr="00D81EA8">
        <w:tc>
          <w:tcPr>
            <w:tcW w:w="4673" w:type="dxa"/>
            <w:shd w:val="clear" w:color="auto" w:fill="auto"/>
          </w:tcPr>
          <w:p w14:paraId="79DE5324"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 Relapse</w:t>
            </w:r>
          </w:p>
        </w:tc>
        <w:tc>
          <w:tcPr>
            <w:tcW w:w="2172" w:type="dxa"/>
            <w:shd w:val="clear" w:color="auto" w:fill="auto"/>
          </w:tcPr>
          <w:p w14:paraId="612873A1"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58 (58.0)</w:t>
            </w:r>
          </w:p>
        </w:tc>
        <w:tc>
          <w:tcPr>
            <w:tcW w:w="2172" w:type="dxa"/>
            <w:shd w:val="clear" w:color="auto" w:fill="auto"/>
          </w:tcPr>
          <w:p w14:paraId="67E8C286"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60 (62.5)</w:t>
            </w:r>
          </w:p>
        </w:tc>
      </w:tr>
      <w:tr w:rsidR="00D81EA8" w:rsidRPr="00610FCD" w14:paraId="3F4CCE46" w14:textId="77777777" w:rsidTr="00D81EA8">
        <w:tc>
          <w:tcPr>
            <w:tcW w:w="4673" w:type="dxa"/>
            <w:shd w:val="clear" w:color="auto" w:fill="auto"/>
          </w:tcPr>
          <w:p w14:paraId="0861FA15"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 Death</w:t>
            </w:r>
          </w:p>
        </w:tc>
        <w:tc>
          <w:tcPr>
            <w:tcW w:w="2172" w:type="dxa"/>
            <w:shd w:val="clear" w:color="auto" w:fill="auto"/>
          </w:tcPr>
          <w:p w14:paraId="31C3A57C"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5 (5.0)</w:t>
            </w:r>
          </w:p>
        </w:tc>
        <w:tc>
          <w:tcPr>
            <w:tcW w:w="2172" w:type="dxa"/>
            <w:shd w:val="clear" w:color="auto" w:fill="auto"/>
          </w:tcPr>
          <w:p w14:paraId="39B0662E"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12 (12.5)</w:t>
            </w:r>
          </w:p>
        </w:tc>
      </w:tr>
      <w:tr w:rsidR="00D81EA8" w:rsidRPr="00610FCD" w14:paraId="5CE76DCC" w14:textId="77777777" w:rsidTr="00D81EA8">
        <w:tc>
          <w:tcPr>
            <w:tcW w:w="4673" w:type="dxa"/>
            <w:shd w:val="clear" w:color="auto" w:fill="auto"/>
          </w:tcPr>
          <w:p w14:paraId="00922BED"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Kaplan-Meier estimate of median RFS, months (95% CI)</w:t>
            </w:r>
          </w:p>
        </w:tc>
        <w:tc>
          <w:tcPr>
            <w:tcW w:w="2172" w:type="dxa"/>
            <w:shd w:val="clear" w:color="auto" w:fill="auto"/>
          </w:tcPr>
          <w:p w14:paraId="02ABC412"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21.7 (14.1, 33.0)</w:t>
            </w:r>
          </w:p>
        </w:tc>
        <w:tc>
          <w:tcPr>
            <w:tcW w:w="2172" w:type="dxa"/>
            <w:shd w:val="clear" w:color="auto" w:fill="auto"/>
          </w:tcPr>
          <w:p w14:paraId="128D9706"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12.1 (10.2, 15.9)</w:t>
            </w:r>
          </w:p>
        </w:tc>
      </w:tr>
      <w:tr w:rsidR="00D81EA8" w:rsidRPr="00610FCD" w14:paraId="5414ABF5" w14:textId="77777777" w:rsidTr="00D81EA8">
        <w:tc>
          <w:tcPr>
            <w:tcW w:w="4673" w:type="dxa"/>
            <w:shd w:val="clear" w:color="auto" w:fill="auto"/>
            <w:vAlign w:val="center"/>
          </w:tcPr>
          <w:p w14:paraId="356C0789"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Hazard ratio vs DA (95% CI)</w:t>
            </w:r>
          </w:p>
        </w:tc>
        <w:tc>
          <w:tcPr>
            <w:tcW w:w="4344" w:type="dxa"/>
            <w:gridSpan w:val="2"/>
            <w:shd w:val="clear" w:color="auto" w:fill="auto"/>
          </w:tcPr>
          <w:p w14:paraId="0C69DB74"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0.656 (0.466, 0.922)</w:t>
            </w:r>
          </w:p>
        </w:tc>
      </w:tr>
      <w:tr w:rsidR="00D81EA8" w:rsidRPr="00610FCD" w14:paraId="3668FC37" w14:textId="77777777" w:rsidTr="00D81EA8">
        <w:tc>
          <w:tcPr>
            <w:tcW w:w="9017" w:type="dxa"/>
            <w:gridSpan w:val="3"/>
            <w:shd w:val="clear" w:color="auto" w:fill="auto"/>
            <w:vAlign w:val="center"/>
          </w:tcPr>
          <w:p w14:paraId="3815C666"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b/>
                <w:bCs/>
                <w:sz w:val="20"/>
              </w:rPr>
              <w:t>Favourable/intermediate cytogenetic risk subgroup</w:t>
            </w:r>
          </w:p>
        </w:tc>
      </w:tr>
      <w:tr w:rsidR="00D81EA8" w:rsidRPr="00610FCD" w14:paraId="33A1EAAF" w14:textId="77777777" w:rsidTr="00D81EA8">
        <w:tc>
          <w:tcPr>
            <w:tcW w:w="4673" w:type="dxa"/>
            <w:shd w:val="clear" w:color="auto" w:fill="auto"/>
          </w:tcPr>
          <w:p w14:paraId="74A0968E"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Number of patients</w:t>
            </w:r>
          </w:p>
        </w:tc>
        <w:tc>
          <w:tcPr>
            <w:tcW w:w="2172" w:type="dxa"/>
            <w:shd w:val="clear" w:color="auto" w:fill="auto"/>
          </w:tcPr>
          <w:p w14:paraId="4FBCB7DA"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76</w:t>
            </w:r>
          </w:p>
        </w:tc>
        <w:tc>
          <w:tcPr>
            <w:tcW w:w="2172" w:type="dxa"/>
            <w:shd w:val="clear" w:color="auto" w:fill="auto"/>
          </w:tcPr>
          <w:p w14:paraId="15E60030"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74</w:t>
            </w:r>
          </w:p>
        </w:tc>
      </w:tr>
      <w:tr w:rsidR="00D81EA8" w:rsidRPr="00610FCD" w14:paraId="6B3B1F39" w14:textId="77777777" w:rsidTr="00D81EA8">
        <w:tc>
          <w:tcPr>
            <w:tcW w:w="4673" w:type="dxa"/>
            <w:shd w:val="clear" w:color="auto" w:fill="auto"/>
          </w:tcPr>
          <w:p w14:paraId="65B50CB8"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Number of events, n (%)</w:t>
            </w:r>
          </w:p>
        </w:tc>
        <w:tc>
          <w:tcPr>
            <w:tcW w:w="2172" w:type="dxa"/>
            <w:shd w:val="clear" w:color="auto" w:fill="auto"/>
          </w:tcPr>
          <w:p w14:paraId="6DB5E42E"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48 (63.2)</w:t>
            </w:r>
          </w:p>
        </w:tc>
        <w:tc>
          <w:tcPr>
            <w:tcW w:w="2172" w:type="dxa"/>
            <w:shd w:val="clear" w:color="auto" w:fill="auto"/>
          </w:tcPr>
          <w:p w14:paraId="75FFA3C8"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56 (75.7)</w:t>
            </w:r>
          </w:p>
        </w:tc>
      </w:tr>
      <w:tr w:rsidR="00D81EA8" w:rsidRPr="00610FCD" w14:paraId="377FDB7C" w14:textId="77777777" w:rsidTr="00D81EA8">
        <w:tc>
          <w:tcPr>
            <w:tcW w:w="4673" w:type="dxa"/>
            <w:shd w:val="clear" w:color="auto" w:fill="auto"/>
          </w:tcPr>
          <w:p w14:paraId="5629B961"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 Relapse</w:t>
            </w:r>
          </w:p>
        </w:tc>
        <w:tc>
          <w:tcPr>
            <w:tcW w:w="2172" w:type="dxa"/>
            <w:shd w:val="clear" w:color="auto" w:fill="auto"/>
          </w:tcPr>
          <w:p w14:paraId="19B998D4"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44 (57.9)</w:t>
            </w:r>
          </w:p>
        </w:tc>
        <w:tc>
          <w:tcPr>
            <w:tcW w:w="2172" w:type="dxa"/>
            <w:shd w:val="clear" w:color="auto" w:fill="auto"/>
          </w:tcPr>
          <w:p w14:paraId="0028C7A6"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48 (64.9)</w:t>
            </w:r>
          </w:p>
        </w:tc>
      </w:tr>
      <w:tr w:rsidR="00D81EA8" w:rsidRPr="00610FCD" w14:paraId="70860EBF" w14:textId="77777777" w:rsidTr="00D81EA8">
        <w:tc>
          <w:tcPr>
            <w:tcW w:w="4673" w:type="dxa"/>
            <w:shd w:val="clear" w:color="auto" w:fill="auto"/>
          </w:tcPr>
          <w:p w14:paraId="3F13F605"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 Death</w:t>
            </w:r>
          </w:p>
        </w:tc>
        <w:tc>
          <w:tcPr>
            <w:tcW w:w="2172" w:type="dxa"/>
            <w:shd w:val="clear" w:color="auto" w:fill="auto"/>
          </w:tcPr>
          <w:p w14:paraId="7BD1FB19"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4 (5.3)</w:t>
            </w:r>
          </w:p>
        </w:tc>
        <w:tc>
          <w:tcPr>
            <w:tcW w:w="2172" w:type="dxa"/>
            <w:shd w:val="clear" w:color="auto" w:fill="auto"/>
          </w:tcPr>
          <w:p w14:paraId="419AF3C1"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8 (10.8)</w:t>
            </w:r>
          </w:p>
        </w:tc>
      </w:tr>
      <w:tr w:rsidR="00D81EA8" w:rsidRPr="00610FCD" w14:paraId="611C12B0" w14:textId="77777777" w:rsidTr="00D81EA8">
        <w:tc>
          <w:tcPr>
            <w:tcW w:w="4673" w:type="dxa"/>
            <w:shd w:val="clear" w:color="auto" w:fill="auto"/>
          </w:tcPr>
          <w:p w14:paraId="61F0BB35"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Kaplan-Meier estimate of median RFS, months (95% CI)</w:t>
            </w:r>
          </w:p>
        </w:tc>
        <w:tc>
          <w:tcPr>
            <w:tcW w:w="2172" w:type="dxa"/>
            <w:shd w:val="clear" w:color="auto" w:fill="auto"/>
          </w:tcPr>
          <w:p w14:paraId="6B4AC9FA"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23.5 (14.1, 42.9)</w:t>
            </w:r>
          </w:p>
        </w:tc>
        <w:tc>
          <w:tcPr>
            <w:tcW w:w="2172" w:type="dxa"/>
            <w:shd w:val="clear" w:color="auto" w:fill="auto"/>
          </w:tcPr>
          <w:p w14:paraId="2F3360FA"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14.4 (10.6, 17.0)</w:t>
            </w:r>
          </w:p>
        </w:tc>
      </w:tr>
      <w:tr w:rsidR="00D81EA8" w:rsidRPr="00610FCD" w14:paraId="21CBE5CC" w14:textId="77777777" w:rsidTr="00D81EA8">
        <w:tc>
          <w:tcPr>
            <w:tcW w:w="4673" w:type="dxa"/>
            <w:shd w:val="clear" w:color="auto" w:fill="auto"/>
            <w:vAlign w:val="center"/>
          </w:tcPr>
          <w:p w14:paraId="0D05C8CD"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Hazard ratio vs DA (95% CI)</w:t>
            </w:r>
          </w:p>
        </w:tc>
        <w:tc>
          <w:tcPr>
            <w:tcW w:w="4344" w:type="dxa"/>
            <w:gridSpan w:val="2"/>
            <w:shd w:val="clear" w:color="auto" w:fill="auto"/>
          </w:tcPr>
          <w:p w14:paraId="31F5124D"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0.630 (0.427, 0.931)</w:t>
            </w:r>
          </w:p>
        </w:tc>
      </w:tr>
      <w:tr w:rsidR="00D81EA8" w:rsidRPr="00610FCD" w14:paraId="544692E2" w14:textId="77777777" w:rsidTr="00D81EA8">
        <w:tc>
          <w:tcPr>
            <w:tcW w:w="9017" w:type="dxa"/>
            <w:gridSpan w:val="3"/>
            <w:shd w:val="clear" w:color="auto" w:fill="auto"/>
            <w:vAlign w:val="center"/>
          </w:tcPr>
          <w:p w14:paraId="263B8413" w14:textId="77777777" w:rsidR="00D81EA8" w:rsidRPr="00610FCD" w:rsidRDefault="00D81EA8" w:rsidP="003D660F">
            <w:pPr>
              <w:keepNext/>
              <w:keepLines/>
              <w:widowControl w:val="0"/>
              <w:jc w:val="left"/>
              <w:rPr>
                <w:rFonts w:ascii="Arial Narrow" w:eastAsiaTheme="majorEastAsia" w:hAnsi="Arial Narrow" w:cstheme="majorBidi"/>
                <w:b/>
                <w:bCs/>
                <w:sz w:val="20"/>
              </w:rPr>
            </w:pPr>
            <w:r w:rsidRPr="00610FCD">
              <w:rPr>
                <w:rFonts w:ascii="Arial Narrow" w:eastAsiaTheme="majorEastAsia" w:hAnsi="Arial Narrow" w:cstheme="majorBidi"/>
                <w:b/>
                <w:bCs/>
                <w:sz w:val="20"/>
              </w:rPr>
              <w:t>Unknown cytogenetic risk subgroup</w:t>
            </w:r>
          </w:p>
        </w:tc>
      </w:tr>
      <w:tr w:rsidR="00D81EA8" w:rsidRPr="00610FCD" w14:paraId="0559F109" w14:textId="77777777" w:rsidTr="00D81EA8">
        <w:tc>
          <w:tcPr>
            <w:tcW w:w="4673" w:type="dxa"/>
            <w:shd w:val="clear" w:color="auto" w:fill="auto"/>
          </w:tcPr>
          <w:p w14:paraId="327DDAF8"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Number of patients</w:t>
            </w:r>
          </w:p>
        </w:tc>
        <w:tc>
          <w:tcPr>
            <w:tcW w:w="2172" w:type="dxa"/>
            <w:shd w:val="clear" w:color="auto" w:fill="auto"/>
          </w:tcPr>
          <w:p w14:paraId="21462108"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10</w:t>
            </w:r>
          </w:p>
        </w:tc>
        <w:tc>
          <w:tcPr>
            <w:tcW w:w="2172" w:type="dxa"/>
            <w:shd w:val="clear" w:color="auto" w:fill="auto"/>
          </w:tcPr>
          <w:p w14:paraId="1A6DE795"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7</w:t>
            </w:r>
          </w:p>
        </w:tc>
      </w:tr>
      <w:tr w:rsidR="00D81EA8" w:rsidRPr="00610FCD" w14:paraId="4D0E1191" w14:textId="77777777" w:rsidTr="00D81EA8">
        <w:tc>
          <w:tcPr>
            <w:tcW w:w="4673" w:type="dxa"/>
            <w:shd w:val="clear" w:color="auto" w:fill="auto"/>
          </w:tcPr>
          <w:p w14:paraId="668098B2"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Number of events, n (%)</w:t>
            </w:r>
          </w:p>
        </w:tc>
        <w:tc>
          <w:tcPr>
            <w:tcW w:w="2172" w:type="dxa"/>
            <w:shd w:val="clear" w:color="auto" w:fill="auto"/>
          </w:tcPr>
          <w:p w14:paraId="6E6EC7DE"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3 (30.0)</w:t>
            </w:r>
          </w:p>
        </w:tc>
        <w:tc>
          <w:tcPr>
            <w:tcW w:w="2172" w:type="dxa"/>
            <w:shd w:val="clear" w:color="auto" w:fill="auto"/>
          </w:tcPr>
          <w:p w14:paraId="2AF67C5F"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5 (71.4)</w:t>
            </w:r>
          </w:p>
        </w:tc>
      </w:tr>
      <w:tr w:rsidR="00D81EA8" w:rsidRPr="00610FCD" w14:paraId="54341D85" w14:textId="77777777" w:rsidTr="00D81EA8">
        <w:tc>
          <w:tcPr>
            <w:tcW w:w="4673" w:type="dxa"/>
            <w:shd w:val="clear" w:color="auto" w:fill="auto"/>
          </w:tcPr>
          <w:p w14:paraId="2FC4C556"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 Relapse</w:t>
            </w:r>
          </w:p>
        </w:tc>
        <w:tc>
          <w:tcPr>
            <w:tcW w:w="2172" w:type="dxa"/>
            <w:shd w:val="clear" w:color="auto" w:fill="auto"/>
          </w:tcPr>
          <w:p w14:paraId="2AD35008"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3 (30.0)</w:t>
            </w:r>
          </w:p>
        </w:tc>
        <w:tc>
          <w:tcPr>
            <w:tcW w:w="2172" w:type="dxa"/>
            <w:shd w:val="clear" w:color="auto" w:fill="auto"/>
          </w:tcPr>
          <w:p w14:paraId="07B209F1"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3 (42.9)</w:t>
            </w:r>
          </w:p>
        </w:tc>
      </w:tr>
      <w:tr w:rsidR="00D81EA8" w:rsidRPr="00610FCD" w14:paraId="56EE1C2F" w14:textId="77777777" w:rsidTr="00D81EA8">
        <w:tc>
          <w:tcPr>
            <w:tcW w:w="4673" w:type="dxa"/>
            <w:shd w:val="clear" w:color="auto" w:fill="auto"/>
          </w:tcPr>
          <w:p w14:paraId="6E5D4F48"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 Death</w:t>
            </w:r>
          </w:p>
        </w:tc>
        <w:tc>
          <w:tcPr>
            <w:tcW w:w="2172" w:type="dxa"/>
            <w:shd w:val="clear" w:color="auto" w:fill="auto"/>
          </w:tcPr>
          <w:p w14:paraId="0CB76071"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0 (0.0)</w:t>
            </w:r>
          </w:p>
        </w:tc>
        <w:tc>
          <w:tcPr>
            <w:tcW w:w="2172" w:type="dxa"/>
            <w:shd w:val="clear" w:color="auto" w:fill="auto"/>
          </w:tcPr>
          <w:p w14:paraId="71FB7616"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2 (28.6)</w:t>
            </w:r>
          </w:p>
        </w:tc>
      </w:tr>
      <w:tr w:rsidR="00D81EA8" w:rsidRPr="00610FCD" w14:paraId="23818D85" w14:textId="77777777" w:rsidTr="00D81EA8">
        <w:tc>
          <w:tcPr>
            <w:tcW w:w="4673" w:type="dxa"/>
            <w:shd w:val="clear" w:color="auto" w:fill="auto"/>
          </w:tcPr>
          <w:p w14:paraId="07BC0A06"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Kaplan-Meier estimate of median RFS, months (95% CI)</w:t>
            </w:r>
          </w:p>
        </w:tc>
        <w:tc>
          <w:tcPr>
            <w:tcW w:w="2172" w:type="dxa"/>
            <w:shd w:val="clear" w:color="auto" w:fill="auto"/>
          </w:tcPr>
          <w:p w14:paraId="53D93E94"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NE (9.9, NE)</w:t>
            </w:r>
          </w:p>
        </w:tc>
        <w:tc>
          <w:tcPr>
            <w:tcW w:w="2172" w:type="dxa"/>
            <w:shd w:val="clear" w:color="auto" w:fill="auto"/>
          </w:tcPr>
          <w:p w14:paraId="504288A9"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10.5 (2.2, NE)</w:t>
            </w:r>
          </w:p>
        </w:tc>
      </w:tr>
      <w:tr w:rsidR="00D81EA8" w:rsidRPr="00610FCD" w14:paraId="410BC0E3" w14:textId="77777777" w:rsidTr="00D81EA8">
        <w:tc>
          <w:tcPr>
            <w:tcW w:w="4673" w:type="dxa"/>
            <w:shd w:val="clear" w:color="auto" w:fill="auto"/>
            <w:vAlign w:val="center"/>
          </w:tcPr>
          <w:p w14:paraId="3C1EDDCA"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Hazard ratio vs DA (95% CI)</w:t>
            </w:r>
          </w:p>
        </w:tc>
        <w:tc>
          <w:tcPr>
            <w:tcW w:w="4344" w:type="dxa"/>
            <w:gridSpan w:val="2"/>
            <w:shd w:val="clear" w:color="auto" w:fill="auto"/>
          </w:tcPr>
          <w:p w14:paraId="072F6A40"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0.284 (0.067, 1.206)</w:t>
            </w:r>
          </w:p>
        </w:tc>
      </w:tr>
      <w:tr w:rsidR="00D81EA8" w:rsidRPr="00610FCD" w14:paraId="6F8E422F" w14:textId="77777777" w:rsidTr="00D81EA8">
        <w:tc>
          <w:tcPr>
            <w:tcW w:w="9017" w:type="dxa"/>
            <w:gridSpan w:val="3"/>
            <w:shd w:val="clear" w:color="auto" w:fill="auto"/>
            <w:vAlign w:val="center"/>
          </w:tcPr>
          <w:p w14:paraId="7AF3A1AC" w14:textId="77777777" w:rsidR="00D81EA8" w:rsidRPr="00610FCD" w:rsidRDefault="00D81EA8" w:rsidP="003D660F">
            <w:pPr>
              <w:keepNext/>
              <w:keepLines/>
              <w:widowControl w:val="0"/>
              <w:jc w:val="left"/>
              <w:rPr>
                <w:rFonts w:ascii="Arial Narrow" w:eastAsiaTheme="majorEastAsia" w:hAnsi="Arial Narrow" w:cstheme="majorBidi"/>
                <w:b/>
                <w:bCs/>
                <w:sz w:val="20"/>
              </w:rPr>
            </w:pPr>
            <w:r w:rsidRPr="00610FCD">
              <w:rPr>
                <w:rFonts w:ascii="Arial Narrow" w:eastAsiaTheme="majorEastAsia" w:hAnsi="Arial Narrow" w:cstheme="majorBidi"/>
                <w:b/>
                <w:bCs/>
                <w:sz w:val="20"/>
              </w:rPr>
              <w:t>Unfavourable cytogenetic risk subgroup</w:t>
            </w:r>
          </w:p>
        </w:tc>
      </w:tr>
      <w:tr w:rsidR="00D81EA8" w:rsidRPr="00610FCD" w14:paraId="2BB7481A" w14:textId="77777777" w:rsidTr="00D81EA8">
        <w:tc>
          <w:tcPr>
            <w:tcW w:w="4673" w:type="dxa"/>
            <w:shd w:val="clear" w:color="auto" w:fill="auto"/>
          </w:tcPr>
          <w:p w14:paraId="3F8E0B45"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Number of patients</w:t>
            </w:r>
          </w:p>
        </w:tc>
        <w:tc>
          <w:tcPr>
            <w:tcW w:w="2172" w:type="dxa"/>
            <w:shd w:val="clear" w:color="auto" w:fill="auto"/>
          </w:tcPr>
          <w:p w14:paraId="47533C32"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14</w:t>
            </w:r>
          </w:p>
        </w:tc>
        <w:tc>
          <w:tcPr>
            <w:tcW w:w="2172" w:type="dxa"/>
            <w:shd w:val="clear" w:color="auto" w:fill="auto"/>
          </w:tcPr>
          <w:p w14:paraId="5F3913BE"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15</w:t>
            </w:r>
          </w:p>
        </w:tc>
      </w:tr>
      <w:tr w:rsidR="00D81EA8" w:rsidRPr="00610FCD" w14:paraId="56B24F3B" w14:textId="77777777" w:rsidTr="00D81EA8">
        <w:tc>
          <w:tcPr>
            <w:tcW w:w="4673" w:type="dxa"/>
            <w:shd w:val="clear" w:color="auto" w:fill="auto"/>
          </w:tcPr>
          <w:p w14:paraId="3155CC63"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Number of events, n (%)</w:t>
            </w:r>
          </w:p>
        </w:tc>
        <w:tc>
          <w:tcPr>
            <w:tcW w:w="2172" w:type="dxa"/>
            <w:shd w:val="clear" w:color="auto" w:fill="auto"/>
          </w:tcPr>
          <w:p w14:paraId="438EBB9F"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12 (85.7)</w:t>
            </w:r>
          </w:p>
        </w:tc>
        <w:tc>
          <w:tcPr>
            <w:tcW w:w="2172" w:type="dxa"/>
            <w:shd w:val="clear" w:color="auto" w:fill="auto"/>
          </w:tcPr>
          <w:p w14:paraId="55C08B71"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11 (73.3)</w:t>
            </w:r>
          </w:p>
        </w:tc>
      </w:tr>
      <w:tr w:rsidR="00D81EA8" w:rsidRPr="00610FCD" w14:paraId="7AE02DFF" w14:textId="77777777" w:rsidTr="00D81EA8">
        <w:tc>
          <w:tcPr>
            <w:tcW w:w="4673" w:type="dxa"/>
            <w:shd w:val="clear" w:color="auto" w:fill="auto"/>
          </w:tcPr>
          <w:p w14:paraId="11967AD4"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 Relapse</w:t>
            </w:r>
          </w:p>
        </w:tc>
        <w:tc>
          <w:tcPr>
            <w:tcW w:w="2172" w:type="dxa"/>
            <w:shd w:val="clear" w:color="auto" w:fill="auto"/>
          </w:tcPr>
          <w:p w14:paraId="54F2DC2C"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11 (78.6)</w:t>
            </w:r>
          </w:p>
        </w:tc>
        <w:tc>
          <w:tcPr>
            <w:tcW w:w="2172" w:type="dxa"/>
            <w:shd w:val="clear" w:color="auto" w:fill="auto"/>
          </w:tcPr>
          <w:p w14:paraId="03F576EE"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9 (60.0)</w:t>
            </w:r>
          </w:p>
        </w:tc>
      </w:tr>
      <w:tr w:rsidR="00D81EA8" w:rsidRPr="00610FCD" w14:paraId="4EA65300" w14:textId="77777777" w:rsidTr="00D81EA8">
        <w:tc>
          <w:tcPr>
            <w:tcW w:w="4673" w:type="dxa"/>
            <w:shd w:val="clear" w:color="auto" w:fill="auto"/>
          </w:tcPr>
          <w:p w14:paraId="05518FEB"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 Death</w:t>
            </w:r>
          </w:p>
        </w:tc>
        <w:tc>
          <w:tcPr>
            <w:tcW w:w="2172" w:type="dxa"/>
            <w:shd w:val="clear" w:color="auto" w:fill="auto"/>
          </w:tcPr>
          <w:p w14:paraId="250ADCA6"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 (7.1)</w:t>
            </w:r>
          </w:p>
        </w:tc>
        <w:tc>
          <w:tcPr>
            <w:tcW w:w="2172" w:type="dxa"/>
            <w:shd w:val="clear" w:color="auto" w:fill="auto"/>
          </w:tcPr>
          <w:p w14:paraId="2CBFA193"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2 (13.3)</w:t>
            </w:r>
          </w:p>
        </w:tc>
      </w:tr>
      <w:tr w:rsidR="00D81EA8" w:rsidRPr="00610FCD" w14:paraId="1A93FFF8" w14:textId="77777777" w:rsidTr="00D81EA8">
        <w:tc>
          <w:tcPr>
            <w:tcW w:w="4673" w:type="dxa"/>
            <w:shd w:val="clear" w:color="auto" w:fill="auto"/>
          </w:tcPr>
          <w:p w14:paraId="5DCB1598"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Kaplan-Meier estimate of median RFS, months (95% CI)</w:t>
            </w:r>
          </w:p>
        </w:tc>
        <w:tc>
          <w:tcPr>
            <w:tcW w:w="2172" w:type="dxa"/>
            <w:shd w:val="clear" w:color="auto" w:fill="auto"/>
          </w:tcPr>
          <w:p w14:paraId="530845F4"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7.0 (3.6, 17.0)</w:t>
            </w:r>
          </w:p>
        </w:tc>
        <w:tc>
          <w:tcPr>
            <w:tcW w:w="2172" w:type="dxa"/>
            <w:shd w:val="clear" w:color="auto" w:fill="auto"/>
          </w:tcPr>
          <w:p w14:paraId="7F708464"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11.1 (4.2, 20.8)</w:t>
            </w:r>
          </w:p>
        </w:tc>
      </w:tr>
      <w:tr w:rsidR="00D81EA8" w:rsidRPr="00610FCD" w14:paraId="24C221EB" w14:textId="77777777" w:rsidTr="00D81EA8">
        <w:tc>
          <w:tcPr>
            <w:tcW w:w="4673" w:type="dxa"/>
            <w:shd w:val="clear" w:color="auto" w:fill="auto"/>
            <w:vAlign w:val="center"/>
          </w:tcPr>
          <w:p w14:paraId="3ACF8883"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Hazard ratio vs DA (95% CI)</w:t>
            </w:r>
          </w:p>
        </w:tc>
        <w:tc>
          <w:tcPr>
            <w:tcW w:w="4344" w:type="dxa"/>
            <w:gridSpan w:val="2"/>
            <w:shd w:val="clear" w:color="auto" w:fill="auto"/>
          </w:tcPr>
          <w:p w14:paraId="46B4E501"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1.195 (0.526, 2.719)</w:t>
            </w:r>
          </w:p>
        </w:tc>
      </w:tr>
      <w:tr w:rsidR="00D81EA8" w:rsidRPr="00610FCD" w14:paraId="6A503101" w14:textId="77777777" w:rsidTr="00D81EA8">
        <w:tc>
          <w:tcPr>
            <w:tcW w:w="9017" w:type="dxa"/>
            <w:gridSpan w:val="3"/>
            <w:shd w:val="clear" w:color="auto" w:fill="auto"/>
            <w:vAlign w:val="center"/>
          </w:tcPr>
          <w:p w14:paraId="469C03F2"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b/>
                <w:bCs/>
                <w:sz w:val="20"/>
              </w:rPr>
              <w:t>Favourable/intermediate/unknown cytogenetic risk subgroup</w:t>
            </w:r>
          </w:p>
        </w:tc>
      </w:tr>
      <w:tr w:rsidR="00D81EA8" w:rsidRPr="00610FCD" w14:paraId="763EF6D0" w14:textId="77777777" w:rsidTr="00D81EA8">
        <w:tc>
          <w:tcPr>
            <w:tcW w:w="4673" w:type="dxa"/>
            <w:shd w:val="clear" w:color="auto" w:fill="auto"/>
          </w:tcPr>
          <w:p w14:paraId="2174E841"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Number of patients</w:t>
            </w:r>
          </w:p>
        </w:tc>
        <w:tc>
          <w:tcPr>
            <w:tcW w:w="2172" w:type="dxa"/>
            <w:shd w:val="clear" w:color="auto" w:fill="auto"/>
          </w:tcPr>
          <w:p w14:paraId="1CFEC6E1"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86</w:t>
            </w:r>
          </w:p>
        </w:tc>
        <w:tc>
          <w:tcPr>
            <w:tcW w:w="2172" w:type="dxa"/>
            <w:shd w:val="clear" w:color="auto" w:fill="auto"/>
          </w:tcPr>
          <w:p w14:paraId="7520613A"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81</w:t>
            </w:r>
          </w:p>
        </w:tc>
      </w:tr>
      <w:tr w:rsidR="00D81EA8" w:rsidRPr="00610FCD" w14:paraId="5C85A201" w14:textId="77777777" w:rsidTr="00D81EA8">
        <w:tc>
          <w:tcPr>
            <w:tcW w:w="4673" w:type="dxa"/>
            <w:shd w:val="clear" w:color="auto" w:fill="auto"/>
          </w:tcPr>
          <w:p w14:paraId="688F766E"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Number of events, n (%)</w:t>
            </w:r>
          </w:p>
        </w:tc>
        <w:tc>
          <w:tcPr>
            <w:tcW w:w="2172" w:type="dxa"/>
            <w:shd w:val="clear" w:color="auto" w:fill="auto"/>
          </w:tcPr>
          <w:p w14:paraId="62BF5750"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51 (59.3)</w:t>
            </w:r>
          </w:p>
        </w:tc>
        <w:tc>
          <w:tcPr>
            <w:tcW w:w="2172" w:type="dxa"/>
            <w:shd w:val="clear" w:color="auto" w:fill="auto"/>
          </w:tcPr>
          <w:p w14:paraId="618593D8"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61 (75.3)</w:t>
            </w:r>
          </w:p>
        </w:tc>
      </w:tr>
      <w:tr w:rsidR="00D81EA8" w:rsidRPr="00610FCD" w14:paraId="5482707A" w14:textId="77777777" w:rsidTr="00D81EA8">
        <w:tc>
          <w:tcPr>
            <w:tcW w:w="4673" w:type="dxa"/>
            <w:shd w:val="clear" w:color="auto" w:fill="auto"/>
          </w:tcPr>
          <w:p w14:paraId="0DA4E6B8"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 Relapse</w:t>
            </w:r>
          </w:p>
        </w:tc>
        <w:tc>
          <w:tcPr>
            <w:tcW w:w="2172" w:type="dxa"/>
            <w:shd w:val="clear" w:color="auto" w:fill="auto"/>
          </w:tcPr>
          <w:p w14:paraId="0A33D8F8"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47 (54.7)</w:t>
            </w:r>
          </w:p>
        </w:tc>
        <w:tc>
          <w:tcPr>
            <w:tcW w:w="2172" w:type="dxa"/>
            <w:shd w:val="clear" w:color="auto" w:fill="auto"/>
          </w:tcPr>
          <w:p w14:paraId="02175772"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51 (63.0)</w:t>
            </w:r>
          </w:p>
        </w:tc>
      </w:tr>
      <w:tr w:rsidR="00D81EA8" w:rsidRPr="00610FCD" w14:paraId="7B76EA43" w14:textId="77777777" w:rsidTr="00D81EA8">
        <w:tc>
          <w:tcPr>
            <w:tcW w:w="4673" w:type="dxa"/>
            <w:shd w:val="clear" w:color="auto" w:fill="auto"/>
          </w:tcPr>
          <w:p w14:paraId="2B21DDC7"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 Death</w:t>
            </w:r>
          </w:p>
        </w:tc>
        <w:tc>
          <w:tcPr>
            <w:tcW w:w="2172" w:type="dxa"/>
            <w:shd w:val="clear" w:color="auto" w:fill="auto"/>
          </w:tcPr>
          <w:p w14:paraId="4D45E386"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4 (4.7)</w:t>
            </w:r>
          </w:p>
        </w:tc>
        <w:tc>
          <w:tcPr>
            <w:tcW w:w="2172" w:type="dxa"/>
            <w:shd w:val="clear" w:color="auto" w:fill="auto"/>
          </w:tcPr>
          <w:p w14:paraId="0D36696B"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10 (12.3)</w:t>
            </w:r>
          </w:p>
        </w:tc>
      </w:tr>
      <w:tr w:rsidR="00D81EA8" w:rsidRPr="00610FCD" w14:paraId="73B79E28" w14:textId="77777777" w:rsidTr="00D81EA8">
        <w:tc>
          <w:tcPr>
            <w:tcW w:w="4673" w:type="dxa"/>
            <w:shd w:val="clear" w:color="auto" w:fill="auto"/>
          </w:tcPr>
          <w:p w14:paraId="1C05F59E"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Kaplan-Meier estimate of median RFS, months (95% CI)</w:t>
            </w:r>
          </w:p>
        </w:tc>
        <w:tc>
          <w:tcPr>
            <w:tcW w:w="2172" w:type="dxa"/>
            <w:shd w:val="clear" w:color="auto" w:fill="auto"/>
          </w:tcPr>
          <w:p w14:paraId="2BAC69D1"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27.9 (16.7, 49.2)</w:t>
            </w:r>
          </w:p>
        </w:tc>
        <w:tc>
          <w:tcPr>
            <w:tcW w:w="2172" w:type="dxa"/>
            <w:shd w:val="clear" w:color="auto" w:fill="auto"/>
          </w:tcPr>
          <w:p w14:paraId="10645257"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14.1 (10.5, 16.1)</w:t>
            </w:r>
          </w:p>
        </w:tc>
      </w:tr>
      <w:tr w:rsidR="00D81EA8" w:rsidRPr="00610FCD" w14:paraId="44708534" w14:textId="77777777" w:rsidTr="00D81EA8">
        <w:tc>
          <w:tcPr>
            <w:tcW w:w="4673" w:type="dxa"/>
            <w:shd w:val="clear" w:color="auto" w:fill="auto"/>
            <w:vAlign w:val="center"/>
          </w:tcPr>
          <w:p w14:paraId="663B5A77" w14:textId="77777777" w:rsidR="00D81EA8" w:rsidRPr="00610FCD" w:rsidRDefault="00D81EA8" w:rsidP="003D660F">
            <w:pPr>
              <w:keepNext/>
              <w:keepLines/>
              <w:widowControl w:val="0"/>
              <w:jc w:val="left"/>
              <w:rPr>
                <w:rFonts w:ascii="Arial Narrow" w:eastAsiaTheme="majorEastAsia" w:hAnsi="Arial Narrow" w:cstheme="majorBidi"/>
                <w:sz w:val="20"/>
              </w:rPr>
            </w:pPr>
            <w:r w:rsidRPr="00610FCD">
              <w:rPr>
                <w:rFonts w:ascii="Arial Narrow" w:eastAsiaTheme="majorEastAsia" w:hAnsi="Arial Narrow" w:cstheme="majorBidi"/>
                <w:sz w:val="20"/>
              </w:rPr>
              <w:t>Hazard ratio vs DA (95% CI)</w:t>
            </w:r>
          </w:p>
        </w:tc>
        <w:tc>
          <w:tcPr>
            <w:tcW w:w="4344" w:type="dxa"/>
            <w:gridSpan w:val="2"/>
            <w:shd w:val="clear" w:color="auto" w:fill="auto"/>
          </w:tcPr>
          <w:p w14:paraId="0E0A83D7" w14:textId="77777777" w:rsidR="00D81EA8" w:rsidRPr="00610FCD" w:rsidRDefault="00D81EA8" w:rsidP="003D660F">
            <w:pPr>
              <w:keepNext/>
              <w:keepLines/>
              <w:widowControl w:val="0"/>
              <w:jc w:val="center"/>
              <w:rPr>
                <w:rFonts w:ascii="Arial Narrow" w:eastAsiaTheme="majorEastAsia" w:hAnsi="Arial Narrow" w:cstheme="majorBidi"/>
                <w:sz w:val="20"/>
              </w:rPr>
            </w:pPr>
            <w:r w:rsidRPr="00610FCD">
              <w:rPr>
                <w:rFonts w:ascii="Arial Narrow" w:eastAsiaTheme="majorEastAsia" w:hAnsi="Arial Narrow" w:cstheme="majorBidi"/>
                <w:sz w:val="20"/>
              </w:rPr>
              <w:t>0.578 (0.397, 0.842)</w:t>
            </w:r>
          </w:p>
        </w:tc>
      </w:tr>
    </w:tbl>
    <w:p w14:paraId="2BB2FB47" w14:textId="77777777" w:rsidR="00D81EA8" w:rsidRPr="00610FCD" w:rsidRDefault="00D81EA8" w:rsidP="00D81EA8">
      <w:pPr>
        <w:spacing w:after="120"/>
        <w:contextualSpacing/>
        <w:rPr>
          <w:rFonts w:ascii="Arial Narrow" w:hAnsi="Arial Narrow"/>
          <w:snapToGrid w:val="0"/>
          <w:sz w:val="18"/>
          <w:szCs w:val="22"/>
        </w:rPr>
      </w:pPr>
      <w:r w:rsidRPr="00610FCD">
        <w:rPr>
          <w:rFonts w:ascii="Arial Narrow" w:hAnsi="Arial Narrow"/>
          <w:snapToGrid w:val="0"/>
          <w:sz w:val="18"/>
          <w:szCs w:val="22"/>
        </w:rPr>
        <w:t>Source: Tables 14.2.10.7 and 14.2.10.36 of the resubmission</w:t>
      </w:r>
    </w:p>
    <w:p w14:paraId="0C5E8F0A" w14:textId="77777777" w:rsidR="00D81EA8" w:rsidRPr="00610FCD" w:rsidRDefault="00D81EA8" w:rsidP="00D81EA8">
      <w:pPr>
        <w:spacing w:after="120"/>
        <w:contextualSpacing/>
        <w:rPr>
          <w:rFonts w:ascii="Arial Narrow" w:hAnsi="Arial Narrow"/>
          <w:snapToGrid w:val="0"/>
          <w:sz w:val="18"/>
          <w:szCs w:val="22"/>
        </w:rPr>
      </w:pPr>
      <w:r w:rsidRPr="00610FCD">
        <w:rPr>
          <w:rFonts w:ascii="Arial Narrow" w:hAnsi="Arial Narrow"/>
          <w:snapToGrid w:val="0"/>
          <w:sz w:val="18"/>
          <w:szCs w:val="22"/>
        </w:rPr>
        <w:t xml:space="preserve">CI, confidence interval; </w:t>
      </w:r>
      <w:r w:rsidR="00A378CB">
        <w:rPr>
          <w:rFonts w:ascii="Arial Narrow" w:hAnsi="Arial Narrow"/>
          <w:snapToGrid w:val="0"/>
          <w:sz w:val="18"/>
          <w:szCs w:val="22"/>
        </w:rPr>
        <w:t xml:space="preserve">DA, </w:t>
      </w:r>
      <w:bookmarkStart w:id="21" w:name="_Hlk82429542"/>
      <w:r w:rsidR="00A378CB">
        <w:rPr>
          <w:rFonts w:ascii="Arial Narrow" w:hAnsi="Arial Narrow"/>
          <w:snapToGrid w:val="0"/>
          <w:sz w:val="18"/>
          <w:szCs w:val="22"/>
        </w:rPr>
        <w:t>daunorubicin</w:t>
      </w:r>
      <w:bookmarkEnd w:id="21"/>
      <w:r w:rsidR="00A378CB">
        <w:rPr>
          <w:rFonts w:ascii="Arial Narrow" w:hAnsi="Arial Narrow"/>
          <w:snapToGrid w:val="0"/>
          <w:sz w:val="18"/>
          <w:szCs w:val="22"/>
        </w:rPr>
        <w:t xml:space="preserve">; GO, gemtuzumab; </w:t>
      </w:r>
      <w:r w:rsidRPr="00610FCD">
        <w:rPr>
          <w:rFonts w:ascii="Arial Narrow" w:hAnsi="Arial Narrow"/>
          <w:snapToGrid w:val="0"/>
          <w:sz w:val="18"/>
          <w:szCs w:val="22"/>
        </w:rPr>
        <w:t>NE, not estimable</w:t>
      </w:r>
      <w:r w:rsidR="00A378CB">
        <w:rPr>
          <w:rFonts w:ascii="Arial Narrow" w:hAnsi="Arial Narrow"/>
          <w:snapToGrid w:val="0"/>
          <w:sz w:val="18"/>
          <w:szCs w:val="22"/>
        </w:rPr>
        <w:t>; RFS, relapse-free survival</w:t>
      </w:r>
    </w:p>
    <w:p w14:paraId="22A2279C" w14:textId="77777777" w:rsidR="00760C4E" w:rsidRPr="00610FCD" w:rsidRDefault="00B53F5A" w:rsidP="00EC5836">
      <w:pPr>
        <w:pStyle w:val="ExecSumBodyText"/>
      </w:pPr>
      <w:r w:rsidRPr="00610FCD">
        <w:rPr>
          <w:snapToGrid/>
        </w:rPr>
        <w:t xml:space="preserve">In patients with favourable/intermediate cytogenetic risk, relapse-free survival was consistent with the whole trial population. There was no apparent treatment benefit in patients with unknown or unfavourable cytogenetic risk. </w:t>
      </w:r>
    </w:p>
    <w:p w14:paraId="41D64F42" w14:textId="77777777" w:rsidR="00B53F5A" w:rsidRPr="00610FCD" w:rsidRDefault="00B53F5A" w:rsidP="00EC5836">
      <w:pPr>
        <w:pStyle w:val="ExecSumBodyText"/>
      </w:pPr>
      <w:r w:rsidRPr="00610FCD">
        <w:t xml:space="preserve">Results based on the combined subgroup with favourable/intermediate/unknown cytogenetic risk were also consistent with the whole trial population, with a numerical improvement in median relapse-free survival and hazard ratio compared to the favourable/intermediate subgroup due to the inclusion of patients with unknown risk. </w:t>
      </w:r>
      <w:r w:rsidRPr="00FB1983">
        <w:rPr>
          <w:iCs/>
        </w:rPr>
        <w:t>It was difficult to interpret these results given the relatively small size of the subgroup with unknown risk and the lack of subgroup characteristics in the resubmission.</w:t>
      </w:r>
    </w:p>
    <w:p w14:paraId="55AB6AAC" w14:textId="77777777" w:rsidR="002B503E" w:rsidRPr="00610FCD" w:rsidRDefault="002B503E" w:rsidP="0020480C">
      <w:pPr>
        <w:pStyle w:val="ExecSumBodyText"/>
      </w:pPr>
      <w:r w:rsidRPr="00610FCD">
        <w:t>The figure below represents the Kaplan-Meier data for relapse-free survival in the subgroup with favourable/intermediate/unknown cytogenetic risk (patients who achieve response).</w:t>
      </w:r>
      <w:r w:rsidR="0020480C" w:rsidRPr="00FB1983">
        <w:rPr>
          <w:iCs/>
        </w:rPr>
        <w:t xml:space="preserve"> The data were previously considered by the PBAC at the March 2021 PBAC meeting, but the figure previously presented used a different scale (X-axis based on days). </w:t>
      </w:r>
    </w:p>
    <w:p w14:paraId="2C281E34" w14:textId="77777777" w:rsidR="002B503E" w:rsidRPr="00610FCD" w:rsidRDefault="00484063" w:rsidP="00BE37F2">
      <w:pPr>
        <w:pStyle w:val="TableFigureCaption"/>
        <w:rPr>
          <w:snapToGrid w:val="0"/>
          <w:sz w:val="18"/>
          <w:szCs w:val="22"/>
        </w:rPr>
      </w:pPr>
      <w:r>
        <w:t xml:space="preserve">Figure </w:t>
      </w:r>
      <w:r w:rsidR="00F90EC3">
        <w:rPr>
          <w:noProof/>
        </w:rPr>
        <w:t>1</w:t>
      </w:r>
      <w:r w:rsidR="002B503E" w:rsidRPr="00610FCD">
        <w:t>: Kaplan-Meier curve for relapse-free survival in the subgroup with favourable/intermediate/unknown risk, who achieve an overall response (independent review, 30 April 2013 cut-off).</w:t>
      </w:r>
      <w:r w:rsidR="002B503E" w:rsidRPr="00610FCD">
        <w:rPr>
          <w:noProof/>
        </w:rPr>
        <w:drawing>
          <wp:inline distT="0" distB="0" distL="0" distR="0" wp14:anchorId="3FDC6F7C" wp14:editId="06ADAF9B">
            <wp:extent cx="5732145" cy="3249295"/>
            <wp:effectExtent l="0" t="0" r="1905" b="8255"/>
            <wp:docPr id="16" name="Picture 16" title="Figure 1: Kaplan-Meier curve for relapse-free survival in the subgroup with favourable/intermediate/unknown risk, who achieve an overall response (independent review, 30 April 2013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3249295"/>
                    </a:xfrm>
                    <a:prstGeom prst="rect">
                      <a:avLst/>
                    </a:prstGeom>
                  </pic:spPr>
                </pic:pic>
              </a:graphicData>
            </a:graphic>
          </wp:inline>
        </w:drawing>
      </w:r>
    </w:p>
    <w:p w14:paraId="1A1B82F1" w14:textId="77777777" w:rsidR="002B503E" w:rsidRPr="00610FCD" w:rsidRDefault="002B503E" w:rsidP="002B503E">
      <w:pPr>
        <w:spacing w:after="120"/>
        <w:contextualSpacing/>
        <w:rPr>
          <w:rFonts w:ascii="Arial Narrow" w:hAnsi="Arial Narrow"/>
          <w:snapToGrid w:val="0"/>
          <w:sz w:val="18"/>
          <w:szCs w:val="22"/>
        </w:rPr>
      </w:pPr>
      <w:r w:rsidRPr="00610FCD">
        <w:rPr>
          <w:rFonts w:ascii="Arial Narrow" w:hAnsi="Arial Narrow"/>
          <w:snapToGrid w:val="0"/>
          <w:sz w:val="18"/>
          <w:szCs w:val="22"/>
        </w:rPr>
        <w:t>Source: Figure 3.4.1, p214 of the resubmission</w:t>
      </w:r>
    </w:p>
    <w:p w14:paraId="2C7B070F" w14:textId="77777777" w:rsidR="002B503E" w:rsidRPr="00610FCD" w:rsidRDefault="002B503E" w:rsidP="002B503E">
      <w:pPr>
        <w:pStyle w:val="ExecSumBodyText"/>
      </w:pPr>
      <w:r w:rsidRPr="00610FCD">
        <w:t xml:space="preserve">Based on the new figure, relapse-free survival was similar initially and then diverged from approximately 4.5 months. </w:t>
      </w:r>
      <w:r w:rsidRPr="00FB1983">
        <w:rPr>
          <w:iCs/>
        </w:rPr>
        <w:t>The reason for the delay in divergence was unclear.</w:t>
      </w:r>
    </w:p>
    <w:p w14:paraId="06CA8413" w14:textId="77777777" w:rsidR="002B503E" w:rsidRPr="00FB1983" w:rsidRDefault="002B503E" w:rsidP="002B503E">
      <w:pPr>
        <w:pStyle w:val="ExecSumBodyText"/>
        <w:rPr>
          <w:iCs/>
        </w:rPr>
      </w:pPr>
      <w:r w:rsidRPr="00610FCD">
        <w:t xml:space="preserve">The resubmission claimed the plateaus occurring at the tail-end of the plots represents patients who achieved functional cure. The resubmission suggested there is a substantial difference in the proportion of patients achieving functional cure of around 40% in the gemtuzumab arm versus 20% in the control arm. </w:t>
      </w:r>
      <w:r w:rsidRPr="00FB1983">
        <w:rPr>
          <w:iCs/>
        </w:rPr>
        <w:t>The plateau</w:t>
      </w:r>
      <w:r w:rsidR="00CA253D" w:rsidRPr="00FB1983">
        <w:rPr>
          <w:iCs/>
        </w:rPr>
        <w:t>s</w:t>
      </w:r>
      <w:r w:rsidRPr="00FB1983">
        <w:rPr>
          <w:iCs/>
        </w:rPr>
        <w:t xml:space="preserve"> appear to be based on a small number of patients and less than </w:t>
      </w:r>
      <w:r w:rsidR="00633362" w:rsidRPr="00FB1983">
        <w:rPr>
          <w:iCs/>
        </w:rPr>
        <w:t>four</w:t>
      </w:r>
      <w:r w:rsidRPr="00FB1983">
        <w:rPr>
          <w:iCs/>
        </w:rPr>
        <w:t xml:space="preserve"> years follow-up in the trial. </w:t>
      </w:r>
    </w:p>
    <w:p w14:paraId="2239742B" w14:textId="77777777" w:rsidR="00B34FE2" w:rsidRPr="00610FCD" w:rsidRDefault="004B1923" w:rsidP="00EC5836">
      <w:pPr>
        <w:pStyle w:val="ExecSumBodyText"/>
      </w:pPr>
      <w:r w:rsidRPr="00FB1983">
        <w:rPr>
          <w:iCs/>
        </w:rPr>
        <w:t>The PBAC</w:t>
      </w:r>
      <w:r w:rsidR="00045745">
        <w:rPr>
          <w:iCs/>
        </w:rPr>
        <w:t xml:space="preserve"> had</w:t>
      </w:r>
      <w:r w:rsidRPr="00FB1983">
        <w:rPr>
          <w:iCs/>
        </w:rPr>
        <w:t xml:space="preserve"> previously noted that the difference </w:t>
      </w:r>
      <w:r w:rsidR="002C2A1C" w:rsidRPr="00FB1983">
        <w:rPr>
          <w:iCs/>
        </w:rPr>
        <w:t>in overall survival, at a median follow up of 47.6 months in the gemtuzumab arm and 41.0 months in the control arm, was not statistically significant in the mITT population (HR = 0.807; 95% CI: 0.596, 1.093)</w:t>
      </w:r>
      <w:r w:rsidR="00442FBD" w:rsidRPr="00FB1983">
        <w:rPr>
          <w:iCs/>
        </w:rPr>
        <w:t xml:space="preserve"> (para 7.7, gemtuzumab PSD, March 2021 PBAC meeting).</w:t>
      </w:r>
    </w:p>
    <w:p w14:paraId="112A4FFE" w14:textId="77777777" w:rsidR="002C2A1C" w:rsidRDefault="00AD07A4" w:rsidP="00EC5836">
      <w:pPr>
        <w:pStyle w:val="ExecSumBodyText"/>
        <w:rPr>
          <w:iCs/>
        </w:rPr>
      </w:pPr>
      <w:r w:rsidRPr="00FB1983">
        <w:rPr>
          <w:iCs/>
        </w:rPr>
        <w:t xml:space="preserve">The PBAC </w:t>
      </w:r>
      <w:r w:rsidR="00045745">
        <w:rPr>
          <w:iCs/>
        </w:rPr>
        <w:t xml:space="preserve">had also </w:t>
      </w:r>
      <w:r w:rsidRPr="00FB1983">
        <w:rPr>
          <w:iCs/>
        </w:rPr>
        <w:t xml:space="preserve">previously noted that overall survival was potentially confounded as 22.1% of patients in the control arm subsequently received gemtuzumab, and due to the use of salvage therapies and HSCT. The PBAC </w:t>
      </w:r>
      <w:r w:rsidR="00045745">
        <w:rPr>
          <w:iCs/>
        </w:rPr>
        <w:t xml:space="preserve">had further </w:t>
      </w:r>
      <w:r w:rsidRPr="00FB1983">
        <w:rPr>
          <w:iCs/>
        </w:rPr>
        <w:t>noted that more patients in the control arm (39.0%) underwent HSCT compared to in the gemtuzumab arm (23.7%) (para 7.8, gemtuzumab PSD, March 2021 PBAC meeting).</w:t>
      </w:r>
    </w:p>
    <w:p w14:paraId="1F4B89DC" w14:textId="77777777" w:rsidR="00F1292E" w:rsidRPr="00045745" w:rsidRDefault="00F1292E" w:rsidP="00EC5836">
      <w:pPr>
        <w:pStyle w:val="ExecSumBodyText"/>
        <w:rPr>
          <w:iCs/>
        </w:rPr>
      </w:pPr>
      <w:r w:rsidRPr="00045745">
        <w:rPr>
          <w:iCs/>
        </w:rPr>
        <w:t xml:space="preserve">The </w:t>
      </w:r>
      <w:r w:rsidR="00B6729A">
        <w:rPr>
          <w:iCs/>
        </w:rPr>
        <w:t>Pre-Sub-Committee Response (</w:t>
      </w:r>
      <w:r w:rsidRPr="00045745">
        <w:rPr>
          <w:iCs/>
        </w:rPr>
        <w:t>PSCR</w:t>
      </w:r>
      <w:r w:rsidR="00B6729A">
        <w:rPr>
          <w:iCs/>
        </w:rPr>
        <w:t>)</w:t>
      </w:r>
      <w:r w:rsidRPr="00045745">
        <w:rPr>
          <w:iCs/>
        </w:rPr>
        <w:t xml:space="preserve"> considered that the lack of significance for </w:t>
      </w:r>
      <w:r w:rsidR="00045745">
        <w:rPr>
          <w:iCs/>
        </w:rPr>
        <w:t>overall survival</w:t>
      </w:r>
      <w:r w:rsidR="00045745" w:rsidRPr="00045745">
        <w:rPr>
          <w:iCs/>
        </w:rPr>
        <w:t xml:space="preserve"> </w:t>
      </w:r>
      <w:r w:rsidRPr="00045745">
        <w:rPr>
          <w:iCs/>
        </w:rPr>
        <w:t>in the mITT population was likely because the study was not powered to detect statistically significant differences between arms for this outcome, in addition to confounding by subsequent therapies</w:t>
      </w:r>
      <w:r w:rsidR="001E12CC" w:rsidRPr="00045745">
        <w:rPr>
          <w:iCs/>
        </w:rPr>
        <w:t>, and also because</w:t>
      </w:r>
      <w:r w:rsidRPr="00045745">
        <w:rPr>
          <w:iCs/>
        </w:rPr>
        <w:t xml:space="preserve"> the mITT results included patients with unfavourable cytogenetics</w:t>
      </w:r>
      <w:r w:rsidR="001E12CC" w:rsidRPr="00045745">
        <w:rPr>
          <w:iCs/>
        </w:rPr>
        <w:t>,</w:t>
      </w:r>
      <w:r w:rsidRPr="00045745">
        <w:rPr>
          <w:iCs/>
        </w:rPr>
        <w:t xml:space="preserve"> who are outside the proposed PBS population.</w:t>
      </w:r>
    </w:p>
    <w:p w14:paraId="2FF47472" w14:textId="77777777" w:rsidR="00047402" w:rsidRPr="00045745" w:rsidRDefault="00811652" w:rsidP="00EC5836">
      <w:pPr>
        <w:pStyle w:val="ExecSumBodyText"/>
        <w:rPr>
          <w:iCs/>
        </w:rPr>
      </w:pPr>
      <w:r w:rsidRPr="00045745">
        <w:rPr>
          <w:iCs/>
        </w:rPr>
        <w:t xml:space="preserve">Subgroup </w:t>
      </w:r>
      <w:r w:rsidR="00C51A62" w:rsidRPr="00045745">
        <w:rPr>
          <w:iCs/>
        </w:rPr>
        <w:t xml:space="preserve">results for overall survival were broadly consistent with whole trial population results, with no statistically significant improvement in overall survival with gemtuzumab treatment. </w:t>
      </w:r>
    </w:p>
    <w:p w14:paraId="502403BE" w14:textId="77777777" w:rsidR="00F1292E" w:rsidRPr="00045745" w:rsidRDefault="00F1292E" w:rsidP="00EC5836">
      <w:pPr>
        <w:pStyle w:val="ExecSumBodyText"/>
        <w:rPr>
          <w:iCs/>
        </w:rPr>
      </w:pPr>
      <w:r w:rsidRPr="00045745">
        <w:rPr>
          <w:iCs/>
        </w:rPr>
        <w:t xml:space="preserve">The PSCR noted that the </w:t>
      </w:r>
      <w:r w:rsidR="00C96119" w:rsidRPr="00045745">
        <w:rPr>
          <w:iCs/>
        </w:rPr>
        <w:t>overall survival</w:t>
      </w:r>
      <w:r w:rsidRPr="00045745">
        <w:rPr>
          <w:iCs/>
        </w:rPr>
        <w:t xml:space="preserve"> benefit was greater in the gemtuzumab arm than the control arm in the favourable/intermediate cytogenetic subgroup (HR = 0.747; 95% CI: 0.511, 1.091).</w:t>
      </w:r>
    </w:p>
    <w:p w14:paraId="10B0710F" w14:textId="77777777" w:rsidR="00857226" w:rsidRPr="00FB1983" w:rsidRDefault="00442FBD" w:rsidP="00EC5836">
      <w:pPr>
        <w:pStyle w:val="ExecSumBodyText"/>
        <w:rPr>
          <w:iCs/>
        </w:rPr>
      </w:pPr>
      <w:r w:rsidRPr="00FB1983">
        <w:rPr>
          <w:iCs/>
        </w:rPr>
        <w:t xml:space="preserve">The PBAC </w:t>
      </w:r>
      <w:r w:rsidR="00045745">
        <w:rPr>
          <w:iCs/>
        </w:rPr>
        <w:t xml:space="preserve">had </w:t>
      </w:r>
      <w:r w:rsidR="00CF0F63">
        <w:rPr>
          <w:iCs/>
        </w:rPr>
        <w:t xml:space="preserve">previously </w:t>
      </w:r>
      <w:r w:rsidRPr="00FB1983">
        <w:rPr>
          <w:iCs/>
        </w:rPr>
        <w:t>noted that overall survival results based on the favourable/intermediate/unknown cytogenetic risk subgroup were difficult to interpret (HR = 0.697; 95% CI: 0.486, 0.999) (para 7.7, gemtuzumab PSD, March 2021 PBAC meeting).</w:t>
      </w:r>
    </w:p>
    <w:p w14:paraId="5BEE088A" w14:textId="77777777" w:rsidR="00442FBD" w:rsidRPr="00FB1983" w:rsidRDefault="00F03AF9" w:rsidP="00EC5836">
      <w:pPr>
        <w:pStyle w:val="ExecSumBodyText"/>
        <w:rPr>
          <w:iCs/>
        </w:rPr>
      </w:pPr>
      <w:r w:rsidRPr="00610FCD">
        <w:t>In the economic model, overall survival was modelled based on the subgroup with fa</w:t>
      </w:r>
      <w:r w:rsidR="00491C2F" w:rsidRPr="00610FCD">
        <w:t>vourable/intermediate/unknown cytogenetic risk, stratified by response and refractory groups</w:t>
      </w:r>
      <w:r w:rsidR="00A94646" w:rsidRPr="00610FCD">
        <w:t>.</w:t>
      </w:r>
      <w:r w:rsidR="00491C2F" w:rsidRPr="00610FCD">
        <w:t xml:space="preserve"> </w:t>
      </w:r>
      <w:r w:rsidR="0020480C" w:rsidRPr="00FB1983">
        <w:rPr>
          <w:iCs/>
        </w:rPr>
        <w:t xml:space="preserve">The same data were used in the economic model of the previous submission, however, the resubmission </w:t>
      </w:r>
      <w:r w:rsidR="00A635D3" w:rsidRPr="00FB1983">
        <w:rPr>
          <w:iCs/>
        </w:rPr>
        <w:t xml:space="preserve">provided </w:t>
      </w:r>
      <w:r w:rsidR="002E3C35">
        <w:rPr>
          <w:iCs/>
        </w:rPr>
        <w:t xml:space="preserve">new </w:t>
      </w:r>
      <w:r w:rsidR="00A635D3" w:rsidRPr="00FB1983">
        <w:rPr>
          <w:iCs/>
        </w:rPr>
        <w:t>treatment effect</w:t>
      </w:r>
      <w:r w:rsidR="00491C2F" w:rsidRPr="00FB1983">
        <w:rPr>
          <w:iCs/>
        </w:rPr>
        <w:t xml:space="preserve"> estimates</w:t>
      </w:r>
      <w:r w:rsidR="00A635D3" w:rsidRPr="00FB1983">
        <w:rPr>
          <w:iCs/>
        </w:rPr>
        <w:t xml:space="preserve"> </w:t>
      </w:r>
      <w:r w:rsidR="002E3C35">
        <w:rPr>
          <w:iCs/>
        </w:rPr>
        <w:t>not previously</w:t>
      </w:r>
      <w:r w:rsidR="00491C2F" w:rsidRPr="00FB1983">
        <w:rPr>
          <w:iCs/>
        </w:rPr>
        <w:t xml:space="preserve"> considered by the PBAC</w:t>
      </w:r>
      <w:r w:rsidR="00A94646" w:rsidRPr="00FB1983">
        <w:rPr>
          <w:iCs/>
        </w:rPr>
        <w:t xml:space="preserve"> (summarised in the table below)</w:t>
      </w:r>
      <w:r w:rsidR="00491C2F" w:rsidRPr="00FB1983">
        <w:rPr>
          <w:iCs/>
        </w:rPr>
        <w:t>.</w:t>
      </w:r>
    </w:p>
    <w:p w14:paraId="55CA89E5" w14:textId="77777777" w:rsidR="009D22E3" w:rsidRPr="00610FCD" w:rsidRDefault="00484063" w:rsidP="00445365">
      <w:pPr>
        <w:pStyle w:val="TableFigureCaption"/>
      </w:pPr>
      <w:r>
        <w:t xml:space="preserve">Table </w:t>
      </w:r>
      <w:r w:rsidR="00F90EC3">
        <w:rPr>
          <w:noProof/>
        </w:rPr>
        <w:t>6</w:t>
      </w:r>
      <w:r w:rsidR="009D22E3" w:rsidRPr="00610FCD">
        <w:t xml:space="preserve">: </w:t>
      </w:r>
      <w:r w:rsidR="009D22E3" w:rsidRPr="005669AC">
        <w:rPr>
          <w:i/>
          <w:iCs/>
        </w:rPr>
        <w:t>Post</w:t>
      </w:r>
      <w:r w:rsidR="00A02D82" w:rsidRPr="005669AC">
        <w:rPr>
          <w:i/>
          <w:iCs/>
        </w:rPr>
        <w:t xml:space="preserve"> </w:t>
      </w:r>
      <w:r w:rsidR="009D22E3" w:rsidRPr="005669AC">
        <w:rPr>
          <w:i/>
          <w:iCs/>
        </w:rPr>
        <w:t>hoc</w:t>
      </w:r>
      <w:r w:rsidR="009D22E3" w:rsidRPr="00610FCD">
        <w:t xml:space="preserve"> analysis of overall survival by response in the favourable/intermediate/unknown cytogenetic risk subgroup (independent review, 30 April 2013 cut off)</w:t>
      </w:r>
    </w:p>
    <w:tbl>
      <w:tblPr>
        <w:tblStyle w:val="LashStyleTable5"/>
        <w:tblW w:w="0" w:type="auto"/>
        <w:tblLook w:val="04A0" w:firstRow="1" w:lastRow="0" w:firstColumn="1" w:lastColumn="0" w:noHBand="0" w:noVBand="1"/>
        <w:tblCaption w:val="Table 6: Post hoc analysis of overall survival by response in the favourable/intermediate/unknown cytogenetic risk subgroup (independent review, 30 April 2013 cut off)"/>
      </w:tblPr>
      <w:tblGrid>
        <w:gridCol w:w="4673"/>
        <w:gridCol w:w="2172"/>
        <w:gridCol w:w="2172"/>
      </w:tblGrid>
      <w:tr w:rsidR="009D22E3" w:rsidRPr="00610FCD" w14:paraId="66A9FDA7" w14:textId="77777777" w:rsidTr="00A973E6">
        <w:trPr>
          <w:tblHeader/>
        </w:trPr>
        <w:tc>
          <w:tcPr>
            <w:tcW w:w="4673" w:type="dxa"/>
            <w:shd w:val="clear" w:color="auto" w:fill="auto"/>
          </w:tcPr>
          <w:p w14:paraId="56190862" w14:textId="77777777" w:rsidR="009D22E3" w:rsidRPr="00610FCD" w:rsidRDefault="009D22E3" w:rsidP="009D22E3">
            <w:pPr>
              <w:keepNext/>
              <w:jc w:val="left"/>
              <w:rPr>
                <w:rFonts w:ascii="Arial Narrow" w:eastAsiaTheme="majorEastAsia" w:hAnsi="Arial Narrow" w:cstheme="majorBidi"/>
                <w:sz w:val="20"/>
              </w:rPr>
            </w:pPr>
          </w:p>
        </w:tc>
        <w:tc>
          <w:tcPr>
            <w:tcW w:w="2172" w:type="dxa"/>
            <w:shd w:val="clear" w:color="auto" w:fill="auto"/>
          </w:tcPr>
          <w:p w14:paraId="19636A8D" w14:textId="77777777" w:rsidR="009D22E3" w:rsidRPr="00610FCD" w:rsidRDefault="009D22E3" w:rsidP="009D22E3">
            <w:pPr>
              <w:keepNext/>
              <w:jc w:val="center"/>
              <w:rPr>
                <w:rFonts w:ascii="Arial Narrow" w:eastAsiaTheme="majorEastAsia" w:hAnsi="Arial Narrow" w:cstheme="majorBidi"/>
                <w:b/>
                <w:bCs/>
                <w:sz w:val="20"/>
              </w:rPr>
            </w:pPr>
            <w:r w:rsidRPr="00610FCD">
              <w:rPr>
                <w:rFonts w:ascii="Arial Narrow" w:eastAsiaTheme="majorEastAsia" w:hAnsi="Arial Narrow" w:cstheme="majorBidi"/>
                <w:b/>
                <w:bCs/>
                <w:sz w:val="20"/>
              </w:rPr>
              <w:t>GO+DA</w:t>
            </w:r>
          </w:p>
        </w:tc>
        <w:tc>
          <w:tcPr>
            <w:tcW w:w="2172" w:type="dxa"/>
            <w:shd w:val="clear" w:color="auto" w:fill="auto"/>
          </w:tcPr>
          <w:p w14:paraId="15FB59A0" w14:textId="77777777" w:rsidR="009D22E3" w:rsidRPr="00610FCD" w:rsidRDefault="009D22E3" w:rsidP="009D22E3">
            <w:pPr>
              <w:keepNext/>
              <w:jc w:val="center"/>
              <w:rPr>
                <w:rFonts w:ascii="Arial Narrow" w:eastAsiaTheme="majorEastAsia" w:hAnsi="Arial Narrow" w:cstheme="majorBidi"/>
                <w:b/>
                <w:bCs/>
                <w:sz w:val="20"/>
              </w:rPr>
            </w:pPr>
            <w:r w:rsidRPr="00610FCD">
              <w:rPr>
                <w:rFonts w:ascii="Arial Narrow" w:eastAsiaTheme="majorEastAsia" w:hAnsi="Arial Narrow" w:cstheme="majorBidi"/>
                <w:b/>
                <w:bCs/>
                <w:sz w:val="20"/>
              </w:rPr>
              <w:t>DA</w:t>
            </w:r>
          </w:p>
        </w:tc>
      </w:tr>
      <w:tr w:rsidR="009D22E3" w:rsidRPr="00610FCD" w14:paraId="79FAFD00" w14:textId="77777777" w:rsidTr="009D22E3">
        <w:tc>
          <w:tcPr>
            <w:tcW w:w="9017" w:type="dxa"/>
            <w:gridSpan w:val="3"/>
            <w:shd w:val="clear" w:color="auto" w:fill="auto"/>
          </w:tcPr>
          <w:p w14:paraId="2274E828" w14:textId="77777777" w:rsidR="009D22E3" w:rsidRPr="00610FCD" w:rsidRDefault="009D22E3" w:rsidP="009D22E3">
            <w:pPr>
              <w:keepNext/>
              <w:jc w:val="left"/>
              <w:rPr>
                <w:rFonts w:ascii="Arial Narrow" w:eastAsiaTheme="majorEastAsia" w:hAnsi="Arial Narrow" w:cstheme="majorBidi"/>
                <w:b/>
                <w:bCs/>
                <w:sz w:val="20"/>
              </w:rPr>
            </w:pPr>
            <w:r w:rsidRPr="00610FCD">
              <w:rPr>
                <w:rFonts w:ascii="Arial Narrow" w:eastAsiaTheme="majorEastAsia" w:hAnsi="Arial Narrow" w:cstheme="majorBidi"/>
                <w:b/>
                <w:bCs/>
                <w:sz w:val="20"/>
              </w:rPr>
              <w:t>Patients with response</w:t>
            </w:r>
          </w:p>
        </w:tc>
      </w:tr>
      <w:tr w:rsidR="009D22E3" w:rsidRPr="00610FCD" w14:paraId="07BFB2E0" w14:textId="77777777" w:rsidTr="009D22E3">
        <w:tc>
          <w:tcPr>
            <w:tcW w:w="4673" w:type="dxa"/>
            <w:shd w:val="clear" w:color="auto" w:fill="auto"/>
          </w:tcPr>
          <w:p w14:paraId="2CC8EB3A" w14:textId="77777777" w:rsidR="009D22E3" w:rsidRPr="00610FCD" w:rsidRDefault="009D22E3" w:rsidP="009D22E3">
            <w:pPr>
              <w:keepNext/>
              <w:jc w:val="left"/>
              <w:rPr>
                <w:rFonts w:ascii="Arial Narrow" w:eastAsiaTheme="majorEastAsia" w:hAnsi="Arial Narrow" w:cstheme="majorBidi"/>
                <w:sz w:val="20"/>
              </w:rPr>
            </w:pPr>
            <w:r w:rsidRPr="00610FCD">
              <w:rPr>
                <w:rFonts w:ascii="Arial Narrow" w:eastAsiaTheme="majorEastAsia" w:hAnsi="Arial Narrow" w:cstheme="majorBidi"/>
                <w:sz w:val="20"/>
              </w:rPr>
              <w:t>Number of patients</w:t>
            </w:r>
          </w:p>
        </w:tc>
        <w:tc>
          <w:tcPr>
            <w:tcW w:w="2172" w:type="dxa"/>
            <w:shd w:val="clear" w:color="auto" w:fill="auto"/>
          </w:tcPr>
          <w:p w14:paraId="32F4DE39" w14:textId="77777777" w:rsidR="009D22E3" w:rsidRPr="00610FCD" w:rsidRDefault="009D22E3" w:rsidP="009D22E3">
            <w:pPr>
              <w:keepNext/>
              <w:jc w:val="center"/>
              <w:rPr>
                <w:rFonts w:ascii="Arial Narrow" w:eastAsiaTheme="majorEastAsia" w:hAnsi="Arial Narrow" w:cstheme="majorBidi"/>
                <w:sz w:val="20"/>
              </w:rPr>
            </w:pPr>
            <w:r w:rsidRPr="00610FCD">
              <w:rPr>
                <w:rFonts w:ascii="Arial Narrow" w:eastAsiaTheme="majorEastAsia" w:hAnsi="Arial Narrow" w:cstheme="majorBidi"/>
                <w:sz w:val="20"/>
              </w:rPr>
              <w:t>86</w:t>
            </w:r>
          </w:p>
        </w:tc>
        <w:tc>
          <w:tcPr>
            <w:tcW w:w="2172" w:type="dxa"/>
            <w:shd w:val="clear" w:color="auto" w:fill="auto"/>
          </w:tcPr>
          <w:p w14:paraId="76FDF57D" w14:textId="77777777" w:rsidR="009D22E3" w:rsidRPr="00610FCD" w:rsidRDefault="009D22E3" w:rsidP="009D22E3">
            <w:pPr>
              <w:keepNext/>
              <w:jc w:val="center"/>
              <w:rPr>
                <w:rFonts w:ascii="Arial Narrow" w:eastAsiaTheme="majorEastAsia" w:hAnsi="Arial Narrow" w:cstheme="majorBidi"/>
                <w:sz w:val="20"/>
              </w:rPr>
            </w:pPr>
            <w:r w:rsidRPr="00610FCD">
              <w:rPr>
                <w:rFonts w:ascii="Arial Narrow" w:eastAsiaTheme="majorEastAsia" w:hAnsi="Arial Narrow" w:cstheme="majorBidi"/>
                <w:sz w:val="20"/>
              </w:rPr>
              <w:t>81</w:t>
            </w:r>
          </w:p>
        </w:tc>
      </w:tr>
      <w:tr w:rsidR="009D22E3" w:rsidRPr="00610FCD" w14:paraId="587F681B" w14:textId="77777777" w:rsidTr="009D22E3">
        <w:tc>
          <w:tcPr>
            <w:tcW w:w="4673" w:type="dxa"/>
            <w:shd w:val="clear" w:color="auto" w:fill="auto"/>
          </w:tcPr>
          <w:p w14:paraId="603DF598" w14:textId="77777777" w:rsidR="009D22E3" w:rsidRPr="00610FCD" w:rsidRDefault="009D22E3" w:rsidP="009D22E3">
            <w:pPr>
              <w:keepNext/>
              <w:jc w:val="left"/>
              <w:rPr>
                <w:rFonts w:ascii="Arial Narrow" w:eastAsiaTheme="majorEastAsia" w:hAnsi="Arial Narrow" w:cstheme="majorBidi"/>
                <w:sz w:val="20"/>
              </w:rPr>
            </w:pPr>
            <w:r w:rsidRPr="00610FCD">
              <w:rPr>
                <w:rFonts w:ascii="Arial Narrow" w:eastAsiaTheme="majorEastAsia" w:hAnsi="Arial Narrow" w:cstheme="majorBidi"/>
                <w:sz w:val="20"/>
              </w:rPr>
              <w:t>Number of deaths, n (%)</w:t>
            </w:r>
          </w:p>
        </w:tc>
        <w:tc>
          <w:tcPr>
            <w:tcW w:w="2172" w:type="dxa"/>
            <w:shd w:val="clear" w:color="auto" w:fill="auto"/>
          </w:tcPr>
          <w:p w14:paraId="4403A73A" w14:textId="77777777" w:rsidR="009D22E3" w:rsidRPr="00610FCD" w:rsidRDefault="009D22E3" w:rsidP="009D22E3">
            <w:pPr>
              <w:keepNext/>
              <w:jc w:val="center"/>
              <w:rPr>
                <w:rFonts w:ascii="Arial Narrow" w:eastAsiaTheme="majorEastAsia" w:hAnsi="Arial Narrow" w:cstheme="majorBidi"/>
                <w:sz w:val="20"/>
              </w:rPr>
            </w:pPr>
            <w:r w:rsidRPr="00610FCD">
              <w:rPr>
                <w:rFonts w:ascii="Arial Narrow" w:eastAsiaTheme="majorEastAsia" w:hAnsi="Arial Narrow" w:cstheme="majorBidi"/>
                <w:sz w:val="20"/>
              </w:rPr>
              <w:t>37 (43.0)</w:t>
            </w:r>
          </w:p>
        </w:tc>
        <w:tc>
          <w:tcPr>
            <w:tcW w:w="2172" w:type="dxa"/>
            <w:shd w:val="clear" w:color="auto" w:fill="auto"/>
          </w:tcPr>
          <w:p w14:paraId="5B334232" w14:textId="77777777" w:rsidR="009D22E3" w:rsidRPr="00610FCD" w:rsidRDefault="009D22E3" w:rsidP="009D22E3">
            <w:pPr>
              <w:keepNext/>
              <w:jc w:val="center"/>
              <w:rPr>
                <w:rFonts w:ascii="Arial Narrow" w:eastAsiaTheme="majorEastAsia" w:hAnsi="Arial Narrow" w:cstheme="majorBidi"/>
                <w:sz w:val="20"/>
              </w:rPr>
            </w:pPr>
            <w:r w:rsidRPr="00610FCD">
              <w:rPr>
                <w:rFonts w:ascii="Arial Narrow" w:eastAsiaTheme="majorEastAsia" w:hAnsi="Arial Narrow" w:cstheme="majorBidi"/>
                <w:sz w:val="20"/>
              </w:rPr>
              <w:t>43 (53.1)</w:t>
            </w:r>
          </w:p>
        </w:tc>
      </w:tr>
      <w:tr w:rsidR="009D22E3" w:rsidRPr="00610FCD" w14:paraId="163CD65F" w14:textId="77777777" w:rsidTr="009D22E3">
        <w:tc>
          <w:tcPr>
            <w:tcW w:w="4673" w:type="dxa"/>
            <w:shd w:val="clear" w:color="auto" w:fill="auto"/>
          </w:tcPr>
          <w:p w14:paraId="2AC9BBE3" w14:textId="77777777" w:rsidR="009D22E3" w:rsidRPr="00610FCD" w:rsidRDefault="009D22E3" w:rsidP="009D22E3">
            <w:pPr>
              <w:keepNext/>
              <w:jc w:val="left"/>
              <w:rPr>
                <w:rFonts w:ascii="Arial Narrow" w:eastAsiaTheme="majorEastAsia" w:hAnsi="Arial Narrow" w:cstheme="majorBidi"/>
                <w:sz w:val="20"/>
              </w:rPr>
            </w:pPr>
            <w:r w:rsidRPr="00610FCD">
              <w:rPr>
                <w:rFonts w:ascii="Arial Narrow" w:eastAsiaTheme="majorEastAsia" w:hAnsi="Arial Narrow" w:cstheme="majorBidi"/>
                <w:sz w:val="20"/>
              </w:rPr>
              <w:t>Kaplan-Meier estimate of median OS, months (95% CI)</w:t>
            </w:r>
          </w:p>
        </w:tc>
        <w:tc>
          <w:tcPr>
            <w:tcW w:w="2172" w:type="dxa"/>
            <w:shd w:val="clear" w:color="auto" w:fill="auto"/>
          </w:tcPr>
          <w:p w14:paraId="1839B268" w14:textId="77777777" w:rsidR="009D22E3" w:rsidRPr="00610FCD" w:rsidRDefault="009D22E3" w:rsidP="009D22E3">
            <w:pPr>
              <w:keepNext/>
              <w:jc w:val="center"/>
              <w:rPr>
                <w:rFonts w:ascii="Arial Narrow" w:eastAsiaTheme="majorEastAsia" w:hAnsi="Arial Narrow" w:cstheme="majorBidi"/>
                <w:sz w:val="20"/>
              </w:rPr>
            </w:pPr>
            <w:r w:rsidRPr="00610FCD">
              <w:rPr>
                <w:rFonts w:ascii="Arial Narrow" w:eastAsiaTheme="majorEastAsia" w:hAnsi="Arial Narrow" w:cstheme="majorBidi"/>
                <w:sz w:val="20"/>
              </w:rPr>
              <w:t>NE (37.6, NE)</w:t>
            </w:r>
          </w:p>
        </w:tc>
        <w:tc>
          <w:tcPr>
            <w:tcW w:w="2172" w:type="dxa"/>
            <w:shd w:val="clear" w:color="auto" w:fill="auto"/>
          </w:tcPr>
          <w:p w14:paraId="787E096F" w14:textId="77777777" w:rsidR="009D22E3" w:rsidRPr="00610FCD" w:rsidRDefault="009D22E3" w:rsidP="009D22E3">
            <w:pPr>
              <w:keepNext/>
              <w:jc w:val="center"/>
              <w:rPr>
                <w:rFonts w:ascii="Arial Narrow" w:eastAsiaTheme="majorEastAsia" w:hAnsi="Arial Narrow" w:cstheme="majorBidi"/>
                <w:sz w:val="20"/>
              </w:rPr>
            </w:pPr>
            <w:r w:rsidRPr="00610FCD">
              <w:rPr>
                <w:rFonts w:ascii="Arial Narrow" w:eastAsiaTheme="majorEastAsia" w:hAnsi="Arial Narrow" w:cstheme="majorBidi"/>
                <w:sz w:val="20"/>
              </w:rPr>
              <w:t>35.5 (24.5, NE)</w:t>
            </w:r>
          </w:p>
        </w:tc>
      </w:tr>
      <w:tr w:rsidR="009D22E3" w:rsidRPr="00610FCD" w14:paraId="6BCD4E95" w14:textId="77777777" w:rsidTr="009D22E3">
        <w:tc>
          <w:tcPr>
            <w:tcW w:w="4673" w:type="dxa"/>
            <w:shd w:val="clear" w:color="auto" w:fill="auto"/>
            <w:vAlign w:val="center"/>
          </w:tcPr>
          <w:p w14:paraId="36F8B57B" w14:textId="77777777" w:rsidR="009D22E3" w:rsidRPr="00610FCD" w:rsidRDefault="009D22E3" w:rsidP="009D22E3">
            <w:pPr>
              <w:keepNext/>
              <w:jc w:val="left"/>
              <w:rPr>
                <w:rFonts w:ascii="Arial Narrow" w:eastAsiaTheme="majorEastAsia" w:hAnsi="Arial Narrow" w:cstheme="majorBidi"/>
                <w:sz w:val="20"/>
              </w:rPr>
            </w:pPr>
            <w:r w:rsidRPr="00610FCD">
              <w:rPr>
                <w:rFonts w:ascii="Arial Narrow" w:eastAsiaTheme="majorEastAsia" w:hAnsi="Arial Narrow" w:cstheme="majorBidi"/>
                <w:sz w:val="20"/>
              </w:rPr>
              <w:t>Hazard ratio vs DA (95% CI)</w:t>
            </w:r>
          </w:p>
        </w:tc>
        <w:tc>
          <w:tcPr>
            <w:tcW w:w="4344" w:type="dxa"/>
            <w:gridSpan w:val="2"/>
            <w:shd w:val="clear" w:color="auto" w:fill="auto"/>
          </w:tcPr>
          <w:p w14:paraId="7E5707A5" w14:textId="77777777" w:rsidR="009D22E3" w:rsidRPr="00610FCD" w:rsidRDefault="009D22E3" w:rsidP="009D22E3">
            <w:pPr>
              <w:keepNext/>
              <w:jc w:val="center"/>
              <w:rPr>
                <w:rFonts w:ascii="Arial Narrow" w:eastAsiaTheme="majorEastAsia" w:hAnsi="Arial Narrow" w:cs="Times New Roman"/>
                <w:bCs/>
                <w:sz w:val="20"/>
              </w:rPr>
            </w:pPr>
            <w:r w:rsidRPr="00610FCD">
              <w:rPr>
                <w:rFonts w:ascii="Arial Narrow" w:eastAsiaTheme="majorEastAsia" w:hAnsi="Arial Narrow" w:cs="Times New Roman"/>
                <w:bCs/>
                <w:sz w:val="20"/>
              </w:rPr>
              <w:t>0.659 (0.424, 1.025)</w:t>
            </w:r>
          </w:p>
        </w:tc>
      </w:tr>
      <w:tr w:rsidR="009D22E3" w:rsidRPr="00610FCD" w14:paraId="1C522619" w14:textId="77777777" w:rsidTr="009D22E3">
        <w:tc>
          <w:tcPr>
            <w:tcW w:w="9017" w:type="dxa"/>
            <w:gridSpan w:val="3"/>
            <w:shd w:val="clear" w:color="auto" w:fill="auto"/>
          </w:tcPr>
          <w:p w14:paraId="3E4C9DE5" w14:textId="77777777" w:rsidR="009D22E3" w:rsidRPr="00610FCD" w:rsidRDefault="009D22E3" w:rsidP="009D22E3">
            <w:pPr>
              <w:keepNext/>
              <w:jc w:val="left"/>
              <w:rPr>
                <w:rFonts w:ascii="Arial Narrow" w:eastAsiaTheme="majorEastAsia" w:hAnsi="Arial Narrow" w:cstheme="majorBidi"/>
                <w:b/>
                <w:bCs/>
                <w:sz w:val="20"/>
              </w:rPr>
            </w:pPr>
            <w:r w:rsidRPr="00610FCD">
              <w:rPr>
                <w:rFonts w:ascii="Arial Narrow" w:eastAsiaTheme="majorEastAsia" w:hAnsi="Arial Narrow" w:cstheme="majorBidi"/>
                <w:b/>
                <w:bCs/>
                <w:sz w:val="20"/>
              </w:rPr>
              <w:t>Patients without response</w:t>
            </w:r>
          </w:p>
        </w:tc>
      </w:tr>
      <w:tr w:rsidR="009D22E3" w:rsidRPr="00610FCD" w14:paraId="46838699" w14:textId="77777777" w:rsidTr="009D22E3">
        <w:tc>
          <w:tcPr>
            <w:tcW w:w="4673" w:type="dxa"/>
            <w:shd w:val="clear" w:color="auto" w:fill="auto"/>
          </w:tcPr>
          <w:p w14:paraId="168C40A3" w14:textId="77777777" w:rsidR="009D22E3" w:rsidRPr="00610FCD" w:rsidRDefault="009D22E3" w:rsidP="009D22E3">
            <w:pPr>
              <w:keepNext/>
              <w:jc w:val="left"/>
              <w:rPr>
                <w:rFonts w:ascii="Arial Narrow" w:eastAsiaTheme="majorEastAsia" w:hAnsi="Arial Narrow" w:cstheme="majorBidi"/>
                <w:sz w:val="20"/>
              </w:rPr>
            </w:pPr>
            <w:r w:rsidRPr="00610FCD">
              <w:rPr>
                <w:rFonts w:ascii="Arial Narrow" w:eastAsiaTheme="majorEastAsia" w:hAnsi="Arial Narrow" w:cstheme="majorBidi"/>
                <w:sz w:val="20"/>
              </w:rPr>
              <w:t>Number of patients</w:t>
            </w:r>
          </w:p>
        </w:tc>
        <w:tc>
          <w:tcPr>
            <w:tcW w:w="2172" w:type="dxa"/>
            <w:shd w:val="clear" w:color="auto" w:fill="auto"/>
          </w:tcPr>
          <w:p w14:paraId="1D985F7F" w14:textId="77777777" w:rsidR="009D22E3" w:rsidRPr="00610FCD" w:rsidRDefault="009D22E3" w:rsidP="009D22E3">
            <w:pPr>
              <w:keepNext/>
              <w:jc w:val="center"/>
              <w:rPr>
                <w:rFonts w:ascii="Arial Narrow" w:eastAsiaTheme="majorEastAsia" w:hAnsi="Arial Narrow" w:cstheme="majorBidi"/>
                <w:sz w:val="20"/>
              </w:rPr>
            </w:pPr>
            <w:r w:rsidRPr="00610FCD">
              <w:rPr>
                <w:rFonts w:ascii="Arial Narrow" w:eastAsiaTheme="majorEastAsia" w:hAnsi="Arial Narrow" w:cstheme="majorBidi"/>
                <w:sz w:val="20"/>
              </w:rPr>
              <w:t>22</w:t>
            </w:r>
          </w:p>
        </w:tc>
        <w:tc>
          <w:tcPr>
            <w:tcW w:w="2172" w:type="dxa"/>
            <w:shd w:val="clear" w:color="auto" w:fill="auto"/>
          </w:tcPr>
          <w:p w14:paraId="79943A0A" w14:textId="77777777" w:rsidR="009D22E3" w:rsidRPr="00610FCD" w:rsidRDefault="009D22E3" w:rsidP="009D22E3">
            <w:pPr>
              <w:keepNext/>
              <w:jc w:val="center"/>
              <w:rPr>
                <w:rFonts w:ascii="Arial Narrow" w:eastAsiaTheme="majorEastAsia" w:hAnsi="Arial Narrow" w:cstheme="majorBidi"/>
                <w:sz w:val="20"/>
              </w:rPr>
            </w:pPr>
            <w:r w:rsidRPr="00610FCD">
              <w:rPr>
                <w:rFonts w:ascii="Arial Narrow" w:eastAsiaTheme="majorEastAsia" w:hAnsi="Arial Narrow" w:cstheme="majorBidi"/>
                <w:sz w:val="20"/>
              </w:rPr>
              <w:t>25</w:t>
            </w:r>
          </w:p>
        </w:tc>
      </w:tr>
      <w:tr w:rsidR="009D22E3" w:rsidRPr="00610FCD" w14:paraId="78399742" w14:textId="77777777" w:rsidTr="009D22E3">
        <w:tc>
          <w:tcPr>
            <w:tcW w:w="4673" w:type="dxa"/>
            <w:shd w:val="clear" w:color="auto" w:fill="auto"/>
          </w:tcPr>
          <w:p w14:paraId="3ECF63E3" w14:textId="77777777" w:rsidR="009D22E3" w:rsidRPr="00610FCD" w:rsidRDefault="009D22E3" w:rsidP="009D22E3">
            <w:pPr>
              <w:keepNext/>
              <w:jc w:val="left"/>
              <w:rPr>
                <w:rFonts w:ascii="Arial Narrow" w:eastAsiaTheme="majorEastAsia" w:hAnsi="Arial Narrow" w:cstheme="majorBidi"/>
                <w:sz w:val="20"/>
              </w:rPr>
            </w:pPr>
            <w:r w:rsidRPr="00610FCD">
              <w:rPr>
                <w:rFonts w:ascii="Arial Narrow" w:eastAsiaTheme="majorEastAsia" w:hAnsi="Arial Narrow" w:cstheme="majorBidi"/>
                <w:sz w:val="20"/>
              </w:rPr>
              <w:t>Number of deaths, n (%)</w:t>
            </w:r>
          </w:p>
        </w:tc>
        <w:tc>
          <w:tcPr>
            <w:tcW w:w="2172" w:type="dxa"/>
            <w:shd w:val="clear" w:color="auto" w:fill="auto"/>
          </w:tcPr>
          <w:p w14:paraId="3537E02B" w14:textId="77777777" w:rsidR="009D22E3" w:rsidRPr="00610FCD" w:rsidRDefault="009D22E3" w:rsidP="009D22E3">
            <w:pPr>
              <w:keepNext/>
              <w:jc w:val="center"/>
              <w:rPr>
                <w:rFonts w:ascii="Arial Narrow" w:eastAsiaTheme="majorEastAsia" w:hAnsi="Arial Narrow" w:cstheme="majorBidi"/>
                <w:sz w:val="20"/>
              </w:rPr>
            </w:pPr>
            <w:r w:rsidRPr="00610FCD">
              <w:rPr>
                <w:rFonts w:ascii="Arial Narrow" w:eastAsiaTheme="majorEastAsia" w:hAnsi="Arial Narrow" w:cstheme="majorBidi"/>
                <w:sz w:val="20"/>
              </w:rPr>
              <w:t>19 (86.4)</w:t>
            </w:r>
          </w:p>
        </w:tc>
        <w:tc>
          <w:tcPr>
            <w:tcW w:w="2172" w:type="dxa"/>
            <w:shd w:val="clear" w:color="auto" w:fill="auto"/>
          </w:tcPr>
          <w:p w14:paraId="3B9FB042" w14:textId="77777777" w:rsidR="009D22E3" w:rsidRPr="00610FCD" w:rsidRDefault="009D22E3" w:rsidP="009D22E3">
            <w:pPr>
              <w:keepNext/>
              <w:jc w:val="center"/>
              <w:rPr>
                <w:rFonts w:ascii="Arial Narrow" w:eastAsiaTheme="majorEastAsia" w:hAnsi="Arial Narrow" w:cstheme="majorBidi"/>
                <w:sz w:val="20"/>
              </w:rPr>
            </w:pPr>
            <w:r w:rsidRPr="00610FCD">
              <w:rPr>
                <w:rFonts w:ascii="Arial Narrow" w:eastAsiaTheme="majorEastAsia" w:hAnsi="Arial Narrow" w:cstheme="majorBidi"/>
                <w:sz w:val="20"/>
              </w:rPr>
              <w:t>21 (84.0)</w:t>
            </w:r>
          </w:p>
        </w:tc>
      </w:tr>
      <w:tr w:rsidR="009D22E3" w:rsidRPr="00610FCD" w14:paraId="5A237D26" w14:textId="77777777" w:rsidTr="009D22E3">
        <w:tc>
          <w:tcPr>
            <w:tcW w:w="4673" w:type="dxa"/>
            <w:shd w:val="clear" w:color="auto" w:fill="auto"/>
          </w:tcPr>
          <w:p w14:paraId="546CC386" w14:textId="77777777" w:rsidR="009D22E3" w:rsidRPr="00610FCD" w:rsidRDefault="009D22E3" w:rsidP="009D22E3">
            <w:pPr>
              <w:keepNext/>
              <w:jc w:val="left"/>
              <w:rPr>
                <w:rFonts w:ascii="Arial Narrow" w:eastAsiaTheme="majorEastAsia" w:hAnsi="Arial Narrow" w:cstheme="majorBidi"/>
                <w:sz w:val="20"/>
              </w:rPr>
            </w:pPr>
            <w:r w:rsidRPr="00610FCD">
              <w:rPr>
                <w:rFonts w:ascii="Arial Narrow" w:eastAsiaTheme="majorEastAsia" w:hAnsi="Arial Narrow" w:cstheme="majorBidi"/>
                <w:sz w:val="20"/>
              </w:rPr>
              <w:t>Kaplan-Meier estimate of median OS, months (95% CI)</w:t>
            </w:r>
          </w:p>
        </w:tc>
        <w:tc>
          <w:tcPr>
            <w:tcW w:w="2172" w:type="dxa"/>
            <w:shd w:val="clear" w:color="auto" w:fill="auto"/>
          </w:tcPr>
          <w:p w14:paraId="6B95D1F4" w14:textId="77777777" w:rsidR="009D22E3" w:rsidRPr="00610FCD" w:rsidRDefault="009D22E3" w:rsidP="009D22E3">
            <w:pPr>
              <w:keepNext/>
              <w:jc w:val="center"/>
              <w:rPr>
                <w:rFonts w:ascii="Arial Narrow" w:eastAsiaTheme="majorEastAsia" w:hAnsi="Arial Narrow" w:cstheme="majorBidi"/>
                <w:sz w:val="20"/>
              </w:rPr>
            </w:pPr>
            <w:r w:rsidRPr="00610FCD">
              <w:rPr>
                <w:rFonts w:ascii="Arial Narrow" w:eastAsiaTheme="majorEastAsia" w:hAnsi="Arial Narrow" w:cstheme="majorBidi"/>
                <w:sz w:val="20"/>
              </w:rPr>
              <w:t>14.8 (3.6, 22.7)</w:t>
            </w:r>
          </w:p>
        </w:tc>
        <w:tc>
          <w:tcPr>
            <w:tcW w:w="2172" w:type="dxa"/>
            <w:shd w:val="clear" w:color="auto" w:fill="auto"/>
          </w:tcPr>
          <w:p w14:paraId="6DA47B85" w14:textId="77777777" w:rsidR="009D22E3" w:rsidRPr="00610FCD" w:rsidRDefault="009D22E3" w:rsidP="009D22E3">
            <w:pPr>
              <w:keepNext/>
              <w:jc w:val="center"/>
              <w:rPr>
                <w:rFonts w:ascii="Arial Narrow" w:eastAsiaTheme="majorEastAsia" w:hAnsi="Arial Narrow" w:cstheme="majorBidi"/>
                <w:sz w:val="20"/>
              </w:rPr>
            </w:pPr>
            <w:r w:rsidRPr="00610FCD">
              <w:rPr>
                <w:rFonts w:ascii="Arial Narrow" w:eastAsiaTheme="majorEastAsia" w:hAnsi="Arial Narrow" w:cstheme="majorBidi"/>
                <w:sz w:val="20"/>
              </w:rPr>
              <w:t>6.9 (5.2, 13.2)</w:t>
            </w:r>
          </w:p>
        </w:tc>
      </w:tr>
      <w:tr w:rsidR="009D22E3" w:rsidRPr="00610FCD" w14:paraId="5A0D497E" w14:textId="77777777" w:rsidTr="009D22E3">
        <w:tc>
          <w:tcPr>
            <w:tcW w:w="4673" w:type="dxa"/>
            <w:shd w:val="clear" w:color="auto" w:fill="auto"/>
            <w:vAlign w:val="center"/>
          </w:tcPr>
          <w:p w14:paraId="1E8500EF" w14:textId="77777777" w:rsidR="009D22E3" w:rsidRPr="00610FCD" w:rsidRDefault="009D22E3" w:rsidP="009D22E3">
            <w:pPr>
              <w:keepNext/>
              <w:jc w:val="left"/>
              <w:rPr>
                <w:rFonts w:ascii="Arial Narrow" w:eastAsiaTheme="majorEastAsia" w:hAnsi="Arial Narrow" w:cstheme="majorBidi"/>
                <w:sz w:val="20"/>
              </w:rPr>
            </w:pPr>
            <w:r w:rsidRPr="00610FCD">
              <w:rPr>
                <w:rFonts w:ascii="Arial Narrow" w:eastAsiaTheme="majorEastAsia" w:hAnsi="Arial Narrow" w:cstheme="majorBidi"/>
                <w:sz w:val="20"/>
              </w:rPr>
              <w:t>Hazard ratio vs DA (95% CI)</w:t>
            </w:r>
          </w:p>
        </w:tc>
        <w:tc>
          <w:tcPr>
            <w:tcW w:w="4344" w:type="dxa"/>
            <w:gridSpan w:val="2"/>
            <w:shd w:val="clear" w:color="auto" w:fill="auto"/>
          </w:tcPr>
          <w:p w14:paraId="6F819A67" w14:textId="77777777" w:rsidR="009D22E3" w:rsidRPr="00610FCD" w:rsidRDefault="009D22E3" w:rsidP="009D22E3">
            <w:pPr>
              <w:keepNext/>
              <w:jc w:val="center"/>
              <w:rPr>
                <w:rFonts w:ascii="Arial Narrow" w:eastAsiaTheme="majorEastAsia" w:hAnsi="Arial Narrow" w:cs="Times New Roman"/>
                <w:bCs/>
                <w:sz w:val="20"/>
              </w:rPr>
            </w:pPr>
            <w:r w:rsidRPr="00610FCD">
              <w:rPr>
                <w:rFonts w:ascii="Arial Narrow" w:eastAsiaTheme="majorEastAsia" w:hAnsi="Arial Narrow" w:cs="Times New Roman"/>
                <w:bCs/>
                <w:sz w:val="20"/>
              </w:rPr>
              <w:t>0.797 (0.426, 1.492)</w:t>
            </w:r>
          </w:p>
        </w:tc>
      </w:tr>
    </w:tbl>
    <w:p w14:paraId="4AC94C27" w14:textId="77777777" w:rsidR="009D22E3" w:rsidRPr="00610FCD" w:rsidRDefault="009D22E3" w:rsidP="009D22E3">
      <w:pPr>
        <w:pStyle w:val="TableFigureFooter"/>
      </w:pPr>
      <w:r w:rsidRPr="00610FCD">
        <w:t>Source: Table 2.6.2, p152 of the resubmission; Table 14.2.7.7, p635 of the trial report</w:t>
      </w:r>
    </w:p>
    <w:p w14:paraId="277B44CB" w14:textId="77777777" w:rsidR="00491C2F" w:rsidRPr="00610FCD" w:rsidRDefault="009D22E3" w:rsidP="00CE764B">
      <w:pPr>
        <w:pStyle w:val="TableFigureFooter"/>
      </w:pPr>
      <w:r w:rsidRPr="00610FCD">
        <w:t xml:space="preserve">CI, confidence interval; </w:t>
      </w:r>
      <w:r w:rsidR="001C48B7">
        <w:t xml:space="preserve">DA, </w:t>
      </w:r>
      <w:r w:rsidR="00D00BEA" w:rsidRPr="00D00BEA">
        <w:t>daunorubicin</w:t>
      </w:r>
      <w:r w:rsidR="001C48B7">
        <w:t xml:space="preserve">; GO, gemtuzumab; </w:t>
      </w:r>
      <w:r w:rsidRPr="00610FCD">
        <w:t>NE, not estimable</w:t>
      </w:r>
      <w:r w:rsidR="001C48B7">
        <w:t>; OS, overall survival</w:t>
      </w:r>
    </w:p>
    <w:p w14:paraId="3F0AE44E" w14:textId="77777777" w:rsidR="00CE764B" w:rsidRPr="00610FCD" w:rsidRDefault="00CB1E88" w:rsidP="00327D58">
      <w:pPr>
        <w:pStyle w:val="ExecSumBodyText"/>
      </w:pPr>
      <w:r>
        <w:t>There was no apparent treatment benefit in either subgroup, with results of borderline statistical significance in patients with response</w:t>
      </w:r>
      <w:r w:rsidR="001B6277" w:rsidRPr="00FB1983">
        <w:rPr>
          <w:iCs/>
        </w:rPr>
        <w:t>.</w:t>
      </w:r>
      <w:r w:rsidR="00327D58" w:rsidRPr="00FB1983">
        <w:rPr>
          <w:iCs/>
        </w:rPr>
        <w:t xml:space="preserve"> </w:t>
      </w:r>
      <w:r w:rsidR="00327D58" w:rsidRPr="00610FCD">
        <w:t xml:space="preserve">The resubmission claimed no difference in overall survival between treatment arms in patients with favourable/intermediate/unknown cytogenetic risk, who did not achieve an overall response. </w:t>
      </w:r>
      <w:r w:rsidR="001031CE" w:rsidRPr="00FB1983">
        <w:rPr>
          <w:iCs/>
        </w:rPr>
        <w:t xml:space="preserve"> </w:t>
      </w:r>
      <w:r w:rsidR="00F86C7C" w:rsidRPr="00FB1983">
        <w:rPr>
          <w:iCs/>
        </w:rPr>
        <w:t xml:space="preserve">The </w:t>
      </w:r>
      <w:r w:rsidR="00F10CE0" w:rsidRPr="00FB1983">
        <w:rPr>
          <w:iCs/>
        </w:rPr>
        <w:t xml:space="preserve">Kaplan-Meier estimates </w:t>
      </w:r>
      <w:r w:rsidR="00AE4A15" w:rsidRPr="00FB1983">
        <w:rPr>
          <w:iCs/>
        </w:rPr>
        <w:t xml:space="preserve">suggest </w:t>
      </w:r>
      <w:r w:rsidR="00F10CE0" w:rsidRPr="00FB1983">
        <w:rPr>
          <w:iCs/>
        </w:rPr>
        <w:t>a lack of maturity</w:t>
      </w:r>
      <w:r w:rsidR="00940F50" w:rsidRPr="00FB1983">
        <w:rPr>
          <w:iCs/>
        </w:rPr>
        <w:t xml:space="preserve"> and/or statistical power</w:t>
      </w:r>
      <w:r w:rsidR="00F10CE0" w:rsidRPr="00FB1983">
        <w:rPr>
          <w:iCs/>
        </w:rPr>
        <w:t xml:space="preserve"> in the overall survival data.</w:t>
      </w:r>
    </w:p>
    <w:p w14:paraId="1FE565E5" w14:textId="77777777" w:rsidR="00254616" w:rsidRPr="00610FCD" w:rsidRDefault="001C534B" w:rsidP="00EC5836">
      <w:pPr>
        <w:pStyle w:val="ExecSumBodyText"/>
      </w:pPr>
      <w:r w:rsidRPr="00610FCD">
        <w:t xml:space="preserve">The figure below </w:t>
      </w:r>
      <w:r w:rsidR="00177086" w:rsidRPr="00610FCD">
        <w:t xml:space="preserve">presents the </w:t>
      </w:r>
      <w:r w:rsidR="00797037" w:rsidRPr="00610FCD">
        <w:t xml:space="preserve">Kaplan-Meier curves for overall survival in the subgroup with favourable/intermediate/unknown cytogenetic risk, who </w:t>
      </w:r>
      <w:r w:rsidR="007703A5" w:rsidRPr="00610FCD">
        <w:t xml:space="preserve">achieved response. </w:t>
      </w:r>
      <w:r w:rsidR="007703A5" w:rsidRPr="00FB1983">
        <w:rPr>
          <w:iCs/>
        </w:rPr>
        <w:t xml:space="preserve">This figure was previously considered by the PBAC in March </w:t>
      </w:r>
      <w:r w:rsidR="007B1379" w:rsidRPr="00FB1983">
        <w:rPr>
          <w:iCs/>
        </w:rPr>
        <w:t>2021;</w:t>
      </w:r>
      <w:r w:rsidR="007703A5" w:rsidRPr="00FB1983">
        <w:rPr>
          <w:iCs/>
        </w:rPr>
        <w:t xml:space="preserve"> however, the </w:t>
      </w:r>
      <w:r w:rsidR="00666187" w:rsidRPr="00FB1983">
        <w:rPr>
          <w:iCs/>
        </w:rPr>
        <w:t xml:space="preserve">previous figure was constructed using a different scale (X-axis based on days). </w:t>
      </w:r>
    </w:p>
    <w:p w14:paraId="3E82C8B3" w14:textId="77777777" w:rsidR="007703A5" w:rsidRPr="00610FCD" w:rsidRDefault="00484063" w:rsidP="00445365">
      <w:pPr>
        <w:pStyle w:val="TableFigureCaption"/>
      </w:pPr>
      <w:r>
        <w:t xml:space="preserve">Figure </w:t>
      </w:r>
      <w:r w:rsidR="00F90EC3">
        <w:rPr>
          <w:noProof/>
        </w:rPr>
        <w:t>2</w:t>
      </w:r>
      <w:r w:rsidR="007703A5" w:rsidRPr="00610FCD">
        <w:t>: Kaplan-Meier curves for overall survival in the subgroup with favourable/intermediate/unknown cytogenetic risk, who achieved an overall response (independent review, April 2013 cut-off).</w:t>
      </w:r>
    </w:p>
    <w:p w14:paraId="3A5A51F2" w14:textId="77777777" w:rsidR="007703A5" w:rsidRPr="00610FCD" w:rsidRDefault="007703A5" w:rsidP="007703A5">
      <w:r w:rsidRPr="00610FCD">
        <w:rPr>
          <w:noProof/>
        </w:rPr>
        <w:drawing>
          <wp:inline distT="0" distB="0" distL="0" distR="0" wp14:anchorId="503692B1" wp14:editId="58A671C8">
            <wp:extent cx="5732145" cy="3002280"/>
            <wp:effectExtent l="0" t="0" r="1905" b="7620"/>
            <wp:docPr id="19" name="Picture 19" title="Figure 2: Kaplan-Meier curves for overall survival in the subgroup with favourable/intermediate/unknown cytogenetic risk, who achieved an overall response (independent review, April 2013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3002280"/>
                    </a:xfrm>
                    <a:prstGeom prst="rect">
                      <a:avLst/>
                    </a:prstGeom>
                  </pic:spPr>
                </pic:pic>
              </a:graphicData>
            </a:graphic>
          </wp:inline>
        </w:drawing>
      </w:r>
    </w:p>
    <w:p w14:paraId="36067F5D" w14:textId="77777777" w:rsidR="007703A5" w:rsidRPr="00610FCD" w:rsidRDefault="007703A5" w:rsidP="007703A5">
      <w:pPr>
        <w:pStyle w:val="TableFooter"/>
      </w:pPr>
      <w:r w:rsidRPr="00610FCD">
        <w:t>Source: Table 14.2.6.29.1 of the resubmission</w:t>
      </w:r>
    </w:p>
    <w:p w14:paraId="3250F372" w14:textId="77777777" w:rsidR="00666187" w:rsidRPr="00610FCD" w:rsidRDefault="00421750" w:rsidP="00EC5836">
      <w:pPr>
        <w:pStyle w:val="ExecSumBodyText"/>
      </w:pPr>
      <w:r w:rsidRPr="00610FCD">
        <w:t>Based on the new figure, overall survival was initially similar between arms until the curves sta</w:t>
      </w:r>
      <w:r w:rsidR="006C7AC7" w:rsidRPr="00610FCD">
        <w:t>r</w:t>
      </w:r>
      <w:r w:rsidRPr="00610FCD">
        <w:t xml:space="preserve">ted to diverge from around 6 months. The resubmission claimed the plateaus at the tail-end of the plots represent patients who achieved a functional cure. </w:t>
      </w:r>
      <w:r w:rsidRPr="00FB1983">
        <w:rPr>
          <w:iCs/>
        </w:rPr>
        <w:t>The plateau</w:t>
      </w:r>
      <w:r w:rsidR="00045C66" w:rsidRPr="00FB1983">
        <w:rPr>
          <w:iCs/>
        </w:rPr>
        <w:t>s</w:t>
      </w:r>
      <w:r w:rsidRPr="00FB1983">
        <w:rPr>
          <w:iCs/>
        </w:rPr>
        <w:t xml:space="preserve"> appear to be based on relatively few patients with follow-up extending beyond 3 years.</w:t>
      </w:r>
    </w:p>
    <w:p w14:paraId="66981C07" w14:textId="77777777" w:rsidR="005A00AF" w:rsidRPr="00610FCD" w:rsidRDefault="001C2AC3" w:rsidP="00EC5836">
      <w:pPr>
        <w:pStyle w:val="ExecSumBodyText"/>
      </w:pPr>
      <w:r w:rsidRPr="00FB1983">
        <w:rPr>
          <w:iCs/>
        </w:rPr>
        <w:t>The PBAC</w:t>
      </w:r>
      <w:r w:rsidR="00432FC3">
        <w:rPr>
          <w:iCs/>
        </w:rPr>
        <w:t xml:space="preserve"> had</w:t>
      </w:r>
      <w:r w:rsidRPr="00FB1983">
        <w:rPr>
          <w:iCs/>
        </w:rPr>
        <w:t xml:space="preserve"> </w:t>
      </w:r>
      <w:r w:rsidR="00886B53" w:rsidRPr="00FB1983">
        <w:rPr>
          <w:iCs/>
        </w:rPr>
        <w:t xml:space="preserve">previously </w:t>
      </w:r>
      <w:r w:rsidR="00250335" w:rsidRPr="00FB1983">
        <w:rPr>
          <w:iCs/>
        </w:rPr>
        <w:t xml:space="preserve">considered </w:t>
      </w:r>
      <w:r w:rsidR="00E56B9D" w:rsidRPr="00FB1983">
        <w:rPr>
          <w:iCs/>
        </w:rPr>
        <w:t xml:space="preserve">that the results of </w:t>
      </w:r>
      <w:r w:rsidR="00E56B9D" w:rsidRPr="005669AC">
        <w:rPr>
          <w:i/>
        </w:rPr>
        <w:t>post</w:t>
      </w:r>
      <w:r w:rsidR="00250335" w:rsidRPr="005669AC">
        <w:rPr>
          <w:i/>
        </w:rPr>
        <w:t xml:space="preserve"> </w:t>
      </w:r>
      <w:r w:rsidR="00E56B9D" w:rsidRPr="005669AC">
        <w:rPr>
          <w:i/>
        </w:rPr>
        <w:t>hoc</w:t>
      </w:r>
      <w:r w:rsidR="00E56B9D" w:rsidRPr="00FB1983">
        <w:rPr>
          <w:iCs/>
        </w:rPr>
        <w:t xml:space="preserve"> subgroup analyses should be interpreted with caution due to differences in definitions of cytogenetic risk used in the key trial and more recent risk classifications, the lack of interaction testing</w:t>
      </w:r>
      <w:r w:rsidR="002F5CDF" w:rsidRPr="00FB1983">
        <w:rPr>
          <w:iCs/>
        </w:rPr>
        <w:t>,</w:t>
      </w:r>
      <w:r w:rsidR="00E56B9D" w:rsidRPr="00FB1983">
        <w:rPr>
          <w:iCs/>
        </w:rPr>
        <w:t xml:space="preserve"> and the large number of analyses conducted without adjustment for multiplicity (para 7.4, gemtuzumab PSD, March 2021 PBAC meeting). </w:t>
      </w:r>
    </w:p>
    <w:p w14:paraId="74781A8C" w14:textId="77777777" w:rsidR="00886B53" w:rsidRPr="00610FCD" w:rsidRDefault="00C33895" w:rsidP="00EC5836">
      <w:pPr>
        <w:pStyle w:val="ExecSumBodyText"/>
      </w:pPr>
      <w:r w:rsidRPr="00610FCD">
        <w:t xml:space="preserve">The resubmission conducted multiple </w:t>
      </w:r>
      <w:r w:rsidRPr="005669AC">
        <w:rPr>
          <w:i/>
          <w:iCs/>
        </w:rPr>
        <w:t>post</w:t>
      </w:r>
      <w:r w:rsidR="00250335" w:rsidRPr="005669AC">
        <w:rPr>
          <w:i/>
          <w:iCs/>
        </w:rPr>
        <w:t xml:space="preserve"> </w:t>
      </w:r>
      <w:r w:rsidRPr="005669AC">
        <w:rPr>
          <w:i/>
          <w:iCs/>
        </w:rPr>
        <w:t>hoc</w:t>
      </w:r>
      <w:r w:rsidRPr="00610FCD">
        <w:t xml:space="preserve"> tests for interaction</w:t>
      </w:r>
      <w:r w:rsidR="00AB06A3" w:rsidRPr="00610FCD">
        <w:t xml:space="preserve"> to address uncertainties with the magnitude of benefit for event-free survival, relapse-free survival and overall survival in patients with favourable/intermediate/unknown cytogenetic risk</w:t>
      </w:r>
      <w:r w:rsidR="00AB06A3" w:rsidRPr="00C96A1F">
        <w:t>.</w:t>
      </w:r>
      <w:r w:rsidR="00AB06A3" w:rsidRPr="00610FCD">
        <w:t xml:space="preserve"> </w:t>
      </w:r>
    </w:p>
    <w:p w14:paraId="3E9F5D2D" w14:textId="77777777" w:rsidR="006D78F4" w:rsidRPr="00610FCD" w:rsidRDefault="006D78F4" w:rsidP="006D78F4">
      <w:pPr>
        <w:pStyle w:val="ExecSumBodyText"/>
      </w:pPr>
      <w:r w:rsidRPr="00FB1983">
        <w:rPr>
          <w:iCs/>
        </w:rPr>
        <w:t>Overall, the</w:t>
      </w:r>
      <w:r w:rsidR="00432FC3">
        <w:rPr>
          <w:iCs/>
        </w:rPr>
        <w:t xml:space="preserve"> evaluation considered that the</w:t>
      </w:r>
      <w:r w:rsidRPr="00FB1983">
        <w:rPr>
          <w:iCs/>
        </w:rPr>
        <w:t xml:space="preserve"> results of the analyses should be interpreted with caution due to the following reasons:</w:t>
      </w:r>
    </w:p>
    <w:p w14:paraId="02C66BFB" w14:textId="77777777" w:rsidR="006D78F4" w:rsidRPr="00610FCD" w:rsidRDefault="006D78F4" w:rsidP="00561C6A">
      <w:pPr>
        <w:pStyle w:val="ExecSumBodyText"/>
        <w:numPr>
          <w:ilvl w:val="0"/>
          <w:numId w:val="7"/>
        </w:numPr>
        <w:spacing w:after="0"/>
        <w:ind w:left="1077" w:hanging="357"/>
      </w:pPr>
      <w:r w:rsidRPr="00FB1983">
        <w:rPr>
          <w:iCs/>
        </w:rPr>
        <w:t xml:space="preserve">The analyses were conducted </w:t>
      </w:r>
      <w:r w:rsidRPr="005669AC">
        <w:rPr>
          <w:i/>
        </w:rPr>
        <w:t>post</w:t>
      </w:r>
      <w:r w:rsidR="00EA2BFF" w:rsidRPr="005669AC">
        <w:rPr>
          <w:i/>
        </w:rPr>
        <w:t xml:space="preserve"> </w:t>
      </w:r>
      <w:r w:rsidRPr="005669AC">
        <w:rPr>
          <w:i/>
        </w:rPr>
        <w:t>hoc</w:t>
      </w:r>
      <w:r w:rsidRPr="00FB1983">
        <w:rPr>
          <w:iCs/>
        </w:rPr>
        <w:t xml:space="preserve"> and therefore subject to potential risk of bias and confounding. Statistical findings due to chance could not be ruled out given the large number of analyses that were not adjusted for multiplicity.</w:t>
      </w:r>
    </w:p>
    <w:p w14:paraId="11292D7D" w14:textId="77777777" w:rsidR="006D78F4" w:rsidRPr="00610FCD" w:rsidRDefault="006D78F4" w:rsidP="00561C6A">
      <w:pPr>
        <w:pStyle w:val="ExecSumBodyText"/>
        <w:numPr>
          <w:ilvl w:val="0"/>
          <w:numId w:val="7"/>
        </w:numPr>
        <w:spacing w:after="0"/>
        <w:ind w:left="1077" w:hanging="357"/>
      </w:pPr>
      <w:r w:rsidRPr="00FB1983">
        <w:rPr>
          <w:iCs/>
        </w:rPr>
        <w:t>While interaction testing was performed for cytogenetic risk grouping based on the favourable/intermediate/unknown risk and unfavourable risk subgroups, there were no corresponding results for the pre-specified subgroups with favourable/</w:t>
      </w:r>
      <w:r w:rsidR="004E17EA" w:rsidRPr="00FB1983">
        <w:rPr>
          <w:iCs/>
        </w:rPr>
        <w:t xml:space="preserve"> </w:t>
      </w:r>
      <w:r w:rsidRPr="00FB1983">
        <w:rPr>
          <w:iCs/>
        </w:rPr>
        <w:t>intermediate risk, unfavourable risk</w:t>
      </w:r>
      <w:r w:rsidR="003A4D3D" w:rsidRPr="00FB1983">
        <w:rPr>
          <w:iCs/>
        </w:rPr>
        <w:t>,</w:t>
      </w:r>
      <w:r w:rsidRPr="00FB1983">
        <w:rPr>
          <w:iCs/>
        </w:rPr>
        <w:t xml:space="preserve"> and unknown risk. </w:t>
      </w:r>
    </w:p>
    <w:p w14:paraId="73C2DBD1" w14:textId="77777777" w:rsidR="006D78F4" w:rsidRPr="00610FCD" w:rsidRDefault="006D78F4" w:rsidP="00561C6A">
      <w:pPr>
        <w:pStyle w:val="ExecSumBodyText"/>
        <w:numPr>
          <w:ilvl w:val="0"/>
          <w:numId w:val="7"/>
        </w:numPr>
      </w:pPr>
      <w:r w:rsidRPr="00FB1983">
        <w:rPr>
          <w:iCs/>
        </w:rPr>
        <w:t xml:space="preserve">There were </w:t>
      </w:r>
      <w:r w:rsidR="00EA2BFF" w:rsidRPr="00FB1983">
        <w:rPr>
          <w:iCs/>
        </w:rPr>
        <w:t>several</w:t>
      </w:r>
      <w:r w:rsidRPr="00FB1983">
        <w:rPr>
          <w:iCs/>
        </w:rPr>
        <w:t xml:space="preserve"> analyses that were difficult to interpret, in particular, tests for overall survival benefit in various subgroups by cytogenetic risk, response status, HSCT status and by cytogenetic risk and response status. The majority of the results based on hazard ratios did not achieve statistical significance, except in the subgroup who did not receive HSCT. However, interaction p-value results suggest</w:t>
      </w:r>
      <w:r w:rsidR="005A6300" w:rsidRPr="00FB1983">
        <w:rPr>
          <w:iCs/>
        </w:rPr>
        <w:t>ed</w:t>
      </w:r>
      <w:r w:rsidRPr="00FB1983">
        <w:rPr>
          <w:iCs/>
        </w:rPr>
        <w:t xml:space="preserve"> statistically significant differences in overall survival benefit between subgroups by cytogenetic risk, and by cytogenetic risk within subgroups with and without response. The reliability of these results was uncertain and </w:t>
      </w:r>
      <w:r w:rsidR="00432FC3">
        <w:rPr>
          <w:iCs/>
        </w:rPr>
        <w:t xml:space="preserve">the evaluation advised that they </w:t>
      </w:r>
      <w:r w:rsidRPr="00FB1983">
        <w:rPr>
          <w:iCs/>
        </w:rPr>
        <w:t xml:space="preserve">should be interpreted within the context of no apparent difference in overall survival between treatment arms in the mITT population.  </w:t>
      </w:r>
    </w:p>
    <w:p w14:paraId="1577D5BE" w14:textId="77777777" w:rsidR="006D78F4" w:rsidRPr="00FB1983" w:rsidRDefault="00DB7B61" w:rsidP="00D938B0">
      <w:pPr>
        <w:pStyle w:val="ExecSumBodyText"/>
        <w:rPr>
          <w:iCs/>
        </w:rPr>
      </w:pPr>
      <w:r w:rsidRPr="00FB1983">
        <w:rPr>
          <w:iCs/>
        </w:rPr>
        <w:t xml:space="preserve">The PBAC </w:t>
      </w:r>
      <w:r w:rsidR="00432FC3">
        <w:rPr>
          <w:iCs/>
        </w:rPr>
        <w:t xml:space="preserve">had </w:t>
      </w:r>
      <w:r w:rsidRPr="00FB1983">
        <w:rPr>
          <w:iCs/>
        </w:rPr>
        <w:t xml:space="preserve">previously noted concerns with the applicability of the magnitude of benefit observed in the key trial to the PBS population due to potential differences in age, CD33 expression levels, cytogenetic and molecular risk distribution, treatment regimens used as consolidation chemotherapy and use of subsequent therapies including HSCT. Data from the key trial were relatively old and may not adequately reflect changes in the diagnostic work-up, assessment of response (e.g. </w:t>
      </w:r>
      <w:r w:rsidR="005A6300" w:rsidRPr="00FB1983">
        <w:rPr>
          <w:iCs/>
        </w:rPr>
        <w:t xml:space="preserve">increasing use of minimal residual disease (MRD) status to determine </w:t>
      </w:r>
      <w:r w:rsidRPr="00FB1983">
        <w:rPr>
          <w:iCs/>
        </w:rPr>
        <w:t>molecular relapse) and subsequent treatment decisions in current practice (para 6.52, gemtuzumab PSD, March 2021 PBAC meeting).</w:t>
      </w:r>
    </w:p>
    <w:p w14:paraId="314F9465" w14:textId="77777777" w:rsidR="00DB7B61" w:rsidRPr="00610FCD" w:rsidRDefault="00DB7B61" w:rsidP="00D938B0">
      <w:pPr>
        <w:pStyle w:val="ExecSumBodyText"/>
      </w:pPr>
      <w:r w:rsidRPr="00610FCD">
        <w:t>T</w:t>
      </w:r>
      <w:r w:rsidR="009606B5" w:rsidRPr="00610FCD">
        <w:t xml:space="preserve">o address </w:t>
      </w:r>
      <w:r w:rsidR="0038729A" w:rsidRPr="00610FCD">
        <w:t xml:space="preserve">PBAC’s concerns with the applicability of the trial to the PBS population, the resubmission presented new data from the Australasian Leukaemia and Lymphoma </w:t>
      </w:r>
      <w:bookmarkStart w:id="22" w:name="_Hlk88632824"/>
      <w:r w:rsidR="0038729A" w:rsidRPr="00610FCD">
        <w:t xml:space="preserve">Group National Blood Cancer Registry </w:t>
      </w:r>
      <w:bookmarkEnd w:id="22"/>
      <w:r w:rsidR="0038729A" w:rsidRPr="00610FCD">
        <w:t>(ALLG NBCR</w:t>
      </w:r>
      <w:r w:rsidR="00AA26A4" w:rsidRPr="00610FCD">
        <w:t>) 2020 report</w:t>
      </w:r>
      <w:r w:rsidR="005C52AB">
        <w:t xml:space="preserve"> prepared for sponsors associated with the registry</w:t>
      </w:r>
      <w:r w:rsidR="00AA26A4" w:rsidRPr="00610FCD">
        <w:t xml:space="preserve">. The registry is active in 38 treatment centres in Australia and is an opt-in registry. </w:t>
      </w:r>
      <w:r w:rsidR="005E5E02" w:rsidRPr="00610FCD">
        <w:t xml:space="preserve"> A broad range of measures are collected including baseline demographics, diagnostic laboratory assessments, treatments received (including HSCT) and related outcomes</w:t>
      </w:r>
      <w:r w:rsidR="007A51D6" w:rsidRPr="00610FCD">
        <w:t xml:space="preserve">. </w:t>
      </w:r>
    </w:p>
    <w:p w14:paraId="54FCAD46" w14:textId="77777777" w:rsidR="007A51D6" w:rsidRPr="00610FCD" w:rsidRDefault="007A51D6" w:rsidP="00D938B0">
      <w:pPr>
        <w:pStyle w:val="ExecSumBodyText"/>
      </w:pPr>
      <w:r w:rsidRPr="00610FCD">
        <w:t xml:space="preserve">The report included a </w:t>
      </w:r>
      <w:r w:rsidR="005A6300">
        <w:t>“</w:t>
      </w:r>
      <w:r w:rsidRPr="00610FCD">
        <w:t>pre-publication</w:t>
      </w:r>
      <w:r w:rsidR="005A6300">
        <w:t>”</w:t>
      </w:r>
      <w:r w:rsidRPr="00610FCD">
        <w:t xml:space="preserve"> analysis comparing the characteristics and outcomes of </w:t>
      </w:r>
      <w:r w:rsidR="004F6DB1" w:rsidRPr="00610FCD">
        <w:t>the ALFA-0701 trial population and a matched cohort enrolled in the registry between 2012 and 2018 (summarised in the table below).</w:t>
      </w:r>
      <w:r w:rsidR="00D138F8" w:rsidRPr="00610FCD">
        <w:t xml:space="preserve"> </w:t>
      </w:r>
    </w:p>
    <w:p w14:paraId="7C903450" w14:textId="77777777" w:rsidR="004F6DB1" w:rsidRPr="00610FCD" w:rsidRDefault="00484063" w:rsidP="003F55AA">
      <w:pPr>
        <w:pStyle w:val="TableFigureCaption"/>
      </w:pPr>
      <w:r>
        <w:t xml:space="preserve">Table </w:t>
      </w:r>
      <w:r w:rsidR="00F90EC3">
        <w:rPr>
          <w:noProof/>
        </w:rPr>
        <w:t>7</w:t>
      </w:r>
      <w:r w:rsidR="004F6DB1" w:rsidRPr="00610FCD">
        <w:t>: Characteristics and outcome of patients enrolled in the ALFA-0701 study or ALLG NBCR aged 50-70 years with de novo AML receiving induction chemotherapy</w:t>
      </w:r>
    </w:p>
    <w:tbl>
      <w:tblPr>
        <w:tblStyle w:val="TableGrid"/>
        <w:tblW w:w="0" w:type="auto"/>
        <w:tblLook w:val="04A0" w:firstRow="1" w:lastRow="0" w:firstColumn="1" w:lastColumn="0" w:noHBand="0" w:noVBand="1"/>
        <w:tblCaption w:val="Table 7: Characteristics and outcome of patients enrolled in the ALFA-0701 study or ALLG NBCR aged 50-70 years with de novo AML receiving induction chemotherapy"/>
      </w:tblPr>
      <w:tblGrid>
        <w:gridCol w:w="3901"/>
        <w:gridCol w:w="1694"/>
        <w:gridCol w:w="1679"/>
        <w:gridCol w:w="1743"/>
      </w:tblGrid>
      <w:tr w:rsidR="004F6DB1" w:rsidRPr="00610FCD" w14:paraId="2BC36DD5" w14:textId="77777777" w:rsidTr="00A973E6">
        <w:trPr>
          <w:tblHeader/>
        </w:trPr>
        <w:tc>
          <w:tcPr>
            <w:tcW w:w="3901" w:type="dxa"/>
            <w:vMerge w:val="restart"/>
            <w:vAlign w:val="center"/>
          </w:tcPr>
          <w:p w14:paraId="4333D1C1" w14:textId="77777777" w:rsidR="004F6DB1" w:rsidRPr="00610FCD" w:rsidRDefault="004F6DB1" w:rsidP="00CA3DD2">
            <w:pPr>
              <w:pStyle w:val="TableText"/>
              <w:rPr>
                <w:b/>
                <w:bCs w:val="0"/>
              </w:rPr>
            </w:pPr>
          </w:p>
        </w:tc>
        <w:tc>
          <w:tcPr>
            <w:tcW w:w="3373" w:type="dxa"/>
            <w:gridSpan w:val="2"/>
            <w:vAlign w:val="center"/>
          </w:tcPr>
          <w:p w14:paraId="3602BA25" w14:textId="77777777" w:rsidR="004F6DB1" w:rsidRPr="00610FCD" w:rsidRDefault="004F6DB1" w:rsidP="00CA3DD2">
            <w:pPr>
              <w:pStyle w:val="TableText"/>
              <w:jc w:val="center"/>
              <w:rPr>
                <w:b/>
                <w:bCs w:val="0"/>
                <w:vertAlign w:val="superscript"/>
              </w:rPr>
            </w:pPr>
            <w:r w:rsidRPr="00610FCD">
              <w:rPr>
                <w:b/>
                <w:bCs w:val="0"/>
              </w:rPr>
              <w:t xml:space="preserve">ALFA-0701 ITT population </w:t>
            </w:r>
            <w:r w:rsidRPr="00610FCD">
              <w:rPr>
                <w:b/>
                <w:bCs w:val="0"/>
                <w:vertAlign w:val="superscript"/>
              </w:rPr>
              <w:t>a</w:t>
            </w:r>
          </w:p>
        </w:tc>
        <w:tc>
          <w:tcPr>
            <w:tcW w:w="1743" w:type="dxa"/>
            <w:vMerge w:val="restart"/>
            <w:vAlign w:val="center"/>
          </w:tcPr>
          <w:p w14:paraId="21ABFFE6" w14:textId="77777777" w:rsidR="004F6DB1" w:rsidRPr="00610FCD" w:rsidRDefault="004F6DB1" w:rsidP="00CA3DD2">
            <w:pPr>
              <w:pStyle w:val="TableText"/>
              <w:jc w:val="center"/>
              <w:rPr>
                <w:b/>
                <w:bCs w:val="0"/>
              </w:rPr>
            </w:pPr>
            <w:r w:rsidRPr="00610FCD">
              <w:rPr>
                <w:b/>
                <w:bCs w:val="0"/>
              </w:rPr>
              <w:t>NBCR subset</w:t>
            </w:r>
          </w:p>
          <w:p w14:paraId="5E84E7F4" w14:textId="77777777" w:rsidR="004F6DB1" w:rsidRPr="00610FCD" w:rsidRDefault="004F6DB1" w:rsidP="00CA3DD2">
            <w:pPr>
              <w:pStyle w:val="TableText"/>
              <w:jc w:val="center"/>
              <w:rPr>
                <w:b/>
                <w:bCs w:val="0"/>
              </w:rPr>
            </w:pPr>
            <w:r w:rsidRPr="00610FCD">
              <w:rPr>
                <w:b/>
                <w:bCs w:val="0"/>
              </w:rPr>
              <w:t>N=418</w:t>
            </w:r>
          </w:p>
        </w:tc>
      </w:tr>
      <w:tr w:rsidR="004F6DB1" w:rsidRPr="00610FCD" w14:paraId="73BDAD80" w14:textId="77777777" w:rsidTr="00A973E6">
        <w:trPr>
          <w:tblHeader/>
        </w:trPr>
        <w:tc>
          <w:tcPr>
            <w:tcW w:w="3901" w:type="dxa"/>
            <w:vMerge/>
          </w:tcPr>
          <w:p w14:paraId="03595754" w14:textId="77777777" w:rsidR="004F6DB1" w:rsidRPr="00610FCD" w:rsidRDefault="004F6DB1" w:rsidP="00CA3DD2">
            <w:pPr>
              <w:pStyle w:val="TableText"/>
            </w:pPr>
          </w:p>
        </w:tc>
        <w:tc>
          <w:tcPr>
            <w:tcW w:w="1694" w:type="dxa"/>
            <w:vAlign w:val="center"/>
          </w:tcPr>
          <w:p w14:paraId="1577E7EB" w14:textId="77777777" w:rsidR="004F6DB1" w:rsidRPr="00610FCD" w:rsidRDefault="004F6DB1" w:rsidP="00CA3DD2">
            <w:pPr>
              <w:pStyle w:val="TableText"/>
              <w:jc w:val="center"/>
              <w:rPr>
                <w:b/>
                <w:bCs w:val="0"/>
              </w:rPr>
            </w:pPr>
            <w:r w:rsidRPr="00610FCD">
              <w:rPr>
                <w:b/>
                <w:bCs w:val="0"/>
              </w:rPr>
              <w:t>GO+DA</w:t>
            </w:r>
          </w:p>
          <w:p w14:paraId="3408D0E7" w14:textId="77777777" w:rsidR="004F6DB1" w:rsidRPr="00610FCD" w:rsidRDefault="004F6DB1" w:rsidP="00CA3DD2">
            <w:pPr>
              <w:pStyle w:val="TableText"/>
              <w:jc w:val="center"/>
              <w:rPr>
                <w:b/>
                <w:bCs w:val="0"/>
              </w:rPr>
            </w:pPr>
            <w:r w:rsidRPr="00610FCD">
              <w:rPr>
                <w:b/>
                <w:bCs w:val="0"/>
              </w:rPr>
              <w:t>N=139</w:t>
            </w:r>
          </w:p>
        </w:tc>
        <w:tc>
          <w:tcPr>
            <w:tcW w:w="1679" w:type="dxa"/>
            <w:vAlign w:val="center"/>
          </w:tcPr>
          <w:p w14:paraId="5143000A" w14:textId="77777777" w:rsidR="004F6DB1" w:rsidRPr="00610FCD" w:rsidRDefault="004F6DB1" w:rsidP="00CA3DD2">
            <w:pPr>
              <w:pStyle w:val="TableText"/>
              <w:jc w:val="center"/>
              <w:rPr>
                <w:b/>
                <w:bCs w:val="0"/>
              </w:rPr>
            </w:pPr>
            <w:r w:rsidRPr="00610FCD">
              <w:rPr>
                <w:b/>
                <w:bCs w:val="0"/>
              </w:rPr>
              <w:t>DA</w:t>
            </w:r>
          </w:p>
          <w:p w14:paraId="12655C79" w14:textId="77777777" w:rsidR="004F6DB1" w:rsidRPr="00610FCD" w:rsidRDefault="004F6DB1" w:rsidP="00CA3DD2">
            <w:pPr>
              <w:pStyle w:val="TableText"/>
              <w:jc w:val="center"/>
              <w:rPr>
                <w:b/>
                <w:bCs w:val="0"/>
              </w:rPr>
            </w:pPr>
            <w:r w:rsidRPr="00610FCD">
              <w:rPr>
                <w:b/>
                <w:bCs w:val="0"/>
              </w:rPr>
              <w:t>N=139</w:t>
            </w:r>
          </w:p>
        </w:tc>
        <w:tc>
          <w:tcPr>
            <w:tcW w:w="1743" w:type="dxa"/>
            <w:vMerge/>
            <w:vAlign w:val="center"/>
          </w:tcPr>
          <w:p w14:paraId="55994374" w14:textId="77777777" w:rsidR="004F6DB1" w:rsidRPr="00610FCD" w:rsidRDefault="004F6DB1" w:rsidP="00CA3DD2">
            <w:pPr>
              <w:pStyle w:val="TableText"/>
              <w:jc w:val="center"/>
            </w:pPr>
          </w:p>
        </w:tc>
      </w:tr>
      <w:tr w:rsidR="004F6DB1" w:rsidRPr="00610FCD" w14:paraId="38D3B03E" w14:textId="77777777" w:rsidTr="00CA3DD2">
        <w:tc>
          <w:tcPr>
            <w:tcW w:w="9017" w:type="dxa"/>
            <w:gridSpan w:val="4"/>
          </w:tcPr>
          <w:p w14:paraId="4EB60B13" w14:textId="77777777" w:rsidR="004F6DB1" w:rsidRPr="00610FCD" w:rsidRDefault="004F6DB1" w:rsidP="00CA3DD2">
            <w:pPr>
              <w:pStyle w:val="TableText"/>
            </w:pPr>
            <w:r w:rsidRPr="00610FCD">
              <w:rPr>
                <w:b/>
                <w:bCs w:val="0"/>
              </w:rPr>
              <w:t>Baseline characteristics</w:t>
            </w:r>
          </w:p>
        </w:tc>
      </w:tr>
      <w:tr w:rsidR="004F6DB1" w:rsidRPr="00610FCD" w14:paraId="5505CFD9" w14:textId="77777777" w:rsidTr="00CA3DD2">
        <w:tc>
          <w:tcPr>
            <w:tcW w:w="3901" w:type="dxa"/>
            <w:tcBorders>
              <w:bottom w:val="nil"/>
            </w:tcBorders>
          </w:tcPr>
          <w:p w14:paraId="2C1D1A49" w14:textId="77777777" w:rsidR="004F6DB1" w:rsidRPr="00610FCD" w:rsidRDefault="004F6DB1" w:rsidP="00CA3DD2">
            <w:pPr>
              <w:pStyle w:val="TableText"/>
            </w:pPr>
            <w:r w:rsidRPr="00610FCD">
              <w:t>Age, years, median (IQR)</w:t>
            </w:r>
          </w:p>
        </w:tc>
        <w:tc>
          <w:tcPr>
            <w:tcW w:w="1694" w:type="dxa"/>
            <w:tcBorders>
              <w:bottom w:val="nil"/>
            </w:tcBorders>
            <w:vAlign w:val="center"/>
          </w:tcPr>
          <w:p w14:paraId="73861B3D" w14:textId="77777777" w:rsidR="004F6DB1" w:rsidRPr="00610FCD" w:rsidRDefault="004F6DB1" w:rsidP="00CA3DD2">
            <w:pPr>
              <w:pStyle w:val="TableText"/>
              <w:jc w:val="center"/>
            </w:pPr>
            <w:r w:rsidRPr="00610FCD">
              <w:t>62.8 (59.3, 66.8)</w:t>
            </w:r>
          </w:p>
        </w:tc>
        <w:tc>
          <w:tcPr>
            <w:tcW w:w="1679" w:type="dxa"/>
            <w:tcBorders>
              <w:bottom w:val="nil"/>
            </w:tcBorders>
            <w:vAlign w:val="center"/>
          </w:tcPr>
          <w:p w14:paraId="7ACFE041" w14:textId="77777777" w:rsidR="004F6DB1" w:rsidRPr="00610FCD" w:rsidRDefault="004F6DB1" w:rsidP="00CA3DD2">
            <w:pPr>
              <w:pStyle w:val="TableText"/>
              <w:jc w:val="center"/>
            </w:pPr>
            <w:r w:rsidRPr="00610FCD">
              <w:t>61.7 (57.4, 65.6)</w:t>
            </w:r>
          </w:p>
        </w:tc>
        <w:tc>
          <w:tcPr>
            <w:tcW w:w="1743" w:type="dxa"/>
            <w:tcBorders>
              <w:bottom w:val="nil"/>
            </w:tcBorders>
            <w:vAlign w:val="center"/>
          </w:tcPr>
          <w:p w14:paraId="13DB0970" w14:textId="77777777" w:rsidR="004F6DB1" w:rsidRPr="00610FCD" w:rsidRDefault="004F6DB1" w:rsidP="00CA3DD2">
            <w:pPr>
              <w:pStyle w:val="TableText"/>
              <w:jc w:val="center"/>
            </w:pPr>
            <w:r w:rsidRPr="00610FCD">
              <w:t>61.0 (56.0, 66.0)</w:t>
            </w:r>
          </w:p>
        </w:tc>
      </w:tr>
      <w:tr w:rsidR="004F6DB1" w:rsidRPr="00610FCD" w14:paraId="3061DA8D" w14:textId="77777777" w:rsidTr="00CA3DD2">
        <w:tc>
          <w:tcPr>
            <w:tcW w:w="3901" w:type="dxa"/>
            <w:tcBorders>
              <w:top w:val="nil"/>
            </w:tcBorders>
          </w:tcPr>
          <w:p w14:paraId="5B03A095" w14:textId="77777777" w:rsidR="004F6DB1" w:rsidRPr="00610FCD" w:rsidRDefault="004F6DB1" w:rsidP="00CA3DD2">
            <w:pPr>
              <w:pStyle w:val="TableText"/>
            </w:pPr>
            <w:r w:rsidRPr="00610FCD">
              <w:t>- Age ≥60, n (%)</w:t>
            </w:r>
          </w:p>
        </w:tc>
        <w:tc>
          <w:tcPr>
            <w:tcW w:w="1694" w:type="dxa"/>
            <w:tcBorders>
              <w:top w:val="nil"/>
            </w:tcBorders>
            <w:vAlign w:val="center"/>
          </w:tcPr>
          <w:p w14:paraId="35344B6C" w14:textId="77777777" w:rsidR="004F6DB1" w:rsidRPr="00610FCD" w:rsidRDefault="004F6DB1" w:rsidP="00CA3DD2">
            <w:pPr>
              <w:pStyle w:val="TableText"/>
              <w:jc w:val="center"/>
            </w:pPr>
            <w:r w:rsidRPr="00610FCD">
              <w:t>100 (72)</w:t>
            </w:r>
          </w:p>
        </w:tc>
        <w:tc>
          <w:tcPr>
            <w:tcW w:w="1679" w:type="dxa"/>
            <w:tcBorders>
              <w:top w:val="nil"/>
            </w:tcBorders>
            <w:vAlign w:val="center"/>
          </w:tcPr>
          <w:p w14:paraId="323E392A" w14:textId="77777777" w:rsidR="004F6DB1" w:rsidRPr="00610FCD" w:rsidRDefault="004F6DB1" w:rsidP="00CA3DD2">
            <w:pPr>
              <w:pStyle w:val="TableText"/>
              <w:jc w:val="center"/>
            </w:pPr>
            <w:r w:rsidRPr="00610FCD">
              <w:t>86 (62)</w:t>
            </w:r>
          </w:p>
        </w:tc>
        <w:tc>
          <w:tcPr>
            <w:tcW w:w="1743" w:type="dxa"/>
            <w:tcBorders>
              <w:top w:val="nil"/>
            </w:tcBorders>
            <w:vAlign w:val="center"/>
          </w:tcPr>
          <w:p w14:paraId="1823CC50" w14:textId="77777777" w:rsidR="004F6DB1" w:rsidRPr="00610FCD" w:rsidRDefault="004F6DB1" w:rsidP="00CA3DD2">
            <w:pPr>
              <w:pStyle w:val="TableText"/>
              <w:jc w:val="center"/>
            </w:pPr>
            <w:r w:rsidRPr="00610FCD">
              <w:t>246 (58)</w:t>
            </w:r>
          </w:p>
        </w:tc>
      </w:tr>
      <w:tr w:rsidR="004F6DB1" w:rsidRPr="00610FCD" w14:paraId="6C9A8844" w14:textId="77777777" w:rsidTr="00CA3DD2">
        <w:tc>
          <w:tcPr>
            <w:tcW w:w="3901" w:type="dxa"/>
          </w:tcPr>
          <w:p w14:paraId="350A239F" w14:textId="77777777" w:rsidR="004F6DB1" w:rsidRPr="00610FCD" w:rsidRDefault="004F6DB1" w:rsidP="00CA3DD2">
            <w:pPr>
              <w:pStyle w:val="TableText"/>
            </w:pPr>
            <w:r w:rsidRPr="00610FCD">
              <w:t>Male, n (%)</w:t>
            </w:r>
          </w:p>
        </w:tc>
        <w:tc>
          <w:tcPr>
            <w:tcW w:w="1694" w:type="dxa"/>
            <w:vAlign w:val="center"/>
          </w:tcPr>
          <w:p w14:paraId="610560C7" w14:textId="77777777" w:rsidR="004F6DB1" w:rsidRPr="00610FCD" w:rsidRDefault="004F6DB1" w:rsidP="00CA3DD2">
            <w:pPr>
              <w:pStyle w:val="TableText"/>
              <w:jc w:val="center"/>
            </w:pPr>
            <w:r w:rsidRPr="00610FCD">
              <w:t>77 (55)</w:t>
            </w:r>
          </w:p>
        </w:tc>
        <w:tc>
          <w:tcPr>
            <w:tcW w:w="1679" w:type="dxa"/>
            <w:vAlign w:val="center"/>
          </w:tcPr>
          <w:p w14:paraId="265EA037" w14:textId="77777777" w:rsidR="004F6DB1" w:rsidRPr="00610FCD" w:rsidRDefault="004F6DB1" w:rsidP="00CA3DD2">
            <w:pPr>
              <w:pStyle w:val="TableText"/>
              <w:jc w:val="center"/>
            </w:pPr>
            <w:r w:rsidRPr="00610FCD">
              <w:t>61 (44)</w:t>
            </w:r>
          </w:p>
        </w:tc>
        <w:tc>
          <w:tcPr>
            <w:tcW w:w="1743" w:type="dxa"/>
            <w:vAlign w:val="center"/>
          </w:tcPr>
          <w:p w14:paraId="1735235E" w14:textId="77777777" w:rsidR="004F6DB1" w:rsidRPr="00610FCD" w:rsidRDefault="004F6DB1" w:rsidP="00CA3DD2">
            <w:pPr>
              <w:pStyle w:val="TableText"/>
              <w:jc w:val="center"/>
            </w:pPr>
            <w:r w:rsidRPr="00610FCD">
              <w:t>235 (56)</w:t>
            </w:r>
          </w:p>
        </w:tc>
      </w:tr>
      <w:tr w:rsidR="004F6DB1" w:rsidRPr="00610FCD" w14:paraId="329F9BA1" w14:textId="77777777" w:rsidTr="00CA3DD2">
        <w:tc>
          <w:tcPr>
            <w:tcW w:w="3901" w:type="dxa"/>
          </w:tcPr>
          <w:p w14:paraId="7F6A7E9A" w14:textId="77777777" w:rsidR="004F6DB1" w:rsidRPr="00610FCD" w:rsidRDefault="004F6DB1" w:rsidP="00CA3DD2">
            <w:pPr>
              <w:pStyle w:val="TableText"/>
            </w:pPr>
            <w:r w:rsidRPr="00610FCD">
              <w:t>WBC (x 10</w:t>
            </w:r>
            <w:r w:rsidRPr="00610FCD">
              <w:rPr>
                <w:vertAlign w:val="superscript"/>
              </w:rPr>
              <w:t>9</w:t>
            </w:r>
            <w:r w:rsidRPr="00610FCD">
              <w:t>/L), median (IQR)</w:t>
            </w:r>
          </w:p>
        </w:tc>
        <w:tc>
          <w:tcPr>
            <w:tcW w:w="1694" w:type="dxa"/>
            <w:vAlign w:val="center"/>
          </w:tcPr>
          <w:p w14:paraId="3387DB59" w14:textId="77777777" w:rsidR="004F6DB1" w:rsidRPr="00610FCD" w:rsidRDefault="004F6DB1" w:rsidP="00CA3DD2">
            <w:pPr>
              <w:pStyle w:val="TableText"/>
              <w:jc w:val="center"/>
            </w:pPr>
            <w:r w:rsidRPr="00610FCD">
              <w:t>6.9 (2.3, 30.4)</w:t>
            </w:r>
          </w:p>
        </w:tc>
        <w:tc>
          <w:tcPr>
            <w:tcW w:w="1679" w:type="dxa"/>
            <w:vAlign w:val="center"/>
          </w:tcPr>
          <w:p w14:paraId="7DF6B37B" w14:textId="77777777" w:rsidR="004F6DB1" w:rsidRPr="00610FCD" w:rsidRDefault="004F6DB1" w:rsidP="00CA3DD2">
            <w:pPr>
              <w:pStyle w:val="TableText"/>
              <w:jc w:val="center"/>
            </w:pPr>
            <w:r w:rsidRPr="00610FCD">
              <w:t>5.0 (1.9, 26.7)</w:t>
            </w:r>
          </w:p>
        </w:tc>
        <w:tc>
          <w:tcPr>
            <w:tcW w:w="1743" w:type="dxa"/>
            <w:vAlign w:val="center"/>
          </w:tcPr>
          <w:p w14:paraId="7C5060D4" w14:textId="77777777" w:rsidR="004F6DB1" w:rsidRPr="00610FCD" w:rsidRDefault="004F6DB1" w:rsidP="00CA3DD2">
            <w:pPr>
              <w:pStyle w:val="TableText"/>
              <w:jc w:val="center"/>
            </w:pPr>
            <w:r w:rsidRPr="00610FCD">
              <w:t>5.2 (2.1, 21.4)</w:t>
            </w:r>
          </w:p>
        </w:tc>
      </w:tr>
      <w:tr w:rsidR="004F6DB1" w:rsidRPr="00610FCD" w14:paraId="500C6D31" w14:textId="77777777" w:rsidTr="00CA3DD2">
        <w:tc>
          <w:tcPr>
            <w:tcW w:w="3901" w:type="dxa"/>
          </w:tcPr>
          <w:p w14:paraId="302237A5" w14:textId="77777777" w:rsidR="004F6DB1" w:rsidRPr="00610FCD" w:rsidRDefault="004F6DB1" w:rsidP="00CA3DD2">
            <w:pPr>
              <w:pStyle w:val="TableText"/>
            </w:pPr>
            <w:r w:rsidRPr="00610FCD">
              <w:t>Platelet count (x 10</w:t>
            </w:r>
            <w:r w:rsidRPr="00610FCD">
              <w:rPr>
                <w:vertAlign w:val="superscript"/>
              </w:rPr>
              <w:t>9</w:t>
            </w:r>
            <w:r w:rsidRPr="00610FCD">
              <w:t>/L), median (IQR)</w:t>
            </w:r>
          </w:p>
        </w:tc>
        <w:tc>
          <w:tcPr>
            <w:tcW w:w="1694" w:type="dxa"/>
            <w:vAlign w:val="center"/>
          </w:tcPr>
          <w:p w14:paraId="2BBD8BB6" w14:textId="77777777" w:rsidR="004F6DB1" w:rsidRPr="00610FCD" w:rsidRDefault="004F6DB1" w:rsidP="00CA3DD2">
            <w:pPr>
              <w:pStyle w:val="TableText"/>
              <w:jc w:val="center"/>
            </w:pPr>
            <w:r w:rsidRPr="00610FCD">
              <w:t>66.0 (36.5, 118.5)</w:t>
            </w:r>
          </w:p>
        </w:tc>
        <w:tc>
          <w:tcPr>
            <w:tcW w:w="1679" w:type="dxa"/>
            <w:vAlign w:val="center"/>
          </w:tcPr>
          <w:p w14:paraId="21A585A2" w14:textId="77777777" w:rsidR="004F6DB1" w:rsidRPr="00610FCD" w:rsidRDefault="004F6DB1" w:rsidP="00CA3DD2">
            <w:pPr>
              <w:pStyle w:val="TableText"/>
              <w:jc w:val="center"/>
            </w:pPr>
            <w:r w:rsidRPr="00610FCD">
              <w:t>67.5 (36.3, 125.5)</w:t>
            </w:r>
          </w:p>
        </w:tc>
        <w:tc>
          <w:tcPr>
            <w:tcW w:w="1743" w:type="dxa"/>
            <w:vAlign w:val="center"/>
          </w:tcPr>
          <w:p w14:paraId="66045A63" w14:textId="77777777" w:rsidR="004F6DB1" w:rsidRPr="00610FCD" w:rsidRDefault="004F6DB1" w:rsidP="00CA3DD2">
            <w:pPr>
              <w:pStyle w:val="TableText"/>
              <w:jc w:val="center"/>
            </w:pPr>
            <w:r w:rsidRPr="00610FCD">
              <w:t>65.0 (38.0, 127.5)</w:t>
            </w:r>
          </w:p>
        </w:tc>
      </w:tr>
      <w:tr w:rsidR="004F6DB1" w:rsidRPr="00610FCD" w14:paraId="5561827E" w14:textId="77777777" w:rsidTr="00CA3DD2">
        <w:tc>
          <w:tcPr>
            <w:tcW w:w="3901" w:type="dxa"/>
            <w:tcBorders>
              <w:bottom w:val="nil"/>
            </w:tcBorders>
          </w:tcPr>
          <w:p w14:paraId="07C5D9DB" w14:textId="77777777" w:rsidR="004F6DB1" w:rsidRPr="00610FCD" w:rsidRDefault="004F6DB1" w:rsidP="00CA3DD2">
            <w:pPr>
              <w:pStyle w:val="TableText"/>
              <w:rPr>
                <w:vertAlign w:val="superscript"/>
              </w:rPr>
            </w:pPr>
            <w:r w:rsidRPr="00610FCD">
              <w:t xml:space="preserve">NCCN cytogenetic risk, n (%) </w:t>
            </w:r>
            <w:r w:rsidRPr="00610FCD">
              <w:rPr>
                <w:vertAlign w:val="superscript"/>
              </w:rPr>
              <w:t>b</w:t>
            </w:r>
          </w:p>
        </w:tc>
        <w:tc>
          <w:tcPr>
            <w:tcW w:w="1694" w:type="dxa"/>
            <w:tcBorders>
              <w:bottom w:val="nil"/>
            </w:tcBorders>
            <w:vAlign w:val="center"/>
          </w:tcPr>
          <w:p w14:paraId="4C434CFF" w14:textId="77777777" w:rsidR="004F6DB1" w:rsidRPr="00610FCD" w:rsidRDefault="004F6DB1" w:rsidP="00CA3DD2">
            <w:pPr>
              <w:pStyle w:val="TableText"/>
              <w:jc w:val="center"/>
            </w:pPr>
          </w:p>
        </w:tc>
        <w:tc>
          <w:tcPr>
            <w:tcW w:w="1679" w:type="dxa"/>
            <w:tcBorders>
              <w:bottom w:val="nil"/>
            </w:tcBorders>
            <w:vAlign w:val="center"/>
          </w:tcPr>
          <w:p w14:paraId="4CEDB372" w14:textId="77777777" w:rsidR="004F6DB1" w:rsidRPr="00610FCD" w:rsidRDefault="004F6DB1" w:rsidP="00CA3DD2">
            <w:pPr>
              <w:pStyle w:val="TableText"/>
              <w:jc w:val="center"/>
            </w:pPr>
          </w:p>
        </w:tc>
        <w:tc>
          <w:tcPr>
            <w:tcW w:w="1743" w:type="dxa"/>
            <w:tcBorders>
              <w:bottom w:val="nil"/>
            </w:tcBorders>
            <w:vAlign w:val="center"/>
          </w:tcPr>
          <w:p w14:paraId="5609E9F7" w14:textId="77777777" w:rsidR="004F6DB1" w:rsidRPr="00610FCD" w:rsidRDefault="004F6DB1" w:rsidP="00CA3DD2">
            <w:pPr>
              <w:pStyle w:val="TableText"/>
              <w:jc w:val="center"/>
            </w:pPr>
          </w:p>
        </w:tc>
      </w:tr>
      <w:tr w:rsidR="004F6DB1" w:rsidRPr="00610FCD" w14:paraId="0D5ACB44" w14:textId="77777777" w:rsidTr="00CA3DD2">
        <w:tc>
          <w:tcPr>
            <w:tcW w:w="3901" w:type="dxa"/>
            <w:tcBorders>
              <w:top w:val="nil"/>
              <w:bottom w:val="nil"/>
            </w:tcBorders>
          </w:tcPr>
          <w:p w14:paraId="18D80CD8" w14:textId="77777777" w:rsidR="004F6DB1" w:rsidRPr="00610FCD" w:rsidRDefault="004F6DB1" w:rsidP="00CA3DD2">
            <w:pPr>
              <w:pStyle w:val="TableText"/>
            </w:pPr>
            <w:r w:rsidRPr="00610FCD">
              <w:t>- Favourable</w:t>
            </w:r>
          </w:p>
        </w:tc>
        <w:tc>
          <w:tcPr>
            <w:tcW w:w="1694" w:type="dxa"/>
            <w:tcBorders>
              <w:top w:val="nil"/>
              <w:bottom w:val="nil"/>
            </w:tcBorders>
            <w:vAlign w:val="center"/>
          </w:tcPr>
          <w:p w14:paraId="3371719E" w14:textId="77777777" w:rsidR="004F6DB1" w:rsidRPr="00610FCD" w:rsidRDefault="004F6DB1" w:rsidP="00CA3DD2">
            <w:pPr>
              <w:pStyle w:val="TableText"/>
              <w:jc w:val="center"/>
            </w:pPr>
            <w:r w:rsidRPr="00610FCD">
              <w:t>3/122 (2.5)</w:t>
            </w:r>
          </w:p>
        </w:tc>
        <w:tc>
          <w:tcPr>
            <w:tcW w:w="1679" w:type="dxa"/>
            <w:tcBorders>
              <w:top w:val="nil"/>
              <w:bottom w:val="nil"/>
            </w:tcBorders>
            <w:vAlign w:val="center"/>
          </w:tcPr>
          <w:p w14:paraId="22208840" w14:textId="77777777" w:rsidR="004F6DB1" w:rsidRPr="00610FCD" w:rsidRDefault="004F6DB1" w:rsidP="00CA3DD2">
            <w:pPr>
              <w:pStyle w:val="TableText"/>
              <w:jc w:val="center"/>
            </w:pPr>
            <w:r w:rsidRPr="00610FCD">
              <w:t>6/127 (4.7)</w:t>
            </w:r>
          </w:p>
        </w:tc>
        <w:tc>
          <w:tcPr>
            <w:tcW w:w="1743" w:type="dxa"/>
            <w:tcBorders>
              <w:top w:val="nil"/>
              <w:bottom w:val="nil"/>
            </w:tcBorders>
            <w:vAlign w:val="center"/>
          </w:tcPr>
          <w:p w14:paraId="5517CE86" w14:textId="77777777" w:rsidR="004F6DB1" w:rsidRPr="00610FCD" w:rsidRDefault="004F6DB1" w:rsidP="00CA3DD2">
            <w:pPr>
              <w:pStyle w:val="TableText"/>
              <w:jc w:val="center"/>
            </w:pPr>
            <w:r w:rsidRPr="00610FCD">
              <w:t>36/394 (9.1)</w:t>
            </w:r>
          </w:p>
        </w:tc>
      </w:tr>
      <w:tr w:rsidR="004F6DB1" w:rsidRPr="00610FCD" w14:paraId="1C557F9B" w14:textId="77777777" w:rsidTr="00CA3DD2">
        <w:tc>
          <w:tcPr>
            <w:tcW w:w="3901" w:type="dxa"/>
            <w:tcBorders>
              <w:top w:val="nil"/>
              <w:bottom w:val="nil"/>
            </w:tcBorders>
          </w:tcPr>
          <w:p w14:paraId="6F34A859" w14:textId="77777777" w:rsidR="004F6DB1" w:rsidRPr="00610FCD" w:rsidRDefault="004F6DB1" w:rsidP="00CA3DD2">
            <w:pPr>
              <w:pStyle w:val="TableText"/>
            </w:pPr>
            <w:r w:rsidRPr="00610FCD">
              <w:t>- Intermediate</w:t>
            </w:r>
          </w:p>
        </w:tc>
        <w:tc>
          <w:tcPr>
            <w:tcW w:w="1694" w:type="dxa"/>
            <w:tcBorders>
              <w:top w:val="nil"/>
              <w:bottom w:val="nil"/>
            </w:tcBorders>
            <w:vAlign w:val="center"/>
          </w:tcPr>
          <w:p w14:paraId="522B4475" w14:textId="77777777" w:rsidR="004F6DB1" w:rsidRPr="00610FCD" w:rsidRDefault="004F6DB1" w:rsidP="00CA3DD2">
            <w:pPr>
              <w:pStyle w:val="TableText"/>
              <w:jc w:val="center"/>
            </w:pPr>
            <w:r w:rsidRPr="00610FCD">
              <w:t>91/122 (74.6)</w:t>
            </w:r>
          </w:p>
        </w:tc>
        <w:tc>
          <w:tcPr>
            <w:tcW w:w="1679" w:type="dxa"/>
            <w:tcBorders>
              <w:top w:val="nil"/>
              <w:bottom w:val="nil"/>
            </w:tcBorders>
            <w:vAlign w:val="center"/>
          </w:tcPr>
          <w:p w14:paraId="60EE2C85" w14:textId="77777777" w:rsidR="004F6DB1" w:rsidRPr="00610FCD" w:rsidRDefault="004F6DB1" w:rsidP="00CA3DD2">
            <w:pPr>
              <w:pStyle w:val="TableText"/>
              <w:jc w:val="center"/>
            </w:pPr>
            <w:r w:rsidRPr="00610FCD">
              <w:t>91/127 (71.7)</w:t>
            </w:r>
          </w:p>
        </w:tc>
        <w:tc>
          <w:tcPr>
            <w:tcW w:w="1743" w:type="dxa"/>
            <w:tcBorders>
              <w:top w:val="nil"/>
              <w:bottom w:val="nil"/>
            </w:tcBorders>
            <w:vAlign w:val="center"/>
          </w:tcPr>
          <w:p w14:paraId="2C2ED95D" w14:textId="77777777" w:rsidR="004F6DB1" w:rsidRPr="00610FCD" w:rsidRDefault="004F6DB1" w:rsidP="00CA3DD2">
            <w:pPr>
              <w:pStyle w:val="TableText"/>
              <w:jc w:val="center"/>
            </w:pPr>
            <w:r w:rsidRPr="00610FCD">
              <w:t>273/394 (69.3)</w:t>
            </w:r>
          </w:p>
        </w:tc>
      </w:tr>
      <w:tr w:rsidR="004F6DB1" w:rsidRPr="00610FCD" w14:paraId="5482DB9B" w14:textId="77777777" w:rsidTr="00CA3DD2">
        <w:tc>
          <w:tcPr>
            <w:tcW w:w="3901" w:type="dxa"/>
            <w:tcBorders>
              <w:top w:val="nil"/>
            </w:tcBorders>
          </w:tcPr>
          <w:p w14:paraId="170D2757" w14:textId="77777777" w:rsidR="004F6DB1" w:rsidRPr="00610FCD" w:rsidRDefault="004F6DB1" w:rsidP="00CA3DD2">
            <w:pPr>
              <w:pStyle w:val="TableText"/>
            </w:pPr>
            <w:r w:rsidRPr="00610FCD">
              <w:t>- Adverse</w:t>
            </w:r>
          </w:p>
        </w:tc>
        <w:tc>
          <w:tcPr>
            <w:tcW w:w="1694" w:type="dxa"/>
            <w:tcBorders>
              <w:top w:val="nil"/>
            </w:tcBorders>
            <w:vAlign w:val="center"/>
          </w:tcPr>
          <w:p w14:paraId="6EAAF9C3" w14:textId="77777777" w:rsidR="004F6DB1" w:rsidRPr="00610FCD" w:rsidRDefault="004F6DB1" w:rsidP="00CA3DD2">
            <w:pPr>
              <w:pStyle w:val="TableText"/>
              <w:jc w:val="center"/>
            </w:pPr>
            <w:r w:rsidRPr="00610FCD">
              <w:t>28/122 (23.0)</w:t>
            </w:r>
          </w:p>
        </w:tc>
        <w:tc>
          <w:tcPr>
            <w:tcW w:w="1679" w:type="dxa"/>
            <w:tcBorders>
              <w:top w:val="nil"/>
            </w:tcBorders>
            <w:vAlign w:val="center"/>
          </w:tcPr>
          <w:p w14:paraId="303CA0C8" w14:textId="77777777" w:rsidR="004F6DB1" w:rsidRPr="00610FCD" w:rsidRDefault="004F6DB1" w:rsidP="00CA3DD2">
            <w:pPr>
              <w:pStyle w:val="TableText"/>
              <w:jc w:val="center"/>
            </w:pPr>
            <w:r w:rsidRPr="00610FCD">
              <w:t>30/127 (23.6)</w:t>
            </w:r>
          </w:p>
        </w:tc>
        <w:tc>
          <w:tcPr>
            <w:tcW w:w="1743" w:type="dxa"/>
            <w:tcBorders>
              <w:top w:val="nil"/>
            </w:tcBorders>
            <w:vAlign w:val="center"/>
          </w:tcPr>
          <w:p w14:paraId="20F0E4B6" w14:textId="77777777" w:rsidR="004F6DB1" w:rsidRPr="00610FCD" w:rsidRDefault="004F6DB1" w:rsidP="00CA3DD2">
            <w:pPr>
              <w:pStyle w:val="TableText"/>
              <w:jc w:val="center"/>
            </w:pPr>
            <w:r w:rsidRPr="00610FCD">
              <w:t>85/394 (21.6)</w:t>
            </w:r>
          </w:p>
        </w:tc>
      </w:tr>
      <w:tr w:rsidR="004F6DB1" w:rsidRPr="00610FCD" w14:paraId="6172CA3A" w14:textId="77777777" w:rsidTr="00CA3DD2">
        <w:tc>
          <w:tcPr>
            <w:tcW w:w="3901" w:type="dxa"/>
          </w:tcPr>
          <w:p w14:paraId="3B2F99B5" w14:textId="77777777" w:rsidR="004F6DB1" w:rsidRPr="00610FCD" w:rsidRDefault="004F6DB1" w:rsidP="00CA3DD2">
            <w:pPr>
              <w:pStyle w:val="TableText"/>
            </w:pPr>
            <w:r w:rsidRPr="00610FCD">
              <w:t>FLT3-ITD, n (%)</w:t>
            </w:r>
          </w:p>
        </w:tc>
        <w:tc>
          <w:tcPr>
            <w:tcW w:w="1694" w:type="dxa"/>
            <w:vAlign w:val="center"/>
          </w:tcPr>
          <w:p w14:paraId="2C288AC6" w14:textId="77777777" w:rsidR="004F6DB1" w:rsidRPr="00610FCD" w:rsidRDefault="004F6DB1" w:rsidP="00CA3DD2">
            <w:pPr>
              <w:pStyle w:val="TableText"/>
              <w:jc w:val="center"/>
            </w:pPr>
            <w:r w:rsidRPr="00610FCD">
              <w:t>22/137 (16.1)</w:t>
            </w:r>
          </w:p>
        </w:tc>
        <w:tc>
          <w:tcPr>
            <w:tcW w:w="1679" w:type="dxa"/>
            <w:vAlign w:val="center"/>
          </w:tcPr>
          <w:p w14:paraId="2A60957D" w14:textId="77777777" w:rsidR="004F6DB1" w:rsidRPr="00610FCD" w:rsidRDefault="004F6DB1" w:rsidP="00CA3DD2">
            <w:pPr>
              <w:pStyle w:val="TableText"/>
              <w:jc w:val="center"/>
            </w:pPr>
            <w:r w:rsidRPr="00610FCD">
              <w:t>27/138 (19.6)</w:t>
            </w:r>
          </w:p>
        </w:tc>
        <w:tc>
          <w:tcPr>
            <w:tcW w:w="1743" w:type="dxa"/>
            <w:vAlign w:val="center"/>
          </w:tcPr>
          <w:p w14:paraId="5653A1CB" w14:textId="77777777" w:rsidR="004F6DB1" w:rsidRPr="00610FCD" w:rsidRDefault="004F6DB1" w:rsidP="00CA3DD2">
            <w:pPr>
              <w:pStyle w:val="TableText"/>
              <w:jc w:val="center"/>
            </w:pPr>
            <w:r w:rsidRPr="00610FCD">
              <w:t>76/366 (20.8)</w:t>
            </w:r>
          </w:p>
        </w:tc>
      </w:tr>
      <w:tr w:rsidR="004F6DB1" w:rsidRPr="00610FCD" w14:paraId="0C32EA55" w14:textId="77777777" w:rsidTr="00CA3DD2">
        <w:tc>
          <w:tcPr>
            <w:tcW w:w="3901" w:type="dxa"/>
          </w:tcPr>
          <w:p w14:paraId="0BC4F8FA" w14:textId="77777777" w:rsidR="004F6DB1" w:rsidRPr="00610FCD" w:rsidRDefault="004F6DB1" w:rsidP="00CA3DD2">
            <w:pPr>
              <w:pStyle w:val="TableText"/>
            </w:pPr>
            <w:r w:rsidRPr="00610FCD">
              <w:t>NPM1 mutation positive, n (%)</w:t>
            </w:r>
          </w:p>
        </w:tc>
        <w:tc>
          <w:tcPr>
            <w:tcW w:w="1694" w:type="dxa"/>
            <w:vAlign w:val="center"/>
          </w:tcPr>
          <w:p w14:paraId="1E90437F" w14:textId="77777777" w:rsidR="004F6DB1" w:rsidRPr="00610FCD" w:rsidRDefault="004F6DB1" w:rsidP="00CA3DD2">
            <w:pPr>
              <w:pStyle w:val="TableText"/>
              <w:jc w:val="center"/>
            </w:pPr>
            <w:r w:rsidRPr="00610FCD">
              <w:t>45/136 (33.1)</w:t>
            </w:r>
          </w:p>
        </w:tc>
        <w:tc>
          <w:tcPr>
            <w:tcW w:w="1679" w:type="dxa"/>
            <w:vAlign w:val="center"/>
          </w:tcPr>
          <w:p w14:paraId="1F7A2D37" w14:textId="77777777" w:rsidR="004F6DB1" w:rsidRPr="00610FCD" w:rsidRDefault="004F6DB1" w:rsidP="00CA3DD2">
            <w:pPr>
              <w:pStyle w:val="TableText"/>
              <w:jc w:val="center"/>
            </w:pPr>
            <w:r w:rsidRPr="00610FCD">
              <w:t>48/138 (34.8)</w:t>
            </w:r>
          </w:p>
        </w:tc>
        <w:tc>
          <w:tcPr>
            <w:tcW w:w="1743" w:type="dxa"/>
            <w:vAlign w:val="center"/>
          </w:tcPr>
          <w:p w14:paraId="2D2554CC" w14:textId="77777777" w:rsidR="004F6DB1" w:rsidRPr="00610FCD" w:rsidRDefault="004F6DB1" w:rsidP="00CA3DD2">
            <w:pPr>
              <w:pStyle w:val="TableText"/>
              <w:jc w:val="center"/>
            </w:pPr>
            <w:r w:rsidRPr="00610FCD">
              <w:t>113/307 (36.8)</w:t>
            </w:r>
          </w:p>
        </w:tc>
      </w:tr>
      <w:tr w:rsidR="004F6DB1" w:rsidRPr="00610FCD" w14:paraId="24F1D2DC" w14:textId="77777777" w:rsidTr="00CA3DD2">
        <w:tc>
          <w:tcPr>
            <w:tcW w:w="3901" w:type="dxa"/>
          </w:tcPr>
          <w:p w14:paraId="185478A7" w14:textId="77777777" w:rsidR="004F6DB1" w:rsidRPr="00610FCD" w:rsidRDefault="004F6DB1" w:rsidP="00CA3DD2">
            <w:pPr>
              <w:pStyle w:val="TableText"/>
            </w:pPr>
            <w:r w:rsidRPr="00610FCD">
              <w:t>Favourable ELN 2010, n (%)</w:t>
            </w:r>
          </w:p>
        </w:tc>
        <w:tc>
          <w:tcPr>
            <w:tcW w:w="1694" w:type="dxa"/>
            <w:vAlign w:val="center"/>
          </w:tcPr>
          <w:p w14:paraId="7BA553DD" w14:textId="77777777" w:rsidR="004F6DB1" w:rsidRPr="00610FCD" w:rsidRDefault="004F6DB1" w:rsidP="00CA3DD2">
            <w:pPr>
              <w:pStyle w:val="TableText"/>
              <w:jc w:val="center"/>
            </w:pPr>
            <w:r w:rsidRPr="00610FCD">
              <w:t>24/119 (20.2)</w:t>
            </w:r>
          </w:p>
        </w:tc>
        <w:tc>
          <w:tcPr>
            <w:tcW w:w="1679" w:type="dxa"/>
            <w:vAlign w:val="center"/>
          </w:tcPr>
          <w:p w14:paraId="108F4424" w14:textId="77777777" w:rsidR="004F6DB1" w:rsidRPr="00610FCD" w:rsidRDefault="004F6DB1" w:rsidP="00CA3DD2">
            <w:pPr>
              <w:pStyle w:val="TableText"/>
              <w:jc w:val="center"/>
            </w:pPr>
            <w:r w:rsidRPr="00610FCD">
              <w:t>24/125 (19.2)</w:t>
            </w:r>
          </w:p>
        </w:tc>
        <w:tc>
          <w:tcPr>
            <w:tcW w:w="1743" w:type="dxa"/>
            <w:vAlign w:val="center"/>
          </w:tcPr>
          <w:p w14:paraId="6335E07C" w14:textId="77777777" w:rsidR="004F6DB1" w:rsidRPr="00610FCD" w:rsidRDefault="004F6DB1" w:rsidP="00CA3DD2">
            <w:pPr>
              <w:pStyle w:val="TableText"/>
              <w:jc w:val="center"/>
            </w:pPr>
            <w:r w:rsidRPr="00610FCD">
              <w:t>61/360 (16.9)</w:t>
            </w:r>
          </w:p>
        </w:tc>
      </w:tr>
      <w:tr w:rsidR="004F6DB1" w:rsidRPr="00610FCD" w14:paraId="7C5E804E" w14:textId="77777777" w:rsidTr="00CA3DD2">
        <w:tc>
          <w:tcPr>
            <w:tcW w:w="9017" w:type="dxa"/>
            <w:gridSpan w:val="4"/>
          </w:tcPr>
          <w:p w14:paraId="6C330548" w14:textId="77777777" w:rsidR="004F6DB1" w:rsidRPr="00610FCD" w:rsidRDefault="004F6DB1" w:rsidP="00CA3DD2">
            <w:pPr>
              <w:pStyle w:val="TableText"/>
            </w:pPr>
            <w:r w:rsidRPr="00610FCD">
              <w:rPr>
                <w:b/>
                <w:bCs w:val="0"/>
              </w:rPr>
              <w:t>Treatments received</w:t>
            </w:r>
          </w:p>
        </w:tc>
      </w:tr>
      <w:tr w:rsidR="004F6DB1" w:rsidRPr="00610FCD" w14:paraId="67EAFEE4" w14:textId="77777777" w:rsidTr="00CA3DD2">
        <w:tc>
          <w:tcPr>
            <w:tcW w:w="3901" w:type="dxa"/>
          </w:tcPr>
          <w:p w14:paraId="506D38EE" w14:textId="77777777" w:rsidR="004F6DB1" w:rsidRPr="00610FCD" w:rsidRDefault="004F6DB1" w:rsidP="00CA3DD2">
            <w:pPr>
              <w:pStyle w:val="TableText"/>
            </w:pPr>
            <w:r w:rsidRPr="00610FCD">
              <w:t>Induction courses &gt;1, n (%)</w:t>
            </w:r>
          </w:p>
        </w:tc>
        <w:tc>
          <w:tcPr>
            <w:tcW w:w="1694" w:type="dxa"/>
            <w:vAlign w:val="center"/>
          </w:tcPr>
          <w:p w14:paraId="092DE166" w14:textId="77777777" w:rsidR="004F6DB1" w:rsidRPr="00610FCD" w:rsidRDefault="004F6DB1" w:rsidP="00CA3DD2">
            <w:pPr>
              <w:pStyle w:val="TableText"/>
              <w:jc w:val="center"/>
            </w:pPr>
            <w:r w:rsidRPr="00610FCD">
              <w:t>25 (18.0)</w:t>
            </w:r>
          </w:p>
        </w:tc>
        <w:tc>
          <w:tcPr>
            <w:tcW w:w="1679" w:type="dxa"/>
            <w:vAlign w:val="center"/>
          </w:tcPr>
          <w:p w14:paraId="402CBEDA" w14:textId="77777777" w:rsidR="004F6DB1" w:rsidRPr="00610FCD" w:rsidRDefault="004F6DB1" w:rsidP="00CA3DD2">
            <w:pPr>
              <w:pStyle w:val="TableText"/>
              <w:jc w:val="center"/>
            </w:pPr>
            <w:r w:rsidRPr="00610FCD">
              <w:t>35 (25.2)</w:t>
            </w:r>
          </w:p>
        </w:tc>
        <w:tc>
          <w:tcPr>
            <w:tcW w:w="1743" w:type="dxa"/>
            <w:vAlign w:val="center"/>
          </w:tcPr>
          <w:p w14:paraId="0FA27EE6" w14:textId="77777777" w:rsidR="004F6DB1" w:rsidRPr="00610FCD" w:rsidRDefault="004F6DB1" w:rsidP="00CA3DD2">
            <w:pPr>
              <w:pStyle w:val="TableText"/>
              <w:jc w:val="center"/>
            </w:pPr>
            <w:r w:rsidRPr="00610FCD">
              <w:t>42 (10.0)</w:t>
            </w:r>
          </w:p>
        </w:tc>
      </w:tr>
      <w:tr w:rsidR="004F6DB1" w:rsidRPr="00610FCD" w14:paraId="4835531A" w14:textId="77777777" w:rsidTr="00CA3DD2">
        <w:tc>
          <w:tcPr>
            <w:tcW w:w="3901" w:type="dxa"/>
            <w:tcBorders>
              <w:bottom w:val="nil"/>
            </w:tcBorders>
          </w:tcPr>
          <w:p w14:paraId="3D4159A7" w14:textId="77777777" w:rsidR="004F6DB1" w:rsidRPr="00610FCD" w:rsidRDefault="004F6DB1" w:rsidP="00CA3DD2">
            <w:pPr>
              <w:pStyle w:val="TableText"/>
            </w:pPr>
            <w:r w:rsidRPr="00610FCD">
              <w:t>Allogeneic HSCT, n (%)</w:t>
            </w:r>
          </w:p>
        </w:tc>
        <w:tc>
          <w:tcPr>
            <w:tcW w:w="1694" w:type="dxa"/>
            <w:tcBorders>
              <w:bottom w:val="nil"/>
            </w:tcBorders>
            <w:vAlign w:val="center"/>
          </w:tcPr>
          <w:p w14:paraId="0F1939EE" w14:textId="77777777" w:rsidR="004F6DB1" w:rsidRPr="00610FCD" w:rsidRDefault="004F6DB1" w:rsidP="00CA3DD2">
            <w:pPr>
              <w:pStyle w:val="TableText"/>
              <w:jc w:val="center"/>
            </w:pPr>
          </w:p>
        </w:tc>
        <w:tc>
          <w:tcPr>
            <w:tcW w:w="1679" w:type="dxa"/>
            <w:tcBorders>
              <w:bottom w:val="nil"/>
            </w:tcBorders>
            <w:vAlign w:val="center"/>
          </w:tcPr>
          <w:p w14:paraId="55D02644" w14:textId="77777777" w:rsidR="004F6DB1" w:rsidRPr="00610FCD" w:rsidRDefault="004F6DB1" w:rsidP="00CA3DD2">
            <w:pPr>
              <w:pStyle w:val="TableText"/>
              <w:jc w:val="center"/>
            </w:pPr>
          </w:p>
        </w:tc>
        <w:tc>
          <w:tcPr>
            <w:tcW w:w="1743" w:type="dxa"/>
            <w:tcBorders>
              <w:bottom w:val="nil"/>
            </w:tcBorders>
            <w:vAlign w:val="center"/>
          </w:tcPr>
          <w:p w14:paraId="2D58F17F" w14:textId="77777777" w:rsidR="004F6DB1" w:rsidRPr="00610FCD" w:rsidRDefault="004F6DB1" w:rsidP="00CA3DD2">
            <w:pPr>
              <w:pStyle w:val="TableText"/>
              <w:jc w:val="center"/>
            </w:pPr>
          </w:p>
        </w:tc>
      </w:tr>
      <w:tr w:rsidR="004F6DB1" w:rsidRPr="00610FCD" w14:paraId="27A61141" w14:textId="77777777" w:rsidTr="00CA3DD2">
        <w:tc>
          <w:tcPr>
            <w:tcW w:w="3901" w:type="dxa"/>
            <w:tcBorders>
              <w:top w:val="nil"/>
              <w:bottom w:val="nil"/>
            </w:tcBorders>
          </w:tcPr>
          <w:p w14:paraId="40C1EE9A" w14:textId="77777777" w:rsidR="004F6DB1" w:rsidRPr="00610FCD" w:rsidRDefault="004F6DB1" w:rsidP="00CA3DD2">
            <w:pPr>
              <w:pStyle w:val="TableText"/>
            </w:pPr>
            <w:r w:rsidRPr="00610FCD">
              <w:t>- All patients</w:t>
            </w:r>
          </w:p>
        </w:tc>
        <w:tc>
          <w:tcPr>
            <w:tcW w:w="1694" w:type="dxa"/>
            <w:tcBorders>
              <w:top w:val="nil"/>
              <w:bottom w:val="nil"/>
            </w:tcBorders>
            <w:vAlign w:val="center"/>
          </w:tcPr>
          <w:p w14:paraId="6AEB61D5" w14:textId="77777777" w:rsidR="004F6DB1" w:rsidRPr="00610FCD" w:rsidRDefault="004F6DB1" w:rsidP="00CA3DD2">
            <w:pPr>
              <w:pStyle w:val="TableText"/>
              <w:jc w:val="center"/>
            </w:pPr>
            <w:r w:rsidRPr="00610FCD">
              <w:t>32 (23.7)</w:t>
            </w:r>
          </w:p>
        </w:tc>
        <w:tc>
          <w:tcPr>
            <w:tcW w:w="1679" w:type="dxa"/>
            <w:tcBorders>
              <w:top w:val="nil"/>
              <w:bottom w:val="nil"/>
            </w:tcBorders>
            <w:vAlign w:val="center"/>
          </w:tcPr>
          <w:p w14:paraId="63152B0D" w14:textId="77777777" w:rsidR="004F6DB1" w:rsidRPr="00610FCD" w:rsidRDefault="004F6DB1" w:rsidP="00CA3DD2">
            <w:pPr>
              <w:pStyle w:val="TableText"/>
              <w:jc w:val="center"/>
            </w:pPr>
            <w:r w:rsidRPr="00610FCD">
              <w:t>53 (39.0)</w:t>
            </w:r>
          </w:p>
        </w:tc>
        <w:tc>
          <w:tcPr>
            <w:tcW w:w="1743" w:type="dxa"/>
            <w:tcBorders>
              <w:top w:val="nil"/>
              <w:bottom w:val="nil"/>
            </w:tcBorders>
            <w:vAlign w:val="center"/>
          </w:tcPr>
          <w:p w14:paraId="3E218989" w14:textId="77777777" w:rsidR="004F6DB1" w:rsidRPr="00610FCD" w:rsidRDefault="004F6DB1" w:rsidP="00CA3DD2">
            <w:pPr>
              <w:pStyle w:val="TableText"/>
              <w:jc w:val="center"/>
            </w:pPr>
            <w:r w:rsidRPr="00610FCD">
              <w:t>109 (26.1)</w:t>
            </w:r>
          </w:p>
        </w:tc>
      </w:tr>
      <w:tr w:rsidR="004F6DB1" w:rsidRPr="00610FCD" w14:paraId="56B7C717" w14:textId="77777777" w:rsidTr="00CA3DD2">
        <w:tc>
          <w:tcPr>
            <w:tcW w:w="3901" w:type="dxa"/>
            <w:tcBorders>
              <w:top w:val="nil"/>
            </w:tcBorders>
          </w:tcPr>
          <w:p w14:paraId="28F0C534" w14:textId="77777777" w:rsidR="004F6DB1" w:rsidRPr="00610FCD" w:rsidRDefault="004F6DB1" w:rsidP="00CA3DD2">
            <w:pPr>
              <w:pStyle w:val="TableText"/>
            </w:pPr>
            <w:r w:rsidRPr="00610FCD">
              <w:t>- Upfront</w:t>
            </w:r>
          </w:p>
        </w:tc>
        <w:tc>
          <w:tcPr>
            <w:tcW w:w="1694" w:type="dxa"/>
            <w:tcBorders>
              <w:top w:val="nil"/>
            </w:tcBorders>
            <w:vAlign w:val="center"/>
          </w:tcPr>
          <w:p w14:paraId="37CA2685" w14:textId="77777777" w:rsidR="004F6DB1" w:rsidRPr="00610FCD" w:rsidRDefault="004F6DB1" w:rsidP="00CA3DD2">
            <w:pPr>
              <w:pStyle w:val="TableText"/>
              <w:jc w:val="center"/>
            </w:pPr>
            <w:r w:rsidRPr="00610FCD">
              <w:t>17/135 (12.6)</w:t>
            </w:r>
          </w:p>
        </w:tc>
        <w:tc>
          <w:tcPr>
            <w:tcW w:w="1679" w:type="dxa"/>
            <w:tcBorders>
              <w:top w:val="nil"/>
            </w:tcBorders>
            <w:vAlign w:val="center"/>
          </w:tcPr>
          <w:p w14:paraId="613492DB" w14:textId="77777777" w:rsidR="004F6DB1" w:rsidRPr="00610FCD" w:rsidRDefault="004F6DB1" w:rsidP="00CA3DD2">
            <w:pPr>
              <w:pStyle w:val="TableText"/>
              <w:jc w:val="center"/>
            </w:pPr>
            <w:r w:rsidRPr="00610FCD">
              <w:t>22 (16.2)</w:t>
            </w:r>
          </w:p>
        </w:tc>
        <w:tc>
          <w:tcPr>
            <w:tcW w:w="1743" w:type="dxa"/>
            <w:tcBorders>
              <w:top w:val="nil"/>
            </w:tcBorders>
            <w:vAlign w:val="center"/>
          </w:tcPr>
          <w:p w14:paraId="38F2D3E5" w14:textId="77777777" w:rsidR="004F6DB1" w:rsidRPr="00610FCD" w:rsidRDefault="004F6DB1" w:rsidP="00CA3DD2">
            <w:pPr>
              <w:pStyle w:val="TableText"/>
              <w:jc w:val="center"/>
            </w:pPr>
            <w:r w:rsidRPr="00610FCD">
              <w:t>87/417 (20.9)</w:t>
            </w:r>
          </w:p>
        </w:tc>
      </w:tr>
      <w:tr w:rsidR="004F6DB1" w:rsidRPr="00610FCD" w14:paraId="1A07F91F" w14:textId="77777777" w:rsidTr="00CA3DD2">
        <w:tc>
          <w:tcPr>
            <w:tcW w:w="9017" w:type="dxa"/>
            <w:gridSpan w:val="4"/>
          </w:tcPr>
          <w:p w14:paraId="635DA175" w14:textId="77777777" w:rsidR="004F6DB1" w:rsidRPr="00610FCD" w:rsidRDefault="004F6DB1" w:rsidP="00CA3DD2">
            <w:pPr>
              <w:pStyle w:val="TableText"/>
              <w:rPr>
                <w:b/>
                <w:bCs w:val="0"/>
              </w:rPr>
            </w:pPr>
            <w:r w:rsidRPr="00610FCD">
              <w:rPr>
                <w:b/>
                <w:bCs w:val="0"/>
              </w:rPr>
              <w:t>Outcomes</w:t>
            </w:r>
          </w:p>
        </w:tc>
      </w:tr>
      <w:tr w:rsidR="004F6DB1" w:rsidRPr="00610FCD" w14:paraId="2DE4414A" w14:textId="77777777" w:rsidTr="00CA3DD2">
        <w:tc>
          <w:tcPr>
            <w:tcW w:w="3901" w:type="dxa"/>
            <w:tcBorders>
              <w:bottom w:val="nil"/>
            </w:tcBorders>
          </w:tcPr>
          <w:p w14:paraId="3EECD827" w14:textId="77777777" w:rsidR="004F6DB1" w:rsidRPr="00610FCD" w:rsidRDefault="004F6DB1" w:rsidP="00CA3DD2">
            <w:pPr>
              <w:pStyle w:val="TableText"/>
            </w:pPr>
            <w:r w:rsidRPr="00610FCD">
              <w:t>Treatment response, n (%)</w:t>
            </w:r>
          </w:p>
        </w:tc>
        <w:tc>
          <w:tcPr>
            <w:tcW w:w="1694" w:type="dxa"/>
            <w:tcBorders>
              <w:bottom w:val="nil"/>
            </w:tcBorders>
            <w:vAlign w:val="center"/>
          </w:tcPr>
          <w:p w14:paraId="1F2D2B5C" w14:textId="77777777" w:rsidR="004F6DB1" w:rsidRPr="00610FCD" w:rsidRDefault="004F6DB1" w:rsidP="00CA3DD2">
            <w:pPr>
              <w:pStyle w:val="TableText"/>
              <w:jc w:val="center"/>
            </w:pPr>
          </w:p>
        </w:tc>
        <w:tc>
          <w:tcPr>
            <w:tcW w:w="1679" w:type="dxa"/>
            <w:tcBorders>
              <w:bottom w:val="nil"/>
            </w:tcBorders>
            <w:vAlign w:val="center"/>
          </w:tcPr>
          <w:p w14:paraId="22E51E13" w14:textId="77777777" w:rsidR="004F6DB1" w:rsidRPr="00610FCD" w:rsidRDefault="004F6DB1" w:rsidP="00CA3DD2">
            <w:pPr>
              <w:pStyle w:val="TableText"/>
              <w:jc w:val="center"/>
            </w:pPr>
          </w:p>
        </w:tc>
        <w:tc>
          <w:tcPr>
            <w:tcW w:w="1743" w:type="dxa"/>
            <w:tcBorders>
              <w:bottom w:val="nil"/>
            </w:tcBorders>
            <w:vAlign w:val="center"/>
          </w:tcPr>
          <w:p w14:paraId="4ABF747A" w14:textId="77777777" w:rsidR="004F6DB1" w:rsidRPr="00610FCD" w:rsidRDefault="004F6DB1" w:rsidP="00CA3DD2">
            <w:pPr>
              <w:pStyle w:val="TableText"/>
              <w:jc w:val="center"/>
            </w:pPr>
          </w:p>
        </w:tc>
      </w:tr>
      <w:tr w:rsidR="004F6DB1" w:rsidRPr="00610FCD" w14:paraId="341E0832" w14:textId="77777777" w:rsidTr="00CA3DD2">
        <w:tc>
          <w:tcPr>
            <w:tcW w:w="3901" w:type="dxa"/>
            <w:tcBorders>
              <w:top w:val="nil"/>
              <w:bottom w:val="nil"/>
            </w:tcBorders>
          </w:tcPr>
          <w:p w14:paraId="28A98CF9" w14:textId="77777777" w:rsidR="004F6DB1" w:rsidRPr="00610FCD" w:rsidRDefault="004F6DB1" w:rsidP="00CA3DD2">
            <w:pPr>
              <w:pStyle w:val="TableText"/>
            </w:pPr>
            <w:r w:rsidRPr="00610FCD">
              <w:t>- CR</w:t>
            </w:r>
          </w:p>
        </w:tc>
        <w:tc>
          <w:tcPr>
            <w:tcW w:w="1694" w:type="dxa"/>
            <w:tcBorders>
              <w:top w:val="nil"/>
              <w:bottom w:val="nil"/>
            </w:tcBorders>
            <w:vAlign w:val="center"/>
          </w:tcPr>
          <w:p w14:paraId="0B92052D" w14:textId="77777777" w:rsidR="004F6DB1" w:rsidRPr="00610FCD" w:rsidRDefault="004F6DB1" w:rsidP="00CA3DD2">
            <w:pPr>
              <w:pStyle w:val="TableText"/>
              <w:jc w:val="center"/>
            </w:pPr>
            <w:r w:rsidRPr="00610FCD">
              <w:t>102 (73.4)</w:t>
            </w:r>
          </w:p>
        </w:tc>
        <w:tc>
          <w:tcPr>
            <w:tcW w:w="1679" w:type="dxa"/>
            <w:tcBorders>
              <w:top w:val="nil"/>
              <w:bottom w:val="nil"/>
            </w:tcBorders>
            <w:vAlign w:val="center"/>
          </w:tcPr>
          <w:p w14:paraId="7BDD4538" w14:textId="77777777" w:rsidR="004F6DB1" w:rsidRPr="00610FCD" w:rsidRDefault="004F6DB1" w:rsidP="00CA3DD2">
            <w:pPr>
              <w:pStyle w:val="TableText"/>
              <w:jc w:val="center"/>
            </w:pPr>
            <w:r w:rsidRPr="00610FCD">
              <w:t>100 (71.9)</w:t>
            </w:r>
          </w:p>
        </w:tc>
        <w:tc>
          <w:tcPr>
            <w:tcW w:w="1743" w:type="dxa"/>
            <w:tcBorders>
              <w:top w:val="nil"/>
              <w:bottom w:val="nil"/>
            </w:tcBorders>
            <w:vAlign w:val="center"/>
          </w:tcPr>
          <w:p w14:paraId="72B5662F" w14:textId="77777777" w:rsidR="004F6DB1" w:rsidRPr="00610FCD" w:rsidRDefault="004F6DB1" w:rsidP="00CA3DD2">
            <w:pPr>
              <w:pStyle w:val="TableText"/>
              <w:jc w:val="center"/>
            </w:pPr>
            <w:r w:rsidRPr="00610FCD">
              <w:t>260/396 (65.7)</w:t>
            </w:r>
          </w:p>
        </w:tc>
      </w:tr>
      <w:tr w:rsidR="004F6DB1" w:rsidRPr="00610FCD" w14:paraId="5525AB36" w14:textId="77777777" w:rsidTr="00CA3DD2">
        <w:tc>
          <w:tcPr>
            <w:tcW w:w="3901" w:type="dxa"/>
            <w:tcBorders>
              <w:top w:val="nil"/>
              <w:bottom w:val="nil"/>
            </w:tcBorders>
          </w:tcPr>
          <w:p w14:paraId="7F2D2806" w14:textId="77777777" w:rsidR="004F6DB1" w:rsidRPr="00610FCD" w:rsidRDefault="004F6DB1" w:rsidP="00CA3DD2">
            <w:pPr>
              <w:pStyle w:val="TableText"/>
            </w:pPr>
            <w:r w:rsidRPr="00610FCD">
              <w:t>- CRp</w:t>
            </w:r>
          </w:p>
        </w:tc>
        <w:tc>
          <w:tcPr>
            <w:tcW w:w="1694" w:type="dxa"/>
            <w:tcBorders>
              <w:top w:val="nil"/>
              <w:bottom w:val="nil"/>
            </w:tcBorders>
            <w:vAlign w:val="center"/>
          </w:tcPr>
          <w:p w14:paraId="0265616C" w14:textId="77777777" w:rsidR="004F6DB1" w:rsidRPr="00610FCD" w:rsidRDefault="004F6DB1" w:rsidP="00CA3DD2">
            <w:pPr>
              <w:pStyle w:val="TableText"/>
              <w:jc w:val="center"/>
            </w:pPr>
            <w:r w:rsidRPr="00610FCD">
              <w:t>11 (7.9)</w:t>
            </w:r>
          </w:p>
        </w:tc>
        <w:tc>
          <w:tcPr>
            <w:tcW w:w="1679" w:type="dxa"/>
            <w:tcBorders>
              <w:top w:val="nil"/>
              <w:bottom w:val="nil"/>
            </w:tcBorders>
            <w:vAlign w:val="center"/>
          </w:tcPr>
          <w:p w14:paraId="06572DCD" w14:textId="77777777" w:rsidR="004F6DB1" w:rsidRPr="00610FCD" w:rsidRDefault="004F6DB1" w:rsidP="00CA3DD2">
            <w:pPr>
              <w:pStyle w:val="TableText"/>
              <w:jc w:val="center"/>
            </w:pPr>
            <w:r w:rsidRPr="00610FCD">
              <w:t>4 (2.9)</w:t>
            </w:r>
          </w:p>
        </w:tc>
        <w:tc>
          <w:tcPr>
            <w:tcW w:w="1743" w:type="dxa"/>
            <w:tcBorders>
              <w:top w:val="nil"/>
              <w:bottom w:val="nil"/>
            </w:tcBorders>
            <w:vAlign w:val="center"/>
          </w:tcPr>
          <w:p w14:paraId="5984C27A" w14:textId="77777777" w:rsidR="004F6DB1" w:rsidRPr="00610FCD" w:rsidRDefault="004F6DB1" w:rsidP="00CA3DD2">
            <w:pPr>
              <w:pStyle w:val="TableText"/>
              <w:jc w:val="center"/>
            </w:pPr>
            <w:r w:rsidRPr="00610FCD">
              <w:t>57/396 (14.4)</w:t>
            </w:r>
          </w:p>
        </w:tc>
      </w:tr>
      <w:tr w:rsidR="004F6DB1" w:rsidRPr="00610FCD" w14:paraId="697B1207" w14:textId="77777777" w:rsidTr="00CA3DD2">
        <w:tc>
          <w:tcPr>
            <w:tcW w:w="3901" w:type="dxa"/>
            <w:tcBorders>
              <w:top w:val="nil"/>
              <w:bottom w:val="nil"/>
            </w:tcBorders>
          </w:tcPr>
          <w:p w14:paraId="21260C90" w14:textId="77777777" w:rsidR="004F6DB1" w:rsidRPr="00610FCD" w:rsidRDefault="004F6DB1" w:rsidP="00CA3DD2">
            <w:pPr>
              <w:pStyle w:val="TableText"/>
            </w:pPr>
            <w:r w:rsidRPr="00610FCD">
              <w:t>- No CR/CRp</w:t>
            </w:r>
          </w:p>
        </w:tc>
        <w:tc>
          <w:tcPr>
            <w:tcW w:w="1694" w:type="dxa"/>
            <w:tcBorders>
              <w:top w:val="nil"/>
              <w:bottom w:val="nil"/>
            </w:tcBorders>
            <w:vAlign w:val="center"/>
          </w:tcPr>
          <w:p w14:paraId="4BBCB0E6" w14:textId="77777777" w:rsidR="004F6DB1" w:rsidRPr="00610FCD" w:rsidRDefault="004F6DB1" w:rsidP="00CA3DD2">
            <w:pPr>
              <w:pStyle w:val="TableText"/>
              <w:jc w:val="center"/>
            </w:pPr>
            <w:r w:rsidRPr="00610FCD">
              <w:t>17 (12)</w:t>
            </w:r>
          </w:p>
        </w:tc>
        <w:tc>
          <w:tcPr>
            <w:tcW w:w="1679" w:type="dxa"/>
            <w:tcBorders>
              <w:top w:val="nil"/>
              <w:bottom w:val="nil"/>
            </w:tcBorders>
            <w:vAlign w:val="center"/>
          </w:tcPr>
          <w:p w14:paraId="20DB576D" w14:textId="77777777" w:rsidR="004F6DB1" w:rsidRPr="00610FCD" w:rsidRDefault="004F6DB1" w:rsidP="00CA3DD2">
            <w:pPr>
              <w:pStyle w:val="TableText"/>
              <w:jc w:val="center"/>
            </w:pPr>
            <w:r w:rsidRPr="00610FCD">
              <w:t>29 (21)</w:t>
            </w:r>
          </w:p>
        </w:tc>
        <w:tc>
          <w:tcPr>
            <w:tcW w:w="1743" w:type="dxa"/>
            <w:tcBorders>
              <w:top w:val="nil"/>
              <w:bottom w:val="nil"/>
            </w:tcBorders>
            <w:vAlign w:val="center"/>
          </w:tcPr>
          <w:p w14:paraId="19B5AB58" w14:textId="77777777" w:rsidR="004F6DB1" w:rsidRPr="00610FCD" w:rsidRDefault="004F6DB1" w:rsidP="00CA3DD2">
            <w:pPr>
              <w:pStyle w:val="TableText"/>
              <w:jc w:val="center"/>
            </w:pPr>
            <w:r w:rsidRPr="00610FCD">
              <w:t>65/396 (16.4)</w:t>
            </w:r>
          </w:p>
        </w:tc>
      </w:tr>
      <w:tr w:rsidR="004F6DB1" w:rsidRPr="00610FCD" w14:paraId="489B4D15" w14:textId="77777777" w:rsidTr="00CA3DD2">
        <w:tc>
          <w:tcPr>
            <w:tcW w:w="3901" w:type="dxa"/>
            <w:tcBorders>
              <w:top w:val="nil"/>
            </w:tcBorders>
          </w:tcPr>
          <w:p w14:paraId="316F8630" w14:textId="77777777" w:rsidR="004F6DB1" w:rsidRPr="00610FCD" w:rsidRDefault="004F6DB1" w:rsidP="00CA3DD2">
            <w:pPr>
              <w:pStyle w:val="TableText"/>
            </w:pPr>
            <w:r w:rsidRPr="00610FCD">
              <w:t>- Death</w:t>
            </w:r>
          </w:p>
        </w:tc>
        <w:tc>
          <w:tcPr>
            <w:tcW w:w="1694" w:type="dxa"/>
            <w:tcBorders>
              <w:top w:val="nil"/>
            </w:tcBorders>
            <w:vAlign w:val="center"/>
          </w:tcPr>
          <w:p w14:paraId="1E7BABA4" w14:textId="77777777" w:rsidR="004F6DB1" w:rsidRPr="00610FCD" w:rsidRDefault="004F6DB1" w:rsidP="00CA3DD2">
            <w:pPr>
              <w:pStyle w:val="TableText"/>
              <w:jc w:val="center"/>
            </w:pPr>
            <w:r w:rsidRPr="00610FCD">
              <w:t>9 (6.4)</w:t>
            </w:r>
          </w:p>
        </w:tc>
        <w:tc>
          <w:tcPr>
            <w:tcW w:w="1679" w:type="dxa"/>
            <w:tcBorders>
              <w:top w:val="nil"/>
            </w:tcBorders>
            <w:vAlign w:val="center"/>
          </w:tcPr>
          <w:p w14:paraId="09748201" w14:textId="77777777" w:rsidR="004F6DB1" w:rsidRPr="00610FCD" w:rsidRDefault="004F6DB1" w:rsidP="00CA3DD2">
            <w:pPr>
              <w:pStyle w:val="TableText"/>
              <w:jc w:val="center"/>
            </w:pPr>
            <w:r w:rsidRPr="00610FCD">
              <w:t>6 (4.3)</w:t>
            </w:r>
          </w:p>
        </w:tc>
        <w:tc>
          <w:tcPr>
            <w:tcW w:w="1743" w:type="dxa"/>
            <w:tcBorders>
              <w:top w:val="nil"/>
            </w:tcBorders>
            <w:vAlign w:val="center"/>
          </w:tcPr>
          <w:p w14:paraId="55AC2885" w14:textId="77777777" w:rsidR="004F6DB1" w:rsidRPr="00610FCD" w:rsidRDefault="004F6DB1" w:rsidP="00CA3DD2">
            <w:pPr>
              <w:pStyle w:val="TableText"/>
              <w:jc w:val="center"/>
            </w:pPr>
            <w:r w:rsidRPr="00610FCD">
              <w:t>14/396 (3.5)</w:t>
            </w:r>
          </w:p>
        </w:tc>
      </w:tr>
      <w:tr w:rsidR="004F6DB1" w:rsidRPr="00610FCD" w14:paraId="2ED4B2BF" w14:textId="77777777" w:rsidTr="00CA3DD2">
        <w:tc>
          <w:tcPr>
            <w:tcW w:w="3901" w:type="dxa"/>
          </w:tcPr>
          <w:p w14:paraId="08E90582" w14:textId="77777777" w:rsidR="004F6DB1" w:rsidRPr="00610FCD" w:rsidRDefault="004F6DB1" w:rsidP="00CA3DD2">
            <w:pPr>
              <w:pStyle w:val="TableText"/>
            </w:pPr>
            <w:r w:rsidRPr="00610FCD">
              <w:t>Event-free survival, median (months)</w:t>
            </w:r>
          </w:p>
        </w:tc>
        <w:tc>
          <w:tcPr>
            <w:tcW w:w="1694" w:type="dxa"/>
            <w:vAlign w:val="center"/>
          </w:tcPr>
          <w:p w14:paraId="6E850EC3" w14:textId="77777777" w:rsidR="004F6DB1" w:rsidRPr="00610FCD" w:rsidRDefault="004F6DB1" w:rsidP="00CA3DD2">
            <w:pPr>
              <w:pStyle w:val="TableText"/>
              <w:jc w:val="center"/>
            </w:pPr>
            <w:r w:rsidRPr="00610FCD">
              <w:t>15.6</w:t>
            </w:r>
          </w:p>
        </w:tc>
        <w:tc>
          <w:tcPr>
            <w:tcW w:w="1679" w:type="dxa"/>
            <w:vAlign w:val="center"/>
          </w:tcPr>
          <w:p w14:paraId="01943412" w14:textId="77777777" w:rsidR="004F6DB1" w:rsidRPr="00610FCD" w:rsidRDefault="004F6DB1" w:rsidP="00CA3DD2">
            <w:pPr>
              <w:pStyle w:val="TableText"/>
              <w:jc w:val="center"/>
            </w:pPr>
            <w:r w:rsidRPr="00610FCD">
              <w:t>9.7</w:t>
            </w:r>
          </w:p>
        </w:tc>
        <w:tc>
          <w:tcPr>
            <w:tcW w:w="1743" w:type="dxa"/>
            <w:vAlign w:val="center"/>
          </w:tcPr>
          <w:p w14:paraId="2D9E594D" w14:textId="77777777" w:rsidR="004F6DB1" w:rsidRPr="00610FCD" w:rsidRDefault="004F6DB1" w:rsidP="00CA3DD2">
            <w:pPr>
              <w:pStyle w:val="TableText"/>
              <w:jc w:val="center"/>
            </w:pPr>
            <w:r w:rsidRPr="00610FCD">
              <w:t>15.9</w:t>
            </w:r>
          </w:p>
        </w:tc>
      </w:tr>
      <w:tr w:rsidR="004F6DB1" w:rsidRPr="00610FCD" w14:paraId="6E7B3538" w14:textId="77777777" w:rsidTr="00CA3DD2">
        <w:tc>
          <w:tcPr>
            <w:tcW w:w="3901" w:type="dxa"/>
          </w:tcPr>
          <w:p w14:paraId="30DA0B36" w14:textId="77777777" w:rsidR="004F6DB1" w:rsidRPr="00610FCD" w:rsidRDefault="004F6DB1" w:rsidP="00CA3DD2">
            <w:pPr>
              <w:pStyle w:val="TableText"/>
            </w:pPr>
            <w:r w:rsidRPr="00610FCD">
              <w:t>Event-free survival at 2 years (%)</w:t>
            </w:r>
          </w:p>
        </w:tc>
        <w:tc>
          <w:tcPr>
            <w:tcW w:w="1694" w:type="dxa"/>
            <w:vAlign w:val="center"/>
          </w:tcPr>
          <w:p w14:paraId="37ECF331" w14:textId="77777777" w:rsidR="004F6DB1" w:rsidRPr="00610FCD" w:rsidRDefault="004F6DB1" w:rsidP="00CA3DD2">
            <w:pPr>
              <w:pStyle w:val="TableText"/>
              <w:jc w:val="center"/>
            </w:pPr>
            <w:r w:rsidRPr="00610FCD">
              <w:t>40.8</w:t>
            </w:r>
          </w:p>
        </w:tc>
        <w:tc>
          <w:tcPr>
            <w:tcW w:w="1679" w:type="dxa"/>
            <w:vAlign w:val="center"/>
          </w:tcPr>
          <w:p w14:paraId="183A7575" w14:textId="77777777" w:rsidR="004F6DB1" w:rsidRPr="00610FCD" w:rsidRDefault="004F6DB1" w:rsidP="00CA3DD2">
            <w:pPr>
              <w:pStyle w:val="TableText"/>
              <w:jc w:val="center"/>
            </w:pPr>
            <w:r w:rsidRPr="00610FCD">
              <w:t>17.1</w:t>
            </w:r>
          </w:p>
        </w:tc>
        <w:tc>
          <w:tcPr>
            <w:tcW w:w="1743" w:type="dxa"/>
            <w:vAlign w:val="center"/>
          </w:tcPr>
          <w:p w14:paraId="15B8D2C9" w14:textId="77777777" w:rsidR="004F6DB1" w:rsidRPr="00610FCD" w:rsidRDefault="004F6DB1" w:rsidP="00CA3DD2">
            <w:pPr>
              <w:pStyle w:val="TableText"/>
              <w:jc w:val="center"/>
            </w:pPr>
            <w:r w:rsidRPr="00610FCD">
              <w:t>42.7</w:t>
            </w:r>
          </w:p>
        </w:tc>
      </w:tr>
      <w:tr w:rsidR="004F6DB1" w:rsidRPr="00610FCD" w14:paraId="7F66D9B3" w14:textId="77777777" w:rsidTr="00CA3DD2">
        <w:tc>
          <w:tcPr>
            <w:tcW w:w="3901" w:type="dxa"/>
          </w:tcPr>
          <w:p w14:paraId="07B59B23" w14:textId="77777777" w:rsidR="004F6DB1" w:rsidRPr="00610FCD" w:rsidRDefault="004F6DB1" w:rsidP="00CA3DD2">
            <w:pPr>
              <w:pStyle w:val="TableText"/>
              <w:rPr>
                <w:vertAlign w:val="superscript"/>
              </w:rPr>
            </w:pPr>
            <w:r w:rsidRPr="00610FCD">
              <w:t xml:space="preserve">Overall survival, median (months) </w:t>
            </w:r>
            <w:r w:rsidRPr="00610FCD">
              <w:rPr>
                <w:vertAlign w:val="superscript"/>
              </w:rPr>
              <w:t>c</w:t>
            </w:r>
          </w:p>
        </w:tc>
        <w:tc>
          <w:tcPr>
            <w:tcW w:w="1694" w:type="dxa"/>
            <w:vAlign w:val="center"/>
          </w:tcPr>
          <w:p w14:paraId="5D0D2F82" w14:textId="77777777" w:rsidR="004F6DB1" w:rsidRPr="00610FCD" w:rsidRDefault="004F6DB1" w:rsidP="00CA3DD2">
            <w:pPr>
              <w:pStyle w:val="TableText"/>
              <w:jc w:val="center"/>
            </w:pPr>
            <w:r w:rsidRPr="00610FCD">
              <w:t>27.5</w:t>
            </w:r>
          </w:p>
        </w:tc>
        <w:tc>
          <w:tcPr>
            <w:tcW w:w="1679" w:type="dxa"/>
            <w:vAlign w:val="center"/>
          </w:tcPr>
          <w:p w14:paraId="5DE464FE" w14:textId="77777777" w:rsidR="004F6DB1" w:rsidRPr="00610FCD" w:rsidRDefault="004F6DB1" w:rsidP="00CA3DD2">
            <w:pPr>
              <w:pStyle w:val="TableText"/>
              <w:jc w:val="center"/>
            </w:pPr>
            <w:r w:rsidRPr="00610FCD">
              <w:t>21.8</w:t>
            </w:r>
          </w:p>
        </w:tc>
        <w:tc>
          <w:tcPr>
            <w:tcW w:w="1743" w:type="dxa"/>
            <w:vAlign w:val="center"/>
          </w:tcPr>
          <w:p w14:paraId="1E034B27" w14:textId="77777777" w:rsidR="004F6DB1" w:rsidRPr="00610FCD" w:rsidRDefault="004F6DB1" w:rsidP="00CA3DD2">
            <w:pPr>
              <w:pStyle w:val="TableText"/>
              <w:jc w:val="center"/>
            </w:pPr>
            <w:r w:rsidRPr="00610FCD">
              <w:t>28.1</w:t>
            </w:r>
          </w:p>
        </w:tc>
      </w:tr>
      <w:tr w:rsidR="004F6DB1" w:rsidRPr="00610FCD" w14:paraId="4913943B" w14:textId="77777777" w:rsidTr="00CA3DD2">
        <w:tc>
          <w:tcPr>
            <w:tcW w:w="3901" w:type="dxa"/>
          </w:tcPr>
          <w:p w14:paraId="27BAB39F" w14:textId="77777777" w:rsidR="004F6DB1" w:rsidRPr="00610FCD" w:rsidRDefault="004F6DB1" w:rsidP="00CA3DD2">
            <w:pPr>
              <w:pStyle w:val="TableText"/>
            </w:pPr>
            <w:r w:rsidRPr="00610FCD">
              <w:t>Overall survival at 2 years (%)</w:t>
            </w:r>
          </w:p>
        </w:tc>
        <w:tc>
          <w:tcPr>
            <w:tcW w:w="1694" w:type="dxa"/>
            <w:vAlign w:val="center"/>
          </w:tcPr>
          <w:p w14:paraId="40899D86" w14:textId="77777777" w:rsidR="004F6DB1" w:rsidRPr="00610FCD" w:rsidRDefault="004F6DB1" w:rsidP="00CA3DD2">
            <w:pPr>
              <w:pStyle w:val="TableText"/>
              <w:jc w:val="center"/>
            </w:pPr>
            <w:r w:rsidRPr="00610FCD">
              <w:t>53.2</w:t>
            </w:r>
          </w:p>
        </w:tc>
        <w:tc>
          <w:tcPr>
            <w:tcW w:w="1679" w:type="dxa"/>
            <w:vAlign w:val="center"/>
          </w:tcPr>
          <w:p w14:paraId="7A6CF172" w14:textId="77777777" w:rsidR="004F6DB1" w:rsidRPr="00610FCD" w:rsidRDefault="004F6DB1" w:rsidP="00CA3DD2">
            <w:pPr>
              <w:pStyle w:val="TableText"/>
              <w:jc w:val="center"/>
            </w:pPr>
            <w:r w:rsidRPr="00610FCD">
              <w:t>41.9</w:t>
            </w:r>
          </w:p>
        </w:tc>
        <w:tc>
          <w:tcPr>
            <w:tcW w:w="1743" w:type="dxa"/>
            <w:vAlign w:val="center"/>
          </w:tcPr>
          <w:p w14:paraId="4077A577" w14:textId="77777777" w:rsidR="004F6DB1" w:rsidRPr="00610FCD" w:rsidRDefault="004F6DB1" w:rsidP="00CA3DD2">
            <w:pPr>
              <w:pStyle w:val="TableText"/>
              <w:jc w:val="center"/>
            </w:pPr>
            <w:r w:rsidRPr="00610FCD">
              <w:t>53.5</w:t>
            </w:r>
          </w:p>
        </w:tc>
      </w:tr>
    </w:tbl>
    <w:p w14:paraId="0F2A78A6" w14:textId="77777777" w:rsidR="004F6DB1" w:rsidRDefault="004F6DB1" w:rsidP="004F6DB1">
      <w:pPr>
        <w:pStyle w:val="TableFooter"/>
      </w:pPr>
      <w:r w:rsidRPr="00610FCD">
        <w:t xml:space="preserve">Source: Table 14 of the ALLG NBCR 2020 </w:t>
      </w:r>
      <w:r w:rsidR="005C52AB">
        <w:t>R</w:t>
      </w:r>
      <w:r w:rsidRPr="00610FCD">
        <w:t>eport</w:t>
      </w:r>
    </w:p>
    <w:p w14:paraId="6B632A48" w14:textId="77777777" w:rsidR="00E631F7" w:rsidRPr="00610FCD" w:rsidRDefault="0076744D" w:rsidP="004F6DB1">
      <w:pPr>
        <w:pStyle w:val="TableFooter"/>
      </w:pPr>
      <w:r>
        <w:t xml:space="preserve">CR/CRp, complete remission with or without partial haematological recovery; </w:t>
      </w:r>
      <w:r w:rsidR="00ED68F6">
        <w:t xml:space="preserve">ELN, European LeukemiaNet; HSCT, haematopoietic stem cell transplant; </w:t>
      </w:r>
      <w:r w:rsidR="00E631F7">
        <w:t>IQR, interquartile range</w:t>
      </w:r>
      <w:r w:rsidR="00340BC1">
        <w:t xml:space="preserve">; NCCN, National </w:t>
      </w:r>
      <w:r w:rsidR="00ED68F6">
        <w:t xml:space="preserve">Comprehensive Cancer Network; </w:t>
      </w:r>
      <w:r w:rsidR="00340BC1">
        <w:t>WBC, white blood cell</w:t>
      </w:r>
    </w:p>
    <w:p w14:paraId="5659EBEA" w14:textId="77777777" w:rsidR="004F6DB1" w:rsidRPr="00610FCD" w:rsidRDefault="004F6DB1" w:rsidP="004F6DB1">
      <w:pPr>
        <w:pStyle w:val="TableFooter"/>
      </w:pPr>
      <w:r w:rsidRPr="00610FCD">
        <w:rPr>
          <w:vertAlign w:val="superscript"/>
        </w:rPr>
        <w:t>a</w:t>
      </w:r>
      <w:r w:rsidRPr="00610FCD">
        <w:t xml:space="preserve"> Based on the ITT population analysed in the Castaigne 2012 publication (N=278). The mITT population in the resubmission was based on a slightly smaller population (N=271) due to attrition of data after transfer from the original trial sponsor to current sponsor. </w:t>
      </w:r>
    </w:p>
    <w:p w14:paraId="52BC4F3E" w14:textId="77777777" w:rsidR="004F6DB1" w:rsidRPr="00610FCD" w:rsidRDefault="004F6DB1" w:rsidP="004F6DB1">
      <w:pPr>
        <w:pStyle w:val="TableFooter"/>
      </w:pPr>
      <w:r w:rsidRPr="00610FCD">
        <w:rPr>
          <w:vertAlign w:val="superscript"/>
        </w:rPr>
        <w:t>b</w:t>
      </w:r>
      <w:r w:rsidRPr="00610FCD">
        <w:t xml:space="preserve"> Distribution excludes patients with unknown cytogenetic risk</w:t>
      </w:r>
      <w:r w:rsidR="00AF76A2">
        <w:t>.</w:t>
      </w:r>
    </w:p>
    <w:p w14:paraId="27E48562" w14:textId="70AD20C5" w:rsidR="00AF76A2" w:rsidRPr="00610FCD" w:rsidRDefault="004F6DB1" w:rsidP="004F6DB1">
      <w:pPr>
        <w:pStyle w:val="TableFooter"/>
      </w:pPr>
      <w:r w:rsidRPr="00610FCD">
        <w:rPr>
          <w:vertAlign w:val="superscript"/>
        </w:rPr>
        <w:t>c</w:t>
      </w:r>
      <w:r w:rsidRPr="00610FCD">
        <w:t xml:space="preserve"> Median overall survival for ALFA-0701 cohort was based on the updated analysis, April 2013 cut off (Lambert 2019 publication)</w:t>
      </w:r>
      <w:r w:rsidR="00AF76A2">
        <w:t>.</w:t>
      </w:r>
    </w:p>
    <w:p w14:paraId="04DDC371" w14:textId="77777777" w:rsidR="007A51D6" w:rsidRPr="00610FCD" w:rsidRDefault="004F6DB1" w:rsidP="00D938B0">
      <w:pPr>
        <w:pStyle w:val="ExecSumBodyText"/>
      </w:pPr>
      <w:r w:rsidRPr="00610FCD">
        <w:t>The study authors noted that baseline median age, cytogenetic and molecular characteristics were similar between the two cohorts.</w:t>
      </w:r>
    </w:p>
    <w:p w14:paraId="4A9F7A6D" w14:textId="77777777" w:rsidR="004F6DB1" w:rsidRPr="00610FCD" w:rsidRDefault="004F6DB1" w:rsidP="00D938B0">
      <w:pPr>
        <w:pStyle w:val="ExecSumBodyText"/>
      </w:pPr>
      <w:r w:rsidRPr="00610FCD">
        <w:t>In terms of outcomes, results in the gemtuzumab arm of the ALFA-0701 trial were similar to the NBCR cohort. The control arm of the ALFA-0701 trial appeared to have similar rates of treatment response but poorer event-free survival and overall survival compared to the gemtuzumab arm and the NBCR cohort. The study authors claimed a number of factors may have contributed to improved outcomes in the NBCR cohort including a higher rate of HSCT in first remission and differing induction and consolidation backbones used in the two cohorts. In the ALLG NBCR cohort, idarubicin was the dominant anthracycline (93%) used in induction, compared to daunorubicin in the ALFA-0701 trial. During consolidation, high dose cytarabine (≥2 g/m</w:t>
      </w:r>
      <w:r w:rsidRPr="003415E6">
        <w:rPr>
          <w:vertAlign w:val="superscript"/>
        </w:rPr>
        <w:t>2</w:t>
      </w:r>
      <w:r w:rsidRPr="00610FCD">
        <w:t>) was used in 17% of the NBCR cohort, compared to intermediate dose cytarabine (≥1 g/m</w:t>
      </w:r>
      <w:r w:rsidRPr="003415E6">
        <w:rPr>
          <w:vertAlign w:val="superscript"/>
        </w:rPr>
        <w:t>2</w:t>
      </w:r>
      <w:r w:rsidRPr="00610FCD">
        <w:t xml:space="preserve">) plus daunorubicin in the ALFA-0701 trial. </w:t>
      </w:r>
    </w:p>
    <w:p w14:paraId="63288029" w14:textId="77777777" w:rsidR="00544432" w:rsidRPr="00432FC3" w:rsidRDefault="00475A95" w:rsidP="00544432">
      <w:pPr>
        <w:pStyle w:val="ExecSumBodyText"/>
      </w:pPr>
      <w:r w:rsidRPr="00610FCD">
        <w:t xml:space="preserve">The </w:t>
      </w:r>
      <w:r w:rsidRPr="00432FC3">
        <w:t>resubmission</w:t>
      </w:r>
      <w:r w:rsidR="00544432" w:rsidRPr="00432FC3">
        <w:t xml:space="preserve"> and PSCR</w:t>
      </w:r>
      <w:r w:rsidRPr="00432FC3">
        <w:t xml:space="preserve"> claimed that differences in treatment regimens (i.e. backbone chemotherapy and consolidation regimens) and subsequent therapies including HSCT are unlikely to have an effect on the applicability of the trial to the PBS population. </w:t>
      </w:r>
      <w:r w:rsidR="00A2686A">
        <w:t xml:space="preserve"> The pre-PBAC response further noted that a recent advisory board meeting held by the sponsor had discussed the data, noting that there is follow up bias in registries due to incomplete data, and so the data should be interpreted with caution.</w:t>
      </w:r>
    </w:p>
    <w:p w14:paraId="23C9998F" w14:textId="77777777" w:rsidR="00B60939" w:rsidRPr="00610FCD" w:rsidRDefault="00B60939" w:rsidP="00D86231">
      <w:pPr>
        <w:pStyle w:val="3-SubsectionHeading"/>
      </w:pPr>
      <w:bookmarkStart w:id="23" w:name="_Toc22897642"/>
      <w:bookmarkStart w:id="24" w:name="_Toc82591341"/>
      <w:r w:rsidRPr="00610FCD">
        <w:t>Comparative harms</w:t>
      </w:r>
      <w:bookmarkEnd w:id="23"/>
      <w:bookmarkEnd w:id="24"/>
    </w:p>
    <w:p w14:paraId="0814D5AC" w14:textId="77777777" w:rsidR="006D78F4" w:rsidRPr="00610FCD" w:rsidRDefault="00AB200C" w:rsidP="006D78F4">
      <w:pPr>
        <w:pStyle w:val="ExecSumBodyText"/>
      </w:pPr>
      <w:r w:rsidRPr="00610FCD">
        <w:t xml:space="preserve">The incidence of any serious adverse event </w:t>
      </w:r>
      <w:r w:rsidR="00355BE0" w:rsidRPr="00610FCD">
        <w:t xml:space="preserve">was higher in the gemtuzumab arm compared with the control arm. The most common serious adverse events that were more frequent in the gemtuzumab arm were thrombocytopaenia, febrile bone marrow aplasia, bacterial sepsis, acute kidney injury, </w:t>
      </w:r>
      <w:r w:rsidR="007B1379" w:rsidRPr="00610FCD">
        <w:t>VOD,</w:t>
      </w:r>
      <w:r w:rsidR="00355BE0" w:rsidRPr="00610FCD">
        <w:t xml:space="preserve"> and hepatocellular injury.</w:t>
      </w:r>
    </w:p>
    <w:p w14:paraId="2255EF58" w14:textId="77777777" w:rsidR="00C9291E" w:rsidRPr="00610FCD" w:rsidRDefault="00C9291E" w:rsidP="00C9291E">
      <w:pPr>
        <w:pStyle w:val="ExecSumBodyText"/>
      </w:pPr>
      <w:r w:rsidRPr="00610FCD">
        <w:t xml:space="preserve">Treatment-related deaths were identified based on the serious adverse events retrospective analysis and fatal events (or infection events indicating study withdrawal) considered related to study treatments. The most common fatal adverse events were haemorrhage, </w:t>
      </w:r>
      <w:r w:rsidR="007B1379" w:rsidRPr="00610FCD">
        <w:t>sepsis,</w:t>
      </w:r>
      <w:r w:rsidRPr="00610FCD">
        <w:t xml:space="preserve"> and VOD/liver toxicity. There were more treatment-related deaths in the gemtuzumab arm (n=7, 5.3%) compared with the control arm (n=5, 3.6%), most of them occurring during the induction phase. </w:t>
      </w:r>
    </w:p>
    <w:p w14:paraId="55CBBDDD" w14:textId="77777777" w:rsidR="00D118FA" w:rsidRPr="00610FCD" w:rsidRDefault="00D118FA" w:rsidP="00D118FA">
      <w:pPr>
        <w:pStyle w:val="ExecSumBodyText"/>
      </w:pPr>
      <w:r w:rsidRPr="00610FCD">
        <w:t>More patients in the gemtuzumab arm had unplanned hospitalisations (including re-admission or prolonged stay due to adverse events, n=58, 44.3%) compared with the control arm (n=48, 35.0%), with the difference observed in both the induction and consolidation 1 treatment phases.</w:t>
      </w:r>
    </w:p>
    <w:p w14:paraId="043F9849" w14:textId="77777777" w:rsidR="008852D1" w:rsidRPr="00610FCD" w:rsidRDefault="00001CB8" w:rsidP="008852D1">
      <w:pPr>
        <w:pStyle w:val="ExecSumBodyText"/>
      </w:pPr>
      <w:r w:rsidRPr="00610FCD">
        <w:t>T</w:t>
      </w:r>
      <w:r w:rsidR="008852D1" w:rsidRPr="00610FCD">
        <w:t>he majority of patients in both treatment arms required at least one platelet transfusion and one red blood cell transfusion. Mean red blood cell transfusions were similar between treatments (15.3 versus 14.3 in gemtuzumab and control arms, respectively), while platelet infusions were higher in the gemtuzumab arm (25.8) than the control arm (12.6). This difference was observed across all phases of treatment.</w:t>
      </w:r>
    </w:p>
    <w:p w14:paraId="16C1E98F" w14:textId="77777777" w:rsidR="006D78F4" w:rsidRPr="00610FCD" w:rsidRDefault="006D78F4" w:rsidP="008852D1">
      <w:pPr>
        <w:pStyle w:val="ExecSumBodyText"/>
      </w:pPr>
      <w:r w:rsidRPr="00610FCD">
        <w:t xml:space="preserve">The resubmission presented the incidence of any serious adverse event in the subgroup with favourable/intermediate/unknown cytogenetic risk. The frequency of serious adverse events was higher in the gemtuzumab arm (69.5%) compared to the control arm (55.7%). </w:t>
      </w:r>
    </w:p>
    <w:p w14:paraId="2829DFE7" w14:textId="77777777" w:rsidR="005C7DA4" w:rsidRPr="00610FCD" w:rsidRDefault="00D10090" w:rsidP="00D86231">
      <w:pPr>
        <w:pStyle w:val="ExecSumBodyText"/>
      </w:pPr>
      <w:r w:rsidRPr="00610FCD">
        <w:t xml:space="preserve">The resubmission presented an expanded assessment of harms for gemtuzumab. </w:t>
      </w:r>
      <w:r w:rsidR="00001CB8" w:rsidRPr="00610FCD">
        <w:t>Important identified risks were severe (Grade ≥3) and/or serious hepatotoxicity including VOD/sinusoidal obstruction syndrome (SOS), myelosuppression (severe [Grade ≥3] and/or serious infection and haemorrhage), tumour lysis syndrome, and infusion-related reactions (including anaphylaxis) from start of infusion to within 24 hours of end of infusion. Important potential risks were renal toxicity, reproductive and developmental toxicity (post exposure during pregnancy, including breastfeeding), neurotoxicity, second primary malignancy, immunogenicity, and off-label use in paediatric patients. Missing information included use in patients with severe hepatic impairment, use in patients with severe renal impairment and effect on cardiac conduction. During the reporting interval, no new safety information was identified.</w:t>
      </w:r>
    </w:p>
    <w:p w14:paraId="697F694C" w14:textId="77777777" w:rsidR="007F1017" w:rsidRPr="00610FCD" w:rsidRDefault="007F1017" w:rsidP="00D86231">
      <w:pPr>
        <w:pStyle w:val="3-SubsectionHeading"/>
      </w:pPr>
      <w:bookmarkStart w:id="25" w:name="_Toc22897643"/>
      <w:bookmarkStart w:id="26" w:name="_Toc82591342"/>
      <w:r w:rsidRPr="00610FCD">
        <w:t>Benefits/harms</w:t>
      </w:r>
      <w:bookmarkEnd w:id="25"/>
      <w:bookmarkEnd w:id="26"/>
    </w:p>
    <w:p w14:paraId="57F77448" w14:textId="77777777" w:rsidR="00347C5E" w:rsidRPr="00610FCD" w:rsidRDefault="00347C5E" w:rsidP="00347C5E">
      <w:pPr>
        <w:pStyle w:val="ExecSumBodyText"/>
      </w:pPr>
      <w:r w:rsidRPr="00610FCD">
        <w:t xml:space="preserve">On the basis of direct evidence presented in the </w:t>
      </w:r>
      <w:r w:rsidR="008E50E6" w:rsidRPr="00610FCD">
        <w:t>re</w:t>
      </w:r>
      <w:r w:rsidRPr="00610FCD">
        <w:t>submission (ALFA-0701 whole trial population), after approximately 4 years, patients treated with gemtuzumab with standard intensive chemotherapy compared to standard intensive chemotherapy alone have:</w:t>
      </w:r>
    </w:p>
    <w:p w14:paraId="4B34C8AB" w14:textId="77777777" w:rsidR="00347C5E" w:rsidRPr="00610FCD" w:rsidRDefault="00347C5E" w:rsidP="00561C6A">
      <w:pPr>
        <w:pStyle w:val="ExecSumBodyText"/>
        <w:numPr>
          <w:ilvl w:val="0"/>
          <w:numId w:val="8"/>
        </w:numPr>
        <w:spacing w:after="0"/>
        <w:ind w:left="1077" w:hanging="357"/>
      </w:pPr>
      <w:r w:rsidRPr="00610FCD">
        <w:t>No apparent difference in response rates;</w:t>
      </w:r>
    </w:p>
    <w:p w14:paraId="43033225" w14:textId="77777777" w:rsidR="00347C5E" w:rsidRPr="00610FCD" w:rsidRDefault="00347C5E" w:rsidP="00561C6A">
      <w:pPr>
        <w:pStyle w:val="ExecSumBodyText"/>
        <w:numPr>
          <w:ilvl w:val="0"/>
          <w:numId w:val="8"/>
        </w:numPr>
        <w:spacing w:after="0"/>
        <w:ind w:left="1077" w:hanging="357"/>
      </w:pPr>
      <w:r w:rsidRPr="00610FCD" w:rsidDel="008B2372">
        <w:t xml:space="preserve">Longer event-free survival of </w:t>
      </w:r>
      <w:r w:rsidRPr="00610FCD">
        <w:t xml:space="preserve">approximately </w:t>
      </w:r>
      <w:r w:rsidRPr="00610FCD" w:rsidDel="008B2372">
        <w:t>5.7 months;</w:t>
      </w:r>
    </w:p>
    <w:p w14:paraId="6CA7901A" w14:textId="77777777" w:rsidR="00347C5E" w:rsidRPr="00610FCD" w:rsidRDefault="00347C5E" w:rsidP="00561C6A">
      <w:pPr>
        <w:pStyle w:val="ExecSumBodyText"/>
        <w:numPr>
          <w:ilvl w:val="0"/>
          <w:numId w:val="8"/>
        </w:numPr>
      </w:pPr>
      <w:r w:rsidRPr="00610FCD">
        <w:t>No apparent difference in overall survival.</w:t>
      </w:r>
    </w:p>
    <w:p w14:paraId="73502D67" w14:textId="77777777" w:rsidR="00347C5E" w:rsidRPr="00610FCD" w:rsidRDefault="00347C5E" w:rsidP="00347C5E">
      <w:pPr>
        <w:pStyle w:val="ExecSumBodyText"/>
      </w:pPr>
      <w:r w:rsidRPr="00610FCD">
        <w:t xml:space="preserve">On the basis of direct evidence presented in the </w:t>
      </w:r>
      <w:r w:rsidR="008E50E6" w:rsidRPr="00610FCD">
        <w:t>re</w:t>
      </w:r>
      <w:r w:rsidRPr="00610FCD">
        <w:t>submission (ALFA-0701 whole trial population), over a median duration of follow-up of approximately 4 years, for every 100 patients treated with gemtuzumab with standard intensive chemotherapy compared to standard intensive chemotherapy alone:</w:t>
      </w:r>
    </w:p>
    <w:p w14:paraId="65EAC146" w14:textId="77777777" w:rsidR="00347C5E" w:rsidRPr="00610FCD" w:rsidRDefault="00347C5E" w:rsidP="00561C6A">
      <w:pPr>
        <w:pStyle w:val="ExecSumBodyText"/>
        <w:numPr>
          <w:ilvl w:val="0"/>
          <w:numId w:val="9"/>
        </w:numPr>
        <w:spacing w:after="0"/>
        <w:ind w:left="1077" w:hanging="357"/>
      </w:pPr>
      <w:r w:rsidRPr="00610FCD">
        <w:t xml:space="preserve">Approximately 12 additional patients would experience a serious adverse event that is life-threatening or requires hospitalisation; </w:t>
      </w:r>
    </w:p>
    <w:p w14:paraId="7A059A2E" w14:textId="77777777" w:rsidR="00347C5E" w:rsidRPr="00610FCD" w:rsidRDefault="00347C5E" w:rsidP="00561C6A">
      <w:pPr>
        <w:pStyle w:val="ExecSumBodyText"/>
        <w:numPr>
          <w:ilvl w:val="0"/>
          <w:numId w:val="9"/>
        </w:numPr>
        <w:spacing w:after="0"/>
        <w:ind w:left="1077" w:hanging="357"/>
      </w:pPr>
      <w:r w:rsidRPr="00610FCD">
        <w:t xml:space="preserve">There </w:t>
      </w:r>
      <w:r w:rsidR="00247314">
        <w:t>would</w:t>
      </w:r>
      <w:r w:rsidR="00247314" w:rsidRPr="00610FCD">
        <w:t xml:space="preserve"> </w:t>
      </w:r>
      <w:r w:rsidRPr="00610FCD">
        <w:t>be a similar incidence of severe infections;</w:t>
      </w:r>
    </w:p>
    <w:p w14:paraId="43F8CB4D" w14:textId="77777777" w:rsidR="00347C5E" w:rsidRPr="00610FCD" w:rsidRDefault="00347C5E" w:rsidP="00561C6A">
      <w:pPr>
        <w:pStyle w:val="ExecSumBodyText"/>
        <w:numPr>
          <w:ilvl w:val="0"/>
          <w:numId w:val="9"/>
        </w:numPr>
        <w:spacing w:after="0"/>
        <w:ind w:left="1077" w:hanging="357"/>
      </w:pPr>
      <w:r w:rsidRPr="00610FCD">
        <w:t>Approximately 12 additional patients would experience a severe haemorrhage (blood loss) and 2 additional patients would die from haemorrhage</w:t>
      </w:r>
      <w:r w:rsidR="00D33F6F">
        <w:t>;</w:t>
      </w:r>
    </w:p>
    <w:p w14:paraId="3A9C14BA" w14:textId="77777777" w:rsidR="00347C5E" w:rsidRPr="00610FCD" w:rsidRDefault="00347C5E" w:rsidP="00561C6A">
      <w:pPr>
        <w:pStyle w:val="ExecSumBodyText"/>
        <w:numPr>
          <w:ilvl w:val="0"/>
          <w:numId w:val="9"/>
        </w:numPr>
      </w:pPr>
      <w:r w:rsidRPr="00610FCD">
        <w:t>Approximately 2 additional patients would experience severe veno-occlusive disease (blocked veins in the liver that may lead to liver damage), and 2 additional patients would die from veno-occlusive disease.</w:t>
      </w:r>
    </w:p>
    <w:p w14:paraId="10D3EF8D" w14:textId="77777777" w:rsidR="00347C5E" w:rsidRPr="00610FCD" w:rsidRDefault="00347C5E" w:rsidP="00347C5E">
      <w:pPr>
        <w:pStyle w:val="ExecSumBodyText"/>
      </w:pPr>
      <w:r w:rsidRPr="00610FCD">
        <w:t xml:space="preserve">On the basis of direct evidence presented </w:t>
      </w:r>
      <w:r w:rsidR="008B395E">
        <w:t>in</w:t>
      </w:r>
      <w:r w:rsidR="008B395E" w:rsidRPr="00610FCD">
        <w:t xml:space="preserve"> </w:t>
      </w:r>
      <w:r w:rsidRPr="00610FCD">
        <w:t xml:space="preserve">the </w:t>
      </w:r>
      <w:r w:rsidR="008E50E6" w:rsidRPr="00610FCD">
        <w:t>re</w:t>
      </w:r>
      <w:r w:rsidRPr="00610FCD">
        <w:t>submission (ALFA-0701) in the subgroup of patients with favourable, intermediate or unknown cytogenetic risk (the requested PBS population), patients treated with gemtuzumab with standard intensive chemotherapy compared to standard intensive chemotherapy alone have:</w:t>
      </w:r>
    </w:p>
    <w:p w14:paraId="2D99AEBE" w14:textId="77777777" w:rsidR="00347C5E" w:rsidRPr="00610FCD" w:rsidRDefault="00347C5E" w:rsidP="00561C6A">
      <w:pPr>
        <w:pStyle w:val="ExecSumBodyText"/>
        <w:numPr>
          <w:ilvl w:val="0"/>
          <w:numId w:val="10"/>
        </w:numPr>
        <w:spacing w:after="0"/>
        <w:ind w:left="1077" w:hanging="357"/>
      </w:pPr>
      <w:r w:rsidRPr="00610FCD">
        <w:t>No apparent difference in response rates;</w:t>
      </w:r>
    </w:p>
    <w:p w14:paraId="7BD1838A" w14:textId="77777777" w:rsidR="00814556" w:rsidRPr="00610FCD" w:rsidRDefault="00347C5E" w:rsidP="00561C6A">
      <w:pPr>
        <w:pStyle w:val="ExecSumBodyText"/>
        <w:numPr>
          <w:ilvl w:val="0"/>
          <w:numId w:val="10"/>
        </w:numPr>
        <w:ind w:left="1077" w:hanging="357"/>
      </w:pPr>
      <w:r w:rsidRPr="00610FCD">
        <w:t>Longer event-free survival of 7.2 months</w:t>
      </w:r>
      <w:r w:rsidR="00840594" w:rsidRPr="00610FCD">
        <w:t>.</w:t>
      </w:r>
    </w:p>
    <w:p w14:paraId="2FB04124" w14:textId="77777777" w:rsidR="0054206D" w:rsidRDefault="0054206D" w:rsidP="0054206D">
      <w:pPr>
        <w:pStyle w:val="ExecSumBodyText"/>
      </w:pPr>
      <w:r w:rsidRPr="00FB1983">
        <w:t xml:space="preserve">The PBAC </w:t>
      </w:r>
      <w:r w:rsidR="009C0B2E">
        <w:t xml:space="preserve">had </w:t>
      </w:r>
      <w:r w:rsidRPr="00FB1983">
        <w:t xml:space="preserve">previously considered </w:t>
      </w:r>
      <w:r w:rsidR="009C0B2E">
        <w:t xml:space="preserve">that </w:t>
      </w:r>
      <w:r w:rsidRPr="00FB1983">
        <w:t>overall survival results in the favourable/ intermediate/unknown cytogenetic risk subgroup were difficult to interpret (</w:t>
      </w:r>
      <w:r w:rsidRPr="00FB1983">
        <w:rPr>
          <w:iCs/>
        </w:rPr>
        <w:t>para 7.7, gemtuzumab PSD, March 2021 PBAC meeting).</w:t>
      </w:r>
    </w:p>
    <w:p w14:paraId="17BFCD3C" w14:textId="77777777" w:rsidR="00B60939" w:rsidRPr="00610FCD" w:rsidRDefault="00B60939" w:rsidP="00E9094A">
      <w:pPr>
        <w:pStyle w:val="3-SubsectionHeading"/>
      </w:pPr>
      <w:bookmarkStart w:id="27" w:name="_Toc22897644"/>
      <w:bookmarkStart w:id="28" w:name="_Toc82591343"/>
      <w:r w:rsidRPr="00610FCD">
        <w:t>Clinical claim</w:t>
      </w:r>
      <w:bookmarkEnd w:id="27"/>
      <w:bookmarkEnd w:id="28"/>
    </w:p>
    <w:p w14:paraId="34313164" w14:textId="77777777" w:rsidR="007C70FF" w:rsidRPr="00610FCD" w:rsidRDefault="007F3AED" w:rsidP="00E9094A">
      <w:pPr>
        <w:pStyle w:val="ExecSumBodyText"/>
      </w:pPr>
      <w:r w:rsidRPr="00610FCD">
        <w:t xml:space="preserve">The resubmission described gemtuzumab as superior in terms of </w:t>
      </w:r>
      <w:r w:rsidR="00A458FF">
        <w:t>effectiveness</w:t>
      </w:r>
      <w:r w:rsidR="00A458FF" w:rsidRPr="00610FCD">
        <w:t xml:space="preserve"> </w:t>
      </w:r>
      <w:r w:rsidRPr="00610FCD">
        <w:t xml:space="preserve">compared to standard of care. </w:t>
      </w:r>
    </w:p>
    <w:p w14:paraId="5E40A4D0" w14:textId="77777777" w:rsidR="00726FE0" w:rsidRPr="00FB1983" w:rsidRDefault="007F3AED" w:rsidP="00C941A7">
      <w:pPr>
        <w:pStyle w:val="ExecSumBodyText"/>
        <w:rPr>
          <w:iCs/>
        </w:rPr>
      </w:pPr>
      <w:r w:rsidRPr="00FB1983">
        <w:rPr>
          <w:iCs/>
        </w:rPr>
        <w:t xml:space="preserve">The PBAC </w:t>
      </w:r>
      <w:r w:rsidR="009C0B2E">
        <w:rPr>
          <w:iCs/>
        </w:rPr>
        <w:t xml:space="preserve">had </w:t>
      </w:r>
      <w:r w:rsidRPr="00FB1983">
        <w:rPr>
          <w:iCs/>
        </w:rPr>
        <w:t xml:space="preserve">previously considered that the claim of superior comparative </w:t>
      </w:r>
      <w:r w:rsidR="00CA3EBD">
        <w:rPr>
          <w:iCs/>
        </w:rPr>
        <w:t>effectiveness</w:t>
      </w:r>
      <w:r w:rsidR="00CA3EBD" w:rsidRPr="00FB1983">
        <w:rPr>
          <w:iCs/>
        </w:rPr>
        <w:t xml:space="preserve"> </w:t>
      </w:r>
      <w:r w:rsidRPr="00FB1983">
        <w:rPr>
          <w:iCs/>
        </w:rPr>
        <w:t xml:space="preserve">was reasonable in terms of event-free survival in both the mITT and the favourable/intermediate/unknown cytogenetic risk subgroup. In terms of overall survival, the PBAC considered that the clinical claim of superior </w:t>
      </w:r>
      <w:r w:rsidR="00CA3EBD">
        <w:rPr>
          <w:iCs/>
        </w:rPr>
        <w:t>effectiveness</w:t>
      </w:r>
      <w:r w:rsidR="00CA3EBD" w:rsidRPr="00FB1983">
        <w:rPr>
          <w:iCs/>
        </w:rPr>
        <w:t xml:space="preserve"> </w:t>
      </w:r>
      <w:r w:rsidRPr="00FB1983">
        <w:rPr>
          <w:iCs/>
        </w:rPr>
        <w:t>was not supported (para 7.10, gemtuzumab PSD, March 2021 PBAC meeting).</w:t>
      </w:r>
    </w:p>
    <w:p w14:paraId="70FFB772" w14:textId="77777777" w:rsidR="00C4742B" w:rsidRPr="00610FCD" w:rsidRDefault="008731D9" w:rsidP="00C941A7">
      <w:pPr>
        <w:pStyle w:val="ExecSumBodyText"/>
      </w:pPr>
      <w:r w:rsidRPr="00610FCD">
        <w:t xml:space="preserve">The resubmission provided additional treatment effect estimates and conducted multiple interaction tests to provide additional certainty on the magnitude of treatment benefit in the subgroup with favourable/intermediate/unknown cytogenetic risk. </w:t>
      </w:r>
      <w:r w:rsidR="00B911FE" w:rsidRPr="00FB1983">
        <w:rPr>
          <w:iCs/>
        </w:rPr>
        <w:t xml:space="preserve">The data were difficult to interpret and were limited given the large number of analyses conducted that were not adjusted for multiplicity. </w:t>
      </w:r>
    </w:p>
    <w:p w14:paraId="1D2D823C" w14:textId="77777777" w:rsidR="00C4742B" w:rsidRPr="00FB1983" w:rsidRDefault="001A42DF" w:rsidP="00C4742B">
      <w:pPr>
        <w:pStyle w:val="ExecSumBodyText"/>
        <w:rPr>
          <w:iCs/>
        </w:rPr>
      </w:pPr>
      <w:r>
        <w:rPr>
          <w:iCs/>
        </w:rPr>
        <w:t>The evaluation remained</w:t>
      </w:r>
      <w:r w:rsidR="00C4742B" w:rsidRPr="00FB1983">
        <w:rPr>
          <w:iCs/>
        </w:rPr>
        <w:t xml:space="preserve"> concern</w:t>
      </w:r>
      <w:r>
        <w:rPr>
          <w:iCs/>
        </w:rPr>
        <w:t>ed</w:t>
      </w:r>
      <w:r w:rsidR="00C4742B" w:rsidRPr="00FB1983">
        <w:rPr>
          <w:iCs/>
        </w:rPr>
        <w:t xml:space="preserve"> with the applicability of the magnitude of benefit observed in the trial to the PBS population. New data based on a matched Australian cohort in the ALLG NBCR registry suggest</w:t>
      </w:r>
      <w:r w:rsidR="00EF52D5" w:rsidRPr="00FB1983">
        <w:rPr>
          <w:iCs/>
        </w:rPr>
        <w:t>ed</w:t>
      </w:r>
      <w:r w:rsidR="00C4742B" w:rsidRPr="00FB1983">
        <w:rPr>
          <w:iCs/>
        </w:rPr>
        <w:t xml:space="preserve"> patients receiving standard of care achieved similar </w:t>
      </w:r>
      <w:r w:rsidR="00EF52D5" w:rsidRPr="00FB1983">
        <w:rPr>
          <w:iCs/>
        </w:rPr>
        <w:t xml:space="preserve">event-free survival </w:t>
      </w:r>
      <w:r w:rsidR="00C4742B" w:rsidRPr="00FB1983">
        <w:rPr>
          <w:iCs/>
        </w:rPr>
        <w:t xml:space="preserve">and overall survival at 2 years compared to the gemtuzumab arm in the ALFA-0701 trial. </w:t>
      </w:r>
    </w:p>
    <w:p w14:paraId="75E9E7F9" w14:textId="77777777" w:rsidR="00920666" w:rsidRPr="00FB1983" w:rsidRDefault="00920666" w:rsidP="00E9094A">
      <w:pPr>
        <w:pStyle w:val="ExecSumBodyText"/>
        <w:rPr>
          <w:iCs/>
        </w:rPr>
      </w:pPr>
      <w:r w:rsidRPr="00FB1983">
        <w:rPr>
          <w:iCs/>
        </w:rPr>
        <w:t>The PBAC</w:t>
      </w:r>
      <w:r w:rsidR="001A42DF">
        <w:rPr>
          <w:iCs/>
        </w:rPr>
        <w:t xml:space="preserve"> had</w:t>
      </w:r>
      <w:r w:rsidRPr="00FB1983">
        <w:rPr>
          <w:iCs/>
        </w:rPr>
        <w:t xml:space="preserve"> previously considered that there were no data provided to support long-term survival benefit in the proposed </w:t>
      </w:r>
      <w:r w:rsidR="00FD2BAA" w:rsidRPr="00FB1983">
        <w:rPr>
          <w:iCs/>
        </w:rPr>
        <w:t>population. The PBAC considered a study by Breems 2005 claiming that increased length of remission is positively correlated with overall survival, however, the same study also identified three other clinically relevant parameters linked to overall survival (cytogenetic profile, age at relapse an</w:t>
      </w:r>
      <w:r w:rsidR="001D1AF7" w:rsidRPr="00FB1983">
        <w:rPr>
          <w:iCs/>
        </w:rPr>
        <w:t>d</w:t>
      </w:r>
      <w:r w:rsidR="00FD2BAA" w:rsidRPr="00FB1983">
        <w:rPr>
          <w:iCs/>
        </w:rPr>
        <w:t xml:space="preserve"> prior HSCT). </w:t>
      </w:r>
      <w:r w:rsidR="001D1AF7" w:rsidRPr="00FB1983">
        <w:rPr>
          <w:iCs/>
        </w:rPr>
        <w:t xml:space="preserve">The PBAC noted the claim of functional cure was based on observed plateaus at the tail-end of Kaplan-Meier data for </w:t>
      </w:r>
      <w:r w:rsidR="007F43F2" w:rsidRPr="00FB1983">
        <w:rPr>
          <w:iCs/>
        </w:rPr>
        <w:t xml:space="preserve">event-free survival </w:t>
      </w:r>
      <w:r w:rsidR="001D1AF7" w:rsidRPr="00FB1983">
        <w:rPr>
          <w:iCs/>
        </w:rPr>
        <w:t>and overall survival</w:t>
      </w:r>
      <w:r w:rsidR="00EE7294" w:rsidRPr="00FB1983">
        <w:rPr>
          <w:iCs/>
        </w:rPr>
        <w:t xml:space="preserve">. The PBAC considered that </w:t>
      </w:r>
      <w:r w:rsidR="00C941A7" w:rsidRPr="00FB1983">
        <w:rPr>
          <w:iCs/>
        </w:rPr>
        <w:t>as t</w:t>
      </w:r>
      <w:r w:rsidR="00EE7294" w:rsidRPr="00FB1983">
        <w:rPr>
          <w:iCs/>
        </w:rPr>
        <w:t xml:space="preserve">he </w:t>
      </w:r>
      <w:r w:rsidR="00C941A7" w:rsidRPr="00FB1983">
        <w:rPr>
          <w:iCs/>
        </w:rPr>
        <w:t>plateaus</w:t>
      </w:r>
      <w:r w:rsidR="00EE7294" w:rsidRPr="00FB1983">
        <w:rPr>
          <w:iCs/>
        </w:rPr>
        <w:t xml:space="preserve"> were informed by small numbers of patients with follow-up durations of less than four years</w:t>
      </w:r>
      <w:r w:rsidR="00C941A7" w:rsidRPr="00FB1983">
        <w:rPr>
          <w:iCs/>
        </w:rPr>
        <w:t>, the likely proportion of patients achieving functional cure was unclear (para 7.9, gemtuzumab PSD, March 2021 PBAC meeting).</w:t>
      </w:r>
      <w:r w:rsidRPr="00FB1983">
        <w:rPr>
          <w:iCs/>
        </w:rPr>
        <w:t xml:space="preserve"> </w:t>
      </w:r>
    </w:p>
    <w:p w14:paraId="297533CB" w14:textId="77777777" w:rsidR="002379D9" w:rsidRDefault="001E12CC" w:rsidP="00E9094A">
      <w:pPr>
        <w:pStyle w:val="ExecSumBodyText"/>
        <w:rPr>
          <w:iCs/>
        </w:rPr>
      </w:pPr>
      <w:r w:rsidRPr="001A42DF">
        <w:rPr>
          <w:iCs/>
        </w:rPr>
        <w:t>The PSCR claimed that the concept of functional cure is accepted in AML; patients who have been in complete remission for 3 consecutive years have little risk of relapsing (Kumar 2011, Watts 2014). Clinical experts in the UK and Australia consider patients to be ‘functionally cured’ when they have been in CR for 3–5 years (Expert Opinion, September 2020).</w:t>
      </w:r>
    </w:p>
    <w:p w14:paraId="1050C1CC" w14:textId="17C129EA" w:rsidR="002F76AD" w:rsidRPr="00FB1983" w:rsidRDefault="002F76AD" w:rsidP="00E9094A">
      <w:pPr>
        <w:pStyle w:val="ExecSumBodyText"/>
        <w:rPr>
          <w:iCs/>
        </w:rPr>
      </w:pPr>
      <w:r>
        <w:rPr>
          <w:iCs/>
        </w:rPr>
        <w:t>The pre-PBAC response acknowledged some residual uncertainty remained, but noted that no further clinical trial data is pending.</w:t>
      </w:r>
    </w:p>
    <w:p w14:paraId="05277ACA" w14:textId="77777777" w:rsidR="005F7588" w:rsidRPr="007C545D" w:rsidRDefault="005F7588" w:rsidP="00E9094A">
      <w:pPr>
        <w:pStyle w:val="ExecSumBodyText"/>
        <w:rPr>
          <w:rFonts w:eastAsia="Calibri"/>
        </w:rPr>
      </w:pPr>
      <w:r w:rsidRPr="00610FCD">
        <w:rPr>
          <w:rFonts w:eastAsia="Calibri"/>
        </w:rPr>
        <w:t xml:space="preserve">The </w:t>
      </w:r>
      <w:r w:rsidR="00F126CA" w:rsidRPr="00610FCD">
        <w:rPr>
          <w:rFonts w:eastAsia="Calibri"/>
        </w:rPr>
        <w:t xml:space="preserve">resubmission described gemtuzumab as inferior in terms of safety compared to standard of care. </w:t>
      </w:r>
      <w:r w:rsidR="00F126CA" w:rsidRPr="00FB1983">
        <w:rPr>
          <w:rFonts w:eastAsia="Calibri"/>
          <w:iCs/>
        </w:rPr>
        <w:t xml:space="preserve">The PBAC </w:t>
      </w:r>
      <w:r w:rsidR="001A42DF">
        <w:rPr>
          <w:rFonts w:eastAsia="Calibri"/>
          <w:iCs/>
        </w:rPr>
        <w:t xml:space="preserve">had </w:t>
      </w:r>
      <w:r w:rsidR="00F126CA" w:rsidRPr="00FB1983">
        <w:rPr>
          <w:rFonts w:eastAsia="Calibri"/>
          <w:iCs/>
        </w:rPr>
        <w:t>previously considered the claim of inferior safety was reasonable (para 7.11, gemtuzumab PSD, March 2021 PBAC meeting)</w:t>
      </w:r>
      <w:r w:rsidR="001A42DF">
        <w:rPr>
          <w:rFonts w:eastAsia="Calibri"/>
          <w:iCs/>
        </w:rPr>
        <w:t xml:space="preserve">, and remained of this view during its consideration of this </w:t>
      </w:r>
      <w:r w:rsidR="002F76AD">
        <w:rPr>
          <w:rFonts w:eastAsia="Calibri"/>
          <w:iCs/>
        </w:rPr>
        <w:t>re</w:t>
      </w:r>
      <w:r w:rsidR="001A42DF">
        <w:rPr>
          <w:rFonts w:eastAsia="Calibri"/>
          <w:iCs/>
        </w:rPr>
        <w:t>submission</w:t>
      </w:r>
      <w:r w:rsidR="00F126CA" w:rsidRPr="00FB1983">
        <w:rPr>
          <w:rFonts w:eastAsia="Calibri"/>
          <w:iCs/>
        </w:rPr>
        <w:t>.</w:t>
      </w:r>
    </w:p>
    <w:p w14:paraId="569E5C64" w14:textId="77777777" w:rsidR="009C16FC" w:rsidRPr="009C16FC" w:rsidRDefault="009C16FC" w:rsidP="009C16FC">
      <w:pPr>
        <w:pStyle w:val="ExecSumBodyText"/>
      </w:pPr>
      <w:bookmarkStart w:id="29" w:name="_Hlk76376200"/>
      <w:bookmarkStart w:id="30" w:name="_Toc22897645"/>
      <w:bookmarkStart w:id="31" w:name="_Toc82591344"/>
      <w:r w:rsidRPr="009C16FC">
        <w:rPr>
          <w:iCs/>
        </w:rPr>
        <w:t>The</w:t>
      </w:r>
      <w:r w:rsidRPr="009C16FC">
        <w:t xml:space="preserve"> PBAC remained of the view that the claim of superior comparative effectiveness was reasonable in terms of event-free survival</w:t>
      </w:r>
      <w:r w:rsidR="006A681A">
        <w:t>, however it</w:t>
      </w:r>
      <w:r w:rsidRPr="009C16FC">
        <w:t xml:space="preserve"> considered that the overall survival claim was uncertain. </w:t>
      </w:r>
      <w:r w:rsidR="006A681A">
        <w:t>At the same time</w:t>
      </w:r>
      <w:r w:rsidRPr="009C16FC">
        <w:t>, it also recognised that no further clinical data was expected and that the cure claim itself was not implausible, although the magnitude of the benefit had been poorly supported.</w:t>
      </w:r>
    </w:p>
    <w:bookmarkEnd w:id="29"/>
    <w:p w14:paraId="144B4D56" w14:textId="77777777" w:rsidR="00B60939" w:rsidRPr="00610FCD" w:rsidRDefault="00B60939" w:rsidP="00E9094A">
      <w:pPr>
        <w:pStyle w:val="3-SubsectionHeading"/>
      </w:pPr>
      <w:r w:rsidRPr="00610FCD">
        <w:t>Economic analysis</w:t>
      </w:r>
      <w:bookmarkEnd w:id="30"/>
      <w:bookmarkEnd w:id="31"/>
      <w:r w:rsidR="00491B3A" w:rsidRPr="00610FCD">
        <w:t xml:space="preserve"> </w:t>
      </w:r>
    </w:p>
    <w:p w14:paraId="27E28A06" w14:textId="77777777" w:rsidR="00275C5A" w:rsidRPr="00610FCD" w:rsidRDefault="0019573F" w:rsidP="00641FB3">
      <w:pPr>
        <w:pStyle w:val="ExecSumBodyText"/>
        <w:rPr>
          <w:b/>
          <w:bCs/>
        </w:rPr>
      </w:pPr>
      <w:r w:rsidRPr="00610FCD">
        <w:t xml:space="preserve">The resubmission presented a modelled economic evaluation of gemtuzumab in combination with standard intensive chemotherapy compared to standard intensive chemotherapy alone for the treatment of patients with previously untreated, de novo, CD33-positive AML, except acute promyelocytic leukaemia who do not have unfavourable cytogenetic risk (i.e. favourable, intermediate or unknown risk). The economic evaluation was based on data from the </w:t>
      </w:r>
      <w:r w:rsidR="0079068A">
        <w:t xml:space="preserve">key </w:t>
      </w:r>
      <w:r w:rsidRPr="00610FCD">
        <w:t>ALFA-0701 trial as well as other modelled variables. The economic evaluation was presented as a cost-effectiveness/cost-utility analysis.</w:t>
      </w:r>
    </w:p>
    <w:p w14:paraId="38D5E158" w14:textId="77777777" w:rsidR="00DE22DC" w:rsidRPr="00610FCD" w:rsidRDefault="000E50B8" w:rsidP="0026554C">
      <w:pPr>
        <w:pStyle w:val="TableFigureCaption"/>
      </w:pPr>
      <w:r>
        <w:t xml:space="preserve">Table </w:t>
      </w:r>
      <w:r w:rsidR="00F90EC3">
        <w:rPr>
          <w:noProof/>
        </w:rPr>
        <w:t>8</w:t>
      </w:r>
      <w:r w:rsidR="00DE22DC" w:rsidRPr="00610FCD">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8: Key components of the economic evaluation"/>
      </w:tblPr>
      <w:tblGrid>
        <w:gridCol w:w="1199"/>
        <w:gridCol w:w="7818"/>
      </w:tblGrid>
      <w:tr w:rsidR="00DE22DC" w:rsidRPr="00610FCD" w14:paraId="735EBBDF" w14:textId="77777777" w:rsidTr="0026554C">
        <w:trPr>
          <w:cantSplit/>
          <w:tblHeader/>
        </w:trPr>
        <w:tc>
          <w:tcPr>
            <w:tcW w:w="665" w:type="pct"/>
            <w:shd w:val="clear" w:color="auto" w:fill="auto"/>
            <w:vAlign w:val="center"/>
          </w:tcPr>
          <w:p w14:paraId="0032CCA8" w14:textId="77777777" w:rsidR="00DE22DC" w:rsidRPr="00610FCD" w:rsidRDefault="00DE22DC" w:rsidP="00CA3DD2">
            <w:pPr>
              <w:widowControl w:val="0"/>
              <w:jc w:val="left"/>
              <w:rPr>
                <w:rFonts w:ascii="Arial Narrow" w:eastAsiaTheme="majorEastAsia" w:hAnsi="Arial Narrow" w:cs="Times New Roman"/>
                <w:b/>
                <w:sz w:val="20"/>
              </w:rPr>
            </w:pPr>
            <w:r w:rsidRPr="00610FCD">
              <w:rPr>
                <w:rFonts w:ascii="Arial Narrow" w:eastAsiaTheme="majorEastAsia" w:hAnsi="Arial Narrow" w:cs="Times New Roman"/>
                <w:b/>
                <w:sz w:val="20"/>
              </w:rPr>
              <w:t>Component</w:t>
            </w:r>
          </w:p>
        </w:tc>
        <w:tc>
          <w:tcPr>
            <w:tcW w:w="4335" w:type="pct"/>
            <w:shd w:val="clear" w:color="auto" w:fill="auto"/>
            <w:vAlign w:val="center"/>
          </w:tcPr>
          <w:p w14:paraId="37E1FAC9" w14:textId="77777777" w:rsidR="00DE22DC" w:rsidRPr="00610FCD" w:rsidRDefault="00DE22DC" w:rsidP="00CA3DD2">
            <w:pPr>
              <w:widowControl w:val="0"/>
              <w:jc w:val="left"/>
              <w:rPr>
                <w:rFonts w:ascii="Arial Narrow" w:eastAsiaTheme="majorEastAsia" w:hAnsi="Arial Narrow" w:cs="Times New Roman"/>
                <w:b/>
                <w:sz w:val="20"/>
              </w:rPr>
            </w:pPr>
            <w:r w:rsidRPr="00610FCD">
              <w:rPr>
                <w:rFonts w:ascii="Arial Narrow" w:eastAsiaTheme="majorEastAsia" w:hAnsi="Arial Narrow" w:cs="Times New Roman"/>
                <w:b/>
                <w:sz w:val="20"/>
              </w:rPr>
              <w:t>Summary</w:t>
            </w:r>
          </w:p>
        </w:tc>
      </w:tr>
      <w:tr w:rsidR="00DE22DC" w:rsidRPr="00610FCD" w14:paraId="4A0D9418" w14:textId="77777777" w:rsidTr="0026554C">
        <w:trPr>
          <w:cantSplit/>
        </w:trPr>
        <w:tc>
          <w:tcPr>
            <w:tcW w:w="665" w:type="pct"/>
            <w:shd w:val="clear" w:color="auto" w:fill="auto"/>
            <w:vAlign w:val="center"/>
          </w:tcPr>
          <w:p w14:paraId="145A53D9"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Treatments</w:t>
            </w:r>
          </w:p>
        </w:tc>
        <w:tc>
          <w:tcPr>
            <w:tcW w:w="4335" w:type="pct"/>
            <w:shd w:val="clear" w:color="auto" w:fill="auto"/>
            <w:vAlign w:val="center"/>
          </w:tcPr>
          <w:p w14:paraId="684F6CCB"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 xml:space="preserve">Gemtuzumab in combination with standard intensive chemotherapy (daunorubicin and cytarabine) versus standard intensive chemotherapy alone (daunorubicin and cytarabine), for induction and consolidation therapy </w:t>
            </w:r>
          </w:p>
        </w:tc>
      </w:tr>
      <w:tr w:rsidR="00DE22DC" w:rsidRPr="00610FCD" w14:paraId="5AF1559D" w14:textId="77777777" w:rsidTr="0026554C">
        <w:trPr>
          <w:cantSplit/>
        </w:trPr>
        <w:tc>
          <w:tcPr>
            <w:tcW w:w="665" w:type="pct"/>
            <w:shd w:val="clear" w:color="auto" w:fill="auto"/>
            <w:vAlign w:val="center"/>
          </w:tcPr>
          <w:p w14:paraId="05F72939"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Time horizon</w:t>
            </w:r>
          </w:p>
        </w:tc>
        <w:tc>
          <w:tcPr>
            <w:tcW w:w="4335" w:type="pct"/>
            <w:shd w:val="clear" w:color="auto" w:fill="auto"/>
            <w:vAlign w:val="center"/>
          </w:tcPr>
          <w:p w14:paraId="75F534A3"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25 years in the model base case versus median follow-up of 4 years in the gemtuzumab arm and 3.4 years in the control arm in the trial</w:t>
            </w:r>
          </w:p>
        </w:tc>
      </w:tr>
      <w:tr w:rsidR="00DE22DC" w:rsidRPr="00610FCD" w14:paraId="6AA86015" w14:textId="77777777" w:rsidTr="0026554C">
        <w:trPr>
          <w:cantSplit/>
        </w:trPr>
        <w:tc>
          <w:tcPr>
            <w:tcW w:w="665" w:type="pct"/>
            <w:shd w:val="clear" w:color="auto" w:fill="auto"/>
            <w:vAlign w:val="center"/>
          </w:tcPr>
          <w:p w14:paraId="776E405F"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Outcomes</w:t>
            </w:r>
          </w:p>
        </w:tc>
        <w:tc>
          <w:tcPr>
            <w:tcW w:w="4335" w:type="pct"/>
            <w:shd w:val="clear" w:color="auto" w:fill="auto"/>
            <w:vAlign w:val="center"/>
          </w:tcPr>
          <w:p w14:paraId="5BA882A2"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Life years, quality-adjusted life years</w:t>
            </w:r>
          </w:p>
        </w:tc>
      </w:tr>
      <w:tr w:rsidR="00DE22DC" w:rsidRPr="00610FCD" w14:paraId="6BAAD7A7" w14:textId="77777777" w:rsidTr="0026554C">
        <w:trPr>
          <w:cantSplit/>
        </w:trPr>
        <w:tc>
          <w:tcPr>
            <w:tcW w:w="665" w:type="pct"/>
            <w:shd w:val="clear" w:color="auto" w:fill="auto"/>
            <w:vAlign w:val="center"/>
          </w:tcPr>
          <w:p w14:paraId="587B00A9"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Methods used to generate results</w:t>
            </w:r>
          </w:p>
        </w:tc>
        <w:tc>
          <w:tcPr>
            <w:tcW w:w="4335" w:type="pct"/>
            <w:shd w:val="clear" w:color="auto" w:fill="auto"/>
            <w:vAlign w:val="center"/>
          </w:tcPr>
          <w:p w14:paraId="01D536FA"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Markov cohort expected value analysis</w:t>
            </w:r>
          </w:p>
        </w:tc>
      </w:tr>
      <w:tr w:rsidR="00DE22DC" w:rsidRPr="00610FCD" w14:paraId="2B3136F3" w14:textId="77777777" w:rsidTr="0026554C">
        <w:trPr>
          <w:cantSplit/>
        </w:trPr>
        <w:tc>
          <w:tcPr>
            <w:tcW w:w="665" w:type="pct"/>
            <w:shd w:val="clear" w:color="auto" w:fill="auto"/>
            <w:vAlign w:val="center"/>
          </w:tcPr>
          <w:p w14:paraId="142022C6"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Health states</w:t>
            </w:r>
          </w:p>
        </w:tc>
        <w:tc>
          <w:tcPr>
            <w:tcW w:w="4335" w:type="pct"/>
            <w:shd w:val="clear" w:color="auto" w:fill="auto"/>
            <w:vAlign w:val="center"/>
          </w:tcPr>
          <w:p w14:paraId="2FE2CF23"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 xml:space="preserve">6 main health states including sub-states described in brackets: induction phase, response (remission, relapse), refractory, HSCT (procedure, CR without GVHD, CR with GVHD), functional cure, dead </w:t>
            </w:r>
          </w:p>
        </w:tc>
      </w:tr>
      <w:tr w:rsidR="00DE22DC" w:rsidRPr="00610FCD" w14:paraId="143A7D9E" w14:textId="77777777" w:rsidTr="0026554C">
        <w:trPr>
          <w:cantSplit/>
        </w:trPr>
        <w:tc>
          <w:tcPr>
            <w:tcW w:w="665" w:type="pct"/>
            <w:shd w:val="clear" w:color="auto" w:fill="auto"/>
            <w:vAlign w:val="center"/>
          </w:tcPr>
          <w:p w14:paraId="1A15DBD3"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Cycle length</w:t>
            </w:r>
          </w:p>
        </w:tc>
        <w:tc>
          <w:tcPr>
            <w:tcW w:w="4335" w:type="pct"/>
            <w:shd w:val="clear" w:color="auto" w:fill="auto"/>
            <w:vAlign w:val="center"/>
          </w:tcPr>
          <w:p w14:paraId="539EF56F"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1 month</w:t>
            </w:r>
          </w:p>
        </w:tc>
      </w:tr>
      <w:tr w:rsidR="00DE22DC" w:rsidRPr="00610FCD" w14:paraId="1B761082" w14:textId="77777777" w:rsidTr="0026554C">
        <w:trPr>
          <w:cantSplit/>
        </w:trPr>
        <w:tc>
          <w:tcPr>
            <w:tcW w:w="665" w:type="pct"/>
            <w:shd w:val="clear" w:color="auto" w:fill="auto"/>
            <w:vAlign w:val="center"/>
          </w:tcPr>
          <w:p w14:paraId="22F1C528"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Allocation to health states</w:t>
            </w:r>
          </w:p>
        </w:tc>
        <w:tc>
          <w:tcPr>
            <w:tcW w:w="4335" w:type="pct"/>
            <w:shd w:val="clear" w:color="auto" w:fill="auto"/>
            <w:vAlign w:val="center"/>
          </w:tcPr>
          <w:p w14:paraId="30255032"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Pooled response rates from the ALFA-0701 trial used to determine treatment pathway (response or refractory) in the induction phase.</w:t>
            </w:r>
          </w:p>
          <w:p w14:paraId="22825EA4" w14:textId="77777777" w:rsidR="00DE22DC" w:rsidRPr="00610FCD" w:rsidRDefault="00DE22DC" w:rsidP="00CA3DD2">
            <w:pPr>
              <w:widowControl w:val="0"/>
              <w:jc w:val="left"/>
              <w:rPr>
                <w:rFonts w:ascii="Arial Narrow" w:eastAsiaTheme="majorEastAsia" w:hAnsi="Arial Narrow" w:cstheme="majorBidi"/>
                <w:bCs/>
                <w:sz w:val="20"/>
              </w:rPr>
            </w:pPr>
          </w:p>
          <w:p w14:paraId="7E757033"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Overall survival and relapse-free survival in patients achieving response, based on individual treatment arm Kaplan-Meier curves from the ALFA-0701 trial over a median duration of follow-up (3-4 years), followed by parametric extrapolation using mixture cure models (survival curves for cured and uncured fractions, weighted by statistical estimates of cure). The resubmission assumed convergence of the overall survival curves would occur at the end of the model. This was implemented using forced linear convergence of the extrapolated survival curve for gemtuzumab with the extrapolated survival curve of the control arm, starting at 5 years and ending at 25 years in the</w:t>
            </w:r>
            <w:r w:rsidR="003A72E5">
              <w:rPr>
                <w:rFonts w:ascii="Arial Narrow" w:eastAsiaTheme="majorEastAsia" w:hAnsi="Arial Narrow" w:cstheme="majorBidi"/>
                <w:bCs/>
                <w:sz w:val="20"/>
              </w:rPr>
              <w:t xml:space="preserve"> base-case</w:t>
            </w:r>
            <w:r w:rsidRPr="00610FCD">
              <w:rPr>
                <w:rFonts w:ascii="Arial Narrow" w:eastAsiaTheme="majorEastAsia" w:hAnsi="Arial Narrow" w:cstheme="majorBidi"/>
                <w:bCs/>
                <w:sz w:val="20"/>
              </w:rPr>
              <w:t xml:space="preserve"> model. </w:t>
            </w:r>
          </w:p>
          <w:p w14:paraId="7A5E3E53" w14:textId="77777777" w:rsidR="00DE22DC" w:rsidRPr="00610FCD" w:rsidRDefault="00DE22DC" w:rsidP="00CA3DD2">
            <w:pPr>
              <w:widowControl w:val="0"/>
              <w:jc w:val="left"/>
              <w:rPr>
                <w:rFonts w:ascii="Arial Narrow" w:eastAsiaTheme="majorEastAsia" w:hAnsi="Arial Narrow" w:cstheme="majorBidi"/>
                <w:bCs/>
                <w:sz w:val="20"/>
              </w:rPr>
            </w:pPr>
          </w:p>
          <w:p w14:paraId="0C89E247"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 xml:space="preserve">Overall survival for refractory patients based on Kaplan-Meier curves using pooled data from the ALFA-0701 trial, median duration of follow-up unreported, followed by parametric extrapolation.  </w:t>
            </w:r>
          </w:p>
          <w:p w14:paraId="20BA7578" w14:textId="77777777" w:rsidR="00DE22DC" w:rsidRPr="00610FCD" w:rsidRDefault="00DE22DC" w:rsidP="00CA3DD2">
            <w:pPr>
              <w:widowControl w:val="0"/>
              <w:jc w:val="left"/>
              <w:rPr>
                <w:rFonts w:ascii="Arial Narrow" w:eastAsiaTheme="majorEastAsia" w:hAnsi="Arial Narrow" w:cstheme="majorBidi"/>
                <w:bCs/>
                <w:sz w:val="20"/>
              </w:rPr>
            </w:pPr>
          </w:p>
          <w:p w14:paraId="2C392E7F"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 xml:space="preserve">Transition probabilities to HSCT based on time to HSCT data from the ALFA-0701 trial (pooled for response and refractory patients; individual arms for relapsed patients). Overall survival and relapse-free survival for response sub-states based on underlying survival curves; overall survival for refractory patients based on underlying overall survival curve. </w:t>
            </w:r>
          </w:p>
          <w:p w14:paraId="28B996EE" w14:textId="77777777" w:rsidR="00DE22DC" w:rsidRPr="00610FCD" w:rsidRDefault="00DE22DC" w:rsidP="00CA3DD2">
            <w:pPr>
              <w:widowControl w:val="0"/>
              <w:jc w:val="left"/>
              <w:rPr>
                <w:rFonts w:ascii="Arial Narrow" w:eastAsiaTheme="majorEastAsia" w:hAnsi="Arial Narrow" w:cstheme="majorBidi"/>
                <w:bCs/>
                <w:sz w:val="20"/>
              </w:rPr>
            </w:pPr>
          </w:p>
          <w:p w14:paraId="72DFE54D"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The resubmission assumed that patients are functionally cured after remaining in response health states for 5 years in the model. Transitions to the functionally cured health state occurred from response sub-states at fixed time points in the model (after 5 years in patients with remission, with or without HSCT; after 5 years in post-HSCT states in relapsed or refractory patients). Survival and relapse in the functionally cured health states were still determined by underlying overall survival and relapse-free survival curves (which had underlying cure fraction estimates).</w:t>
            </w:r>
          </w:p>
          <w:p w14:paraId="126CA7B2" w14:textId="77777777" w:rsidR="00DE22DC" w:rsidRPr="00610FCD" w:rsidRDefault="00DE22DC" w:rsidP="00CA3DD2">
            <w:pPr>
              <w:widowControl w:val="0"/>
              <w:jc w:val="left"/>
              <w:rPr>
                <w:rFonts w:ascii="Arial Narrow" w:eastAsiaTheme="majorEastAsia" w:hAnsi="Arial Narrow" w:cstheme="majorBidi"/>
                <w:bCs/>
                <w:sz w:val="20"/>
              </w:rPr>
            </w:pPr>
          </w:p>
          <w:p w14:paraId="6D6A20B7"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 xml:space="preserve">In the model, 3% of incremental costs and 65% of incremental QALYs </w:t>
            </w:r>
            <w:r w:rsidR="00F21D48">
              <w:rPr>
                <w:rFonts w:ascii="Arial Narrow" w:eastAsiaTheme="majorEastAsia" w:hAnsi="Arial Narrow" w:cstheme="majorBidi"/>
                <w:bCs/>
                <w:sz w:val="20"/>
              </w:rPr>
              <w:t>were</w:t>
            </w:r>
            <w:r w:rsidR="00F21D48" w:rsidRPr="00610FCD">
              <w:rPr>
                <w:rFonts w:ascii="Arial Narrow" w:eastAsiaTheme="majorEastAsia" w:hAnsi="Arial Narrow" w:cstheme="majorBidi"/>
                <w:bCs/>
                <w:sz w:val="20"/>
              </w:rPr>
              <w:t xml:space="preserve"> </w:t>
            </w:r>
            <w:r w:rsidRPr="00610FCD">
              <w:rPr>
                <w:rFonts w:ascii="Arial Narrow" w:eastAsiaTheme="majorEastAsia" w:hAnsi="Arial Narrow" w:cstheme="majorBidi"/>
                <w:bCs/>
                <w:sz w:val="20"/>
              </w:rPr>
              <w:t>generated in the extrapolated period.</w:t>
            </w:r>
          </w:p>
        </w:tc>
      </w:tr>
      <w:tr w:rsidR="00DE22DC" w:rsidRPr="00610FCD" w14:paraId="28A23F92" w14:textId="77777777" w:rsidTr="0026554C">
        <w:trPr>
          <w:cantSplit/>
        </w:trPr>
        <w:tc>
          <w:tcPr>
            <w:tcW w:w="665" w:type="pct"/>
            <w:shd w:val="clear" w:color="auto" w:fill="auto"/>
            <w:vAlign w:val="center"/>
          </w:tcPr>
          <w:p w14:paraId="1B6400CE"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Health state and event costs</w:t>
            </w:r>
          </w:p>
        </w:tc>
        <w:tc>
          <w:tcPr>
            <w:tcW w:w="4335" w:type="pct"/>
            <w:shd w:val="clear" w:color="auto" w:fill="auto"/>
            <w:vAlign w:val="center"/>
          </w:tcPr>
          <w:p w14:paraId="667F8D70"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 xml:space="preserve">First-line drug costs based on proportions receiving induction and consolidation treatment cycles in the ALFA-0701 trial. </w:t>
            </w:r>
          </w:p>
          <w:p w14:paraId="46620124" w14:textId="77777777" w:rsidR="00DE22DC" w:rsidRPr="00610FCD" w:rsidRDefault="00DE22DC" w:rsidP="00CA3DD2">
            <w:pPr>
              <w:widowControl w:val="0"/>
              <w:jc w:val="left"/>
              <w:rPr>
                <w:rFonts w:ascii="Arial Narrow" w:eastAsiaTheme="majorEastAsia" w:hAnsi="Arial Narrow" w:cstheme="majorBidi"/>
                <w:bCs/>
                <w:sz w:val="20"/>
              </w:rPr>
            </w:pPr>
          </w:p>
          <w:p w14:paraId="38D29ACB"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 xml:space="preserve">Subsequent </w:t>
            </w:r>
            <w:r w:rsidR="00F21D48" w:rsidRPr="00610FCD">
              <w:rPr>
                <w:rFonts w:ascii="Arial Narrow" w:eastAsiaTheme="majorEastAsia" w:hAnsi="Arial Narrow" w:cstheme="majorBidi"/>
                <w:bCs/>
                <w:sz w:val="20"/>
              </w:rPr>
              <w:t>therap</w:t>
            </w:r>
            <w:r w:rsidR="00F21D48">
              <w:rPr>
                <w:rFonts w:ascii="Arial Narrow" w:eastAsiaTheme="majorEastAsia" w:hAnsi="Arial Narrow" w:cstheme="majorBidi"/>
                <w:bCs/>
                <w:sz w:val="20"/>
              </w:rPr>
              <w:t>y</w:t>
            </w:r>
            <w:r w:rsidR="00F21D48" w:rsidRPr="00610FCD">
              <w:rPr>
                <w:rFonts w:ascii="Arial Narrow" w:eastAsiaTheme="majorEastAsia" w:hAnsi="Arial Narrow" w:cstheme="majorBidi"/>
                <w:bCs/>
                <w:sz w:val="20"/>
              </w:rPr>
              <w:t xml:space="preserve"> </w:t>
            </w:r>
            <w:r w:rsidRPr="00610FCD">
              <w:rPr>
                <w:rFonts w:ascii="Arial Narrow" w:eastAsiaTheme="majorEastAsia" w:hAnsi="Arial Narrow" w:cstheme="majorBidi"/>
                <w:bCs/>
                <w:sz w:val="20"/>
              </w:rPr>
              <w:t>(salvage, non-</w:t>
            </w:r>
            <w:r w:rsidR="007B1379" w:rsidRPr="00610FCD">
              <w:rPr>
                <w:rFonts w:ascii="Arial Narrow" w:eastAsiaTheme="majorEastAsia" w:hAnsi="Arial Narrow" w:cstheme="majorBidi"/>
                <w:bCs/>
                <w:sz w:val="20"/>
              </w:rPr>
              <w:t>curative,</w:t>
            </w:r>
            <w:r w:rsidRPr="00610FCD">
              <w:rPr>
                <w:rFonts w:ascii="Arial Narrow" w:eastAsiaTheme="majorEastAsia" w:hAnsi="Arial Narrow" w:cstheme="majorBidi"/>
                <w:bCs/>
                <w:sz w:val="20"/>
              </w:rPr>
              <w:t xml:space="preserve"> and best supportive care) costs based on local guidelines and UK expert opinion. The duration of treatment of salvage therapy was assumed to be 1.5</w:t>
            </w:r>
            <w:r w:rsidR="00F21D48">
              <w:rPr>
                <w:rFonts w:ascii="Arial Narrow" w:eastAsiaTheme="majorEastAsia" w:hAnsi="Arial Narrow" w:cstheme="majorBidi"/>
                <w:bCs/>
                <w:sz w:val="20"/>
              </w:rPr>
              <w:t> </w:t>
            </w:r>
            <w:r w:rsidRPr="00610FCD">
              <w:rPr>
                <w:rFonts w:ascii="Arial Narrow" w:eastAsiaTheme="majorEastAsia" w:hAnsi="Arial Narrow" w:cstheme="majorBidi"/>
                <w:bCs/>
                <w:sz w:val="20"/>
              </w:rPr>
              <w:t>months. The durations of non-curative therapies and best supportive care were based on a restricted means survival time (RMST) analysis for newly relapsed (13.8 months) and refractory patients (10.98</w:t>
            </w:r>
            <w:r w:rsidR="00F21D48">
              <w:rPr>
                <w:rFonts w:ascii="Arial Narrow" w:eastAsiaTheme="majorEastAsia" w:hAnsi="Arial Narrow" w:cstheme="majorBidi"/>
                <w:bCs/>
                <w:sz w:val="20"/>
              </w:rPr>
              <w:t> </w:t>
            </w:r>
            <w:r w:rsidRPr="00610FCD">
              <w:rPr>
                <w:rFonts w:ascii="Arial Narrow" w:eastAsiaTheme="majorEastAsia" w:hAnsi="Arial Narrow" w:cstheme="majorBidi"/>
                <w:bCs/>
                <w:sz w:val="20"/>
              </w:rPr>
              <w:t>months) in the ALFA-0701 trial. The duration of terminal care of 2 months was assumed with corresponding costs applied in the last 2 months of survival.</w:t>
            </w:r>
          </w:p>
          <w:p w14:paraId="028939FD" w14:textId="77777777" w:rsidR="00DE22DC" w:rsidRPr="00610FCD" w:rsidRDefault="00DE22DC" w:rsidP="00CA3DD2">
            <w:pPr>
              <w:widowControl w:val="0"/>
              <w:jc w:val="left"/>
              <w:rPr>
                <w:rFonts w:ascii="Arial Narrow" w:eastAsiaTheme="majorEastAsia" w:hAnsi="Arial Narrow" w:cstheme="majorBidi"/>
                <w:bCs/>
                <w:sz w:val="20"/>
              </w:rPr>
            </w:pPr>
          </w:p>
          <w:p w14:paraId="65824306"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Administration costs based on AR-DRG items or MBS items applied using the following proportions: 100% inpatient cost for induction cycles; 80% inpatient</w:t>
            </w:r>
            <w:r w:rsidR="00A47DF8">
              <w:rPr>
                <w:rFonts w:ascii="Arial Narrow" w:eastAsiaTheme="majorEastAsia" w:hAnsi="Arial Narrow" w:cstheme="majorBidi"/>
                <w:bCs/>
                <w:sz w:val="20"/>
              </w:rPr>
              <w:t>/</w:t>
            </w:r>
            <w:r w:rsidRPr="00610FCD">
              <w:rPr>
                <w:rFonts w:ascii="Arial Narrow" w:eastAsiaTheme="majorEastAsia" w:hAnsi="Arial Narrow" w:cstheme="majorBidi"/>
                <w:bCs/>
                <w:sz w:val="20"/>
              </w:rPr>
              <w:t xml:space="preserve">20% </w:t>
            </w:r>
            <w:r w:rsidR="00A47DF8">
              <w:rPr>
                <w:rFonts w:ascii="Arial Narrow" w:eastAsiaTheme="majorEastAsia" w:hAnsi="Arial Narrow" w:cstheme="majorBidi"/>
                <w:bCs/>
                <w:sz w:val="20"/>
              </w:rPr>
              <w:t xml:space="preserve">outpatient </w:t>
            </w:r>
            <w:r w:rsidRPr="00610FCD">
              <w:rPr>
                <w:rFonts w:ascii="Arial Narrow" w:eastAsiaTheme="majorEastAsia" w:hAnsi="Arial Narrow" w:cstheme="majorBidi"/>
                <w:bCs/>
                <w:sz w:val="20"/>
              </w:rPr>
              <w:t xml:space="preserve">costs for consolidation cycles; 100% inpatient costs for salvage therapies; mixed settings (depending on treatment administered, but largely outpatient) for non-curative therapies. </w:t>
            </w:r>
          </w:p>
          <w:p w14:paraId="51522C26" w14:textId="77777777" w:rsidR="00DE22DC" w:rsidRPr="00610FCD" w:rsidRDefault="00DE22DC" w:rsidP="00CA3DD2">
            <w:pPr>
              <w:widowControl w:val="0"/>
              <w:jc w:val="left"/>
              <w:rPr>
                <w:rFonts w:ascii="Arial Narrow" w:eastAsiaTheme="majorEastAsia" w:hAnsi="Arial Narrow" w:cstheme="majorBidi"/>
                <w:bCs/>
                <w:sz w:val="20"/>
              </w:rPr>
            </w:pPr>
          </w:p>
          <w:p w14:paraId="58749F05"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 xml:space="preserve">Adverse event costs assumed captured in treatment administration costs. Additional costs for unplanned hospitalisations were based </w:t>
            </w:r>
            <w:r w:rsidR="00390EFE">
              <w:rPr>
                <w:rFonts w:ascii="Arial Narrow" w:eastAsiaTheme="majorEastAsia" w:hAnsi="Arial Narrow" w:cstheme="majorBidi"/>
                <w:bCs/>
                <w:sz w:val="20"/>
              </w:rPr>
              <w:t>o</w:t>
            </w:r>
            <w:r w:rsidR="00390EFE" w:rsidRPr="00610FCD">
              <w:rPr>
                <w:rFonts w:ascii="Arial Narrow" w:eastAsiaTheme="majorEastAsia" w:hAnsi="Arial Narrow" w:cstheme="majorBidi"/>
                <w:bCs/>
                <w:sz w:val="20"/>
              </w:rPr>
              <w:t xml:space="preserve">n </w:t>
            </w:r>
            <w:r w:rsidRPr="00610FCD">
              <w:rPr>
                <w:rFonts w:ascii="Arial Narrow" w:eastAsiaTheme="majorEastAsia" w:hAnsi="Arial Narrow" w:cstheme="majorBidi"/>
                <w:bCs/>
                <w:sz w:val="20"/>
              </w:rPr>
              <w:t xml:space="preserve">incidence of adverse events in the ALFA-0701 trial and hospitalisation costs plus the cost of defibrotide for the treatment of VOD. Blood transfusion costs were included as a proxy for additional adverse events costs. </w:t>
            </w:r>
          </w:p>
          <w:p w14:paraId="0D056E44" w14:textId="77777777" w:rsidR="00DE22DC" w:rsidRPr="00610FCD" w:rsidRDefault="00DE22DC" w:rsidP="00CA3DD2">
            <w:pPr>
              <w:widowControl w:val="0"/>
              <w:jc w:val="left"/>
              <w:rPr>
                <w:rFonts w:ascii="Arial Narrow" w:eastAsiaTheme="majorEastAsia" w:hAnsi="Arial Narrow" w:cstheme="majorBidi"/>
                <w:bCs/>
                <w:sz w:val="20"/>
              </w:rPr>
            </w:pPr>
          </w:p>
          <w:p w14:paraId="2463EC50"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Other disease management costs in the model include</w:t>
            </w:r>
            <w:r w:rsidR="00862489">
              <w:rPr>
                <w:rFonts w:ascii="Arial Narrow" w:eastAsiaTheme="majorEastAsia" w:hAnsi="Arial Narrow" w:cstheme="majorBidi"/>
                <w:bCs/>
                <w:sz w:val="20"/>
              </w:rPr>
              <w:t>d</w:t>
            </w:r>
            <w:r w:rsidRPr="00610FCD">
              <w:rPr>
                <w:rFonts w:ascii="Arial Narrow" w:eastAsiaTheme="majorEastAsia" w:hAnsi="Arial Narrow" w:cstheme="majorBidi"/>
                <w:bCs/>
                <w:sz w:val="20"/>
              </w:rPr>
              <w:t xml:space="preserve"> diagnostic and disease monitoring tests (MBS items), inpatient attendance costs in patients receiving non-curative therapy or best supportive care (4</w:t>
            </w:r>
            <w:r w:rsidR="00862489">
              <w:rPr>
                <w:rFonts w:ascii="Arial Narrow" w:eastAsiaTheme="majorEastAsia" w:hAnsi="Arial Narrow" w:cstheme="majorBidi"/>
                <w:bCs/>
                <w:sz w:val="20"/>
              </w:rPr>
              <w:t> </w:t>
            </w:r>
            <w:r w:rsidRPr="00610FCD">
              <w:rPr>
                <w:rFonts w:ascii="Arial Narrow" w:eastAsiaTheme="majorEastAsia" w:hAnsi="Arial Narrow" w:cstheme="majorBidi"/>
                <w:bCs/>
                <w:sz w:val="20"/>
              </w:rPr>
              <w:t>hospitalisations), outpatient attendance, and antifungal and antibiotic prophylaxis.</w:t>
            </w:r>
          </w:p>
          <w:p w14:paraId="286D8916" w14:textId="77777777" w:rsidR="00DE22DC" w:rsidRPr="00610FCD" w:rsidRDefault="00DE22DC" w:rsidP="00CA3DD2">
            <w:pPr>
              <w:widowControl w:val="0"/>
              <w:jc w:val="left"/>
              <w:rPr>
                <w:rFonts w:ascii="Arial Narrow" w:eastAsiaTheme="majorEastAsia" w:hAnsi="Arial Narrow" w:cstheme="majorBidi"/>
                <w:bCs/>
                <w:sz w:val="20"/>
              </w:rPr>
            </w:pPr>
          </w:p>
          <w:p w14:paraId="0D30EA89"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 xml:space="preserve">HSCT costs and acute GVHD event costs were based on AR-DRG items. Post-HSCT costs were applied over 2 years based on assumed frequencies of hospitalisation and outpatient visits. </w:t>
            </w:r>
          </w:p>
        </w:tc>
      </w:tr>
      <w:tr w:rsidR="00DE22DC" w:rsidRPr="00610FCD" w14:paraId="27220D0B" w14:textId="77777777" w:rsidTr="0026554C">
        <w:trPr>
          <w:cantSplit/>
        </w:trPr>
        <w:tc>
          <w:tcPr>
            <w:tcW w:w="665" w:type="pct"/>
            <w:shd w:val="clear" w:color="auto" w:fill="auto"/>
            <w:vAlign w:val="center"/>
          </w:tcPr>
          <w:p w14:paraId="736D878C"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Health related quality of life</w:t>
            </w:r>
          </w:p>
        </w:tc>
        <w:tc>
          <w:tcPr>
            <w:tcW w:w="4335" w:type="pct"/>
            <w:shd w:val="clear" w:color="auto" w:fill="auto"/>
            <w:vAlign w:val="center"/>
          </w:tcPr>
          <w:p w14:paraId="4BF5F8F3"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Based on multiple published sources:</w:t>
            </w:r>
          </w:p>
          <w:p w14:paraId="365C5C1E"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Induction phase: 0.16 (midostaurin PSD, July 2018)</w:t>
            </w:r>
          </w:p>
          <w:p w14:paraId="1046BC93"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CR/CRp (consolidation 1 and 2): 0.57 (midostaurin PSD, July 2018)</w:t>
            </w:r>
          </w:p>
          <w:p w14:paraId="04BD066F"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CR/CRp (off treatment): 0.74 (NICE 2016 appraisal of azacitidine)</w:t>
            </w:r>
          </w:p>
          <w:p w14:paraId="62AC782F"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Relapse (salvage therapy): 0.16 (midostaurin PSD, July 2018)</w:t>
            </w:r>
          </w:p>
          <w:p w14:paraId="0D8B9532"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Relapse (non-curative therapy): 5 years or less: 0.51 (midostaurin PSD, July 2018); after 5 years: 0.798 decreasing over time (age- and gender-adjusted EQ-5D UK general population utility)</w:t>
            </w:r>
          </w:p>
          <w:p w14:paraId="3EE744C7"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Refractory (salvage therapy): 0.16 (midostaurin PSD, July 2018)</w:t>
            </w:r>
          </w:p>
          <w:p w14:paraId="4946672D"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Refractory (non-curative therapy): 0.51 (midostaurin PSD, July 2018)</w:t>
            </w:r>
          </w:p>
          <w:p w14:paraId="2CF0FDDE"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HSCT procedure: 0.613 (Forsythe 2018)</w:t>
            </w:r>
          </w:p>
          <w:p w14:paraId="3448034B"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Post-HSCT CR/CRp without GVHD: 0.74 (NICE 2016 appraisal of azacitidine)</w:t>
            </w:r>
          </w:p>
          <w:p w14:paraId="49B31F53"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Post-HSCT CR/CRp with GVHD: 0.67 (Forsythe 2018)</w:t>
            </w:r>
          </w:p>
          <w:p w14:paraId="77C58D23"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Functionally cured: 0.821 decreasing over time (age- and gender-adjusted EQ-5D UK general population utility)</w:t>
            </w:r>
          </w:p>
          <w:p w14:paraId="70C47DAF"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Adverse event disutility (all events except VOD): 0.0207 (NICE 2016 appraisal of azacitidine)</w:t>
            </w:r>
          </w:p>
          <w:p w14:paraId="3D169A16" w14:textId="77777777" w:rsidR="00DE22DC" w:rsidRPr="00610FCD" w:rsidRDefault="00DE22DC" w:rsidP="00CA3DD2">
            <w:pPr>
              <w:widowControl w:val="0"/>
              <w:jc w:val="left"/>
              <w:rPr>
                <w:rFonts w:ascii="Arial Narrow" w:eastAsiaTheme="majorEastAsia" w:hAnsi="Arial Narrow" w:cstheme="majorBidi"/>
                <w:bCs/>
                <w:sz w:val="20"/>
              </w:rPr>
            </w:pPr>
            <w:r w:rsidRPr="00610FCD">
              <w:rPr>
                <w:rFonts w:ascii="Arial Narrow" w:eastAsiaTheme="majorEastAsia" w:hAnsi="Arial Narrow" w:cstheme="majorBidi"/>
                <w:bCs/>
                <w:sz w:val="20"/>
              </w:rPr>
              <w:t xml:space="preserve">VOD disutility: 0.208 (defibrotide SMC submission, 2014) </w:t>
            </w:r>
          </w:p>
        </w:tc>
      </w:tr>
    </w:tbl>
    <w:p w14:paraId="605B2AAC" w14:textId="77777777" w:rsidR="00DE22DC" w:rsidRPr="00610FCD" w:rsidRDefault="00DE22DC" w:rsidP="00DE22DC">
      <w:pPr>
        <w:spacing w:after="120"/>
        <w:contextualSpacing/>
        <w:rPr>
          <w:rFonts w:ascii="Arial Narrow" w:hAnsi="Arial Narrow"/>
          <w:snapToGrid w:val="0"/>
          <w:sz w:val="18"/>
          <w:szCs w:val="22"/>
        </w:rPr>
      </w:pPr>
      <w:r w:rsidRPr="00610FCD">
        <w:rPr>
          <w:rFonts w:ascii="Arial Narrow" w:hAnsi="Arial Narrow"/>
          <w:snapToGrid w:val="0"/>
          <w:sz w:val="18"/>
          <w:szCs w:val="22"/>
        </w:rPr>
        <w:t>Source: Table 3.1.1, p188 of the resubmission</w:t>
      </w:r>
    </w:p>
    <w:p w14:paraId="2480F3DC" w14:textId="77777777" w:rsidR="00DE22DC" w:rsidRPr="00610FCD" w:rsidRDefault="00DE22DC" w:rsidP="00DE22DC">
      <w:pPr>
        <w:spacing w:after="120"/>
        <w:contextualSpacing/>
        <w:rPr>
          <w:rFonts w:ascii="Arial Narrow" w:hAnsi="Arial Narrow"/>
          <w:snapToGrid w:val="0"/>
          <w:sz w:val="18"/>
          <w:szCs w:val="22"/>
        </w:rPr>
      </w:pPr>
      <w:r w:rsidRPr="00610FCD">
        <w:rPr>
          <w:rFonts w:ascii="Arial Narrow" w:hAnsi="Arial Narrow"/>
          <w:snapToGrid w:val="0"/>
          <w:sz w:val="18"/>
          <w:szCs w:val="22"/>
        </w:rPr>
        <w:t>AR-DRG, Australian refined diagnosis related groups; CR/CRp, complete remission with or without incomplete platelet recovery; GVHD, graft versus host disease; HSCT, haematopoietic stem cell transplant; VOD, veno-occlusive disease</w:t>
      </w:r>
    </w:p>
    <w:p w14:paraId="0217FD91" w14:textId="77777777" w:rsidR="00DE22DC" w:rsidRPr="00610FCD" w:rsidRDefault="00DE22DC" w:rsidP="0034198C">
      <w:pPr>
        <w:pStyle w:val="ExecSumBodyText"/>
      </w:pPr>
      <w:bookmarkStart w:id="32" w:name="_Ref88509943"/>
      <w:r w:rsidRPr="00610FCD">
        <w:t xml:space="preserve">Compared to the March 2021 submission, the main changes to </w:t>
      </w:r>
      <w:r w:rsidR="006F19D6">
        <w:t>the economic model</w:t>
      </w:r>
      <w:r w:rsidRPr="00610FCD">
        <w:t xml:space="preserve"> were:</w:t>
      </w:r>
      <w:bookmarkEnd w:id="32"/>
    </w:p>
    <w:p w14:paraId="6D675174" w14:textId="77777777" w:rsidR="0034198C" w:rsidRPr="00610FCD" w:rsidRDefault="00DE22DC" w:rsidP="00561C6A">
      <w:pPr>
        <w:pStyle w:val="ExecSumBodyText"/>
        <w:numPr>
          <w:ilvl w:val="0"/>
          <w:numId w:val="11"/>
        </w:numPr>
        <w:spacing w:after="0"/>
        <w:ind w:left="1077" w:hanging="357"/>
      </w:pPr>
      <w:r w:rsidRPr="00610FCD">
        <w:t>Model time horizon has been revised to 25 years (previously 40 years).</w:t>
      </w:r>
    </w:p>
    <w:p w14:paraId="2FACCEAC" w14:textId="77777777" w:rsidR="0034198C" w:rsidRPr="00610FCD" w:rsidRDefault="00DE22DC" w:rsidP="00561C6A">
      <w:pPr>
        <w:pStyle w:val="ExecSumBodyText"/>
        <w:numPr>
          <w:ilvl w:val="0"/>
          <w:numId w:val="11"/>
        </w:numPr>
        <w:spacing w:after="0"/>
        <w:ind w:left="1077" w:hanging="357"/>
      </w:pPr>
      <w:r w:rsidRPr="00610FCD">
        <w:t>Overall survival curves were forced to converge at the end of the modelled duration.</w:t>
      </w:r>
    </w:p>
    <w:p w14:paraId="13816CE3" w14:textId="77777777" w:rsidR="00DE22DC" w:rsidRPr="00610FCD" w:rsidRDefault="00DE22DC" w:rsidP="004244E6">
      <w:pPr>
        <w:pStyle w:val="ExecSumBodyText"/>
        <w:numPr>
          <w:ilvl w:val="0"/>
          <w:numId w:val="11"/>
        </w:numPr>
        <w:spacing w:after="0"/>
      </w:pPr>
      <w:r w:rsidRPr="00610FCD">
        <w:t xml:space="preserve">Revised gemtuzumab drug costs based on </w:t>
      </w:r>
      <w:r w:rsidR="009F125E">
        <w:t xml:space="preserve">a </w:t>
      </w:r>
      <w:r w:rsidRPr="00610FCD">
        <w:t>new proposed price.</w:t>
      </w:r>
    </w:p>
    <w:p w14:paraId="673AF01E" w14:textId="77777777" w:rsidR="00B42B0B" w:rsidRPr="00FB1983" w:rsidRDefault="00B42B0B" w:rsidP="00561C6A">
      <w:pPr>
        <w:pStyle w:val="ExecSumBodyText"/>
        <w:numPr>
          <w:ilvl w:val="0"/>
          <w:numId w:val="11"/>
        </w:numPr>
        <w:spacing w:after="0"/>
        <w:ind w:left="1077" w:hanging="357"/>
        <w:rPr>
          <w:iCs/>
        </w:rPr>
      </w:pPr>
      <w:r w:rsidRPr="00FB1983">
        <w:rPr>
          <w:iCs/>
        </w:rPr>
        <w:t xml:space="preserve">Revised HSCT transition probabilities based on </w:t>
      </w:r>
      <w:r w:rsidR="00F7435B" w:rsidRPr="00FB1983">
        <w:rPr>
          <w:iCs/>
        </w:rPr>
        <w:t xml:space="preserve">a </w:t>
      </w:r>
      <w:r w:rsidRPr="00FB1983">
        <w:rPr>
          <w:iCs/>
        </w:rPr>
        <w:t xml:space="preserve">new </w:t>
      </w:r>
      <w:r w:rsidRPr="006E65B6">
        <w:rPr>
          <w:i/>
        </w:rPr>
        <w:t>ad</w:t>
      </w:r>
      <w:r w:rsidR="00862489" w:rsidRPr="006E65B6">
        <w:rPr>
          <w:i/>
        </w:rPr>
        <w:t xml:space="preserve"> </w:t>
      </w:r>
      <w:r w:rsidRPr="006E65B6">
        <w:rPr>
          <w:i/>
        </w:rPr>
        <w:t>hoc</w:t>
      </w:r>
      <w:r w:rsidRPr="00FB1983">
        <w:rPr>
          <w:iCs/>
        </w:rPr>
        <w:t xml:space="preserve"> analysis.</w:t>
      </w:r>
    </w:p>
    <w:p w14:paraId="5B1A9CD1" w14:textId="77777777" w:rsidR="00B42B0B" w:rsidRPr="00FB1983" w:rsidRDefault="00B42B0B" w:rsidP="00561C6A">
      <w:pPr>
        <w:pStyle w:val="ExecSumBodyText"/>
        <w:numPr>
          <w:ilvl w:val="0"/>
          <w:numId w:val="11"/>
        </w:numPr>
        <w:spacing w:after="0"/>
        <w:ind w:left="1077" w:hanging="357"/>
        <w:rPr>
          <w:iCs/>
        </w:rPr>
      </w:pPr>
      <w:r w:rsidRPr="00FB1983">
        <w:rPr>
          <w:iCs/>
        </w:rPr>
        <w:t>Removal of additional gemtuzumab induction costs, adverse event costs and consequences associated with patients with unknown risk who initiate gemtuzumab</w:t>
      </w:r>
      <w:r w:rsidR="00083E55" w:rsidRPr="00FB1983">
        <w:rPr>
          <w:iCs/>
        </w:rPr>
        <w:t xml:space="preserve"> and are</w:t>
      </w:r>
      <w:r w:rsidRPr="00FB1983">
        <w:rPr>
          <w:iCs/>
        </w:rPr>
        <w:t xml:space="preserve"> later confirm</w:t>
      </w:r>
      <w:r w:rsidR="00083E55" w:rsidRPr="00FB1983">
        <w:rPr>
          <w:iCs/>
        </w:rPr>
        <w:t>ed</w:t>
      </w:r>
      <w:r w:rsidRPr="00FB1983">
        <w:rPr>
          <w:iCs/>
        </w:rPr>
        <w:t xml:space="preserve"> as having unfavourable cytogenetic risk.</w:t>
      </w:r>
    </w:p>
    <w:p w14:paraId="26FEE9AD" w14:textId="77777777" w:rsidR="00B42B0B" w:rsidRPr="00FB1983" w:rsidRDefault="00B42B0B" w:rsidP="00561C6A">
      <w:pPr>
        <w:pStyle w:val="ExecSumBodyText"/>
        <w:numPr>
          <w:ilvl w:val="0"/>
          <w:numId w:val="11"/>
        </w:numPr>
        <w:rPr>
          <w:iCs/>
        </w:rPr>
      </w:pPr>
      <w:r w:rsidRPr="00FB1983">
        <w:rPr>
          <w:iCs/>
        </w:rPr>
        <w:t xml:space="preserve">Increased non-curative therapy costs. </w:t>
      </w:r>
    </w:p>
    <w:p w14:paraId="1C574CF8" w14:textId="77777777" w:rsidR="00DE22DC" w:rsidRPr="00FB1983" w:rsidRDefault="00B42B0B" w:rsidP="00641FB3">
      <w:pPr>
        <w:pStyle w:val="ExecSumBodyText"/>
        <w:rPr>
          <w:iCs/>
        </w:rPr>
      </w:pPr>
      <w:r w:rsidRPr="00FB1983">
        <w:rPr>
          <w:iCs/>
        </w:rPr>
        <w:t xml:space="preserve">There were also </w:t>
      </w:r>
      <w:r w:rsidR="00C87F06">
        <w:rPr>
          <w:iCs/>
        </w:rPr>
        <w:t xml:space="preserve">relatively minor </w:t>
      </w:r>
      <w:r w:rsidRPr="00FB1983">
        <w:rPr>
          <w:iCs/>
        </w:rPr>
        <w:t>changes to selected cost inputs based on issues raised in the March</w:t>
      </w:r>
      <w:r w:rsidR="00862489" w:rsidRPr="00FB1983">
        <w:rPr>
          <w:iCs/>
        </w:rPr>
        <w:t> </w:t>
      </w:r>
      <w:r w:rsidRPr="00FB1983">
        <w:rPr>
          <w:iCs/>
        </w:rPr>
        <w:t xml:space="preserve">2021 commentary and use of a revised public hospital/private hospital split to determine drug costs and other disease management costs. All cost inputs based on AR-DRG codes, PBS item codes and MBS item codes were also updated to the most recently published estimates. </w:t>
      </w:r>
    </w:p>
    <w:p w14:paraId="5C3085A2" w14:textId="77777777" w:rsidR="000B0CA1" w:rsidRPr="00FB1983" w:rsidRDefault="000B0CA1" w:rsidP="00641FB3">
      <w:pPr>
        <w:pStyle w:val="ExecSumBodyText"/>
        <w:rPr>
          <w:iCs/>
        </w:rPr>
      </w:pPr>
      <w:bookmarkStart w:id="33" w:name="_Ref88510028"/>
      <w:r w:rsidRPr="00FB1983">
        <w:rPr>
          <w:iCs/>
        </w:rPr>
        <w:t xml:space="preserve">Administration costs in the resubmission were revised using a public/private hospital split of 88%/12%. During the evaluation, the sponsor clarified that these </w:t>
      </w:r>
      <w:r w:rsidRPr="00EC36ED">
        <w:rPr>
          <w:iCs/>
        </w:rPr>
        <w:t xml:space="preserve">estimates were calculated in error and that the public/private hospital split should </w:t>
      </w:r>
      <w:r w:rsidR="00C87F06">
        <w:rPr>
          <w:iCs/>
        </w:rPr>
        <w:t xml:space="preserve">have </w:t>
      </w:r>
      <w:r w:rsidRPr="00EC36ED">
        <w:rPr>
          <w:iCs/>
        </w:rPr>
        <w:t>be</w:t>
      </w:r>
      <w:r w:rsidR="00C87F06">
        <w:rPr>
          <w:iCs/>
        </w:rPr>
        <w:t>en</w:t>
      </w:r>
      <w:r w:rsidRPr="00EC36ED">
        <w:rPr>
          <w:iCs/>
        </w:rPr>
        <w:t xml:space="preserve"> 83%/17%. This</w:t>
      </w:r>
      <w:r w:rsidRPr="00FB1983">
        <w:rPr>
          <w:iCs/>
        </w:rPr>
        <w:t xml:space="preserve"> was not corrected during the evaluation given the minimal impact on the results of the economic evaluation (ICER per QALY gained of $</w:t>
      </w:r>
      <w:r w:rsidR="00C737F9">
        <w:rPr>
          <w:iCs/>
        </w:rPr>
        <w:t>45,000 to &lt; $55,000</w:t>
      </w:r>
      <w:r w:rsidRPr="00FB1983">
        <w:rPr>
          <w:iCs/>
        </w:rPr>
        <w:t xml:space="preserve"> versus $</w:t>
      </w:r>
      <w:r w:rsidR="00C737F9">
        <w:rPr>
          <w:iCs/>
        </w:rPr>
        <w:t>45,000 to &lt; $55,000</w:t>
      </w:r>
      <w:r w:rsidRPr="00FB1983">
        <w:rPr>
          <w:iCs/>
        </w:rPr>
        <w:t xml:space="preserve"> in the base case).</w:t>
      </w:r>
      <w:bookmarkEnd w:id="33"/>
    </w:p>
    <w:p w14:paraId="4C8372E4" w14:textId="77777777" w:rsidR="005C4DE5" w:rsidRPr="00FB1983" w:rsidRDefault="005676EB" w:rsidP="00641FB3">
      <w:pPr>
        <w:pStyle w:val="ExecSumBodyText"/>
        <w:rPr>
          <w:iCs/>
        </w:rPr>
      </w:pPr>
      <w:r>
        <w:rPr>
          <w:iCs/>
        </w:rPr>
        <w:t>It was noted during</w:t>
      </w:r>
      <w:r w:rsidR="005C4DE5" w:rsidRPr="00FB1983">
        <w:rPr>
          <w:iCs/>
        </w:rPr>
        <w:t xml:space="preserve"> the evaluation of the economic analysis </w:t>
      </w:r>
      <w:r>
        <w:rPr>
          <w:iCs/>
        </w:rPr>
        <w:t xml:space="preserve">that many of the </w:t>
      </w:r>
      <w:r w:rsidR="005C4DE5" w:rsidRPr="00FB1983">
        <w:rPr>
          <w:iCs/>
        </w:rPr>
        <w:t>changes to the model in the resubmission compared to the previous submission</w:t>
      </w:r>
      <w:r>
        <w:rPr>
          <w:iCs/>
        </w:rPr>
        <w:t xml:space="preserve"> were</w:t>
      </w:r>
      <w:r w:rsidRPr="00FB1983">
        <w:rPr>
          <w:iCs/>
        </w:rPr>
        <w:t xml:space="preserve"> poor</w:t>
      </w:r>
      <w:r>
        <w:rPr>
          <w:iCs/>
        </w:rPr>
        <w:t>ly documented</w:t>
      </w:r>
      <w:r w:rsidR="005C4DE5" w:rsidRPr="00FB1983">
        <w:rPr>
          <w:iCs/>
        </w:rPr>
        <w:t xml:space="preserve">.  </w:t>
      </w:r>
    </w:p>
    <w:p w14:paraId="69DB62E7" w14:textId="77777777" w:rsidR="00483043" w:rsidRPr="00FB1983" w:rsidRDefault="00483043" w:rsidP="002E1071">
      <w:pPr>
        <w:pStyle w:val="ExecSumBodyText"/>
        <w:rPr>
          <w:iCs/>
        </w:rPr>
      </w:pPr>
      <w:r w:rsidRPr="00FB1983">
        <w:rPr>
          <w:iCs/>
        </w:rPr>
        <w:t xml:space="preserve">The structure of the economic model was </w:t>
      </w:r>
      <w:r w:rsidR="00864AB5" w:rsidRPr="00FB1983">
        <w:rPr>
          <w:iCs/>
        </w:rPr>
        <w:t>unchanged from the previous submission;</w:t>
      </w:r>
      <w:r w:rsidR="00864AB5">
        <w:t xml:space="preserve"> </w:t>
      </w:r>
      <w:r w:rsidR="00862489">
        <w:t xml:space="preserve">it was </w:t>
      </w:r>
      <w:r w:rsidRPr="00610FCD">
        <w:t xml:space="preserve">a semi-Markov cohort state-transition model. </w:t>
      </w:r>
      <w:r w:rsidR="00204278" w:rsidRPr="00610FCD">
        <w:t xml:space="preserve">The model used separate survival analyses based on the response status of patients (response or refractory). Transitions to relapse and death for patients in the response pathway were determined by relapse-free survival and overall survival curves that were separate to overall survival curves used to determine transitions to death in refractory patients. Subsequent transitions to downstream health states (and sub-states) were dependent on probabilities derived from these underlying survival curves. </w:t>
      </w:r>
      <w:r w:rsidR="00204278" w:rsidRPr="00FB1983">
        <w:rPr>
          <w:iCs/>
        </w:rPr>
        <w:t>This approach appeared more similar to a partitioned survival analysis rather than a state-transition modelling approach</w:t>
      </w:r>
      <w:r w:rsidR="00EC36ED">
        <w:rPr>
          <w:iCs/>
        </w:rPr>
        <w:t>,</w:t>
      </w:r>
      <w:r w:rsidR="00204278" w:rsidRPr="00FB1983">
        <w:rPr>
          <w:iCs/>
        </w:rPr>
        <w:t xml:space="preserve"> which uses explicit structural links between health states, such that differences in survival outcomes are determined by the combined effect of each treatment on individual health states and conditional transition probabilities.</w:t>
      </w:r>
    </w:p>
    <w:p w14:paraId="206E1C19" w14:textId="77777777" w:rsidR="00AF7166" w:rsidRPr="00610FCD" w:rsidRDefault="00AF7166" w:rsidP="002E1071">
      <w:pPr>
        <w:pStyle w:val="ExecSumBodyText"/>
      </w:pPr>
      <w:r w:rsidRPr="00610FCD">
        <w:t>T</w:t>
      </w:r>
      <w:r w:rsidR="002F072B" w:rsidRPr="00610FCD">
        <w:t xml:space="preserve">he </w:t>
      </w:r>
      <w:r w:rsidR="00483043" w:rsidRPr="00610FCD">
        <w:t>diagram</w:t>
      </w:r>
      <w:r w:rsidR="002F072B" w:rsidRPr="00610FCD">
        <w:t xml:space="preserve"> below presents the model structure</w:t>
      </w:r>
      <w:r w:rsidR="00862489">
        <w:t xml:space="preserve"> (unchanged from previous submission)</w:t>
      </w:r>
      <w:r w:rsidR="00F6156F" w:rsidRPr="00610FCD">
        <w:t>.</w:t>
      </w:r>
    </w:p>
    <w:p w14:paraId="3B38BF4D" w14:textId="77777777" w:rsidR="00A1237F" w:rsidRPr="00610FCD" w:rsidRDefault="00484063" w:rsidP="00D32B02">
      <w:pPr>
        <w:pStyle w:val="TableFigureCaption"/>
      </w:pPr>
      <w:r>
        <w:t xml:space="preserve">Figure </w:t>
      </w:r>
      <w:r w:rsidR="00F90EC3">
        <w:rPr>
          <w:noProof/>
        </w:rPr>
        <w:t>3</w:t>
      </w:r>
      <w:r w:rsidR="00A1237F" w:rsidRPr="00610FCD">
        <w:t>: Model structure diagram</w:t>
      </w:r>
    </w:p>
    <w:p w14:paraId="0B0FCD1C" w14:textId="77777777" w:rsidR="00A1237F" w:rsidRPr="00610FCD" w:rsidRDefault="00A1237F" w:rsidP="00D32B02">
      <w:pPr>
        <w:keepNext/>
      </w:pPr>
      <w:r w:rsidRPr="00610FCD">
        <w:rPr>
          <w:noProof/>
        </w:rPr>
        <w:drawing>
          <wp:inline distT="0" distB="0" distL="0" distR="0" wp14:anchorId="0467EB90" wp14:editId="21C4A7FD">
            <wp:extent cx="5732145" cy="4831715"/>
            <wp:effectExtent l="0" t="0" r="1905" b="6985"/>
            <wp:docPr id="20" name="Picture 20" title="Figure 3: Model stru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4831715"/>
                    </a:xfrm>
                    <a:prstGeom prst="rect">
                      <a:avLst/>
                    </a:prstGeom>
                  </pic:spPr>
                </pic:pic>
              </a:graphicData>
            </a:graphic>
          </wp:inline>
        </w:drawing>
      </w:r>
      <w:r w:rsidRPr="00610FCD">
        <w:t xml:space="preserve"> </w:t>
      </w:r>
    </w:p>
    <w:p w14:paraId="783C605E" w14:textId="77777777" w:rsidR="00A1237F" w:rsidRPr="00610FCD" w:rsidRDefault="00A1237F" w:rsidP="00D32B02">
      <w:pPr>
        <w:keepNext/>
        <w:spacing w:after="120"/>
        <w:contextualSpacing/>
        <w:rPr>
          <w:rFonts w:ascii="Arial Narrow" w:hAnsi="Arial Narrow"/>
          <w:snapToGrid w:val="0"/>
          <w:sz w:val="18"/>
          <w:szCs w:val="22"/>
        </w:rPr>
      </w:pPr>
      <w:r w:rsidRPr="00610FCD">
        <w:rPr>
          <w:rFonts w:ascii="Arial Narrow" w:hAnsi="Arial Narrow"/>
          <w:snapToGrid w:val="0"/>
          <w:sz w:val="18"/>
          <w:szCs w:val="22"/>
        </w:rPr>
        <w:t>Source: Figure 3.2.1, p195 of the resubmission</w:t>
      </w:r>
    </w:p>
    <w:p w14:paraId="3F49F501" w14:textId="77777777" w:rsidR="00F6156F" w:rsidRPr="00610FCD" w:rsidRDefault="00A1237F" w:rsidP="00D32B02">
      <w:pPr>
        <w:keepNext/>
        <w:spacing w:after="120"/>
        <w:contextualSpacing/>
        <w:rPr>
          <w:rFonts w:ascii="Arial Narrow" w:hAnsi="Arial Narrow"/>
          <w:snapToGrid w:val="0"/>
          <w:sz w:val="18"/>
          <w:szCs w:val="22"/>
        </w:rPr>
      </w:pPr>
      <w:r w:rsidRPr="00610FCD">
        <w:rPr>
          <w:rFonts w:ascii="Arial Narrow" w:hAnsi="Arial Narrow"/>
          <w:snapToGrid w:val="0"/>
          <w:sz w:val="18"/>
          <w:szCs w:val="22"/>
        </w:rPr>
        <w:t>AML, acute myeloid leukaemia; CR, complete remission; CRp, complete remission with incomplete platelet recovery; GVHS, graft versus host disease; HSCT, haematopoietic stem cell transplant</w:t>
      </w:r>
    </w:p>
    <w:p w14:paraId="1348EEC6" w14:textId="77777777" w:rsidR="00490B17" w:rsidRPr="00610FCD" w:rsidRDefault="007B4F70" w:rsidP="002E1071">
      <w:pPr>
        <w:pStyle w:val="ExecSumBodyText"/>
      </w:pPr>
      <w:r w:rsidRPr="00FB1983">
        <w:rPr>
          <w:iCs/>
          <w:snapToGrid/>
        </w:rPr>
        <w:t>The</w:t>
      </w:r>
      <w:r w:rsidR="00AF7166" w:rsidRPr="00FB1983">
        <w:rPr>
          <w:iCs/>
          <w:snapToGrid/>
        </w:rPr>
        <w:t xml:space="preserve"> PBAC </w:t>
      </w:r>
      <w:r w:rsidR="00C87F06">
        <w:rPr>
          <w:iCs/>
          <w:snapToGrid/>
        </w:rPr>
        <w:t xml:space="preserve">had </w:t>
      </w:r>
      <w:r w:rsidR="00AF7166" w:rsidRPr="00FB1983">
        <w:rPr>
          <w:iCs/>
          <w:snapToGrid/>
        </w:rPr>
        <w:t xml:space="preserve">previously considered that the </w:t>
      </w:r>
      <w:r w:rsidR="00333ABF" w:rsidRPr="00FB1983">
        <w:rPr>
          <w:iCs/>
          <w:snapToGrid/>
        </w:rPr>
        <w:t xml:space="preserve">model structure was overly complex making it difficult to determine the flow of patients through the model (para 7.13, gemtuzumab PSD, March 2021 PBAC meeting). </w:t>
      </w:r>
      <w:r w:rsidR="00B63C23" w:rsidRPr="00FB1983">
        <w:rPr>
          <w:iCs/>
          <w:snapToGrid/>
        </w:rPr>
        <w:t xml:space="preserve">The ESC considered that the complex model structure resulted in a need to rely on transition probabilities informed by subgroups consisting of small patient numbers, unsubstantiated assumptions and unverifiable expert opinion, all of which </w:t>
      </w:r>
      <w:r w:rsidR="00C87F06">
        <w:rPr>
          <w:iCs/>
          <w:snapToGrid/>
        </w:rPr>
        <w:t xml:space="preserve">had </w:t>
      </w:r>
      <w:r w:rsidR="00B63C23" w:rsidRPr="00FB1983">
        <w:rPr>
          <w:iCs/>
          <w:snapToGrid/>
        </w:rPr>
        <w:t xml:space="preserve">made the outcomes highly uncertain (para 6.6, gemtuzumab PSD, March 2021 PBAC meeting). </w:t>
      </w:r>
    </w:p>
    <w:p w14:paraId="6FFCD960" w14:textId="77777777" w:rsidR="00FE48D6" w:rsidRPr="00FB1983" w:rsidRDefault="00CE72E8" w:rsidP="002E1071">
      <w:pPr>
        <w:pStyle w:val="ExecSumBodyText"/>
        <w:rPr>
          <w:iCs/>
        </w:rPr>
      </w:pPr>
      <w:r w:rsidRPr="00610FCD">
        <w:t xml:space="preserve">Additional structural assumptions were included in the model in an attempt to limit the complexity of the state transition model by including relapse and HSCT as sub-states within the response, relapse and refractory health states respectively; and applying structural assumptions to the HSCT health state to avoid the need for separate states to capture patient ‘history’ and to ensure the internal validity of the model predictions. </w:t>
      </w:r>
      <w:r w:rsidRPr="00FB1983">
        <w:rPr>
          <w:iCs/>
        </w:rPr>
        <w:t>This approach</w:t>
      </w:r>
      <w:r w:rsidR="00B13CF7" w:rsidRPr="00FB1983">
        <w:rPr>
          <w:iCs/>
        </w:rPr>
        <w:t xml:space="preserve"> was unchanged from the previous submission, which</w:t>
      </w:r>
      <w:r w:rsidRPr="00FB1983">
        <w:rPr>
          <w:iCs/>
        </w:rPr>
        <w:t xml:space="preserve"> limited the ability of the model to fully capture the impact of alternative assumptions regarding HSCT rates (see sensitivity analysis section below).</w:t>
      </w:r>
    </w:p>
    <w:p w14:paraId="522C2199" w14:textId="77777777" w:rsidR="00A36AD5" w:rsidRPr="00FB1983" w:rsidRDefault="00A36AD5" w:rsidP="002E1071">
      <w:pPr>
        <w:pStyle w:val="ExecSumBodyText"/>
        <w:rPr>
          <w:iCs/>
        </w:rPr>
      </w:pPr>
      <w:r w:rsidRPr="00610FCD">
        <w:t>Despite the use of a complex structure and simplifying assumptions, the resubmission claimed the internal validity of the model was maintained and produced outcomes that were similar to results from the key trial.</w:t>
      </w:r>
      <w:r w:rsidRPr="00FB1983">
        <w:rPr>
          <w:iCs/>
        </w:rPr>
        <w:t xml:space="preserve"> While internal validity is important, the absence of an explicit structural link between relapse and HSCT and mortality rates significantly limit</w:t>
      </w:r>
      <w:r w:rsidR="00EB3AA9" w:rsidRPr="00FB1983">
        <w:rPr>
          <w:iCs/>
        </w:rPr>
        <w:t>ed</w:t>
      </w:r>
      <w:r w:rsidRPr="00FB1983">
        <w:rPr>
          <w:iCs/>
        </w:rPr>
        <w:t xml:space="preserve"> the flexibility of the model to fully reflect longer-term uncertainties. The lack of an explicit structural link between key states also result</w:t>
      </w:r>
      <w:r w:rsidR="00EB3AA9" w:rsidRPr="00FB1983">
        <w:rPr>
          <w:iCs/>
        </w:rPr>
        <w:t>ed</w:t>
      </w:r>
      <w:r w:rsidRPr="00FB1983">
        <w:rPr>
          <w:iCs/>
        </w:rPr>
        <w:t xml:space="preserve"> in the same independence assumption between clinical events that underpins the partitioned survival analysis approach. The ESC previously considered that any gains in clinical accuracy were offset by input uncertainty, particularly relating to the fact that although clinical data did not demonstrate a survival benefit for gemtuzumab patients, these benefits were applied in the model (para 6.63. gemtuzumab PSD, March 2021 PBAC meeting).</w:t>
      </w:r>
    </w:p>
    <w:p w14:paraId="0211CFD0" w14:textId="77777777" w:rsidR="00A36AD5" w:rsidRPr="00FB1983" w:rsidRDefault="00A36AD5" w:rsidP="002E1071">
      <w:pPr>
        <w:pStyle w:val="ExecSumBodyText"/>
        <w:rPr>
          <w:iCs/>
        </w:rPr>
      </w:pPr>
      <w:r w:rsidRPr="00FB1983">
        <w:rPr>
          <w:iCs/>
        </w:rPr>
        <w:t>Overall</w:t>
      </w:r>
      <w:r w:rsidR="005A6885" w:rsidRPr="00FB1983">
        <w:rPr>
          <w:iCs/>
        </w:rPr>
        <w:t xml:space="preserve">, modelled outcomes remained largely dependent on statistical cure fractions </w:t>
      </w:r>
      <w:r w:rsidR="004F4036" w:rsidRPr="00FB1983">
        <w:rPr>
          <w:iCs/>
        </w:rPr>
        <w:t xml:space="preserve">used to extrapolate survival beyond the trial duration and assumptions underpinning </w:t>
      </w:r>
      <w:r w:rsidR="0077664E" w:rsidRPr="00FB1983">
        <w:rPr>
          <w:iCs/>
        </w:rPr>
        <w:t xml:space="preserve">the functional cure health state. The validity of statistical cure fractions and the functional cure </w:t>
      </w:r>
      <w:r w:rsidR="003B3446" w:rsidRPr="00FB1983">
        <w:rPr>
          <w:iCs/>
        </w:rPr>
        <w:t xml:space="preserve">health state </w:t>
      </w:r>
      <w:r w:rsidR="0077664E" w:rsidRPr="00FB1983">
        <w:rPr>
          <w:iCs/>
        </w:rPr>
        <w:t>assumptions appeared more critical than the route by which patients achieved functional cure.</w:t>
      </w:r>
    </w:p>
    <w:p w14:paraId="005E2141" w14:textId="77777777" w:rsidR="00DF50A2" w:rsidRPr="00FB1983" w:rsidRDefault="002223CE" w:rsidP="002E1071">
      <w:pPr>
        <w:pStyle w:val="ExecSumBodyText"/>
        <w:rPr>
          <w:iCs/>
        </w:rPr>
      </w:pPr>
      <w:r w:rsidRPr="00610FCD">
        <w:t>The table below presents the estimated cure fractions informing long-term survival extrapolations in the model.</w:t>
      </w:r>
    </w:p>
    <w:p w14:paraId="362E610E" w14:textId="77777777" w:rsidR="00785D69" w:rsidRPr="00610FCD" w:rsidRDefault="000E50B8" w:rsidP="00BB4C36">
      <w:pPr>
        <w:pStyle w:val="TableFigureCaption"/>
      </w:pPr>
      <w:r>
        <w:t xml:space="preserve">Table </w:t>
      </w:r>
      <w:r w:rsidR="00F90EC3">
        <w:rPr>
          <w:noProof/>
        </w:rPr>
        <w:t>9</w:t>
      </w:r>
      <w:r w:rsidR="00785D69" w:rsidRPr="00610FCD">
        <w:t>: Estimated cure fractions used in the economic model</w:t>
      </w:r>
    </w:p>
    <w:tbl>
      <w:tblPr>
        <w:tblStyle w:val="LashStyleTable40"/>
        <w:tblW w:w="9038" w:type="dxa"/>
        <w:tblLook w:val="04A0" w:firstRow="1" w:lastRow="0" w:firstColumn="1" w:lastColumn="0" w:noHBand="0" w:noVBand="1"/>
        <w:tblCaption w:val="Table 9: Estimated cure fractions used in the economic model"/>
      </w:tblPr>
      <w:tblGrid>
        <w:gridCol w:w="2423"/>
        <w:gridCol w:w="2299"/>
        <w:gridCol w:w="2300"/>
        <w:gridCol w:w="2016"/>
      </w:tblGrid>
      <w:tr w:rsidR="00785D69" w:rsidRPr="00610FCD" w14:paraId="6D95B239" w14:textId="77777777" w:rsidTr="00A973E6">
        <w:trPr>
          <w:tblHeader/>
        </w:trPr>
        <w:tc>
          <w:tcPr>
            <w:tcW w:w="2423" w:type="dxa"/>
            <w:vMerge w:val="restart"/>
            <w:vAlign w:val="center"/>
          </w:tcPr>
          <w:p w14:paraId="2C4E2787" w14:textId="77777777" w:rsidR="00785D69" w:rsidRPr="00610FCD" w:rsidRDefault="00785D69" w:rsidP="00CA3DD2">
            <w:pPr>
              <w:keepNext/>
              <w:jc w:val="left"/>
              <w:rPr>
                <w:rFonts w:ascii="Arial Narrow" w:eastAsiaTheme="majorEastAsia" w:hAnsi="Arial Narrow" w:cstheme="majorBidi"/>
                <w:b/>
                <w:sz w:val="20"/>
              </w:rPr>
            </w:pPr>
            <w:r w:rsidRPr="00610FCD">
              <w:rPr>
                <w:rFonts w:ascii="Arial Narrow" w:eastAsiaTheme="majorEastAsia" w:hAnsi="Arial Narrow" w:cstheme="majorBidi"/>
                <w:b/>
                <w:sz w:val="20"/>
              </w:rPr>
              <w:t>Survival curve</w:t>
            </w:r>
          </w:p>
        </w:tc>
        <w:tc>
          <w:tcPr>
            <w:tcW w:w="4599" w:type="dxa"/>
            <w:gridSpan w:val="2"/>
            <w:vAlign w:val="center"/>
          </w:tcPr>
          <w:p w14:paraId="4D4F40A1" w14:textId="77777777" w:rsidR="00785D69" w:rsidRPr="00610FCD" w:rsidRDefault="00785D69" w:rsidP="00CA3DD2">
            <w:pPr>
              <w:keepNext/>
              <w:jc w:val="center"/>
              <w:rPr>
                <w:rFonts w:ascii="Arial Narrow" w:eastAsiaTheme="majorEastAsia" w:hAnsi="Arial Narrow" w:cstheme="majorBidi"/>
                <w:b/>
                <w:sz w:val="20"/>
              </w:rPr>
            </w:pPr>
            <w:r w:rsidRPr="00610FCD">
              <w:rPr>
                <w:rFonts w:ascii="Arial Narrow" w:eastAsiaTheme="majorEastAsia" w:hAnsi="Arial Narrow" w:cstheme="majorBidi"/>
                <w:b/>
                <w:sz w:val="20"/>
              </w:rPr>
              <w:t>Statistical cure fractions from MCM log-normal function</w:t>
            </w:r>
          </w:p>
        </w:tc>
        <w:tc>
          <w:tcPr>
            <w:tcW w:w="2016" w:type="dxa"/>
            <w:vMerge w:val="restart"/>
            <w:vAlign w:val="center"/>
          </w:tcPr>
          <w:p w14:paraId="746F517A" w14:textId="77777777" w:rsidR="00785D69" w:rsidRPr="00610FCD" w:rsidRDefault="00785D69" w:rsidP="00CA3DD2">
            <w:pPr>
              <w:keepNext/>
              <w:jc w:val="center"/>
              <w:rPr>
                <w:rFonts w:ascii="Arial Narrow" w:eastAsiaTheme="majorEastAsia" w:hAnsi="Arial Narrow" w:cstheme="majorBidi"/>
                <w:b/>
                <w:sz w:val="20"/>
              </w:rPr>
            </w:pPr>
            <w:r w:rsidRPr="00610FCD">
              <w:rPr>
                <w:rFonts w:ascii="Arial Narrow" w:eastAsiaTheme="majorEastAsia" w:hAnsi="Arial Narrow" w:cstheme="majorBidi"/>
                <w:b/>
                <w:sz w:val="20"/>
              </w:rPr>
              <w:t>HSCT cure rate</w:t>
            </w:r>
          </w:p>
        </w:tc>
      </w:tr>
      <w:tr w:rsidR="00785D69" w:rsidRPr="00610FCD" w14:paraId="41B12022" w14:textId="77777777" w:rsidTr="00A973E6">
        <w:trPr>
          <w:tblHeader/>
        </w:trPr>
        <w:tc>
          <w:tcPr>
            <w:tcW w:w="2423" w:type="dxa"/>
            <w:vMerge/>
          </w:tcPr>
          <w:p w14:paraId="22E32D1E" w14:textId="77777777" w:rsidR="00785D69" w:rsidRPr="00610FCD" w:rsidRDefault="00785D69" w:rsidP="00CA3DD2">
            <w:pPr>
              <w:keepNext/>
              <w:jc w:val="left"/>
              <w:rPr>
                <w:rFonts w:ascii="Arial Narrow" w:eastAsiaTheme="majorEastAsia" w:hAnsi="Arial Narrow" w:cstheme="majorBidi"/>
                <w:b/>
                <w:sz w:val="20"/>
              </w:rPr>
            </w:pPr>
          </w:p>
        </w:tc>
        <w:tc>
          <w:tcPr>
            <w:tcW w:w="2299" w:type="dxa"/>
            <w:vAlign w:val="center"/>
          </w:tcPr>
          <w:p w14:paraId="0046ADD8" w14:textId="77777777" w:rsidR="00785D69" w:rsidRPr="00610FCD" w:rsidRDefault="00785D69" w:rsidP="00CA3DD2">
            <w:pPr>
              <w:keepNext/>
              <w:jc w:val="center"/>
              <w:rPr>
                <w:rFonts w:ascii="Arial Narrow" w:eastAsiaTheme="majorEastAsia" w:hAnsi="Arial Narrow" w:cstheme="majorBidi"/>
                <w:b/>
                <w:sz w:val="20"/>
              </w:rPr>
            </w:pPr>
            <w:r w:rsidRPr="00610FCD">
              <w:rPr>
                <w:rFonts w:ascii="Arial Narrow" w:eastAsiaTheme="majorEastAsia" w:hAnsi="Arial Narrow" w:cstheme="majorBidi"/>
                <w:b/>
                <w:sz w:val="20"/>
              </w:rPr>
              <w:t>GO+DA</w:t>
            </w:r>
          </w:p>
        </w:tc>
        <w:tc>
          <w:tcPr>
            <w:tcW w:w="2300" w:type="dxa"/>
            <w:vAlign w:val="center"/>
          </w:tcPr>
          <w:p w14:paraId="3287F80F" w14:textId="77777777" w:rsidR="00785D69" w:rsidRPr="00610FCD" w:rsidRDefault="00785D69" w:rsidP="00CA3DD2">
            <w:pPr>
              <w:keepNext/>
              <w:jc w:val="center"/>
              <w:rPr>
                <w:rFonts w:ascii="Arial Narrow" w:eastAsiaTheme="majorEastAsia" w:hAnsi="Arial Narrow" w:cstheme="majorBidi"/>
                <w:b/>
                <w:sz w:val="20"/>
              </w:rPr>
            </w:pPr>
            <w:r w:rsidRPr="00610FCD">
              <w:rPr>
                <w:rFonts w:ascii="Arial Narrow" w:eastAsiaTheme="majorEastAsia" w:hAnsi="Arial Narrow" w:cstheme="majorBidi"/>
                <w:b/>
                <w:sz w:val="20"/>
              </w:rPr>
              <w:t>DA</w:t>
            </w:r>
          </w:p>
        </w:tc>
        <w:tc>
          <w:tcPr>
            <w:tcW w:w="2016" w:type="dxa"/>
            <w:vMerge/>
          </w:tcPr>
          <w:p w14:paraId="254420F5" w14:textId="77777777" w:rsidR="00785D69" w:rsidRPr="00610FCD" w:rsidRDefault="00785D69" w:rsidP="00CA3DD2">
            <w:pPr>
              <w:keepNext/>
              <w:jc w:val="center"/>
              <w:rPr>
                <w:rFonts w:ascii="Arial Narrow" w:eastAsiaTheme="majorEastAsia" w:hAnsi="Arial Narrow" w:cstheme="majorBidi"/>
                <w:b/>
                <w:sz w:val="20"/>
              </w:rPr>
            </w:pPr>
          </w:p>
        </w:tc>
      </w:tr>
      <w:tr w:rsidR="00785D69" w:rsidRPr="00610FCD" w14:paraId="480084D6" w14:textId="77777777" w:rsidTr="00CA3DD2">
        <w:tc>
          <w:tcPr>
            <w:tcW w:w="2423" w:type="dxa"/>
            <w:vAlign w:val="center"/>
          </w:tcPr>
          <w:p w14:paraId="432A9CFB" w14:textId="77777777" w:rsidR="00785D69" w:rsidRPr="00610FCD" w:rsidRDefault="00785D69" w:rsidP="00CA3DD2">
            <w:pPr>
              <w:keepNext/>
              <w:jc w:val="left"/>
              <w:rPr>
                <w:rFonts w:ascii="Arial Narrow" w:eastAsiaTheme="majorEastAsia" w:hAnsi="Arial Narrow" w:cstheme="majorBidi"/>
                <w:bCs/>
                <w:sz w:val="20"/>
              </w:rPr>
            </w:pPr>
            <w:r w:rsidRPr="00610FCD">
              <w:rPr>
                <w:rFonts w:ascii="Arial Narrow" w:eastAsiaTheme="majorEastAsia" w:hAnsi="Arial Narrow" w:cstheme="majorBidi"/>
                <w:bCs/>
                <w:sz w:val="20"/>
              </w:rPr>
              <w:t>Overall survival (response)</w:t>
            </w:r>
          </w:p>
        </w:tc>
        <w:tc>
          <w:tcPr>
            <w:tcW w:w="2299" w:type="dxa"/>
            <w:vAlign w:val="center"/>
          </w:tcPr>
          <w:p w14:paraId="54D520D9" w14:textId="77777777" w:rsidR="00785D69" w:rsidRPr="00610FCD" w:rsidRDefault="00785D69" w:rsidP="00CA3DD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52.1%</w:t>
            </w:r>
          </w:p>
        </w:tc>
        <w:tc>
          <w:tcPr>
            <w:tcW w:w="2300" w:type="dxa"/>
            <w:vAlign w:val="center"/>
          </w:tcPr>
          <w:p w14:paraId="0F5A129B" w14:textId="77777777" w:rsidR="00785D69" w:rsidRPr="00610FCD" w:rsidRDefault="00785D69" w:rsidP="00CA3DD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40.0%</w:t>
            </w:r>
          </w:p>
        </w:tc>
        <w:tc>
          <w:tcPr>
            <w:tcW w:w="2016" w:type="dxa"/>
          </w:tcPr>
          <w:p w14:paraId="0D887BC2" w14:textId="77777777" w:rsidR="00785D69" w:rsidRPr="00610FCD" w:rsidRDefault="00785D69" w:rsidP="00CA3DD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42.2%</w:t>
            </w:r>
          </w:p>
        </w:tc>
      </w:tr>
      <w:tr w:rsidR="00785D69" w:rsidRPr="00610FCD" w14:paraId="4232D310" w14:textId="77777777" w:rsidTr="00CA3DD2">
        <w:tc>
          <w:tcPr>
            <w:tcW w:w="2423" w:type="dxa"/>
            <w:vAlign w:val="center"/>
          </w:tcPr>
          <w:p w14:paraId="56F4EAE5" w14:textId="77777777" w:rsidR="00785D69" w:rsidRPr="00610FCD" w:rsidRDefault="00785D69" w:rsidP="00CA3DD2">
            <w:pPr>
              <w:keepNext/>
              <w:jc w:val="left"/>
              <w:rPr>
                <w:rFonts w:ascii="Arial Narrow" w:eastAsiaTheme="majorEastAsia" w:hAnsi="Arial Narrow" w:cstheme="majorBidi"/>
                <w:bCs/>
                <w:sz w:val="20"/>
              </w:rPr>
            </w:pPr>
            <w:r w:rsidRPr="00610FCD">
              <w:rPr>
                <w:rFonts w:ascii="Arial Narrow" w:eastAsiaTheme="majorEastAsia" w:hAnsi="Arial Narrow" w:cstheme="majorBidi"/>
                <w:bCs/>
                <w:sz w:val="20"/>
              </w:rPr>
              <w:t>Relapse-free survival</w:t>
            </w:r>
          </w:p>
        </w:tc>
        <w:tc>
          <w:tcPr>
            <w:tcW w:w="2299" w:type="dxa"/>
            <w:vAlign w:val="center"/>
          </w:tcPr>
          <w:p w14:paraId="0CE43547" w14:textId="77777777" w:rsidR="00785D69" w:rsidRPr="00610FCD" w:rsidRDefault="00785D69" w:rsidP="00CA3DD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34.3%</w:t>
            </w:r>
          </w:p>
        </w:tc>
        <w:tc>
          <w:tcPr>
            <w:tcW w:w="2300" w:type="dxa"/>
            <w:vAlign w:val="center"/>
          </w:tcPr>
          <w:p w14:paraId="29DC8F5B" w14:textId="77777777" w:rsidR="00785D69" w:rsidRPr="00610FCD" w:rsidRDefault="00785D69" w:rsidP="00CA3DD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20.6%</w:t>
            </w:r>
          </w:p>
        </w:tc>
        <w:tc>
          <w:tcPr>
            <w:tcW w:w="2016" w:type="dxa"/>
          </w:tcPr>
          <w:p w14:paraId="0D745022" w14:textId="77777777" w:rsidR="00785D69" w:rsidRPr="00610FCD" w:rsidRDefault="00785D69" w:rsidP="00CA3DD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w:t>
            </w:r>
          </w:p>
        </w:tc>
      </w:tr>
    </w:tbl>
    <w:p w14:paraId="32D7D4D2" w14:textId="77777777" w:rsidR="00785D69" w:rsidRPr="00610FCD" w:rsidRDefault="00785D69" w:rsidP="00785D69">
      <w:pPr>
        <w:spacing w:after="120"/>
        <w:contextualSpacing/>
        <w:rPr>
          <w:rFonts w:ascii="Arial Narrow" w:hAnsi="Arial Narrow"/>
          <w:snapToGrid w:val="0"/>
          <w:sz w:val="18"/>
          <w:szCs w:val="22"/>
        </w:rPr>
      </w:pPr>
      <w:r w:rsidRPr="00610FCD">
        <w:rPr>
          <w:rFonts w:ascii="Arial Narrow" w:hAnsi="Arial Narrow"/>
          <w:snapToGrid w:val="0"/>
          <w:sz w:val="18"/>
          <w:szCs w:val="22"/>
        </w:rPr>
        <w:t>Source: Adapted from Table 3.7.3, p 254 of the resubmission</w:t>
      </w:r>
    </w:p>
    <w:p w14:paraId="1D0C451F" w14:textId="77777777" w:rsidR="002223CE" w:rsidRPr="00610FCD" w:rsidRDefault="00B13CF7" w:rsidP="00785D69">
      <w:pPr>
        <w:spacing w:after="120"/>
        <w:contextualSpacing/>
        <w:rPr>
          <w:rFonts w:ascii="Arial Narrow" w:hAnsi="Arial Narrow"/>
          <w:snapToGrid w:val="0"/>
          <w:sz w:val="18"/>
          <w:szCs w:val="22"/>
        </w:rPr>
      </w:pPr>
      <w:r>
        <w:rPr>
          <w:rFonts w:ascii="Arial Narrow" w:hAnsi="Arial Narrow"/>
          <w:snapToGrid w:val="0"/>
          <w:sz w:val="18"/>
          <w:szCs w:val="22"/>
        </w:rPr>
        <w:t xml:space="preserve">DA, daunorubicin; GO, gemtuzumab; </w:t>
      </w:r>
      <w:r w:rsidR="00785D69" w:rsidRPr="00610FCD">
        <w:rPr>
          <w:rFonts w:ascii="Arial Narrow" w:hAnsi="Arial Narrow"/>
          <w:snapToGrid w:val="0"/>
          <w:sz w:val="18"/>
          <w:szCs w:val="22"/>
        </w:rPr>
        <w:t>HSCT, haematopoietic stem cell transplant; MCM, mixture cure model</w:t>
      </w:r>
    </w:p>
    <w:p w14:paraId="7AC47F04" w14:textId="77777777" w:rsidR="00761F87" w:rsidRPr="00FB1983" w:rsidRDefault="00761F87" w:rsidP="00761F87">
      <w:pPr>
        <w:pStyle w:val="ExecSumBodyText"/>
        <w:rPr>
          <w:iCs/>
        </w:rPr>
      </w:pPr>
      <w:r w:rsidRPr="00FB1983">
        <w:rPr>
          <w:iCs/>
        </w:rPr>
        <w:t xml:space="preserve">The PBAC </w:t>
      </w:r>
      <w:r w:rsidR="00344F17">
        <w:rPr>
          <w:iCs/>
        </w:rPr>
        <w:t xml:space="preserve">had </w:t>
      </w:r>
      <w:r w:rsidRPr="00FB1983">
        <w:rPr>
          <w:iCs/>
        </w:rPr>
        <w:t xml:space="preserve">previously considered that it was unclear whether the trial-based data were sufficiently robust representations of functional cure that would translate into ongoing survival benefits, particularly as there were substantial differences in the estimated cure fractions for relapse-free survival and overall survival. The PBAC </w:t>
      </w:r>
      <w:r w:rsidR="00344F17">
        <w:rPr>
          <w:iCs/>
        </w:rPr>
        <w:t xml:space="preserve">had </w:t>
      </w:r>
      <w:r w:rsidRPr="00FB1983">
        <w:rPr>
          <w:iCs/>
        </w:rPr>
        <w:t xml:space="preserve">previously noted that higher cure fractions were estimated for overall survival than for relapse-free survival, which was not clinically plausible unless patients who relapsed became functionally cured due to subsequent therapies and/or HSCT, which is relatively rare in AML. In addition, the PBAC </w:t>
      </w:r>
      <w:r w:rsidR="00344F17">
        <w:rPr>
          <w:iCs/>
        </w:rPr>
        <w:t xml:space="preserve">had </w:t>
      </w:r>
      <w:r w:rsidRPr="00FB1983">
        <w:rPr>
          <w:iCs/>
        </w:rPr>
        <w:t>considered that the cure fractions based on overall survival (52.1% in the gemtuzumab arm and 40.0% in the comparator arm) were high compared to the estimated cure fraction due to HSCT (42.2%) (para 7.13, gemtuzumab PSD, March 2021 PBAC meeting).</w:t>
      </w:r>
      <w:r w:rsidR="00022119">
        <w:rPr>
          <w:iCs/>
        </w:rPr>
        <w:t xml:space="preserve"> </w:t>
      </w:r>
    </w:p>
    <w:p w14:paraId="5F49A49A" w14:textId="77777777" w:rsidR="00785D69" w:rsidRPr="00610FCD" w:rsidRDefault="00761F87" w:rsidP="002E1071">
      <w:pPr>
        <w:pStyle w:val="ExecSumBodyText"/>
      </w:pPr>
      <w:r w:rsidRPr="00610FCD">
        <w:t>The resubmission argued that it is clinically plausible that relapsed patients receiving subsequent therapies (particularly HSCT), have the potential to achieve functional cure</w:t>
      </w:r>
      <w:r w:rsidR="00344F17">
        <w:t>,</w:t>
      </w:r>
      <w:r w:rsidRPr="00610FCD">
        <w:t xml:space="preserve"> therefore justifying the higher cure fraction for overall survival compared to relapse-free survival. Moreover, the resubmission claimed that the application of forced convergence of overall survival reduce</w:t>
      </w:r>
      <w:r w:rsidR="00EB3AA9">
        <w:t>d</w:t>
      </w:r>
      <w:r w:rsidRPr="00610FCD">
        <w:t xml:space="preserve"> the impact of the cure fractions used in survival extrapolation.</w:t>
      </w:r>
    </w:p>
    <w:p w14:paraId="273C945E" w14:textId="77777777" w:rsidR="00761F87" w:rsidRDefault="00761F87" w:rsidP="002E1071">
      <w:pPr>
        <w:pStyle w:val="ExecSumBodyText"/>
        <w:rPr>
          <w:iCs/>
        </w:rPr>
      </w:pPr>
      <w:r w:rsidRPr="00610FCD">
        <w:t xml:space="preserve">The resubmission stated that the difference in cure fractions between arms </w:t>
      </w:r>
      <w:r w:rsidR="00CE56BE">
        <w:t>was</w:t>
      </w:r>
      <w:r w:rsidR="00CE56BE" w:rsidRPr="00610FCD">
        <w:t xml:space="preserve"> </w:t>
      </w:r>
      <w:r w:rsidRPr="00610FCD">
        <w:t>similar for both outcomes. The resubmission claimed that this difference was more important in the determination of the cost-effectiveness results rather than absolute cure fractions as the incremental difference in survival benefit was the driver of QALY differences between arms.</w:t>
      </w:r>
      <w:r w:rsidRPr="00FB1983">
        <w:rPr>
          <w:iCs/>
        </w:rPr>
        <w:t xml:space="preserve"> While modelled survival benefit was a key driver of cost-effectiveness results, </w:t>
      </w:r>
      <w:r w:rsidR="00296F00" w:rsidRPr="00FB1983">
        <w:rPr>
          <w:iCs/>
        </w:rPr>
        <w:t xml:space="preserve">differences in costs and </w:t>
      </w:r>
      <w:r w:rsidRPr="00FB1983">
        <w:rPr>
          <w:iCs/>
        </w:rPr>
        <w:t>QALY</w:t>
      </w:r>
      <w:r w:rsidR="00296F00" w:rsidRPr="00FB1983">
        <w:rPr>
          <w:iCs/>
        </w:rPr>
        <w:t>s</w:t>
      </w:r>
      <w:r w:rsidRPr="00FB1983">
        <w:rPr>
          <w:iCs/>
        </w:rPr>
        <w:t xml:space="preserve"> were also driven by assumptions underpinning transitions, </w:t>
      </w:r>
      <w:r w:rsidR="007B1379" w:rsidRPr="00FB1983">
        <w:rPr>
          <w:iCs/>
        </w:rPr>
        <w:t>costs,</w:t>
      </w:r>
      <w:r w:rsidRPr="00FB1983">
        <w:rPr>
          <w:iCs/>
        </w:rPr>
        <w:t xml:space="preserve"> and consequences in the functional cure health state. Based on expert opinion, the resubmission assumed that all patients are functionally cured after remaining in remission for 5 years</w:t>
      </w:r>
      <w:r w:rsidR="00C2620A" w:rsidRPr="00FB1983">
        <w:rPr>
          <w:iCs/>
        </w:rPr>
        <w:t>. These patients transitioned to the functional cure health state</w:t>
      </w:r>
      <w:r w:rsidRPr="00FB1983">
        <w:rPr>
          <w:iCs/>
        </w:rPr>
        <w:t xml:space="preserve"> with no ongoing costs and were attributed general population health utility values.</w:t>
      </w:r>
      <w:r w:rsidR="00E61A47">
        <w:rPr>
          <w:iCs/>
        </w:rPr>
        <w:t xml:space="preserve"> </w:t>
      </w:r>
    </w:p>
    <w:p w14:paraId="5A14AD9E" w14:textId="610F0BBB" w:rsidR="00022119" w:rsidRPr="00344F17" w:rsidRDefault="00022119" w:rsidP="002E1071">
      <w:pPr>
        <w:pStyle w:val="ExecSumBodyText"/>
        <w:rPr>
          <w:iCs/>
        </w:rPr>
      </w:pPr>
      <w:r w:rsidRPr="00344F17">
        <w:rPr>
          <w:iCs/>
        </w:rPr>
        <w:t xml:space="preserve">The PSCR </w:t>
      </w:r>
      <w:r w:rsidR="009772A8">
        <w:rPr>
          <w:iCs/>
        </w:rPr>
        <w:t xml:space="preserve">and pre-PBAC </w:t>
      </w:r>
      <w:r w:rsidR="00E62D2D">
        <w:rPr>
          <w:iCs/>
        </w:rPr>
        <w:t xml:space="preserve">response </w:t>
      </w:r>
      <w:r w:rsidR="00E62D2D" w:rsidRPr="00344F17">
        <w:rPr>
          <w:iCs/>
        </w:rPr>
        <w:t>maintained</w:t>
      </w:r>
      <w:r w:rsidRPr="00344F17">
        <w:rPr>
          <w:iCs/>
        </w:rPr>
        <w:t xml:space="preserve"> the appropriateness of the </w:t>
      </w:r>
      <w:r w:rsidR="00952939" w:rsidRPr="00344F17">
        <w:rPr>
          <w:iCs/>
        </w:rPr>
        <w:t>mixture cure model</w:t>
      </w:r>
      <w:r w:rsidRPr="00344F17">
        <w:rPr>
          <w:iCs/>
        </w:rPr>
        <w:t xml:space="preserve"> methodology, and argued that applying standard parametric curves showed poor fit to the data based on visual inspection; all curves would cut through the plateau observed in the data</w:t>
      </w:r>
      <w:r w:rsidR="00900474" w:rsidRPr="00344F17">
        <w:rPr>
          <w:iCs/>
        </w:rPr>
        <w:t xml:space="preserve">. It reiterated that the magnitude of the cure fractions applied in the model were clinically plausible. </w:t>
      </w:r>
    </w:p>
    <w:p w14:paraId="66556D93" w14:textId="77777777" w:rsidR="004518E3" w:rsidRPr="00FB1983" w:rsidRDefault="003B3446" w:rsidP="002E1071">
      <w:pPr>
        <w:pStyle w:val="ExecSumBodyText"/>
        <w:rPr>
          <w:iCs/>
        </w:rPr>
      </w:pPr>
      <w:r w:rsidRPr="00FB1983">
        <w:rPr>
          <w:iCs/>
        </w:rPr>
        <w:t>The table below was constructed during the evaluation to illustrate modelled outcomes based on the use of mixture cure models to extrapolate overall survival and relapse-free survival (in patients with response), functional cure health state assumptions</w:t>
      </w:r>
      <w:r w:rsidR="00E65D7B" w:rsidRPr="00FB1983">
        <w:rPr>
          <w:iCs/>
        </w:rPr>
        <w:t xml:space="preserve"> and to determine the impact of forced convergence of overall survival.</w:t>
      </w:r>
    </w:p>
    <w:p w14:paraId="76597ECF" w14:textId="77777777" w:rsidR="00E65D7B" w:rsidRPr="00610FCD" w:rsidRDefault="000E50B8" w:rsidP="003D660F">
      <w:pPr>
        <w:pStyle w:val="TableFigureCaption"/>
        <w:keepLines/>
      </w:pPr>
      <w:bookmarkStart w:id="34" w:name="_Ref81997242"/>
      <w:r>
        <w:t xml:space="preserve">Table </w:t>
      </w:r>
      <w:r w:rsidR="00F90EC3">
        <w:rPr>
          <w:noProof/>
        </w:rPr>
        <w:t>10</w:t>
      </w:r>
      <w:bookmarkEnd w:id="34"/>
      <w:r w:rsidR="00E65D7B" w:rsidRPr="00610FCD">
        <w:t xml:space="preserve">: </w:t>
      </w:r>
      <w:r w:rsidR="00541399">
        <w:t xml:space="preserve">Model trace </w:t>
      </w:r>
      <w:r w:rsidR="00E94BD9">
        <w:t>of proportion of patients remaining in health states over time</w:t>
      </w:r>
    </w:p>
    <w:tbl>
      <w:tblPr>
        <w:tblStyle w:val="TableGrid"/>
        <w:tblW w:w="0" w:type="auto"/>
        <w:tblCellMar>
          <w:left w:w="28" w:type="dxa"/>
          <w:right w:w="28" w:type="dxa"/>
        </w:tblCellMar>
        <w:tblLook w:val="04A0" w:firstRow="1" w:lastRow="0" w:firstColumn="1" w:lastColumn="0" w:noHBand="0" w:noVBand="1"/>
        <w:tblCaption w:val="Table 10: Model trace of proportion of patients remaining in health states over time"/>
      </w:tblPr>
      <w:tblGrid>
        <w:gridCol w:w="1215"/>
        <w:gridCol w:w="852"/>
        <w:gridCol w:w="853"/>
        <w:gridCol w:w="854"/>
        <w:gridCol w:w="854"/>
        <w:gridCol w:w="973"/>
        <w:gridCol w:w="854"/>
        <w:gridCol w:w="854"/>
        <w:gridCol w:w="854"/>
        <w:gridCol w:w="854"/>
      </w:tblGrid>
      <w:tr w:rsidR="00E65D7B" w:rsidRPr="00610FCD" w14:paraId="00E45778" w14:textId="77777777" w:rsidTr="002F02A1">
        <w:trPr>
          <w:tblHeader/>
        </w:trPr>
        <w:tc>
          <w:tcPr>
            <w:tcW w:w="1215" w:type="dxa"/>
          </w:tcPr>
          <w:p w14:paraId="6262C64E" w14:textId="77777777" w:rsidR="00E65D7B" w:rsidRPr="00610FCD" w:rsidRDefault="00E65D7B" w:rsidP="003D660F">
            <w:pPr>
              <w:pStyle w:val="Tabletext0"/>
              <w:keepNext/>
              <w:keepLines/>
              <w:widowControl w:val="0"/>
              <w:rPr>
                <w:b/>
                <w:bCs/>
              </w:rPr>
            </w:pPr>
            <w:r w:rsidRPr="00610FCD">
              <w:rPr>
                <w:b/>
                <w:bCs/>
              </w:rPr>
              <w:t>Years</w:t>
            </w:r>
          </w:p>
        </w:tc>
        <w:tc>
          <w:tcPr>
            <w:tcW w:w="852" w:type="dxa"/>
            <w:vAlign w:val="center"/>
          </w:tcPr>
          <w:p w14:paraId="025E88F7" w14:textId="77777777" w:rsidR="00E65D7B" w:rsidRPr="00610FCD" w:rsidRDefault="00E65D7B" w:rsidP="003D660F">
            <w:pPr>
              <w:pStyle w:val="Tabletext0"/>
              <w:keepNext/>
              <w:keepLines/>
              <w:widowControl w:val="0"/>
              <w:jc w:val="center"/>
              <w:rPr>
                <w:b/>
                <w:bCs/>
              </w:rPr>
            </w:pPr>
            <w:r w:rsidRPr="00610FCD">
              <w:rPr>
                <w:b/>
                <w:bCs/>
              </w:rPr>
              <w:t>1</w:t>
            </w:r>
          </w:p>
        </w:tc>
        <w:tc>
          <w:tcPr>
            <w:tcW w:w="853" w:type="dxa"/>
            <w:vAlign w:val="center"/>
          </w:tcPr>
          <w:p w14:paraId="7FB90B0C" w14:textId="77777777" w:rsidR="00E65D7B" w:rsidRPr="00610FCD" w:rsidRDefault="00E65D7B" w:rsidP="003D660F">
            <w:pPr>
              <w:pStyle w:val="Tabletext0"/>
              <w:keepNext/>
              <w:keepLines/>
              <w:widowControl w:val="0"/>
              <w:jc w:val="center"/>
              <w:rPr>
                <w:b/>
                <w:bCs/>
              </w:rPr>
            </w:pPr>
            <w:r w:rsidRPr="00610FCD">
              <w:rPr>
                <w:b/>
                <w:bCs/>
              </w:rPr>
              <w:t>2</w:t>
            </w:r>
          </w:p>
        </w:tc>
        <w:tc>
          <w:tcPr>
            <w:tcW w:w="854" w:type="dxa"/>
            <w:vAlign w:val="center"/>
          </w:tcPr>
          <w:p w14:paraId="78E9C8B7" w14:textId="77777777" w:rsidR="00E65D7B" w:rsidRPr="00610FCD" w:rsidRDefault="00E65D7B" w:rsidP="003D660F">
            <w:pPr>
              <w:pStyle w:val="Tabletext0"/>
              <w:keepNext/>
              <w:keepLines/>
              <w:widowControl w:val="0"/>
              <w:jc w:val="center"/>
              <w:rPr>
                <w:b/>
                <w:bCs/>
              </w:rPr>
            </w:pPr>
            <w:r w:rsidRPr="00610FCD">
              <w:rPr>
                <w:b/>
                <w:bCs/>
              </w:rPr>
              <w:t>3</w:t>
            </w:r>
          </w:p>
        </w:tc>
        <w:tc>
          <w:tcPr>
            <w:tcW w:w="854" w:type="dxa"/>
            <w:vAlign w:val="center"/>
          </w:tcPr>
          <w:p w14:paraId="3BC600E7" w14:textId="77777777" w:rsidR="00E65D7B" w:rsidRPr="00610FCD" w:rsidRDefault="00E65D7B" w:rsidP="003D660F">
            <w:pPr>
              <w:pStyle w:val="Tabletext0"/>
              <w:keepNext/>
              <w:keepLines/>
              <w:widowControl w:val="0"/>
              <w:jc w:val="center"/>
              <w:rPr>
                <w:b/>
                <w:bCs/>
              </w:rPr>
            </w:pPr>
            <w:r w:rsidRPr="00610FCD">
              <w:rPr>
                <w:b/>
                <w:bCs/>
              </w:rPr>
              <w:t>4</w:t>
            </w:r>
          </w:p>
        </w:tc>
        <w:tc>
          <w:tcPr>
            <w:tcW w:w="973" w:type="dxa"/>
            <w:vAlign w:val="center"/>
          </w:tcPr>
          <w:p w14:paraId="361D7177" w14:textId="77777777" w:rsidR="00E65D7B" w:rsidRPr="00610FCD" w:rsidRDefault="00E65D7B" w:rsidP="003D660F">
            <w:pPr>
              <w:pStyle w:val="Tabletext0"/>
              <w:keepNext/>
              <w:keepLines/>
              <w:widowControl w:val="0"/>
              <w:jc w:val="center"/>
              <w:rPr>
                <w:b/>
                <w:bCs/>
              </w:rPr>
            </w:pPr>
            <w:r w:rsidRPr="00610FCD">
              <w:rPr>
                <w:b/>
                <w:bCs/>
              </w:rPr>
              <w:t>5</w:t>
            </w:r>
          </w:p>
        </w:tc>
        <w:tc>
          <w:tcPr>
            <w:tcW w:w="854" w:type="dxa"/>
            <w:vAlign w:val="center"/>
          </w:tcPr>
          <w:p w14:paraId="2296AA04" w14:textId="77777777" w:rsidR="00E65D7B" w:rsidRPr="00610FCD" w:rsidRDefault="00E65D7B" w:rsidP="003D660F">
            <w:pPr>
              <w:pStyle w:val="Tabletext0"/>
              <w:keepNext/>
              <w:keepLines/>
              <w:widowControl w:val="0"/>
              <w:jc w:val="center"/>
              <w:rPr>
                <w:b/>
                <w:bCs/>
              </w:rPr>
            </w:pPr>
            <w:r w:rsidRPr="00610FCD">
              <w:rPr>
                <w:b/>
                <w:bCs/>
              </w:rPr>
              <w:t>10</w:t>
            </w:r>
          </w:p>
        </w:tc>
        <w:tc>
          <w:tcPr>
            <w:tcW w:w="854" w:type="dxa"/>
            <w:vAlign w:val="center"/>
          </w:tcPr>
          <w:p w14:paraId="09050F62" w14:textId="77777777" w:rsidR="00E65D7B" w:rsidRPr="00610FCD" w:rsidRDefault="00E65D7B" w:rsidP="003D660F">
            <w:pPr>
              <w:pStyle w:val="Tabletext0"/>
              <w:keepNext/>
              <w:keepLines/>
              <w:widowControl w:val="0"/>
              <w:jc w:val="center"/>
              <w:rPr>
                <w:b/>
                <w:bCs/>
              </w:rPr>
            </w:pPr>
            <w:r w:rsidRPr="00610FCD">
              <w:rPr>
                <w:b/>
                <w:bCs/>
              </w:rPr>
              <w:t>15</w:t>
            </w:r>
          </w:p>
        </w:tc>
        <w:tc>
          <w:tcPr>
            <w:tcW w:w="854" w:type="dxa"/>
            <w:vAlign w:val="center"/>
          </w:tcPr>
          <w:p w14:paraId="222BD15C" w14:textId="77777777" w:rsidR="00E65D7B" w:rsidRPr="00610FCD" w:rsidRDefault="00E65D7B" w:rsidP="003D660F">
            <w:pPr>
              <w:pStyle w:val="Tabletext0"/>
              <w:keepNext/>
              <w:keepLines/>
              <w:widowControl w:val="0"/>
              <w:jc w:val="center"/>
              <w:rPr>
                <w:b/>
                <w:bCs/>
              </w:rPr>
            </w:pPr>
            <w:r w:rsidRPr="00610FCD">
              <w:rPr>
                <w:b/>
                <w:bCs/>
              </w:rPr>
              <w:t>20</w:t>
            </w:r>
          </w:p>
        </w:tc>
        <w:tc>
          <w:tcPr>
            <w:tcW w:w="854" w:type="dxa"/>
            <w:vAlign w:val="center"/>
          </w:tcPr>
          <w:p w14:paraId="060B7717" w14:textId="77777777" w:rsidR="00E65D7B" w:rsidRPr="00610FCD" w:rsidRDefault="00E65D7B" w:rsidP="003D660F">
            <w:pPr>
              <w:pStyle w:val="Tabletext0"/>
              <w:keepNext/>
              <w:keepLines/>
              <w:widowControl w:val="0"/>
              <w:jc w:val="center"/>
              <w:rPr>
                <w:b/>
                <w:bCs/>
              </w:rPr>
            </w:pPr>
            <w:r w:rsidRPr="00610FCD">
              <w:rPr>
                <w:b/>
                <w:bCs/>
              </w:rPr>
              <w:t>25</w:t>
            </w:r>
          </w:p>
        </w:tc>
      </w:tr>
      <w:tr w:rsidR="00E65D7B" w:rsidRPr="00610FCD" w14:paraId="342B20C8" w14:textId="77777777" w:rsidTr="002F02A1">
        <w:tc>
          <w:tcPr>
            <w:tcW w:w="9017" w:type="dxa"/>
            <w:gridSpan w:val="10"/>
          </w:tcPr>
          <w:p w14:paraId="52FC4D37" w14:textId="77777777" w:rsidR="00E65D7B" w:rsidRPr="00610FCD" w:rsidRDefault="00E65D7B" w:rsidP="00494FC9">
            <w:pPr>
              <w:pStyle w:val="Tabletext0"/>
              <w:keepNext/>
              <w:keepLines/>
              <w:widowControl w:val="0"/>
              <w:rPr>
                <w:b/>
                <w:bCs/>
              </w:rPr>
            </w:pPr>
            <w:r w:rsidRPr="00610FCD">
              <w:rPr>
                <w:b/>
                <w:bCs/>
              </w:rPr>
              <w:t>Base case with OS convergence</w:t>
            </w:r>
            <w:r w:rsidR="00494FC9">
              <w:rPr>
                <w:b/>
                <w:bCs/>
              </w:rPr>
              <w:t xml:space="preserve"> (sensitivity analysis without OS convergence)</w:t>
            </w:r>
          </w:p>
        </w:tc>
      </w:tr>
      <w:tr w:rsidR="00E65D7B" w:rsidRPr="00610FCD" w14:paraId="000BB2AF" w14:textId="77777777" w:rsidTr="002F02A1">
        <w:tc>
          <w:tcPr>
            <w:tcW w:w="9017" w:type="dxa"/>
            <w:gridSpan w:val="10"/>
          </w:tcPr>
          <w:p w14:paraId="759569E0" w14:textId="77777777" w:rsidR="00E65D7B" w:rsidRPr="00610FCD" w:rsidRDefault="00E65D7B" w:rsidP="003D660F">
            <w:pPr>
              <w:pStyle w:val="Tabletext0"/>
              <w:keepNext/>
              <w:keepLines/>
              <w:widowControl w:val="0"/>
              <w:rPr>
                <w:b/>
                <w:bCs/>
              </w:rPr>
            </w:pPr>
            <w:r w:rsidRPr="00610FCD">
              <w:rPr>
                <w:b/>
                <w:bCs/>
              </w:rPr>
              <w:t>GO+DA</w:t>
            </w:r>
          </w:p>
        </w:tc>
      </w:tr>
      <w:tr w:rsidR="00E65D7B" w:rsidRPr="00610FCD" w14:paraId="0CA414EF" w14:textId="77777777" w:rsidTr="001746BD">
        <w:tc>
          <w:tcPr>
            <w:tcW w:w="1215" w:type="dxa"/>
          </w:tcPr>
          <w:p w14:paraId="5BD2A43C" w14:textId="77777777" w:rsidR="00E65D7B" w:rsidRPr="00610FCD" w:rsidRDefault="00E65D7B" w:rsidP="001746BD">
            <w:pPr>
              <w:pStyle w:val="Tabletext0"/>
              <w:keepNext/>
              <w:keepLines/>
              <w:widowControl w:val="0"/>
            </w:pPr>
            <w:r w:rsidRPr="00610FCD">
              <w:t>OS</w:t>
            </w:r>
          </w:p>
        </w:tc>
        <w:tc>
          <w:tcPr>
            <w:tcW w:w="852" w:type="dxa"/>
          </w:tcPr>
          <w:p w14:paraId="3AF388A3" w14:textId="77777777" w:rsidR="00E65D7B" w:rsidRPr="00610FCD" w:rsidRDefault="00E65D7B" w:rsidP="00494FC9">
            <w:pPr>
              <w:pStyle w:val="Tabletext0"/>
              <w:keepNext/>
              <w:keepLines/>
              <w:widowControl w:val="0"/>
              <w:jc w:val="center"/>
            </w:pPr>
            <w:r w:rsidRPr="00610FCD">
              <w:t>81%</w:t>
            </w:r>
          </w:p>
        </w:tc>
        <w:tc>
          <w:tcPr>
            <w:tcW w:w="853" w:type="dxa"/>
          </w:tcPr>
          <w:p w14:paraId="2BCD997A" w14:textId="77777777" w:rsidR="00E65D7B" w:rsidRPr="00610FCD" w:rsidRDefault="00E65D7B" w:rsidP="00494FC9">
            <w:pPr>
              <w:pStyle w:val="Tabletext0"/>
              <w:keepNext/>
              <w:keepLines/>
              <w:widowControl w:val="0"/>
              <w:jc w:val="center"/>
            </w:pPr>
            <w:r w:rsidRPr="00610FCD">
              <w:t>63%</w:t>
            </w:r>
          </w:p>
        </w:tc>
        <w:tc>
          <w:tcPr>
            <w:tcW w:w="854" w:type="dxa"/>
          </w:tcPr>
          <w:p w14:paraId="0985A302" w14:textId="77777777" w:rsidR="00E65D7B" w:rsidRPr="00610FCD" w:rsidRDefault="00E65D7B" w:rsidP="00494FC9">
            <w:pPr>
              <w:pStyle w:val="Tabletext0"/>
              <w:keepNext/>
              <w:keepLines/>
              <w:widowControl w:val="0"/>
              <w:jc w:val="center"/>
            </w:pPr>
            <w:r w:rsidRPr="00610FCD">
              <w:t>52%</w:t>
            </w:r>
          </w:p>
        </w:tc>
        <w:tc>
          <w:tcPr>
            <w:tcW w:w="854" w:type="dxa"/>
          </w:tcPr>
          <w:p w14:paraId="66CB345A" w14:textId="77777777" w:rsidR="00E65D7B" w:rsidRPr="00610FCD" w:rsidRDefault="00E65D7B" w:rsidP="00494FC9">
            <w:pPr>
              <w:pStyle w:val="Tabletext0"/>
              <w:keepNext/>
              <w:keepLines/>
              <w:widowControl w:val="0"/>
              <w:jc w:val="center"/>
            </w:pPr>
            <w:r w:rsidRPr="00610FCD">
              <w:t>47%</w:t>
            </w:r>
          </w:p>
        </w:tc>
        <w:tc>
          <w:tcPr>
            <w:tcW w:w="973" w:type="dxa"/>
          </w:tcPr>
          <w:p w14:paraId="1CA45C7B" w14:textId="77777777" w:rsidR="00E65D7B" w:rsidRPr="00610FCD" w:rsidRDefault="00E65D7B" w:rsidP="00494FC9">
            <w:pPr>
              <w:pStyle w:val="Tabletext0"/>
              <w:keepNext/>
              <w:keepLines/>
              <w:widowControl w:val="0"/>
              <w:jc w:val="center"/>
            </w:pPr>
            <w:r w:rsidRPr="00610FCD">
              <w:t>44%</w:t>
            </w:r>
          </w:p>
        </w:tc>
        <w:tc>
          <w:tcPr>
            <w:tcW w:w="854" w:type="dxa"/>
          </w:tcPr>
          <w:p w14:paraId="687C90DB" w14:textId="77777777" w:rsidR="00E65D7B" w:rsidRDefault="00E65D7B" w:rsidP="00494FC9">
            <w:pPr>
              <w:pStyle w:val="Tabletext0"/>
              <w:keepNext/>
              <w:keepLines/>
              <w:widowControl w:val="0"/>
              <w:jc w:val="center"/>
            </w:pPr>
            <w:r w:rsidRPr="00610FCD">
              <w:t>37%</w:t>
            </w:r>
          </w:p>
          <w:p w14:paraId="0DCE07EA" w14:textId="77777777" w:rsidR="00494FC9" w:rsidRPr="00610FCD" w:rsidRDefault="00494FC9" w:rsidP="00494FC9">
            <w:pPr>
              <w:pStyle w:val="Tabletext0"/>
              <w:keepNext/>
              <w:keepLines/>
              <w:widowControl w:val="0"/>
              <w:jc w:val="center"/>
            </w:pPr>
            <w:r>
              <w:t>(39%)</w:t>
            </w:r>
          </w:p>
        </w:tc>
        <w:tc>
          <w:tcPr>
            <w:tcW w:w="854" w:type="dxa"/>
          </w:tcPr>
          <w:p w14:paraId="34125421" w14:textId="77777777" w:rsidR="00E65D7B" w:rsidRDefault="00E65D7B" w:rsidP="00494FC9">
            <w:pPr>
              <w:pStyle w:val="Tabletext0"/>
              <w:keepNext/>
              <w:keepLines/>
              <w:widowControl w:val="0"/>
              <w:jc w:val="center"/>
            </w:pPr>
            <w:r w:rsidRPr="00610FCD">
              <w:t>30%</w:t>
            </w:r>
          </w:p>
          <w:p w14:paraId="3E3251B3" w14:textId="77777777" w:rsidR="00494FC9" w:rsidRPr="00610FCD" w:rsidRDefault="00494FC9" w:rsidP="00494FC9">
            <w:pPr>
              <w:pStyle w:val="Tabletext0"/>
              <w:keepNext/>
              <w:keepLines/>
              <w:widowControl w:val="0"/>
              <w:jc w:val="center"/>
            </w:pPr>
            <w:r>
              <w:t>(34%)</w:t>
            </w:r>
          </w:p>
        </w:tc>
        <w:tc>
          <w:tcPr>
            <w:tcW w:w="854" w:type="dxa"/>
          </w:tcPr>
          <w:p w14:paraId="2B752675" w14:textId="77777777" w:rsidR="00E65D7B" w:rsidRDefault="00E65D7B" w:rsidP="00494FC9">
            <w:pPr>
              <w:pStyle w:val="Tabletext0"/>
              <w:keepNext/>
              <w:keepLines/>
              <w:widowControl w:val="0"/>
              <w:jc w:val="center"/>
            </w:pPr>
            <w:r w:rsidRPr="00610FCD">
              <w:t>22%</w:t>
            </w:r>
          </w:p>
          <w:p w14:paraId="48511598" w14:textId="77777777" w:rsidR="00494FC9" w:rsidRPr="00610FCD" w:rsidRDefault="00494FC9" w:rsidP="00494FC9">
            <w:pPr>
              <w:pStyle w:val="Tabletext0"/>
              <w:keepNext/>
              <w:keepLines/>
              <w:widowControl w:val="0"/>
              <w:jc w:val="center"/>
            </w:pPr>
            <w:r>
              <w:t>(28%)</w:t>
            </w:r>
          </w:p>
        </w:tc>
        <w:tc>
          <w:tcPr>
            <w:tcW w:w="854" w:type="dxa"/>
          </w:tcPr>
          <w:p w14:paraId="69B63FCF" w14:textId="77777777" w:rsidR="00E65D7B" w:rsidRDefault="00E65D7B" w:rsidP="00494FC9">
            <w:pPr>
              <w:pStyle w:val="Tabletext0"/>
              <w:keepNext/>
              <w:keepLines/>
              <w:widowControl w:val="0"/>
              <w:jc w:val="center"/>
            </w:pPr>
            <w:r w:rsidRPr="00610FCD">
              <w:t>15%</w:t>
            </w:r>
          </w:p>
          <w:p w14:paraId="0FBACF01" w14:textId="77777777" w:rsidR="00494FC9" w:rsidRPr="00610FCD" w:rsidRDefault="00494FC9" w:rsidP="00494FC9">
            <w:pPr>
              <w:pStyle w:val="Tabletext0"/>
              <w:keepNext/>
              <w:keepLines/>
              <w:widowControl w:val="0"/>
              <w:jc w:val="center"/>
            </w:pPr>
            <w:r>
              <w:t>(19%)</w:t>
            </w:r>
          </w:p>
        </w:tc>
      </w:tr>
      <w:tr w:rsidR="00E65D7B" w:rsidRPr="00610FCD" w14:paraId="151B0795" w14:textId="77777777" w:rsidTr="00494FC9">
        <w:tc>
          <w:tcPr>
            <w:tcW w:w="1215" w:type="dxa"/>
            <w:tcBorders>
              <w:bottom w:val="single" w:sz="4" w:space="0" w:color="auto"/>
            </w:tcBorders>
          </w:tcPr>
          <w:p w14:paraId="0DC3D7D0" w14:textId="77777777" w:rsidR="00E65D7B" w:rsidRPr="00610FCD" w:rsidRDefault="00E65D7B" w:rsidP="003D660F">
            <w:pPr>
              <w:pStyle w:val="Tabletext0"/>
              <w:keepNext/>
              <w:keepLines/>
              <w:widowControl w:val="0"/>
            </w:pPr>
            <w:r w:rsidRPr="00610FCD">
              <w:t>- Remission</w:t>
            </w:r>
          </w:p>
        </w:tc>
        <w:tc>
          <w:tcPr>
            <w:tcW w:w="852" w:type="dxa"/>
            <w:tcBorders>
              <w:bottom w:val="single" w:sz="4" w:space="0" w:color="auto"/>
            </w:tcBorders>
            <w:vAlign w:val="center"/>
          </w:tcPr>
          <w:p w14:paraId="2D3B08E0" w14:textId="77777777" w:rsidR="00E65D7B" w:rsidRPr="00610FCD" w:rsidRDefault="00E65D7B" w:rsidP="003D660F">
            <w:pPr>
              <w:pStyle w:val="Tabletext0"/>
              <w:keepNext/>
              <w:keepLines/>
              <w:widowControl w:val="0"/>
              <w:jc w:val="center"/>
            </w:pPr>
            <w:r w:rsidRPr="00610FCD">
              <w:t>58%</w:t>
            </w:r>
          </w:p>
        </w:tc>
        <w:tc>
          <w:tcPr>
            <w:tcW w:w="853" w:type="dxa"/>
            <w:tcBorders>
              <w:bottom w:val="single" w:sz="4" w:space="0" w:color="auto"/>
            </w:tcBorders>
            <w:vAlign w:val="center"/>
          </w:tcPr>
          <w:p w14:paraId="4CD049B3" w14:textId="77777777" w:rsidR="00E65D7B" w:rsidRPr="00610FCD" w:rsidRDefault="00E65D7B" w:rsidP="003D660F">
            <w:pPr>
              <w:pStyle w:val="Tabletext0"/>
              <w:keepNext/>
              <w:keepLines/>
              <w:widowControl w:val="0"/>
              <w:jc w:val="center"/>
            </w:pPr>
            <w:r w:rsidRPr="00610FCD">
              <w:t>42%</w:t>
            </w:r>
          </w:p>
        </w:tc>
        <w:tc>
          <w:tcPr>
            <w:tcW w:w="854" w:type="dxa"/>
            <w:tcBorders>
              <w:bottom w:val="single" w:sz="4" w:space="0" w:color="auto"/>
            </w:tcBorders>
            <w:vAlign w:val="center"/>
          </w:tcPr>
          <w:p w14:paraId="6DA82713" w14:textId="77777777" w:rsidR="00E65D7B" w:rsidRPr="00610FCD" w:rsidRDefault="00E65D7B" w:rsidP="003D660F">
            <w:pPr>
              <w:pStyle w:val="Tabletext0"/>
              <w:keepNext/>
              <w:keepLines/>
              <w:widowControl w:val="0"/>
              <w:jc w:val="center"/>
            </w:pPr>
            <w:r w:rsidRPr="00610FCD">
              <w:t>35%</w:t>
            </w:r>
          </w:p>
        </w:tc>
        <w:tc>
          <w:tcPr>
            <w:tcW w:w="854" w:type="dxa"/>
            <w:tcBorders>
              <w:bottom w:val="single" w:sz="4" w:space="0" w:color="auto"/>
            </w:tcBorders>
            <w:vAlign w:val="center"/>
          </w:tcPr>
          <w:p w14:paraId="66EFF5F1" w14:textId="77777777" w:rsidR="00E65D7B" w:rsidRPr="00610FCD" w:rsidRDefault="00E65D7B" w:rsidP="003D660F">
            <w:pPr>
              <w:pStyle w:val="Tabletext0"/>
              <w:keepNext/>
              <w:keepLines/>
              <w:widowControl w:val="0"/>
              <w:jc w:val="center"/>
            </w:pPr>
            <w:r w:rsidRPr="00610FCD">
              <w:t>31%</w:t>
            </w:r>
          </w:p>
        </w:tc>
        <w:tc>
          <w:tcPr>
            <w:tcW w:w="973" w:type="dxa"/>
            <w:tcBorders>
              <w:bottom w:val="single" w:sz="4" w:space="0" w:color="auto"/>
            </w:tcBorders>
            <w:vAlign w:val="center"/>
          </w:tcPr>
          <w:p w14:paraId="1EBB0A13" w14:textId="77777777" w:rsidR="00E65D7B" w:rsidRPr="00610FCD" w:rsidRDefault="00E65D7B" w:rsidP="003D660F">
            <w:pPr>
              <w:pStyle w:val="Tabletext0"/>
              <w:keepNext/>
              <w:keepLines/>
              <w:widowControl w:val="0"/>
              <w:jc w:val="center"/>
            </w:pPr>
            <w:r w:rsidRPr="00610FCD">
              <w:t>29%</w:t>
            </w:r>
          </w:p>
        </w:tc>
        <w:tc>
          <w:tcPr>
            <w:tcW w:w="854" w:type="dxa"/>
            <w:tcBorders>
              <w:bottom w:val="single" w:sz="4" w:space="0" w:color="auto"/>
            </w:tcBorders>
            <w:vAlign w:val="center"/>
          </w:tcPr>
          <w:p w14:paraId="087E477C" w14:textId="77777777" w:rsidR="00E65D7B" w:rsidRPr="00610FCD" w:rsidRDefault="00E65D7B" w:rsidP="003D660F">
            <w:pPr>
              <w:pStyle w:val="Tabletext0"/>
              <w:keepNext/>
              <w:keepLines/>
              <w:widowControl w:val="0"/>
              <w:jc w:val="center"/>
            </w:pPr>
            <w:r w:rsidRPr="00610FCD">
              <w:t>25%</w:t>
            </w:r>
          </w:p>
        </w:tc>
        <w:tc>
          <w:tcPr>
            <w:tcW w:w="854" w:type="dxa"/>
            <w:tcBorders>
              <w:bottom w:val="single" w:sz="4" w:space="0" w:color="auto"/>
            </w:tcBorders>
            <w:vAlign w:val="center"/>
          </w:tcPr>
          <w:p w14:paraId="6F890595" w14:textId="77777777" w:rsidR="00E65D7B" w:rsidRPr="00610FCD" w:rsidRDefault="00E65D7B" w:rsidP="003D660F">
            <w:pPr>
              <w:pStyle w:val="Tabletext0"/>
              <w:keepNext/>
              <w:keepLines/>
              <w:widowControl w:val="0"/>
              <w:jc w:val="center"/>
            </w:pPr>
            <w:r w:rsidRPr="00610FCD">
              <w:t>22%</w:t>
            </w:r>
          </w:p>
        </w:tc>
        <w:tc>
          <w:tcPr>
            <w:tcW w:w="854" w:type="dxa"/>
            <w:tcBorders>
              <w:bottom w:val="single" w:sz="4" w:space="0" w:color="auto"/>
            </w:tcBorders>
            <w:vAlign w:val="center"/>
          </w:tcPr>
          <w:p w14:paraId="76A82567" w14:textId="77777777" w:rsidR="00E65D7B" w:rsidRPr="00610FCD" w:rsidRDefault="00E65D7B" w:rsidP="003D660F">
            <w:pPr>
              <w:pStyle w:val="Tabletext0"/>
              <w:keepNext/>
              <w:keepLines/>
              <w:widowControl w:val="0"/>
              <w:jc w:val="center"/>
            </w:pPr>
            <w:r w:rsidRPr="00610FCD">
              <w:t>18%</w:t>
            </w:r>
          </w:p>
        </w:tc>
        <w:tc>
          <w:tcPr>
            <w:tcW w:w="854" w:type="dxa"/>
            <w:tcBorders>
              <w:bottom w:val="single" w:sz="4" w:space="0" w:color="auto"/>
            </w:tcBorders>
            <w:vAlign w:val="center"/>
          </w:tcPr>
          <w:p w14:paraId="2BAFDF6C" w14:textId="77777777" w:rsidR="00E65D7B" w:rsidRPr="00610FCD" w:rsidRDefault="00E65D7B" w:rsidP="003D660F">
            <w:pPr>
              <w:pStyle w:val="Tabletext0"/>
              <w:keepNext/>
              <w:keepLines/>
              <w:widowControl w:val="0"/>
              <w:jc w:val="center"/>
            </w:pPr>
            <w:r w:rsidRPr="00610FCD">
              <w:t>12%</w:t>
            </w:r>
          </w:p>
        </w:tc>
      </w:tr>
      <w:tr w:rsidR="00E65D7B" w:rsidRPr="00610FCD" w14:paraId="0BE47C5E" w14:textId="77777777" w:rsidTr="00494FC9">
        <w:tc>
          <w:tcPr>
            <w:tcW w:w="1215" w:type="dxa"/>
            <w:tcBorders>
              <w:bottom w:val="nil"/>
            </w:tcBorders>
          </w:tcPr>
          <w:p w14:paraId="48FE8E55" w14:textId="77777777" w:rsidR="00E65D7B" w:rsidRPr="00610FCD" w:rsidRDefault="00E65D7B" w:rsidP="003D660F">
            <w:pPr>
              <w:pStyle w:val="Tabletext0"/>
              <w:keepNext/>
              <w:keepLines/>
              <w:widowControl w:val="0"/>
            </w:pPr>
            <w:r w:rsidRPr="00610FCD">
              <w:t>- Relapsed</w:t>
            </w:r>
          </w:p>
        </w:tc>
        <w:tc>
          <w:tcPr>
            <w:tcW w:w="852" w:type="dxa"/>
            <w:tcBorders>
              <w:bottom w:val="nil"/>
            </w:tcBorders>
            <w:vAlign w:val="center"/>
          </w:tcPr>
          <w:p w14:paraId="68A73D5A" w14:textId="77777777" w:rsidR="00E65D7B" w:rsidRPr="00610FCD" w:rsidRDefault="00E65D7B" w:rsidP="003D660F">
            <w:pPr>
              <w:pStyle w:val="Tabletext0"/>
              <w:keepNext/>
              <w:keepLines/>
              <w:widowControl w:val="0"/>
              <w:jc w:val="center"/>
            </w:pPr>
            <w:r w:rsidRPr="00610FCD">
              <w:t>13%</w:t>
            </w:r>
          </w:p>
        </w:tc>
        <w:tc>
          <w:tcPr>
            <w:tcW w:w="853" w:type="dxa"/>
            <w:tcBorders>
              <w:bottom w:val="nil"/>
            </w:tcBorders>
            <w:vAlign w:val="center"/>
          </w:tcPr>
          <w:p w14:paraId="72E983CD" w14:textId="77777777" w:rsidR="00E65D7B" w:rsidRPr="00610FCD" w:rsidRDefault="00E65D7B" w:rsidP="003D660F">
            <w:pPr>
              <w:pStyle w:val="Tabletext0"/>
              <w:keepNext/>
              <w:keepLines/>
              <w:widowControl w:val="0"/>
              <w:jc w:val="center"/>
            </w:pPr>
            <w:r w:rsidRPr="00610FCD">
              <w:t>15%</w:t>
            </w:r>
          </w:p>
        </w:tc>
        <w:tc>
          <w:tcPr>
            <w:tcW w:w="854" w:type="dxa"/>
            <w:tcBorders>
              <w:bottom w:val="nil"/>
            </w:tcBorders>
            <w:vAlign w:val="center"/>
          </w:tcPr>
          <w:p w14:paraId="03725513" w14:textId="77777777" w:rsidR="00E65D7B" w:rsidRPr="00610FCD" w:rsidRDefault="00E65D7B" w:rsidP="003D660F">
            <w:pPr>
              <w:pStyle w:val="Tabletext0"/>
              <w:keepNext/>
              <w:keepLines/>
              <w:widowControl w:val="0"/>
              <w:jc w:val="center"/>
            </w:pPr>
            <w:r w:rsidRPr="00610FCD">
              <w:t>14%</w:t>
            </w:r>
          </w:p>
        </w:tc>
        <w:tc>
          <w:tcPr>
            <w:tcW w:w="854" w:type="dxa"/>
            <w:tcBorders>
              <w:bottom w:val="nil"/>
            </w:tcBorders>
            <w:vAlign w:val="center"/>
          </w:tcPr>
          <w:p w14:paraId="54366848" w14:textId="77777777" w:rsidR="00E65D7B" w:rsidRPr="00610FCD" w:rsidRDefault="00E65D7B" w:rsidP="003D660F">
            <w:pPr>
              <w:pStyle w:val="Tabletext0"/>
              <w:keepNext/>
              <w:keepLines/>
              <w:widowControl w:val="0"/>
              <w:jc w:val="center"/>
            </w:pPr>
            <w:r w:rsidRPr="00610FCD">
              <w:t>13%</w:t>
            </w:r>
          </w:p>
        </w:tc>
        <w:tc>
          <w:tcPr>
            <w:tcW w:w="973" w:type="dxa"/>
            <w:tcBorders>
              <w:bottom w:val="nil"/>
            </w:tcBorders>
            <w:vAlign w:val="center"/>
          </w:tcPr>
          <w:p w14:paraId="464B7CB4" w14:textId="77777777" w:rsidR="00E65D7B" w:rsidRPr="00610FCD" w:rsidRDefault="00E65D7B" w:rsidP="003D660F">
            <w:pPr>
              <w:pStyle w:val="Tabletext0"/>
              <w:keepNext/>
              <w:keepLines/>
              <w:widowControl w:val="0"/>
              <w:jc w:val="center"/>
            </w:pPr>
            <w:r w:rsidRPr="00610FCD">
              <w:t>13%</w:t>
            </w:r>
          </w:p>
        </w:tc>
        <w:tc>
          <w:tcPr>
            <w:tcW w:w="854" w:type="dxa"/>
            <w:tcBorders>
              <w:bottom w:val="nil"/>
            </w:tcBorders>
            <w:vAlign w:val="center"/>
          </w:tcPr>
          <w:p w14:paraId="58FBEA78" w14:textId="77777777" w:rsidR="00E65D7B" w:rsidRPr="00610FCD" w:rsidRDefault="00E65D7B" w:rsidP="003D660F">
            <w:pPr>
              <w:pStyle w:val="Tabletext0"/>
              <w:keepNext/>
              <w:keepLines/>
              <w:widowControl w:val="0"/>
              <w:jc w:val="center"/>
            </w:pPr>
            <w:r w:rsidRPr="00610FCD">
              <w:t>10%</w:t>
            </w:r>
          </w:p>
        </w:tc>
        <w:tc>
          <w:tcPr>
            <w:tcW w:w="854" w:type="dxa"/>
            <w:tcBorders>
              <w:bottom w:val="nil"/>
            </w:tcBorders>
            <w:vAlign w:val="center"/>
          </w:tcPr>
          <w:p w14:paraId="535ED8B5" w14:textId="77777777" w:rsidR="00E65D7B" w:rsidRPr="00610FCD" w:rsidRDefault="00E65D7B" w:rsidP="003D660F">
            <w:pPr>
              <w:pStyle w:val="Tabletext0"/>
              <w:keepNext/>
              <w:keepLines/>
              <w:widowControl w:val="0"/>
              <w:jc w:val="center"/>
            </w:pPr>
            <w:r w:rsidRPr="00610FCD">
              <w:t>6%</w:t>
            </w:r>
          </w:p>
        </w:tc>
        <w:tc>
          <w:tcPr>
            <w:tcW w:w="854" w:type="dxa"/>
            <w:tcBorders>
              <w:bottom w:val="nil"/>
            </w:tcBorders>
            <w:vAlign w:val="center"/>
          </w:tcPr>
          <w:p w14:paraId="78AC6CCB" w14:textId="77777777" w:rsidR="00E65D7B" w:rsidRPr="00610FCD" w:rsidRDefault="00E65D7B" w:rsidP="003D660F">
            <w:pPr>
              <w:pStyle w:val="Tabletext0"/>
              <w:keepNext/>
              <w:keepLines/>
              <w:widowControl w:val="0"/>
              <w:jc w:val="center"/>
            </w:pPr>
            <w:r w:rsidRPr="00610FCD">
              <w:t>3%</w:t>
            </w:r>
          </w:p>
        </w:tc>
        <w:tc>
          <w:tcPr>
            <w:tcW w:w="854" w:type="dxa"/>
            <w:tcBorders>
              <w:bottom w:val="nil"/>
            </w:tcBorders>
            <w:vAlign w:val="center"/>
          </w:tcPr>
          <w:p w14:paraId="09D6AE2C" w14:textId="77777777" w:rsidR="00E65D7B" w:rsidRPr="00610FCD" w:rsidRDefault="00E65D7B" w:rsidP="003D660F">
            <w:pPr>
              <w:pStyle w:val="Tabletext0"/>
              <w:keepNext/>
              <w:keepLines/>
              <w:widowControl w:val="0"/>
              <w:jc w:val="center"/>
            </w:pPr>
            <w:r w:rsidRPr="00610FCD">
              <w:t>2%</w:t>
            </w:r>
          </w:p>
        </w:tc>
      </w:tr>
      <w:tr w:rsidR="00494FC9" w:rsidRPr="00610FCD" w14:paraId="73FB9EA7" w14:textId="77777777" w:rsidTr="004B26FB">
        <w:tc>
          <w:tcPr>
            <w:tcW w:w="1215" w:type="dxa"/>
            <w:tcBorders>
              <w:top w:val="nil"/>
            </w:tcBorders>
          </w:tcPr>
          <w:p w14:paraId="5783E655" w14:textId="77777777" w:rsidR="00494FC9" w:rsidRPr="00610FCD" w:rsidRDefault="00494FC9" w:rsidP="00494FC9">
            <w:pPr>
              <w:pStyle w:val="Tabletext0"/>
              <w:keepNext/>
              <w:keepLines/>
              <w:widowControl w:val="0"/>
            </w:pPr>
          </w:p>
        </w:tc>
        <w:tc>
          <w:tcPr>
            <w:tcW w:w="852" w:type="dxa"/>
            <w:tcBorders>
              <w:top w:val="nil"/>
            </w:tcBorders>
            <w:vAlign w:val="center"/>
          </w:tcPr>
          <w:p w14:paraId="7A282FF4" w14:textId="77777777" w:rsidR="00494FC9" w:rsidRPr="00610FCD" w:rsidRDefault="00494FC9" w:rsidP="00494FC9">
            <w:pPr>
              <w:pStyle w:val="Tabletext0"/>
              <w:keepNext/>
              <w:keepLines/>
              <w:widowControl w:val="0"/>
              <w:jc w:val="center"/>
            </w:pPr>
          </w:p>
        </w:tc>
        <w:tc>
          <w:tcPr>
            <w:tcW w:w="853" w:type="dxa"/>
            <w:tcBorders>
              <w:top w:val="nil"/>
            </w:tcBorders>
            <w:vAlign w:val="center"/>
          </w:tcPr>
          <w:p w14:paraId="72C4A51D" w14:textId="77777777" w:rsidR="00494FC9" w:rsidRPr="00610FCD" w:rsidRDefault="00494FC9" w:rsidP="00494FC9">
            <w:pPr>
              <w:pStyle w:val="Tabletext0"/>
              <w:keepNext/>
              <w:keepLines/>
              <w:widowControl w:val="0"/>
              <w:jc w:val="center"/>
            </w:pPr>
          </w:p>
        </w:tc>
        <w:tc>
          <w:tcPr>
            <w:tcW w:w="854" w:type="dxa"/>
            <w:tcBorders>
              <w:top w:val="nil"/>
            </w:tcBorders>
            <w:vAlign w:val="center"/>
          </w:tcPr>
          <w:p w14:paraId="7CFF44F0" w14:textId="77777777" w:rsidR="00494FC9" w:rsidRPr="00610FCD" w:rsidRDefault="00494FC9" w:rsidP="00494FC9">
            <w:pPr>
              <w:pStyle w:val="Tabletext0"/>
              <w:keepNext/>
              <w:keepLines/>
              <w:widowControl w:val="0"/>
              <w:jc w:val="center"/>
            </w:pPr>
          </w:p>
        </w:tc>
        <w:tc>
          <w:tcPr>
            <w:tcW w:w="854" w:type="dxa"/>
            <w:tcBorders>
              <w:top w:val="nil"/>
            </w:tcBorders>
            <w:vAlign w:val="center"/>
          </w:tcPr>
          <w:p w14:paraId="6804B1AF" w14:textId="77777777" w:rsidR="00494FC9" w:rsidRPr="00610FCD" w:rsidRDefault="00494FC9" w:rsidP="00494FC9">
            <w:pPr>
              <w:pStyle w:val="Tabletext0"/>
              <w:keepNext/>
              <w:keepLines/>
              <w:widowControl w:val="0"/>
              <w:jc w:val="center"/>
            </w:pPr>
          </w:p>
        </w:tc>
        <w:tc>
          <w:tcPr>
            <w:tcW w:w="973" w:type="dxa"/>
            <w:tcBorders>
              <w:top w:val="nil"/>
            </w:tcBorders>
            <w:vAlign w:val="center"/>
          </w:tcPr>
          <w:p w14:paraId="17216237" w14:textId="77777777" w:rsidR="00494FC9" w:rsidRPr="00610FCD" w:rsidRDefault="00494FC9" w:rsidP="00494FC9">
            <w:pPr>
              <w:pStyle w:val="Tabletext0"/>
              <w:keepNext/>
              <w:keepLines/>
              <w:widowControl w:val="0"/>
              <w:jc w:val="center"/>
            </w:pPr>
          </w:p>
        </w:tc>
        <w:tc>
          <w:tcPr>
            <w:tcW w:w="854" w:type="dxa"/>
            <w:tcBorders>
              <w:top w:val="nil"/>
            </w:tcBorders>
            <w:shd w:val="clear" w:color="auto" w:fill="FFC000"/>
          </w:tcPr>
          <w:p w14:paraId="76C19113" w14:textId="77777777" w:rsidR="00494FC9" w:rsidRPr="00610FCD" w:rsidRDefault="00494FC9" w:rsidP="00494FC9">
            <w:pPr>
              <w:pStyle w:val="Tabletext0"/>
              <w:keepNext/>
              <w:keepLines/>
              <w:widowControl w:val="0"/>
              <w:jc w:val="center"/>
            </w:pPr>
            <w:r>
              <w:t>(</w:t>
            </w:r>
            <w:r w:rsidRPr="00610FCD">
              <w:t>12%</w:t>
            </w:r>
            <w:r>
              <w:t>)</w:t>
            </w:r>
          </w:p>
        </w:tc>
        <w:tc>
          <w:tcPr>
            <w:tcW w:w="854" w:type="dxa"/>
            <w:tcBorders>
              <w:top w:val="nil"/>
            </w:tcBorders>
            <w:shd w:val="clear" w:color="auto" w:fill="FFC000"/>
          </w:tcPr>
          <w:p w14:paraId="7AE76F79" w14:textId="77777777" w:rsidR="00494FC9" w:rsidRPr="00610FCD" w:rsidRDefault="00494FC9" w:rsidP="00494FC9">
            <w:pPr>
              <w:pStyle w:val="Tabletext0"/>
              <w:keepNext/>
              <w:keepLines/>
              <w:widowControl w:val="0"/>
              <w:jc w:val="center"/>
            </w:pPr>
            <w:r>
              <w:t>(</w:t>
            </w:r>
            <w:r w:rsidRPr="00610FCD">
              <w:t>11%</w:t>
            </w:r>
            <w:r>
              <w:t>)</w:t>
            </w:r>
          </w:p>
        </w:tc>
        <w:tc>
          <w:tcPr>
            <w:tcW w:w="854" w:type="dxa"/>
            <w:tcBorders>
              <w:top w:val="nil"/>
            </w:tcBorders>
            <w:shd w:val="clear" w:color="auto" w:fill="FFC000"/>
          </w:tcPr>
          <w:p w14:paraId="1BAC729D" w14:textId="77777777" w:rsidR="00494FC9" w:rsidRPr="00610FCD" w:rsidRDefault="00494FC9" w:rsidP="00494FC9">
            <w:pPr>
              <w:pStyle w:val="Tabletext0"/>
              <w:keepNext/>
              <w:keepLines/>
              <w:widowControl w:val="0"/>
              <w:jc w:val="center"/>
            </w:pPr>
            <w:r>
              <w:t>(</w:t>
            </w:r>
            <w:r w:rsidRPr="00610FCD">
              <w:t>9%</w:t>
            </w:r>
            <w:r>
              <w:t>)</w:t>
            </w:r>
          </w:p>
        </w:tc>
        <w:tc>
          <w:tcPr>
            <w:tcW w:w="854" w:type="dxa"/>
            <w:tcBorders>
              <w:top w:val="nil"/>
            </w:tcBorders>
            <w:shd w:val="clear" w:color="auto" w:fill="FFC000"/>
          </w:tcPr>
          <w:p w14:paraId="41B5BC0A" w14:textId="77777777" w:rsidR="00494FC9" w:rsidRPr="00610FCD" w:rsidRDefault="00494FC9" w:rsidP="00494FC9">
            <w:pPr>
              <w:pStyle w:val="Tabletext0"/>
              <w:keepNext/>
              <w:keepLines/>
              <w:widowControl w:val="0"/>
              <w:jc w:val="center"/>
            </w:pPr>
            <w:r>
              <w:t>(</w:t>
            </w:r>
            <w:r w:rsidRPr="00610FCD">
              <w:t>6%</w:t>
            </w:r>
            <w:r>
              <w:t>)</w:t>
            </w:r>
          </w:p>
        </w:tc>
      </w:tr>
      <w:tr w:rsidR="00494FC9" w:rsidRPr="00610FCD" w14:paraId="0F897BD8" w14:textId="77777777" w:rsidTr="002F02A1">
        <w:tc>
          <w:tcPr>
            <w:tcW w:w="1215" w:type="dxa"/>
            <w:tcBorders>
              <w:bottom w:val="single" w:sz="8" w:space="0" w:color="auto"/>
            </w:tcBorders>
          </w:tcPr>
          <w:p w14:paraId="17025066" w14:textId="77777777" w:rsidR="00494FC9" w:rsidRPr="00610FCD" w:rsidRDefault="00494FC9" w:rsidP="00494FC9">
            <w:pPr>
              <w:pStyle w:val="Tabletext0"/>
              <w:keepNext/>
              <w:keepLines/>
              <w:widowControl w:val="0"/>
            </w:pPr>
            <w:r w:rsidRPr="00610FCD">
              <w:t>- Refractory</w:t>
            </w:r>
          </w:p>
        </w:tc>
        <w:tc>
          <w:tcPr>
            <w:tcW w:w="852" w:type="dxa"/>
            <w:tcBorders>
              <w:bottom w:val="single" w:sz="8" w:space="0" w:color="auto"/>
            </w:tcBorders>
            <w:vAlign w:val="center"/>
          </w:tcPr>
          <w:p w14:paraId="4ED329E7" w14:textId="77777777" w:rsidR="00494FC9" w:rsidRPr="00610FCD" w:rsidRDefault="00494FC9" w:rsidP="00494FC9">
            <w:pPr>
              <w:pStyle w:val="Tabletext0"/>
              <w:keepNext/>
              <w:keepLines/>
              <w:widowControl w:val="0"/>
              <w:jc w:val="center"/>
            </w:pPr>
            <w:r w:rsidRPr="00610FCD">
              <w:t>10%</w:t>
            </w:r>
          </w:p>
        </w:tc>
        <w:tc>
          <w:tcPr>
            <w:tcW w:w="853" w:type="dxa"/>
            <w:tcBorders>
              <w:bottom w:val="single" w:sz="8" w:space="0" w:color="auto"/>
            </w:tcBorders>
            <w:vAlign w:val="center"/>
          </w:tcPr>
          <w:p w14:paraId="15FB5C63" w14:textId="77777777" w:rsidR="00494FC9" w:rsidRPr="00610FCD" w:rsidRDefault="00494FC9" w:rsidP="00494FC9">
            <w:pPr>
              <w:pStyle w:val="Tabletext0"/>
              <w:keepNext/>
              <w:keepLines/>
              <w:widowControl w:val="0"/>
              <w:jc w:val="center"/>
            </w:pPr>
            <w:r w:rsidRPr="00610FCD">
              <w:t>5%</w:t>
            </w:r>
          </w:p>
        </w:tc>
        <w:tc>
          <w:tcPr>
            <w:tcW w:w="854" w:type="dxa"/>
            <w:tcBorders>
              <w:bottom w:val="single" w:sz="8" w:space="0" w:color="auto"/>
            </w:tcBorders>
            <w:vAlign w:val="center"/>
          </w:tcPr>
          <w:p w14:paraId="6713F0CB" w14:textId="77777777" w:rsidR="00494FC9" w:rsidRPr="00610FCD" w:rsidRDefault="00494FC9" w:rsidP="00494FC9">
            <w:pPr>
              <w:pStyle w:val="Tabletext0"/>
              <w:keepNext/>
              <w:keepLines/>
              <w:widowControl w:val="0"/>
              <w:jc w:val="center"/>
            </w:pPr>
            <w:r w:rsidRPr="00610FCD">
              <w:t>4%</w:t>
            </w:r>
          </w:p>
        </w:tc>
        <w:tc>
          <w:tcPr>
            <w:tcW w:w="854" w:type="dxa"/>
            <w:tcBorders>
              <w:bottom w:val="single" w:sz="8" w:space="0" w:color="auto"/>
            </w:tcBorders>
            <w:vAlign w:val="center"/>
          </w:tcPr>
          <w:p w14:paraId="030989BF" w14:textId="77777777" w:rsidR="00494FC9" w:rsidRPr="00610FCD" w:rsidRDefault="00494FC9" w:rsidP="00494FC9">
            <w:pPr>
              <w:pStyle w:val="Tabletext0"/>
              <w:keepNext/>
              <w:keepLines/>
              <w:widowControl w:val="0"/>
              <w:jc w:val="center"/>
            </w:pPr>
            <w:r w:rsidRPr="00610FCD">
              <w:t>3%</w:t>
            </w:r>
          </w:p>
        </w:tc>
        <w:tc>
          <w:tcPr>
            <w:tcW w:w="973" w:type="dxa"/>
            <w:tcBorders>
              <w:bottom w:val="single" w:sz="8" w:space="0" w:color="auto"/>
            </w:tcBorders>
            <w:vAlign w:val="center"/>
          </w:tcPr>
          <w:p w14:paraId="1FF60A61" w14:textId="77777777" w:rsidR="00494FC9" w:rsidRPr="00610FCD" w:rsidRDefault="00494FC9" w:rsidP="00494FC9">
            <w:pPr>
              <w:pStyle w:val="Tabletext0"/>
              <w:keepNext/>
              <w:keepLines/>
              <w:widowControl w:val="0"/>
              <w:jc w:val="center"/>
            </w:pPr>
            <w:r w:rsidRPr="00610FCD">
              <w:t>2%</w:t>
            </w:r>
          </w:p>
        </w:tc>
        <w:tc>
          <w:tcPr>
            <w:tcW w:w="854" w:type="dxa"/>
            <w:tcBorders>
              <w:bottom w:val="single" w:sz="8" w:space="0" w:color="auto"/>
            </w:tcBorders>
            <w:vAlign w:val="center"/>
          </w:tcPr>
          <w:p w14:paraId="3CF8E23D" w14:textId="77777777" w:rsidR="00494FC9" w:rsidRPr="00610FCD" w:rsidRDefault="00494FC9" w:rsidP="00494FC9">
            <w:pPr>
              <w:pStyle w:val="Tabletext0"/>
              <w:keepNext/>
              <w:keepLines/>
              <w:widowControl w:val="0"/>
              <w:jc w:val="center"/>
            </w:pPr>
            <w:r w:rsidRPr="00610FCD">
              <w:t>2%</w:t>
            </w:r>
          </w:p>
        </w:tc>
        <w:tc>
          <w:tcPr>
            <w:tcW w:w="854" w:type="dxa"/>
            <w:tcBorders>
              <w:bottom w:val="single" w:sz="8" w:space="0" w:color="auto"/>
            </w:tcBorders>
            <w:vAlign w:val="center"/>
          </w:tcPr>
          <w:p w14:paraId="330C1514" w14:textId="77777777" w:rsidR="00494FC9" w:rsidRPr="00610FCD" w:rsidRDefault="00494FC9" w:rsidP="00494FC9">
            <w:pPr>
              <w:pStyle w:val="Tabletext0"/>
              <w:keepNext/>
              <w:keepLines/>
              <w:widowControl w:val="0"/>
              <w:jc w:val="center"/>
            </w:pPr>
            <w:r w:rsidRPr="00610FCD">
              <w:t>2%</w:t>
            </w:r>
          </w:p>
        </w:tc>
        <w:tc>
          <w:tcPr>
            <w:tcW w:w="854" w:type="dxa"/>
            <w:tcBorders>
              <w:bottom w:val="single" w:sz="8" w:space="0" w:color="auto"/>
            </w:tcBorders>
            <w:vAlign w:val="center"/>
          </w:tcPr>
          <w:p w14:paraId="71916EB6" w14:textId="77777777" w:rsidR="00494FC9" w:rsidRPr="00610FCD" w:rsidRDefault="00494FC9" w:rsidP="00494FC9">
            <w:pPr>
              <w:pStyle w:val="Tabletext0"/>
              <w:keepNext/>
              <w:keepLines/>
              <w:widowControl w:val="0"/>
              <w:jc w:val="center"/>
            </w:pPr>
            <w:r w:rsidRPr="00610FCD">
              <w:t>2%</w:t>
            </w:r>
          </w:p>
        </w:tc>
        <w:tc>
          <w:tcPr>
            <w:tcW w:w="854" w:type="dxa"/>
            <w:tcBorders>
              <w:bottom w:val="single" w:sz="8" w:space="0" w:color="auto"/>
            </w:tcBorders>
            <w:vAlign w:val="center"/>
          </w:tcPr>
          <w:p w14:paraId="73514323" w14:textId="77777777" w:rsidR="00494FC9" w:rsidRPr="00610FCD" w:rsidRDefault="00494FC9" w:rsidP="00494FC9">
            <w:pPr>
              <w:pStyle w:val="Tabletext0"/>
              <w:keepNext/>
              <w:keepLines/>
              <w:widowControl w:val="0"/>
              <w:jc w:val="center"/>
            </w:pPr>
            <w:r w:rsidRPr="00610FCD">
              <w:t>1%</w:t>
            </w:r>
          </w:p>
        </w:tc>
      </w:tr>
      <w:tr w:rsidR="00494FC9" w:rsidRPr="00610FCD" w14:paraId="31C8BCA7" w14:textId="77777777" w:rsidTr="002F02A1">
        <w:tc>
          <w:tcPr>
            <w:tcW w:w="1215" w:type="dxa"/>
            <w:tcBorders>
              <w:top w:val="single" w:sz="8" w:space="0" w:color="auto"/>
            </w:tcBorders>
          </w:tcPr>
          <w:p w14:paraId="2860D720" w14:textId="77777777" w:rsidR="00494FC9" w:rsidRPr="00610FCD" w:rsidRDefault="00494FC9" w:rsidP="00494FC9">
            <w:pPr>
              <w:pStyle w:val="Tabletext0"/>
              <w:keepNext/>
              <w:keepLines/>
              <w:widowControl w:val="0"/>
            </w:pPr>
            <w:r w:rsidRPr="00610FCD">
              <w:t>Functional cure</w:t>
            </w:r>
          </w:p>
        </w:tc>
        <w:tc>
          <w:tcPr>
            <w:tcW w:w="852" w:type="dxa"/>
            <w:tcBorders>
              <w:top w:val="single" w:sz="8" w:space="0" w:color="auto"/>
            </w:tcBorders>
            <w:vAlign w:val="center"/>
          </w:tcPr>
          <w:p w14:paraId="2629AF4F" w14:textId="77777777" w:rsidR="00494FC9" w:rsidRPr="00610FCD" w:rsidRDefault="00494FC9" w:rsidP="00494FC9">
            <w:pPr>
              <w:pStyle w:val="Tabletext0"/>
              <w:keepNext/>
              <w:keepLines/>
              <w:widowControl w:val="0"/>
              <w:jc w:val="center"/>
            </w:pPr>
            <w:r w:rsidRPr="00610FCD">
              <w:t>0%</w:t>
            </w:r>
          </w:p>
        </w:tc>
        <w:tc>
          <w:tcPr>
            <w:tcW w:w="853" w:type="dxa"/>
            <w:tcBorders>
              <w:top w:val="single" w:sz="8" w:space="0" w:color="auto"/>
            </w:tcBorders>
            <w:vAlign w:val="center"/>
          </w:tcPr>
          <w:p w14:paraId="28372485" w14:textId="77777777" w:rsidR="00494FC9" w:rsidRPr="00610FCD" w:rsidRDefault="00494FC9" w:rsidP="00494FC9">
            <w:pPr>
              <w:pStyle w:val="Tabletext0"/>
              <w:keepNext/>
              <w:keepLines/>
              <w:widowControl w:val="0"/>
              <w:jc w:val="center"/>
            </w:pPr>
            <w:r w:rsidRPr="00610FCD">
              <w:t>0%</w:t>
            </w:r>
          </w:p>
        </w:tc>
        <w:tc>
          <w:tcPr>
            <w:tcW w:w="854" w:type="dxa"/>
            <w:tcBorders>
              <w:top w:val="single" w:sz="8" w:space="0" w:color="auto"/>
            </w:tcBorders>
            <w:vAlign w:val="center"/>
          </w:tcPr>
          <w:p w14:paraId="6680CC58" w14:textId="77777777" w:rsidR="00494FC9" w:rsidRPr="00610FCD" w:rsidRDefault="00494FC9" w:rsidP="00494FC9">
            <w:pPr>
              <w:pStyle w:val="Tabletext0"/>
              <w:keepNext/>
              <w:keepLines/>
              <w:widowControl w:val="0"/>
              <w:jc w:val="center"/>
            </w:pPr>
            <w:r w:rsidRPr="00610FCD">
              <w:t>0%</w:t>
            </w:r>
          </w:p>
        </w:tc>
        <w:tc>
          <w:tcPr>
            <w:tcW w:w="854" w:type="dxa"/>
            <w:tcBorders>
              <w:top w:val="single" w:sz="8" w:space="0" w:color="auto"/>
            </w:tcBorders>
            <w:vAlign w:val="center"/>
          </w:tcPr>
          <w:p w14:paraId="762C377D" w14:textId="77777777" w:rsidR="00494FC9" w:rsidRPr="00610FCD" w:rsidRDefault="00494FC9" w:rsidP="00494FC9">
            <w:pPr>
              <w:pStyle w:val="Tabletext0"/>
              <w:keepNext/>
              <w:keepLines/>
              <w:widowControl w:val="0"/>
              <w:jc w:val="center"/>
            </w:pPr>
            <w:r w:rsidRPr="00610FCD">
              <w:t>0%</w:t>
            </w:r>
          </w:p>
        </w:tc>
        <w:tc>
          <w:tcPr>
            <w:tcW w:w="973" w:type="dxa"/>
            <w:tcBorders>
              <w:top w:val="single" w:sz="8" w:space="0" w:color="auto"/>
            </w:tcBorders>
            <w:vAlign w:val="center"/>
          </w:tcPr>
          <w:p w14:paraId="1959A95A" w14:textId="77777777" w:rsidR="00494FC9" w:rsidRPr="00610FCD" w:rsidRDefault="00494FC9" w:rsidP="00494FC9">
            <w:pPr>
              <w:pStyle w:val="Tabletext0"/>
              <w:keepNext/>
              <w:keepLines/>
              <w:widowControl w:val="0"/>
              <w:jc w:val="center"/>
            </w:pPr>
            <w:r w:rsidRPr="00610FCD">
              <w:t>29%</w:t>
            </w:r>
          </w:p>
        </w:tc>
        <w:tc>
          <w:tcPr>
            <w:tcW w:w="854" w:type="dxa"/>
            <w:tcBorders>
              <w:top w:val="single" w:sz="8" w:space="0" w:color="auto"/>
            </w:tcBorders>
            <w:vAlign w:val="center"/>
          </w:tcPr>
          <w:p w14:paraId="1FC2ADC0" w14:textId="77777777" w:rsidR="00494FC9" w:rsidRPr="00610FCD" w:rsidRDefault="00494FC9" w:rsidP="00494FC9">
            <w:pPr>
              <w:pStyle w:val="Tabletext0"/>
              <w:keepNext/>
              <w:keepLines/>
              <w:widowControl w:val="0"/>
              <w:jc w:val="center"/>
            </w:pPr>
            <w:r w:rsidRPr="00610FCD">
              <w:t>25%</w:t>
            </w:r>
          </w:p>
        </w:tc>
        <w:tc>
          <w:tcPr>
            <w:tcW w:w="854" w:type="dxa"/>
            <w:tcBorders>
              <w:top w:val="single" w:sz="8" w:space="0" w:color="auto"/>
            </w:tcBorders>
            <w:vAlign w:val="center"/>
          </w:tcPr>
          <w:p w14:paraId="0A90603E" w14:textId="77777777" w:rsidR="00494FC9" w:rsidRPr="00610FCD" w:rsidRDefault="00494FC9" w:rsidP="00494FC9">
            <w:pPr>
              <w:pStyle w:val="Tabletext0"/>
              <w:keepNext/>
              <w:keepLines/>
              <w:widowControl w:val="0"/>
              <w:jc w:val="center"/>
            </w:pPr>
            <w:r w:rsidRPr="00610FCD">
              <w:t>22%</w:t>
            </w:r>
          </w:p>
        </w:tc>
        <w:tc>
          <w:tcPr>
            <w:tcW w:w="854" w:type="dxa"/>
            <w:tcBorders>
              <w:top w:val="single" w:sz="8" w:space="0" w:color="auto"/>
            </w:tcBorders>
            <w:vAlign w:val="center"/>
          </w:tcPr>
          <w:p w14:paraId="5FC8D48E" w14:textId="77777777" w:rsidR="00494FC9" w:rsidRPr="00610FCD" w:rsidRDefault="00494FC9" w:rsidP="00494FC9">
            <w:pPr>
              <w:pStyle w:val="Tabletext0"/>
              <w:keepNext/>
              <w:keepLines/>
              <w:widowControl w:val="0"/>
              <w:jc w:val="center"/>
            </w:pPr>
            <w:r w:rsidRPr="00610FCD">
              <w:t>18%</w:t>
            </w:r>
          </w:p>
        </w:tc>
        <w:tc>
          <w:tcPr>
            <w:tcW w:w="854" w:type="dxa"/>
            <w:tcBorders>
              <w:top w:val="single" w:sz="8" w:space="0" w:color="auto"/>
            </w:tcBorders>
            <w:vAlign w:val="center"/>
          </w:tcPr>
          <w:p w14:paraId="368F47F8" w14:textId="77777777" w:rsidR="00494FC9" w:rsidRPr="00610FCD" w:rsidRDefault="00494FC9" w:rsidP="00494FC9">
            <w:pPr>
              <w:pStyle w:val="Tabletext0"/>
              <w:keepNext/>
              <w:keepLines/>
              <w:widowControl w:val="0"/>
              <w:jc w:val="center"/>
            </w:pPr>
            <w:r w:rsidRPr="00610FCD">
              <w:t>12%</w:t>
            </w:r>
          </w:p>
        </w:tc>
      </w:tr>
      <w:tr w:rsidR="00494FC9" w:rsidRPr="00610FCD" w14:paraId="05B03030" w14:textId="77777777" w:rsidTr="002F02A1">
        <w:tc>
          <w:tcPr>
            <w:tcW w:w="1215" w:type="dxa"/>
          </w:tcPr>
          <w:p w14:paraId="7CFA180C" w14:textId="77777777" w:rsidR="00494FC9" w:rsidRPr="00610FCD" w:rsidRDefault="00494FC9" w:rsidP="00494FC9">
            <w:pPr>
              <w:pStyle w:val="Tabletext0"/>
              <w:keepNext/>
              <w:keepLines/>
              <w:widowControl w:val="0"/>
            </w:pPr>
            <w:r w:rsidRPr="00610FCD">
              <w:t>- No HSCT</w:t>
            </w:r>
          </w:p>
        </w:tc>
        <w:tc>
          <w:tcPr>
            <w:tcW w:w="852" w:type="dxa"/>
            <w:vAlign w:val="center"/>
          </w:tcPr>
          <w:p w14:paraId="21798C35" w14:textId="77777777" w:rsidR="00494FC9" w:rsidRPr="00610FCD" w:rsidRDefault="00494FC9" w:rsidP="00494FC9">
            <w:pPr>
              <w:pStyle w:val="Tabletext0"/>
              <w:keepNext/>
              <w:keepLines/>
              <w:widowControl w:val="0"/>
              <w:jc w:val="center"/>
            </w:pPr>
            <w:r w:rsidRPr="00610FCD">
              <w:t>0%</w:t>
            </w:r>
          </w:p>
        </w:tc>
        <w:tc>
          <w:tcPr>
            <w:tcW w:w="853" w:type="dxa"/>
            <w:vAlign w:val="center"/>
          </w:tcPr>
          <w:p w14:paraId="4F048CDE" w14:textId="77777777" w:rsidR="00494FC9" w:rsidRPr="00610FCD" w:rsidRDefault="00494FC9" w:rsidP="00494FC9">
            <w:pPr>
              <w:pStyle w:val="Tabletext0"/>
              <w:keepNext/>
              <w:keepLines/>
              <w:widowControl w:val="0"/>
              <w:jc w:val="center"/>
            </w:pPr>
            <w:r w:rsidRPr="00610FCD">
              <w:t>0%</w:t>
            </w:r>
          </w:p>
        </w:tc>
        <w:tc>
          <w:tcPr>
            <w:tcW w:w="854" w:type="dxa"/>
            <w:vAlign w:val="center"/>
          </w:tcPr>
          <w:p w14:paraId="7C9D02A7" w14:textId="77777777" w:rsidR="00494FC9" w:rsidRPr="00610FCD" w:rsidRDefault="00494FC9" w:rsidP="00494FC9">
            <w:pPr>
              <w:pStyle w:val="Tabletext0"/>
              <w:keepNext/>
              <w:keepLines/>
              <w:widowControl w:val="0"/>
              <w:jc w:val="center"/>
            </w:pPr>
            <w:r w:rsidRPr="00610FCD">
              <w:t>0%</w:t>
            </w:r>
          </w:p>
        </w:tc>
        <w:tc>
          <w:tcPr>
            <w:tcW w:w="854" w:type="dxa"/>
            <w:vAlign w:val="center"/>
          </w:tcPr>
          <w:p w14:paraId="2E7BB0FD" w14:textId="77777777" w:rsidR="00494FC9" w:rsidRPr="00610FCD" w:rsidRDefault="00494FC9" w:rsidP="00494FC9">
            <w:pPr>
              <w:pStyle w:val="Tabletext0"/>
              <w:keepNext/>
              <w:keepLines/>
              <w:widowControl w:val="0"/>
              <w:jc w:val="center"/>
            </w:pPr>
            <w:r w:rsidRPr="00610FCD">
              <w:t>0%</w:t>
            </w:r>
          </w:p>
        </w:tc>
        <w:tc>
          <w:tcPr>
            <w:tcW w:w="973" w:type="dxa"/>
            <w:vAlign w:val="center"/>
          </w:tcPr>
          <w:p w14:paraId="5A41982D" w14:textId="77777777" w:rsidR="00494FC9" w:rsidRPr="00610FCD" w:rsidRDefault="00494FC9" w:rsidP="00494FC9">
            <w:pPr>
              <w:pStyle w:val="Tabletext0"/>
              <w:keepNext/>
              <w:keepLines/>
              <w:widowControl w:val="0"/>
              <w:jc w:val="center"/>
            </w:pPr>
            <w:r w:rsidRPr="00610FCD">
              <w:t>23%</w:t>
            </w:r>
          </w:p>
        </w:tc>
        <w:tc>
          <w:tcPr>
            <w:tcW w:w="854" w:type="dxa"/>
            <w:vAlign w:val="center"/>
          </w:tcPr>
          <w:p w14:paraId="2177CE04" w14:textId="77777777" w:rsidR="00494FC9" w:rsidRPr="00610FCD" w:rsidRDefault="00494FC9" w:rsidP="00494FC9">
            <w:pPr>
              <w:pStyle w:val="Tabletext0"/>
              <w:keepNext/>
              <w:keepLines/>
              <w:widowControl w:val="0"/>
              <w:jc w:val="center"/>
            </w:pPr>
            <w:r w:rsidRPr="00610FCD">
              <w:t>19%</w:t>
            </w:r>
          </w:p>
        </w:tc>
        <w:tc>
          <w:tcPr>
            <w:tcW w:w="854" w:type="dxa"/>
            <w:vAlign w:val="center"/>
          </w:tcPr>
          <w:p w14:paraId="0C2736DD" w14:textId="77777777" w:rsidR="00494FC9" w:rsidRPr="00610FCD" w:rsidRDefault="00494FC9" w:rsidP="00494FC9">
            <w:pPr>
              <w:pStyle w:val="Tabletext0"/>
              <w:keepNext/>
              <w:keepLines/>
              <w:widowControl w:val="0"/>
              <w:jc w:val="center"/>
            </w:pPr>
            <w:r w:rsidRPr="00610FCD">
              <w:t>17%</w:t>
            </w:r>
          </w:p>
        </w:tc>
        <w:tc>
          <w:tcPr>
            <w:tcW w:w="854" w:type="dxa"/>
            <w:vAlign w:val="center"/>
          </w:tcPr>
          <w:p w14:paraId="577073BB" w14:textId="77777777" w:rsidR="00494FC9" w:rsidRPr="00610FCD" w:rsidRDefault="00494FC9" w:rsidP="00494FC9">
            <w:pPr>
              <w:pStyle w:val="Tabletext0"/>
              <w:keepNext/>
              <w:keepLines/>
              <w:widowControl w:val="0"/>
              <w:jc w:val="center"/>
            </w:pPr>
            <w:r w:rsidRPr="00610FCD">
              <w:t>14%</w:t>
            </w:r>
          </w:p>
        </w:tc>
        <w:tc>
          <w:tcPr>
            <w:tcW w:w="854" w:type="dxa"/>
            <w:vAlign w:val="center"/>
          </w:tcPr>
          <w:p w14:paraId="1014B6A9" w14:textId="77777777" w:rsidR="00494FC9" w:rsidRPr="00610FCD" w:rsidRDefault="00494FC9" w:rsidP="00494FC9">
            <w:pPr>
              <w:pStyle w:val="Tabletext0"/>
              <w:keepNext/>
              <w:keepLines/>
              <w:widowControl w:val="0"/>
              <w:jc w:val="center"/>
            </w:pPr>
            <w:r w:rsidRPr="00610FCD">
              <w:t>9%</w:t>
            </w:r>
          </w:p>
        </w:tc>
      </w:tr>
      <w:tr w:rsidR="00494FC9" w:rsidRPr="00610FCD" w14:paraId="1EBF0257" w14:textId="77777777" w:rsidTr="00344F17">
        <w:tc>
          <w:tcPr>
            <w:tcW w:w="1215" w:type="dxa"/>
            <w:tcBorders>
              <w:bottom w:val="double" w:sz="4" w:space="0" w:color="auto"/>
            </w:tcBorders>
          </w:tcPr>
          <w:p w14:paraId="53355D28" w14:textId="77777777" w:rsidR="00494FC9" w:rsidRPr="00610FCD" w:rsidRDefault="00494FC9" w:rsidP="00494FC9">
            <w:pPr>
              <w:pStyle w:val="Tabletext0"/>
              <w:keepNext/>
              <w:keepLines/>
              <w:widowControl w:val="0"/>
            </w:pPr>
            <w:r w:rsidRPr="00610FCD">
              <w:t>- HSCT</w:t>
            </w:r>
          </w:p>
        </w:tc>
        <w:tc>
          <w:tcPr>
            <w:tcW w:w="852" w:type="dxa"/>
            <w:tcBorders>
              <w:bottom w:val="double" w:sz="4" w:space="0" w:color="auto"/>
            </w:tcBorders>
            <w:vAlign w:val="center"/>
          </w:tcPr>
          <w:p w14:paraId="41439874" w14:textId="77777777" w:rsidR="00494FC9" w:rsidRPr="00610FCD" w:rsidRDefault="00494FC9" w:rsidP="00494FC9">
            <w:pPr>
              <w:pStyle w:val="Tabletext0"/>
              <w:keepNext/>
              <w:keepLines/>
              <w:widowControl w:val="0"/>
              <w:jc w:val="center"/>
            </w:pPr>
            <w:r w:rsidRPr="00610FCD">
              <w:t>0%</w:t>
            </w:r>
          </w:p>
        </w:tc>
        <w:tc>
          <w:tcPr>
            <w:tcW w:w="853" w:type="dxa"/>
            <w:tcBorders>
              <w:bottom w:val="double" w:sz="4" w:space="0" w:color="auto"/>
            </w:tcBorders>
            <w:vAlign w:val="center"/>
          </w:tcPr>
          <w:p w14:paraId="593C7A92" w14:textId="77777777" w:rsidR="00494FC9" w:rsidRPr="00610FCD" w:rsidRDefault="00494FC9" w:rsidP="00494FC9">
            <w:pPr>
              <w:pStyle w:val="Tabletext0"/>
              <w:keepNext/>
              <w:keepLines/>
              <w:widowControl w:val="0"/>
              <w:jc w:val="center"/>
            </w:pPr>
            <w:r w:rsidRPr="00610FCD">
              <w:t>0%</w:t>
            </w:r>
          </w:p>
        </w:tc>
        <w:tc>
          <w:tcPr>
            <w:tcW w:w="854" w:type="dxa"/>
            <w:tcBorders>
              <w:bottom w:val="double" w:sz="4" w:space="0" w:color="auto"/>
            </w:tcBorders>
            <w:vAlign w:val="center"/>
          </w:tcPr>
          <w:p w14:paraId="00372A7B" w14:textId="77777777" w:rsidR="00494FC9" w:rsidRPr="00610FCD" w:rsidRDefault="00494FC9" w:rsidP="00494FC9">
            <w:pPr>
              <w:pStyle w:val="Tabletext0"/>
              <w:keepNext/>
              <w:keepLines/>
              <w:widowControl w:val="0"/>
              <w:jc w:val="center"/>
            </w:pPr>
            <w:r w:rsidRPr="00610FCD">
              <w:t>0%</w:t>
            </w:r>
          </w:p>
        </w:tc>
        <w:tc>
          <w:tcPr>
            <w:tcW w:w="854" w:type="dxa"/>
            <w:tcBorders>
              <w:bottom w:val="double" w:sz="4" w:space="0" w:color="auto"/>
            </w:tcBorders>
            <w:vAlign w:val="center"/>
          </w:tcPr>
          <w:p w14:paraId="5F655253" w14:textId="77777777" w:rsidR="00494FC9" w:rsidRPr="00610FCD" w:rsidRDefault="00494FC9" w:rsidP="00494FC9">
            <w:pPr>
              <w:pStyle w:val="Tabletext0"/>
              <w:keepNext/>
              <w:keepLines/>
              <w:widowControl w:val="0"/>
              <w:jc w:val="center"/>
            </w:pPr>
            <w:r w:rsidRPr="00610FCD">
              <w:t>0%</w:t>
            </w:r>
          </w:p>
        </w:tc>
        <w:tc>
          <w:tcPr>
            <w:tcW w:w="973" w:type="dxa"/>
            <w:tcBorders>
              <w:bottom w:val="double" w:sz="4" w:space="0" w:color="auto"/>
            </w:tcBorders>
            <w:vAlign w:val="center"/>
          </w:tcPr>
          <w:p w14:paraId="4D142959" w14:textId="77777777" w:rsidR="00494FC9" w:rsidRPr="00610FCD" w:rsidRDefault="00494FC9" w:rsidP="00494FC9">
            <w:pPr>
              <w:pStyle w:val="Tabletext0"/>
              <w:keepNext/>
              <w:keepLines/>
              <w:widowControl w:val="0"/>
              <w:jc w:val="center"/>
            </w:pPr>
            <w:r w:rsidRPr="00610FCD">
              <w:t>6%</w:t>
            </w:r>
          </w:p>
        </w:tc>
        <w:tc>
          <w:tcPr>
            <w:tcW w:w="854" w:type="dxa"/>
            <w:tcBorders>
              <w:bottom w:val="double" w:sz="4" w:space="0" w:color="auto"/>
            </w:tcBorders>
            <w:vAlign w:val="center"/>
          </w:tcPr>
          <w:p w14:paraId="1983127A" w14:textId="77777777" w:rsidR="00494FC9" w:rsidRPr="00610FCD" w:rsidRDefault="00494FC9" w:rsidP="00494FC9">
            <w:pPr>
              <w:pStyle w:val="Tabletext0"/>
              <w:keepNext/>
              <w:keepLines/>
              <w:widowControl w:val="0"/>
              <w:jc w:val="center"/>
            </w:pPr>
            <w:r w:rsidRPr="00610FCD">
              <w:t>5%</w:t>
            </w:r>
          </w:p>
        </w:tc>
        <w:tc>
          <w:tcPr>
            <w:tcW w:w="854" w:type="dxa"/>
            <w:tcBorders>
              <w:bottom w:val="double" w:sz="4" w:space="0" w:color="auto"/>
            </w:tcBorders>
            <w:vAlign w:val="center"/>
          </w:tcPr>
          <w:p w14:paraId="54688F50" w14:textId="77777777" w:rsidR="00494FC9" w:rsidRPr="00610FCD" w:rsidRDefault="00494FC9" w:rsidP="00494FC9">
            <w:pPr>
              <w:pStyle w:val="Tabletext0"/>
              <w:keepNext/>
              <w:keepLines/>
              <w:widowControl w:val="0"/>
              <w:jc w:val="center"/>
            </w:pPr>
            <w:r w:rsidRPr="00610FCD">
              <w:t>5%</w:t>
            </w:r>
          </w:p>
        </w:tc>
        <w:tc>
          <w:tcPr>
            <w:tcW w:w="854" w:type="dxa"/>
            <w:tcBorders>
              <w:bottom w:val="double" w:sz="4" w:space="0" w:color="auto"/>
            </w:tcBorders>
            <w:vAlign w:val="center"/>
          </w:tcPr>
          <w:p w14:paraId="4A4EC45B" w14:textId="77777777" w:rsidR="00494FC9" w:rsidRPr="00610FCD" w:rsidRDefault="00494FC9" w:rsidP="00494FC9">
            <w:pPr>
              <w:pStyle w:val="Tabletext0"/>
              <w:keepNext/>
              <w:keepLines/>
              <w:widowControl w:val="0"/>
              <w:jc w:val="center"/>
            </w:pPr>
            <w:r w:rsidRPr="00610FCD">
              <w:t>4%</w:t>
            </w:r>
          </w:p>
        </w:tc>
        <w:tc>
          <w:tcPr>
            <w:tcW w:w="854" w:type="dxa"/>
            <w:tcBorders>
              <w:bottom w:val="double" w:sz="4" w:space="0" w:color="auto"/>
            </w:tcBorders>
            <w:vAlign w:val="center"/>
          </w:tcPr>
          <w:p w14:paraId="4ACFBE29" w14:textId="77777777" w:rsidR="00494FC9" w:rsidRPr="00610FCD" w:rsidRDefault="00494FC9" w:rsidP="00494FC9">
            <w:pPr>
              <w:pStyle w:val="Tabletext0"/>
              <w:keepNext/>
              <w:keepLines/>
              <w:widowControl w:val="0"/>
              <w:jc w:val="center"/>
            </w:pPr>
            <w:r w:rsidRPr="00610FCD">
              <w:t>3%</w:t>
            </w:r>
          </w:p>
        </w:tc>
      </w:tr>
      <w:tr w:rsidR="00494FC9" w:rsidRPr="00610FCD" w14:paraId="6BC4D3FB" w14:textId="77777777" w:rsidTr="00344F17">
        <w:tc>
          <w:tcPr>
            <w:tcW w:w="9017" w:type="dxa"/>
            <w:gridSpan w:val="10"/>
            <w:tcBorders>
              <w:top w:val="double" w:sz="4" w:space="0" w:color="auto"/>
            </w:tcBorders>
          </w:tcPr>
          <w:p w14:paraId="20C9761C" w14:textId="77777777" w:rsidR="00494FC9" w:rsidRPr="00610FCD" w:rsidRDefault="00494FC9" w:rsidP="00494FC9">
            <w:pPr>
              <w:pStyle w:val="Tabletext0"/>
              <w:keepNext/>
              <w:keepLines/>
              <w:widowControl w:val="0"/>
              <w:rPr>
                <w:b/>
                <w:bCs/>
              </w:rPr>
            </w:pPr>
            <w:r w:rsidRPr="00610FCD">
              <w:rPr>
                <w:b/>
                <w:bCs/>
              </w:rPr>
              <w:t>DA</w:t>
            </w:r>
          </w:p>
        </w:tc>
      </w:tr>
      <w:tr w:rsidR="00494FC9" w:rsidRPr="00610FCD" w14:paraId="0E4EED96" w14:textId="77777777" w:rsidTr="002F02A1">
        <w:tc>
          <w:tcPr>
            <w:tcW w:w="1215" w:type="dxa"/>
          </w:tcPr>
          <w:p w14:paraId="79052CC8" w14:textId="77777777" w:rsidR="00494FC9" w:rsidRPr="00610FCD" w:rsidRDefault="00494FC9" w:rsidP="00494FC9">
            <w:pPr>
              <w:pStyle w:val="Tabletext0"/>
              <w:keepNext/>
              <w:keepLines/>
              <w:widowControl w:val="0"/>
            </w:pPr>
            <w:r w:rsidRPr="00610FCD">
              <w:t>OS</w:t>
            </w:r>
          </w:p>
        </w:tc>
        <w:tc>
          <w:tcPr>
            <w:tcW w:w="852" w:type="dxa"/>
            <w:vAlign w:val="center"/>
          </w:tcPr>
          <w:p w14:paraId="5693E460" w14:textId="77777777" w:rsidR="00494FC9" w:rsidRPr="00610FCD" w:rsidRDefault="00494FC9" w:rsidP="00494FC9">
            <w:pPr>
              <w:pStyle w:val="Tabletext0"/>
              <w:keepNext/>
              <w:keepLines/>
              <w:widowControl w:val="0"/>
              <w:jc w:val="center"/>
            </w:pPr>
            <w:r w:rsidRPr="00610FCD">
              <w:t>74%</w:t>
            </w:r>
          </w:p>
        </w:tc>
        <w:tc>
          <w:tcPr>
            <w:tcW w:w="853" w:type="dxa"/>
            <w:vAlign w:val="center"/>
          </w:tcPr>
          <w:p w14:paraId="02AD0A20" w14:textId="77777777" w:rsidR="00494FC9" w:rsidRPr="00610FCD" w:rsidRDefault="00494FC9" w:rsidP="00494FC9">
            <w:pPr>
              <w:pStyle w:val="Tabletext0"/>
              <w:keepNext/>
              <w:keepLines/>
              <w:widowControl w:val="0"/>
              <w:jc w:val="center"/>
            </w:pPr>
            <w:r w:rsidRPr="00610FCD">
              <w:t>53%</w:t>
            </w:r>
          </w:p>
        </w:tc>
        <w:tc>
          <w:tcPr>
            <w:tcW w:w="854" w:type="dxa"/>
            <w:vAlign w:val="center"/>
          </w:tcPr>
          <w:p w14:paraId="436A1988" w14:textId="77777777" w:rsidR="00494FC9" w:rsidRPr="00610FCD" w:rsidRDefault="00494FC9" w:rsidP="00494FC9">
            <w:pPr>
              <w:pStyle w:val="Tabletext0"/>
              <w:keepNext/>
              <w:keepLines/>
              <w:widowControl w:val="0"/>
              <w:jc w:val="center"/>
            </w:pPr>
            <w:r w:rsidRPr="00610FCD">
              <w:t>43%</w:t>
            </w:r>
          </w:p>
        </w:tc>
        <w:tc>
          <w:tcPr>
            <w:tcW w:w="854" w:type="dxa"/>
            <w:vAlign w:val="center"/>
          </w:tcPr>
          <w:p w14:paraId="5862612E" w14:textId="77777777" w:rsidR="00494FC9" w:rsidRPr="00610FCD" w:rsidRDefault="00494FC9" w:rsidP="00494FC9">
            <w:pPr>
              <w:pStyle w:val="Tabletext0"/>
              <w:keepNext/>
              <w:keepLines/>
              <w:widowControl w:val="0"/>
              <w:jc w:val="center"/>
            </w:pPr>
            <w:r w:rsidRPr="00610FCD">
              <w:t>38%</w:t>
            </w:r>
          </w:p>
        </w:tc>
        <w:tc>
          <w:tcPr>
            <w:tcW w:w="973" w:type="dxa"/>
            <w:vAlign w:val="center"/>
          </w:tcPr>
          <w:p w14:paraId="51370C55" w14:textId="77777777" w:rsidR="00494FC9" w:rsidRPr="00610FCD" w:rsidRDefault="00494FC9" w:rsidP="00494FC9">
            <w:pPr>
              <w:pStyle w:val="Tabletext0"/>
              <w:keepNext/>
              <w:keepLines/>
              <w:widowControl w:val="0"/>
              <w:jc w:val="center"/>
            </w:pPr>
            <w:r w:rsidRPr="00610FCD">
              <w:t>35%</w:t>
            </w:r>
          </w:p>
        </w:tc>
        <w:tc>
          <w:tcPr>
            <w:tcW w:w="854" w:type="dxa"/>
            <w:vAlign w:val="center"/>
          </w:tcPr>
          <w:p w14:paraId="47E104ED" w14:textId="77777777" w:rsidR="00494FC9" w:rsidRPr="00610FCD" w:rsidRDefault="00494FC9" w:rsidP="00494FC9">
            <w:pPr>
              <w:pStyle w:val="Tabletext0"/>
              <w:keepNext/>
              <w:keepLines/>
              <w:widowControl w:val="0"/>
              <w:jc w:val="center"/>
            </w:pPr>
            <w:r w:rsidRPr="00610FCD">
              <w:t>31%</w:t>
            </w:r>
          </w:p>
        </w:tc>
        <w:tc>
          <w:tcPr>
            <w:tcW w:w="854" w:type="dxa"/>
            <w:vAlign w:val="center"/>
          </w:tcPr>
          <w:p w14:paraId="1E86CF17" w14:textId="77777777" w:rsidR="00494FC9" w:rsidRPr="00610FCD" w:rsidRDefault="00494FC9" w:rsidP="00494FC9">
            <w:pPr>
              <w:pStyle w:val="Tabletext0"/>
              <w:keepNext/>
              <w:keepLines/>
              <w:widowControl w:val="0"/>
              <w:jc w:val="center"/>
            </w:pPr>
            <w:r w:rsidRPr="00610FCD">
              <w:t>27%</w:t>
            </w:r>
          </w:p>
        </w:tc>
        <w:tc>
          <w:tcPr>
            <w:tcW w:w="854" w:type="dxa"/>
            <w:vAlign w:val="center"/>
          </w:tcPr>
          <w:p w14:paraId="34C37AC6" w14:textId="77777777" w:rsidR="00494FC9" w:rsidRPr="00610FCD" w:rsidRDefault="00494FC9" w:rsidP="00494FC9">
            <w:pPr>
              <w:pStyle w:val="Tabletext0"/>
              <w:keepNext/>
              <w:keepLines/>
              <w:widowControl w:val="0"/>
              <w:jc w:val="center"/>
            </w:pPr>
            <w:r w:rsidRPr="00610FCD">
              <w:t>22%</w:t>
            </w:r>
          </w:p>
        </w:tc>
        <w:tc>
          <w:tcPr>
            <w:tcW w:w="854" w:type="dxa"/>
            <w:vAlign w:val="center"/>
          </w:tcPr>
          <w:p w14:paraId="4A49DA77" w14:textId="77777777" w:rsidR="00494FC9" w:rsidRPr="00610FCD" w:rsidRDefault="00494FC9" w:rsidP="00494FC9">
            <w:pPr>
              <w:pStyle w:val="Tabletext0"/>
              <w:keepNext/>
              <w:keepLines/>
              <w:widowControl w:val="0"/>
              <w:jc w:val="center"/>
            </w:pPr>
            <w:r w:rsidRPr="00610FCD">
              <w:t>15%</w:t>
            </w:r>
          </w:p>
        </w:tc>
      </w:tr>
      <w:tr w:rsidR="00494FC9" w:rsidRPr="00610FCD" w14:paraId="3C925CF0" w14:textId="77777777" w:rsidTr="002F02A1">
        <w:tc>
          <w:tcPr>
            <w:tcW w:w="1215" w:type="dxa"/>
          </w:tcPr>
          <w:p w14:paraId="04FD4B9E" w14:textId="77777777" w:rsidR="00494FC9" w:rsidRPr="00610FCD" w:rsidRDefault="00494FC9" w:rsidP="00494FC9">
            <w:pPr>
              <w:pStyle w:val="Tabletext0"/>
              <w:keepNext/>
              <w:keepLines/>
              <w:widowControl w:val="0"/>
            </w:pPr>
            <w:r w:rsidRPr="00610FCD">
              <w:t>- Remission</w:t>
            </w:r>
          </w:p>
        </w:tc>
        <w:tc>
          <w:tcPr>
            <w:tcW w:w="852" w:type="dxa"/>
            <w:vAlign w:val="center"/>
          </w:tcPr>
          <w:p w14:paraId="044AA1C0" w14:textId="77777777" w:rsidR="00494FC9" w:rsidRPr="00610FCD" w:rsidRDefault="00494FC9" w:rsidP="00494FC9">
            <w:pPr>
              <w:pStyle w:val="Tabletext0"/>
              <w:keepNext/>
              <w:keepLines/>
              <w:widowControl w:val="0"/>
              <w:jc w:val="center"/>
            </w:pPr>
            <w:r w:rsidRPr="00610FCD">
              <w:t>47%</w:t>
            </w:r>
          </w:p>
        </w:tc>
        <w:tc>
          <w:tcPr>
            <w:tcW w:w="853" w:type="dxa"/>
            <w:vAlign w:val="center"/>
          </w:tcPr>
          <w:p w14:paraId="3E2C02D0" w14:textId="77777777" w:rsidR="00494FC9" w:rsidRPr="00610FCD" w:rsidRDefault="00494FC9" w:rsidP="00494FC9">
            <w:pPr>
              <w:pStyle w:val="Tabletext0"/>
              <w:keepNext/>
              <w:keepLines/>
              <w:widowControl w:val="0"/>
              <w:jc w:val="center"/>
            </w:pPr>
            <w:r w:rsidRPr="00610FCD">
              <w:t>25%</w:t>
            </w:r>
          </w:p>
        </w:tc>
        <w:tc>
          <w:tcPr>
            <w:tcW w:w="854" w:type="dxa"/>
            <w:vAlign w:val="center"/>
          </w:tcPr>
          <w:p w14:paraId="3974CB04" w14:textId="77777777" w:rsidR="00494FC9" w:rsidRPr="00610FCD" w:rsidRDefault="00494FC9" w:rsidP="00494FC9">
            <w:pPr>
              <w:pStyle w:val="Tabletext0"/>
              <w:keepNext/>
              <w:keepLines/>
              <w:widowControl w:val="0"/>
              <w:jc w:val="center"/>
            </w:pPr>
            <w:r w:rsidRPr="00610FCD">
              <w:t>18%</w:t>
            </w:r>
          </w:p>
        </w:tc>
        <w:tc>
          <w:tcPr>
            <w:tcW w:w="854" w:type="dxa"/>
            <w:vAlign w:val="center"/>
          </w:tcPr>
          <w:p w14:paraId="509D300B" w14:textId="77777777" w:rsidR="00494FC9" w:rsidRPr="00610FCD" w:rsidRDefault="00494FC9" w:rsidP="00494FC9">
            <w:pPr>
              <w:pStyle w:val="Tabletext0"/>
              <w:keepNext/>
              <w:keepLines/>
              <w:widowControl w:val="0"/>
              <w:jc w:val="center"/>
            </w:pPr>
            <w:r w:rsidRPr="00610FCD">
              <w:t>17%</w:t>
            </w:r>
          </w:p>
        </w:tc>
        <w:tc>
          <w:tcPr>
            <w:tcW w:w="973" w:type="dxa"/>
            <w:vAlign w:val="center"/>
          </w:tcPr>
          <w:p w14:paraId="3948FCCC" w14:textId="77777777" w:rsidR="00494FC9" w:rsidRPr="00610FCD" w:rsidRDefault="00494FC9" w:rsidP="00494FC9">
            <w:pPr>
              <w:pStyle w:val="Tabletext0"/>
              <w:keepNext/>
              <w:keepLines/>
              <w:widowControl w:val="0"/>
              <w:jc w:val="center"/>
            </w:pPr>
            <w:r w:rsidRPr="00610FCD">
              <w:t>16%</w:t>
            </w:r>
          </w:p>
        </w:tc>
        <w:tc>
          <w:tcPr>
            <w:tcW w:w="854" w:type="dxa"/>
            <w:vAlign w:val="center"/>
          </w:tcPr>
          <w:p w14:paraId="4017000A" w14:textId="77777777" w:rsidR="00494FC9" w:rsidRPr="00610FCD" w:rsidRDefault="00494FC9" w:rsidP="00494FC9">
            <w:pPr>
              <w:pStyle w:val="Tabletext0"/>
              <w:keepNext/>
              <w:keepLines/>
              <w:widowControl w:val="0"/>
              <w:jc w:val="center"/>
            </w:pPr>
            <w:r w:rsidRPr="00610FCD">
              <w:t>15%</w:t>
            </w:r>
          </w:p>
        </w:tc>
        <w:tc>
          <w:tcPr>
            <w:tcW w:w="854" w:type="dxa"/>
            <w:vAlign w:val="center"/>
          </w:tcPr>
          <w:p w14:paraId="4D6968FB" w14:textId="77777777" w:rsidR="00494FC9" w:rsidRPr="00610FCD" w:rsidRDefault="00494FC9" w:rsidP="00494FC9">
            <w:pPr>
              <w:pStyle w:val="Tabletext0"/>
              <w:keepNext/>
              <w:keepLines/>
              <w:widowControl w:val="0"/>
              <w:jc w:val="center"/>
            </w:pPr>
            <w:r w:rsidRPr="00610FCD">
              <w:t>13%</w:t>
            </w:r>
          </w:p>
        </w:tc>
        <w:tc>
          <w:tcPr>
            <w:tcW w:w="854" w:type="dxa"/>
            <w:vAlign w:val="center"/>
          </w:tcPr>
          <w:p w14:paraId="5FED4DDB" w14:textId="77777777" w:rsidR="00494FC9" w:rsidRPr="00610FCD" w:rsidRDefault="00494FC9" w:rsidP="00494FC9">
            <w:pPr>
              <w:pStyle w:val="Tabletext0"/>
              <w:keepNext/>
              <w:keepLines/>
              <w:widowControl w:val="0"/>
              <w:jc w:val="center"/>
            </w:pPr>
            <w:r w:rsidRPr="00610FCD">
              <w:t>10%</w:t>
            </w:r>
          </w:p>
        </w:tc>
        <w:tc>
          <w:tcPr>
            <w:tcW w:w="854" w:type="dxa"/>
            <w:vAlign w:val="center"/>
          </w:tcPr>
          <w:p w14:paraId="2DD0C13F" w14:textId="77777777" w:rsidR="00494FC9" w:rsidRPr="00610FCD" w:rsidRDefault="00494FC9" w:rsidP="00494FC9">
            <w:pPr>
              <w:pStyle w:val="Tabletext0"/>
              <w:keepNext/>
              <w:keepLines/>
              <w:widowControl w:val="0"/>
              <w:jc w:val="center"/>
            </w:pPr>
            <w:r w:rsidRPr="00610FCD">
              <w:t>7%</w:t>
            </w:r>
          </w:p>
        </w:tc>
      </w:tr>
      <w:tr w:rsidR="00494FC9" w:rsidRPr="00610FCD" w14:paraId="7D30F8C8" w14:textId="77777777" w:rsidTr="002F02A1">
        <w:tc>
          <w:tcPr>
            <w:tcW w:w="1215" w:type="dxa"/>
          </w:tcPr>
          <w:p w14:paraId="56042EDD" w14:textId="77777777" w:rsidR="00494FC9" w:rsidRPr="00610FCD" w:rsidRDefault="00494FC9" w:rsidP="00494FC9">
            <w:pPr>
              <w:pStyle w:val="Tabletext0"/>
              <w:keepNext/>
              <w:keepLines/>
              <w:widowControl w:val="0"/>
            </w:pPr>
            <w:r w:rsidRPr="00610FCD">
              <w:t>- Relapsed</w:t>
            </w:r>
          </w:p>
        </w:tc>
        <w:tc>
          <w:tcPr>
            <w:tcW w:w="852" w:type="dxa"/>
            <w:vAlign w:val="center"/>
          </w:tcPr>
          <w:p w14:paraId="7986BFA7" w14:textId="77777777" w:rsidR="00494FC9" w:rsidRPr="00610FCD" w:rsidRDefault="00494FC9" w:rsidP="00494FC9">
            <w:pPr>
              <w:pStyle w:val="Tabletext0"/>
              <w:keepNext/>
              <w:keepLines/>
              <w:widowControl w:val="0"/>
              <w:jc w:val="center"/>
            </w:pPr>
            <w:r w:rsidRPr="00610FCD">
              <w:t>18%</w:t>
            </w:r>
          </w:p>
        </w:tc>
        <w:tc>
          <w:tcPr>
            <w:tcW w:w="853" w:type="dxa"/>
            <w:vAlign w:val="center"/>
          </w:tcPr>
          <w:p w14:paraId="41737509" w14:textId="77777777" w:rsidR="00494FC9" w:rsidRPr="00610FCD" w:rsidRDefault="00494FC9" w:rsidP="00494FC9">
            <w:pPr>
              <w:pStyle w:val="Tabletext0"/>
              <w:keepNext/>
              <w:keepLines/>
              <w:widowControl w:val="0"/>
              <w:jc w:val="center"/>
            </w:pPr>
            <w:r w:rsidRPr="00610FCD">
              <w:t>23%</w:t>
            </w:r>
          </w:p>
        </w:tc>
        <w:tc>
          <w:tcPr>
            <w:tcW w:w="854" w:type="dxa"/>
            <w:vAlign w:val="center"/>
          </w:tcPr>
          <w:p w14:paraId="055DAE6B" w14:textId="77777777" w:rsidR="00494FC9" w:rsidRPr="00610FCD" w:rsidRDefault="00494FC9" w:rsidP="00494FC9">
            <w:pPr>
              <w:pStyle w:val="Tabletext0"/>
              <w:keepNext/>
              <w:keepLines/>
              <w:widowControl w:val="0"/>
              <w:jc w:val="center"/>
            </w:pPr>
            <w:r w:rsidRPr="00610FCD">
              <w:t>20%</w:t>
            </w:r>
          </w:p>
        </w:tc>
        <w:tc>
          <w:tcPr>
            <w:tcW w:w="854" w:type="dxa"/>
            <w:vAlign w:val="center"/>
          </w:tcPr>
          <w:p w14:paraId="75F8F1AB" w14:textId="77777777" w:rsidR="00494FC9" w:rsidRPr="00610FCD" w:rsidRDefault="00494FC9" w:rsidP="00494FC9">
            <w:pPr>
              <w:pStyle w:val="Tabletext0"/>
              <w:keepNext/>
              <w:keepLines/>
              <w:widowControl w:val="0"/>
              <w:jc w:val="center"/>
            </w:pPr>
            <w:r w:rsidRPr="00610FCD">
              <w:t>18%</w:t>
            </w:r>
          </w:p>
        </w:tc>
        <w:tc>
          <w:tcPr>
            <w:tcW w:w="973" w:type="dxa"/>
            <w:vAlign w:val="center"/>
          </w:tcPr>
          <w:p w14:paraId="6A5C332A" w14:textId="77777777" w:rsidR="00494FC9" w:rsidRPr="00610FCD" w:rsidRDefault="00494FC9" w:rsidP="00494FC9">
            <w:pPr>
              <w:pStyle w:val="Tabletext0"/>
              <w:keepNext/>
              <w:keepLines/>
              <w:widowControl w:val="0"/>
              <w:jc w:val="center"/>
            </w:pPr>
            <w:r w:rsidRPr="00610FCD">
              <w:t>17%</w:t>
            </w:r>
          </w:p>
        </w:tc>
        <w:tc>
          <w:tcPr>
            <w:tcW w:w="854" w:type="dxa"/>
            <w:vAlign w:val="center"/>
          </w:tcPr>
          <w:p w14:paraId="6E23D0CF" w14:textId="77777777" w:rsidR="00494FC9" w:rsidRPr="00610FCD" w:rsidRDefault="00494FC9" w:rsidP="00494FC9">
            <w:pPr>
              <w:pStyle w:val="Tabletext0"/>
              <w:keepNext/>
              <w:keepLines/>
              <w:widowControl w:val="0"/>
              <w:jc w:val="center"/>
            </w:pPr>
            <w:r w:rsidRPr="00610FCD">
              <w:t>14%</w:t>
            </w:r>
          </w:p>
        </w:tc>
        <w:tc>
          <w:tcPr>
            <w:tcW w:w="854" w:type="dxa"/>
            <w:vAlign w:val="center"/>
          </w:tcPr>
          <w:p w14:paraId="6F0E8D62" w14:textId="77777777" w:rsidR="00494FC9" w:rsidRPr="00610FCD" w:rsidRDefault="00494FC9" w:rsidP="00494FC9">
            <w:pPr>
              <w:pStyle w:val="Tabletext0"/>
              <w:keepNext/>
              <w:keepLines/>
              <w:widowControl w:val="0"/>
              <w:jc w:val="center"/>
            </w:pPr>
            <w:r w:rsidRPr="00610FCD">
              <w:t>12%</w:t>
            </w:r>
          </w:p>
        </w:tc>
        <w:tc>
          <w:tcPr>
            <w:tcW w:w="854" w:type="dxa"/>
            <w:vAlign w:val="center"/>
          </w:tcPr>
          <w:p w14:paraId="1C52CFEE" w14:textId="77777777" w:rsidR="00494FC9" w:rsidRPr="00610FCD" w:rsidRDefault="00494FC9" w:rsidP="00494FC9">
            <w:pPr>
              <w:pStyle w:val="Tabletext0"/>
              <w:keepNext/>
              <w:keepLines/>
              <w:widowControl w:val="0"/>
              <w:jc w:val="center"/>
            </w:pPr>
            <w:r w:rsidRPr="00610FCD">
              <w:t>10%</w:t>
            </w:r>
          </w:p>
        </w:tc>
        <w:tc>
          <w:tcPr>
            <w:tcW w:w="854" w:type="dxa"/>
            <w:vAlign w:val="center"/>
          </w:tcPr>
          <w:p w14:paraId="2FFFA385" w14:textId="77777777" w:rsidR="00494FC9" w:rsidRPr="00610FCD" w:rsidRDefault="00494FC9" w:rsidP="00494FC9">
            <w:pPr>
              <w:pStyle w:val="Tabletext0"/>
              <w:keepNext/>
              <w:keepLines/>
              <w:widowControl w:val="0"/>
              <w:jc w:val="center"/>
            </w:pPr>
            <w:r w:rsidRPr="00610FCD">
              <w:t>7%</w:t>
            </w:r>
          </w:p>
        </w:tc>
      </w:tr>
      <w:tr w:rsidR="00494FC9" w:rsidRPr="00610FCD" w14:paraId="63743E73" w14:textId="77777777" w:rsidTr="002F02A1">
        <w:tc>
          <w:tcPr>
            <w:tcW w:w="1215" w:type="dxa"/>
            <w:tcBorders>
              <w:bottom w:val="single" w:sz="8" w:space="0" w:color="auto"/>
            </w:tcBorders>
          </w:tcPr>
          <w:p w14:paraId="5AC51E32" w14:textId="77777777" w:rsidR="00494FC9" w:rsidRPr="00610FCD" w:rsidRDefault="00494FC9" w:rsidP="00494FC9">
            <w:pPr>
              <w:pStyle w:val="Tabletext0"/>
              <w:keepNext/>
              <w:keepLines/>
              <w:widowControl w:val="0"/>
            </w:pPr>
            <w:r w:rsidRPr="00610FCD">
              <w:t>- Refractory</w:t>
            </w:r>
          </w:p>
        </w:tc>
        <w:tc>
          <w:tcPr>
            <w:tcW w:w="852" w:type="dxa"/>
            <w:tcBorders>
              <w:bottom w:val="single" w:sz="8" w:space="0" w:color="auto"/>
            </w:tcBorders>
            <w:vAlign w:val="center"/>
          </w:tcPr>
          <w:p w14:paraId="572442A6" w14:textId="77777777" w:rsidR="00494FC9" w:rsidRPr="00610FCD" w:rsidRDefault="00494FC9" w:rsidP="00494FC9">
            <w:pPr>
              <w:pStyle w:val="Tabletext0"/>
              <w:keepNext/>
              <w:keepLines/>
              <w:widowControl w:val="0"/>
              <w:jc w:val="center"/>
            </w:pPr>
            <w:r w:rsidRPr="00610FCD">
              <w:t>10%</w:t>
            </w:r>
          </w:p>
        </w:tc>
        <w:tc>
          <w:tcPr>
            <w:tcW w:w="853" w:type="dxa"/>
            <w:tcBorders>
              <w:bottom w:val="single" w:sz="8" w:space="0" w:color="auto"/>
            </w:tcBorders>
            <w:vAlign w:val="center"/>
          </w:tcPr>
          <w:p w14:paraId="251DB605" w14:textId="77777777" w:rsidR="00494FC9" w:rsidRPr="00610FCD" w:rsidRDefault="00494FC9" w:rsidP="00494FC9">
            <w:pPr>
              <w:pStyle w:val="Tabletext0"/>
              <w:keepNext/>
              <w:keepLines/>
              <w:widowControl w:val="0"/>
              <w:jc w:val="center"/>
            </w:pPr>
            <w:r w:rsidRPr="00610FCD">
              <w:t>5%</w:t>
            </w:r>
          </w:p>
        </w:tc>
        <w:tc>
          <w:tcPr>
            <w:tcW w:w="854" w:type="dxa"/>
            <w:tcBorders>
              <w:bottom w:val="single" w:sz="8" w:space="0" w:color="auto"/>
            </w:tcBorders>
            <w:vAlign w:val="center"/>
          </w:tcPr>
          <w:p w14:paraId="7FDC9DE0" w14:textId="77777777" w:rsidR="00494FC9" w:rsidRPr="00610FCD" w:rsidRDefault="00494FC9" w:rsidP="00494FC9">
            <w:pPr>
              <w:pStyle w:val="Tabletext0"/>
              <w:keepNext/>
              <w:keepLines/>
              <w:widowControl w:val="0"/>
              <w:jc w:val="center"/>
            </w:pPr>
            <w:r w:rsidRPr="00610FCD">
              <w:t>4%</w:t>
            </w:r>
          </w:p>
        </w:tc>
        <w:tc>
          <w:tcPr>
            <w:tcW w:w="854" w:type="dxa"/>
            <w:tcBorders>
              <w:bottom w:val="single" w:sz="8" w:space="0" w:color="auto"/>
            </w:tcBorders>
            <w:vAlign w:val="center"/>
          </w:tcPr>
          <w:p w14:paraId="4DA1A631" w14:textId="77777777" w:rsidR="00494FC9" w:rsidRPr="00610FCD" w:rsidRDefault="00494FC9" w:rsidP="00494FC9">
            <w:pPr>
              <w:pStyle w:val="Tabletext0"/>
              <w:keepNext/>
              <w:keepLines/>
              <w:widowControl w:val="0"/>
              <w:jc w:val="center"/>
            </w:pPr>
            <w:r w:rsidRPr="00610FCD">
              <w:t>3%</w:t>
            </w:r>
          </w:p>
        </w:tc>
        <w:tc>
          <w:tcPr>
            <w:tcW w:w="973" w:type="dxa"/>
            <w:tcBorders>
              <w:bottom w:val="single" w:sz="8" w:space="0" w:color="auto"/>
            </w:tcBorders>
            <w:vAlign w:val="center"/>
          </w:tcPr>
          <w:p w14:paraId="4D717D8B" w14:textId="77777777" w:rsidR="00494FC9" w:rsidRPr="00610FCD" w:rsidRDefault="00494FC9" w:rsidP="00494FC9">
            <w:pPr>
              <w:pStyle w:val="Tabletext0"/>
              <w:keepNext/>
              <w:keepLines/>
              <w:widowControl w:val="0"/>
              <w:jc w:val="center"/>
            </w:pPr>
            <w:r w:rsidRPr="00610FCD">
              <w:t>2%</w:t>
            </w:r>
          </w:p>
        </w:tc>
        <w:tc>
          <w:tcPr>
            <w:tcW w:w="854" w:type="dxa"/>
            <w:tcBorders>
              <w:bottom w:val="single" w:sz="8" w:space="0" w:color="auto"/>
            </w:tcBorders>
            <w:vAlign w:val="center"/>
          </w:tcPr>
          <w:p w14:paraId="15EA0BE0" w14:textId="77777777" w:rsidR="00494FC9" w:rsidRPr="00610FCD" w:rsidRDefault="00494FC9" w:rsidP="00494FC9">
            <w:pPr>
              <w:pStyle w:val="Tabletext0"/>
              <w:keepNext/>
              <w:keepLines/>
              <w:widowControl w:val="0"/>
              <w:jc w:val="center"/>
            </w:pPr>
            <w:r w:rsidRPr="00610FCD">
              <w:t>2%</w:t>
            </w:r>
          </w:p>
        </w:tc>
        <w:tc>
          <w:tcPr>
            <w:tcW w:w="854" w:type="dxa"/>
            <w:tcBorders>
              <w:bottom w:val="single" w:sz="8" w:space="0" w:color="auto"/>
            </w:tcBorders>
            <w:vAlign w:val="center"/>
          </w:tcPr>
          <w:p w14:paraId="4ED643B3" w14:textId="77777777" w:rsidR="00494FC9" w:rsidRPr="00610FCD" w:rsidRDefault="00494FC9" w:rsidP="00494FC9">
            <w:pPr>
              <w:pStyle w:val="Tabletext0"/>
              <w:keepNext/>
              <w:keepLines/>
              <w:widowControl w:val="0"/>
              <w:jc w:val="center"/>
            </w:pPr>
            <w:r w:rsidRPr="00610FCD">
              <w:t>2%</w:t>
            </w:r>
          </w:p>
        </w:tc>
        <w:tc>
          <w:tcPr>
            <w:tcW w:w="854" w:type="dxa"/>
            <w:tcBorders>
              <w:bottom w:val="single" w:sz="8" w:space="0" w:color="auto"/>
            </w:tcBorders>
            <w:vAlign w:val="center"/>
          </w:tcPr>
          <w:p w14:paraId="0CF01421" w14:textId="77777777" w:rsidR="00494FC9" w:rsidRPr="00610FCD" w:rsidRDefault="00494FC9" w:rsidP="00494FC9">
            <w:pPr>
              <w:pStyle w:val="Tabletext0"/>
              <w:keepNext/>
              <w:keepLines/>
              <w:widowControl w:val="0"/>
              <w:jc w:val="center"/>
            </w:pPr>
            <w:r w:rsidRPr="00610FCD">
              <w:t>2%</w:t>
            </w:r>
          </w:p>
        </w:tc>
        <w:tc>
          <w:tcPr>
            <w:tcW w:w="854" w:type="dxa"/>
            <w:tcBorders>
              <w:bottom w:val="single" w:sz="8" w:space="0" w:color="auto"/>
            </w:tcBorders>
            <w:vAlign w:val="center"/>
          </w:tcPr>
          <w:p w14:paraId="7140F141" w14:textId="77777777" w:rsidR="00494FC9" w:rsidRPr="00610FCD" w:rsidRDefault="00494FC9" w:rsidP="00494FC9">
            <w:pPr>
              <w:pStyle w:val="Tabletext0"/>
              <w:keepNext/>
              <w:keepLines/>
              <w:widowControl w:val="0"/>
              <w:jc w:val="center"/>
            </w:pPr>
            <w:r w:rsidRPr="00610FCD">
              <w:t>1%</w:t>
            </w:r>
          </w:p>
        </w:tc>
      </w:tr>
      <w:tr w:rsidR="00494FC9" w:rsidRPr="00610FCD" w14:paraId="268E2755" w14:textId="77777777" w:rsidTr="002F02A1">
        <w:tc>
          <w:tcPr>
            <w:tcW w:w="1215" w:type="dxa"/>
            <w:tcBorders>
              <w:top w:val="single" w:sz="8" w:space="0" w:color="auto"/>
            </w:tcBorders>
          </w:tcPr>
          <w:p w14:paraId="7D8CBB15" w14:textId="77777777" w:rsidR="00494FC9" w:rsidRPr="00610FCD" w:rsidRDefault="00494FC9" w:rsidP="00494FC9">
            <w:pPr>
              <w:pStyle w:val="Tabletext0"/>
              <w:keepNext/>
              <w:keepLines/>
              <w:widowControl w:val="0"/>
            </w:pPr>
            <w:r w:rsidRPr="00610FCD">
              <w:t>Functional cure</w:t>
            </w:r>
          </w:p>
        </w:tc>
        <w:tc>
          <w:tcPr>
            <w:tcW w:w="852" w:type="dxa"/>
            <w:tcBorders>
              <w:top w:val="single" w:sz="8" w:space="0" w:color="auto"/>
            </w:tcBorders>
            <w:vAlign w:val="center"/>
          </w:tcPr>
          <w:p w14:paraId="1AF217C2" w14:textId="77777777" w:rsidR="00494FC9" w:rsidRPr="00610FCD" w:rsidRDefault="00494FC9" w:rsidP="00494FC9">
            <w:pPr>
              <w:pStyle w:val="Tabletext0"/>
              <w:keepNext/>
              <w:keepLines/>
              <w:widowControl w:val="0"/>
              <w:jc w:val="center"/>
            </w:pPr>
            <w:r w:rsidRPr="00610FCD">
              <w:t>0%</w:t>
            </w:r>
          </w:p>
        </w:tc>
        <w:tc>
          <w:tcPr>
            <w:tcW w:w="853" w:type="dxa"/>
            <w:tcBorders>
              <w:top w:val="single" w:sz="8" w:space="0" w:color="auto"/>
            </w:tcBorders>
            <w:vAlign w:val="center"/>
          </w:tcPr>
          <w:p w14:paraId="54861C28" w14:textId="77777777" w:rsidR="00494FC9" w:rsidRPr="00610FCD" w:rsidRDefault="00494FC9" w:rsidP="00494FC9">
            <w:pPr>
              <w:pStyle w:val="Tabletext0"/>
              <w:keepNext/>
              <w:keepLines/>
              <w:widowControl w:val="0"/>
              <w:jc w:val="center"/>
            </w:pPr>
            <w:r w:rsidRPr="00610FCD">
              <w:t>0%</w:t>
            </w:r>
          </w:p>
        </w:tc>
        <w:tc>
          <w:tcPr>
            <w:tcW w:w="854" w:type="dxa"/>
            <w:tcBorders>
              <w:top w:val="single" w:sz="8" w:space="0" w:color="auto"/>
            </w:tcBorders>
            <w:vAlign w:val="center"/>
          </w:tcPr>
          <w:p w14:paraId="37F30A97" w14:textId="77777777" w:rsidR="00494FC9" w:rsidRPr="00610FCD" w:rsidRDefault="00494FC9" w:rsidP="00494FC9">
            <w:pPr>
              <w:pStyle w:val="Tabletext0"/>
              <w:keepNext/>
              <w:keepLines/>
              <w:widowControl w:val="0"/>
              <w:jc w:val="center"/>
            </w:pPr>
            <w:r w:rsidRPr="00610FCD">
              <w:t>0%</w:t>
            </w:r>
          </w:p>
        </w:tc>
        <w:tc>
          <w:tcPr>
            <w:tcW w:w="854" w:type="dxa"/>
            <w:tcBorders>
              <w:top w:val="single" w:sz="8" w:space="0" w:color="auto"/>
            </w:tcBorders>
            <w:vAlign w:val="center"/>
          </w:tcPr>
          <w:p w14:paraId="01EA1774" w14:textId="77777777" w:rsidR="00494FC9" w:rsidRPr="00610FCD" w:rsidRDefault="00494FC9" w:rsidP="00494FC9">
            <w:pPr>
              <w:pStyle w:val="Tabletext0"/>
              <w:keepNext/>
              <w:keepLines/>
              <w:widowControl w:val="0"/>
              <w:jc w:val="center"/>
            </w:pPr>
            <w:r w:rsidRPr="00610FCD">
              <w:t>0%</w:t>
            </w:r>
          </w:p>
        </w:tc>
        <w:tc>
          <w:tcPr>
            <w:tcW w:w="973" w:type="dxa"/>
            <w:tcBorders>
              <w:top w:val="single" w:sz="8" w:space="0" w:color="auto"/>
            </w:tcBorders>
            <w:vAlign w:val="center"/>
          </w:tcPr>
          <w:p w14:paraId="0C927364" w14:textId="77777777" w:rsidR="00494FC9" w:rsidRPr="00610FCD" w:rsidRDefault="00494FC9" w:rsidP="00494FC9">
            <w:pPr>
              <w:pStyle w:val="Tabletext0"/>
              <w:keepNext/>
              <w:keepLines/>
              <w:widowControl w:val="0"/>
              <w:jc w:val="center"/>
            </w:pPr>
            <w:r w:rsidRPr="00610FCD">
              <w:t>16%</w:t>
            </w:r>
          </w:p>
        </w:tc>
        <w:tc>
          <w:tcPr>
            <w:tcW w:w="854" w:type="dxa"/>
            <w:tcBorders>
              <w:top w:val="single" w:sz="8" w:space="0" w:color="auto"/>
            </w:tcBorders>
            <w:vAlign w:val="center"/>
          </w:tcPr>
          <w:p w14:paraId="69618A49" w14:textId="77777777" w:rsidR="00494FC9" w:rsidRPr="00610FCD" w:rsidRDefault="00494FC9" w:rsidP="00494FC9">
            <w:pPr>
              <w:pStyle w:val="Tabletext0"/>
              <w:keepNext/>
              <w:keepLines/>
              <w:widowControl w:val="0"/>
              <w:jc w:val="center"/>
            </w:pPr>
            <w:r w:rsidRPr="00610FCD">
              <w:t>15%</w:t>
            </w:r>
          </w:p>
        </w:tc>
        <w:tc>
          <w:tcPr>
            <w:tcW w:w="854" w:type="dxa"/>
            <w:tcBorders>
              <w:top w:val="single" w:sz="8" w:space="0" w:color="auto"/>
            </w:tcBorders>
            <w:vAlign w:val="center"/>
          </w:tcPr>
          <w:p w14:paraId="5E0303E0" w14:textId="77777777" w:rsidR="00494FC9" w:rsidRPr="00610FCD" w:rsidRDefault="00494FC9" w:rsidP="00494FC9">
            <w:pPr>
              <w:pStyle w:val="Tabletext0"/>
              <w:keepNext/>
              <w:keepLines/>
              <w:widowControl w:val="0"/>
              <w:jc w:val="center"/>
            </w:pPr>
            <w:r w:rsidRPr="00610FCD">
              <w:t>13%</w:t>
            </w:r>
          </w:p>
        </w:tc>
        <w:tc>
          <w:tcPr>
            <w:tcW w:w="854" w:type="dxa"/>
            <w:tcBorders>
              <w:top w:val="single" w:sz="8" w:space="0" w:color="auto"/>
            </w:tcBorders>
            <w:vAlign w:val="center"/>
          </w:tcPr>
          <w:p w14:paraId="34B89279" w14:textId="77777777" w:rsidR="00494FC9" w:rsidRPr="00610FCD" w:rsidRDefault="00494FC9" w:rsidP="00494FC9">
            <w:pPr>
              <w:pStyle w:val="Tabletext0"/>
              <w:keepNext/>
              <w:keepLines/>
              <w:widowControl w:val="0"/>
              <w:jc w:val="center"/>
            </w:pPr>
            <w:r w:rsidRPr="00610FCD">
              <w:t>10%</w:t>
            </w:r>
          </w:p>
        </w:tc>
        <w:tc>
          <w:tcPr>
            <w:tcW w:w="854" w:type="dxa"/>
            <w:tcBorders>
              <w:top w:val="single" w:sz="8" w:space="0" w:color="auto"/>
            </w:tcBorders>
            <w:vAlign w:val="center"/>
          </w:tcPr>
          <w:p w14:paraId="27D80D97" w14:textId="77777777" w:rsidR="00494FC9" w:rsidRPr="00610FCD" w:rsidRDefault="00494FC9" w:rsidP="00494FC9">
            <w:pPr>
              <w:pStyle w:val="Tabletext0"/>
              <w:keepNext/>
              <w:keepLines/>
              <w:widowControl w:val="0"/>
              <w:jc w:val="center"/>
            </w:pPr>
            <w:r w:rsidRPr="00610FCD">
              <w:t>7%</w:t>
            </w:r>
          </w:p>
        </w:tc>
      </w:tr>
      <w:tr w:rsidR="00494FC9" w:rsidRPr="00610FCD" w14:paraId="0BA86FAB" w14:textId="77777777" w:rsidTr="002F02A1">
        <w:tc>
          <w:tcPr>
            <w:tcW w:w="1215" w:type="dxa"/>
          </w:tcPr>
          <w:p w14:paraId="3687BAAD" w14:textId="77777777" w:rsidR="00494FC9" w:rsidRPr="00610FCD" w:rsidRDefault="00494FC9" w:rsidP="00494FC9">
            <w:pPr>
              <w:pStyle w:val="Tabletext0"/>
              <w:keepNext/>
              <w:keepLines/>
              <w:widowControl w:val="0"/>
            </w:pPr>
            <w:r w:rsidRPr="00610FCD">
              <w:t>- No HSCT</w:t>
            </w:r>
          </w:p>
        </w:tc>
        <w:tc>
          <w:tcPr>
            <w:tcW w:w="852" w:type="dxa"/>
            <w:vAlign w:val="center"/>
          </w:tcPr>
          <w:p w14:paraId="10114DAD" w14:textId="77777777" w:rsidR="00494FC9" w:rsidRPr="00610FCD" w:rsidRDefault="00494FC9" w:rsidP="00494FC9">
            <w:pPr>
              <w:pStyle w:val="Tabletext0"/>
              <w:keepNext/>
              <w:keepLines/>
              <w:widowControl w:val="0"/>
              <w:jc w:val="center"/>
            </w:pPr>
            <w:r w:rsidRPr="00610FCD">
              <w:t>0%</w:t>
            </w:r>
          </w:p>
        </w:tc>
        <w:tc>
          <w:tcPr>
            <w:tcW w:w="853" w:type="dxa"/>
            <w:vAlign w:val="center"/>
          </w:tcPr>
          <w:p w14:paraId="02DD9CA0" w14:textId="77777777" w:rsidR="00494FC9" w:rsidRPr="00610FCD" w:rsidRDefault="00494FC9" w:rsidP="00494FC9">
            <w:pPr>
              <w:pStyle w:val="Tabletext0"/>
              <w:keepNext/>
              <w:keepLines/>
              <w:widowControl w:val="0"/>
              <w:jc w:val="center"/>
            </w:pPr>
            <w:r w:rsidRPr="00610FCD">
              <w:t>0%</w:t>
            </w:r>
          </w:p>
        </w:tc>
        <w:tc>
          <w:tcPr>
            <w:tcW w:w="854" w:type="dxa"/>
            <w:vAlign w:val="center"/>
          </w:tcPr>
          <w:p w14:paraId="0ACE5123" w14:textId="77777777" w:rsidR="00494FC9" w:rsidRPr="00610FCD" w:rsidRDefault="00494FC9" w:rsidP="00494FC9">
            <w:pPr>
              <w:pStyle w:val="Tabletext0"/>
              <w:keepNext/>
              <w:keepLines/>
              <w:widowControl w:val="0"/>
              <w:jc w:val="center"/>
            </w:pPr>
            <w:r w:rsidRPr="00610FCD">
              <w:t>0%</w:t>
            </w:r>
          </w:p>
        </w:tc>
        <w:tc>
          <w:tcPr>
            <w:tcW w:w="854" w:type="dxa"/>
            <w:vAlign w:val="center"/>
          </w:tcPr>
          <w:p w14:paraId="280B693C" w14:textId="77777777" w:rsidR="00494FC9" w:rsidRPr="00610FCD" w:rsidRDefault="00494FC9" w:rsidP="00494FC9">
            <w:pPr>
              <w:pStyle w:val="Tabletext0"/>
              <w:keepNext/>
              <w:keepLines/>
              <w:widowControl w:val="0"/>
              <w:jc w:val="center"/>
            </w:pPr>
            <w:r w:rsidRPr="00610FCD">
              <w:t>0%</w:t>
            </w:r>
          </w:p>
        </w:tc>
        <w:tc>
          <w:tcPr>
            <w:tcW w:w="973" w:type="dxa"/>
            <w:vAlign w:val="center"/>
          </w:tcPr>
          <w:p w14:paraId="58D0F223" w14:textId="77777777" w:rsidR="00494FC9" w:rsidRPr="00610FCD" w:rsidRDefault="00494FC9" w:rsidP="00494FC9">
            <w:pPr>
              <w:pStyle w:val="Tabletext0"/>
              <w:keepNext/>
              <w:keepLines/>
              <w:widowControl w:val="0"/>
              <w:jc w:val="center"/>
            </w:pPr>
            <w:r w:rsidRPr="00610FCD">
              <w:t>10%</w:t>
            </w:r>
          </w:p>
        </w:tc>
        <w:tc>
          <w:tcPr>
            <w:tcW w:w="854" w:type="dxa"/>
            <w:vAlign w:val="center"/>
          </w:tcPr>
          <w:p w14:paraId="62E60104" w14:textId="77777777" w:rsidR="00494FC9" w:rsidRPr="00610FCD" w:rsidRDefault="00494FC9" w:rsidP="00494FC9">
            <w:pPr>
              <w:pStyle w:val="Tabletext0"/>
              <w:keepNext/>
              <w:keepLines/>
              <w:widowControl w:val="0"/>
              <w:jc w:val="center"/>
            </w:pPr>
            <w:r w:rsidRPr="00610FCD">
              <w:t>9%</w:t>
            </w:r>
          </w:p>
        </w:tc>
        <w:tc>
          <w:tcPr>
            <w:tcW w:w="854" w:type="dxa"/>
            <w:vAlign w:val="center"/>
          </w:tcPr>
          <w:p w14:paraId="2CC1E5F3" w14:textId="77777777" w:rsidR="00494FC9" w:rsidRPr="00610FCD" w:rsidRDefault="00494FC9" w:rsidP="00494FC9">
            <w:pPr>
              <w:pStyle w:val="Tabletext0"/>
              <w:keepNext/>
              <w:keepLines/>
              <w:widowControl w:val="0"/>
              <w:jc w:val="center"/>
            </w:pPr>
            <w:r w:rsidRPr="00610FCD">
              <w:t>8%</w:t>
            </w:r>
          </w:p>
        </w:tc>
        <w:tc>
          <w:tcPr>
            <w:tcW w:w="854" w:type="dxa"/>
            <w:vAlign w:val="center"/>
          </w:tcPr>
          <w:p w14:paraId="259F598B" w14:textId="77777777" w:rsidR="00494FC9" w:rsidRPr="00610FCD" w:rsidRDefault="00494FC9" w:rsidP="00494FC9">
            <w:pPr>
              <w:pStyle w:val="Tabletext0"/>
              <w:keepNext/>
              <w:keepLines/>
              <w:widowControl w:val="0"/>
              <w:jc w:val="center"/>
            </w:pPr>
            <w:r w:rsidRPr="00610FCD">
              <w:t>7%</w:t>
            </w:r>
          </w:p>
        </w:tc>
        <w:tc>
          <w:tcPr>
            <w:tcW w:w="854" w:type="dxa"/>
            <w:vAlign w:val="center"/>
          </w:tcPr>
          <w:p w14:paraId="6D3B0129" w14:textId="77777777" w:rsidR="00494FC9" w:rsidRPr="00610FCD" w:rsidRDefault="00494FC9" w:rsidP="00494FC9">
            <w:pPr>
              <w:pStyle w:val="Tabletext0"/>
              <w:keepNext/>
              <w:keepLines/>
              <w:widowControl w:val="0"/>
              <w:jc w:val="center"/>
            </w:pPr>
            <w:r w:rsidRPr="00610FCD">
              <w:t>4%</w:t>
            </w:r>
          </w:p>
        </w:tc>
      </w:tr>
      <w:tr w:rsidR="00494FC9" w:rsidRPr="00610FCD" w14:paraId="49174DD8" w14:textId="77777777" w:rsidTr="002F02A1">
        <w:tc>
          <w:tcPr>
            <w:tcW w:w="1215" w:type="dxa"/>
          </w:tcPr>
          <w:p w14:paraId="57D0AAA4" w14:textId="77777777" w:rsidR="00494FC9" w:rsidRPr="00610FCD" w:rsidRDefault="00494FC9" w:rsidP="00494FC9">
            <w:pPr>
              <w:pStyle w:val="Tabletext0"/>
              <w:keepNext/>
              <w:keepLines/>
              <w:widowControl w:val="0"/>
            </w:pPr>
            <w:r w:rsidRPr="00610FCD">
              <w:t>- HSCT</w:t>
            </w:r>
          </w:p>
        </w:tc>
        <w:tc>
          <w:tcPr>
            <w:tcW w:w="852" w:type="dxa"/>
            <w:vAlign w:val="center"/>
          </w:tcPr>
          <w:p w14:paraId="7B2F4644" w14:textId="77777777" w:rsidR="00494FC9" w:rsidRPr="00610FCD" w:rsidRDefault="00494FC9" w:rsidP="00494FC9">
            <w:pPr>
              <w:pStyle w:val="Tabletext0"/>
              <w:keepNext/>
              <w:keepLines/>
              <w:widowControl w:val="0"/>
              <w:jc w:val="center"/>
            </w:pPr>
            <w:r w:rsidRPr="00610FCD">
              <w:t>0%</w:t>
            </w:r>
          </w:p>
        </w:tc>
        <w:tc>
          <w:tcPr>
            <w:tcW w:w="853" w:type="dxa"/>
            <w:vAlign w:val="center"/>
          </w:tcPr>
          <w:p w14:paraId="5FA7A619" w14:textId="77777777" w:rsidR="00494FC9" w:rsidRPr="00610FCD" w:rsidRDefault="00494FC9" w:rsidP="00494FC9">
            <w:pPr>
              <w:pStyle w:val="Tabletext0"/>
              <w:keepNext/>
              <w:keepLines/>
              <w:widowControl w:val="0"/>
              <w:jc w:val="center"/>
            </w:pPr>
            <w:r w:rsidRPr="00610FCD">
              <w:t>0%</w:t>
            </w:r>
          </w:p>
        </w:tc>
        <w:tc>
          <w:tcPr>
            <w:tcW w:w="854" w:type="dxa"/>
            <w:vAlign w:val="center"/>
          </w:tcPr>
          <w:p w14:paraId="3D9BEF9D" w14:textId="77777777" w:rsidR="00494FC9" w:rsidRPr="00610FCD" w:rsidRDefault="00494FC9" w:rsidP="00494FC9">
            <w:pPr>
              <w:pStyle w:val="Tabletext0"/>
              <w:keepNext/>
              <w:keepLines/>
              <w:widowControl w:val="0"/>
              <w:jc w:val="center"/>
            </w:pPr>
            <w:r w:rsidRPr="00610FCD">
              <w:t>0%</w:t>
            </w:r>
          </w:p>
        </w:tc>
        <w:tc>
          <w:tcPr>
            <w:tcW w:w="854" w:type="dxa"/>
            <w:vAlign w:val="center"/>
          </w:tcPr>
          <w:p w14:paraId="22442E68" w14:textId="77777777" w:rsidR="00494FC9" w:rsidRPr="00610FCD" w:rsidRDefault="00494FC9" w:rsidP="00494FC9">
            <w:pPr>
              <w:pStyle w:val="Tabletext0"/>
              <w:keepNext/>
              <w:keepLines/>
              <w:widowControl w:val="0"/>
              <w:jc w:val="center"/>
            </w:pPr>
            <w:r w:rsidRPr="00610FCD">
              <w:t>0%</w:t>
            </w:r>
          </w:p>
        </w:tc>
        <w:tc>
          <w:tcPr>
            <w:tcW w:w="973" w:type="dxa"/>
            <w:vAlign w:val="center"/>
          </w:tcPr>
          <w:p w14:paraId="2CB5137D" w14:textId="77777777" w:rsidR="00494FC9" w:rsidRPr="00610FCD" w:rsidRDefault="00494FC9" w:rsidP="00494FC9">
            <w:pPr>
              <w:pStyle w:val="Tabletext0"/>
              <w:keepNext/>
              <w:keepLines/>
              <w:widowControl w:val="0"/>
              <w:jc w:val="center"/>
            </w:pPr>
            <w:r w:rsidRPr="00610FCD">
              <w:t>6%</w:t>
            </w:r>
          </w:p>
        </w:tc>
        <w:tc>
          <w:tcPr>
            <w:tcW w:w="854" w:type="dxa"/>
            <w:vAlign w:val="center"/>
          </w:tcPr>
          <w:p w14:paraId="39B975BB" w14:textId="77777777" w:rsidR="00494FC9" w:rsidRPr="00610FCD" w:rsidRDefault="00494FC9" w:rsidP="00494FC9">
            <w:pPr>
              <w:pStyle w:val="Tabletext0"/>
              <w:keepNext/>
              <w:keepLines/>
              <w:widowControl w:val="0"/>
              <w:jc w:val="center"/>
            </w:pPr>
            <w:r w:rsidRPr="00610FCD">
              <w:t>5%</w:t>
            </w:r>
          </w:p>
        </w:tc>
        <w:tc>
          <w:tcPr>
            <w:tcW w:w="854" w:type="dxa"/>
            <w:vAlign w:val="center"/>
          </w:tcPr>
          <w:p w14:paraId="1AE6602D" w14:textId="77777777" w:rsidR="00494FC9" w:rsidRPr="00610FCD" w:rsidRDefault="00494FC9" w:rsidP="00494FC9">
            <w:pPr>
              <w:pStyle w:val="Tabletext0"/>
              <w:keepNext/>
              <w:keepLines/>
              <w:widowControl w:val="0"/>
              <w:jc w:val="center"/>
            </w:pPr>
            <w:r w:rsidRPr="00610FCD">
              <w:t>5%</w:t>
            </w:r>
          </w:p>
        </w:tc>
        <w:tc>
          <w:tcPr>
            <w:tcW w:w="854" w:type="dxa"/>
            <w:vAlign w:val="center"/>
          </w:tcPr>
          <w:p w14:paraId="13045EA4" w14:textId="77777777" w:rsidR="00494FC9" w:rsidRPr="00610FCD" w:rsidRDefault="00494FC9" w:rsidP="00494FC9">
            <w:pPr>
              <w:pStyle w:val="Tabletext0"/>
              <w:keepNext/>
              <w:keepLines/>
              <w:widowControl w:val="0"/>
              <w:jc w:val="center"/>
            </w:pPr>
            <w:r w:rsidRPr="00610FCD">
              <w:t>4%</w:t>
            </w:r>
          </w:p>
        </w:tc>
        <w:tc>
          <w:tcPr>
            <w:tcW w:w="854" w:type="dxa"/>
            <w:vAlign w:val="center"/>
          </w:tcPr>
          <w:p w14:paraId="29AF6736" w14:textId="77777777" w:rsidR="00494FC9" w:rsidRPr="00610FCD" w:rsidRDefault="00494FC9" w:rsidP="00494FC9">
            <w:pPr>
              <w:pStyle w:val="Tabletext0"/>
              <w:keepNext/>
              <w:keepLines/>
              <w:widowControl w:val="0"/>
              <w:jc w:val="center"/>
            </w:pPr>
            <w:r w:rsidRPr="00610FCD">
              <w:t>3%</w:t>
            </w:r>
          </w:p>
        </w:tc>
      </w:tr>
    </w:tbl>
    <w:p w14:paraId="1E123F66" w14:textId="77777777" w:rsidR="00E65D7B" w:rsidRPr="00610FCD" w:rsidRDefault="00E65D7B" w:rsidP="00BB4C36">
      <w:pPr>
        <w:pStyle w:val="TableFigureFooter"/>
        <w:keepNext/>
      </w:pPr>
      <w:r w:rsidRPr="00610FCD">
        <w:t>Source: constructed during the evaluation using the ‘210701_Mylotarg CEM_v7.2_Australia_PBAC_RESUBMISSION’ Excel workbook</w:t>
      </w:r>
    </w:p>
    <w:p w14:paraId="3D16DD0F" w14:textId="77777777" w:rsidR="00E65D7B" w:rsidRPr="00610FCD" w:rsidRDefault="00E65D7B" w:rsidP="003D660F">
      <w:pPr>
        <w:pStyle w:val="TableFigureFooter"/>
        <w:keepNext/>
        <w:keepLines/>
      </w:pPr>
      <w:r w:rsidRPr="00610FCD">
        <w:t>DA, daunorubicin and cytarabine; GO, gemtuzumab; HSCT, haematopoietic stem cell transplant; OS, overall survival</w:t>
      </w:r>
    </w:p>
    <w:p w14:paraId="312B5A59" w14:textId="77777777" w:rsidR="00E65D7B" w:rsidRPr="00610FCD" w:rsidRDefault="00E65D7B" w:rsidP="00E65D7B">
      <w:pPr>
        <w:pStyle w:val="TableFigureFooter"/>
      </w:pPr>
      <w:r w:rsidRPr="00610FCD">
        <w:t>Note</w:t>
      </w:r>
      <w:r w:rsidR="00344F17">
        <w:t>:</w:t>
      </w:r>
      <w:r w:rsidRPr="00610FCD">
        <w:t xml:space="preserve"> </w:t>
      </w:r>
      <w:r w:rsidR="00344F17">
        <w:t>e</w:t>
      </w:r>
      <w:r w:rsidRPr="00610FCD">
        <w:t xml:space="preserve">stimates highlighted in orange changed with the removal of OS convergence. All other estimates remained the same as the base case. </w:t>
      </w:r>
    </w:p>
    <w:p w14:paraId="6735D043" w14:textId="77777777" w:rsidR="00BB00B3" w:rsidRPr="00610FCD" w:rsidRDefault="00E65D7B" w:rsidP="00BB00B3">
      <w:pPr>
        <w:pStyle w:val="ExecSumBodyText"/>
      </w:pPr>
      <w:r w:rsidRPr="00610FCD">
        <w:t xml:space="preserve">There was an overall survival benefit in the gemtuzumab arm compared to the standard of care arm. This was apparent from the start of the model, with convergence towards the end of the model. The majority of survival benefit was due to more patients in the gemtuzumab arm maintaining remission compared to standard of care. There was no difference in overall survival between arms in refractory patients. </w:t>
      </w:r>
    </w:p>
    <w:p w14:paraId="16838291" w14:textId="77777777" w:rsidR="00E65D7B" w:rsidRPr="00FB1983" w:rsidRDefault="00E65D7B" w:rsidP="00BB00B3">
      <w:pPr>
        <w:pStyle w:val="ExecSumBodyText"/>
        <w:rPr>
          <w:iCs/>
        </w:rPr>
      </w:pPr>
      <w:r w:rsidRPr="00610FCD">
        <w:t xml:space="preserve">All patients in remission transitioned to the functional cure health state at 5 years in the model. A greater proportion of patients achieved functional cure due to induction therapy </w:t>
      </w:r>
      <w:r w:rsidR="00DC5F95">
        <w:t>rather than</w:t>
      </w:r>
      <w:r w:rsidR="00FE75F5">
        <w:t xml:space="preserve"> HSCT </w:t>
      </w:r>
      <w:r w:rsidRPr="00610FCD">
        <w:t xml:space="preserve">in both the gemtuzumab (23% no HSCT, 6% with HSCT) and standard of care (10% no HSCT, 6% with HSCT) arms. Effectively, the model assumed gemtuzumab was associated with a 13% increase in functional cure compared to standard of care. </w:t>
      </w:r>
      <w:r w:rsidRPr="00FB1983">
        <w:rPr>
          <w:iCs/>
        </w:rPr>
        <w:t>This assumption was in favour of gemtuzumab given these patients accrue no ongoing costs and were assumed to have the same quality of life as the general population.</w:t>
      </w:r>
    </w:p>
    <w:p w14:paraId="4E34C18D" w14:textId="77777777" w:rsidR="00E65D7B" w:rsidRDefault="00E65D7B" w:rsidP="00BB00B3">
      <w:pPr>
        <w:pStyle w:val="ExecSumBodyText"/>
        <w:rPr>
          <w:iCs/>
        </w:rPr>
      </w:pPr>
      <w:r w:rsidRPr="00610FCD">
        <w:t>The use of a mixture cure model to extrapolate relapse-free survival and overall survival result</w:t>
      </w:r>
      <w:r w:rsidR="00EB3AA9">
        <w:t>ed</w:t>
      </w:r>
      <w:r w:rsidRPr="00610FCD">
        <w:t xml:space="preserve"> in long-term survival being driven by cured fractions </w:t>
      </w:r>
      <w:r w:rsidR="000B6A0F" w:rsidRPr="00610FCD">
        <w:t>that</w:t>
      </w:r>
      <w:r w:rsidRPr="00610FCD">
        <w:t xml:space="preserve"> </w:t>
      </w:r>
      <w:r w:rsidR="00EB3AA9">
        <w:t>were</w:t>
      </w:r>
      <w:r w:rsidR="00EB3AA9" w:rsidRPr="00610FCD">
        <w:t xml:space="preserve"> </w:t>
      </w:r>
      <w:r w:rsidRPr="00610FCD">
        <w:t>attributed general population mortality (adjusted for excess mortality due to AML).</w:t>
      </w:r>
      <w:r w:rsidRPr="00FB1983">
        <w:rPr>
          <w:iCs/>
        </w:rPr>
        <w:t xml:space="preserve"> The effect of this approach</w:t>
      </w:r>
      <w:r w:rsidR="00A262D9">
        <w:rPr>
          <w:iCs/>
        </w:rPr>
        <w:t xml:space="preserve"> was</w:t>
      </w:r>
      <w:r w:rsidRPr="00FB1983">
        <w:rPr>
          <w:iCs/>
        </w:rPr>
        <w:t xml:space="preserve"> particularly apparent in the standard of care arm, given very similar rates of survival in both remission and relapsed patients from 4 years onwards.</w:t>
      </w:r>
    </w:p>
    <w:p w14:paraId="58F225FF" w14:textId="77777777" w:rsidR="00E65D7B" w:rsidRPr="00FB1983" w:rsidRDefault="00E65D7B" w:rsidP="00BB00B3">
      <w:pPr>
        <w:pStyle w:val="ExecSumBodyText"/>
        <w:rPr>
          <w:iCs/>
        </w:rPr>
      </w:pPr>
      <w:r w:rsidRPr="00610FCD">
        <w:t>The resubmission claimed that the application of forced convergence of overall survival reduced the impact of the cure fractions used in survival extrapolation.</w:t>
      </w:r>
      <w:r w:rsidRPr="00FB1983">
        <w:rPr>
          <w:iCs/>
        </w:rPr>
        <w:t xml:space="preserve"> Based on the tabled estimates, the approach resulted in an increase in deaths of relapsed patients in the gemtuzumab arm without impacting the proportion of patients maintaining remission who then enter the functional cure health state. The convergence scenario resulted in a more conservative overall survival benefit attributed to gemtuzumab, however, the difference in functional cure of 13% versus standard of care was maintained.</w:t>
      </w:r>
    </w:p>
    <w:p w14:paraId="5CA8976E" w14:textId="77777777" w:rsidR="00E65D7B" w:rsidRPr="00FB1983" w:rsidRDefault="00E65D7B" w:rsidP="00BB00B3">
      <w:pPr>
        <w:pStyle w:val="ExecSumBodyText"/>
        <w:rPr>
          <w:iCs/>
        </w:rPr>
      </w:pPr>
      <w:r w:rsidRPr="00FB1983">
        <w:rPr>
          <w:iCs/>
        </w:rPr>
        <w:t xml:space="preserve">The application of forced convergence of the overall survival curves was difficult to interpret from a clinical perspective as no corresponding adjustments were made to relapse-free survival. This approach </w:t>
      </w:r>
      <w:r w:rsidR="006A681A">
        <w:rPr>
          <w:iCs/>
        </w:rPr>
        <w:t xml:space="preserve">also </w:t>
      </w:r>
      <w:r w:rsidRPr="00FB1983">
        <w:rPr>
          <w:iCs/>
        </w:rPr>
        <w:t>assumed no relationship between disease status and overall survival. Moreover, the increased rate of death in the gemtuzumab arm was applied to relapsed patients, of wh</w:t>
      </w:r>
      <w:r w:rsidR="000B6A0F" w:rsidRPr="00FB1983">
        <w:rPr>
          <w:iCs/>
        </w:rPr>
        <w:t>om</w:t>
      </w:r>
      <w:r w:rsidRPr="00FB1983">
        <w:rPr>
          <w:iCs/>
        </w:rPr>
        <w:t xml:space="preserve"> the vast majority had achieved cure based on statistical cure fractions in the mixture cure model.</w:t>
      </w:r>
    </w:p>
    <w:p w14:paraId="4AC63119" w14:textId="77777777" w:rsidR="00E65D7B" w:rsidRPr="00FB1983" w:rsidRDefault="00E65D7B" w:rsidP="00BB00B3">
      <w:pPr>
        <w:pStyle w:val="ExecSumBodyText"/>
        <w:rPr>
          <w:iCs/>
        </w:rPr>
      </w:pPr>
      <w:r w:rsidRPr="00610FCD">
        <w:t>The resubmission claimed that the functional cure assumption was not applied to refractory patients.</w:t>
      </w:r>
      <w:r w:rsidRPr="00FB1983">
        <w:rPr>
          <w:iCs/>
        </w:rPr>
        <w:t xml:space="preserve"> This appeared inconsistent with survival estimates in the model, suggesting a small proportion of patients continue to survive up to 25 years following induction therapy.</w:t>
      </w:r>
    </w:p>
    <w:p w14:paraId="305679A1" w14:textId="77777777" w:rsidR="003F7FFD" w:rsidRDefault="003F7FFD" w:rsidP="00BB00B3">
      <w:pPr>
        <w:pStyle w:val="ExecSumBodyText"/>
        <w:rPr>
          <w:iCs/>
        </w:rPr>
      </w:pPr>
      <w:r w:rsidRPr="00FB1983">
        <w:rPr>
          <w:iCs/>
        </w:rPr>
        <w:t xml:space="preserve">Overall, the model structure and use of individual patient data may </w:t>
      </w:r>
      <w:r w:rsidR="007236B4" w:rsidRPr="00FB1983">
        <w:rPr>
          <w:iCs/>
        </w:rPr>
        <w:t xml:space="preserve">have </w:t>
      </w:r>
      <w:r w:rsidRPr="00FB1983">
        <w:rPr>
          <w:iCs/>
        </w:rPr>
        <w:t>reliably reproduc</w:t>
      </w:r>
      <w:r w:rsidR="007236B4" w:rsidRPr="00FB1983">
        <w:rPr>
          <w:iCs/>
        </w:rPr>
        <w:t>ed</w:t>
      </w:r>
      <w:r w:rsidRPr="00FB1983">
        <w:rPr>
          <w:iCs/>
        </w:rPr>
        <w:t xml:space="preserve"> results observed in the trial, with a median follow up of less than 4</w:t>
      </w:r>
      <w:r w:rsidR="007236B4" w:rsidRPr="00FB1983">
        <w:rPr>
          <w:iCs/>
        </w:rPr>
        <w:t> </w:t>
      </w:r>
      <w:r w:rsidRPr="00FB1983">
        <w:rPr>
          <w:iCs/>
        </w:rPr>
        <w:t>years. However, predictions beyond this timeframe were highly uncertain and reliant on the robustness of tail-end Kaplan-Meier data which informed statistical cure fractions in the log-normal mixture cure model and assumptions underpinning the functional cure health state.</w:t>
      </w:r>
      <w:r w:rsidR="00955E2F">
        <w:rPr>
          <w:iCs/>
        </w:rPr>
        <w:t xml:space="preserve"> </w:t>
      </w:r>
    </w:p>
    <w:p w14:paraId="0454986B" w14:textId="2A137BB3" w:rsidR="00972F34" w:rsidRPr="00610FCD" w:rsidRDefault="000B1C89" w:rsidP="00D32B02">
      <w:pPr>
        <w:pStyle w:val="ExecSumBodyText"/>
      </w:pPr>
      <w:r w:rsidRPr="00610FCD">
        <w:t>Key drivers of the economic model are summarised in the table below.</w:t>
      </w:r>
    </w:p>
    <w:p w14:paraId="3C67FE8A" w14:textId="77777777" w:rsidR="00D110BD" w:rsidRPr="00610FCD" w:rsidRDefault="000E50B8" w:rsidP="000E50B8">
      <w:pPr>
        <w:pStyle w:val="TableFigureCaption"/>
      </w:pPr>
      <w:r>
        <w:t xml:space="preserve">Table </w:t>
      </w:r>
      <w:r w:rsidR="00F90EC3">
        <w:rPr>
          <w:noProof/>
        </w:rPr>
        <w:t>11</w:t>
      </w:r>
      <w:r w:rsidR="00D110BD" w:rsidRPr="00610FCD">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129"/>
        <w:gridCol w:w="6858"/>
        <w:gridCol w:w="1030"/>
      </w:tblGrid>
      <w:tr w:rsidR="00537182" w:rsidRPr="00610FCD" w14:paraId="4E1B379D" w14:textId="77777777" w:rsidTr="00972511">
        <w:trPr>
          <w:cantSplit/>
          <w:tblHeader/>
        </w:trPr>
        <w:tc>
          <w:tcPr>
            <w:tcW w:w="626" w:type="pct"/>
            <w:shd w:val="clear" w:color="auto" w:fill="auto"/>
            <w:vAlign w:val="center"/>
          </w:tcPr>
          <w:p w14:paraId="7C9CC5E9" w14:textId="77777777" w:rsidR="00D110BD" w:rsidRPr="00610FCD" w:rsidRDefault="00D110BD" w:rsidP="00EB0CED">
            <w:pPr>
              <w:pStyle w:val="Tableheadingrow"/>
              <w:keepNext w:val="0"/>
              <w:widowControl w:val="0"/>
              <w:rPr>
                <w:lang w:val="en-AU"/>
              </w:rPr>
            </w:pPr>
            <w:r w:rsidRPr="00610FCD">
              <w:rPr>
                <w:lang w:val="en-AU"/>
              </w:rPr>
              <w:t>Description</w:t>
            </w:r>
          </w:p>
        </w:tc>
        <w:tc>
          <w:tcPr>
            <w:tcW w:w="3803" w:type="pct"/>
            <w:shd w:val="clear" w:color="auto" w:fill="auto"/>
            <w:vAlign w:val="center"/>
          </w:tcPr>
          <w:p w14:paraId="25616B11" w14:textId="77777777" w:rsidR="00D110BD" w:rsidRPr="00610FCD" w:rsidRDefault="00D110BD" w:rsidP="000B1C89">
            <w:pPr>
              <w:pStyle w:val="Tableheadingrow"/>
              <w:keepNext w:val="0"/>
              <w:widowControl w:val="0"/>
              <w:jc w:val="center"/>
              <w:rPr>
                <w:lang w:val="en-AU"/>
              </w:rPr>
            </w:pPr>
            <w:r w:rsidRPr="00610FCD">
              <w:rPr>
                <w:lang w:val="en-AU"/>
              </w:rPr>
              <w:t>Method/Value</w:t>
            </w:r>
          </w:p>
        </w:tc>
        <w:tc>
          <w:tcPr>
            <w:tcW w:w="571" w:type="pct"/>
            <w:shd w:val="clear" w:color="auto" w:fill="auto"/>
            <w:vAlign w:val="center"/>
          </w:tcPr>
          <w:p w14:paraId="2555228D" w14:textId="77777777" w:rsidR="00490B17" w:rsidRPr="00610FCD" w:rsidRDefault="00D110BD" w:rsidP="000B1C89">
            <w:pPr>
              <w:pStyle w:val="Tableheadingrow"/>
              <w:keepNext w:val="0"/>
              <w:widowControl w:val="0"/>
              <w:jc w:val="center"/>
              <w:rPr>
                <w:lang w:val="en-AU"/>
              </w:rPr>
            </w:pPr>
            <w:r w:rsidRPr="00610FCD">
              <w:rPr>
                <w:lang w:val="en-AU"/>
              </w:rPr>
              <w:t>Impact</w:t>
            </w:r>
          </w:p>
        </w:tc>
      </w:tr>
      <w:tr w:rsidR="00E652B6" w:rsidRPr="00FB1983" w14:paraId="60F390BE" w14:textId="77777777" w:rsidTr="00972511">
        <w:trPr>
          <w:cantSplit/>
        </w:trPr>
        <w:tc>
          <w:tcPr>
            <w:tcW w:w="626" w:type="pct"/>
            <w:shd w:val="clear" w:color="auto" w:fill="auto"/>
            <w:vAlign w:val="center"/>
          </w:tcPr>
          <w:p w14:paraId="05316B50" w14:textId="77777777" w:rsidR="00E652B6" w:rsidRPr="00FB1983" w:rsidRDefault="00E652B6" w:rsidP="00EB0CED">
            <w:pPr>
              <w:pStyle w:val="TableText"/>
              <w:keepNext w:val="0"/>
              <w:widowControl w:val="0"/>
            </w:pPr>
            <w:r w:rsidRPr="00FB1983">
              <w:t>Treatment benefit</w:t>
            </w:r>
          </w:p>
        </w:tc>
        <w:tc>
          <w:tcPr>
            <w:tcW w:w="3803" w:type="pct"/>
            <w:shd w:val="clear" w:color="auto" w:fill="auto"/>
            <w:vAlign w:val="center"/>
          </w:tcPr>
          <w:p w14:paraId="53EE9768" w14:textId="77777777" w:rsidR="0059165E" w:rsidRPr="00FB1983" w:rsidRDefault="00122BF0" w:rsidP="000B1C89">
            <w:pPr>
              <w:pStyle w:val="TableText"/>
              <w:keepNext w:val="0"/>
              <w:widowControl w:val="0"/>
              <w:rPr>
                <w:iCs/>
              </w:rPr>
            </w:pPr>
            <w:r w:rsidRPr="00FB1983">
              <w:rPr>
                <w:iCs/>
              </w:rPr>
              <w:t>The PBAC</w:t>
            </w:r>
            <w:r w:rsidR="009C0B2E">
              <w:rPr>
                <w:iCs/>
              </w:rPr>
              <w:t xml:space="preserve"> had</w:t>
            </w:r>
            <w:r w:rsidRPr="00FB1983">
              <w:rPr>
                <w:iCs/>
              </w:rPr>
              <w:t xml:space="preserve"> previously noted that the use of treatment benefit based on the subgroup with favourable/intermediate/unknown cytogenetic risk </w:t>
            </w:r>
            <w:r w:rsidR="00A27550" w:rsidRPr="00FB1983">
              <w:rPr>
                <w:iCs/>
              </w:rPr>
              <w:t xml:space="preserve">over the ITT results was inadequately justified (para 7.13, gemtuzumab PSD, March 2021 PBAC meeting). </w:t>
            </w:r>
            <w:r w:rsidR="00426285" w:rsidRPr="00FB1983">
              <w:rPr>
                <w:iCs/>
              </w:rPr>
              <w:t>T</w:t>
            </w:r>
            <w:r w:rsidR="001C6F90" w:rsidRPr="00FB1983">
              <w:rPr>
                <w:iCs/>
              </w:rPr>
              <w:t>he magnitude of benefit</w:t>
            </w:r>
            <w:r w:rsidR="00BF5B59" w:rsidRPr="00FB1983">
              <w:rPr>
                <w:iCs/>
              </w:rPr>
              <w:t xml:space="preserve"> in the nominated subgroup</w:t>
            </w:r>
            <w:r w:rsidR="00426285" w:rsidRPr="00FB1983">
              <w:rPr>
                <w:iCs/>
              </w:rPr>
              <w:t>,</w:t>
            </w:r>
            <w:r w:rsidR="001C6F90" w:rsidRPr="00FB1983">
              <w:rPr>
                <w:iCs/>
              </w:rPr>
              <w:t xml:space="preserve"> </w:t>
            </w:r>
            <w:r w:rsidR="00426285" w:rsidRPr="00FB1983">
              <w:rPr>
                <w:iCs/>
              </w:rPr>
              <w:t xml:space="preserve">particularly in terms of </w:t>
            </w:r>
            <w:r w:rsidR="00940E35" w:rsidRPr="00FB1983">
              <w:rPr>
                <w:iCs/>
              </w:rPr>
              <w:t>OS</w:t>
            </w:r>
            <w:r w:rsidR="00BF5B59" w:rsidRPr="00FB1983">
              <w:rPr>
                <w:iCs/>
              </w:rPr>
              <w:t>, remain</w:t>
            </w:r>
            <w:r w:rsidR="007236B4" w:rsidRPr="00FB1983">
              <w:rPr>
                <w:iCs/>
              </w:rPr>
              <w:t>ed</w:t>
            </w:r>
            <w:r w:rsidR="00BF5B59" w:rsidRPr="00FB1983">
              <w:rPr>
                <w:iCs/>
              </w:rPr>
              <w:t xml:space="preserve"> uncertain</w:t>
            </w:r>
            <w:r w:rsidR="006A681A">
              <w:rPr>
                <w:iCs/>
              </w:rPr>
              <w:t>, as did this applicability of the trial data</w:t>
            </w:r>
            <w:r w:rsidR="00BF5B59" w:rsidRPr="00FB1983">
              <w:rPr>
                <w:iCs/>
              </w:rPr>
              <w:t xml:space="preserve">. </w:t>
            </w:r>
          </w:p>
        </w:tc>
        <w:tc>
          <w:tcPr>
            <w:tcW w:w="571" w:type="pct"/>
            <w:shd w:val="clear" w:color="auto" w:fill="auto"/>
            <w:vAlign w:val="center"/>
          </w:tcPr>
          <w:p w14:paraId="0333453B" w14:textId="77777777" w:rsidR="00E652B6" w:rsidRPr="00FB1983" w:rsidRDefault="009D5B36" w:rsidP="000B1C89">
            <w:pPr>
              <w:pStyle w:val="TableText"/>
              <w:keepNext w:val="0"/>
              <w:widowControl w:val="0"/>
              <w:jc w:val="center"/>
            </w:pPr>
            <w:r w:rsidRPr="00FB1983">
              <w:t>High, favours gemtuzumab</w:t>
            </w:r>
          </w:p>
        </w:tc>
      </w:tr>
      <w:tr w:rsidR="00537182" w:rsidRPr="00FB1983" w14:paraId="7767D93E" w14:textId="77777777" w:rsidTr="00972511">
        <w:trPr>
          <w:cantSplit/>
        </w:trPr>
        <w:tc>
          <w:tcPr>
            <w:tcW w:w="626" w:type="pct"/>
            <w:shd w:val="clear" w:color="auto" w:fill="auto"/>
            <w:vAlign w:val="center"/>
          </w:tcPr>
          <w:p w14:paraId="7B04BE96" w14:textId="77777777" w:rsidR="00D110BD" w:rsidRPr="00FB1983" w:rsidRDefault="00106B80" w:rsidP="00EB0CED">
            <w:pPr>
              <w:pStyle w:val="TableText"/>
              <w:keepNext w:val="0"/>
              <w:widowControl w:val="0"/>
            </w:pPr>
            <w:r w:rsidRPr="00FB1983">
              <w:t>Extrapolation</w:t>
            </w:r>
          </w:p>
        </w:tc>
        <w:tc>
          <w:tcPr>
            <w:tcW w:w="3803" w:type="pct"/>
            <w:shd w:val="clear" w:color="auto" w:fill="auto"/>
            <w:vAlign w:val="center"/>
          </w:tcPr>
          <w:p w14:paraId="0010711D" w14:textId="77777777" w:rsidR="00106B80" w:rsidRPr="00FB1983" w:rsidRDefault="00174AAD" w:rsidP="000B1C89">
            <w:pPr>
              <w:pStyle w:val="TableText"/>
              <w:keepNext w:val="0"/>
              <w:widowControl w:val="0"/>
              <w:rPr>
                <w:iCs/>
              </w:rPr>
            </w:pPr>
            <w:r w:rsidRPr="00FB1983">
              <w:t xml:space="preserve">The resubmission maintained the use of log-normal mixture cure models to extrapolate </w:t>
            </w:r>
            <w:r w:rsidR="005A5373" w:rsidRPr="00FB1983">
              <w:t>OS</w:t>
            </w:r>
            <w:r w:rsidRPr="00FB1983">
              <w:t xml:space="preserve"> and </w:t>
            </w:r>
            <w:r w:rsidR="005A5373" w:rsidRPr="00FB1983">
              <w:t>RFS</w:t>
            </w:r>
            <w:r w:rsidRPr="00FB1983">
              <w:t xml:space="preserve"> curves (in patients with response).</w:t>
            </w:r>
            <w:r w:rsidR="00171093" w:rsidRPr="00FB1983">
              <w:rPr>
                <w:iCs/>
              </w:rPr>
              <w:t xml:space="preserve"> </w:t>
            </w:r>
            <w:r w:rsidRPr="00FB1983">
              <w:rPr>
                <w:iCs/>
              </w:rPr>
              <w:t>Long-term survival based on the mixture cure model was driven by the cured fraction</w:t>
            </w:r>
            <w:r w:rsidR="00BE08A8" w:rsidRPr="00FB1983">
              <w:rPr>
                <w:iCs/>
              </w:rPr>
              <w:t xml:space="preserve"> in both OS and RFS curves</w:t>
            </w:r>
            <w:r w:rsidRPr="00FB1983">
              <w:rPr>
                <w:iCs/>
              </w:rPr>
              <w:t xml:space="preserve"> who were attributed general population mortality (adjusted for excess mortality due to AML). </w:t>
            </w:r>
            <w:r w:rsidR="003A4328" w:rsidRPr="00FB1983">
              <w:rPr>
                <w:iCs/>
              </w:rPr>
              <w:t xml:space="preserve">During the evaluation, modelled outputs were assessed to determine the impact of </w:t>
            </w:r>
            <w:r w:rsidR="007F716C" w:rsidRPr="00FB1983">
              <w:rPr>
                <w:iCs/>
              </w:rPr>
              <w:t>extrapolation using mixture cure model with forced</w:t>
            </w:r>
            <w:r w:rsidR="005A5373" w:rsidRPr="00FB1983">
              <w:rPr>
                <w:iCs/>
              </w:rPr>
              <w:t xml:space="preserve"> OS</w:t>
            </w:r>
            <w:r w:rsidR="007F716C" w:rsidRPr="00FB1983">
              <w:rPr>
                <w:iCs/>
              </w:rPr>
              <w:t xml:space="preserve"> </w:t>
            </w:r>
            <w:r w:rsidR="003A4328" w:rsidRPr="00FB1983">
              <w:rPr>
                <w:iCs/>
              </w:rPr>
              <w:t xml:space="preserve">convergence </w:t>
            </w:r>
            <w:r w:rsidR="00A133A1" w:rsidRPr="00FB1983">
              <w:rPr>
                <w:iCs/>
              </w:rPr>
              <w:t>and functional cure rates</w:t>
            </w:r>
            <w:r w:rsidR="00023D4B" w:rsidRPr="00FB1983">
              <w:rPr>
                <w:iCs/>
              </w:rPr>
              <w:t xml:space="preserve"> (see </w:t>
            </w:r>
            <w:r w:rsidR="00F90EC3" w:rsidRPr="00F90EC3">
              <w:rPr>
                <w:iCs/>
              </w:rPr>
              <w:t xml:space="preserve">Table </w:t>
            </w:r>
            <w:r w:rsidR="00F90EC3" w:rsidRPr="00F90EC3">
              <w:rPr>
                <w:iCs/>
                <w:noProof/>
              </w:rPr>
              <w:t>10</w:t>
            </w:r>
            <w:r w:rsidR="001231D2" w:rsidRPr="00FB1983">
              <w:rPr>
                <w:iCs/>
              </w:rPr>
              <w:t xml:space="preserve"> </w:t>
            </w:r>
            <w:r w:rsidR="00023D4B" w:rsidRPr="00FB1983">
              <w:rPr>
                <w:iCs/>
              </w:rPr>
              <w:t>above)</w:t>
            </w:r>
            <w:r w:rsidR="00A133A1" w:rsidRPr="00FB1983">
              <w:rPr>
                <w:iCs/>
              </w:rPr>
              <w:t xml:space="preserve">. </w:t>
            </w:r>
          </w:p>
        </w:tc>
        <w:tc>
          <w:tcPr>
            <w:tcW w:w="571" w:type="pct"/>
            <w:shd w:val="clear" w:color="auto" w:fill="auto"/>
            <w:vAlign w:val="center"/>
          </w:tcPr>
          <w:p w14:paraId="11D01950" w14:textId="77777777" w:rsidR="00490B17" w:rsidRPr="00FB1983" w:rsidRDefault="009D5B36" w:rsidP="000B1C89">
            <w:pPr>
              <w:pStyle w:val="TableText"/>
              <w:keepNext w:val="0"/>
              <w:widowControl w:val="0"/>
              <w:jc w:val="center"/>
            </w:pPr>
            <w:r w:rsidRPr="00FB1983">
              <w:t>High, favours gemtuzumab</w:t>
            </w:r>
          </w:p>
        </w:tc>
      </w:tr>
      <w:tr w:rsidR="00062152" w:rsidRPr="00FB1983" w14:paraId="29FE00C1" w14:textId="77777777" w:rsidTr="00972511">
        <w:trPr>
          <w:cantSplit/>
        </w:trPr>
        <w:tc>
          <w:tcPr>
            <w:tcW w:w="626" w:type="pct"/>
            <w:tcBorders>
              <w:bottom w:val="single" w:sz="4" w:space="0" w:color="auto"/>
            </w:tcBorders>
            <w:shd w:val="clear" w:color="auto" w:fill="auto"/>
            <w:vAlign w:val="center"/>
          </w:tcPr>
          <w:p w14:paraId="66061C72" w14:textId="77777777" w:rsidR="00062152" w:rsidRPr="00FB1983" w:rsidRDefault="00062152" w:rsidP="00EB0CED">
            <w:pPr>
              <w:pStyle w:val="TableText"/>
              <w:keepNext w:val="0"/>
              <w:widowControl w:val="0"/>
            </w:pPr>
            <w:r w:rsidRPr="00FB1983">
              <w:t>HSCT rates</w:t>
            </w:r>
          </w:p>
        </w:tc>
        <w:tc>
          <w:tcPr>
            <w:tcW w:w="3803" w:type="pct"/>
            <w:tcBorders>
              <w:bottom w:val="single" w:sz="4" w:space="0" w:color="auto"/>
            </w:tcBorders>
            <w:shd w:val="clear" w:color="auto" w:fill="auto"/>
            <w:vAlign w:val="center"/>
          </w:tcPr>
          <w:p w14:paraId="137E3209" w14:textId="77777777" w:rsidR="00062152" w:rsidRPr="00FB1983" w:rsidRDefault="0052496E" w:rsidP="000B1C89">
            <w:pPr>
              <w:pStyle w:val="TableText"/>
              <w:keepNext w:val="0"/>
              <w:widowControl w:val="0"/>
              <w:rPr>
                <w:iCs/>
              </w:rPr>
            </w:pPr>
            <w:r w:rsidRPr="00FB1983">
              <w:rPr>
                <w:iCs/>
              </w:rPr>
              <w:t xml:space="preserve">The PBAC </w:t>
            </w:r>
            <w:r w:rsidR="009C0B2E">
              <w:rPr>
                <w:iCs/>
              </w:rPr>
              <w:t xml:space="preserve">had </w:t>
            </w:r>
            <w:r w:rsidRPr="00FB1983">
              <w:rPr>
                <w:iCs/>
              </w:rPr>
              <w:t>previous</w:t>
            </w:r>
            <w:r w:rsidR="008476EF" w:rsidRPr="00FB1983">
              <w:rPr>
                <w:iCs/>
              </w:rPr>
              <w:t>ly</w:t>
            </w:r>
            <w:r w:rsidRPr="00FB1983">
              <w:rPr>
                <w:iCs/>
              </w:rPr>
              <w:t xml:space="preserve"> stated that </w:t>
            </w:r>
            <w:r w:rsidR="00B165AB" w:rsidRPr="00FB1983">
              <w:rPr>
                <w:iCs/>
              </w:rPr>
              <w:t>the model assumed a higher proportion of patients in the standard of care arm would receive a HSCT after relapse. The PBAC noted that this was a key offset in the economic model and considered that the rate should be equal in both arms (para 7.13, gemtuzumab PSD, March 2021 PBAC meeting).</w:t>
            </w:r>
            <w:r w:rsidR="005A5373" w:rsidRPr="00FB1983">
              <w:rPr>
                <w:iCs/>
              </w:rPr>
              <w:t xml:space="preserve"> </w:t>
            </w:r>
            <w:r w:rsidR="00C857A7" w:rsidRPr="00FB1983">
              <w:rPr>
                <w:iCs/>
              </w:rPr>
              <w:t xml:space="preserve">HSCT rates used in the resubmission were revised and appeared to be a re-analysis of data used in the March 2021 submission. </w:t>
            </w:r>
          </w:p>
          <w:p w14:paraId="6B5236F8" w14:textId="77777777" w:rsidR="00F8692C" w:rsidRPr="00FB1983" w:rsidRDefault="00F8692C" w:rsidP="000B1C89">
            <w:pPr>
              <w:pStyle w:val="TableText"/>
              <w:keepNext w:val="0"/>
              <w:widowControl w:val="0"/>
              <w:rPr>
                <w:iCs/>
              </w:rPr>
            </w:pPr>
          </w:p>
          <w:p w14:paraId="4C13AEAC" w14:textId="77777777" w:rsidR="00F8692C" w:rsidRPr="00FB1983" w:rsidRDefault="00F8692C" w:rsidP="000B1C89">
            <w:pPr>
              <w:pStyle w:val="TableText"/>
              <w:keepNext w:val="0"/>
              <w:widowControl w:val="0"/>
              <w:rPr>
                <w:iCs/>
              </w:rPr>
            </w:pPr>
            <w:r w:rsidRPr="00FB1983">
              <w:t>The resubmission argued for the use of individual arm estimates in relapsed patients. The resubmission clarified that HSCT transition probabilities in the model were not conditional probabilities (i.e. not linked to disease status</w:t>
            </w:r>
            <w:r w:rsidR="007B1379" w:rsidRPr="00FB1983">
              <w:t>) and</w:t>
            </w:r>
            <w:r w:rsidRPr="00FB1983">
              <w:t xml:space="preserve"> were applied to the whole model cohort. The resubmission claimed the use of a pooled rate would imply that patients who relapse after receiving gemtuzumab have a higher probability of receiving HSCT than those who relapse after standard of care, which is clinically implausible and not supported by the clinical evidence. </w:t>
            </w:r>
            <w:r w:rsidRPr="00FB1983">
              <w:rPr>
                <w:iCs/>
              </w:rPr>
              <w:t xml:space="preserve">During the evaluation, HSCT model outputs were compared with trial-based HSCT </w:t>
            </w:r>
            <w:r w:rsidRPr="006F50F8">
              <w:rPr>
                <w:iCs/>
              </w:rPr>
              <w:t>rates.</w:t>
            </w:r>
            <w:r w:rsidRPr="00FB1983">
              <w:rPr>
                <w:iCs/>
              </w:rPr>
              <w:t xml:space="preserve"> The use of pooled rates </w:t>
            </w:r>
            <w:r w:rsidR="00616726" w:rsidRPr="00FB1983">
              <w:rPr>
                <w:iCs/>
              </w:rPr>
              <w:t>resulted</w:t>
            </w:r>
            <w:r w:rsidRPr="00FB1983">
              <w:rPr>
                <w:iCs/>
              </w:rPr>
              <w:t xml:space="preserve"> in the same proportion of relapsed patients undergoing HSCT in each arm, which was inconsistent with the resubmission’s claim. The comparison of HSCT rates in the model versus the trial also indicated that in the base case, the rate of HSCT in the gemtuzumab arm (28.4%) was overestimated compared to the trial (25.9%) and the rate of HSCT in the control arm (34%) was underestimated compared to the trial (39.6%). This suggest</w:t>
            </w:r>
            <w:r w:rsidR="003C7625">
              <w:rPr>
                <w:iCs/>
              </w:rPr>
              <w:t>ed</w:t>
            </w:r>
            <w:r w:rsidRPr="00FB1983">
              <w:rPr>
                <w:iCs/>
              </w:rPr>
              <w:t xml:space="preserve"> potential issues with the internal validity of HSCT transitions in the model.</w:t>
            </w:r>
          </w:p>
          <w:p w14:paraId="2A20C996" w14:textId="77777777" w:rsidR="00F8692C" w:rsidRPr="00FB1983" w:rsidRDefault="00F8692C" w:rsidP="000B1C89">
            <w:pPr>
              <w:pStyle w:val="TableText"/>
              <w:keepNext w:val="0"/>
              <w:widowControl w:val="0"/>
            </w:pPr>
          </w:p>
          <w:p w14:paraId="46E255CF" w14:textId="77777777" w:rsidR="00F8692C" w:rsidRPr="00FB1983" w:rsidRDefault="00F8692C" w:rsidP="000B1C89">
            <w:pPr>
              <w:pStyle w:val="TableText"/>
              <w:keepNext w:val="0"/>
              <w:widowControl w:val="0"/>
            </w:pPr>
            <w:r w:rsidRPr="00FB1983">
              <w:t xml:space="preserve">The model appeared sensitive to the use of a pooled HSCT rate in relapsed patients based on the assumption of no difference in HSCT rates between arms. </w:t>
            </w:r>
            <w:r w:rsidRPr="00FB1983">
              <w:rPr>
                <w:iCs/>
              </w:rPr>
              <w:t xml:space="preserve">However, this analysis should be interpreted with caution as HSCT events in the model primarily impacted costs only. </w:t>
            </w:r>
            <w:r w:rsidR="005A5373" w:rsidRPr="00FB1983">
              <w:rPr>
                <w:iCs/>
              </w:rPr>
              <w:t>OS</w:t>
            </w:r>
            <w:r w:rsidRPr="00FB1983">
              <w:rPr>
                <w:iCs/>
              </w:rPr>
              <w:t xml:space="preserve"> and </w:t>
            </w:r>
            <w:r w:rsidR="005A5373" w:rsidRPr="00FB1983">
              <w:rPr>
                <w:iCs/>
              </w:rPr>
              <w:t>RFS</w:t>
            </w:r>
            <w:r w:rsidRPr="00FB1983">
              <w:rPr>
                <w:iCs/>
              </w:rPr>
              <w:t xml:space="preserve"> in the model were dependent on underlying survival curves, without explicit structural links to HSCT events. The model structure also preserved the overall proportion of patients achieving functional cure. Overall, the model structure limit</w:t>
            </w:r>
            <w:r w:rsidR="003C7625">
              <w:rPr>
                <w:iCs/>
              </w:rPr>
              <w:t>ed</w:t>
            </w:r>
            <w:r w:rsidRPr="00FB1983">
              <w:rPr>
                <w:iCs/>
              </w:rPr>
              <w:t xml:space="preserve"> the ability to fully capture the impact of alternative assumptions regarding the use of HSCT.   </w:t>
            </w:r>
          </w:p>
        </w:tc>
        <w:tc>
          <w:tcPr>
            <w:tcW w:w="571" w:type="pct"/>
            <w:tcBorders>
              <w:bottom w:val="single" w:sz="4" w:space="0" w:color="auto"/>
            </w:tcBorders>
            <w:shd w:val="clear" w:color="auto" w:fill="auto"/>
            <w:vAlign w:val="center"/>
          </w:tcPr>
          <w:p w14:paraId="7402C9A0" w14:textId="77777777" w:rsidR="00062152" w:rsidRPr="00FB1983" w:rsidRDefault="009D5B36" w:rsidP="000B1C89">
            <w:pPr>
              <w:pStyle w:val="TableText"/>
              <w:keepNext w:val="0"/>
              <w:widowControl w:val="0"/>
              <w:jc w:val="center"/>
            </w:pPr>
            <w:r w:rsidRPr="00FB1983">
              <w:t>High, direction unclear</w:t>
            </w:r>
          </w:p>
        </w:tc>
      </w:tr>
      <w:tr w:rsidR="00062152" w:rsidRPr="00FB1983" w14:paraId="13752AB2" w14:textId="77777777" w:rsidTr="00972511">
        <w:trPr>
          <w:cantSplit/>
        </w:trPr>
        <w:tc>
          <w:tcPr>
            <w:tcW w:w="626" w:type="pct"/>
            <w:tcBorders>
              <w:bottom w:val="single" w:sz="4" w:space="0" w:color="auto"/>
            </w:tcBorders>
            <w:shd w:val="clear" w:color="auto" w:fill="auto"/>
            <w:vAlign w:val="center"/>
          </w:tcPr>
          <w:p w14:paraId="106FA8E2" w14:textId="77777777" w:rsidR="00062152" w:rsidRPr="00FB1983" w:rsidRDefault="000B7BD2" w:rsidP="00EB0CED">
            <w:pPr>
              <w:pStyle w:val="TableText"/>
              <w:keepNext w:val="0"/>
              <w:widowControl w:val="0"/>
            </w:pPr>
            <w:r w:rsidRPr="00FB1983">
              <w:t>Subsequent line therapies</w:t>
            </w:r>
            <w:r w:rsidR="00CC5844" w:rsidRPr="00FB1983">
              <w:t xml:space="preserve"> costs</w:t>
            </w:r>
          </w:p>
        </w:tc>
        <w:tc>
          <w:tcPr>
            <w:tcW w:w="3803" w:type="pct"/>
            <w:tcBorders>
              <w:bottom w:val="single" w:sz="4" w:space="0" w:color="auto"/>
            </w:tcBorders>
            <w:shd w:val="clear" w:color="auto" w:fill="auto"/>
            <w:vAlign w:val="center"/>
          </w:tcPr>
          <w:p w14:paraId="26AEA57E" w14:textId="77777777" w:rsidR="00062152" w:rsidRPr="00FB1983" w:rsidRDefault="00CC5844" w:rsidP="000B1C89">
            <w:pPr>
              <w:pStyle w:val="TableText"/>
              <w:keepNext w:val="0"/>
              <w:widowControl w:val="0"/>
              <w:rPr>
                <w:iCs/>
              </w:rPr>
            </w:pPr>
            <w:r w:rsidRPr="00FB1983">
              <w:rPr>
                <w:iCs/>
              </w:rPr>
              <w:t xml:space="preserve">The attribution of costs in the model was difficult to determine due to the complexity of the model structure and use of multiple health states and sub-states. </w:t>
            </w:r>
            <w:r w:rsidR="007D7B7D" w:rsidRPr="00FB1983">
              <w:rPr>
                <w:iCs/>
              </w:rPr>
              <w:t xml:space="preserve">Costs associated with subsequent line therapies were applied </w:t>
            </w:r>
            <w:r w:rsidR="001E76E9" w:rsidRPr="00FB1983">
              <w:rPr>
                <w:iCs/>
              </w:rPr>
              <w:t>as a once off fixed cost, not linked to time spent in the health states. T</w:t>
            </w:r>
            <w:r w:rsidR="005424DC" w:rsidRPr="00FB1983">
              <w:rPr>
                <w:iCs/>
              </w:rPr>
              <w:t xml:space="preserve">he </w:t>
            </w:r>
            <w:r w:rsidR="005C0CCE" w:rsidRPr="00FB1983">
              <w:rPr>
                <w:iCs/>
              </w:rPr>
              <w:t>cost-effectiveness of gemtuzumab was</w:t>
            </w:r>
            <w:r w:rsidR="005424DC" w:rsidRPr="00FB1983">
              <w:rPr>
                <w:iCs/>
              </w:rPr>
              <w:t xml:space="preserve"> sensitive to </w:t>
            </w:r>
            <w:r w:rsidR="005C0CCE" w:rsidRPr="00FB1983">
              <w:rPr>
                <w:iCs/>
              </w:rPr>
              <w:t xml:space="preserve">the use of </w:t>
            </w:r>
            <w:r w:rsidR="005424DC" w:rsidRPr="00FB1983">
              <w:rPr>
                <w:iCs/>
              </w:rPr>
              <w:t>alternative non-curative therapy and best supportive care costs based on individual arm estimates instead of pooled estimates in the base case of the economic model. The available estimates suggest</w:t>
            </w:r>
            <w:r w:rsidR="008476EF" w:rsidRPr="00FB1983">
              <w:rPr>
                <w:iCs/>
              </w:rPr>
              <w:t>ed</w:t>
            </w:r>
            <w:r w:rsidR="005424DC" w:rsidRPr="00FB1983">
              <w:rPr>
                <w:iCs/>
              </w:rPr>
              <w:t xml:space="preserve"> patients in the gemtuzumab arm received, on average, longer durations of treatment compared to best supportive care. The robustness of the restricted means survival time analysis used to inform these inputs was uncertain due to limited documentation in the resubmission.</w:t>
            </w:r>
            <w:r w:rsidR="00E456EB" w:rsidRPr="00FB1983">
              <w:rPr>
                <w:iCs/>
              </w:rPr>
              <w:t xml:space="preserve"> The economic analysis </w:t>
            </w:r>
            <w:r w:rsidR="00210B12" w:rsidRPr="00FB1983">
              <w:rPr>
                <w:iCs/>
              </w:rPr>
              <w:t>was sensitive to alternative non-curative therapy and best supportive care costs</w:t>
            </w:r>
            <w:r w:rsidR="0023297F" w:rsidRPr="00FB1983">
              <w:rPr>
                <w:iCs/>
              </w:rPr>
              <w:t>.</w:t>
            </w:r>
          </w:p>
        </w:tc>
        <w:tc>
          <w:tcPr>
            <w:tcW w:w="571" w:type="pct"/>
            <w:tcBorders>
              <w:bottom w:val="single" w:sz="4" w:space="0" w:color="auto"/>
            </w:tcBorders>
            <w:shd w:val="clear" w:color="auto" w:fill="auto"/>
            <w:vAlign w:val="center"/>
          </w:tcPr>
          <w:p w14:paraId="150F9FE1" w14:textId="77777777" w:rsidR="00062152" w:rsidRPr="00FB1983" w:rsidRDefault="009D5B36" w:rsidP="000B1C89">
            <w:pPr>
              <w:pStyle w:val="TableText"/>
              <w:keepNext w:val="0"/>
              <w:widowControl w:val="0"/>
              <w:jc w:val="center"/>
            </w:pPr>
            <w:r w:rsidRPr="00FB1983">
              <w:t>High</w:t>
            </w:r>
            <w:r w:rsidR="000C0C56" w:rsidRPr="00FB1983">
              <w:t>, favours gemtuzumab</w:t>
            </w:r>
          </w:p>
        </w:tc>
      </w:tr>
    </w:tbl>
    <w:p w14:paraId="10F3ABBC" w14:textId="77777777" w:rsidR="00D110BD" w:rsidRPr="00610FCD" w:rsidRDefault="009D792E" w:rsidP="00BB00B3">
      <w:pPr>
        <w:pStyle w:val="TableFigureFooter"/>
      </w:pPr>
      <w:r w:rsidRPr="00610FCD">
        <w:t xml:space="preserve">Source: </w:t>
      </w:r>
      <w:r w:rsidR="000C0C56" w:rsidRPr="00610FCD">
        <w:t>constructed during the evaluation</w:t>
      </w:r>
    </w:p>
    <w:p w14:paraId="6F100032" w14:textId="77777777" w:rsidR="003149C1" w:rsidRPr="00610FCD" w:rsidRDefault="00DB0B0E" w:rsidP="00BB00B3">
      <w:pPr>
        <w:pStyle w:val="TableFigureFooter"/>
      </w:pPr>
      <w:r w:rsidRPr="00610FCD">
        <w:t>EFS, event-free survival; HSCT, haematopoietic stem cell transplant; OS, overall survival; RFS, relapse-free survival</w:t>
      </w:r>
    </w:p>
    <w:p w14:paraId="53E46125" w14:textId="77777777" w:rsidR="005A373D" w:rsidRPr="00610FCD" w:rsidRDefault="008166F0" w:rsidP="00BB732D">
      <w:pPr>
        <w:pStyle w:val="ExecSumBodyText"/>
      </w:pPr>
      <w:r w:rsidRPr="00610FCD">
        <w:t>The results of the modelled economic evaluation are summarised below.</w:t>
      </w:r>
    </w:p>
    <w:p w14:paraId="7B6FA054" w14:textId="77777777" w:rsidR="008166F0" w:rsidRPr="00610FCD" w:rsidRDefault="000E50B8" w:rsidP="000E50B8">
      <w:pPr>
        <w:pStyle w:val="TableFigureCaption"/>
      </w:pPr>
      <w:r>
        <w:t xml:space="preserve">Table </w:t>
      </w:r>
      <w:r w:rsidR="00F90EC3">
        <w:rPr>
          <w:noProof/>
        </w:rPr>
        <w:t>12</w:t>
      </w:r>
      <w:r w:rsidR="008166F0" w:rsidRPr="00610FCD">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economic evaluation"/>
      </w:tblPr>
      <w:tblGrid>
        <w:gridCol w:w="2757"/>
        <w:gridCol w:w="2451"/>
        <w:gridCol w:w="2298"/>
        <w:gridCol w:w="1511"/>
      </w:tblGrid>
      <w:tr w:rsidR="008166F0" w:rsidRPr="00610FCD" w14:paraId="597505D5" w14:textId="77777777" w:rsidTr="00CA3DD2">
        <w:trPr>
          <w:tblHeader/>
        </w:trPr>
        <w:tc>
          <w:tcPr>
            <w:tcW w:w="1529" w:type="pct"/>
            <w:vAlign w:val="center"/>
          </w:tcPr>
          <w:p w14:paraId="0466B932" w14:textId="77777777" w:rsidR="008166F0" w:rsidRPr="00610FCD" w:rsidRDefault="008166F0" w:rsidP="00CA3DD2">
            <w:pPr>
              <w:pStyle w:val="TableText"/>
              <w:rPr>
                <w:b/>
                <w:bCs w:val="0"/>
              </w:rPr>
            </w:pPr>
            <w:r w:rsidRPr="00610FCD">
              <w:rPr>
                <w:b/>
                <w:bCs w:val="0"/>
              </w:rPr>
              <w:t>Component</w:t>
            </w:r>
          </w:p>
        </w:tc>
        <w:tc>
          <w:tcPr>
            <w:tcW w:w="1359" w:type="pct"/>
            <w:vAlign w:val="center"/>
          </w:tcPr>
          <w:p w14:paraId="73DB5E3F" w14:textId="77777777" w:rsidR="008166F0" w:rsidRPr="00610FCD" w:rsidRDefault="008166F0" w:rsidP="00CA3DD2">
            <w:pPr>
              <w:pStyle w:val="TableText"/>
              <w:jc w:val="center"/>
              <w:rPr>
                <w:b/>
                <w:bCs w:val="0"/>
              </w:rPr>
            </w:pPr>
            <w:r w:rsidRPr="00610FCD">
              <w:rPr>
                <w:b/>
                <w:bCs w:val="0"/>
              </w:rPr>
              <w:t>GO+DA</w:t>
            </w:r>
          </w:p>
        </w:tc>
        <w:tc>
          <w:tcPr>
            <w:tcW w:w="1274" w:type="pct"/>
            <w:vAlign w:val="center"/>
          </w:tcPr>
          <w:p w14:paraId="41BB81BC" w14:textId="77777777" w:rsidR="008166F0" w:rsidRPr="00610FCD" w:rsidRDefault="008166F0" w:rsidP="00CA3DD2">
            <w:pPr>
              <w:pStyle w:val="TableText"/>
              <w:jc w:val="center"/>
              <w:rPr>
                <w:b/>
                <w:bCs w:val="0"/>
              </w:rPr>
            </w:pPr>
            <w:r w:rsidRPr="00610FCD">
              <w:rPr>
                <w:b/>
                <w:bCs w:val="0"/>
              </w:rPr>
              <w:t>DA</w:t>
            </w:r>
          </w:p>
        </w:tc>
        <w:tc>
          <w:tcPr>
            <w:tcW w:w="838" w:type="pct"/>
            <w:vAlign w:val="center"/>
          </w:tcPr>
          <w:p w14:paraId="516CE409" w14:textId="77777777" w:rsidR="008166F0" w:rsidRPr="00610FCD" w:rsidRDefault="008166F0" w:rsidP="00CA3DD2">
            <w:pPr>
              <w:pStyle w:val="TableText"/>
              <w:jc w:val="center"/>
              <w:rPr>
                <w:b/>
                <w:bCs w:val="0"/>
              </w:rPr>
            </w:pPr>
            <w:r w:rsidRPr="00610FCD">
              <w:rPr>
                <w:b/>
                <w:bCs w:val="0"/>
              </w:rPr>
              <w:t>Increment</w:t>
            </w:r>
          </w:p>
        </w:tc>
      </w:tr>
      <w:tr w:rsidR="008166F0" w:rsidRPr="00610FCD" w14:paraId="4229B6E7" w14:textId="77777777" w:rsidTr="00CA3DD2">
        <w:tc>
          <w:tcPr>
            <w:tcW w:w="1529" w:type="pct"/>
            <w:vAlign w:val="center"/>
          </w:tcPr>
          <w:p w14:paraId="796DB10A" w14:textId="77777777" w:rsidR="008166F0" w:rsidRPr="00610FCD" w:rsidRDefault="008166F0" w:rsidP="00CA3DD2">
            <w:pPr>
              <w:pStyle w:val="TableText"/>
            </w:pPr>
            <w:r w:rsidRPr="00610FCD">
              <w:t>Costs</w:t>
            </w:r>
            <w:r w:rsidR="005611A9">
              <w:t xml:space="preserve"> ($)</w:t>
            </w:r>
          </w:p>
        </w:tc>
        <w:tc>
          <w:tcPr>
            <w:tcW w:w="1359" w:type="pct"/>
            <w:vAlign w:val="center"/>
          </w:tcPr>
          <w:p w14:paraId="002DC5B9" w14:textId="77777777" w:rsidR="008166F0" w:rsidRPr="00FF0EA4" w:rsidRDefault="00FF0EA4" w:rsidP="00CA3DD2">
            <w:pPr>
              <w:pStyle w:val="TableText"/>
              <w:jc w:val="center"/>
              <w:rPr>
                <w:highlight w:val="black"/>
              </w:rPr>
            </w:pPr>
            <w:r>
              <w:rPr>
                <w:noProof/>
                <w:color w:val="000000"/>
                <w:highlight w:val="black"/>
              </w:rPr>
              <w:t>'''''''''''''''''''''''</w:t>
            </w:r>
          </w:p>
        </w:tc>
        <w:tc>
          <w:tcPr>
            <w:tcW w:w="1274" w:type="pct"/>
            <w:vAlign w:val="center"/>
          </w:tcPr>
          <w:p w14:paraId="7706EBB2" w14:textId="77777777" w:rsidR="008166F0" w:rsidRPr="00610FCD" w:rsidRDefault="008166F0" w:rsidP="00CA3DD2">
            <w:pPr>
              <w:pStyle w:val="TableText"/>
              <w:jc w:val="center"/>
            </w:pPr>
            <w:r w:rsidRPr="00610FCD">
              <w:t>$261,749</w:t>
            </w:r>
          </w:p>
        </w:tc>
        <w:tc>
          <w:tcPr>
            <w:tcW w:w="838" w:type="pct"/>
            <w:vAlign w:val="center"/>
          </w:tcPr>
          <w:p w14:paraId="5F8D1349" w14:textId="77777777" w:rsidR="008166F0" w:rsidRPr="00FF0EA4" w:rsidRDefault="00FF0EA4" w:rsidP="00CA3DD2">
            <w:pPr>
              <w:pStyle w:val="TableText"/>
              <w:jc w:val="center"/>
              <w:rPr>
                <w:highlight w:val="black"/>
              </w:rPr>
            </w:pPr>
            <w:r>
              <w:rPr>
                <w:noProof/>
                <w:color w:val="000000"/>
                <w:highlight w:val="black"/>
              </w:rPr>
              <w:t>'''''''''''''''''''</w:t>
            </w:r>
          </w:p>
        </w:tc>
      </w:tr>
      <w:tr w:rsidR="008166F0" w:rsidRPr="00610FCD" w14:paraId="124C0E42" w14:textId="77777777" w:rsidTr="00CA3DD2">
        <w:tc>
          <w:tcPr>
            <w:tcW w:w="1529" w:type="pct"/>
            <w:vAlign w:val="center"/>
          </w:tcPr>
          <w:p w14:paraId="555A9E86" w14:textId="77777777" w:rsidR="008166F0" w:rsidRPr="00610FCD" w:rsidRDefault="008166F0" w:rsidP="00CA3DD2">
            <w:pPr>
              <w:pStyle w:val="TableText"/>
            </w:pPr>
            <w:r w:rsidRPr="00610FCD">
              <w:t>LYs</w:t>
            </w:r>
          </w:p>
        </w:tc>
        <w:tc>
          <w:tcPr>
            <w:tcW w:w="1359" w:type="pct"/>
            <w:vAlign w:val="center"/>
          </w:tcPr>
          <w:p w14:paraId="10805605" w14:textId="77777777" w:rsidR="008166F0" w:rsidRPr="00610FCD" w:rsidRDefault="008166F0" w:rsidP="00CA3DD2">
            <w:pPr>
              <w:pStyle w:val="TableText"/>
              <w:jc w:val="center"/>
            </w:pPr>
            <w:r w:rsidRPr="00610FCD">
              <w:t>6.12</w:t>
            </w:r>
          </w:p>
        </w:tc>
        <w:tc>
          <w:tcPr>
            <w:tcW w:w="1274" w:type="pct"/>
            <w:vAlign w:val="center"/>
          </w:tcPr>
          <w:p w14:paraId="2670C167" w14:textId="77777777" w:rsidR="008166F0" w:rsidRPr="00610FCD" w:rsidRDefault="008166F0" w:rsidP="00CA3DD2">
            <w:pPr>
              <w:pStyle w:val="TableText"/>
              <w:jc w:val="center"/>
            </w:pPr>
            <w:r w:rsidRPr="00610FCD">
              <w:t>5.30</w:t>
            </w:r>
          </w:p>
        </w:tc>
        <w:tc>
          <w:tcPr>
            <w:tcW w:w="838" w:type="pct"/>
            <w:vAlign w:val="center"/>
          </w:tcPr>
          <w:p w14:paraId="4EB8601D" w14:textId="77777777" w:rsidR="008166F0" w:rsidRPr="00610FCD" w:rsidRDefault="008166F0" w:rsidP="00CA3DD2">
            <w:pPr>
              <w:pStyle w:val="TableText"/>
              <w:jc w:val="center"/>
            </w:pPr>
            <w:r w:rsidRPr="00610FCD">
              <w:t>0.82</w:t>
            </w:r>
          </w:p>
        </w:tc>
      </w:tr>
      <w:tr w:rsidR="008166F0" w:rsidRPr="00610FCD" w14:paraId="7A8F1806" w14:textId="77777777" w:rsidTr="00CA3DD2">
        <w:tc>
          <w:tcPr>
            <w:tcW w:w="1529" w:type="pct"/>
            <w:vAlign w:val="center"/>
          </w:tcPr>
          <w:p w14:paraId="0ACBA5AA" w14:textId="77777777" w:rsidR="008166F0" w:rsidRPr="00610FCD" w:rsidRDefault="008166F0" w:rsidP="00CA3DD2">
            <w:pPr>
              <w:pStyle w:val="TableText"/>
            </w:pPr>
            <w:r w:rsidRPr="00610FCD">
              <w:t>QALYs</w:t>
            </w:r>
          </w:p>
        </w:tc>
        <w:tc>
          <w:tcPr>
            <w:tcW w:w="1359" w:type="pct"/>
            <w:vAlign w:val="center"/>
          </w:tcPr>
          <w:p w14:paraId="419F1A43" w14:textId="77777777" w:rsidR="008166F0" w:rsidRPr="00610FCD" w:rsidRDefault="008166F0" w:rsidP="00CA3DD2">
            <w:pPr>
              <w:pStyle w:val="TableText"/>
              <w:jc w:val="center"/>
            </w:pPr>
            <w:r w:rsidRPr="00610FCD">
              <w:t>4.35</w:t>
            </w:r>
          </w:p>
        </w:tc>
        <w:tc>
          <w:tcPr>
            <w:tcW w:w="1274" w:type="pct"/>
            <w:vAlign w:val="center"/>
          </w:tcPr>
          <w:p w14:paraId="0FBF5C54" w14:textId="77777777" w:rsidR="008166F0" w:rsidRPr="00610FCD" w:rsidRDefault="008166F0" w:rsidP="00CA3DD2">
            <w:pPr>
              <w:pStyle w:val="TableText"/>
              <w:jc w:val="center"/>
            </w:pPr>
            <w:r w:rsidRPr="00610FCD">
              <w:t>3.71</w:t>
            </w:r>
          </w:p>
        </w:tc>
        <w:tc>
          <w:tcPr>
            <w:tcW w:w="838" w:type="pct"/>
            <w:vAlign w:val="center"/>
          </w:tcPr>
          <w:p w14:paraId="3B45A9C7" w14:textId="77777777" w:rsidR="008166F0" w:rsidRPr="00610FCD" w:rsidRDefault="008166F0" w:rsidP="00CA3DD2">
            <w:pPr>
              <w:pStyle w:val="TableText"/>
              <w:jc w:val="center"/>
            </w:pPr>
            <w:r w:rsidRPr="00610FCD">
              <w:t>0.65</w:t>
            </w:r>
          </w:p>
        </w:tc>
      </w:tr>
      <w:tr w:rsidR="008166F0" w:rsidRPr="00610FCD" w14:paraId="66D3B3A8" w14:textId="77777777" w:rsidTr="00CA3DD2">
        <w:tc>
          <w:tcPr>
            <w:tcW w:w="4162" w:type="pct"/>
            <w:gridSpan w:val="3"/>
            <w:vAlign w:val="center"/>
          </w:tcPr>
          <w:p w14:paraId="5E998B20" w14:textId="77777777" w:rsidR="008166F0" w:rsidRPr="00610FCD" w:rsidRDefault="008166F0" w:rsidP="00CA3DD2">
            <w:pPr>
              <w:pStyle w:val="TableText"/>
            </w:pPr>
            <w:r w:rsidRPr="00610FCD">
              <w:t>Incremental cost per LY gained</w:t>
            </w:r>
          </w:p>
        </w:tc>
        <w:tc>
          <w:tcPr>
            <w:tcW w:w="838" w:type="pct"/>
            <w:vAlign w:val="center"/>
          </w:tcPr>
          <w:p w14:paraId="437B28A9" w14:textId="77777777" w:rsidR="008166F0" w:rsidRPr="005611A9" w:rsidRDefault="00FF0EA4" w:rsidP="00CA3DD2">
            <w:pPr>
              <w:pStyle w:val="TableText"/>
              <w:jc w:val="center"/>
              <w:rPr>
                <w:vertAlign w:val="superscript"/>
              </w:rPr>
            </w:pPr>
            <w:r>
              <w:rPr>
                <w:noProof/>
                <w:color w:val="000000"/>
                <w:highlight w:val="black"/>
              </w:rPr>
              <w:t>'''''''''''''''''''''</w:t>
            </w:r>
            <w:r w:rsidR="005611A9" w:rsidRPr="005611A9">
              <w:rPr>
                <w:vertAlign w:val="superscript"/>
              </w:rPr>
              <w:t>1</w:t>
            </w:r>
          </w:p>
        </w:tc>
      </w:tr>
      <w:tr w:rsidR="008166F0" w:rsidRPr="00610FCD" w14:paraId="29181184" w14:textId="77777777" w:rsidTr="00CA3DD2">
        <w:tc>
          <w:tcPr>
            <w:tcW w:w="4162" w:type="pct"/>
            <w:gridSpan w:val="3"/>
            <w:vAlign w:val="center"/>
          </w:tcPr>
          <w:p w14:paraId="62A0332F" w14:textId="77777777" w:rsidR="008166F0" w:rsidRPr="00610FCD" w:rsidRDefault="008166F0" w:rsidP="00CA3DD2">
            <w:pPr>
              <w:pStyle w:val="TableText"/>
            </w:pPr>
            <w:r w:rsidRPr="00610FCD">
              <w:t>Incremental cost per QALY gained</w:t>
            </w:r>
          </w:p>
        </w:tc>
        <w:tc>
          <w:tcPr>
            <w:tcW w:w="838" w:type="pct"/>
            <w:vAlign w:val="center"/>
          </w:tcPr>
          <w:p w14:paraId="36D87548" w14:textId="77777777" w:rsidR="008166F0" w:rsidRPr="00610FCD" w:rsidRDefault="00FF0EA4" w:rsidP="00CA3DD2">
            <w:pPr>
              <w:pStyle w:val="TableText"/>
              <w:jc w:val="center"/>
              <w:rPr>
                <w:b/>
                <w:bCs w:val="0"/>
              </w:rPr>
            </w:pPr>
            <w:r>
              <w:rPr>
                <w:b/>
                <w:bCs w:val="0"/>
                <w:noProof/>
                <w:color w:val="000000"/>
                <w:highlight w:val="black"/>
              </w:rPr>
              <w:t>''''''''''''''''</w:t>
            </w:r>
            <w:r w:rsidR="005611A9">
              <w:rPr>
                <w:vertAlign w:val="superscript"/>
              </w:rPr>
              <w:t>2</w:t>
            </w:r>
          </w:p>
        </w:tc>
      </w:tr>
      <w:tr w:rsidR="008166F0" w:rsidRPr="00610FCD" w14:paraId="02D75085" w14:textId="77777777" w:rsidTr="00CA3DD2">
        <w:tc>
          <w:tcPr>
            <w:tcW w:w="5000" w:type="pct"/>
            <w:gridSpan w:val="4"/>
            <w:shd w:val="clear" w:color="auto" w:fill="DBE5F1" w:themeFill="accent1" w:themeFillTint="33"/>
            <w:vAlign w:val="center"/>
          </w:tcPr>
          <w:p w14:paraId="1B64BDF0" w14:textId="77777777" w:rsidR="008166F0" w:rsidRPr="00610FCD" w:rsidRDefault="008166F0" w:rsidP="00CA3DD2">
            <w:pPr>
              <w:pStyle w:val="TableText"/>
              <w:rPr>
                <w:b/>
                <w:bCs w:val="0"/>
              </w:rPr>
            </w:pPr>
            <w:r w:rsidRPr="00610FCD">
              <w:rPr>
                <w:b/>
                <w:bCs w:val="0"/>
              </w:rPr>
              <w:t>March 2021 submission</w:t>
            </w:r>
          </w:p>
        </w:tc>
      </w:tr>
      <w:tr w:rsidR="008166F0" w:rsidRPr="00610FCD" w14:paraId="055B43C2" w14:textId="77777777" w:rsidTr="00CA3DD2">
        <w:tc>
          <w:tcPr>
            <w:tcW w:w="1529" w:type="pct"/>
            <w:shd w:val="clear" w:color="auto" w:fill="DBE5F1" w:themeFill="accent1" w:themeFillTint="33"/>
            <w:vAlign w:val="center"/>
          </w:tcPr>
          <w:p w14:paraId="1938B7DD" w14:textId="77777777" w:rsidR="008166F0" w:rsidRPr="00610FCD" w:rsidRDefault="008166F0" w:rsidP="00CA3DD2">
            <w:pPr>
              <w:pStyle w:val="TableText"/>
            </w:pPr>
            <w:r w:rsidRPr="00610FCD">
              <w:t>Costs</w:t>
            </w:r>
            <w:r w:rsidR="005611A9">
              <w:t xml:space="preserve"> ($)</w:t>
            </w:r>
          </w:p>
        </w:tc>
        <w:tc>
          <w:tcPr>
            <w:tcW w:w="1359" w:type="pct"/>
            <w:shd w:val="clear" w:color="auto" w:fill="DBE5F1" w:themeFill="accent1" w:themeFillTint="33"/>
            <w:vAlign w:val="center"/>
          </w:tcPr>
          <w:p w14:paraId="2FF25FF2" w14:textId="77777777" w:rsidR="008166F0" w:rsidRPr="00FF0EA4" w:rsidRDefault="00FF0EA4" w:rsidP="00CA3DD2">
            <w:pPr>
              <w:pStyle w:val="TableText"/>
              <w:jc w:val="center"/>
              <w:rPr>
                <w:highlight w:val="black"/>
              </w:rPr>
            </w:pPr>
            <w:r>
              <w:rPr>
                <w:noProof/>
                <w:color w:val="000000"/>
                <w:highlight w:val="black"/>
              </w:rPr>
              <w:t>''''''''''''''''''''''</w:t>
            </w:r>
          </w:p>
        </w:tc>
        <w:tc>
          <w:tcPr>
            <w:tcW w:w="1274" w:type="pct"/>
            <w:shd w:val="clear" w:color="auto" w:fill="DBE5F1" w:themeFill="accent1" w:themeFillTint="33"/>
            <w:vAlign w:val="center"/>
          </w:tcPr>
          <w:p w14:paraId="00579C69" w14:textId="77777777" w:rsidR="008166F0" w:rsidRPr="00610FCD" w:rsidRDefault="008166F0" w:rsidP="00CA3DD2">
            <w:pPr>
              <w:pStyle w:val="TableText"/>
              <w:jc w:val="center"/>
            </w:pPr>
            <w:r w:rsidRPr="00610FCD">
              <w:t>$265,942</w:t>
            </w:r>
          </w:p>
        </w:tc>
        <w:tc>
          <w:tcPr>
            <w:tcW w:w="838" w:type="pct"/>
            <w:shd w:val="clear" w:color="auto" w:fill="DBE5F1" w:themeFill="accent1" w:themeFillTint="33"/>
            <w:vAlign w:val="center"/>
          </w:tcPr>
          <w:p w14:paraId="3C182549" w14:textId="77777777" w:rsidR="008166F0" w:rsidRPr="00FF0EA4" w:rsidRDefault="00FF0EA4" w:rsidP="00CA3DD2">
            <w:pPr>
              <w:pStyle w:val="TableText"/>
              <w:jc w:val="center"/>
              <w:rPr>
                <w:highlight w:val="black"/>
              </w:rPr>
            </w:pPr>
            <w:r>
              <w:rPr>
                <w:noProof/>
                <w:color w:val="000000"/>
                <w:highlight w:val="black"/>
              </w:rPr>
              <w:t>'''''''''''''''''</w:t>
            </w:r>
          </w:p>
        </w:tc>
      </w:tr>
      <w:tr w:rsidR="008166F0" w:rsidRPr="00610FCD" w14:paraId="2C50458C" w14:textId="77777777" w:rsidTr="00CA3DD2">
        <w:tc>
          <w:tcPr>
            <w:tcW w:w="1529" w:type="pct"/>
            <w:shd w:val="clear" w:color="auto" w:fill="DBE5F1" w:themeFill="accent1" w:themeFillTint="33"/>
            <w:vAlign w:val="center"/>
          </w:tcPr>
          <w:p w14:paraId="19430A00" w14:textId="77777777" w:rsidR="008166F0" w:rsidRPr="00610FCD" w:rsidRDefault="008166F0" w:rsidP="00CA3DD2">
            <w:pPr>
              <w:pStyle w:val="TableText"/>
            </w:pPr>
            <w:r w:rsidRPr="00610FCD">
              <w:t>LYs</w:t>
            </w:r>
          </w:p>
        </w:tc>
        <w:tc>
          <w:tcPr>
            <w:tcW w:w="1359" w:type="pct"/>
            <w:shd w:val="clear" w:color="auto" w:fill="DBE5F1" w:themeFill="accent1" w:themeFillTint="33"/>
            <w:vAlign w:val="center"/>
          </w:tcPr>
          <w:p w14:paraId="3BE34F08" w14:textId="77777777" w:rsidR="008166F0" w:rsidRPr="00610FCD" w:rsidRDefault="008166F0" w:rsidP="00CA3DD2">
            <w:pPr>
              <w:pStyle w:val="TableText"/>
              <w:jc w:val="center"/>
            </w:pPr>
            <w:r w:rsidRPr="00610FCD">
              <w:t>6.68</w:t>
            </w:r>
          </w:p>
        </w:tc>
        <w:tc>
          <w:tcPr>
            <w:tcW w:w="1274" w:type="pct"/>
            <w:shd w:val="clear" w:color="auto" w:fill="DBE5F1" w:themeFill="accent1" w:themeFillTint="33"/>
            <w:vAlign w:val="center"/>
          </w:tcPr>
          <w:p w14:paraId="1A5BC61E" w14:textId="77777777" w:rsidR="008166F0" w:rsidRPr="00610FCD" w:rsidRDefault="008166F0" w:rsidP="00CA3DD2">
            <w:pPr>
              <w:pStyle w:val="TableText"/>
              <w:jc w:val="center"/>
            </w:pPr>
            <w:r w:rsidRPr="00610FCD">
              <w:t>5.49</w:t>
            </w:r>
          </w:p>
        </w:tc>
        <w:tc>
          <w:tcPr>
            <w:tcW w:w="838" w:type="pct"/>
            <w:shd w:val="clear" w:color="auto" w:fill="DBE5F1" w:themeFill="accent1" w:themeFillTint="33"/>
            <w:vAlign w:val="center"/>
          </w:tcPr>
          <w:p w14:paraId="4DCC2911" w14:textId="77777777" w:rsidR="008166F0" w:rsidRPr="00610FCD" w:rsidRDefault="008166F0" w:rsidP="00CA3DD2">
            <w:pPr>
              <w:pStyle w:val="TableText"/>
              <w:jc w:val="center"/>
            </w:pPr>
            <w:r w:rsidRPr="00610FCD">
              <w:t>1.19</w:t>
            </w:r>
          </w:p>
        </w:tc>
      </w:tr>
      <w:tr w:rsidR="008166F0" w:rsidRPr="00610FCD" w14:paraId="36575A89" w14:textId="77777777" w:rsidTr="00CA3DD2">
        <w:tc>
          <w:tcPr>
            <w:tcW w:w="1529" w:type="pct"/>
            <w:shd w:val="clear" w:color="auto" w:fill="DBE5F1" w:themeFill="accent1" w:themeFillTint="33"/>
            <w:vAlign w:val="center"/>
          </w:tcPr>
          <w:p w14:paraId="1E88D391" w14:textId="77777777" w:rsidR="008166F0" w:rsidRPr="00610FCD" w:rsidRDefault="008166F0" w:rsidP="00CA3DD2">
            <w:pPr>
              <w:pStyle w:val="TableText"/>
            </w:pPr>
            <w:r w:rsidRPr="00610FCD">
              <w:t>QALYs</w:t>
            </w:r>
          </w:p>
        </w:tc>
        <w:tc>
          <w:tcPr>
            <w:tcW w:w="1359" w:type="pct"/>
            <w:shd w:val="clear" w:color="auto" w:fill="DBE5F1" w:themeFill="accent1" w:themeFillTint="33"/>
            <w:vAlign w:val="center"/>
          </w:tcPr>
          <w:p w14:paraId="02293500" w14:textId="77777777" w:rsidR="008166F0" w:rsidRPr="00610FCD" w:rsidRDefault="008166F0" w:rsidP="00CA3DD2">
            <w:pPr>
              <w:pStyle w:val="TableText"/>
              <w:jc w:val="center"/>
            </w:pPr>
            <w:r w:rsidRPr="00610FCD">
              <w:t>4.77</w:t>
            </w:r>
          </w:p>
        </w:tc>
        <w:tc>
          <w:tcPr>
            <w:tcW w:w="1274" w:type="pct"/>
            <w:shd w:val="clear" w:color="auto" w:fill="DBE5F1" w:themeFill="accent1" w:themeFillTint="33"/>
            <w:vAlign w:val="center"/>
          </w:tcPr>
          <w:p w14:paraId="01E2F3E1" w14:textId="77777777" w:rsidR="008166F0" w:rsidRPr="00610FCD" w:rsidRDefault="008166F0" w:rsidP="00CA3DD2">
            <w:pPr>
              <w:pStyle w:val="TableText"/>
              <w:jc w:val="center"/>
            </w:pPr>
            <w:r w:rsidRPr="00610FCD">
              <w:t>3.86</w:t>
            </w:r>
          </w:p>
        </w:tc>
        <w:tc>
          <w:tcPr>
            <w:tcW w:w="838" w:type="pct"/>
            <w:shd w:val="clear" w:color="auto" w:fill="DBE5F1" w:themeFill="accent1" w:themeFillTint="33"/>
            <w:vAlign w:val="center"/>
          </w:tcPr>
          <w:p w14:paraId="7AB2BF07" w14:textId="77777777" w:rsidR="008166F0" w:rsidRPr="00610FCD" w:rsidRDefault="008166F0" w:rsidP="00CA3DD2">
            <w:pPr>
              <w:pStyle w:val="TableText"/>
              <w:jc w:val="center"/>
            </w:pPr>
            <w:r w:rsidRPr="00610FCD">
              <w:t>0.91</w:t>
            </w:r>
          </w:p>
        </w:tc>
      </w:tr>
      <w:tr w:rsidR="008166F0" w:rsidRPr="00610FCD" w14:paraId="7DEAD3DC" w14:textId="77777777" w:rsidTr="00CA3DD2">
        <w:tc>
          <w:tcPr>
            <w:tcW w:w="4162" w:type="pct"/>
            <w:gridSpan w:val="3"/>
            <w:shd w:val="clear" w:color="auto" w:fill="DBE5F1" w:themeFill="accent1" w:themeFillTint="33"/>
            <w:vAlign w:val="center"/>
          </w:tcPr>
          <w:p w14:paraId="50391ACD" w14:textId="77777777" w:rsidR="008166F0" w:rsidRPr="00610FCD" w:rsidRDefault="008166F0" w:rsidP="00CA3DD2">
            <w:pPr>
              <w:pStyle w:val="TableText"/>
            </w:pPr>
            <w:r w:rsidRPr="00610FCD">
              <w:t>Incremental cost per LY gained</w:t>
            </w:r>
          </w:p>
        </w:tc>
        <w:tc>
          <w:tcPr>
            <w:tcW w:w="838" w:type="pct"/>
            <w:shd w:val="clear" w:color="auto" w:fill="DBE5F1" w:themeFill="accent1" w:themeFillTint="33"/>
            <w:vAlign w:val="center"/>
          </w:tcPr>
          <w:p w14:paraId="39C60CEE" w14:textId="77777777" w:rsidR="008166F0" w:rsidRPr="00610FCD" w:rsidRDefault="00FF0EA4" w:rsidP="00CA3DD2">
            <w:pPr>
              <w:pStyle w:val="TableText"/>
              <w:jc w:val="center"/>
            </w:pPr>
            <w:r>
              <w:rPr>
                <w:noProof/>
                <w:color w:val="000000"/>
                <w:highlight w:val="black"/>
              </w:rPr>
              <w:t>'''''''''''''''''''</w:t>
            </w:r>
            <w:r w:rsidR="005611A9">
              <w:rPr>
                <w:vertAlign w:val="superscript"/>
              </w:rPr>
              <w:t>3</w:t>
            </w:r>
          </w:p>
        </w:tc>
      </w:tr>
      <w:tr w:rsidR="008166F0" w:rsidRPr="00610FCD" w14:paraId="22FAC372" w14:textId="77777777" w:rsidTr="00CA3DD2">
        <w:tc>
          <w:tcPr>
            <w:tcW w:w="4162" w:type="pct"/>
            <w:gridSpan w:val="3"/>
            <w:shd w:val="clear" w:color="auto" w:fill="DBE5F1" w:themeFill="accent1" w:themeFillTint="33"/>
            <w:vAlign w:val="center"/>
          </w:tcPr>
          <w:p w14:paraId="34CE911D" w14:textId="77777777" w:rsidR="008166F0" w:rsidRPr="00610FCD" w:rsidRDefault="008166F0" w:rsidP="00CA3DD2">
            <w:pPr>
              <w:pStyle w:val="TableText"/>
            </w:pPr>
            <w:r w:rsidRPr="00610FCD">
              <w:t>Incremental cost per QALY gained</w:t>
            </w:r>
          </w:p>
        </w:tc>
        <w:tc>
          <w:tcPr>
            <w:tcW w:w="838" w:type="pct"/>
            <w:shd w:val="clear" w:color="auto" w:fill="DBE5F1" w:themeFill="accent1" w:themeFillTint="33"/>
            <w:vAlign w:val="center"/>
          </w:tcPr>
          <w:p w14:paraId="73A1D87A" w14:textId="77777777" w:rsidR="008166F0" w:rsidRPr="00610FCD" w:rsidRDefault="00FF0EA4" w:rsidP="00CA3DD2">
            <w:pPr>
              <w:pStyle w:val="TableText"/>
              <w:jc w:val="center"/>
            </w:pPr>
            <w:r>
              <w:rPr>
                <w:b/>
                <w:noProof/>
                <w:color w:val="000000"/>
                <w:highlight w:val="black"/>
              </w:rPr>
              <w:t>''''''''''''''''</w:t>
            </w:r>
            <w:r w:rsidR="005611A9" w:rsidRPr="005611A9">
              <w:rPr>
                <w:vertAlign w:val="superscript"/>
              </w:rPr>
              <w:t>1</w:t>
            </w:r>
          </w:p>
        </w:tc>
      </w:tr>
    </w:tbl>
    <w:p w14:paraId="0928C176" w14:textId="77777777" w:rsidR="008166F0" w:rsidRPr="00610FCD" w:rsidRDefault="008166F0" w:rsidP="008166F0">
      <w:pPr>
        <w:pStyle w:val="TableFigureFooter"/>
      </w:pPr>
      <w:r w:rsidRPr="00610FCD">
        <w:t>Source: Table 3.8.6, p265 of the resubmission</w:t>
      </w:r>
    </w:p>
    <w:p w14:paraId="7B92858F" w14:textId="77777777" w:rsidR="008166F0" w:rsidRDefault="001A6B50" w:rsidP="008166F0">
      <w:pPr>
        <w:pStyle w:val="TableFigureFooter"/>
      </w:pPr>
      <w:r>
        <w:t xml:space="preserve">DA, daunorubicin; GO, gemtuzumab; </w:t>
      </w:r>
      <w:r w:rsidR="008166F0" w:rsidRPr="00610FCD">
        <w:t>LY, life year; QALY, quality-adjusted life year</w:t>
      </w:r>
    </w:p>
    <w:p w14:paraId="3F1AB9E8" w14:textId="77777777" w:rsidR="005611A9" w:rsidRPr="005611A9" w:rsidRDefault="005611A9" w:rsidP="008166F0">
      <w:pPr>
        <w:pStyle w:val="TableFigureFooter"/>
        <w:rPr>
          <w:i/>
        </w:rPr>
      </w:pPr>
      <w:r w:rsidRPr="005611A9">
        <w:rPr>
          <w:i/>
        </w:rPr>
        <w:t>The redacted values correspond to the following ranges:</w:t>
      </w:r>
    </w:p>
    <w:p w14:paraId="7F5AD5F7" w14:textId="77777777" w:rsidR="005611A9" w:rsidRPr="005611A9" w:rsidRDefault="005611A9" w:rsidP="008166F0">
      <w:pPr>
        <w:pStyle w:val="TableFigureFooter"/>
        <w:rPr>
          <w:i/>
        </w:rPr>
      </w:pPr>
      <w:r w:rsidRPr="005611A9">
        <w:rPr>
          <w:i/>
          <w:vertAlign w:val="superscript"/>
        </w:rPr>
        <w:t>1</w:t>
      </w:r>
      <w:r w:rsidRPr="005611A9">
        <w:rPr>
          <w:i/>
        </w:rPr>
        <w:t xml:space="preserve"> $35,000 to &lt; $45,000</w:t>
      </w:r>
    </w:p>
    <w:p w14:paraId="5ACF5905" w14:textId="77777777" w:rsidR="005611A9" w:rsidRPr="005611A9" w:rsidRDefault="005611A9" w:rsidP="008166F0">
      <w:pPr>
        <w:pStyle w:val="TableFigureFooter"/>
        <w:rPr>
          <w:i/>
        </w:rPr>
      </w:pPr>
      <w:r w:rsidRPr="005611A9">
        <w:rPr>
          <w:i/>
          <w:vertAlign w:val="superscript"/>
        </w:rPr>
        <w:t>2</w:t>
      </w:r>
      <w:r w:rsidRPr="005611A9">
        <w:rPr>
          <w:i/>
        </w:rPr>
        <w:t xml:space="preserve"> $45,000 to &lt; $55,000</w:t>
      </w:r>
    </w:p>
    <w:p w14:paraId="5F96EB0F" w14:textId="77777777" w:rsidR="005611A9" w:rsidRPr="005611A9" w:rsidRDefault="005611A9" w:rsidP="008166F0">
      <w:pPr>
        <w:pStyle w:val="TableFigureFooter"/>
        <w:rPr>
          <w:i/>
        </w:rPr>
      </w:pPr>
      <w:r w:rsidRPr="005611A9">
        <w:rPr>
          <w:i/>
          <w:vertAlign w:val="superscript"/>
        </w:rPr>
        <w:t>3</w:t>
      </w:r>
      <w:r w:rsidRPr="005611A9">
        <w:rPr>
          <w:i/>
        </w:rPr>
        <w:t xml:space="preserve"> $25,000 to &lt; $35,000</w:t>
      </w:r>
    </w:p>
    <w:p w14:paraId="3BC47AE9" w14:textId="77777777" w:rsidR="00634243" w:rsidRPr="00FB1983" w:rsidRDefault="00634243" w:rsidP="00BB732D">
      <w:pPr>
        <w:pStyle w:val="ExecSumBodyText"/>
        <w:rPr>
          <w:iCs/>
        </w:rPr>
      </w:pPr>
      <w:r w:rsidRPr="00610FCD">
        <w:t>Based on the economic model, treatment with gemtuzumab in addition to standard intensive chemotherapy was associated with a cost</w:t>
      </w:r>
      <w:r w:rsidR="003D6155">
        <w:t xml:space="preserve"> of $</w:t>
      </w:r>
      <w:r w:rsidR="00825EE4">
        <w:t>45,000 to &lt; $55,000</w:t>
      </w:r>
      <w:r w:rsidRPr="00610FCD">
        <w:t xml:space="preserve"> per QALY gained compared to standard intensive chemotherapy alone</w:t>
      </w:r>
      <w:r w:rsidRPr="00FB1983">
        <w:rPr>
          <w:iCs/>
        </w:rPr>
        <w:t xml:space="preserve">. </w:t>
      </w:r>
      <w:r w:rsidR="00EF16A5" w:rsidRPr="00FB1983">
        <w:rPr>
          <w:iCs/>
        </w:rPr>
        <w:t xml:space="preserve">The difference in the </w:t>
      </w:r>
      <w:r w:rsidR="00AF496B" w:rsidRPr="00FB1983">
        <w:rPr>
          <w:iCs/>
        </w:rPr>
        <w:t xml:space="preserve">incremental </w:t>
      </w:r>
      <w:r w:rsidR="00EF16A5" w:rsidRPr="00FB1983">
        <w:rPr>
          <w:iCs/>
        </w:rPr>
        <w:t>cost per QALY gained compared to the previous submission</w:t>
      </w:r>
      <w:r w:rsidR="00AF496B" w:rsidRPr="00FB1983">
        <w:rPr>
          <w:iCs/>
        </w:rPr>
        <w:t xml:space="preserve"> ($</w:t>
      </w:r>
      <w:r w:rsidR="00825EE4">
        <w:rPr>
          <w:iCs/>
        </w:rPr>
        <w:t>35,000 to &lt; $45,000</w:t>
      </w:r>
      <w:r w:rsidR="00AF496B" w:rsidRPr="00FB1983">
        <w:rPr>
          <w:iCs/>
        </w:rPr>
        <w:t>)</w:t>
      </w:r>
      <w:r w:rsidR="00EF16A5" w:rsidRPr="00FB1983">
        <w:rPr>
          <w:iCs/>
        </w:rPr>
        <w:t xml:space="preserve"> was primarily due to the revised time horizon, forced overall survival convergence and the use of the revised price of gemtuzumab.</w:t>
      </w:r>
    </w:p>
    <w:p w14:paraId="7BAC1C06" w14:textId="77777777" w:rsidR="005E1E49" w:rsidRPr="00610FCD" w:rsidRDefault="005E1E49" w:rsidP="00BB732D">
      <w:pPr>
        <w:pStyle w:val="ExecSumBodyText"/>
      </w:pPr>
      <w:r w:rsidRPr="00610FCD">
        <w:t>The difference in cost between treatment arms was primarily driven by gemtuzumab drug costs which w</w:t>
      </w:r>
      <w:r w:rsidR="005F0887">
        <w:t>ere</w:t>
      </w:r>
      <w:r w:rsidRPr="00610FCD">
        <w:t xml:space="preserve"> partially offset by </w:t>
      </w:r>
      <w:r w:rsidR="003D6155">
        <w:t xml:space="preserve">costs of </w:t>
      </w:r>
      <w:r w:rsidRPr="00610FCD">
        <w:t>salvage therapy, non-curative therapy, best supportive care and HSCT procedures in relapsed patients.</w:t>
      </w:r>
    </w:p>
    <w:p w14:paraId="14BC1B27" w14:textId="77777777" w:rsidR="005E1E49" w:rsidRPr="00610FCD" w:rsidRDefault="005E1E49" w:rsidP="00BB732D">
      <w:pPr>
        <w:pStyle w:val="ExecSumBodyText"/>
      </w:pPr>
      <w:r w:rsidRPr="00610FCD">
        <w:t>The difference in health outcomes was primarily driven by time spent in the response health states, particularly the ‘no HSCT functional cure’ sub-state. Compared to standard of care, more patients in the gemtuzumab arm achieved functional cure following sustained remission (i.e. achieved response and did not relapse) after induction therapy. The difference was partially offset by time spent in the relapse health states.</w:t>
      </w:r>
    </w:p>
    <w:p w14:paraId="0F6A5C25" w14:textId="77777777" w:rsidR="00A86E8B" w:rsidRPr="00610FCD" w:rsidRDefault="00D23D11" w:rsidP="00BB732D">
      <w:pPr>
        <w:pStyle w:val="ExecSumBodyText"/>
      </w:pPr>
      <w:r w:rsidRPr="00610FCD">
        <w:t>The results of key sensitivity analyses are summarised below</w:t>
      </w:r>
      <w:r w:rsidR="005E1E49" w:rsidRPr="00610FCD">
        <w:t>.</w:t>
      </w:r>
    </w:p>
    <w:p w14:paraId="7E5DBB06" w14:textId="77777777" w:rsidR="005E1E49" w:rsidRPr="00610FCD" w:rsidRDefault="000E50B8" w:rsidP="002A7485">
      <w:pPr>
        <w:pStyle w:val="TableFigureCaption"/>
      </w:pPr>
      <w:r>
        <w:t xml:space="preserve">Table </w:t>
      </w:r>
      <w:r w:rsidR="00F90EC3">
        <w:rPr>
          <w:noProof/>
        </w:rPr>
        <w:t>13</w:t>
      </w:r>
      <w:r w:rsidR="005E1E49" w:rsidRPr="00610FCD">
        <w:t>: Results of sensitivity analyses</w:t>
      </w:r>
    </w:p>
    <w:tbl>
      <w:tblPr>
        <w:tblStyle w:val="LashStyleTable25"/>
        <w:tblW w:w="5000" w:type="pct"/>
        <w:tblLook w:val="04A0" w:firstRow="1" w:lastRow="0" w:firstColumn="1" w:lastColumn="0" w:noHBand="0" w:noVBand="1"/>
        <w:tblCaption w:val="Table 13: Results of sensitivity analyses"/>
      </w:tblPr>
      <w:tblGrid>
        <w:gridCol w:w="4531"/>
        <w:gridCol w:w="1495"/>
        <w:gridCol w:w="1495"/>
        <w:gridCol w:w="1496"/>
      </w:tblGrid>
      <w:tr w:rsidR="005E1E49" w:rsidRPr="00610FCD" w14:paraId="39C98F6A" w14:textId="77777777" w:rsidTr="00CA3DD2">
        <w:trPr>
          <w:tblHeader/>
        </w:trPr>
        <w:tc>
          <w:tcPr>
            <w:tcW w:w="4531" w:type="dxa"/>
            <w:tcBorders>
              <w:bottom w:val="single" w:sz="4" w:space="0" w:color="auto"/>
            </w:tcBorders>
            <w:vAlign w:val="center"/>
          </w:tcPr>
          <w:p w14:paraId="6CDCCF3C" w14:textId="77777777" w:rsidR="005E1E49" w:rsidRPr="00610FCD" w:rsidRDefault="005E1E49" w:rsidP="00CA3DD2">
            <w:pPr>
              <w:pStyle w:val="Tabletext0"/>
              <w:rPr>
                <w:rFonts w:eastAsiaTheme="majorEastAsia"/>
                <w:b/>
                <w:bCs/>
              </w:rPr>
            </w:pPr>
            <w:r w:rsidRPr="00610FCD">
              <w:rPr>
                <w:rFonts w:eastAsiaTheme="majorEastAsia"/>
                <w:b/>
                <w:bCs/>
              </w:rPr>
              <w:t>Analysis</w:t>
            </w:r>
          </w:p>
        </w:tc>
        <w:tc>
          <w:tcPr>
            <w:tcW w:w="1495" w:type="dxa"/>
            <w:tcBorders>
              <w:bottom w:val="single" w:sz="4" w:space="0" w:color="auto"/>
            </w:tcBorders>
            <w:vAlign w:val="center"/>
          </w:tcPr>
          <w:p w14:paraId="6E072CF3" w14:textId="77777777" w:rsidR="005E1E49" w:rsidRPr="00610FCD" w:rsidRDefault="005E1E49" w:rsidP="00CA3DD2">
            <w:pPr>
              <w:pStyle w:val="Tabletext0"/>
              <w:jc w:val="center"/>
              <w:rPr>
                <w:rFonts w:eastAsiaTheme="majorEastAsia"/>
                <w:b/>
                <w:bCs/>
              </w:rPr>
            </w:pPr>
            <w:r w:rsidRPr="00610FCD">
              <w:rPr>
                <w:rFonts w:eastAsiaTheme="majorEastAsia"/>
                <w:b/>
                <w:bCs/>
              </w:rPr>
              <w:t>Incremental cost</w:t>
            </w:r>
            <w:r w:rsidR="00825EE4">
              <w:rPr>
                <w:rFonts w:eastAsiaTheme="majorEastAsia"/>
                <w:b/>
                <w:bCs/>
              </w:rPr>
              <w:t xml:space="preserve"> ($)</w:t>
            </w:r>
          </w:p>
        </w:tc>
        <w:tc>
          <w:tcPr>
            <w:tcW w:w="1495" w:type="dxa"/>
            <w:tcBorders>
              <w:bottom w:val="single" w:sz="4" w:space="0" w:color="auto"/>
            </w:tcBorders>
            <w:vAlign w:val="center"/>
          </w:tcPr>
          <w:p w14:paraId="245465BB" w14:textId="77777777" w:rsidR="005E1E49" w:rsidRPr="00610FCD" w:rsidRDefault="005E1E49" w:rsidP="00CA3DD2">
            <w:pPr>
              <w:pStyle w:val="Tabletext0"/>
              <w:jc w:val="center"/>
              <w:rPr>
                <w:rFonts w:eastAsiaTheme="majorEastAsia"/>
                <w:b/>
                <w:bCs/>
              </w:rPr>
            </w:pPr>
            <w:r w:rsidRPr="00610FCD">
              <w:rPr>
                <w:rFonts w:eastAsiaTheme="majorEastAsia"/>
                <w:b/>
                <w:bCs/>
              </w:rPr>
              <w:t>Incremental QALYs</w:t>
            </w:r>
          </w:p>
        </w:tc>
        <w:tc>
          <w:tcPr>
            <w:tcW w:w="1496" w:type="dxa"/>
            <w:tcBorders>
              <w:bottom w:val="single" w:sz="4" w:space="0" w:color="auto"/>
            </w:tcBorders>
            <w:vAlign w:val="center"/>
          </w:tcPr>
          <w:p w14:paraId="54CF8FB9" w14:textId="77777777" w:rsidR="005E1E49" w:rsidRPr="00610FCD" w:rsidRDefault="005E1E49" w:rsidP="00CA3DD2">
            <w:pPr>
              <w:pStyle w:val="Tabletext0"/>
              <w:jc w:val="center"/>
              <w:rPr>
                <w:rFonts w:eastAsiaTheme="majorEastAsia"/>
                <w:b/>
                <w:bCs/>
              </w:rPr>
            </w:pPr>
            <w:r w:rsidRPr="00610FCD">
              <w:rPr>
                <w:rFonts w:eastAsiaTheme="majorEastAsia"/>
                <w:b/>
                <w:bCs/>
              </w:rPr>
              <w:t>ICER per QALY gained</w:t>
            </w:r>
          </w:p>
        </w:tc>
      </w:tr>
      <w:tr w:rsidR="005E1E49" w:rsidRPr="00610FCD" w14:paraId="5D74896B" w14:textId="77777777" w:rsidTr="00CA3DD2">
        <w:tc>
          <w:tcPr>
            <w:tcW w:w="4531" w:type="dxa"/>
            <w:tcBorders>
              <w:bottom w:val="single" w:sz="4" w:space="0" w:color="auto"/>
            </w:tcBorders>
          </w:tcPr>
          <w:p w14:paraId="048F9BDF" w14:textId="77777777" w:rsidR="005E1E49" w:rsidRPr="00610FCD" w:rsidRDefault="005E1E49" w:rsidP="00CA3DD2">
            <w:pPr>
              <w:pStyle w:val="Tabletext0"/>
              <w:rPr>
                <w:rFonts w:eastAsiaTheme="majorEastAsia" w:cstheme="majorBidi"/>
                <w:b/>
              </w:rPr>
            </w:pPr>
            <w:r w:rsidRPr="00610FCD">
              <w:rPr>
                <w:rFonts w:eastAsiaTheme="majorEastAsia" w:cstheme="majorBidi"/>
                <w:b/>
              </w:rPr>
              <w:t>Base case</w:t>
            </w:r>
          </w:p>
        </w:tc>
        <w:tc>
          <w:tcPr>
            <w:tcW w:w="1495" w:type="dxa"/>
            <w:tcBorders>
              <w:bottom w:val="single" w:sz="4" w:space="0" w:color="auto"/>
            </w:tcBorders>
            <w:vAlign w:val="center"/>
          </w:tcPr>
          <w:p w14:paraId="145B5CA2" w14:textId="77777777" w:rsidR="005E1E49" w:rsidRPr="00FF0EA4" w:rsidRDefault="00FF0EA4" w:rsidP="00CA3DD2">
            <w:pPr>
              <w:pStyle w:val="Tabletext0"/>
              <w:jc w:val="center"/>
              <w:rPr>
                <w:rFonts w:eastAsiaTheme="majorEastAsia" w:cstheme="majorBidi"/>
                <w:b/>
                <w:highlight w:val="black"/>
              </w:rPr>
            </w:pPr>
            <w:r>
              <w:rPr>
                <w:rFonts w:eastAsiaTheme="majorEastAsia" w:cstheme="majorBidi"/>
                <w:b/>
                <w:noProof/>
                <w:color w:val="000000"/>
                <w:highlight w:val="black"/>
              </w:rPr>
              <w:t>'''''''''''''''</w:t>
            </w:r>
          </w:p>
        </w:tc>
        <w:tc>
          <w:tcPr>
            <w:tcW w:w="1495" w:type="dxa"/>
            <w:tcBorders>
              <w:bottom w:val="single" w:sz="4" w:space="0" w:color="auto"/>
            </w:tcBorders>
            <w:vAlign w:val="center"/>
          </w:tcPr>
          <w:p w14:paraId="0FFD632F" w14:textId="77777777" w:rsidR="005E1E49" w:rsidRPr="00610FCD" w:rsidRDefault="005E1E49" w:rsidP="00CA3DD2">
            <w:pPr>
              <w:pStyle w:val="Tabletext0"/>
              <w:jc w:val="center"/>
              <w:rPr>
                <w:rFonts w:eastAsiaTheme="majorEastAsia" w:cstheme="majorBidi"/>
                <w:b/>
              </w:rPr>
            </w:pPr>
            <w:r w:rsidRPr="00610FCD">
              <w:rPr>
                <w:rFonts w:eastAsiaTheme="majorEastAsia" w:cstheme="majorBidi"/>
                <w:b/>
              </w:rPr>
              <w:t>0.65</w:t>
            </w:r>
          </w:p>
        </w:tc>
        <w:tc>
          <w:tcPr>
            <w:tcW w:w="1496" w:type="dxa"/>
            <w:tcBorders>
              <w:bottom w:val="single" w:sz="4" w:space="0" w:color="auto"/>
            </w:tcBorders>
            <w:vAlign w:val="center"/>
          </w:tcPr>
          <w:p w14:paraId="06D2BB9F" w14:textId="77777777" w:rsidR="005E1E49" w:rsidRPr="0025178B" w:rsidRDefault="00FF0EA4" w:rsidP="00CA3DD2">
            <w:pPr>
              <w:pStyle w:val="Tabletext0"/>
              <w:jc w:val="center"/>
              <w:rPr>
                <w:rFonts w:eastAsiaTheme="majorEastAsia" w:cstheme="majorBidi"/>
                <w:b/>
              </w:rPr>
            </w:pPr>
            <w:r>
              <w:rPr>
                <w:rFonts w:eastAsiaTheme="majorEastAsia" w:cstheme="majorBidi"/>
                <w:b/>
                <w:noProof/>
                <w:color w:val="000000"/>
                <w:highlight w:val="black"/>
              </w:rPr>
              <w:t>'''''''''''''''''</w:t>
            </w:r>
            <w:r w:rsidR="0025178B" w:rsidRPr="0025178B">
              <w:rPr>
                <w:rFonts w:eastAsiaTheme="majorEastAsia" w:cstheme="majorBidi"/>
                <w:vertAlign w:val="superscript"/>
              </w:rPr>
              <w:t>4</w:t>
            </w:r>
          </w:p>
        </w:tc>
      </w:tr>
      <w:tr w:rsidR="005E1E49" w:rsidRPr="00610FCD" w14:paraId="607D4FC7" w14:textId="77777777" w:rsidTr="00CA3DD2">
        <w:tc>
          <w:tcPr>
            <w:tcW w:w="9017" w:type="dxa"/>
            <w:gridSpan w:val="4"/>
            <w:tcBorders>
              <w:bottom w:val="single" w:sz="4" w:space="0" w:color="auto"/>
            </w:tcBorders>
          </w:tcPr>
          <w:p w14:paraId="5AC8B2B9" w14:textId="77777777" w:rsidR="005E1E49" w:rsidRPr="00610FCD" w:rsidRDefault="005E1E49" w:rsidP="00CA3DD2">
            <w:pPr>
              <w:pStyle w:val="Tabletext0"/>
              <w:rPr>
                <w:rFonts w:eastAsiaTheme="majorEastAsia" w:cstheme="majorBidi"/>
                <w:b/>
              </w:rPr>
            </w:pPr>
            <w:r w:rsidRPr="00610FCD">
              <w:rPr>
                <w:rFonts w:eastAsiaTheme="majorEastAsia" w:cstheme="majorBidi"/>
                <w:b/>
              </w:rPr>
              <w:t xml:space="preserve">Administration costs (base case 88% public hospital and 12% private hospital administration for induction) </w:t>
            </w:r>
            <w:r w:rsidR="003C7625" w:rsidRPr="003C7625">
              <w:rPr>
                <w:rFonts w:eastAsiaTheme="majorEastAsia" w:cstheme="majorBidi"/>
                <w:vertAlign w:val="superscript"/>
              </w:rPr>
              <w:t>a</w:t>
            </w:r>
          </w:p>
        </w:tc>
      </w:tr>
      <w:tr w:rsidR="005E1E49" w:rsidRPr="003C7625" w14:paraId="68279FB9" w14:textId="77777777" w:rsidTr="00CA3DD2">
        <w:tc>
          <w:tcPr>
            <w:tcW w:w="4531" w:type="dxa"/>
            <w:tcBorders>
              <w:bottom w:val="single" w:sz="4" w:space="0" w:color="auto"/>
            </w:tcBorders>
          </w:tcPr>
          <w:p w14:paraId="426A66B3" w14:textId="77777777" w:rsidR="005E1E49" w:rsidRPr="003C7625" w:rsidRDefault="005E1E49" w:rsidP="00CA3DD2">
            <w:pPr>
              <w:pStyle w:val="Tabletext0"/>
              <w:rPr>
                <w:rFonts w:eastAsiaTheme="majorEastAsia" w:cstheme="majorBidi"/>
                <w:vertAlign w:val="superscript"/>
              </w:rPr>
            </w:pPr>
            <w:r w:rsidRPr="003C7625">
              <w:rPr>
                <w:rFonts w:eastAsiaTheme="majorEastAsia" w:cstheme="majorBidi"/>
              </w:rPr>
              <w:t>83% public hospital and 17% private hospital</w:t>
            </w:r>
            <w:r w:rsidR="003C7625" w:rsidRPr="003C7625">
              <w:rPr>
                <w:rFonts w:eastAsiaTheme="majorEastAsia" w:cstheme="majorBidi"/>
              </w:rPr>
              <w:t xml:space="preserve"> </w:t>
            </w:r>
          </w:p>
        </w:tc>
        <w:tc>
          <w:tcPr>
            <w:tcW w:w="1495" w:type="dxa"/>
            <w:tcBorders>
              <w:bottom w:val="single" w:sz="4" w:space="0" w:color="auto"/>
            </w:tcBorders>
          </w:tcPr>
          <w:p w14:paraId="06F2BFF7" w14:textId="77777777" w:rsidR="005E1E49" w:rsidRPr="00FF0EA4" w:rsidRDefault="00FF0EA4" w:rsidP="00CA3DD2">
            <w:pPr>
              <w:pStyle w:val="Tabletext0"/>
              <w:jc w:val="center"/>
              <w:rPr>
                <w:rFonts w:eastAsiaTheme="majorEastAsia" w:cstheme="majorBidi"/>
                <w:highlight w:val="black"/>
              </w:rPr>
            </w:pPr>
            <w:r>
              <w:rPr>
                <w:rFonts w:eastAsiaTheme="majorEastAsia" w:cstheme="majorBidi"/>
                <w:noProof/>
                <w:color w:val="000000"/>
                <w:highlight w:val="black"/>
              </w:rPr>
              <w:t>'''''''''''''''''''''</w:t>
            </w:r>
          </w:p>
        </w:tc>
        <w:tc>
          <w:tcPr>
            <w:tcW w:w="1495" w:type="dxa"/>
            <w:tcBorders>
              <w:bottom w:val="single" w:sz="4" w:space="0" w:color="auto"/>
            </w:tcBorders>
          </w:tcPr>
          <w:p w14:paraId="29BB1F87" w14:textId="77777777" w:rsidR="005E1E49" w:rsidRPr="003C7625" w:rsidRDefault="005E1E49" w:rsidP="00CA3DD2">
            <w:pPr>
              <w:pStyle w:val="Tabletext0"/>
              <w:jc w:val="center"/>
              <w:rPr>
                <w:rFonts w:eastAsiaTheme="majorEastAsia" w:cstheme="majorBidi"/>
              </w:rPr>
            </w:pPr>
            <w:r w:rsidRPr="003C7625">
              <w:rPr>
                <w:rFonts w:eastAsiaTheme="majorEastAsia" w:cstheme="majorBidi"/>
              </w:rPr>
              <w:t>0.65</w:t>
            </w:r>
          </w:p>
        </w:tc>
        <w:tc>
          <w:tcPr>
            <w:tcW w:w="1496" w:type="dxa"/>
            <w:tcBorders>
              <w:bottom w:val="single" w:sz="4" w:space="0" w:color="auto"/>
            </w:tcBorders>
          </w:tcPr>
          <w:p w14:paraId="0AB54BBF" w14:textId="77777777" w:rsidR="005E1E49" w:rsidRPr="003C7625" w:rsidRDefault="00FF0EA4" w:rsidP="00CA3DD2">
            <w:pPr>
              <w:pStyle w:val="Tabletext0"/>
              <w:jc w:val="center"/>
              <w:rPr>
                <w:rFonts w:eastAsiaTheme="majorEastAsia" w:cstheme="majorBidi"/>
              </w:rPr>
            </w:pPr>
            <w:r>
              <w:rPr>
                <w:rFonts w:eastAsiaTheme="majorEastAsia" w:cstheme="majorBidi"/>
                <w:noProof/>
                <w:color w:val="000000"/>
                <w:highlight w:val="black"/>
              </w:rPr>
              <w:t>''''''''''''''''''</w:t>
            </w:r>
            <w:r w:rsidR="0025178B" w:rsidRPr="0025178B">
              <w:rPr>
                <w:rFonts w:eastAsiaTheme="majorEastAsia" w:cstheme="majorBidi"/>
                <w:vertAlign w:val="superscript"/>
              </w:rPr>
              <w:t>4</w:t>
            </w:r>
          </w:p>
        </w:tc>
      </w:tr>
      <w:tr w:rsidR="005E1E49" w:rsidRPr="003C7625" w14:paraId="295BC22B" w14:textId="77777777" w:rsidTr="00CA3DD2">
        <w:tc>
          <w:tcPr>
            <w:tcW w:w="9017" w:type="dxa"/>
            <w:gridSpan w:val="4"/>
            <w:tcBorders>
              <w:bottom w:val="single" w:sz="4" w:space="0" w:color="auto"/>
            </w:tcBorders>
          </w:tcPr>
          <w:p w14:paraId="53276508" w14:textId="77777777" w:rsidR="005E1E49" w:rsidRPr="003C7625" w:rsidRDefault="005E1E49" w:rsidP="00CA3DD2">
            <w:pPr>
              <w:pStyle w:val="Tabletext0"/>
              <w:rPr>
                <w:rFonts w:eastAsiaTheme="majorEastAsia" w:cstheme="majorBidi"/>
                <w:b/>
              </w:rPr>
            </w:pPr>
            <w:r w:rsidRPr="003C7625">
              <w:rPr>
                <w:rFonts w:eastAsiaTheme="majorEastAsia" w:cstheme="majorBidi"/>
                <w:b/>
              </w:rPr>
              <w:t>Time horizon (base case 25 years)</w:t>
            </w:r>
            <w:r w:rsidR="003C7625" w:rsidRPr="003C7625">
              <w:rPr>
                <w:rFonts w:eastAsiaTheme="majorEastAsia" w:cstheme="majorBidi"/>
                <w:b/>
              </w:rPr>
              <w:t xml:space="preserve"> </w:t>
            </w:r>
            <w:r w:rsidR="003C7625" w:rsidRPr="003C7625">
              <w:rPr>
                <w:rFonts w:eastAsiaTheme="majorEastAsia" w:cstheme="majorBidi"/>
                <w:vertAlign w:val="superscript"/>
              </w:rPr>
              <w:t>a</w:t>
            </w:r>
          </w:p>
        </w:tc>
      </w:tr>
      <w:tr w:rsidR="005E1E49" w:rsidRPr="003C7625" w14:paraId="2D064E76" w14:textId="77777777" w:rsidTr="00CA3DD2">
        <w:tc>
          <w:tcPr>
            <w:tcW w:w="4531" w:type="dxa"/>
            <w:tcBorders>
              <w:top w:val="single" w:sz="4" w:space="0" w:color="auto"/>
              <w:bottom w:val="single" w:sz="4" w:space="0" w:color="auto"/>
            </w:tcBorders>
          </w:tcPr>
          <w:p w14:paraId="4034B26E"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5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40ADF263"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6C38A44B"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0.29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403B367"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25178B" w:rsidRPr="0025178B">
              <w:rPr>
                <w:rFonts w:eastAsiaTheme="majorEastAsia" w:cstheme="majorBidi"/>
                <w:bCs/>
                <w:vertAlign w:val="superscript"/>
              </w:rPr>
              <w:t>6</w:t>
            </w:r>
          </w:p>
        </w:tc>
      </w:tr>
      <w:tr w:rsidR="005E1E49" w:rsidRPr="003C7625" w14:paraId="346A745A" w14:textId="77777777" w:rsidTr="00CA3DD2">
        <w:tc>
          <w:tcPr>
            <w:tcW w:w="4531" w:type="dxa"/>
            <w:tcBorders>
              <w:top w:val="single" w:sz="4" w:space="0" w:color="auto"/>
              <w:bottom w:val="single" w:sz="4" w:space="0" w:color="auto"/>
            </w:tcBorders>
          </w:tcPr>
          <w:p w14:paraId="65FCC8C0"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10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2DAE5D52"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53ED807"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26F231BA"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E74E1">
              <w:rPr>
                <w:rFonts w:eastAsiaTheme="majorEastAsia" w:cstheme="majorBidi"/>
                <w:vertAlign w:val="superscript"/>
              </w:rPr>
              <w:t>3</w:t>
            </w:r>
          </w:p>
        </w:tc>
      </w:tr>
      <w:tr w:rsidR="005E1E49" w:rsidRPr="003C7625" w14:paraId="7AC883C2" w14:textId="77777777" w:rsidTr="00CA3DD2">
        <w:tc>
          <w:tcPr>
            <w:tcW w:w="4531" w:type="dxa"/>
            <w:tcBorders>
              <w:top w:val="single" w:sz="4" w:space="0" w:color="auto"/>
              <w:bottom w:val="single" w:sz="4" w:space="0" w:color="auto"/>
            </w:tcBorders>
          </w:tcPr>
          <w:p w14:paraId="72FE7AFB"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15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27C0EAAB"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2EF762C9"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0.62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395897E"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25178B" w:rsidRPr="0025178B">
              <w:rPr>
                <w:rFonts w:eastAsiaTheme="majorEastAsia" w:cstheme="majorBidi"/>
                <w:vertAlign w:val="superscript"/>
              </w:rPr>
              <w:t>4</w:t>
            </w:r>
          </w:p>
        </w:tc>
      </w:tr>
      <w:tr w:rsidR="005E1E49" w:rsidRPr="003C7625" w14:paraId="61E5D08D" w14:textId="77777777" w:rsidTr="00CA3DD2">
        <w:tc>
          <w:tcPr>
            <w:tcW w:w="9017" w:type="dxa"/>
            <w:gridSpan w:val="4"/>
            <w:tcBorders>
              <w:top w:val="single" w:sz="4" w:space="0" w:color="auto"/>
              <w:bottom w:val="single" w:sz="4" w:space="0" w:color="auto"/>
              <w:right w:val="single" w:sz="4" w:space="0" w:color="auto"/>
            </w:tcBorders>
          </w:tcPr>
          <w:p w14:paraId="79739346" w14:textId="77777777" w:rsidR="005E1E49" w:rsidRPr="003C7625" w:rsidRDefault="005E1E49" w:rsidP="00CA3DD2">
            <w:pPr>
              <w:pStyle w:val="Tabletext0"/>
              <w:rPr>
                <w:rFonts w:eastAsiaTheme="majorEastAsia" w:cstheme="majorBidi"/>
                <w:b/>
              </w:rPr>
            </w:pPr>
            <w:r w:rsidRPr="003C7625">
              <w:rPr>
                <w:rFonts w:eastAsiaTheme="majorEastAsia" w:cstheme="majorBidi"/>
                <w:b/>
              </w:rPr>
              <w:t>Treatment effect (base case subgroup with favourable/intermediate/unknown cytogenetic risk)</w:t>
            </w:r>
            <w:r w:rsidR="003C7625" w:rsidRPr="003C7625">
              <w:rPr>
                <w:rFonts w:eastAsiaTheme="majorEastAsia" w:cstheme="majorBidi"/>
                <w:b/>
              </w:rPr>
              <w:t xml:space="preserve"> </w:t>
            </w:r>
            <w:r w:rsidR="003C7625" w:rsidRPr="003C7625">
              <w:rPr>
                <w:rFonts w:eastAsiaTheme="majorEastAsia" w:cstheme="majorBidi"/>
                <w:vertAlign w:val="superscript"/>
              </w:rPr>
              <w:t>a</w:t>
            </w:r>
          </w:p>
        </w:tc>
      </w:tr>
      <w:tr w:rsidR="005E1E49" w:rsidRPr="003C7625" w14:paraId="16C6636D" w14:textId="77777777" w:rsidTr="00CA3DD2">
        <w:tc>
          <w:tcPr>
            <w:tcW w:w="4531" w:type="dxa"/>
            <w:tcBorders>
              <w:top w:val="single" w:sz="4" w:space="0" w:color="auto"/>
              <w:bottom w:val="single" w:sz="4" w:space="0" w:color="auto"/>
            </w:tcBorders>
          </w:tcPr>
          <w:p w14:paraId="487E8F42"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mITT population (independent review dataset)</w:t>
            </w:r>
          </w:p>
        </w:tc>
        <w:tc>
          <w:tcPr>
            <w:tcW w:w="1495" w:type="dxa"/>
            <w:tcBorders>
              <w:top w:val="single" w:sz="4" w:space="0" w:color="auto"/>
              <w:left w:val="nil"/>
              <w:bottom w:val="single" w:sz="4" w:space="0" w:color="auto"/>
              <w:right w:val="single" w:sz="4" w:space="0" w:color="auto"/>
            </w:tcBorders>
            <w:shd w:val="clear" w:color="auto" w:fill="auto"/>
            <w:vAlign w:val="center"/>
          </w:tcPr>
          <w:p w14:paraId="3A4AAF3E"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5E31B650"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0.42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42BFE45"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E74E1">
              <w:rPr>
                <w:rFonts w:eastAsiaTheme="majorEastAsia" w:cstheme="majorBidi"/>
                <w:vertAlign w:val="superscript"/>
              </w:rPr>
              <w:t>5</w:t>
            </w:r>
          </w:p>
        </w:tc>
      </w:tr>
      <w:tr w:rsidR="005E1E49" w:rsidRPr="003C7625" w14:paraId="643E761C" w14:textId="77777777" w:rsidTr="00CA3DD2">
        <w:tc>
          <w:tcPr>
            <w:tcW w:w="4531" w:type="dxa"/>
            <w:tcBorders>
              <w:top w:val="single" w:sz="4" w:space="0" w:color="auto"/>
              <w:bottom w:val="single" w:sz="4" w:space="0" w:color="auto"/>
            </w:tcBorders>
          </w:tcPr>
          <w:p w14:paraId="53E11594"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mITT population (investigator assessed dataset)</w:t>
            </w:r>
          </w:p>
        </w:tc>
        <w:tc>
          <w:tcPr>
            <w:tcW w:w="1495" w:type="dxa"/>
            <w:tcBorders>
              <w:top w:val="single" w:sz="4" w:space="0" w:color="auto"/>
              <w:left w:val="nil"/>
              <w:bottom w:val="single" w:sz="4" w:space="0" w:color="auto"/>
              <w:right w:val="single" w:sz="4" w:space="0" w:color="auto"/>
            </w:tcBorders>
            <w:shd w:val="clear" w:color="auto" w:fill="auto"/>
            <w:vAlign w:val="center"/>
          </w:tcPr>
          <w:p w14:paraId="7D05A574"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5CA95969"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0.32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7D7FE2A"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E74E1">
              <w:rPr>
                <w:rFonts w:eastAsiaTheme="majorEastAsia" w:cstheme="majorBidi"/>
                <w:vertAlign w:val="superscript"/>
              </w:rPr>
              <w:t>6</w:t>
            </w:r>
          </w:p>
        </w:tc>
      </w:tr>
      <w:tr w:rsidR="005E1E49" w:rsidRPr="00610FCD" w14:paraId="56FDE66E" w14:textId="77777777" w:rsidTr="00CA3DD2">
        <w:tc>
          <w:tcPr>
            <w:tcW w:w="9017" w:type="dxa"/>
            <w:gridSpan w:val="4"/>
            <w:tcBorders>
              <w:top w:val="single" w:sz="4" w:space="0" w:color="auto"/>
              <w:bottom w:val="single" w:sz="4" w:space="0" w:color="auto"/>
              <w:right w:val="single" w:sz="4" w:space="0" w:color="auto"/>
            </w:tcBorders>
          </w:tcPr>
          <w:p w14:paraId="4B45FCBE" w14:textId="77777777" w:rsidR="005E1E49" w:rsidRPr="00610FCD" w:rsidRDefault="005E1E49" w:rsidP="00CA3DD2">
            <w:pPr>
              <w:pStyle w:val="Tabletext0"/>
              <w:rPr>
                <w:rFonts w:eastAsiaTheme="majorEastAsia" w:cstheme="majorBidi"/>
                <w:bCs/>
                <w:i/>
                <w:iCs/>
              </w:rPr>
            </w:pPr>
            <w:r w:rsidRPr="00610FCD">
              <w:rPr>
                <w:rFonts w:eastAsiaTheme="majorEastAsia" w:cstheme="majorBidi"/>
                <w:b/>
              </w:rPr>
              <w:t>Modelled overall survival benefit (base case extrapolated survival using individually fitted MCM log-normal functions with linear convergence starting from 5 years and converging at 25 years)</w:t>
            </w:r>
          </w:p>
        </w:tc>
      </w:tr>
      <w:tr w:rsidR="005E1E49" w:rsidRPr="00610FCD" w14:paraId="7D9BF926" w14:textId="77777777" w:rsidTr="00CA3DD2">
        <w:tc>
          <w:tcPr>
            <w:tcW w:w="4531" w:type="dxa"/>
            <w:tcBorders>
              <w:top w:val="single" w:sz="4" w:space="0" w:color="auto"/>
              <w:bottom w:val="single" w:sz="4" w:space="0" w:color="auto"/>
            </w:tcBorders>
          </w:tcPr>
          <w:p w14:paraId="657DE8E5" w14:textId="77777777" w:rsidR="005E1E49" w:rsidRPr="00610FCD" w:rsidRDefault="005E1E49" w:rsidP="00CA3DD2">
            <w:pPr>
              <w:pStyle w:val="Tabletext0"/>
              <w:rPr>
                <w:rFonts w:eastAsiaTheme="majorEastAsia" w:cstheme="majorBidi"/>
                <w:bCs/>
              </w:rPr>
            </w:pPr>
            <w:r w:rsidRPr="00610FCD">
              <w:rPr>
                <w:rFonts w:eastAsiaTheme="majorEastAsia" w:cstheme="majorBidi"/>
                <w:bCs/>
              </w:rPr>
              <w:t>Individually fitted MCM log-normal functions without convergence</w:t>
            </w:r>
          </w:p>
        </w:tc>
        <w:tc>
          <w:tcPr>
            <w:tcW w:w="1495" w:type="dxa"/>
            <w:tcBorders>
              <w:top w:val="single" w:sz="4" w:space="0" w:color="auto"/>
              <w:left w:val="nil"/>
              <w:bottom w:val="single" w:sz="4" w:space="0" w:color="auto"/>
              <w:right w:val="single" w:sz="4" w:space="0" w:color="auto"/>
            </w:tcBorders>
            <w:shd w:val="clear" w:color="auto" w:fill="auto"/>
            <w:vAlign w:val="center"/>
          </w:tcPr>
          <w:p w14:paraId="2A5C785A"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881E266" w14:textId="77777777" w:rsidR="005E1E49" w:rsidRPr="00610FCD" w:rsidRDefault="005E1E49" w:rsidP="00CA3DD2">
            <w:pPr>
              <w:pStyle w:val="Tabletext0"/>
              <w:jc w:val="center"/>
              <w:rPr>
                <w:rFonts w:eastAsiaTheme="majorEastAsia" w:cstheme="majorBidi"/>
                <w:bCs/>
              </w:rPr>
            </w:pPr>
            <w:r w:rsidRPr="00610FCD">
              <w:rPr>
                <w:rFonts w:eastAsiaTheme="majorEastAsia" w:cstheme="majorBidi"/>
                <w:bCs/>
              </w:rPr>
              <w:t>0.88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9D72464"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825EE4" w:rsidRPr="005611A9">
              <w:rPr>
                <w:vertAlign w:val="superscript"/>
              </w:rPr>
              <w:t>1</w:t>
            </w:r>
          </w:p>
        </w:tc>
      </w:tr>
      <w:tr w:rsidR="005E1E49" w:rsidRPr="00610FCD" w14:paraId="51623882" w14:textId="77777777" w:rsidTr="00CA3DD2">
        <w:tc>
          <w:tcPr>
            <w:tcW w:w="4531" w:type="dxa"/>
            <w:tcBorders>
              <w:top w:val="single" w:sz="4" w:space="0" w:color="auto"/>
              <w:bottom w:val="single" w:sz="4" w:space="0" w:color="auto"/>
            </w:tcBorders>
          </w:tcPr>
          <w:p w14:paraId="63B22B6D" w14:textId="77777777" w:rsidR="005E1E49" w:rsidRPr="00610FCD" w:rsidRDefault="005E1E49" w:rsidP="00CA3DD2">
            <w:pPr>
              <w:pStyle w:val="Tabletext0"/>
              <w:rPr>
                <w:rFonts w:eastAsiaTheme="majorEastAsia" w:cstheme="majorBidi"/>
                <w:bCs/>
              </w:rPr>
            </w:pPr>
            <w:r w:rsidRPr="00610FCD">
              <w:rPr>
                <w:rFonts w:eastAsiaTheme="majorEastAsia" w:cstheme="majorBidi"/>
                <w:bCs/>
              </w:rPr>
              <w:t>GO+DA survival based on HR 0.659 applied to DA arm, fixed over 25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4538E1EB"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23FCEBC" w14:textId="77777777" w:rsidR="005E1E49" w:rsidRPr="00610FCD" w:rsidRDefault="005E1E49" w:rsidP="00CA3DD2">
            <w:pPr>
              <w:pStyle w:val="Tabletext0"/>
              <w:jc w:val="center"/>
              <w:rPr>
                <w:rFonts w:eastAsiaTheme="majorEastAsia" w:cstheme="majorBidi"/>
                <w:bCs/>
              </w:rPr>
            </w:pPr>
            <w:r w:rsidRPr="00610FCD">
              <w:rPr>
                <w:rFonts w:eastAsiaTheme="majorEastAsia" w:cstheme="majorBidi"/>
                <w:bCs/>
              </w:rPr>
              <w:t>1.19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4EADE62"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825EE4">
              <w:rPr>
                <w:vertAlign w:val="superscript"/>
              </w:rPr>
              <w:t>2</w:t>
            </w:r>
          </w:p>
        </w:tc>
      </w:tr>
      <w:tr w:rsidR="005E1E49" w:rsidRPr="00610FCD" w14:paraId="783F5C2A" w14:textId="77777777" w:rsidTr="00CA3DD2">
        <w:tc>
          <w:tcPr>
            <w:tcW w:w="4531" w:type="dxa"/>
            <w:tcBorders>
              <w:top w:val="single" w:sz="4" w:space="0" w:color="auto"/>
              <w:bottom w:val="single" w:sz="4" w:space="0" w:color="auto"/>
            </w:tcBorders>
          </w:tcPr>
          <w:p w14:paraId="401EA413" w14:textId="77777777" w:rsidR="005E1E49" w:rsidRPr="00610FCD" w:rsidRDefault="005E1E49" w:rsidP="00CA3DD2">
            <w:pPr>
              <w:pStyle w:val="Tabletext0"/>
              <w:rPr>
                <w:rFonts w:eastAsiaTheme="majorEastAsia" w:cstheme="majorBidi"/>
                <w:bCs/>
              </w:rPr>
            </w:pPr>
            <w:r w:rsidRPr="00610FCD">
              <w:rPr>
                <w:rFonts w:eastAsiaTheme="majorEastAsia" w:cstheme="majorBidi"/>
                <w:bCs/>
              </w:rPr>
              <w:t>GO+DA survival based on HR 0.659 applied to DA arm, fixed in first 5 years. Beyond 5 years to 25 years, variable HR assuming linear increase to HR of 1.000 at 25 years was applied.</w:t>
            </w:r>
          </w:p>
        </w:tc>
        <w:tc>
          <w:tcPr>
            <w:tcW w:w="1495" w:type="dxa"/>
            <w:tcBorders>
              <w:top w:val="single" w:sz="4" w:space="0" w:color="auto"/>
              <w:left w:val="nil"/>
              <w:bottom w:val="single" w:sz="4" w:space="0" w:color="auto"/>
              <w:right w:val="single" w:sz="4" w:space="0" w:color="auto"/>
            </w:tcBorders>
            <w:shd w:val="clear" w:color="auto" w:fill="auto"/>
            <w:vAlign w:val="center"/>
          </w:tcPr>
          <w:p w14:paraId="7289465D"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75D5958" w14:textId="77777777" w:rsidR="005E1E49" w:rsidRPr="00610FCD" w:rsidRDefault="005E1E49" w:rsidP="00CA3DD2">
            <w:pPr>
              <w:pStyle w:val="Tabletext0"/>
              <w:jc w:val="center"/>
              <w:rPr>
                <w:rFonts w:eastAsiaTheme="majorEastAsia" w:cstheme="majorBidi"/>
                <w:bCs/>
              </w:rPr>
            </w:pPr>
            <w:r w:rsidRPr="00610FCD">
              <w:rPr>
                <w:rFonts w:eastAsiaTheme="majorEastAsia" w:cstheme="majorBidi"/>
                <w:bCs/>
              </w:rPr>
              <w:t>0.79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73394CAC"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825EE4">
              <w:rPr>
                <w:vertAlign w:val="superscript"/>
              </w:rPr>
              <w:t>1</w:t>
            </w:r>
          </w:p>
        </w:tc>
      </w:tr>
      <w:tr w:rsidR="005E1E49" w:rsidRPr="003C7625" w14:paraId="22D6FCA7" w14:textId="77777777" w:rsidTr="00CA3DD2">
        <w:tc>
          <w:tcPr>
            <w:tcW w:w="9017" w:type="dxa"/>
            <w:gridSpan w:val="4"/>
            <w:tcBorders>
              <w:top w:val="single" w:sz="4" w:space="0" w:color="auto"/>
              <w:bottom w:val="single" w:sz="4" w:space="0" w:color="auto"/>
              <w:right w:val="single" w:sz="4" w:space="0" w:color="auto"/>
            </w:tcBorders>
          </w:tcPr>
          <w:p w14:paraId="31BFB6DD" w14:textId="77777777" w:rsidR="005E1E49" w:rsidRPr="003C7625" w:rsidRDefault="005E1E49" w:rsidP="00CA3DD2">
            <w:pPr>
              <w:pStyle w:val="Tabletext0"/>
              <w:rPr>
                <w:rFonts w:eastAsiaTheme="majorEastAsia" w:cstheme="majorBidi"/>
                <w:b/>
              </w:rPr>
            </w:pPr>
            <w:r w:rsidRPr="003C7625">
              <w:rPr>
                <w:rFonts w:eastAsiaTheme="majorEastAsia" w:cstheme="majorBidi"/>
                <w:b/>
              </w:rPr>
              <w:t>Overall survival convergence (base case linear convergence starting from 5 years and converging at 25 years, applied to MCM log-normal survival curves)</w:t>
            </w:r>
            <w:r w:rsidR="003C7625" w:rsidRPr="003C7625">
              <w:rPr>
                <w:rFonts w:eastAsiaTheme="majorEastAsia" w:cstheme="majorBidi"/>
                <w:b/>
              </w:rPr>
              <w:t xml:space="preserve"> </w:t>
            </w:r>
            <w:r w:rsidR="003C7625" w:rsidRPr="003C7625">
              <w:rPr>
                <w:rFonts w:eastAsiaTheme="majorEastAsia" w:cstheme="majorBidi"/>
                <w:vertAlign w:val="superscript"/>
              </w:rPr>
              <w:t>a</w:t>
            </w:r>
          </w:p>
        </w:tc>
      </w:tr>
      <w:tr w:rsidR="005E1E49" w:rsidRPr="003C7625" w14:paraId="14AA1471" w14:textId="77777777" w:rsidTr="00CA3DD2">
        <w:tc>
          <w:tcPr>
            <w:tcW w:w="4531" w:type="dxa"/>
            <w:tcBorders>
              <w:top w:val="single" w:sz="4" w:space="0" w:color="auto"/>
              <w:bottom w:val="single" w:sz="4" w:space="0" w:color="auto"/>
            </w:tcBorders>
          </w:tcPr>
          <w:p w14:paraId="2CA74745"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Start at 4 years, converge by 10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2865E92D"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68AF2548"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0.43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2236355E"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0750D" w:rsidRPr="0010750D">
              <w:rPr>
                <w:rFonts w:eastAsiaTheme="majorEastAsia" w:cstheme="majorBidi"/>
                <w:bCs/>
                <w:vertAlign w:val="superscript"/>
              </w:rPr>
              <w:t>3</w:t>
            </w:r>
          </w:p>
        </w:tc>
      </w:tr>
      <w:tr w:rsidR="005E1E49" w:rsidRPr="003C7625" w14:paraId="43A987E0" w14:textId="77777777" w:rsidTr="00CA3DD2">
        <w:tc>
          <w:tcPr>
            <w:tcW w:w="4531" w:type="dxa"/>
            <w:tcBorders>
              <w:top w:val="single" w:sz="4" w:space="0" w:color="auto"/>
              <w:bottom w:val="single" w:sz="4" w:space="0" w:color="auto"/>
            </w:tcBorders>
          </w:tcPr>
          <w:p w14:paraId="5BDEFCDB"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Start at 4 years, converge by 15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1497342E"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07B97B4B"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0.58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71BB90A9"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0750D">
              <w:rPr>
                <w:rFonts w:eastAsiaTheme="majorEastAsia" w:cstheme="majorBidi"/>
                <w:bCs/>
                <w:vertAlign w:val="superscript"/>
              </w:rPr>
              <w:t>4</w:t>
            </w:r>
          </w:p>
        </w:tc>
      </w:tr>
      <w:tr w:rsidR="005E1E49" w:rsidRPr="003C7625" w14:paraId="035EE9A4" w14:textId="77777777" w:rsidTr="00CA3DD2">
        <w:tc>
          <w:tcPr>
            <w:tcW w:w="4531" w:type="dxa"/>
            <w:tcBorders>
              <w:top w:val="single" w:sz="4" w:space="0" w:color="auto"/>
              <w:bottom w:val="single" w:sz="4" w:space="0" w:color="auto"/>
            </w:tcBorders>
          </w:tcPr>
          <w:p w14:paraId="59CE662E"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Start at 4 years, converge by 20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5E32C954"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5D627474"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0.68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251A7749"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0750D">
              <w:rPr>
                <w:rFonts w:eastAsiaTheme="majorEastAsia" w:cstheme="majorBidi"/>
                <w:bCs/>
                <w:vertAlign w:val="superscript"/>
              </w:rPr>
              <w:t>4</w:t>
            </w:r>
          </w:p>
        </w:tc>
      </w:tr>
      <w:tr w:rsidR="005E1E49" w:rsidRPr="003C7625" w14:paraId="0F4531B0" w14:textId="77777777" w:rsidTr="00CA3DD2">
        <w:tc>
          <w:tcPr>
            <w:tcW w:w="4531" w:type="dxa"/>
            <w:tcBorders>
              <w:top w:val="single" w:sz="4" w:space="0" w:color="auto"/>
              <w:bottom w:val="single" w:sz="4" w:space="0" w:color="auto"/>
            </w:tcBorders>
          </w:tcPr>
          <w:p w14:paraId="6B35DBF1"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Start at 4 years, converge by 25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0C43A291"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9C04B73"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0.70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11B4C27"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0750D">
              <w:rPr>
                <w:rFonts w:eastAsiaTheme="majorEastAsia" w:cstheme="majorBidi"/>
                <w:bCs/>
                <w:vertAlign w:val="superscript"/>
              </w:rPr>
              <w:t>4</w:t>
            </w:r>
          </w:p>
        </w:tc>
      </w:tr>
      <w:tr w:rsidR="005E1E49" w:rsidRPr="003C7625" w14:paraId="65D7902E" w14:textId="77777777" w:rsidTr="00CA3DD2">
        <w:tc>
          <w:tcPr>
            <w:tcW w:w="4531" w:type="dxa"/>
            <w:tcBorders>
              <w:top w:val="single" w:sz="4" w:space="0" w:color="auto"/>
              <w:bottom w:val="single" w:sz="4" w:space="0" w:color="auto"/>
            </w:tcBorders>
          </w:tcPr>
          <w:p w14:paraId="6C8FE548"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Start at 5 years, converge by 10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675BF746"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E2A2141"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0.43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414A98E0"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0750D" w:rsidRPr="0010750D">
              <w:rPr>
                <w:rFonts w:eastAsiaTheme="majorEastAsia" w:cstheme="majorBidi"/>
                <w:bCs/>
                <w:vertAlign w:val="superscript"/>
              </w:rPr>
              <w:t>3</w:t>
            </w:r>
          </w:p>
        </w:tc>
      </w:tr>
      <w:tr w:rsidR="005E1E49" w:rsidRPr="003C7625" w14:paraId="12CBD06E" w14:textId="77777777" w:rsidTr="00CA3DD2">
        <w:tc>
          <w:tcPr>
            <w:tcW w:w="4531" w:type="dxa"/>
            <w:tcBorders>
              <w:top w:val="single" w:sz="4" w:space="0" w:color="auto"/>
              <w:bottom w:val="single" w:sz="4" w:space="0" w:color="auto"/>
            </w:tcBorders>
          </w:tcPr>
          <w:p w14:paraId="19C32781"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Start at 5 years, converge by 15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6ECF3DD4"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F83D02D"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0.56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1ED60007"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0750D" w:rsidRPr="0010750D">
              <w:rPr>
                <w:rFonts w:eastAsiaTheme="majorEastAsia" w:cstheme="majorBidi"/>
                <w:bCs/>
                <w:vertAlign w:val="superscript"/>
              </w:rPr>
              <w:t>3</w:t>
            </w:r>
          </w:p>
        </w:tc>
      </w:tr>
      <w:tr w:rsidR="005E1E49" w:rsidRPr="003C7625" w14:paraId="1CE1A226" w14:textId="77777777" w:rsidTr="00CA3DD2">
        <w:tc>
          <w:tcPr>
            <w:tcW w:w="4531" w:type="dxa"/>
            <w:tcBorders>
              <w:top w:val="single" w:sz="4" w:space="0" w:color="auto"/>
              <w:bottom w:val="single" w:sz="4" w:space="0" w:color="auto"/>
            </w:tcBorders>
          </w:tcPr>
          <w:p w14:paraId="3007D52B"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Start at 5 years, converge by 20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378997DB"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493801B"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0.63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19A65398"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0750D">
              <w:rPr>
                <w:rFonts w:eastAsiaTheme="majorEastAsia" w:cstheme="majorBidi"/>
                <w:bCs/>
                <w:vertAlign w:val="superscript"/>
              </w:rPr>
              <w:t>4</w:t>
            </w:r>
          </w:p>
        </w:tc>
      </w:tr>
      <w:tr w:rsidR="005E1E49" w:rsidRPr="003C7625" w14:paraId="4AD166FA" w14:textId="77777777" w:rsidTr="00CA3DD2">
        <w:tc>
          <w:tcPr>
            <w:tcW w:w="9017" w:type="dxa"/>
            <w:gridSpan w:val="4"/>
            <w:tcBorders>
              <w:top w:val="single" w:sz="4" w:space="0" w:color="auto"/>
              <w:bottom w:val="single" w:sz="4" w:space="0" w:color="auto"/>
              <w:right w:val="single" w:sz="4" w:space="0" w:color="auto"/>
            </w:tcBorders>
          </w:tcPr>
          <w:p w14:paraId="17163A90" w14:textId="77777777" w:rsidR="005E1E49" w:rsidRPr="003C7625" w:rsidRDefault="005E1E49" w:rsidP="00CA3DD2">
            <w:pPr>
              <w:pStyle w:val="Tabletext0"/>
              <w:rPr>
                <w:rFonts w:eastAsiaTheme="majorEastAsia" w:cstheme="majorBidi"/>
                <w:b/>
              </w:rPr>
            </w:pPr>
            <w:r w:rsidRPr="003C7625">
              <w:rPr>
                <w:rFonts w:eastAsiaTheme="majorEastAsia" w:cstheme="majorBidi"/>
                <w:b/>
              </w:rPr>
              <w:t>HSCT rates (base case: pooled rates in remission and refractory patients, individual arm rates in relapsed patients)</w:t>
            </w:r>
            <w:r w:rsidR="003C7625" w:rsidRPr="003C7625">
              <w:rPr>
                <w:rFonts w:eastAsiaTheme="majorEastAsia" w:cstheme="majorBidi"/>
                <w:b/>
              </w:rPr>
              <w:t xml:space="preserve"> </w:t>
            </w:r>
            <w:r w:rsidR="003C7625" w:rsidRPr="003C7625">
              <w:rPr>
                <w:rFonts w:eastAsiaTheme="majorEastAsia" w:cstheme="majorBidi"/>
                <w:vertAlign w:val="superscript"/>
              </w:rPr>
              <w:t>a</w:t>
            </w:r>
          </w:p>
        </w:tc>
      </w:tr>
      <w:tr w:rsidR="005E1E49" w:rsidRPr="003C7625" w14:paraId="76B66C8B" w14:textId="77777777" w:rsidTr="00CA3DD2">
        <w:tc>
          <w:tcPr>
            <w:tcW w:w="4531" w:type="dxa"/>
            <w:tcBorders>
              <w:top w:val="single" w:sz="4" w:space="0" w:color="auto"/>
              <w:bottom w:val="single" w:sz="4" w:space="0" w:color="auto"/>
            </w:tcBorders>
          </w:tcPr>
          <w:p w14:paraId="5E68554B"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Pooled rates in all patients</w:t>
            </w:r>
          </w:p>
        </w:tc>
        <w:tc>
          <w:tcPr>
            <w:tcW w:w="1495" w:type="dxa"/>
            <w:tcBorders>
              <w:top w:val="single" w:sz="4" w:space="0" w:color="auto"/>
              <w:left w:val="nil"/>
              <w:bottom w:val="single" w:sz="4" w:space="0" w:color="auto"/>
              <w:right w:val="single" w:sz="4" w:space="0" w:color="auto"/>
            </w:tcBorders>
            <w:shd w:val="clear" w:color="auto" w:fill="auto"/>
            <w:vAlign w:val="center"/>
          </w:tcPr>
          <w:p w14:paraId="639CFB3B"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85EF03C"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0.67</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D32F38F" w14:textId="77777777" w:rsidR="005E1E49" w:rsidRPr="003C7625"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0750D" w:rsidRPr="0010750D">
              <w:rPr>
                <w:rFonts w:eastAsiaTheme="majorEastAsia" w:cstheme="majorBidi"/>
                <w:bCs/>
                <w:vertAlign w:val="superscript"/>
              </w:rPr>
              <w:t>3</w:t>
            </w:r>
          </w:p>
        </w:tc>
      </w:tr>
      <w:tr w:rsidR="00147F75" w:rsidRPr="003C7625" w14:paraId="7198C384" w14:textId="77777777" w:rsidTr="00543B3E">
        <w:tc>
          <w:tcPr>
            <w:tcW w:w="9017" w:type="dxa"/>
            <w:gridSpan w:val="4"/>
            <w:tcBorders>
              <w:top w:val="single" w:sz="4" w:space="0" w:color="auto"/>
              <w:bottom w:val="single" w:sz="4" w:space="0" w:color="auto"/>
              <w:right w:val="single" w:sz="4" w:space="0" w:color="auto"/>
            </w:tcBorders>
          </w:tcPr>
          <w:p w14:paraId="4F6F0828" w14:textId="77777777" w:rsidR="00147F75" w:rsidRPr="003C7625" w:rsidRDefault="00147F75" w:rsidP="00147F75">
            <w:pPr>
              <w:pStyle w:val="Tabletext0"/>
              <w:rPr>
                <w:rFonts w:eastAsiaTheme="majorEastAsia" w:cstheme="majorBidi"/>
                <w:b/>
              </w:rPr>
            </w:pPr>
            <w:r w:rsidRPr="003C7625">
              <w:rPr>
                <w:rFonts w:eastAsiaTheme="majorEastAsia" w:cstheme="majorBidi"/>
                <w:b/>
              </w:rPr>
              <w:t>Overall survival convergence and HSCT rates (base case: linear convergence starting from 5 years and converging at 25 years, applied to MCM log-normal survival curves; pooled HSCT rates in remission and refractory patients, individual arm rates in relapsed patients)</w:t>
            </w:r>
            <w:r w:rsidR="003C7625" w:rsidRPr="003C7625">
              <w:rPr>
                <w:rFonts w:eastAsiaTheme="majorEastAsia" w:cstheme="majorBidi"/>
                <w:b/>
              </w:rPr>
              <w:t xml:space="preserve"> </w:t>
            </w:r>
            <w:r w:rsidR="003C7625" w:rsidRPr="003C7625">
              <w:rPr>
                <w:rFonts w:eastAsiaTheme="majorEastAsia" w:cstheme="majorBidi"/>
                <w:vertAlign w:val="superscript"/>
              </w:rPr>
              <w:t>a</w:t>
            </w:r>
          </w:p>
        </w:tc>
      </w:tr>
      <w:tr w:rsidR="0052001C" w:rsidRPr="003C7625" w14:paraId="7564CB19" w14:textId="77777777" w:rsidTr="0052001C">
        <w:tc>
          <w:tcPr>
            <w:tcW w:w="4531" w:type="dxa"/>
            <w:hideMark/>
          </w:tcPr>
          <w:p w14:paraId="0C9188C1" w14:textId="77777777" w:rsidR="0052001C" w:rsidRPr="003C7625" w:rsidRDefault="0052001C">
            <w:pPr>
              <w:rPr>
                <w:rFonts w:ascii="Arial Narrow" w:eastAsiaTheme="minorHAnsi" w:hAnsi="Arial Narrow" w:cs="Calibri"/>
                <w:sz w:val="20"/>
                <w:szCs w:val="20"/>
                <w:lang w:eastAsia="en-US"/>
              </w:rPr>
            </w:pPr>
            <w:r w:rsidRPr="003C7625">
              <w:rPr>
                <w:rFonts w:ascii="Arial Narrow" w:eastAsiaTheme="minorHAnsi" w:hAnsi="Arial Narrow"/>
                <w:sz w:val="20"/>
                <w:szCs w:val="20"/>
                <w:lang w:eastAsia="en-US"/>
              </w:rPr>
              <w:t>Pooled HSCT rates and OS convergence starting at 4 years and converging by 10 years</w:t>
            </w:r>
          </w:p>
        </w:tc>
        <w:tc>
          <w:tcPr>
            <w:tcW w:w="1495" w:type="dxa"/>
            <w:hideMark/>
          </w:tcPr>
          <w:p w14:paraId="463819DF" w14:textId="77777777" w:rsidR="0052001C" w:rsidRPr="00FF0EA4" w:rsidRDefault="00FF0EA4">
            <w:pPr>
              <w:jc w:val="center"/>
              <w:rPr>
                <w:rFonts w:ascii="Arial Narrow" w:eastAsiaTheme="minorHAnsi" w:hAnsi="Arial Narrow"/>
                <w:sz w:val="20"/>
                <w:szCs w:val="20"/>
                <w:highlight w:val="black"/>
                <w:lang w:eastAsia="en-US"/>
              </w:rPr>
            </w:pPr>
            <w:r>
              <w:rPr>
                <w:rFonts w:ascii="Arial Narrow" w:eastAsiaTheme="minorHAnsi" w:hAnsi="Arial Narrow"/>
                <w:noProof/>
                <w:color w:val="000000"/>
                <w:sz w:val="20"/>
                <w:szCs w:val="20"/>
                <w:highlight w:val="black"/>
                <w:lang w:eastAsia="en-US"/>
              </w:rPr>
              <w:t>'''''''''''''''''</w:t>
            </w:r>
          </w:p>
        </w:tc>
        <w:tc>
          <w:tcPr>
            <w:tcW w:w="1495" w:type="dxa"/>
            <w:hideMark/>
          </w:tcPr>
          <w:p w14:paraId="71455DF8" w14:textId="77777777" w:rsidR="0052001C" w:rsidRPr="003C7625" w:rsidRDefault="0052001C">
            <w:pPr>
              <w:jc w:val="center"/>
              <w:rPr>
                <w:rFonts w:ascii="Arial Narrow" w:eastAsiaTheme="minorHAnsi" w:hAnsi="Arial Narrow"/>
                <w:sz w:val="20"/>
                <w:szCs w:val="20"/>
                <w:lang w:eastAsia="en-US"/>
              </w:rPr>
            </w:pPr>
            <w:r w:rsidRPr="003C7625">
              <w:rPr>
                <w:rFonts w:ascii="Arial Narrow" w:eastAsiaTheme="minorHAnsi" w:hAnsi="Arial Narrow"/>
                <w:sz w:val="20"/>
                <w:szCs w:val="20"/>
                <w:lang w:eastAsia="en-US"/>
              </w:rPr>
              <w:t>0.46</w:t>
            </w:r>
          </w:p>
        </w:tc>
        <w:tc>
          <w:tcPr>
            <w:tcW w:w="1496" w:type="dxa"/>
            <w:hideMark/>
          </w:tcPr>
          <w:p w14:paraId="0D32EAC2" w14:textId="77777777" w:rsidR="0052001C" w:rsidRPr="003C7625" w:rsidRDefault="00FF0EA4">
            <w:pPr>
              <w:jc w:val="center"/>
              <w:rPr>
                <w:rFonts w:ascii="Arial Narrow" w:eastAsiaTheme="minorHAnsi" w:hAnsi="Arial Narrow"/>
                <w:sz w:val="20"/>
                <w:szCs w:val="20"/>
                <w:lang w:eastAsia="en-US"/>
              </w:rPr>
            </w:pPr>
            <w:r>
              <w:rPr>
                <w:rFonts w:ascii="Arial Narrow" w:eastAsiaTheme="minorHAnsi" w:hAnsi="Arial Narrow"/>
                <w:noProof/>
                <w:color w:val="000000"/>
                <w:sz w:val="20"/>
                <w:szCs w:val="20"/>
                <w:highlight w:val="black"/>
                <w:lang w:eastAsia="en-US"/>
              </w:rPr>
              <w:t>'''''''''''''''''''''</w:t>
            </w:r>
            <w:r w:rsidR="0010750D" w:rsidRPr="0010750D">
              <w:rPr>
                <w:rFonts w:ascii="Arial Narrow" w:eastAsiaTheme="majorEastAsia" w:hAnsi="Arial Narrow" w:cstheme="majorBidi"/>
                <w:bCs/>
                <w:sz w:val="20"/>
                <w:vertAlign w:val="superscript"/>
              </w:rPr>
              <w:t>5</w:t>
            </w:r>
          </w:p>
        </w:tc>
      </w:tr>
      <w:tr w:rsidR="0052001C" w:rsidRPr="003C7625" w14:paraId="4B24FBB5" w14:textId="77777777" w:rsidTr="0052001C">
        <w:tc>
          <w:tcPr>
            <w:tcW w:w="4531" w:type="dxa"/>
            <w:hideMark/>
          </w:tcPr>
          <w:p w14:paraId="36D067E2" w14:textId="77777777" w:rsidR="0052001C" w:rsidRPr="003C7625" w:rsidRDefault="0052001C">
            <w:pPr>
              <w:rPr>
                <w:rFonts w:ascii="Arial Narrow" w:eastAsiaTheme="minorHAnsi" w:hAnsi="Arial Narrow"/>
                <w:sz w:val="20"/>
                <w:szCs w:val="20"/>
                <w:lang w:eastAsia="en-US"/>
              </w:rPr>
            </w:pPr>
            <w:bookmarkStart w:id="35" w:name="_Hlk88601893"/>
            <w:r w:rsidRPr="003C7625">
              <w:rPr>
                <w:rFonts w:ascii="Arial Narrow" w:eastAsiaTheme="minorHAnsi" w:hAnsi="Arial Narrow"/>
                <w:sz w:val="20"/>
                <w:szCs w:val="20"/>
                <w:lang w:eastAsia="en-US"/>
              </w:rPr>
              <w:t>Pooled HSCT rates and OS convergence starting at 4 years and converging by 15 years</w:t>
            </w:r>
            <w:bookmarkEnd w:id="35"/>
          </w:p>
        </w:tc>
        <w:tc>
          <w:tcPr>
            <w:tcW w:w="1495" w:type="dxa"/>
            <w:hideMark/>
          </w:tcPr>
          <w:p w14:paraId="742E0EDB" w14:textId="77777777" w:rsidR="0052001C" w:rsidRPr="00FF0EA4" w:rsidRDefault="00FF0EA4">
            <w:pPr>
              <w:jc w:val="center"/>
              <w:rPr>
                <w:rFonts w:ascii="Arial Narrow" w:eastAsiaTheme="minorHAnsi" w:hAnsi="Arial Narrow"/>
                <w:sz w:val="20"/>
                <w:szCs w:val="20"/>
                <w:highlight w:val="black"/>
                <w:lang w:eastAsia="en-US"/>
              </w:rPr>
            </w:pPr>
            <w:r>
              <w:rPr>
                <w:rFonts w:ascii="Arial Narrow" w:eastAsiaTheme="minorHAnsi" w:hAnsi="Arial Narrow"/>
                <w:noProof/>
                <w:color w:val="000000"/>
                <w:sz w:val="20"/>
                <w:szCs w:val="20"/>
                <w:highlight w:val="black"/>
                <w:lang w:eastAsia="en-US"/>
              </w:rPr>
              <w:t>'''''''''''''''''''''</w:t>
            </w:r>
          </w:p>
        </w:tc>
        <w:tc>
          <w:tcPr>
            <w:tcW w:w="1495" w:type="dxa"/>
            <w:hideMark/>
          </w:tcPr>
          <w:p w14:paraId="25FCEBE2" w14:textId="77777777" w:rsidR="0052001C" w:rsidRPr="003C7625" w:rsidRDefault="0052001C">
            <w:pPr>
              <w:jc w:val="center"/>
              <w:rPr>
                <w:rFonts w:ascii="Arial Narrow" w:eastAsiaTheme="minorHAnsi" w:hAnsi="Arial Narrow"/>
                <w:sz w:val="20"/>
                <w:szCs w:val="20"/>
                <w:lang w:eastAsia="en-US"/>
              </w:rPr>
            </w:pPr>
            <w:r w:rsidRPr="003C7625">
              <w:rPr>
                <w:rFonts w:ascii="Arial Narrow" w:eastAsiaTheme="minorHAnsi" w:hAnsi="Arial Narrow"/>
                <w:sz w:val="20"/>
                <w:szCs w:val="20"/>
                <w:lang w:eastAsia="en-US"/>
              </w:rPr>
              <w:t>0.61</w:t>
            </w:r>
          </w:p>
        </w:tc>
        <w:tc>
          <w:tcPr>
            <w:tcW w:w="1496" w:type="dxa"/>
            <w:hideMark/>
          </w:tcPr>
          <w:p w14:paraId="72F20E8C" w14:textId="77777777" w:rsidR="0052001C" w:rsidRPr="0010750D" w:rsidRDefault="00FF0EA4">
            <w:pPr>
              <w:jc w:val="center"/>
              <w:rPr>
                <w:rFonts w:ascii="Arial Narrow" w:eastAsiaTheme="minorHAnsi" w:hAnsi="Arial Narrow"/>
                <w:sz w:val="20"/>
                <w:szCs w:val="20"/>
                <w:vertAlign w:val="superscript"/>
                <w:lang w:eastAsia="en-US"/>
              </w:rPr>
            </w:pPr>
            <w:r>
              <w:rPr>
                <w:rFonts w:ascii="Arial Narrow" w:eastAsiaTheme="minorHAnsi" w:hAnsi="Arial Narrow"/>
                <w:noProof/>
                <w:color w:val="000000"/>
                <w:sz w:val="20"/>
                <w:szCs w:val="20"/>
                <w:highlight w:val="black"/>
                <w:lang w:eastAsia="en-US"/>
              </w:rPr>
              <w:t>'''''''''''''''''''''</w:t>
            </w:r>
            <w:r w:rsidR="0010750D" w:rsidRPr="0010750D">
              <w:rPr>
                <w:rFonts w:ascii="Arial Narrow" w:eastAsiaTheme="majorEastAsia" w:hAnsi="Arial Narrow" w:cstheme="majorBidi"/>
                <w:bCs/>
                <w:sz w:val="20"/>
                <w:vertAlign w:val="superscript"/>
              </w:rPr>
              <w:t>3</w:t>
            </w:r>
          </w:p>
        </w:tc>
      </w:tr>
      <w:tr w:rsidR="005E1E49" w:rsidRPr="003C7625" w14:paraId="7A199F56" w14:textId="77777777" w:rsidTr="00CA3DD2">
        <w:tc>
          <w:tcPr>
            <w:tcW w:w="9017" w:type="dxa"/>
            <w:gridSpan w:val="4"/>
            <w:tcBorders>
              <w:top w:val="single" w:sz="4" w:space="0" w:color="auto"/>
              <w:bottom w:val="single" w:sz="4" w:space="0" w:color="auto"/>
              <w:right w:val="single" w:sz="4" w:space="0" w:color="auto"/>
            </w:tcBorders>
          </w:tcPr>
          <w:p w14:paraId="64D9297D" w14:textId="77777777" w:rsidR="005E1E49" w:rsidRPr="003C7625" w:rsidRDefault="005E1E49" w:rsidP="00CA3DD2">
            <w:pPr>
              <w:pStyle w:val="Tabletext0"/>
              <w:rPr>
                <w:rFonts w:eastAsiaTheme="majorEastAsia" w:cstheme="majorBidi"/>
                <w:b/>
              </w:rPr>
            </w:pPr>
            <w:r w:rsidRPr="003C7625">
              <w:rPr>
                <w:rFonts w:eastAsiaTheme="majorEastAsia" w:cstheme="majorBidi"/>
                <w:b/>
              </w:rPr>
              <w:t>HSCT cure rate (base case: 42.2%)</w:t>
            </w:r>
            <w:r w:rsidR="003C7625" w:rsidRPr="003C7625">
              <w:rPr>
                <w:rFonts w:eastAsiaTheme="majorEastAsia" w:cstheme="majorBidi"/>
                <w:b/>
              </w:rPr>
              <w:t xml:space="preserve"> </w:t>
            </w:r>
            <w:r w:rsidR="003C7625" w:rsidRPr="003C7625">
              <w:rPr>
                <w:rFonts w:eastAsiaTheme="majorEastAsia" w:cstheme="majorBidi"/>
                <w:vertAlign w:val="superscript"/>
              </w:rPr>
              <w:t>a</w:t>
            </w:r>
          </w:p>
        </w:tc>
      </w:tr>
      <w:tr w:rsidR="005E1E49" w:rsidRPr="003C7625" w14:paraId="7540D125" w14:textId="77777777" w:rsidTr="00CA3DD2">
        <w:tc>
          <w:tcPr>
            <w:tcW w:w="4531" w:type="dxa"/>
            <w:tcBorders>
              <w:top w:val="single" w:sz="4" w:space="0" w:color="auto"/>
              <w:bottom w:val="single" w:sz="4" w:space="0" w:color="auto"/>
            </w:tcBorders>
          </w:tcPr>
          <w:p w14:paraId="44029AE8"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Halved (21.1%)</w:t>
            </w:r>
          </w:p>
        </w:tc>
        <w:tc>
          <w:tcPr>
            <w:tcW w:w="1495" w:type="dxa"/>
            <w:tcBorders>
              <w:top w:val="single" w:sz="4" w:space="0" w:color="auto"/>
              <w:left w:val="nil"/>
              <w:bottom w:val="single" w:sz="4" w:space="0" w:color="auto"/>
              <w:right w:val="single" w:sz="4" w:space="0" w:color="auto"/>
            </w:tcBorders>
            <w:shd w:val="clear" w:color="auto" w:fill="auto"/>
            <w:vAlign w:val="center"/>
          </w:tcPr>
          <w:p w14:paraId="32FD8914"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3809317"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697B67E"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0750D">
              <w:rPr>
                <w:rFonts w:eastAsiaTheme="majorEastAsia" w:cstheme="majorBidi"/>
                <w:bCs/>
                <w:vertAlign w:val="superscript"/>
              </w:rPr>
              <w:t>4</w:t>
            </w:r>
          </w:p>
        </w:tc>
      </w:tr>
      <w:tr w:rsidR="005E1E49" w:rsidRPr="003C7625" w14:paraId="5E137F20" w14:textId="77777777" w:rsidTr="00CA3DD2">
        <w:tc>
          <w:tcPr>
            <w:tcW w:w="4531" w:type="dxa"/>
            <w:tcBorders>
              <w:top w:val="single" w:sz="4" w:space="0" w:color="auto"/>
              <w:bottom w:val="single" w:sz="4" w:space="0" w:color="auto"/>
            </w:tcBorders>
          </w:tcPr>
          <w:p w14:paraId="52A45C52" w14:textId="77777777" w:rsidR="005E1E49" w:rsidRPr="003C7625" w:rsidRDefault="005E1E49" w:rsidP="00CA3DD2">
            <w:pPr>
              <w:pStyle w:val="Tabletext0"/>
              <w:rPr>
                <w:rFonts w:eastAsiaTheme="majorEastAsia" w:cstheme="majorBidi"/>
                <w:bCs/>
              </w:rPr>
            </w:pPr>
            <w:r w:rsidRPr="003C7625">
              <w:rPr>
                <w:rFonts w:eastAsiaTheme="majorEastAsia" w:cstheme="majorBidi"/>
                <w:bCs/>
              </w:rPr>
              <w:t>Doubled (84.4%)</w:t>
            </w:r>
          </w:p>
        </w:tc>
        <w:tc>
          <w:tcPr>
            <w:tcW w:w="1495" w:type="dxa"/>
            <w:tcBorders>
              <w:top w:val="single" w:sz="4" w:space="0" w:color="auto"/>
              <w:left w:val="nil"/>
              <w:bottom w:val="single" w:sz="4" w:space="0" w:color="auto"/>
              <w:right w:val="single" w:sz="4" w:space="0" w:color="auto"/>
            </w:tcBorders>
            <w:shd w:val="clear" w:color="auto" w:fill="auto"/>
            <w:vAlign w:val="center"/>
          </w:tcPr>
          <w:p w14:paraId="06769494"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0E2E9CA1" w14:textId="77777777" w:rsidR="005E1E49" w:rsidRPr="003C7625" w:rsidRDefault="005E1E49" w:rsidP="00CA3DD2">
            <w:pPr>
              <w:pStyle w:val="Tabletext0"/>
              <w:jc w:val="center"/>
              <w:rPr>
                <w:rFonts w:eastAsiaTheme="majorEastAsia" w:cstheme="majorBidi"/>
                <w:bCs/>
              </w:rPr>
            </w:pPr>
            <w:r w:rsidRPr="003C7625">
              <w:rPr>
                <w:rFonts w:eastAsiaTheme="majorEastAsia" w:cstheme="majorBidi"/>
                <w:bCs/>
              </w:rPr>
              <w:t>0.63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2D3B7C12" w14:textId="77777777" w:rsidR="005E1E49" w:rsidRPr="00FF0EA4"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0750D">
              <w:rPr>
                <w:rFonts w:eastAsiaTheme="majorEastAsia" w:cstheme="majorBidi"/>
                <w:bCs/>
                <w:vertAlign w:val="superscript"/>
              </w:rPr>
              <w:t>4</w:t>
            </w:r>
          </w:p>
        </w:tc>
      </w:tr>
      <w:tr w:rsidR="005E1E49" w:rsidRPr="00610FCD" w14:paraId="156468E2" w14:textId="77777777" w:rsidTr="00CA3DD2">
        <w:tc>
          <w:tcPr>
            <w:tcW w:w="9017" w:type="dxa"/>
            <w:gridSpan w:val="4"/>
            <w:tcBorders>
              <w:top w:val="single" w:sz="4" w:space="0" w:color="auto"/>
              <w:bottom w:val="single" w:sz="4" w:space="0" w:color="auto"/>
              <w:right w:val="single" w:sz="4" w:space="0" w:color="auto"/>
            </w:tcBorders>
          </w:tcPr>
          <w:p w14:paraId="2D00DE7F" w14:textId="77777777" w:rsidR="005E1E49" w:rsidRPr="00610FCD" w:rsidRDefault="005E1E49" w:rsidP="00CA3DD2">
            <w:pPr>
              <w:pStyle w:val="Tabletext0"/>
              <w:rPr>
                <w:rFonts w:eastAsiaTheme="majorEastAsia" w:cstheme="majorBidi"/>
                <w:b/>
                <w:bCs/>
              </w:rPr>
            </w:pPr>
            <w:r w:rsidRPr="00610FCD">
              <w:rPr>
                <w:rFonts w:eastAsiaTheme="majorEastAsia" w:cstheme="majorBidi"/>
                <w:b/>
                <w:bCs/>
              </w:rPr>
              <w:t>Non-curative therapy and BSC costs in relapsed or refractory patients (base case using pooled trial data: relapsed patients receive 11.8 months non-curative therapy and 10.3 months BSC; refractory patients receive 9.0</w:t>
            </w:r>
            <w:r w:rsidR="003D6155">
              <w:rPr>
                <w:rFonts w:eastAsiaTheme="majorEastAsia" w:cstheme="majorBidi"/>
                <w:b/>
                <w:bCs/>
              </w:rPr>
              <w:t> </w:t>
            </w:r>
            <w:r w:rsidRPr="00610FCD">
              <w:rPr>
                <w:rFonts w:eastAsiaTheme="majorEastAsia" w:cstheme="majorBidi"/>
                <w:b/>
                <w:bCs/>
              </w:rPr>
              <w:t>months non-curative therapy and 7.5 months BSC)</w:t>
            </w:r>
          </w:p>
        </w:tc>
      </w:tr>
      <w:tr w:rsidR="005E1E49" w:rsidRPr="00610FCD" w14:paraId="7D087806" w14:textId="77777777" w:rsidTr="00CA3DD2">
        <w:tc>
          <w:tcPr>
            <w:tcW w:w="4531" w:type="dxa"/>
            <w:tcBorders>
              <w:top w:val="single" w:sz="4" w:space="0" w:color="auto"/>
              <w:bottom w:val="single" w:sz="4" w:space="0" w:color="auto"/>
            </w:tcBorders>
          </w:tcPr>
          <w:p w14:paraId="4818692A" w14:textId="77777777" w:rsidR="005E1E49" w:rsidRPr="00610FCD" w:rsidRDefault="005E1E49" w:rsidP="00CA3DD2">
            <w:pPr>
              <w:pStyle w:val="Tabletext0"/>
              <w:rPr>
                <w:rFonts w:eastAsiaTheme="majorEastAsia" w:cstheme="majorBidi"/>
                <w:bCs/>
              </w:rPr>
            </w:pPr>
            <w:r w:rsidRPr="00610FCD">
              <w:rPr>
                <w:rFonts w:eastAsiaTheme="majorEastAsia" w:cstheme="majorBidi"/>
                <w:bCs/>
              </w:rPr>
              <w:t xml:space="preserve">Based on individual arm data </w:t>
            </w:r>
          </w:p>
          <w:p w14:paraId="6B873989" w14:textId="77777777" w:rsidR="009F100C" w:rsidRPr="00610FCD" w:rsidRDefault="005E1E49" w:rsidP="00CA3DD2">
            <w:pPr>
              <w:pStyle w:val="Tabletext0"/>
              <w:rPr>
                <w:rFonts w:eastAsiaTheme="majorEastAsia" w:cstheme="majorBidi"/>
                <w:bCs/>
              </w:rPr>
            </w:pPr>
            <w:r w:rsidRPr="00610FCD">
              <w:rPr>
                <w:rFonts w:eastAsiaTheme="majorEastAsia" w:cstheme="majorBidi"/>
                <w:bCs/>
              </w:rPr>
              <w:t xml:space="preserve">GO+DA: relapsed patients </w:t>
            </w:r>
            <w:r w:rsidR="009F100C" w:rsidRPr="00610FCD">
              <w:rPr>
                <w:rFonts w:eastAsiaTheme="majorEastAsia" w:cstheme="majorBidi"/>
                <w:bCs/>
              </w:rPr>
              <w:t>(</w:t>
            </w:r>
            <w:r w:rsidRPr="00610FCD">
              <w:rPr>
                <w:rFonts w:eastAsiaTheme="majorEastAsia" w:cstheme="majorBidi"/>
                <w:bCs/>
              </w:rPr>
              <w:t>12.5 months non-curative therapy and 11.0 months BSC</w:t>
            </w:r>
            <w:r w:rsidR="009F100C" w:rsidRPr="00610FCD">
              <w:rPr>
                <w:rFonts w:eastAsiaTheme="majorEastAsia" w:cstheme="majorBidi"/>
                <w:bCs/>
              </w:rPr>
              <w:t>)</w:t>
            </w:r>
            <w:r w:rsidRPr="00610FCD">
              <w:rPr>
                <w:rFonts w:eastAsiaTheme="majorEastAsia" w:cstheme="majorBidi"/>
                <w:bCs/>
              </w:rPr>
              <w:t xml:space="preserve">; refractory patients </w:t>
            </w:r>
            <w:r w:rsidR="009F100C" w:rsidRPr="00610FCD">
              <w:rPr>
                <w:rFonts w:eastAsiaTheme="majorEastAsia" w:cstheme="majorBidi"/>
                <w:bCs/>
              </w:rPr>
              <w:t>(</w:t>
            </w:r>
            <w:r w:rsidRPr="00610FCD">
              <w:rPr>
                <w:rFonts w:eastAsiaTheme="majorEastAsia" w:cstheme="majorBidi"/>
                <w:bCs/>
              </w:rPr>
              <w:t>11.7</w:t>
            </w:r>
            <w:r w:rsidR="003D6155">
              <w:rPr>
                <w:rFonts w:eastAsiaTheme="majorEastAsia" w:cstheme="majorBidi"/>
                <w:bCs/>
              </w:rPr>
              <w:t> </w:t>
            </w:r>
            <w:r w:rsidRPr="00610FCD">
              <w:rPr>
                <w:rFonts w:eastAsiaTheme="majorEastAsia" w:cstheme="majorBidi"/>
                <w:bCs/>
              </w:rPr>
              <w:t>months non-curative therapy and 10.2 months BSC</w:t>
            </w:r>
            <w:r w:rsidR="009F100C" w:rsidRPr="00610FCD">
              <w:rPr>
                <w:rFonts w:eastAsiaTheme="majorEastAsia" w:cstheme="majorBidi"/>
                <w:bCs/>
              </w:rPr>
              <w:t>)</w:t>
            </w:r>
          </w:p>
          <w:p w14:paraId="3DB72F56" w14:textId="77777777" w:rsidR="005E1E49" w:rsidRPr="00610FCD" w:rsidRDefault="005E1E49" w:rsidP="00CA3DD2">
            <w:pPr>
              <w:pStyle w:val="Tabletext0"/>
              <w:rPr>
                <w:rFonts w:eastAsiaTheme="majorEastAsia" w:cstheme="majorBidi"/>
                <w:bCs/>
              </w:rPr>
            </w:pPr>
            <w:r w:rsidRPr="00610FCD">
              <w:rPr>
                <w:rFonts w:eastAsiaTheme="majorEastAsia" w:cstheme="majorBidi"/>
                <w:bCs/>
              </w:rPr>
              <w:t xml:space="preserve">DA: relapsed patients </w:t>
            </w:r>
            <w:r w:rsidR="009F100C" w:rsidRPr="00610FCD">
              <w:rPr>
                <w:rFonts w:eastAsiaTheme="majorEastAsia" w:cstheme="majorBidi"/>
                <w:bCs/>
              </w:rPr>
              <w:t>(</w:t>
            </w:r>
            <w:r w:rsidRPr="00610FCD">
              <w:rPr>
                <w:rFonts w:eastAsiaTheme="majorEastAsia" w:cstheme="majorBidi"/>
                <w:bCs/>
              </w:rPr>
              <w:t>11.1 months non-curative therapy and 9.6 months BSC</w:t>
            </w:r>
            <w:r w:rsidR="009F100C" w:rsidRPr="00610FCD">
              <w:rPr>
                <w:rFonts w:eastAsiaTheme="majorEastAsia" w:cstheme="majorBidi"/>
                <w:bCs/>
              </w:rPr>
              <w:t>)</w:t>
            </w:r>
            <w:r w:rsidRPr="00610FCD">
              <w:rPr>
                <w:rFonts w:eastAsiaTheme="majorEastAsia" w:cstheme="majorBidi"/>
                <w:bCs/>
              </w:rPr>
              <w:t>; refractory patients</w:t>
            </w:r>
            <w:r w:rsidR="009F100C" w:rsidRPr="00610FCD">
              <w:rPr>
                <w:rFonts w:eastAsiaTheme="majorEastAsia" w:cstheme="majorBidi"/>
                <w:bCs/>
              </w:rPr>
              <w:t xml:space="preserve"> (</w:t>
            </w:r>
            <w:r w:rsidRPr="00610FCD">
              <w:rPr>
                <w:rFonts w:eastAsiaTheme="majorEastAsia" w:cstheme="majorBidi"/>
                <w:bCs/>
              </w:rPr>
              <w:t>5.9 months non-curative therapy and 4.4 months BSC</w:t>
            </w:r>
            <w:r w:rsidR="009F100C" w:rsidRPr="00610FCD">
              <w:rPr>
                <w:rFonts w:eastAsiaTheme="majorEastAsia" w:cstheme="majorBidi"/>
                <w:bCs/>
              </w:rPr>
              <w:t>)</w:t>
            </w:r>
          </w:p>
        </w:tc>
        <w:tc>
          <w:tcPr>
            <w:tcW w:w="1495" w:type="dxa"/>
            <w:tcBorders>
              <w:top w:val="single" w:sz="4" w:space="0" w:color="auto"/>
              <w:left w:val="nil"/>
              <w:bottom w:val="single" w:sz="4" w:space="0" w:color="auto"/>
              <w:right w:val="single" w:sz="4" w:space="0" w:color="auto"/>
            </w:tcBorders>
            <w:shd w:val="clear" w:color="auto" w:fill="auto"/>
            <w:vAlign w:val="center"/>
          </w:tcPr>
          <w:p w14:paraId="379FC5BE" w14:textId="77777777" w:rsidR="005E1E49" w:rsidRPr="00FF0EA4" w:rsidRDefault="00FF0EA4" w:rsidP="00CA3DD2">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0771D927" w14:textId="77777777" w:rsidR="005E1E49" w:rsidRPr="00610FCD" w:rsidRDefault="005E1E49" w:rsidP="00CA3DD2">
            <w:pPr>
              <w:pStyle w:val="Tabletext0"/>
              <w:jc w:val="center"/>
              <w:rPr>
                <w:rFonts w:eastAsiaTheme="majorEastAsia" w:cstheme="majorBidi"/>
                <w:bCs/>
              </w:rPr>
            </w:pPr>
            <w:r w:rsidRPr="00610FCD">
              <w:rPr>
                <w:rFonts w:eastAsiaTheme="majorEastAsia" w:cstheme="majorBidi"/>
                <w:bCs/>
              </w:rPr>
              <w:t>0.65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5A45974" w14:textId="77777777" w:rsidR="005E1E49" w:rsidRPr="00610FCD" w:rsidRDefault="00FF0EA4" w:rsidP="00CA3DD2">
            <w:pPr>
              <w:pStyle w:val="Tabletext0"/>
              <w:jc w:val="center"/>
              <w:rPr>
                <w:rFonts w:eastAsiaTheme="majorEastAsia" w:cstheme="majorBidi"/>
                <w:bCs/>
              </w:rPr>
            </w:pPr>
            <w:r>
              <w:rPr>
                <w:rFonts w:eastAsiaTheme="majorEastAsia" w:cstheme="majorBidi"/>
                <w:bCs/>
                <w:noProof/>
                <w:color w:val="000000"/>
                <w:highlight w:val="black"/>
              </w:rPr>
              <w:t>''''''''''''''''''''</w:t>
            </w:r>
            <w:r w:rsidR="0010750D" w:rsidRPr="0010750D">
              <w:rPr>
                <w:rFonts w:eastAsiaTheme="majorEastAsia" w:cstheme="majorBidi"/>
                <w:bCs/>
                <w:vertAlign w:val="superscript"/>
              </w:rPr>
              <w:t>3</w:t>
            </w:r>
          </w:p>
        </w:tc>
      </w:tr>
      <w:tr w:rsidR="00921E60" w:rsidRPr="00610FCD" w14:paraId="7544F36E" w14:textId="77777777" w:rsidTr="00484063">
        <w:tc>
          <w:tcPr>
            <w:tcW w:w="9017" w:type="dxa"/>
            <w:gridSpan w:val="4"/>
            <w:tcBorders>
              <w:bottom w:val="single" w:sz="4" w:space="0" w:color="auto"/>
            </w:tcBorders>
          </w:tcPr>
          <w:p w14:paraId="48F189EC" w14:textId="77777777" w:rsidR="00921E60" w:rsidRPr="00610FCD" w:rsidRDefault="00921E60" w:rsidP="00484063">
            <w:pPr>
              <w:pStyle w:val="Tabletext0"/>
              <w:rPr>
                <w:rFonts w:eastAsiaTheme="majorEastAsia" w:cstheme="majorBidi"/>
                <w:b/>
              </w:rPr>
            </w:pPr>
            <w:r w:rsidRPr="00610FCD">
              <w:rPr>
                <w:rFonts w:eastAsiaTheme="majorEastAsia" w:cstheme="majorBidi"/>
                <w:b/>
              </w:rPr>
              <w:t>Discount rate (base case 5%)</w:t>
            </w:r>
          </w:p>
        </w:tc>
      </w:tr>
      <w:tr w:rsidR="00921E60" w:rsidRPr="00610FCD" w14:paraId="042A4467" w14:textId="77777777" w:rsidTr="00484063">
        <w:tc>
          <w:tcPr>
            <w:tcW w:w="4531" w:type="dxa"/>
            <w:tcBorders>
              <w:top w:val="single" w:sz="4" w:space="0" w:color="auto"/>
              <w:bottom w:val="single" w:sz="4" w:space="0" w:color="auto"/>
            </w:tcBorders>
          </w:tcPr>
          <w:p w14:paraId="713BB4D9" w14:textId="77777777" w:rsidR="00921E60" w:rsidRPr="00610FCD" w:rsidRDefault="00921E60" w:rsidP="00484063">
            <w:pPr>
              <w:pStyle w:val="Tabletext0"/>
              <w:rPr>
                <w:rFonts w:eastAsiaTheme="majorEastAsia" w:cstheme="majorBidi"/>
                <w:bCs/>
              </w:rPr>
            </w:pPr>
            <w:r w:rsidRPr="00610FCD">
              <w:rPr>
                <w:rFonts w:eastAsiaTheme="majorEastAsia" w:cstheme="majorBidi"/>
                <w:bCs/>
              </w:rPr>
              <w:t>0%</w:t>
            </w:r>
          </w:p>
        </w:tc>
        <w:tc>
          <w:tcPr>
            <w:tcW w:w="1495" w:type="dxa"/>
            <w:tcBorders>
              <w:top w:val="single" w:sz="4" w:space="0" w:color="auto"/>
              <w:bottom w:val="single" w:sz="4" w:space="0" w:color="auto"/>
            </w:tcBorders>
          </w:tcPr>
          <w:p w14:paraId="1A95ECA2" w14:textId="77777777" w:rsidR="00921E60" w:rsidRPr="00FF0EA4" w:rsidRDefault="00FF0EA4" w:rsidP="00484063">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bottom w:val="single" w:sz="4" w:space="0" w:color="auto"/>
            </w:tcBorders>
          </w:tcPr>
          <w:p w14:paraId="04A3C9D0" w14:textId="77777777" w:rsidR="00921E60" w:rsidRPr="00610FCD" w:rsidRDefault="00921E60" w:rsidP="00484063">
            <w:pPr>
              <w:pStyle w:val="Tabletext0"/>
              <w:jc w:val="center"/>
              <w:rPr>
                <w:rFonts w:eastAsiaTheme="majorEastAsia" w:cstheme="majorBidi"/>
                <w:bCs/>
              </w:rPr>
            </w:pPr>
            <w:r w:rsidRPr="00610FCD">
              <w:rPr>
                <w:rFonts w:eastAsiaTheme="majorEastAsia" w:cstheme="majorBidi"/>
                <w:bCs/>
              </w:rPr>
              <w:t>0.88</w:t>
            </w:r>
          </w:p>
        </w:tc>
        <w:tc>
          <w:tcPr>
            <w:tcW w:w="1496" w:type="dxa"/>
            <w:tcBorders>
              <w:top w:val="single" w:sz="4" w:space="0" w:color="auto"/>
              <w:bottom w:val="single" w:sz="4" w:space="0" w:color="auto"/>
            </w:tcBorders>
          </w:tcPr>
          <w:p w14:paraId="1A81E491" w14:textId="77777777" w:rsidR="00921E60" w:rsidRPr="00FF0EA4" w:rsidRDefault="00FF0EA4" w:rsidP="00484063">
            <w:pPr>
              <w:pStyle w:val="Tabletext0"/>
              <w:jc w:val="center"/>
              <w:rPr>
                <w:rFonts w:eastAsiaTheme="majorEastAsia" w:cstheme="majorBidi"/>
                <w:bCs/>
              </w:rPr>
            </w:pPr>
            <w:r>
              <w:rPr>
                <w:rFonts w:eastAsiaTheme="majorEastAsia" w:cstheme="majorBidi"/>
                <w:bCs/>
                <w:noProof/>
                <w:color w:val="000000"/>
                <w:highlight w:val="black"/>
              </w:rPr>
              <w:t>''''''''''''''''''</w:t>
            </w:r>
            <w:r w:rsidR="0010750D">
              <w:rPr>
                <w:rFonts w:eastAsiaTheme="majorEastAsia" w:cstheme="majorBidi"/>
                <w:bCs/>
                <w:vertAlign w:val="superscript"/>
              </w:rPr>
              <w:t>1</w:t>
            </w:r>
          </w:p>
        </w:tc>
      </w:tr>
      <w:tr w:rsidR="00921E60" w:rsidRPr="00610FCD" w14:paraId="1A8DAE4E" w14:textId="77777777" w:rsidTr="00484063">
        <w:tc>
          <w:tcPr>
            <w:tcW w:w="4531" w:type="dxa"/>
            <w:tcBorders>
              <w:top w:val="single" w:sz="4" w:space="0" w:color="auto"/>
              <w:bottom w:val="single" w:sz="4" w:space="0" w:color="auto"/>
            </w:tcBorders>
          </w:tcPr>
          <w:p w14:paraId="648EDFF5" w14:textId="77777777" w:rsidR="00921E60" w:rsidRPr="00610FCD" w:rsidRDefault="00921E60" w:rsidP="00484063">
            <w:pPr>
              <w:pStyle w:val="Tabletext0"/>
              <w:rPr>
                <w:rFonts w:eastAsiaTheme="majorEastAsia" w:cstheme="majorBidi"/>
                <w:bCs/>
              </w:rPr>
            </w:pPr>
            <w:r w:rsidRPr="00610FCD">
              <w:rPr>
                <w:rFonts w:eastAsiaTheme="majorEastAsia" w:cstheme="majorBidi"/>
                <w:bCs/>
              </w:rPr>
              <w:t>3.5%</w:t>
            </w:r>
          </w:p>
        </w:tc>
        <w:tc>
          <w:tcPr>
            <w:tcW w:w="1495" w:type="dxa"/>
            <w:tcBorders>
              <w:top w:val="single" w:sz="4" w:space="0" w:color="auto"/>
              <w:bottom w:val="single" w:sz="4" w:space="0" w:color="auto"/>
            </w:tcBorders>
          </w:tcPr>
          <w:p w14:paraId="5832B137" w14:textId="77777777" w:rsidR="00921E60" w:rsidRPr="00FF0EA4" w:rsidRDefault="00FF0EA4" w:rsidP="00484063">
            <w:pPr>
              <w:pStyle w:val="Tabletext0"/>
              <w:jc w:val="center"/>
              <w:rPr>
                <w:rFonts w:eastAsiaTheme="majorEastAsia" w:cstheme="majorBidi"/>
                <w:bCs/>
                <w:highlight w:val="black"/>
              </w:rPr>
            </w:pPr>
            <w:r>
              <w:rPr>
                <w:rFonts w:eastAsiaTheme="majorEastAsia" w:cstheme="majorBidi"/>
                <w:bCs/>
                <w:noProof/>
                <w:color w:val="000000"/>
                <w:highlight w:val="black"/>
              </w:rPr>
              <w:t>'''''''''''''''''</w:t>
            </w:r>
          </w:p>
        </w:tc>
        <w:tc>
          <w:tcPr>
            <w:tcW w:w="1495" w:type="dxa"/>
            <w:tcBorders>
              <w:top w:val="single" w:sz="4" w:space="0" w:color="auto"/>
              <w:bottom w:val="single" w:sz="4" w:space="0" w:color="auto"/>
            </w:tcBorders>
          </w:tcPr>
          <w:p w14:paraId="2BC56472" w14:textId="77777777" w:rsidR="00921E60" w:rsidRPr="00610FCD" w:rsidRDefault="00921E60" w:rsidP="00484063">
            <w:pPr>
              <w:pStyle w:val="Tabletext0"/>
              <w:jc w:val="center"/>
              <w:rPr>
                <w:rFonts w:eastAsiaTheme="majorEastAsia" w:cstheme="majorBidi"/>
                <w:bCs/>
              </w:rPr>
            </w:pPr>
            <w:r w:rsidRPr="00610FCD">
              <w:rPr>
                <w:rFonts w:eastAsiaTheme="majorEastAsia" w:cstheme="majorBidi"/>
                <w:bCs/>
              </w:rPr>
              <w:t>0.70</w:t>
            </w:r>
          </w:p>
        </w:tc>
        <w:tc>
          <w:tcPr>
            <w:tcW w:w="1496" w:type="dxa"/>
            <w:tcBorders>
              <w:top w:val="single" w:sz="4" w:space="0" w:color="auto"/>
              <w:bottom w:val="single" w:sz="4" w:space="0" w:color="auto"/>
            </w:tcBorders>
          </w:tcPr>
          <w:p w14:paraId="4EAB3E9B" w14:textId="77777777" w:rsidR="00921E60" w:rsidRPr="00FF0EA4" w:rsidRDefault="00FF0EA4" w:rsidP="00484063">
            <w:pPr>
              <w:pStyle w:val="Tabletext0"/>
              <w:jc w:val="center"/>
              <w:rPr>
                <w:rFonts w:eastAsiaTheme="majorEastAsia" w:cstheme="majorBidi"/>
                <w:bCs/>
              </w:rPr>
            </w:pPr>
            <w:r>
              <w:rPr>
                <w:rFonts w:eastAsiaTheme="majorEastAsia" w:cstheme="majorBidi"/>
                <w:bCs/>
                <w:noProof/>
                <w:color w:val="000000"/>
                <w:highlight w:val="black"/>
              </w:rPr>
              <w:t>''''''''''''''''''</w:t>
            </w:r>
            <w:r w:rsidR="0010750D">
              <w:rPr>
                <w:rFonts w:eastAsiaTheme="majorEastAsia" w:cstheme="majorBidi"/>
                <w:bCs/>
                <w:vertAlign w:val="superscript"/>
              </w:rPr>
              <w:t>1</w:t>
            </w:r>
          </w:p>
        </w:tc>
      </w:tr>
    </w:tbl>
    <w:p w14:paraId="4864B2B0" w14:textId="77777777" w:rsidR="005E1E49" w:rsidRPr="00610FCD" w:rsidRDefault="005E1E49" w:rsidP="005E1E49">
      <w:pPr>
        <w:pStyle w:val="TableFooter"/>
      </w:pPr>
      <w:r w:rsidRPr="00610FCD">
        <w:t xml:space="preserve">Source: Tables 3.92 and 3.93, p 269 of the resubmission and additional analyses conducted during the evaluation using the ‘210701_Mylotarg CEM_v7.2_Australia_PBAC_RESUBMISSION’ Excel workbook </w:t>
      </w:r>
    </w:p>
    <w:p w14:paraId="5A27E74C" w14:textId="77777777" w:rsidR="00A86E8B" w:rsidRDefault="003D6155" w:rsidP="00E54793">
      <w:pPr>
        <w:pStyle w:val="TableFooter"/>
        <w:rPr>
          <w:color w:val="3366FF"/>
        </w:rPr>
      </w:pPr>
      <w:r>
        <w:t>BSC, best supportive care,</w:t>
      </w:r>
      <w:r w:rsidR="005E1E49" w:rsidRPr="00610FCD">
        <w:t xml:space="preserve"> </w:t>
      </w:r>
      <w:r w:rsidR="002B1CAB">
        <w:t xml:space="preserve">DA, daunorubicin; Go, gemtuzumab; </w:t>
      </w:r>
      <w:r w:rsidR="005E1E49" w:rsidRPr="00610FCD">
        <w:t>HSCT, haematopoietic stem cell transplant; RFS, relapse-free survival; ICER, incremental cost-effectiveness ratio; MCM, mixture cure model; OS, overall survival; QALY, quality adjusted life year; RMST, restricted means survival time</w:t>
      </w:r>
      <w:r w:rsidR="00BC591F" w:rsidRPr="00610FCD">
        <w:rPr>
          <w:color w:val="3366FF"/>
        </w:rPr>
        <w:t xml:space="preserve"> </w:t>
      </w:r>
    </w:p>
    <w:p w14:paraId="47E134E3" w14:textId="77777777" w:rsidR="003C7625" w:rsidRDefault="003C7625" w:rsidP="00E54793">
      <w:pPr>
        <w:pStyle w:val="TableFooter"/>
        <w:rPr>
          <w:rFonts w:eastAsiaTheme="majorEastAsia" w:cstheme="majorBidi"/>
        </w:rPr>
      </w:pPr>
      <w:r w:rsidRPr="003C7625">
        <w:rPr>
          <w:rFonts w:eastAsiaTheme="majorEastAsia" w:cstheme="majorBidi"/>
          <w:vertAlign w:val="superscript"/>
        </w:rPr>
        <w:t xml:space="preserve">a </w:t>
      </w:r>
      <w:r w:rsidRPr="003C7625">
        <w:rPr>
          <w:rFonts w:eastAsiaTheme="majorEastAsia" w:cstheme="majorBidi"/>
        </w:rPr>
        <w:t>Analyses undertaken during evaluation</w:t>
      </w:r>
      <w:r w:rsidR="009772A8">
        <w:rPr>
          <w:rFonts w:eastAsiaTheme="majorEastAsia" w:cstheme="majorBidi"/>
        </w:rPr>
        <w:t xml:space="preserve"> and for the ESC advice</w:t>
      </w:r>
      <w:r>
        <w:rPr>
          <w:rFonts w:eastAsiaTheme="majorEastAsia" w:cstheme="majorBidi"/>
        </w:rPr>
        <w:t>.</w:t>
      </w:r>
    </w:p>
    <w:p w14:paraId="25B6BFFC" w14:textId="77777777" w:rsidR="00825EE4" w:rsidRPr="0010750D" w:rsidRDefault="00825EE4" w:rsidP="00E54793">
      <w:pPr>
        <w:pStyle w:val="TableFooter"/>
        <w:rPr>
          <w:rFonts w:eastAsiaTheme="majorEastAsia" w:cstheme="majorBidi"/>
          <w:i/>
        </w:rPr>
      </w:pPr>
      <w:r w:rsidRPr="0010750D">
        <w:rPr>
          <w:rFonts w:eastAsiaTheme="majorEastAsia" w:cstheme="majorBidi"/>
          <w:i/>
        </w:rPr>
        <w:t>The redacted values correspond to the following ranges:</w:t>
      </w:r>
    </w:p>
    <w:p w14:paraId="6EEFE004" w14:textId="77777777" w:rsidR="00825EE4" w:rsidRPr="0010750D" w:rsidRDefault="00825EE4" w:rsidP="00E54793">
      <w:pPr>
        <w:pStyle w:val="TableFooter"/>
        <w:rPr>
          <w:rFonts w:eastAsiaTheme="majorEastAsia" w:cstheme="majorBidi"/>
          <w:i/>
        </w:rPr>
      </w:pPr>
      <w:r w:rsidRPr="0010750D">
        <w:rPr>
          <w:rFonts w:eastAsiaTheme="majorEastAsia" w:cstheme="majorBidi"/>
          <w:i/>
          <w:vertAlign w:val="superscript"/>
        </w:rPr>
        <w:t>1</w:t>
      </w:r>
      <w:r w:rsidRPr="0010750D">
        <w:rPr>
          <w:rFonts w:eastAsiaTheme="majorEastAsia" w:cstheme="majorBidi"/>
          <w:i/>
        </w:rPr>
        <w:t xml:space="preserve"> $35,000 to &lt; $45,000</w:t>
      </w:r>
    </w:p>
    <w:p w14:paraId="0371DF82" w14:textId="77777777" w:rsidR="00825EE4" w:rsidRPr="0010750D" w:rsidRDefault="00825EE4" w:rsidP="00E54793">
      <w:pPr>
        <w:pStyle w:val="TableFooter"/>
        <w:rPr>
          <w:rFonts w:eastAsiaTheme="majorEastAsia" w:cstheme="majorBidi"/>
          <w:i/>
        </w:rPr>
      </w:pPr>
      <w:r w:rsidRPr="0010750D">
        <w:rPr>
          <w:rFonts w:eastAsiaTheme="majorEastAsia" w:cstheme="majorBidi"/>
          <w:i/>
          <w:vertAlign w:val="superscript"/>
        </w:rPr>
        <w:t>2</w:t>
      </w:r>
      <w:r w:rsidRPr="0010750D">
        <w:rPr>
          <w:rFonts w:eastAsiaTheme="majorEastAsia" w:cstheme="majorBidi"/>
          <w:i/>
        </w:rPr>
        <w:t xml:space="preserve"> $25,000 to &lt; $35,000</w:t>
      </w:r>
    </w:p>
    <w:p w14:paraId="429840FD" w14:textId="77777777" w:rsidR="00825EE4" w:rsidRPr="0010750D" w:rsidRDefault="00825EE4" w:rsidP="00E54793">
      <w:pPr>
        <w:pStyle w:val="TableFooter"/>
        <w:rPr>
          <w:rFonts w:eastAsiaTheme="majorEastAsia" w:cstheme="majorBidi"/>
          <w:i/>
        </w:rPr>
      </w:pPr>
      <w:r w:rsidRPr="0010750D">
        <w:rPr>
          <w:rFonts w:eastAsiaTheme="majorEastAsia" w:cstheme="majorBidi"/>
          <w:i/>
          <w:vertAlign w:val="superscript"/>
        </w:rPr>
        <w:t>3</w:t>
      </w:r>
      <w:r w:rsidRPr="0010750D">
        <w:rPr>
          <w:rFonts w:eastAsiaTheme="majorEastAsia" w:cstheme="majorBidi"/>
          <w:i/>
        </w:rPr>
        <w:t xml:space="preserve"> </w:t>
      </w:r>
      <w:r w:rsidR="0010750D" w:rsidRPr="0010750D">
        <w:rPr>
          <w:rFonts w:eastAsiaTheme="majorEastAsia" w:cstheme="majorBidi"/>
          <w:i/>
        </w:rPr>
        <w:softHyphen/>
        <w:t>$55,000 to &lt; $75,000</w:t>
      </w:r>
    </w:p>
    <w:p w14:paraId="6601FDAE" w14:textId="77777777" w:rsidR="0010750D" w:rsidRPr="0010750D" w:rsidRDefault="0010750D" w:rsidP="00E54793">
      <w:pPr>
        <w:pStyle w:val="TableFooter"/>
        <w:rPr>
          <w:rFonts w:eastAsiaTheme="majorEastAsia" w:cstheme="majorBidi"/>
          <w:i/>
        </w:rPr>
      </w:pPr>
      <w:r w:rsidRPr="0010750D">
        <w:rPr>
          <w:rFonts w:eastAsiaTheme="majorEastAsia" w:cstheme="majorBidi"/>
          <w:i/>
          <w:vertAlign w:val="superscript"/>
        </w:rPr>
        <w:t>4</w:t>
      </w:r>
      <w:r w:rsidRPr="0010750D">
        <w:rPr>
          <w:rFonts w:eastAsiaTheme="majorEastAsia" w:cstheme="majorBidi"/>
          <w:i/>
        </w:rPr>
        <w:t xml:space="preserve"> $45,000 to &lt; $55,000</w:t>
      </w:r>
    </w:p>
    <w:p w14:paraId="756DD8E5" w14:textId="77777777" w:rsidR="0010750D" w:rsidRDefault="0010750D" w:rsidP="00E54793">
      <w:pPr>
        <w:pStyle w:val="TableFooter"/>
        <w:rPr>
          <w:rFonts w:eastAsiaTheme="majorEastAsia" w:cstheme="majorBidi"/>
          <w:i/>
        </w:rPr>
      </w:pPr>
      <w:r w:rsidRPr="0010750D">
        <w:rPr>
          <w:rFonts w:eastAsiaTheme="majorEastAsia" w:cstheme="majorBidi"/>
          <w:i/>
          <w:vertAlign w:val="superscript"/>
        </w:rPr>
        <w:t>5</w:t>
      </w:r>
      <w:r w:rsidRPr="0010750D">
        <w:rPr>
          <w:rFonts w:eastAsiaTheme="majorEastAsia" w:cstheme="majorBidi"/>
          <w:i/>
        </w:rPr>
        <w:t xml:space="preserve"> $75,000 to &lt; $95,000</w:t>
      </w:r>
    </w:p>
    <w:p w14:paraId="7697798E" w14:textId="47FF1A49" w:rsidR="0010750D" w:rsidRPr="00D32B02" w:rsidRDefault="0025178B" w:rsidP="00E54793">
      <w:pPr>
        <w:pStyle w:val="TableFooter"/>
        <w:rPr>
          <w:rFonts w:eastAsiaTheme="majorEastAsia" w:cstheme="majorBidi"/>
          <w:i/>
        </w:rPr>
      </w:pPr>
      <w:r>
        <w:rPr>
          <w:rFonts w:eastAsiaTheme="majorEastAsia" w:cstheme="majorBidi"/>
          <w:i/>
          <w:vertAlign w:val="superscript"/>
        </w:rPr>
        <w:t>6</w:t>
      </w:r>
      <w:r>
        <w:rPr>
          <w:rFonts w:eastAsiaTheme="majorEastAsia" w:cstheme="majorBidi"/>
          <w:i/>
        </w:rPr>
        <w:t xml:space="preserve"> $95,000 to &lt; $115,000</w:t>
      </w:r>
    </w:p>
    <w:p w14:paraId="2C1F427C" w14:textId="77777777" w:rsidR="00C25D9C" w:rsidRPr="00610FCD" w:rsidRDefault="000107A8" w:rsidP="00BB732D">
      <w:pPr>
        <w:pStyle w:val="ExecSumBodyText"/>
      </w:pPr>
      <w:r w:rsidRPr="00610FCD">
        <w:t>The results were most sensitive to treatment effect (based on the whole trial population) and time horizon.</w:t>
      </w:r>
    </w:p>
    <w:p w14:paraId="4646594D" w14:textId="77777777" w:rsidR="000107A8" w:rsidRDefault="000107A8" w:rsidP="00BB732D">
      <w:pPr>
        <w:pStyle w:val="ExecSumBodyText"/>
        <w:rPr>
          <w:iCs/>
        </w:rPr>
      </w:pPr>
      <w:r w:rsidRPr="00610FCD">
        <w:t xml:space="preserve">The results were also sensitive to alternative start and end times for overall survival convergence. </w:t>
      </w:r>
      <w:r w:rsidRPr="00FB1983">
        <w:rPr>
          <w:iCs/>
        </w:rPr>
        <w:t>These analyses should be interpreted with caution given concerns with adjustments to overall survival without corresponding adjustments to relapse-free survival, and a clinically implausible interaction with statistical cure estimates underpinning the mixture cure models used for extrapolation.</w:t>
      </w:r>
    </w:p>
    <w:p w14:paraId="13DCB90A" w14:textId="6E4029F5" w:rsidR="00D65621" w:rsidRPr="003C7625" w:rsidRDefault="00A04C40" w:rsidP="00BB732D">
      <w:pPr>
        <w:pStyle w:val="ExecSumBodyText"/>
        <w:rPr>
          <w:iCs/>
        </w:rPr>
      </w:pPr>
      <w:bookmarkStart w:id="36" w:name="_Ref88510715"/>
      <w:r>
        <w:rPr>
          <w:iCs/>
        </w:rPr>
        <w:t>T</w:t>
      </w:r>
      <w:r w:rsidR="00D65621" w:rsidRPr="003C7625">
        <w:rPr>
          <w:iCs/>
        </w:rPr>
        <w:t xml:space="preserve">he ESC considered that additional sensitivity analyses using pooled </w:t>
      </w:r>
      <w:r w:rsidR="009772A8">
        <w:rPr>
          <w:iCs/>
        </w:rPr>
        <w:t xml:space="preserve">HSCT </w:t>
      </w:r>
      <w:r w:rsidR="00D65621" w:rsidRPr="003C7625">
        <w:rPr>
          <w:iCs/>
        </w:rPr>
        <w:t>rates and adjusting the start and end times for overall survival convergence may be informative for the PBAC (see table above, analyses resulting in ICERs of $</w:t>
      </w:r>
      <w:r w:rsidR="00845A5C">
        <w:rPr>
          <w:iCs/>
        </w:rPr>
        <w:t>75,000 to &lt; $95,000</w:t>
      </w:r>
      <w:r w:rsidR="00E836B9">
        <w:rPr>
          <w:iCs/>
        </w:rPr>
        <w:t>/QALY gained</w:t>
      </w:r>
      <w:r w:rsidR="00D65621" w:rsidRPr="003C7625">
        <w:rPr>
          <w:iCs/>
        </w:rPr>
        <w:t xml:space="preserve"> and $</w:t>
      </w:r>
      <w:r w:rsidR="00845A5C">
        <w:rPr>
          <w:iCs/>
        </w:rPr>
        <w:t>55,000 to &lt; $75,000</w:t>
      </w:r>
      <w:r w:rsidR="00E836B9">
        <w:rPr>
          <w:iCs/>
        </w:rPr>
        <w:t>/QALY</w:t>
      </w:r>
      <w:r w:rsidR="00972F34">
        <w:rPr>
          <w:iCs/>
        </w:rPr>
        <w:t xml:space="preserve"> </w:t>
      </w:r>
      <w:r w:rsidR="00E836B9">
        <w:rPr>
          <w:iCs/>
        </w:rPr>
        <w:t>gained</w:t>
      </w:r>
      <w:r w:rsidR="00D65621" w:rsidRPr="003C7625">
        <w:rPr>
          <w:iCs/>
        </w:rPr>
        <w:t>).</w:t>
      </w:r>
      <w:bookmarkEnd w:id="36"/>
      <w:r w:rsidR="00D65621" w:rsidRPr="003C7625">
        <w:rPr>
          <w:iCs/>
        </w:rPr>
        <w:t xml:space="preserve"> </w:t>
      </w:r>
      <w:r w:rsidR="009772A8">
        <w:rPr>
          <w:iCs/>
        </w:rPr>
        <w:t xml:space="preserve">The pre-PBAC response </w:t>
      </w:r>
      <w:r w:rsidR="0070575E">
        <w:rPr>
          <w:iCs/>
        </w:rPr>
        <w:t>claimed</w:t>
      </w:r>
      <w:r w:rsidR="009772A8">
        <w:rPr>
          <w:iCs/>
        </w:rPr>
        <w:t xml:space="preserve"> that at the reduced price offered, the ICER for the scenario </w:t>
      </w:r>
      <w:bookmarkStart w:id="37" w:name="_Hlk88602355"/>
      <w:r w:rsidR="0071015C">
        <w:rPr>
          <w:iCs/>
        </w:rPr>
        <w:t>“</w:t>
      </w:r>
      <w:r w:rsidR="0071015C" w:rsidRPr="0071015C">
        <w:rPr>
          <w:iCs/>
        </w:rPr>
        <w:t>Pooled HSCT rates and OS convergence starting at 4 years and converging by 15 years</w:t>
      </w:r>
      <w:r w:rsidR="0071015C">
        <w:rPr>
          <w:iCs/>
        </w:rPr>
        <w:t>”</w:t>
      </w:r>
      <w:r w:rsidR="009772A8">
        <w:rPr>
          <w:iCs/>
        </w:rPr>
        <w:t xml:space="preserve">, </w:t>
      </w:r>
      <w:bookmarkEnd w:id="37"/>
      <w:r w:rsidR="009772A8">
        <w:rPr>
          <w:iCs/>
        </w:rPr>
        <w:t>reduced from $</w:t>
      </w:r>
      <w:r w:rsidR="00845A5C">
        <w:rPr>
          <w:iCs/>
        </w:rPr>
        <w:t>55,000 to &lt; $75,000</w:t>
      </w:r>
      <w:r w:rsidR="00E836B9">
        <w:rPr>
          <w:iCs/>
        </w:rPr>
        <w:t>/QALY gained</w:t>
      </w:r>
      <w:r w:rsidR="009772A8">
        <w:rPr>
          <w:iCs/>
        </w:rPr>
        <w:t xml:space="preserve"> to $</w:t>
      </w:r>
      <w:r w:rsidR="00444E4F">
        <w:rPr>
          <w:iCs/>
        </w:rPr>
        <w:t>45,000 to &lt; $55,000</w:t>
      </w:r>
      <w:r w:rsidR="00E836B9">
        <w:rPr>
          <w:iCs/>
        </w:rPr>
        <w:t>/QALY gained</w:t>
      </w:r>
      <w:r w:rsidR="0071015C">
        <w:rPr>
          <w:iCs/>
        </w:rPr>
        <w:t xml:space="preserve">. </w:t>
      </w:r>
      <w:r w:rsidR="0070575E">
        <w:rPr>
          <w:iCs/>
        </w:rPr>
        <w:t xml:space="preserve">The PBAC also noted that at the reduced price, the </w:t>
      </w:r>
      <w:r w:rsidR="006328EB">
        <w:rPr>
          <w:iCs/>
        </w:rPr>
        <w:t xml:space="preserve">ICER for the </w:t>
      </w:r>
      <w:r w:rsidR="0070575E">
        <w:rPr>
          <w:iCs/>
        </w:rPr>
        <w:t xml:space="preserve">scenario </w:t>
      </w:r>
      <w:r w:rsidR="0070575E" w:rsidRPr="0070575E">
        <w:rPr>
          <w:iCs/>
        </w:rPr>
        <w:t>“Pooled HSCT rates and OS convergence starting at 4 years and converging by 1</w:t>
      </w:r>
      <w:r w:rsidR="0070575E">
        <w:rPr>
          <w:iCs/>
        </w:rPr>
        <w:t>0</w:t>
      </w:r>
      <w:r w:rsidR="0070575E" w:rsidRPr="0070575E">
        <w:rPr>
          <w:iCs/>
        </w:rPr>
        <w:t xml:space="preserve"> years”,</w:t>
      </w:r>
      <w:r w:rsidR="0070575E">
        <w:rPr>
          <w:iCs/>
        </w:rPr>
        <w:t xml:space="preserve"> </w:t>
      </w:r>
      <w:r w:rsidR="005A6C8E">
        <w:rPr>
          <w:iCs/>
        </w:rPr>
        <w:t>reduced from $</w:t>
      </w:r>
      <w:r w:rsidR="00444E4F">
        <w:rPr>
          <w:iCs/>
        </w:rPr>
        <w:t>75,000 to &lt; $95,000</w:t>
      </w:r>
      <w:r w:rsidR="00E836B9">
        <w:rPr>
          <w:iCs/>
        </w:rPr>
        <w:t>/QALY gained</w:t>
      </w:r>
      <w:r w:rsidR="005A6C8E">
        <w:rPr>
          <w:iCs/>
        </w:rPr>
        <w:t xml:space="preserve"> to</w:t>
      </w:r>
      <w:r w:rsidR="0070575E">
        <w:rPr>
          <w:iCs/>
        </w:rPr>
        <w:t xml:space="preserve"> approximately $</w:t>
      </w:r>
      <w:r w:rsidR="00444E4F">
        <w:rPr>
          <w:iCs/>
        </w:rPr>
        <w:t>55,000 to &lt; $75,000</w:t>
      </w:r>
      <w:r w:rsidR="00E836B9">
        <w:rPr>
          <w:iCs/>
        </w:rPr>
        <w:t>/QALY gained</w:t>
      </w:r>
      <w:r w:rsidR="0070575E">
        <w:rPr>
          <w:iCs/>
        </w:rPr>
        <w:t>.</w:t>
      </w:r>
    </w:p>
    <w:p w14:paraId="15B374D9" w14:textId="77777777" w:rsidR="00C25D9C" w:rsidRDefault="00C25D9C" w:rsidP="00BB732D">
      <w:pPr>
        <w:pStyle w:val="3-SubsectionHeading"/>
      </w:pPr>
      <w:bookmarkStart w:id="38" w:name="_Toc22897646"/>
      <w:bookmarkStart w:id="39" w:name="_Toc82591345"/>
      <w:r w:rsidRPr="00610FCD">
        <w:t>Drug</w:t>
      </w:r>
      <w:r w:rsidR="00A31A95" w:rsidRPr="00610FCD">
        <w:t xml:space="preserve"> </w:t>
      </w:r>
      <w:r w:rsidRPr="00610FCD">
        <w:t>cost/patient/course</w:t>
      </w:r>
      <w:bookmarkEnd w:id="38"/>
      <w:bookmarkEnd w:id="39"/>
    </w:p>
    <w:p w14:paraId="209675DC" w14:textId="77777777" w:rsidR="003C7625" w:rsidRPr="003C7625" w:rsidRDefault="003C7625" w:rsidP="003C7625">
      <w:pPr>
        <w:pStyle w:val="ExecSumBodyText"/>
      </w:pPr>
      <w:r>
        <w:t xml:space="preserve">The drug cost per patient per course </w:t>
      </w:r>
      <w:r w:rsidR="00A04C40">
        <w:t>shown and discussed</w:t>
      </w:r>
      <w:r>
        <w:t xml:space="preserve"> below was based on the resubmission’s proposed price, and not the revised price offered in the pre-PBAC response.</w:t>
      </w:r>
    </w:p>
    <w:p w14:paraId="47344845" w14:textId="77777777" w:rsidR="00026837" w:rsidRPr="00610FCD" w:rsidRDefault="000E50B8" w:rsidP="00D32B02">
      <w:pPr>
        <w:pStyle w:val="TableFigureCaption"/>
      </w:pPr>
      <w:r>
        <w:t xml:space="preserve">Table </w:t>
      </w:r>
      <w:r w:rsidR="00F90EC3">
        <w:rPr>
          <w:noProof/>
        </w:rPr>
        <w:t>14</w:t>
      </w:r>
      <w:r w:rsidR="00026837" w:rsidRPr="00610FCD">
        <w:t xml:space="preserve">: Drug cost per patient per course for gemtuzumab component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Drug cost per patient per course for gemtuzumab component "/>
      </w:tblPr>
      <w:tblGrid>
        <w:gridCol w:w="3100"/>
        <w:gridCol w:w="1973"/>
        <w:gridCol w:w="1973"/>
        <w:gridCol w:w="1971"/>
      </w:tblGrid>
      <w:tr w:rsidR="00026837" w:rsidRPr="00610FCD" w14:paraId="613130A1" w14:textId="77777777" w:rsidTr="00CA3DD2">
        <w:trPr>
          <w:cantSplit/>
          <w:tblHeader/>
          <w:jc w:val="center"/>
        </w:trPr>
        <w:tc>
          <w:tcPr>
            <w:tcW w:w="1719" w:type="pct"/>
            <w:shd w:val="clear" w:color="auto" w:fill="auto"/>
            <w:vAlign w:val="center"/>
          </w:tcPr>
          <w:p w14:paraId="3BC5669E" w14:textId="77777777" w:rsidR="00026837" w:rsidRPr="00610FCD" w:rsidRDefault="00026837" w:rsidP="00D32B02">
            <w:pPr>
              <w:keepNext/>
              <w:jc w:val="center"/>
              <w:rPr>
                <w:rFonts w:ascii="Arial Narrow" w:eastAsiaTheme="majorEastAsia" w:hAnsi="Arial Narrow" w:cs="Times New Roman"/>
                <w:b/>
                <w:sz w:val="20"/>
              </w:rPr>
            </w:pPr>
          </w:p>
        </w:tc>
        <w:tc>
          <w:tcPr>
            <w:tcW w:w="1094" w:type="pct"/>
            <w:shd w:val="clear" w:color="auto" w:fill="auto"/>
            <w:vAlign w:val="center"/>
          </w:tcPr>
          <w:p w14:paraId="1EFE964A" w14:textId="77777777" w:rsidR="00026837" w:rsidRPr="00610FCD" w:rsidRDefault="00026837" w:rsidP="00D32B02">
            <w:pPr>
              <w:keepNext/>
              <w:jc w:val="center"/>
              <w:rPr>
                <w:rFonts w:ascii="Arial Narrow" w:eastAsiaTheme="majorEastAsia" w:hAnsi="Arial Narrow" w:cs="Times New Roman"/>
                <w:b/>
                <w:sz w:val="20"/>
              </w:rPr>
            </w:pPr>
            <w:r w:rsidRPr="00610FCD">
              <w:rPr>
                <w:rFonts w:ascii="Arial Narrow" w:eastAsiaTheme="majorEastAsia" w:hAnsi="Arial Narrow" w:cs="Times New Roman"/>
                <w:b/>
                <w:sz w:val="20"/>
              </w:rPr>
              <w:t>ALFA-0701</w:t>
            </w:r>
          </w:p>
        </w:tc>
        <w:tc>
          <w:tcPr>
            <w:tcW w:w="1094" w:type="pct"/>
            <w:shd w:val="clear" w:color="auto" w:fill="auto"/>
            <w:vAlign w:val="center"/>
          </w:tcPr>
          <w:p w14:paraId="27D85506" w14:textId="77777777" w:rsidR="00026837" w:rsidRPr="00610FCD" w:rsidRDefault="00026837" w:rsidP="00D32B02">
            <w:pPr>
              <w:keepNext/>
              <w:jc w:val="center"/>
              <w:rPr>
                <w:rFonts w:ascii="Arial Narrow" w:eastAsiaTheme="majorEastAsia" w:hAnsi="Arial Narrow" w:cs="Times New Roman"/>
                <w:b/>
                <w:sz w:val="20"/>
              </w:rPr>
            </w:pPr>
            <w:r w:rsidRPr="00610FCD">
              <w:rPr>
                <w:rFonts w:ascii="Arial Narrow" w:eastAsiaTheme="majorEastAsia" w:hAnsi="Arial Narrow" w:cs="Times New Roman"/>
                <w:b/>
                <w:sz w:val="20"/>
              </w:rPr>
              <w:t>Economic model</w:t>
            </w:r>
          </w:p>
        </w:tc>
        <w:tc>
          <w:tcPr>
            <w:tcW w:w="1093" w:type="pct"/>
            <w:shd w:val="clear" w:color="auto" w:fill="auto"/>
            <w:vAlign w:val="center"/>
          </w:tcPr>
          <w:p w14:paraId="31428D3D" w14:textId="77777777" w:rsidR="00026837" w:rsidRPr="00610FCD" w:rsidRDefault="00026837" w:rsidP="00D32B02">
            <w:pPr>
              <w:keepNext/>
              <w:jc w:val="center"/>
              <w:rPr>
                <w:rFonts w:ascii="Arial Narrow" w:eastAsiaTheme="majorEastAsia" w:hAnsi="Arial Narrow" w:cs="Times New Roman"/>
                <w:b/>
                <w:sz w:val="20"/>
              </w:rPr>
            </w:pPr>
            <w:r w:rsidRPr="00610FCD">
              <w:rPr>
                <w:rFonts w:ascii="Arial Narrow" w:eastAsiaTheme="majorEastAsia" w:hAnsi="Arial Narrow" w:cs="Times New Roman"/>
                <w:b/>
                <w:sz w:val="20"/>
              </w:rPr>
              <w:t>Financial estimates</w:t>
            </w:r>
          </w:p>
        </w:tc>
      </w:tr>
      <w:tr w:rsidR="00026837" w:rsidRPr="00610FCD" w14:paraId="66B2932A" w14:textId="77777777" w:rsidTr="00CA3DD2">
        <w:trPr>
          <w:cantSplit/>
          <w:trHeight w:val="70"/>
          <w:jc w:val="center"/>
        </w:trPr>
        <w:tc>
          <w:tcPr>
            <w:tcW w:w="5000" w:type="pct"/>
            <w:gridSpan w:val="4"/>
            <w:shd w:val="clear" w:color="auto" w:fill="auto"/>
            <w:vAlign w:val="center"/>
          </w:tcPr>
          <w:p w14:paraId="372377AA" w14:textId="77777777" w:rsidR="00026837" w:rsidRPr="00610FCD" w:rsidRDefault="00026837" w:rsidP="00D32B02">
            <w:pPr>
              <w:keepNext/>
              <w:jc w:val="left"/>
              <w:rPr>
                <w:rFonts w:ascii="Arial Narrow" w:eastAsiaTheme="majorEastAsia" w:hAnsi="Arial Narrow" w:cstheme="majorBidi"/>
                <w:b/>
                <w:sz w:val="20"/>
              </w:rPr>
            </w:pPr>
            <w:r w:rsidRPr="00610FCD">
              <w:rPr>
                <w:rFonts w:ascii="Arial Narrow" w:eastAsiaTheme="majorEastAsia" w:hAnsi="Arial Narrow" w:cstheme="majorBidi"/>
                <w:b/>
                <w:sz w:val="20"/>
              </w:rPr>
              <w:t>Gemtuzumab costs</w:t>
            </w:r>
          </w:p>
        </w:tc>
      </w:tr>
      <w:tr w:rsidR="00026837" w:rsidRPr="00610FCD" w14:paraId="42B2C861" w14:textId="77777777" w:rsidTr="00CA3DD2">
        <w:trPr>
          <w:cantSplit/>
          <w:jc w:val="center"/>
        </w:trPr>
        <w:tc>
          <w:tcPr>
            <w:tcW w:w="1719" w:type="pct"/>
            <w:shd w:val="clear" w:color="auto" w:fill="auto"/>
            <w:vAlign w:val="center"/>
          </w:tcPr>
          <w:p w14:paraId="6BC4AD5D" w14:textId="77777777" w:rsidR="00026837" w:rsidRPr="00610FCD" w:rsidRDefault="00026837" w:rsidP="00D32B02">
            <w:pPr>
              <w:keepNext/>
              <w:jc w:val="left"/>
              <w:rPr>
                <w:rFonts w:ascii="Arial Narrow" w:eastAsiaTheme="majorEastAsia" w:hAnsi="Arial Narrow" w:cstheme="majorBidi"/>
                <w:bCs/>
                <w:sz w:val="20"/>
              </w:rPr>
            </w:pPr>
            <w:r w:rsidRPr="00610FCD">
              <w:rPr>
                <w:rFonts w:ascii="Arial Narrow" w:eastAsiaTheme="majorEastAsia" w:hAnsi="Arial Narrow" w:cstheme="majorBidi"/>
                <w:bCs/>
                <w:sz w:val="20"/>
              </w:rPr>
              <w:t>Proportion receiving:</w:t>
            </w:r>
          </w:p>
          <w:p w14:paraId="733BB355" w14:textId="77777777" w:rsidR="00026837" w:rsidRPr="00610FCD" w:rsidRDefault="00026837" w:rsidP="00D32B02">
            <w:pPr>
              <w:keepNext/>
              <w:numPr>
                <w:ilvl w:val="0"/>
                <w:numId w:val="12"/>
              </w:numPr>
              <w:ind w:left="112" w:hanging="77"/>
              <w:jc w:val="left"/>
              <w:rPr>
                <w:rFonts w:ascii="Arial Narrow" w:eastAsiaTheme="majorEastAsia" w:hAnsi="Arial Narrow" w:cstheme="majorBidi"/>
                <w:bCs/>
                <w:sz w:val="20"/>
              </w:rPr>
            </w:pPr>
            <w:r w:rsidRPr="00610FCD">
              <w:rPr>
                <w:rFonts w:ascii="Arial Narrow" w:eastAsiaTheme="majorEastAsia" w:hAnsi="Arial Narrow" w:cstheme="majorBidi"/>
                <w:bCs/>
                <w:sz w:val="20"/>
              </w:rPr>
              <w:t>Induction Day 1</w:t>
            </w:r>
          </w:p>
          <w:p w14:paraId="545BA91B" w14:textId="77777777" w:rsidR="00026837" w:rsidRPr="00610FCD" w:rsidRDefault="00026837" w:rsidP="00D32B02">
            <w:pPr>
              <w:keepNext/>
              <w:numPr>
                <w:ilvl w:val="0"/>
                <w:numId w:val="12"/>
              </w:numPr>
              <w:ind w:left="112" w:hanging="77"/>
              <w:jc w:val="left"/>
              <w:rPr>
                <w:rFonts w:ascii="Arial Narrow" w:eastAsiaTheme="majorEastAsia" w:hAnsi="Arial Narrow" w:cstheme="majorBidi"/>
                <w:bCs/>
                <w:sz w:val="20"/>
              </w:rPr>
            </w:pPr>
            <w:r w:rsidRPr="00610FCD">
              <w:rPr>
                <w:rFonts w:ascii="Arial Narrow" w:eastAsiaTheme="majorEastAsia" w:hAnsi="Arial Narrow" w:cstheme="majorBidi"/>
                <w:bCs/>
                <w:sz w:val="20"/>
              </w:rPr>
              <w:t>Induction Day 4</w:t>
            </w:r>
          </w:p>
          <w:p w14:paraId="5B7359EE" w14:textId="77777777" w:rsidR="00026837" w:rsidRPr="00610FCD" w:rsidRDefault="00026837" w:rsidP="00D32B02">
            <w:pPr>
              <w:keepNext/>
              <w:numPr>
                <w:ilvl w:val="0"/>
                <w:numId w:val="12"/>
              </w:numPr>
              <w:ind w:left="112" w:hanging="77"/>
              <w:jc w:val="left"/>
              <w:rPr>
                <w:rFonts w:ascii="Arial Narrow" w:eastAsiaTheme="majorEastAsia" w:hAnsi="Arial Narrow" w:cstheme="majorBidi"/>
                <w:bCs/>
                <w:sz w:val="20"/>
              </w:rPr>
            </w:pPr>
            <w:r w:rsidRPr="00610FCD">
              <w:rPr>
                <w:rFonts w:ascii="Arial Narrow" w:eastAsiaTheme="majorEastAsia" w:hAnsi="Arial Narrow" w:cstheme="majorBidi"/>
                <w:bCs/>
                <w:sz w:val="20"/>
              </w:rPr>
              <w:t>Induction Day 7</w:t>
            </w:r>
          </w:p>
        </w:tc>
        <w:tc>
          <w:tcPr>
            <w:tcW w:w="1094" w:type="pct"/>
            <w:shd w:val="clear" w:color="auto" w:fill="auto"/>
          </w:tcPr>
          <w:p w14:paraId="734DF997" w14:textId="77777777" w:rsidR="00026837" w:rsidRPr="00610FCD" w:rsidRDefault="00026837" w:rsidP="00D32B02">
            <w:pPr>
              <w:keepNext/>
              <w:jc w:val="center"/>
              <w:rPr>
                <w:rFonts w:ascii="Arial Narrow" w:eastAsiaTheme="majorEastAsia" w:hAnsi="Arial Narrow" w:cstheme="majorBidi"/>
                <w:bCs/>
                <w:sz w:val="20"/>
              </w:rPr>
            </w:pPr>
          </w:p>
          <w:p w14:paraId="116D18E9"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98.5%</w:t>
            </w:r>
          </w:p>
          <w:p w14:paraId="21614A49"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96.9%</w:t>
            </w:r>
          </w:p>
          <w:p w14:paraId="2C6B895E"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95.4%</w:t>
            </w:r>
          </w:p>
        </w:tc>
        <w:tc>
          <w:tcPr>
            <w:tcW w:w="1094" w:type="pct"/>
            <w:shd w:val="clear" w:color="auto" w:fill="auto"/>
          </w:tcPr>
          <w:p w14:paraId="3481B37D" w14:textId="77777777" w:rsidR="00026837" w:rsidRPr="00610FCD" w:rsidRDefault="00026837" w:rsidP="00D32B02">
            <w:pPr>
              <w:keepNext/>
              <w:jc w:val="center"/>
              <w:rPr>
                <w:rFonts w:ascii="Arial Narrow" w:eastAsiaTheme="majorEastAsia" w:hAnsi="Arial Narrow" w:cstheme="majorBidi"/>
                <w:bCs/>
                <w:sz w:val="20"/>
              </w:rPr>
            </w:pPr>
          </w:p>
          <w:p w14:paraId="6ECFA22A"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100%</w:t>
            </w:r>
          </w:p>
          <w:p w14:paraId="2E8D2AB5"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100%</w:t>
            </w:r>
          </w:p>
          <w:p w14:paraId="78AC288F"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100%</w:t>
            </w:r>
          </w:p>
        </w:tc>
        <w:tc>
          <w:tcPr>
            <w:tcW w:w="1093" w:type="pct"/>
            <w:shd w:val="clear" w:color="auto" w:fill="auto"/>
          </w:tcPr>
          <w:p w14:paraId="7F9CE8BC" w14:textId="77777777" w:rsidR="00026837" w:rsidRPr="00610FCD" w:rsidRDefault="00026837" w:rsidP="00D32B02">
            <w:pPr>
              <w:keepNext/>
              <w:jc w:val="center"/>
              <w:rPr>
                <w:rFonts w:ascii="Arial Narrow" w:eastAsiaTheme="majorEastAsia" w:hAnsi="Arial Narrow" w:cstheme="majorBidi"/>
                <w:bCs/>
                <w:sz w:val="20"/>
              </w:rPr>
            </w:pPr>
          </w:p>
          <w:p w14:paraId="41997EFD" w14:textId="77777777" w:rsidR="00026837" w:rsidRPr="00610FCD" w:rsidRDefault="009E3073"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93.9</w:t>
            </w:r>
            <w:r w:rsidR="00026837" w:rsidRPr="00610FCD">
              <w:rPr>
                <w:rFonts w:ascii="Arial Narrow" w:eastAsiaTheme="majorEastAsia" w:hAnsi="Arial Narrow" w:cstheme="majorBidi"/>
                <w:bCs/>
                <w:sz w:val="20"/>
              </w:rPr>
              <w:t>%</w:t>
            </w:r>
          </w:p>
          <w:p w14:paraId="38A99224" w14:textId="77777777" w:rsidR="00026837" w:rsidRPr="00610FCD" w:rsidRDefault="009E3073"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93.9</w:t>
            </w:r>
            <w:r w:rsidR="00026837" w:rsidRPr="00610FCD">
              <w:rPr>
                <w:rFonts w:ascii="Arial Narrow" w:eastAsiaTheme="majorEastAsia" w:hAnsi="Arial Narrow" w:cstheme="majorBidi"/>
                <w:bCs/>
                <w:sz w:val="20"/>
              </w:rPr>
              <w:t>%</w:t>
            </w:r>
          </w:p>
          <w:p w14:paraId="5C584DF0" w14:textId="77777777" w:rsidR="00026837" w:rsidRPr="00610FCD" w:rsidRDefault="009E3073"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93.9</w:t>
            </w:r>
            <w:r w:rsidR="00026837" w:rsidRPr="00610FCD">
              <w:rPr>
                <w:rFonts w:ascii="Arial Narrow" w:eastAsiaTheme="majorEastAsia" w:hAnsi="Arial Narrow" w:cstheme="majorBidi"/>
                <w:bCs/>
                <w:sz w:val="20"/>
              </w:rPr>
              <w:t>%</w:t>
            </w:r>
          </w:p>
        </w:tc>
      </w:tr>
      <w:tr w:rsidR="00026837" w:rsidRPr="00610FCD" w14:paraId="4836618B" w14:textId="77777777" w:rsidTr="00CA3DD2">
        <w:trPr>
          <w:cantSplit/>
          <w:jc w:val="center"/>
        </w:trPr>
        <w:tc>
          <w:tcPr>
            <w:tcW w:w="1719" w:type="pct"/>
            <w:shd w:val="clear" w:color="auto" w:fill="auto"/>
            <w:vAlign w:val="center"/>
          </w:tcPr>
          <w:p w14:paraId="5FBE030F" w14:textId="77777777" w:rsidR="00026837" w:rsidRPr="00610FCD" w:rsidRDefault="00026837" w:rsidP="00D32B02">
            <w:pPr>
              <w:keepNext/>
              <w:jc w:val="left"/>
              <w:rPr>
                <w:rFonts w:ascii="Arial Narrow" w:eastAsiaTheme="majorEastAsia" w:hAnsi="Arial Narrow" w:cstheme="majorBidi"/>
                <w:bCs/>
                <w:sz w:val="20"/>
                <w:vertAlign w:val="superscript"/>
              </w:rPr>
            </w:pPr>
            <w:r w:rsidRPr="00610FCD">
              <w:rPr>
                <w:rFonts w:ascii="Arial Narrow" w:eastAsiaTheme="majorEastAsia" w:hAnsi="Arial Narrow" w:cstheme="majorBidi"/>
                <w:bCs/>
                <w:sz w:val="20"/>
              </w:rPr>
              <w:t>Induction vials/patient</w:t>
            </w:r>
            <w:r w:rsidR="007B1379">
              <w:rPr>
                <w:rFonts w:ascii="Arial Narrow" w:eastAsiaTheme="majorEastAsia" w:hAnsi="Arial Narrow" w:cstheme="majorBidi"/>
                <w:bCs/>
                <w:sz w:val="20"/>
              </w:rPr>
              <w:t xml:space="preserve"> </w:t>
            </w:r>
            <w:r w:rsidR="007F2503">
              <w:rPr>
                <w:rFonts w:ascii="Arial Narrow" w:eastAsiaTheme="majorEastAsia" w:hAnsi="Arial Narrow" w:cstheme="majorBidi"/>
                <w:bCs/>
                <w:sz w:val="20"/>
                <w:vertAlign w:val="superscript"/>
              </w:rPr>
              <w:t>a</w:t>
            </w:r>
          </w:p>
        </w:tc>
        <w:tc>
          <w:tcPr>
            <w:tcW w:w="1094" w:type="pct"/>
            <w:shd w:val="clear" w:color="auto" w:fill="auto"/>
            <w:vAlign w:val="center"/>
          </w:tcPr>
          <w:p w14:paraId="17883DC7" w14:textId="77777777" w:rsidR="00026837" w:rsidRPr="00610FCD" w:rsidRDefault="00026837" w:rsidP="00D32B02">
            <w:pPr>
              <w:keepNext/>
              <w:jc w:val="center"/>
              <w:rPr>
                <w:rFonts w:ascii="Arial Narrow" w:eastAsiaTheme="majorEastAsia" w:hAnsi="Arial Narrow" w:cstheme="majorBidi"/>
                <w:bCs/>
                <w:sz w:val="20"/>
                <w:vertAlign w:val="superscript"/>
              </w:rPr>
            </w:pPr>
            <w:r w:rsidRPr="00610FCD">
              <w:rPr>
                <w:rFonts w:ascii="Arial Narrow" w:eastAsiaTheme="majorEastAsia" w:hAnsi="Arial Narrow" w:cstheme="majorBidi"/>
                <w:bCs/>
                <w:sz w:val="20"/>
              </w:rPr>
              <w:t>2.91</w:t>
            </w:r>
          </w:p>
        </w:tc>
        <w:tc>
          <w:tcPr>
            <w:tcW w:w="1094" w:type="pct"/>
            <w:shd w:val="clear" w:color="auto" w:fill="auto"/>
            <w:vAlign w:val="center"/>
          </w:tcPr>
          <w:p w14:paraId="60B6C146" w14:textId="77777777" w:rsidR="00026837" w:rsidRPr="00610FCD" w:rsidRDefault="00026837" w:rsidP="00D32B02">
            <w:pPr>
              <w:keepNext/>
              <w:jc w:val="center"/>
              <w:rPr>
                <w:rFonts w:ascii="Arial Narrow" w:eastAsiaTheme="majorEastAsia" w:hAnsi="Arial Narrow" w:cstheme="majorBidi"/>
                <w:bCs/>
                <w:sz w:val="20"/>
                <w:vertAlign w:val="superscript"/>
              </w:rPr>
            </w:pPr>
            <w:r w:rsidRPr="00610FCD">
              <w:rPr>
                <w:rFonts w:ascii="Arial Narrow" w:eastAsiaTheme="majorEastAsia" w:hAnsi="Arial Narrow" w:cstheme="majorBidi"/>
                <w:bCs/>
                <w:sz w:val="20"/>
              </w:rPr>
              <w:t>3.00</w:t>
            </w:r>
          </w:p>
        </w:tc>
        <w:tc>
          <w:tcPr>
            <w:tcW w:w="1093" w:type="pct"/>
            <w:shd w:val="clear" w:color="auto" w:fill="auto"/>
            <w:vAlign w:val="center"/>
          </w:tcPr>
          <w:p w14:paraId="5E218D4B" w14:textId="77777777" w:rsidR="00026837" w:rsidRPr="00610FCD" w:rsidRDefault="009E3073" w:rsidP="00D32B02">
            <w:pPr>
              <w:keepNext/>
              <w:jc w:val="center"/>
              <w:rPr>
                <w:rFonts w:ascii="Arial Narrow" w:eastAsiaTheme="majorEastAsia" w:hAnsi="Arial Narrow" w:cstheme="majorBidi"/>
                <w:bCs/>
                <w:sz w:val="20"/>
                <w:vertAlign w:val="superscript"/>
              </w:rPr>
            </w:pPr>
            <w:r w:rsidRPr="00610FCD">
              <w:rPr>
                <w:rFonts w:ascii="Arial Narrow" w:eastAsiaTheme="majorEastAsia" w:hAnsi="Arial Narrow" w:cstheme="majorBidi"/>
                <w:bCs/>
                <w:sz w:val="20"/>
              </w:rPr>
              <w:t>2.82</w:t>
            </w:r>
          </w:p>
        </w:tc>
      </w:tr>
      <w:tr w:rsidR="00026837" w:rsidRPr="00610FCD" w14:paraId="5B0D93AA" w14:textId="77777777" w:rsidTr="00CA3DD2">
        <w:trPr>
          <w:cantSplit/>
          <w:jc w:val="center"/>
        </w:trPr>
        <w:tc>
          <w:tcPr>
            <w:tcW w:w="1719" w:type="pct"/>
            <w:shd w:val="clear" w:color="auto" w:fill="auto"/>
            <w:vAlign w:val="center"/>
          </w:tcPr>
          <w:p w14:paraId="6948EF87" w14:textId="77777777" w:rsidR="00026837" w:rsidRPr="00610FCD" w:rsidRDefault="00026837" w:rsidP="00D32B02">
            <w:pPr>
              <w:keepNext/>
              <w:jc w:val="left"/>
              <w:rPr>
                <w:rFonts w:ascii="Arial Narrow" w:eastAsiaTheme="majorEastAsia" w:hAnsi="Arial Narrow" w:cstheme="majorBidi"/>
                <w:bCs/>
                <w:sz w:val="20"/>
              </w:rPr>
            </w:pPr>
            <w:r w:rsidRPr="00610FCD">
              <w:rPr>
                <w:rFonts w:ascii="Arial Narrow" w:eastAsiaTheme="majorEastAsia" w:hAnsi="Arial Narrow" w:cstheme="majorBidi"/>
                <w:bCs/>
                <w:sz w:val="20"/>
              </w:rPr>
              <w:t>Proportion receiving:</w:t>
            </w:r>
          </w:p>
          <w:p w14:paraId="2E1A0CAC" w14:textId="77777777" w:rsidR="00026837" w:rsidRPr="00610FCD" w:rsidRDefault="00026837" w:rsidP="00D32B02">
            <w:pPr>
              <w:keepNext/>
              <w:numPr>
                <w:ilvl w:val="0"/>
                <w:numId w:val="12"/>
              </w:numPr>
              <w:ind w:left="112" w:hanging="77"/>
              <w:jc w:val="left"/>
              <w:rPr>
                <w:rFonts w:ascii="Arial Narrow" w:eastAsiaTheme="majorEastAsia" w:hAnsi="Arial Narrow" w:cstheme="majorBidi"/>
                <w:bCs/>
                <w:sz w:val="20"/>
              </w:rPr>
            </w:pPr>
            <w:r w:rsidRPr="00610FCD">
              <w:rPr>
                <w:rFonts w:ascii="Arial Narrow" w:eastAsiaTheme="majorEastAsia" w:hAnsi="Arial Narrow" w:cstheme="majorBidi"/>
                <w:bCs/>
                <w:sz w:val="20"/>
              </w:rPr>
              <w:t>Consolidation 1</w:t>
            </w:r>
          </w:p>
          <w:p w14:paraId="3864FB46" w14:textId="77777777" w:rsidR="00026837" w:rsidRPr="00610FCD" w:rsidRDefault="00026837" w:rsidP="00D32B02">
            <w:pPr>
              <w:keepNext/>
              <w:numPr>
                <w:ilvl w:val="0"/>
                <w:numId w:val="12"/>
              </w:numPr>
              <w:ind w:left="112" w:hanging="77"/>
              <w:jc w:val="left"/>
              <w:rPr>
                <w:rFonts w:ascii="Arial Narrow" w:eastAsiaTheme="majorEastAsia" w:hAnsi="Arial Narrow" w:cstheme="majorBidi"/>
                <w:bCs/>
                <w:sz w:val="20"/>
              </w:rPr>
            </w:pPr>
            <w:r w:rsidRPr="00610FCD">
              <w:rPr>
                <w:rFonts w:ascii="Arial Narrow" w:eastAsiaTheme="majorEastAsia" w:hAnsi="Arial Narrow" w:cstheme="majorBidi"/>
                <w:bCs/>
                <w:sz w:val="20"/>
              </w:rPr>
              <w:t>Consolidation 2</w:t>
            </w:r>
          </w:p>
        </w:tc>
        <w:tc>
          <w:tcPr>
            <w:tcW w:w="1094" w:type="pct"/>
            <w:shd w:val="clear" w:color="auto" w:fill="auto"/>
          </w:tcPr>
          <w:p w14:paraId="15088FA3" w14:textId="77777777" w:rsidR="00026837" w:rsidRPr="00610FCD" w:rsidRDefault="00026837" w:rsidP="00D32B02">
            <w:pPr>
              <w:keepNext/>
              <w:jc w:val="center"/>
              <w:rPr>
                <w:rFonts w:ascii="Arial Narrow" w:eastAsiaTheme="majorEastAsia" w:hAnsi="Arial Narrow" w:cstheme="majorBidi"/>
                <w:bCs/>
                <w:sz w:val="20"/>
              </w:rPr>
            </w:pPr>
          </w:p>
          <w:p w14:paraId="047B2694"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69.5%</w:t>
            </w:r>
          </w:p>
          <w:p w14:paraId="03839E63"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48.9%</w:t>
            </w:r>
          </w:p>
        </w:tc>
        <w:tc>
          <w:tcPr>
            <w:tcW w:w="1094" w:type="pct"/>
            <w:shd w:val="clear" w:color="auto" w:fill="auto"/>
          </w:tcPr>
          <w:p w14:paraId="6B5FEC4B" w14:textId="77777777" w:rsidR="00026837" w:rsidRPr="00610FCD" w:rsidRDefault="00026837" w:rsidP="00D32B02">
            <w:pPr>
              <w:keepNext/>
              <w:jc w:val="center"/>
              <w:rPr>
                <w:rFonts w:ascii="Arial Narrow" w:eastAsiaTheme="majorEastAsia" w:hAnsi="Arial Narrow" w:cstheme="majorBidi"/>
                <w:bCs/>
                <w:sz w:val="20"/>
              </w:rPr>
            </w:pPr>
          </w:p>
          <w:p w14:paraId="59F8D927"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74.0%</w:t>
            </w:r>
          </w:p>
          <w:p w14:paraId="3AAF9A30"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62.6%</w:t>
            </w:r>
          </w:p>
        </w:tc>
        <w:tc>
          <w:tcPr>
            <w:tcW w:w="1093" w:type="pct"/>
            <w:shd w:val="clear" w:color="auto" w:fill="auto"/>
          </w:tcPr>
          <w:p w14:paraId="7DBB084A" w14:textId="77777777" w:rsidR="00026837" w:rsidRPr="00610FCD" w:rsidRDefault="00026837" w:rsidP="00D32B02">
            <w:pPr>
              <w:keepNext/>
              <w:jc w:val="center"/>
              <w:rPr>
                <w:rFonts w:ascii="Arial Narrow" w:eastAsiaTheme="majorEastAsia" w:hAnsi="Arial Narrow" w:cstheme="majorBidi"/>
                <w:bCs/>
                <w:sz w:val="20"/>
              </w:rPr>
            </w:pPr>
          </w:p>
          <w:p w14:paraId="0B39EB75"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69.5%</w:t>
            </w:r>
          </w:p>
          <w:p w14:paraId="480AA29F"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48.9%</w:t>
            </w:r>
          </w:p>
        </w:tc>
      </w:tr>
      <w:tr w:rsidR="00026837" w:rsidRPr="00610FCD" w14:paraId="6573AA83" w14:textId="77777777" w:rsidTr="00CA3DD2">
        <w:trPr>
          <w:cantSplit/>
          <w:jc w:val="center"/>
        </w:trPr>
        <w:tc>
          <w:tcPr>
            <w:tcW w:w="1719" w:type="pct"/>
            <w:shd w:val="clear" w:color="auto" w:fill="auto"/>
            <w:vAlign w:val="center"/>
          </w:tcPr>
          <w:p w14:paraId="32E6BBCC" w14:textId="77777777" w:rsidR="00026837" w:rsidRPr="00610FCD" w:rsidRDefault="00026837" w:rsidP="00D32B02">
            <w:pPr>
              <w:keepNext/>
              <w:jc w:val="left"/>
              <w:rPr>
                <w:rFonts w:ascii="Arial Narrow" w:eastAsiaTheme="majorEastAsia" w:hAnsi="Arial Narrow" w:cstheme="majorBidi"/>
                <w:bCs/>
                <w:sz w:val="20"/>
                <w:vertAlign w:val="superscript"/>
              </w:rPr>
            </w:pPr>
            <w:r w:rsidRPr="00610FCD">
              <w:rPr>
                <w:rFonts w:ascii="Arial Narrow" w:eastAsiaTheme="majorEastAsia" w:hAnsi="Arial Narrow" w:cstheme="majorBidi"/>
                <w:bCs/>
                <w:sz w:val="20"/>
              </w:rPr>
              <w:t>Consolidation vials/patient</w:t>
            </w:r>
            <w:r w:rsidR="007B1379">
              <w:rPr>
                <w:rFonts w:ascii="Arial Narrow" w:eastAsiaTheme="majorEastAsia" w:hAnsi="Arial Narrow" w:cstheme="majorBidi"/>
                <w:bCs/>
                <w:sz w:val="20"/>
              </w:rPr>
              <w:t xml:space="preserve"> </w:t>
            </w:r>
            <w:r w:rsidR="007F2503">
              <w:rPr>
                <w:rFonts w:ascii="Arial Narrow" w:eastAsiaTheme="majorEastAsia" w:hAnsi="Arial Narrow" w:cstheme="majorBidi"/>
                <w:bCs/>
                <w:sz w:val="20"/>
                <w:vertAlign w:val="superscript"/>
              </w:rPr>
              <w:t>a</w:t>
            </w:r>
          </w:p>
        </w:tc>
        <w:tc>
          <w:tcPr>
            <w:tcW w:w="1094" w:type="pct"/>
            <w:shd w:val="clear" w:color="auto" w:fill="auto"/>
            <w:vAlign w:val="center"/>
          </w:tcPr>
          <w:p w14:paraId="58BF4F2F"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1.18</w:t>
            </w:r>
          </w:p>
        </w:tc>
        <w:tc>
          <w:tcPr>
            <w:tcW w:w="1094" w:type="pct"/>
            <w:shd w:val="clear" w:color="auto" w:fill="auto"/>
            <w:vAlign w:val="center"/>
          </w:tcPr>
          <w:p w14:paraId="3E4DA241"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1.37</w:t>
            </w:r>
          </w:p>
        </w:tc>
        <w:tc>
          <w:tcPr>
            <w:tcW w:w="1093" w:type="pct"/>
            <w:shd w:val="clear" w:color="auto" w:fill="auto"/>
            <w:vAlign w:val="center"/>
          </w:tcPr>
          <w:p w14:paraId="43566BD5"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1.20</w:t>
            </w:r>
          </w:p>
        </w:tc>
      </w:tr>
      <w:tr w:rsidR="00026837" w:rsidRPr="00610FCD" w14:paraId="4DA210FD" w14:textId="77777777" w:rsidTr="00CA3DD2">
        <w:trPr>
          <w:cantSplit/>
          <w:jc w:val="center"/>
        </w:trPr>
        <w:tc>
          <w:tcPr>
            <w:tcW w:w="1719" w:type="pct"/>
            <w:shd w:val="clear" w:color="auto" w:fill="auto"/>
            <w:vAlign w:val="center"/>
          </w:tcPr>
          <w:p w14:paraId="21613F28" w14:textId="77777777" w:rsidR="00026837" w:rsidRPr="00444E4F" w:rsidRDefault="00026837" w:rsidP="00D32B02">
            <w:pPr>
              <w:keepNext/>
              <w:jc w:val="left"/>
              <w:rPr>
                <w:rFonts w:ascii="Arial Narrow" w:eastAsiaTheme="majorEastAsia" w:hAnsi="Arial Narrow" w:cstheme="majorBidi"/>
                <w:bCs/>
                <w:sz w:val="20"/>
              </w:rPr>
            </w:pPr>
            <w:r w:rsidRPr="00610FCD">
              <w:rPr>
                <w:rFonts w:ascii="Arial Narrow" w:eastAsiaTheme="majorEastAsia" w:hAnsi="Arial Narrow" w:cstheme="majorBidi"/>
                <w:bCs/>
                <w:sz w:val="20"/>
              </w:rPr>
              <w:t>Cost per 5 mg vial</w:t>
            </w:r>
            <w:r w:rsidR="007B1379">
              <w:rPr>
                <w:rFonts w:ascii="Arial Narrow" w:eastAsiaTheme="majorEastAsia" w:hAnsi="Arial Narrow" w:cstheme="majorBidi"/>
                <w:bCs/>
                <w:sz w:val="20"/>
              </w:rPr>
              <w:t xml:space="preserve"> </w:t>
            </w:r>
            <w:r w:rsidR="007F2503">
              <w:rPr>
                <w:rFonts w:ascii="Arial Narrow" w:eastAsiaTheme="majorEastAsia" w:hAnsi="Arial Narrow" w:cstheme="majorBidi"/>
                <w:bCs/>
                <w:sz w:val="20"/>
                <w:vertAlign w:val="superscript"/>
              </w:rPr>
              <w:t>b</w:t>
            </w:r>
            <w:r w:rsidR="00444E4F">
              <w:rPr>
                <w:rFonts w:ascii="Arial Narrow" w:eastAsiaTheme="majorEastAsia" w:hAnsi="Arial Narrow" w:cstheme="majorBidi"/>
                <w:bCs/>
                <w:sz w:val="20"/>
              </w:rPr>
              <w:t xml:space="preserve"> ($)</w:t>
            </w:r>
          </w:p>
        </w:tc>
        <w:tc>
          <w:tcPr>
            <w:tcW w:w="1094" w:type="pct"/>
            <w:shd w:val="clear" w:color="auto" w:fill="auto"/>
            <w:vAlign w:val="center"/>
          </w:tcPr>
          <w:p w14:paraId="2AC093A9" w14:textId="77777777" w:rsidR="00026837" w:rsidRPr="00610FCD" w:rsidRDefault="00026837"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w:t>
            </w:r>
          </w:p>
        </w:tc>
        <w:tc>
          <w:tcPr>
            <w:tcW w:w="1094" w:type="pct"/>
            <w:shd w:val="clear" w:color="auto" w:fill="auto"/>
            <w:vAlign w:val="center"/>
          </w:tcPr>
          <w:p w14:paraId="38ED81BA" w14:textId="77777777" w:rsidR="00026837" w:rsidRPr="00FF0EA4" w:rsidRDefault="00FF0EA4" w:rsidP="00D32B02">
            <w:pPr>
              <w:keepNext/>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093" w:type="pct"/>
            <w:shd w:val="clear" w:color="auto" w:fill="auto"/>
            <w:vAlign w:val="center"/>
          </w:tcPr>
          <w:p w14:paraId="0A96936A" w14:textId="77777777" w:rsidR="00026837" w:rsidRPr="00FF0EA4" w:rsidRDefault="00FF0EA4" w:rsidP="00D32B02">
            <w:pPr>
              <w:keepNext/>
              <w:jc w:val="center"/>
              <w:rPr>
                <w:rFonts w:ascii="Arial Narrow" w:eastAsiaTheme="majorEastAsia" w:hAnsi="Arial Narrow" w:cstheme="majorBidi"/>
                <w:bCs/>
                <w:iCs/>
                <w:sz w:val="20"/>
                <w:highlight w:val="black"/>
              </w:rPr>
            </w:pPr>
            <w:r>
              <w:rPr>
                <w:rFonts w:ascii="Arial Narrow" w:eastAsiaTheme="majorEastAsia" w:hAnsi="Arial Narrow" w:cstheme="majorBidi"/>
                <w:bCs/>
                <w:iCs/>
                <w:noProof/>
                <w:color w:val="000000"/>
                <w:sz w:val="20"/>
                <w:highlight w:val="black"/>
              </w:rPr>
              <w:t>'''''''''''''''''''''''''</w:t>
            </w:r>
          </w:p>
        </w:tc>
      </w:tr>
      <w:tr w:rsidR="00ED60CD" w:rsidRPr="00610FCD" w14:paraId="240C0253" w14:textId="77777777" w:rsidTr="00CA3DD2">
        <w:trPr>
          <w:cantSplit/>
          <w:jc w:val="center"/>
        </w:trPr>
        <w:tc>
          <w:tcPr>
            <w:tcW w:w="1719" w:type="pct"/>
            <w:shd w:val="clear" w:color="auto" w:fill="auto"/>
            <w:vAlign w:val="center"/>
          </w:tcPr>
          <w:p w14:paraId="5D729EB0" w14:textId="77777777" w:rsidR="00ED60CD" w:rsidRPr="00610FCD" w:rsidRDefault="00ED60CD" w:rsidP="00D32B02">
            <w:pPr>
              <w:keepNext/>
              <w:jc w:val="left"/>
              <w:rPr>
                <w:rFonts w:ascii="Arial Narrow" w:eastAsiaTheme="majorEastAsia" w:hAnsi="Arial Narrow" w:cstheme="majorBidi"/>
                <w:bCs/>
                <w:sz w:val="20"/>
              </w:rPr>
            </w:pPr>
            <w:r w:rsidRPr="00610FCD">
              <w:rPr>
                <w:rFonts w:ascii="Arial Narrow" w:eastAsiaTheme="majorEastAsia" w:hAnsi="Arial Narrow" w:cstheme="majorBidi"/>
                <w:bCs/>
                <w:sz w:val="20"/>
              </w:rPr>
              <w:t>Cost/patient/course</w:t>
            </w:r>
            <w:r w:rsidR="00444E4F">
              <w:rPr>
                <w:rFonts w:ascii="Arial Narrow" w:eastAsiaTheme="majorEastAsia" w:hAnsi="Arial Narrow" w:cstheme="majorBidi"/>
                <w:bCs/>
                <w:sz w:val="20"/>
              </w:rPr>
              <w:t xml:space="preserve"> ($)</w:t>
            </w:r>
          </w:p>
        </w:tc>
        <w:tc>
          <w:tcPr>
            <w:tcW w:w="1094" w:type="pct"/>
            <w:shd w:val="clear" w:color="auto" w:fill="auto"/>
            <w:vAlign w:val="center"/>
          </w:tcPr>
          <w:p w14:paraId="113EAB8B" w14:textId="77777777" w:rsidR="00ED60CD" w:rsidRPr="00610FCD" w:rsidRDefault="00ED60CD" w:rsidP="00D32B02">
            <w:pPr>
              <w:keepNext/>
              <w:jc w:val="center"/>
              <w:rPr>
                <w:rFonts w:ascii="Arial Narrow" w:eastAsiaTheme="majorEastAsia" w:hAnsi="Arial Narrow" w:cstheme="majorBidi"/>
                <w:bCs/>
                <w:sz w:val="20"/>
              </w:rPr>
            </w:pPr>
            <w:r w:rsidRPr="00610FCD">
              <w:rPr>
                <w:rFonts w:ascii="Arial Narrow" w:eastAsiaTheme="majorEastAsia" w:hAnsi="Arial Narrow" w:cstheme="majorBidi"/>
                <w:bCs/>
                <w:sz w:val="20"/>
              </w:rPr>
              <w:t>-</w:t>
            </w:r>
          </w:p>
        </w:tc>
        <w:tc>
          <w:tcPr>
            <w:tcW w:w="1094" w:type="pct"/>
            <w:shd w:val="clear" w:color="auto" w:fill="auto"/>
          </w:tcPr>
          <w:p w14:paraId="2C47B2AA" w14:textId="77777777" w:rsidR="00ED60CD" w:rsidRPr="00FF0EA4" w:rsidRDefault="00FF0EA4" w:rsidP="00D32B02">
            <w:pPr>
              <w:pStyle w:val="Tabletext0"/>
              <w:keepNext/>
              <w:jc w:val="center"/>
              <w:rPr>
                <w:rFonts w:eastAsiaTheme="majorEastAsia" w:cstheme="majorBidi"/>
                <w:bCs/>
                <w:highlight w:val="black"/>
              </w:rPr>
            </w:pPr>
            <w:r>
              <w:rPr>
                <w:noProof/>
                <w:color w:val="000000"/>
                <w:highlight w:val="black"/>
              </w:rPr>
              <w:t>'''''''''''''''''''''''''''</w:t>
            </w:r>
          </w:p>
        </w:tc>
        <w:tc>
          <w:tcPr>
            <w:tcW w:w="1093" w:type="pct"/>
            <w:shd w:val="clear" w:color="auto" w:fill="auto"/>
          </w:tcPr>
          <w:p w14:paraId="559DDBF4" w14:textId="77777777" w:rsidR="00ED60CD" w:rsidRPr="00FF0EA4" w:rsidRDefault="00FF0EA4" w:rsidP="00D32B02">
            <w:pPr>
              <w:pStyle w:val="Tabletext0"/>
              <w:keepNext/>
              <w:jc w:val="center"/>
              <w:rPr>
                <w:rFonts w:eastAsiaTheme="majorEastAsia" w:cstheme="majorBidi"/>
                <w:bCs/>
                <w:iCs/>
                <w:highlight w:val="black"/>
              </w:rPr>
            </w:pPr>
            <w:r>
              <w:rPr>
                <w:noProof/>
                <w:color w:val="000000"/>
                <w:highlight w:val="black"/>
              </w:rPr>
              <w:t>'''''''''''''''''''''''''''''</w:t>
            </w:r>
          </w:p>
        </w:tc>
      </w:tr>
    </w:tbl>
    <w:p w14:paraId="7BC1E617" w14:textId="77777777" w:rsidR="00026837" w:rsidRDefault="00026837" w:rsidP="00D32B02">
      <w:pPr>
        <w:keepNext/>
        <w:spacing w:after="120"/>
        <w:contextualSpacing/>
        <w:rPr>
          <w:rFonts w:ascii="Arial Narrow" w:hAnsi="Arial Narrow"/>
          <w:snapToGrid w:val="0"/>
          <w:sz w:val="18"/>
          <w:szCs w:val="22"/>
        </w:rPr>
      </w:pPr>
      <w:r w:rsidRPr="00610FCD">
        <w:rPr>
          <w:rFonts w:ascii="Arial Narrow" w:hAnsi="Arial Narrow"/>
          <w:snapToGrid w:val="0"/>
          <w:sz w:val="18"/>
          <w:szCs w:val="22"/>
        </w:rPr>
        <w:t>Source: Table 32, pp117 of the ALFA-0701 clinical study report; ‘Cost calcs’ worksheet of the ‘201103_Mylotarg CEM_v7.2_Australia’ Excel workbook; Table 4.1.1, pp234-236 of the submission.</w:t>
      </w:r>
    </w:p>
    <w:p w14:paraId="58A50C8C" w14:textId="77777777" w:rsidR="000D1FE1" w:rsidRPr="00610FCD" w:rsidRDefault="000D1FE1" w:rsidP="00D32B02">
      <w:pPr>
        <w:keepNext/>
        <w:spacing w:after="120"/>
        <w:contextualSpacing/>
        <w:rPr>
          <w:rFonts w:ascii="Arial Narrow" w:hAnsi="Arial Narrow"/>
          <w:snapToGrid w:val="0"/>
          <w:sz w:val="18"/>
          <w:szCs w:val="22"/>
        </w:rPr>
      </w:pPr>
      <w:r>
        <w:rPr>
          <w:rFonts w:ascii="Arial Narrow" w:hAnsi="Arial Narrow"/>
          <w:snapToGrid w:val="0"/>
          <w:sz w:val="18"/>
          <w:szCs w:val="22"/>
        </w:rPr>
        <w:t xml:space="preserve">Note: Gemtuzumab is not administered </w:t>
      </w:r>
      <w:r w:rsidR="007979A8">
        <w:rPr>
          <w:rFonts w:ascii="Arial Narrow" w:hAnsi="Arial Narrow"/>
          <w:snapToGrid w:val="0"/>
          <w:sz w:val="18"/>
          <w:szCs w:val="22"/>
        </w:rPr>
        <w:t>in patients requiring a second induction (backbone chemotherapy only)</w:t>
      </w:r>
    </w:p>
    <w:p w14:paraId="4EDF2B01" w14:textId="77777777" w:rsidR="00026837" w:rsidRPr="00610FCD" w:rsidRDefault="007F2503" w:rsidP="00D32B02">
      <w:pPr>
        <w:keepNext/>
        <w:spacing w:after="120"/>
        <w:contextualSpacing/>
        <w:rPr>
          <w:rFonts w:ascii="Arial Narrow" w:hAnsi="Arial Narrow"/>
          <w:snapToGrid w:val="0"/>
          <w:sz w:val="18"/>
          <w:szCs w:val="22"/>
        </w:rPr>
      </w:pPr>
      <w:r>
        <w:rPr>
          <w:rFonts w:ascii="Arial Narrow" w:hAnsi="Arial Narrow"/>
          <w:snapToGrid w:val="0"/>
          <w:sz w:val="18"/>
          <w:szCs w:val="22"/>
          <w:vertAlign w:val="superscript"/>
        </w:rPr>
        <w:t>a</w:t>
      </w:r>
      <w:r w:rsidR="00026837" w:rsidRPr="00610FCD">
        <w:rPr>
          <w:rFonts w:ascii="Arial Narrow" w:hAnsi="Arial Narrow"/>
          <w:snapToGrid w:val="0"/>
          <w:sz w:val="18"/>
          <w:szCs w:val="22"/>
        </w:rPr>
        <w:t xml:space="preserve"> One 5 mg vial required per treatment.</w:t>
      </w:r>
    </w:p>
    <w:p w14:paraId="62819E87" w14:textId="77777777" w:rsidR="00026837" w:rsidRPr="00610FCD" w:rsidRDefault="007F2503" w:rsidP="00D32B02">
      <w:pPr>
        <w:keepNext/>
        <w:spacing w:after="120"/>
        <w:contextualSpacing/>
        <w:rPr>
          <w:rFonts w:ascii="Arial Narrow" w:hAnsi="Arial Narrow"/>
          <w:snapToGrid w:val="0"/>
          <w:sz w:val="18"/>
          <w:szCs w:val="22"/>
        </w:rPr>
      </w:pPr>
      <w:r>
        <w:rPr>
          <w:rFonts w:ascii="Arial Narrow" w:hAnsi="Arial Narrow"/>
          <w:snapToGrid w:val="0"/>
          <w:sz w:val="18"/>
          <w:szCs w:val="22"/>
          <w:vertAlign w:val="superscript"/>
        </w:rPr>
        <w:t>b</w:t>
      </w:r>
      <w:r w:rsidR="00026837" w:rsidRPr="00610FCD">
        <w:rPr>
          <w:rFonts w:ascii="Arial Narrow" w:hAnsi="Arial Narrow"/>
          <w:snapToGrid w:val="0"/>
          <w:sz w:val="18"/>
          <w:szCs w:val="22"/>
        </w:rPr>
        <w:t xml:space="preserve"> Weighted price based on assumed </w:t>
      </w:r>
      <w:r w:rsidR="00BD1703" w:rsidRPr="00610FCD">
        <w:rPr>
          <w:rFonts w:ascii="Arial Narrow" w:hAnsi="Arial Narrow"/>
          <w:snapToGrid w:val="0"/>
          <w:sz w:val="18"/>
          <w:szCs w:val="22"/>
        </w:rPr>
        <w:t>6.25</w:t>
      </w:r>
      <w:r w:rsidR="00026837" w:rsidRPr="00610FCD">
        <w:rPr>
          <w:rFonts w:ascii="Arial Narrow" w:hAnsi="Arial Narrow"/>
          <w:snapToGrid w:val="0"/>
          <w:sz w:val="18"/>
          <w:szCs w:val="22"/>
        </w:rPr>
        <w:t>%/</w:t>
      </w:r>
      <w:r w:rsidR="00BD1703" w:rsidRPr="00610FCD">
        <w:rPr>
          <w:rFonts w:ascii="Arial Narrow" w:hAnsi="Arial Narrow"/>
          <w:snapToGrid w:val="0"/>
          <w:sz w:val="18"/>
          <w:szCs w:val="22"/>
        </w:rPr>
        <w:t>93.75</w:t>
      </w:r>
      <w:r w:rsidR="00026837" w:rsidRPr="00610FCD">
        <w:rPr>
          <w:rFonts w:ascii="Arial Narrow" w:hAnsi="Arial Narrow"/>
          <w:snapToGrid w:val="0"/>
          <w:sz w:val="18"/>
          <w:szCs w:val="22"/>
        </w:rPr>
        <w:t>% public/private split (based on idarubicin PBS dispensing data for January 20</w:t>
      </w:r>
      <w:r w:rsidR="00BD1703" w:rsidRPr="00610FCD">
        <w:rPr>
          <w:rFonts w:ascii="Arial Narrow" w:hAnsi="Arial Narrow"/>
          <w:snapToGrid w:val="0"/>
          <w:sz w:val="18"/>
          <w:szCs w:val="22"/>
        </w:rPr>
        <w:t>20</w:t>
      </w:r>
      <w:r w:rsidR="00026837" w:rsidRPr="00610FCD">
        <w:rPr>
          <w:rFonts w:ascii="Arial Narrow" w:hAnsi="Arial Narrow"/>
          <w:snapToGrid w:val="0"/>
          <w:sz w:val="18"/>
          <w:szCs w:val="22"/>
        </w:rPr>
        <w:t xml:space="preserve"> to December 20</w:t>
      </w:r>
      <w:r w:rsidR="00BD1703" w:rsidRPr="00610FCD">
        <w:rPr>
          <w:rFonts w:ascii="Arial Narrow" w:hAnsi="Arial Narrow"/>
          <w:snapToGrid w:val="0"/>
          <w:sz w:val="18"/>
          <w:szCs w:val="22"/>
        </w:rPr>
        <w:t>20</w:t>
      </w:r>
      <w:r w:rsidR="00026837" w:rsidRPr="00610FCD">
        <w:rPr>
          <w:rFonts w:ascii="Arial Narrow" w:hAnsi="Arial Narrow"/>
          <w:snapToGrid w:val="0"/>
          <w:sz w:val="18"/>
          <w:szCs w:val="22"/>
        </w:rPr>
        <w:t>).</w:t>
      </w:r>
    </w:p>
    <w:p w14:paraId="21AB80BB" w14:textId="77777777" w:rsidR="00494207" w:rsidRPr="00610FCD" w:rsidRDefault="00293F42" w:rsidP="002B05A1">
      <w:pPr>
        <w:pStyle w:val="ExecSumBodyText"/>
        <w:rPr>
          <w:snapToGrid/>
        </w:rPr>
      </w:pPr>
      <w:r w:rsidRPr="00610FCD">
        <w:rPr>
          <w:snapToGrid/>
        </w:rPr>
        <w:t>In the economic model, the estimated drug cost for induction and consolidation chemotherapy with gemtuzumab was $</w:t>
      </w:r>
      <w:r w:rsidR="00FF0EA4">
        <w:rPr>
          <w:noProof/>
          <w:snapToGrid/>
          <w:color w:val="000000"/>
          <w:highlight w:val="black"/>
        </w:rPr>
        <w:t>''''''''''''''</w:t>
      </w:r>
      <w:r w:rsidRPr="00610FCD">
        <w:rPr>
          <w:snapToGrid/>
        </w:rPr>
        <w:t xml:space="preserve"> (gemtuzumab: $</w:t>
      </w:r>
      <w:r w:rsidR="00FF0EA4">
        <w:rPr>
          <w:noProof/>
          <w:snapToGrid/>
          <w:color w:val="000000"/>
          <w:highlight w:val="black"/>
        </w:rPr>
        <w:t>''''''''''''''</w:t>
      </w:r>
      <w:r w:rsidRPr="00610FCD">
        <w:rPr>
          <w:snapToGrid/>
        </w:rPr>
        <w:t>, daunorubicin: $11,029, cytarabine: $5,241; using trial-based drug exposure of 100% induction 1, 14.5% induction 2, 74% consolidation 1 and 62.6% consolidation 2).</w:t>
      </w:r>
    </w:p>
    <w:p w14:paraId="4B7637B0" w14:textId="77777777" w:rsidR="00293F42" w:rsidRPr="00610FCD" w:rsidRDefault="00293F42" w:rsidP="002B05A1">
      <w:pPr>
        <w:pStyle w:val="ExecSumBodyText"/>
        <w:rPr>
          <w:snapToGrid/>
        </w:rPr>
      </w:pPr>
      <w:r w:rsidRPr="00610FCD">
        <w:rPr>
          <w:snapToGrid/>
        </w:rPr>
        <w:t>The estimated drug cost for induction and consolidation chemotherapy for standard of care was $16,275 (daunorubicin: $11,056, cytarabine: $5,219; using trial-based drug exposure of 100% induction 1, 14.5% induction 2, 70.8% consolidation 1 and 65% consolidation 2).</w:t>
      </w:r>
    </w:p>
    <w:p w14:paraId="114325CB" w14:textId="77777777" w:rsidR="00293F42" w:rsidRPr="00FB1983" w:rsidRDefault="00293F42" w:rsidP="002B05A1">
      <w:pPr>
        <w:pStyle w:val="ExecSumBodyText"/>
        <w:rPr>
          <w:iCs/>
          <w:snapToGrid/>
        </w:rPr>
      </w:pPr>
      <w:r w:rsidRPr="00FB1983">
        <w:rPr>
          <w:iCs/>
          <w:snapToGrid/>
        </w:rPr>
        <w:t>The drug costs in the resubmission were revised compared to the March 2021 submission primarily due to the use of a lower proposed price for gemtuzumab and removal of the additional cost of gemtuzumab for induction therapy in patients subsequently confirming with unfavourable risk.</w:t>
      </w:r>
    </w:p>
    <w:p w14:paraId="580DA1D4" w14:textId="77777777" w:rsidR="00C40472" w:rsidRPr="00610FCD" w:rsidRDefault="00C40472" w:rsidP="00C40472">
      <w:pPr>
        <w:pStyle w:val="3-SubsectionHeading"/>
      </w:pPr>
      <w:bookmarkStart w:id="40" w:name="_Toc22897647"/>
      <w:bookmarkStart w:id="41" w:name="_Toc82591346"/>
      <w:bookmarkStart w:id="42" w:name="_Toc22897648"/>
      <w:bookmarkStart w:id="43" w:name="_Toc82591347"/>
      <w:r w:rsidRPr="00610FCD">
        <w:t>Estimated PBS usage &amp; financial implications</w:t>
      </w:r>
      <w:bookmarkEnd w:id="40"/>
      <w:bookmarkEnd w:id="41"/>
    </w:p>
    <w:p w14:paraId="1E062DFD" w14:textId="77777777" w:rsidR="00C40472" w:rsidRPr="00610FCD" w:rsidRDefault="00C40472" w:rsidP="00C40472">
      <w:pPr>
        <w:pStyle w:val="ExecSumBodyText"/>
      </w:pPr>
      <w:bookmarkStart w:id="44" w:name="_Ref88511575"/>
      <w:r w:rsidRPr="00610FCD">
        <w:t>Compared to the March 2021 submission, the main changes to this section were:</w:t>
      </w:r>
      <w:bookmarkEnd w:id="44"/>
    </w:p>
    <w:p w14:paraId="6E1F12EE" w14:textId="77777777" w:rsidR="00C40472" w:rsidRPr="00610FCD" w:rsidRDefault="00C40472" w:rsidP="00C40472">
      <w:pPr>
        <w:pStyle w:val="ExecSumBodyText"/>
        <w:numPr>
          <w:ilvl w:val="0"/>
          <w:numId w:val="13"/>
        </w:numPr>
        <w:spacing w:after="0"/>
        <w:ind w:left="1077" w:hanging="357"/>
      </w:pPr>
      <w:r w:rsidRPr="00610FCD">
        <w:t>Revised eligible population estimates accounting for the proportion of patients with acute promyelocytic leukaemia who would not be eligible for treatment with gemtuzumab.</w:t>
      </w:r>
    </w:p>
    <w:p w14:paraId="3926345D" w14:textId="77777777" w:rsidR="00C40472" w:rsidRPr="00610FCD" w:rsidRDefault="00C40472" w:rsidP="00C40472">
      <w:pPr>
        <w:pStyle w:val="ExecSumBodyText"/>
        <w:numPr>
          <w:ilvl w:val="0"/>
          <w:numId w:val="13"/>
        </w:numPr>
        <w:spacing w:after="0"/>
        <w:ind w:left="1077" w:hanging="357"/>
      </w:pPr>
      <w:r w:rsidRPr="00610FCD">
        <w:t>Revised size of the treated population including the assumption that 100% of patients would have cytogenetic test results prior to treatment initiation.</w:t>
      </w:r>
    </w:p>
    <w:p w14:paraId="09B3B007" w14:textId="77777777" w:rsidR="00C40472" w:rsidRPr="00610FCD" w:rsidRDefault="00C40472" w:rsidP="00C40472">
      <w:pPr>
        <w:pStyle w:val="ExecSumBodyText"/>
        <w:numPr>
          <w:ilvl w:val="0"/>
          <w:numId w:val="13"/>
        </w:numPr>
        <w:spacing w:after="0"/>
        <w:ind w:left="1077" w:hanging="357"/>
      </w:pPr>
      <w:r w:rsidRPr="00610FCD">
        <w:t>Removed grandfathering provision, previously estimated as 3 patients in Year 1.</w:t>
      </w:r>
    </w:p>
    <w:p w14:paraId="4D74A0A8" w14:textId="77777777" w:rsidR="00C40472" w:rsidRPr="00610FCD" w:rsidRDefault="00C40472" w:rsidP="00C40472">
      <w:pPr>
        <w:pStyle w:val="ExecSumBodyText"/>
        <w:numPr>
          <w:ilvl w:val="0"/>
          <w:numId w:val="13"/>
        </w:numPr>
        <w:spacing w:after="0"/>
        <w:ind w:left="1077" w:hanging="357"/>
      </w:pPr>
      <w:r w:rsidRPr="00610FCD">
        <w:t xml:space="preserve">Updated number of vials of gemtuzumab used in induction based on the trial. </w:t>
      </w:r>
    </w:p>
    <w:p w14:paraId="0E443C01" w14:textId="77777777" w:rsidR="00C40472" w:rsidRPr="00610FCD" w:rsidRDefault="00C40472" w:rsidP="00C40472">
      <w:pPr>
        <w:pStyle w:val="ExecSumBodyText"/>
        <w:numPr>
          <w:ilvl w:val="0"/>
          <w:numId w:val="13"/>
        </w:numPr>
        <w:spacing w:after="0"/>
        <w:ind w:left="1077" w:hanging="357"/>
      </w:pPr>
      <w:r w:rsidRPr="00610FCD">
        <w:t xml:space="preserve">Updated cost of gemtuzumab based on the new proposed price. </w:t>
      </w:r>
    </w:p>
    <w:p w14:paraId="6ABEA636" w14:textId="77777777" w:rsidR="00C40472" w:rsidRPr="00610FCD" w:rsidRDefault="00C40472" w:rsidP="00C40472">
      <w:pPr>
        <w:pStyle w:val="ExecSumBodyText"/>
        <w:numPr>
          <w:ilvl w:val="0"/>
          <w:numId w:val="13"/>
        </w:numPr>
        <w:spacing w:after="0"/>
        <w:ind w:left="1077" w:hanging="357"/>
      </w:pPr>
      <w:r w:rsidRPr="00610FCD">
        <w:t>Updated cost of gemtuzumab to the PBS</w:t>
      </w:r>
      <w:r>
        <w:t>/RPBS</w:t>
      </w:r>
      <w:r w:rsidRPr="00610FCD">
        <w:t xml:space="preserve"> based on proportions of use in public (non-admitted) and private hospitals (admitted and non-admitted), separately estimated for induction and consolidation settings.</w:t>
      </w:r>
    </w:p>
    <w:p w14:paraId="2EFB5A22" w14:textId="77777777" w:rsidR="00C40472" w:rsidRPr="00610FCD" w:rsidRDefault="00C40472" w:rsidP="00C40472">
      <w:pPr>
        <w:pStyle w:val="ExecSumBodyText"/>
        <w:numPr>
          <w:ilvl w:val="0"/>
          <w:numId w:val="13"/>
        </w:numPr>
        <w:spacing w:after="0"/>
        <w:ind w:left="1077" w:hanging="357"/>
      </w:pPr>
      <w:r w:rsidRPr="00610FCD">
        <w:t>Updated split of private and public hospital PBS prescriptions to determine the cost of gemtuzumab scripts and average co-payments.</w:t>
      </w:r>
    </w:p>
    <w:p w14:paraId="7BBD8F22" w14:textId="77777777" w:rsidR="00C40472" w:rsidRPr="00610FCD" w:rsidRDefault="00C40472" w:rsidP="00C40472">
      <w:pPr>
        <w:pStyle w:val="ExecSumBodyText"/>
        <w:numPr>
          <w:ilvl w:val="0"/>
          <w:numId w:val="13"/>
        </w:numPr>
        <w:spacing w:after="0"/>
        <w:ind w:left="1077" w:hanging="357"/>
      </w:pPr>
      <w:r w:rsidRPr="00610FCD">
        <w:t>The inclusion of costs to the MBS due to additional blood transfusions for the management of gemtuzumab adverse effects.</w:t>
      </w:r>
    </w:p>
    <w:p w14:paraId="322901D0" w14:textId="77777777" w:rsidR="00C40472" w:rsidRPr="00610FCD" w:rsidRDefault="00C40472" w:rsidP="00C40472">
      <w:pPr>
        <w:pStyle w:val="ExecSumBodyText"/>
        <w:numPr>
          <w:ilvl w:val="0"/>
          <w:numId w:val="13"/>
        </w:numPr>
      </w:pPr>
      <w:r w:rsidRPr="00610FCD">
        <w:t>The inclusion of costs to the National Blood Authority due to additional blood products used for the management of gemtuzumab adverse effects.</w:t>
      </w:r>
    </w:p>
    <w:p w14:paraId="6A376925" w14:textId="77777777" w:rsidR="00C40472" w:rsidRPr="00610FCD" w:rsidRDefault="00C40472" w:rsidP="00C40472">
      <w:pPr>
        <w:pStyle w:val="ExecSumBodyText"/>
      </w:pPr>
      <w:r w:rsidRPr="00FB1983">
        <w:rPr>
          <w:iCs/>
        </w:rPr>
        <w:t>The financial estimates in the resubmission were revised using a public/private hospital split of 88%/12%. During the evaluation, the sponsor clarified that these estimates were calculated in error and that the public/private hospital split should be 83%/17%. The financial estimates were corrected during the evaluation.</w:t>
      </w:r>
    </w:p>
    <w:p w14:paraId="6AC98F73" w14:textId="77777777" w:rsidR="00C40472" w:rsidRPr="00FB1983" w:rsidRDefault="00C40472" w:rsidP="00C40472">
      <w:pPr>
        <w:pStyle w:val="ExecSumBodyText"/>
        <w:rPr>
          <w:iCs/>
        </w:rPr>
      </w:pPr>
      <w:r w:rsidRPr="00FB1983">
        <w:rPr>
          <w:iCs/>
        </w:rPr>
        <w:t xml:space="preserve">The PBAC </w:t>
      </w:r>
      <w:r>
        <w:rPr>
          <w:iCs/>
        </w:rPr>
        <w:t xml:space="preserve">had </w:t>
      </w:r>
      <w:r w:rsidRPr="00FB1983">
        <w:rPr>
          <w:iCs/>
        </w:rPr>
        <w:t xml:space="preserve">previously considered that the majority of use would be in the public hospital setting, but that the estimated financial impact was highly dependent on the public hospital versus private hospital ratio of use, estimated to be 83% public hospital versus 17% private hospital in the March 2021 PSCR (para 7.14, gemtuzumab PSD, March 2021 PBAC meeting). </w:t>
      </w:r>
    </w:p>
    <w:p w14:paraId="519114E7" w14:textId="77777777" w:rsidR="00C40472" w:rsidRPr="00610FCD" w:rsidRDefault="00C40472" w:rsidP="00C40472">
      <w:pPr>
        <w:pStyle w:val="ExecSumBodyText"/>
        <w:rPr>
          <w:color w:val="0066FF"/>
        </w:rPr>
      </w:pPr>
      <w:r w:rsidRPr="00610FCD">
        <w:t xml:space="preserve">This submission </w:t>
      </w:r>
      <w:r>
        <w:t>was not</w:t>
      </w:r>
      <w:r w:rsidRPr="00610FCD">
        <w:t xml:space="preserve"> considered by DUSC</w:t>
      </w:r>
      <w:r w:rsidRPr="00610FCD">
        <w:rPr>
          <w:color w:val="0070C0"/>
        </w:rPr>
        <w:t>.</w:t>
      </w:r>
      <w:r w:rsidRPr="00610FCD">
        <w:rPr>
          <w:color w:val="0066FF"/>
        </w:rPr>
        <w:t xml:space="preserve"> </w:t>
      </w:r>
      <w:r w:rsidRPr="00610FCD">
        <w:t>The resubmission used an epidemiological approach to estimate the utilisation and financial impact of gemtuzumab. Key inputs used to determine the size of the eligible population are summarised in the table below.</w:t>
      </w:r>
    </w:p>
    <w:p w14:paraId="45DBD1F0" w14:textId="77777777" w:rsidR="00C40472" w:rsidRPr="00610FCD" w:rsidRDefault="00C40472" w:rsidP="00C40472">
      <w:pPr>
        <w:pStyle w:val="TableFigureCaption"/>
      </w:pPr>
      <w:bookmarkStart w:id="45" w:name="_Hlk82101284"/>
      <w:r>
        <w:t xml:space="preserve">Table </w:t>
      </w:r>
      <w:r w:rsidR="00F90EC3">
        <w:rPr>
          <w:noProof/>
        </w:rPr>
        <w:t>15</w:t>
      </w:r>
      <w:r w:rsidRPr="00610FCD">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inputs for financial estimates"/>
      </w:tblPr>
      <w:tblGrid>
        <w:gridCol w:w="1713"/>
        <w:gridCol w:w="3490"/>
        <w:gridCol w:w="3814"/>
      </w:tblGrid>
      <w:tr w:rsidR="00C40472" w:rsidRPr="00610FCD" w14:paraId="447CAB4E" w14:textId="77777777" w:rsidTr="009124E1">
        <w:trPr>
          <w:cantSplit/>
          <w:tblHeader/>
        </w:trPr>
        <w:tc>
          <w:tcPr>
            <w:tcW w:w="950" w:type="pct"/>
            <w:shd w:val="clear" w:color="auto" w:fill="auto"/>
            <w:vAlign w:val="center"/>
          </w:tcPr>
          <w:p w14:paraId="1D11ACDF" w14:textId="77777777" w:rsidR="00C40472" w:rsidRPr="00610FCD" w:rsidRDefault="00C40472" w:rsidP="009124E1">
            <w:pPr>
              <w:pStyle w:val="Tableheadingrow"/>
              <w:widowControl w:val="0"/>
              <w:rPr>
                <w:lang w:val="en-AU"/>
              </w:rPr>
            </w:pPr>
            <w:r w:rsidRPr="00610FCD">
              <w:rPr>
                <w:lang w:val="en-AU"/>
              </w:rPr>
              <w:t>Parameter</w:t>
            </w:r>
          </w:p>
        </w:tc>
        <w:tc>
          <w:tcPr>
            <w:tcW w:w="1935" w:type="pct"/>
            <w:shd w:val="clear" w:color="auto" w:fill="auto"/>
            <w:vAlign w:val="center"/>
          </w:tcPr>
          <w:p w14:paraId="4A21A1D5" w14:textId="77777777" w:rsidR="00C40472" w:rsidRPr="00610FCD" w:rsidRDefault="00C40472" w:rsidP="009124E1">
            <w:pPr>
              <w:pStyle w:val="Tableheadingrow"/>
              <w:widowControl w:val="0"/>
              <w:rPr>
                <w:lang w:val="en-AU"/>
              </w:rPr>
            </w:pPr>
            <w:r w:rsidRPr="00610FCD">
              <w:rPr>
                <w:lang w:val="en-AU"/>
              </w:rPr>
              <w:t>Value applied and source</w:t>
            </w:r>
          </w:p>
        </w:tc>
        <w:tc>
          <w:tcPr>
            <w:tcW w:w="2115" w:type="pct"/>
            <w:shd w:val="clear" w:color="auto" w:fill="auto"/>
            <w:vAlign w:val="center"/>
          </w:tcPr>
          <w:p w14:paraId="074A3269" w14:textId="77777777" w:rsidR="00C40472" w:rsidRPr="00610FCD" w:rsidRDefault="00C40472" w:rsidP="009124E1">
            <w:pPr>
              <w:pStyle w:val="Tableheadingrow"/>
              <w:widowControl w:val="0"/>
              <w:rPr>
                <w:lang w:val="en-AU"/>
              </w:rPr>
            </w:pPr>
            <w:r w:rsidRPr="00610FCD">
              <w:rPr>
                <w:lang w:val="en-AU"/>
              </w:rPr>
              <w:t>Comment</w:t>
            </w:r>
          </w:p>
        </w:tc>
      </w:tr>
      <w:tr w:rsidR="00C40472" w:rsidRPr="00610FCD" w14:paraId="33861D89" w14:textId="77777777" w:rsidTr="009124E1">
        <w:trPr>
          <w:cantSplit/>
        </w:trPr>
        <w:tc>
          <w:tcPr>
            <w:tcW w:w="950" w:type="pct"/>
            <w:shd w:val="clear" w:color="auto" w:fill="auto"/>
            <w:vAlign w:val="center"/>
          </w:tcPr>
          <w:p w14:paraId="7DC49BE9" w14:textId="77777777" w:rsidR="00C40472" w:rsidRPr="00610FCD" w:rsidRDefault="00C40472" w:rsidP="009124E1">
            <w:pPr>
              <w:pStyle w:val="TableText"/>
              <w:widowControl w:val="0"/>
            </w:pPr>
            <w:r w:rsidRPr="00610FCD">
              <w:t>AML incidence</w:t>
            </w:r>
          </w:p>
        </w:tc>
        <w:tc>
          <w:tcPr>
            <w:tcW w:w="1935" w:type="pct"/>
            <w:shd w:val="clear" w:color="auto" w:fill="auto"/>
            <w:vAlign w:val="center"/>
          </w:tcPr>
          <w:p w14:paraId="7A9E2BE8" w14:textId="77777777" w:rsidR="00C40472" w:rsidRPr="00610FCD" w:rsidRDefault="00C40472" w:rsidP="009124E1">
            <w:pPr>
              <w:pStyle w:val="TableText"/>
              <w:widowControl w:val="0"/>
            </w:pPr>
            <w:r w:rsidRPr="00610FCD">
              <w:t>4.2 per 100,000. AIHW Cancer Data in Australia (2021). Fixed incidence over 6 years, applied to Australian population ≥15 years.</w:t>
            </w:r>
          </w:p>
        </w:tc>
        <w:tc>
          <w:tcPr>
            <w:tcW w:w="2115" w:type="pct"/>
            <w:shd w:val="clear" w:color="auto" w:fill="auto"/>
            <w:vAlign w:val="center"/>
          </w:tcPr>
          <w:p w14:paraId="210763A3" w14:textId="77777777" w:rsidR="00C40472" w:rsidRPr="00610FCD" w:rsidRDefault="00C40472" w:rsidP="009124E1">
            <w:pPr>
              <w:pStyle w:val="TableText"/>
              <w:widowControl w:val="0"/>
            </w:pPr>
            <w:r w:rsidRPr="00FB1983">
              <w:rPr>
                <w:iCs/>
              </w:rPr>
              <w:t>The resubmission inappropriately applied a rate based on the whole Australian population to the Australian population ≥15 years. This may result in an underestimate of the size of the incident population; however, the difference is likely to be small.</w:t>
            </w:r>
            <w:r w:rsidR="002C3C53">
              <w:rPr>
                <w:iCs/>
              </w:rPr>
              <w:t xml:space="preserve"> Moreover, the PBAC considered it not unreasonable for the PBS listing to be silent on age.</w:t>
            </w:r>
          </w:p>
        </w:tc>
      </w:tr>
      <w:tr w:rsidR="00C40472" w:rsidRPr="00FB1983" w14:paraId="0FF77BFD" w14:textId="77777777" w:rsidTr="009124E1">
        <w:trPr>
          <w:cantSplit/>
        </w:trPr>
        <w:tc>
          <w:tcPr>
            <w:tcW w:w="950" w:type="pct"/>
            <w:shd w:val="clear" w:color="auto" w:fill="auto"/>
            <w:vAlign w:val="center"/>
          </w:tcPr>
          <w:p w14:paraId="3B27E8E3" w14:textId="77777777" w:rsidR="00C40472" w:rsidRPr="00FB1983" w:rsidRDefault="00C40472" w:rsidP="009124E1">
            <w:pPr>
              <w:pStyle w:val="TableText"/>
              <w:widowControl w:val="0"/>
            </w:pPr>
            <w:r w:rsidRPr="00FB1983">
              <w:t>Proportion of AML patients without APL</w:t>
            </w:r>
          </w:p>
        </w:tc>
        <w:tc>
          <w:tcPr>
            <w:tcW w:w="1935" w:type="pct"/>
            <w:shd w:val="clear" w:color="auto" w:fill="auto"/>
            <w:vAlign w:val="center"/>
          </w:tcPr>
          <w:p w14:paraId="051E1752" w14:textId="77777777" w:rsidR="00C40472" w:rsidRPr="00FB1983" w:rsidRDefault="00C40472" w:rsidP="009124E1">
            <w:pPr>
              <w:pStyle w:val="TableText"/>
              <w:widowControl w:val="0"/>
            </w:pPr>
            <w:r w:rsidRPr="00FB1983">
              <w:t>92%. Based on an average of 8% with APL using data from the ALLG NBCR AML registry (6%) and the proportion listed on the Leukaemia Foundation website (10%).</w:t>
            </w:r>
          </w:p>
        </w:tc>
        <w:tc>
          <w:tcPr>
            <w:tcW w:w="2115" w:type="pct"/>
            <w:shd w:val="clear" w:color="auto" w:fill="auto"/>
            <w:vAlign w:val="center"/>
          </w:tcPr>
          <w:p w14:paraId="6E7169DF" w14:textId="77777777" w:rsidR="00C40472" w:rsidRPr="00FB1983" w:rsidRDefault="00C40472" w:rsidP="009124E1">
            <w:pPr>
              <w:pStyle w:val="TableText"/>
              <w:widowControl w:val="0"/>
            </w:pPr>
            <w:r w:rsidRPr="00FB1983">
              <w:t>This estimate was uncertain. The authors of the ALLG NBCR Report noted the dataset was limited by low population coverage (approximately 30% of all AML cases), which may limit its applicability to the whole AML population. No reference could be identified as the basis of the proportion noted on the Leukaemia Foundation website.</w:t>
            </w:r>
          </w:p>
        </w:tc>
      </w:tr>
      <w:tr w:rsidR="00C40472" w:rsidRPr="00FB1983" w14:paraId="1480572E" w14:textId="77777777" w:rsidTr="009124E1">
        <w:trPr>
          <w:cantSplit/>
        </w:trPr>
        <w:tc>
          <w:tcPr>
            <w:tcW w:w="950" w:type="pct"/>
            <w:shd w:val="clear" w:color="auto" w:fill="auto"/>
            <w:vAlign w:val="center"/>
          </w:tcPr>
          <w:p w14:paraId="245C42A6" w14:textId="77777777" w:rsidR="00C40472" w:rsidRPr="00FB1983" w:rsidRDefault="00C40472" w:rsidP="009124E1">
            <w:pPr>
              <w:pStyle w:val="TableText"/>
              <w:widowControl w:val="0"/>
            </w:pPr>
            <w:r w:rsidRPr="00FB1983">
              <w:t>Proportion of patients with de novo AML</w:t>
            </w:r>
          </w:p>
        </w:tc>
        <w:tc>
          <w:tcPr>
            <w:tcW w:w="1935" w:type="pct"/>
            <w:shd w:val="clear" w:color="auto" w:fill="auto"/>
            <w:vAlign w:val="center"/>
          </w:tcPr>
          <w:p w14:paraId="02759474" w14:textId="77777777" w:rsidR="00C40472" w:rsidRPr="00FB1983" w:rsidRDefault="00C40472" w:rsidP="009124E1">
            <w:pPr>
              <w:pStyle w:val="TableText"/>
              <w:widowControl w:val="0"/>
            </w:pPr>
            <w:r w:rsidRPr="00FB1983">
              <w:t>70%. Krauss et al. (2018) reported that 10% of AML related to prior therapies and 20% due to antecedent haematological disorder. Juliusson et al. (2009) reported that 4% of patients had therapy-related AML and 24% secondary to previous haematologic disease.</w:t>
            </w:r>
          </w:p>
        </w:tc>
        <w:tc>
          <w:tcPr>
            <w:tcW w:w="2115" w:type="pct"/>
            <w:shd w:val="clear" w:color="auto" w:fill="auto"/>
            <w:vAlign w:val="center"/>
          </w:tcPr>
          <w:p w14:paraId="73CCD7D1" w14:textId="77777777" w:rsidR="00C40472" w:rsidRPr="00FB1983" w:rsidRDefault="00C40472" w:rsidP="009124E1">
            <w:pPr>
              <w:pStyle w:val="TableText"/>
              <w:widowControl w:val="0"/>
            </w:pPr>
            <w:r w:rsidRPr="00FB1983">
              <w:t>This estimate appeared reasonable.</w:t>
            </w:r>
          </w:p>
        </w:tc>
      </w:tr>
      <w:tr w:rsidR="00C40472" w:rsidRPr="00FB1983" w14:paraId="376FACFA" w14:textId="77777777" w:rsidTr="009124E1">
        <w:trPr>
          <w:cantSplit/>
        </w:trPr>
        <w:tc>
          <w:tcPr>
            <w:tcW w:w="950" w:type="pct"/>
            <w:shd w:val="clear" w:color="auto" w:fill="auto"/>
            <w:vAlign w:val="center"/>
          </w:tcPr>
          <w:p w14:paraId="1A9D39A2" w14:textId="77777777" w:rsidR="00C40472" w:rsidRPr="00FB1983" w:rsidRDefault="00C40472" w:rsidP="009124E1">
            <w:pPr>
              <w:pStyle w:val="TableText"/>
              <w:widowControl w:val="0"/>
            </w:pPr>
            <w:r w:rsidRPr="00FB1983">
              <w:t>Proportion of AML patients 'fit' or eligible for intensive chemotherapy</w:t>
            </w:r>
          </w:p>
        </w:tc>
        <w:tc>
          <w:tcPr>
            <w:tcW w:w="1935" w:type="pct"/>
            <w:shd w:val="clear" w:color="auto" w:fill="auto"/>
            <w:vAlign w:val="center"/>
          </w:tcPr>
          <w:p w14:paraId="1CB8BEFD" w14:textId="77777777" w:rsidR="00C40472" w:rsidRPr="00FB1983" w:rsidRDefault="00C40472" w:rsidP="009124E1">
            <w:pPr>
              <w:pStyle w:val="TableText"/>
              <w:widowControl w:val="0"/>
            </w:pPr>
            <w:r w:rsidRPr="00FB1983">
              <w:t>62%. Based on an analysis of the Swedish Acute Leukemia Registry (2,767 patients diagnosed with non-APL AML leukaemia January 1997 to September 2005; median age 72 years, range 16-97 years), by Juliusson et al. (2009).</w:t>
            </w:r>
          </w:p>
        </w:tc>
        <w:tc>
          <w:tcPr>
            <w:tcW w:w="2115" w:type="pct"/>
            <w:shd w:val="clear" w:color="auto" w:fill="auto"/>
            <w:vAlign w:val="center"/>
          </w:tcPr>
          <w:p w14:paraId="7683C028" w14:textId="77777777" w:rsidR="00C40472" w:rsidRPr="00FB1983" w:rsidRDefault="00C40472" w:rsidP="009124E1">
            <w:pPr>
              <w:pStyle w:val="TableText"/>
              <w:widowControl w:val="0"/>
            </w:pPr>
            <w:r w:rsidRPr="00FB1983">
              <w:t>Included patients across all WHO categories (I-IV)</w:t>
            </w:r>
            <w:r w:rsidR="002C3C53">
              <w:t>, and the PBAC considered that the listing should be restricted to patients with WHO status 0-2.</w:t>
            </w:r>
            <w:r w:rsidR="002C3C53" w:rsidRPr="00FB1983" w:rsidDel="002C3C53">
              <w:t xml:space="preserve"> </w:t>
            </w:r>
          </w:p>
        </w:tc>
      </w:tr>
      <w:tr w:rsidR="00C40472" w:rsidRPr="00FB1983" w14:paraId="117DE824" w14:textId="77777777" w:rsidTr="009124E1">
        <w:trPr>
          <w:cantSplit/>
        </w:trPr>
        <w:tc>
          <w:tcPr>
            <w:tcW w:w="950" w:type="pct"/>
            <w:shd w:val="clear" w:color="auto" w:fill="auto"/>
            <w:vAlign w:val="center"/>
          </w:tcPr>
          <w:p w14:paraId="524BC2C5" w14:textId="77777777" w:rsidR="00C40472" w:rsidRPr="00FB1983" w:rsidRDefault="00C40472" w:rsidP="009124E1">
            <w:pPr>
              <w:pStyle w:val="TableText"/>
              <w:widowControl w:val="0"/>
            </w:pPr>
            <w:r w:rsidRPr="00FB1983">
              <w:t>Proportion of patients that have CD33-positive AML</w:t>
            </w:r>
          </w:p>
        </w:tc>
        <w:tc>
          <w:tcPr>
            <w:tcW w:w="1935" w:type="pct"/>
            <w:shd w:val="clear" w:color="auto" w:fill="auto"/>
            <w:vAlign w:val="center"/>
          </w:tcPr>
          <w:p w14:paraId="3F7BD223" w14:textId="77777777" w:rsidR="00C40472" w:rsidRPr="00FB1983" w:rsidRDefault="00C40472" w:rsidP="009124E1">
            <w:pPr>
              <w:pStyle w:val="TableText"/>
              <w:widowControl w:val="0"/>
            </w:pPr>
            <w:r w:rsidRPr="00FB1983">
              <w:t>90%. Assumption based on O’Hear et al., 2015 (90%); Linenberger, 2005 (85-95%); Ehninger et al., 2014 (87.8%).</w:t>
            </w:r>
          </w:p>
        </w:tc>
        <w:tc>
          <w:tcPr>
            <w:tcW w:w="2115" w:type="pct"/>
            <w:shd w:val="clear" w:color="auto" w:fill="auto"/>
            <w:vAlign w:val="center"/>
          </w:tcPr>
          <w:p w14:paraId="0C396900" w14:textId="77777777" w:rsidR="00C40472" w:rsidRPr="00FB1983" w:rsidRDefault="00C40472" w:rsidP="009124E1">
            <w:pPr>
              <w:pStyle w:val="TableText"/>
              <w:widowControl w:val="0"/>
            </w:pPr>
            <w:r w:rsidRPr="00FB1983">
              <w:t>This appeared to be reasonable.</w:t>
            </w:r>
          </w:p>
        </w:tc>
      </w:tr>
      <w:tr w:rsidR="00C40472" w:rsidRPr="00FB1983" w14:paraId="2FBAF46C" w14:textId="77777777" w:rsidTr="009124E1">
        <w:trPr>
          <w:cantSplit/>
        </w:trPr>
        <w:tc>
          <w:tcPr>
            <w:tcW w:w="950" w:type="pct"/>
            <w:shd w:val="clear" w:color="auto" w:fill="auto"/>
            <w:vAlign w:val="center"/>
          </w:tcPr>
          <w:p w14:paraId="263F56F7" w14:textId="77777777" w:rsidR="00C40472" w:rsidRPr="00FB1983" w:rsidRDefault="00C40472" w:rsidP="009124E1">
            <w:pPr>
              <w:pStyle w:val="TableText"/>
              <w:widowControl w:val="0"/>
            </w:pPr>
            <w:r w:rsidRPr="00FB1983">
              <w:t>Proportion of patients with cytogenetics results available at induction</w:t>
            </w:r>
          </w:p>
        </w:tc>
        <w:tc>
          <w:tcPr>
            <w:tcW w:w="1935" w:type="pct"/>
            <w:shd w:val="clear" w:color="auto" w:fill="auto"/>
            <w:vAlign w:val="center"/>
          </w:tcPr>
          <w:p w14:paraId="66F809CF" w14:textId="77777777" w:rsidR="00C40472" w:rsidRPr="00FB1983" w:rsidRDefault="00C40472" w:rsidP="009124E1">
            <w:pPr>
              <w:pStyle w:val="TableText"/>
              <w:widowControl w:val="0"/>
            </w:pPr>
            <w:r w:rsidRPr="00FB1983">
              <w:t>100%. Assumption. The resubmission claimed that based on expert opinion, all patients would receive cytogenetic results prior to induction treatment with gemtuzumab (Expert opinion June 2021, Attachment 11 of the resubmission).</w:t>
            </w:r>
          </w:p>
        </w:tc>
        <w:tc>
          <w:tcPr>
            <w:tcW w:w="2115" w:type="pct"/>
            <w:shd w:val="clear" w:color="auto" w:fill="auto"/>
            <w:vAlign w:val="center"/>
          </w:tcPr>
          <w:p w14:paraId="549D405C" w14:textId="77777777" w:rsidR="00C40472" w:rsidRPr="00FB1983" w:rsidRDefault="00A04C40" w:rsidP="009124E1">
            <w:pPr>
              <w:pStyle w:val="TableText"/>
              <w:widowControl w:val="0"/>
            </w:pPr>
            <w:r>
              <w:rPr>
                <w:iCs/>
              </w:rPr>
              <w:t>This appeared to be reasonable.</w:t>
            </w:r>
          </w:p>
        </w:tc>
      </w:tr>
      <w:tr w:rsidR="00C40472" w:rsidRPr="00FB1983" w14:paraId="091874E7" w14:textId="77777777" w:rsidTr="009124E1">
        <w:trPr>
          <w:cantSplit/>
        </w:trPr>
        <w:tc>
          <w:tcPr>
            <w:tcW w:w="950" w:type="pct"/>
            <w:shd w:val="clear" w:color="auto" w:fill="auto"/>
            <w:vAlign w:val="center"/>
          </w:tcPr>
          <w:p w14:paraId="323F9566" w14:textId="77777777" w:rsidR="00C40472" w:rsidRPr="00FB1983" w:rsidRDefault="00C40472" w:rsidP="009124E1">
            <w:pPr>
              <w:pStyle w:val="TableText"/>
              <w:widowControl w:val="0"/>
            </w:pPr>
            <w:bookmarkStart w:id="46" w:name="_Hlk88638692"/>
            <w:r w:rsidRPr="00FB1983">
              <w:t>Proportion of patients with favourable/ intermediate/unknown cytogenetic risk</w:t>
            </w:r>
            <w:bookmarkEnd w:id="46"/>
          </w:p>
        </w:tc>
        <w:tc>
          <w:tcPr>
            <w:tcW w:w="1935" w:type="pct"/>
            <w:shd w:val="clear" w:color="auto" w:fill="auto"/>
            <w:vAlign w:val="center"/>
          </w:tcPr>
          <w:p w14:paraId="4C532C71" w14:textId="77777777" w:rsidR="00C40472" w:rsidRPr="00FB1983" w:rsidRDefault="00C40472" w:rsidP="009124E1">
            <w:pPr>
              <w:pStyle w:val="TableText"/>
              <w:widowControl w:val="0"/>
            </w:pPr>
            <w:r w:rsidRPr="00FB1983">
              <w:t>78.9%. Based on ALFA-0701, 21.0% of patients had unfavourable cytogenetics (3.3% favourable, 66.4% intermediate, 9.2% unknown).</w:t>
            </w:r>
          </w:p>
        </w:tc>
        <w:tc>
          <w:tcPr>
            <w:tcW w:w="2115" w:type="pct"/>
            <w:shd w:val="clear" w:color="auto" w:fill="auto"/>
            <w:vAlign w:val="center"/>
          </w:tcPr>
          <w:p w14:paraId="2DDCC258" w14:textId="77777777" w:rsidR="00C40472" w:rsidRPr="00FB1983" w:rsidRDefault="00C40472" w:rsidP="00F04222">
            <w:pPr>
              <w:keepNext/>
              <w:widowControl w:val="0"/>
              <w:jc w:val="left"/>
              <w:rPr>
                <w:rFonts w:ascii="Arial Narrow" w:eastAsiaTheme="majorEastAsia" w:hAnsi="Arial Narrow" w:cstheme="majorBidi"/>
                <w:bCs/>
                <w:iCs/>
                <w:sz w:val="20"/>
              </w:rPr>
            </w:pPr>
            <w:r w:rsidRPr="00FB1983">
              <w:rPr>
                <w:rFonts w:ascii="Arial Narrow" w:eastAsiaTheme="majorEastAsia" w:hAnsi="Arial Narrow" w:cstheme="majorBidi"/>
                <w:bCs/>
                <w:iCs/>
                <w:sz w:val="20"/>
              </w:rPr>
              <w:t xml:space="preserve">Changes in the methods used to characterise cytogenetic risk suggest that the ALFA-0701 trial population may not be representative of the proposed PBS population. </w:t>
            </w:r>
          </w:p>
        </w:tc>
      </w:tr>
      <w:tr w:rsidR="00C40472" w:rsidRPr="00610FCD" w14:paraId="0CB8C944" w14:textId="77777777" w:rsidTr="009124E1">
        <w:trPr>
          <w:cantSplit/>
        </w:trPr>
        <w:tc>
          <w:tcPr>
            <w:tcW w:w="950" w:type="pct"/>
            <w:shd w:val="clear" w:color="auto" w:fill="auto"/>
            <w:vAlign w:val="center"/>
          </w:tcPr>
          <w:p w14:paraId="0A49679C" w14:textId="77777777" w:rsidR="00C40472" w:rsidRPr="00610FCD" w:rsidRDefault="00C40472" w:rsidP="009124E1">
            <w:pPr>
              <w:pStyle w:val="TableText"/>
              <w:widowControl w:val="0"/>
            </w:pPr>
            <w:r w:rsidRPr="00610FCD">
              <w:t>Proportion of patients who are not FLT3-mutation positive</w:t>
            </w:r>
          </w:p>
        </w:tc>
        <w:tc>
          <w:tcPr>
            <w:tcW w:w="1935" w:type="pct"/>
            <w:shd w:val="clear" w:color="auto" w:fill="auto"/>
            <w:vAlign w:val="center"/>
          </w:tcPr>
          <w:p w14:paraId="3D188D29" w14:textId="77777777" w:rsidR="00C40472" w:rsidRPr="00610FCD" w:rsidRDefault="00C40472" w:rsidP="009124E1">
            <w:pPr>
              <w:pStyle w:val="TableText"/>
              <w:widowControl w:val="0"/>
            </w:pPr>
            <w:r w:rsidRPr="00610FCD">
              <w:t>70%. Expert opinion (Sept 2020) indicating that midostaurin is the treatment of choice for patients with FLT3-positive AML. The assumption of 70% represents the proportion of patients that do not have FLT3-positive AML (Daver et al., 2019).</w:t>
            </w:r>
          </w:p>
        </w:tc>
        <w:tc>
          <w:tcPr>
            <w:tcW w:w="2115" w:type="pct"/>
            <w:shd w:val="clear" w:color="auto" w:fill="auto"/>
            <w:vAlign w:val="center"/>
          </w:tcPr>
          <w:p w14:paraId="71EC2E4A" w14:textId="77777777" w:rsidR="00C40472" w:rsidRPr="00610FCD" w:rsidRDefault="00C40472" w:rsidP="00B55739">
            <w:pPr>
              <w:pStyle w:val="TableText"/>
              <w:widowControl w:val="0"/>
            </w:pPr>
            <w:r w:rsidRPr="00FB1983">
              <w:rPr>
                <w:iCs/>
              </w:rPr>
              <w:t>The estimated proportion of patients who are FLT3-mutation positive was based on all newly diagnosed cases, which was inappropriately applied to the subgroup with favourable/ intermediate/unknown risk only.</w:t>
            </w:r>
            <w:r w:rsidR="00B55739">
              <w:rPr>
                <w:iCs/>
              </w:rPr>
              <w:t xml:space="preserve"> </w:t>
            </w:r>
            <w:r w:rsidR="00B55739" w:rsidRPr="00FB1983">
              <w:rPr>
                <w:bCs w:val="0"/>
                <w:iCs/>
              </w:rPr>
              <w:t>FLT3 mutation is associated with intermediate/adverse risk</w:t>
            </w:r>
            <w:r w:rsidR="00B55739" w:rsidDel="00B55739">
              <w:rPr>
                <w:rStyle w:val="CommentReference"/>
                <w:rFonts w:ascii="Calibri" w:eastAsia="Times New Roman" w:hAnsi="Calibri" w:cs="Arial"/>
                <w:bCs w:val="0"/>
              </w:rPr>
              <w:t xml:space="preserve"> </w:t>
            </w:r>
            <w:r w:rsidR="00B55739" w:rsidRPr="00B55739">
              <w:rPr>
                <w:iCs/>
              </w:rPr>
              <w:t>and so</w:t>
            </w:r>
            <w:r w:rsidR="00B55739">
              <w:rPr>
                <w:rStyle w:val="CommentReference"/>
                <w:rFonts w:ascii="Calibri" w:eastAsia="Times New Roman" w:hAnsi="Calibri" w:cs="Arial"/>
                <w:bCs w:val="0"/>
              </w:rPr>
              <w:t xml:space="preserve"> </w:t>
            </w:r>
            <w:r w:rsidR="00B55739" w:rsidRPr="00B55739">
              <w:rPr>
                <w:iCs/>
              </w:rPr>
              <w:t>the proportion may be higher than 70% in the subgroup</w:t>
            </w:r>
            <w:r w:rsidR="00B55739">
              <w:rPr>
                <w:rStyle w:val="CommentReference"/>
                <w:rFonts w:ascii="Calibri" w:eastAsia="Times New Roman" w:hAnsi="Calibri" w:cs="Arial"/>
                <w:bCs w:val="0"/>
              </w:rPr>
              <w:t>.</w:t>
            </w:r>
          </w:p>
        </w:tc>
      </w:tr>
    </w:tbl>
    <w:p w14:paraId="280DFD43" w14:textId="77777777" w:rsidR="00C40472" w:rsidRDefault="00C40472" w:rsidP="00B55739">
      <w:pPr>
        <w:pStyle w:val="TableFigureFooter"/>
      </w:pPr>
      <w:r w:rsidRPr="00610FCD">
        <w:t>Source: Table 4.1.1, p277 of the resubmission.</w:t>
      </w:r>
    </w:p>
    <w:p w14:paraId="3BB9B8B9" w14:textId="77777777" w:rsidR="00C40472" w:rsidRPr="00610FCD" w:rsidRDefault="00C40472" w:rsidP="00B55739">
      <w:pPr>
        <w:pStyle w:val="TableFigureFooter"/>
      </w:pPr>
      <w:r w:rsidRPr="00610FCD">
        <w:t xml:space="preserve">AIHW, Australian Institute of Health and Welfare; AML, acute myeloid leukaemia; APL, </w:t>
      </w:r>
      <w:bookmarkStart w:id="47" w:name="_Hlk81994206"/>
      <w:r w:rsidRPr="00610FCD">
        <w:t>acute promyelocytic leuk</w:t>
      </w:r>
      <w:r>
        <w:t>a</w:t>
      </w:r>
      <w:r w:rsidRPr="00610FCD">
        <w:t>emia</w:t>
      </w:r>
      <w:bookmarkEnd w:id="47"/>
      <w:r w:rsidRPr="00610FCD">
        <w:t>; CD, cluster of differentiation; ECOG, Eastern Cooperative Oncology Group; WHO, World Health Organization; Yr, Year.</w:t>
      </w:r>
    </w:p>
    <w:bookmarkEnd w:id="45"/>
    <w:p w14:paraId="5EF072B0" w14:textId="77777777" w:rsidR="00C40472" w:rsidRPr="00610FCD" w:rsidRDefault="00C40472" w:rsidP="0071015C">
      <w:pPr>
        <w:pStyle w:val="ExecSumBodyText"/>
      </w:pPr>
      <w:r w:rsidRPr="00610FCD">
        <w:t>The table below presents the estimated utilisation and financial impact of listing gemtuzumab on the PBS/RPBS</w:t>
      </w:r>
      <w:r w:rsidR="0071015C">
        <w:t>, based on the resubmission’s proposed price, not the price offered in the pre-PBAC response</w:t>
      </w:r>
      <w:r w:rsidRPr="00610FCD">
        <w:t>.</w:t>
      </w:r>
      <w:r w:rsidR="0071015C">
        <w:t xml:space="preserve"> </w:t>
      </w:r>
    </w:p>
    <w:p w14:paraId="496CAFD7" w14:textId="77777777" w:rsidR="00C40472" w:rsidRPr="00610FCD" w:rsidRDefault="00C40472" w:rsidP="00C40472">
      <w:pPr>
        <w:pStyle w:val="TableFigureCaption"/>
      </w:pPr>
      <w:r>
        <w:t xml:space="preserve">Table </w:t>
      </w:r>
      <w:r w:rsidR="00F90EC3">
        <w:rPr>
          <w:noProof/>
        </w:rPr>
        <w:t>16</w:t>
      </w:r>
      <w:r w:rsidRPr="00610FCD">
        <w:t xml:space="preserve">: Estimated </w:t>
      </w:r>
      <w:r>
        <w:t>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w:tblPr>
      <w:tblGrid>
        <w:gridCol w:w="2405"/>
        <w:gridCol w:w="1110"/>
        <w:gridCol w:w="1110"/>
        <w:gridCol w:w="1111"/>
        <w:gridCol w:w="1110"/>
        <w:gridCol w:w="1110"/>
        <w:gridCol w:w="1111"/>
      </w:tblGrid>
      <w:tr w:rsidR="00C40472" w:rsidRPr="00610FCD" w14:paraId="5A1E3631" w14:textId="77777777" w:rsidTr="009124E1">
        <w:trPr>
          <w:trHeight w:val="170"/>
          <w:tblHeader/>
        </w:trPr>
        <w:tc>
          <w:tcPr>
            <w:tcW w:w="2405" w:type="dxa"/>
            <w:shd w:val="clear" w:color="auto" w:fill="auto"/>
            <w:vAlign w:val="center"/>
          </w:tcPr>
          <w:p w14:paraId="69A2A624" w14:textId="77777777" w:rsidR="00C40472" w:rsidRPr="00610FCD" w:rsidRDefault="00C40472" w:rsidP="009124E1">
            <w:pPr>
              <w:pStyle w:val="TableText"/>
              <w:keepNext w:val="0"/>
              <w:widowControl w:val="0"/>
              <w:jc w:val="center"/>
              <w:rPr>
                <w:b/>
                <w:bCs w:val="0"/>
              </w:rPr>
            </w:pPr>
          </w:p>
        </w:tc>
        <w:tc>
          <w:tcPr>
            <w:tcW w:w="1110" w:type="dxa"/>
            <w:shd w:val="clear" w:color="auto" w:fill="auto"/>
            <w:vAlign w:val="center"/>
          </w:tcPr>
          <w:p w14:paraId="1FCCA785" w14:textId="77777777" w:rsidR="00C40472" w:rsidRPr="00610FCD" w:rsidRDefault="00C40472" w:rsidP="009124E1">
            <w:pPr>
              <w:pStyle w:val="TableText"/>
              <w:keepNext w:val="0"/>
              <w:widowControl w:val="0"/>
              <w:jc w:val="center"/>
              <w:rPr>
                <w:b/>
                <w:bCs w:val="0"/>
              </w:rPr>
            </w:pPr>
            <w:r w:rsidRPr="00610FCD">
              <w:rPr>
                <w:b/>
                <w:bCs w:val="0"/>
              </w:rPr>
              <w:t>Year 1</w:t>
            </w:r>
          </w:p>
          <w:p w14:paraId="09435723" w14:textId="77777777" w:rsidR="00C40472" w:rsidRPr="00610FCD" w:rsidRDefault="00C40472" w:rsidP="009124E1">
            <w:pPr>
              <w:pStyle w:val="TableText"/>
              <w:keepNext w:val="0"/>
              <w:widowControl w:val="0"/>
              <w:jc w:val="center"/>
              <w:rPr>
                <w:b/>
                <w:bCs w:val="0"/>
              </w:rPr>
            </w:pPr>
          </w:p>
        </w:tc>
        <w:tc>
          <w:tcPr>
            <w:tcW w:w="1110" w:type="dxa"/>
            <w:shd w:val="clear" w:color="auto" w:fill="auto"/>
            <w:vAlign w:val="center"/>
          </w:tcPr>
          <w:p w14:paraId="77728791" w14:textId="77777777" w:rsidR="00C40472" w:rsidRPr="00610FCD" w:rsidRDefault="00C40472" w:rsidP="009124E1">
            <w:pPr>
              <w:pStyle w:val="TableText"/>
              <w:keepNext w:val="0"/>
              <w:widowControl w:val="0"/>
              <w:jc w:val="center"/>
              <w:rPr>
                <w:b/>
                <w:bCs w:val="0"/>
              </w:rPr>
            </w:pPr>
            <w:r w:rsidRPr="00610FCD">
              <w:rPr>
                <w:b/>
                <w:bCs w:val="0"/>
              </w:rPr>
              <w:t>Year 2</w:t>
            </w:r>
          </w:p>
          <w:p w14:paraId="7FC7CC2B" w14:textId="77777777" w:rsidR="00C40472" w:rsidRPr="00610FCD" w:rsidRDefault="00C40472" w:rsidP="009124E1">
            <w:pPr>
              <w:pStyle w:val="TableText"/>
              <w:keepNext w:val="0"/>
              <w:widowControl w:val="0"/>
              <w:jc w:val="center"/>
              <w:rPr>
                <w:b/>
                <w:bCs w:val="0"/>
              </w:rPr>
            </w:pPr>
          </w:p>
        </w:tc>
        <w:tc>
          <w:tcPr>
            <w:tcW w:w="1111" w:type="dxa"/>
            <w:shd w:val="clear" w:color="auto" w:fill="auto"/>
            <w:vAlign w:val="center"/>
          </w:tcPr>
          <w:p w14:paraId="2EF08FA0" w14:textId="77777777" w:rsidR="00C40472" w:rsidRPr="00610FCD" w:rsidRDefault="00C40472" w:rsidP="009124E1">
            <w:pPr>
              <w:pStyle w:val="TableText"/>
              <w:keepNext w:val="0"/>
              <w:widowControl w:val="0"/>
              <w:jc w:val="center"/>
              <w:rPr>
                <w:b/>
                <w:bCs w:val="0"/>
              </w:rPr>
            </w:pPr>
            <w:r w:rsidRPr="00610FCD">
              <w:rPr>
                <w:b/>
                <w:bCs w:val="0"/>
              </w:rPr>
              <w:t>Year 3</w:t>
            </w:r>
          </w:p>
          <w:p w14:paraId="5DC2A64B" w14:textId="77777777" w:rsidR="00C40472" w:rsidRPr="00610FCD" w:rsidRDefault="00C40472" w:rsidP="009124E1">
            <w:pPr>
              <w:pStyle w:val="TableText"/>
              <w:keepNext w:val="0"/>
              <w:widowControl w:val="0"/>
              <w:jc w:val="center"/>
              <w:rPr>
                <w:b/>
                <w:bCs w:val="0"/>
              </w:rPr>
            </w:pPr>
          </w:p>
        </w:tc>
        <w:tc>
          <w:tcPr>
            <w:tcW w:w="1110" w:type="dxa"/>
            <w:shd w:val="clear" w:color="auto" w:fill="auto"/>
            <w:vAlign w:val="center"/>
          </w:tcPr>
          <w:p w14:paraId="0F727BCB" w14:textId="77777777" w:rsidR="00C40472" w:rsidRPr="00610FCD" w:rsidRDefault="00C40472" w:rsidP="009124E1">
            <w:pPr>
              <w:pStyle w:val="TableText"/>
              <w:keepNext w:val="0"/>
              <w:widowControl w:val="0"/>
              <w:jc w:val="center"/>
              <w:rPr>
                <w:b/>
                <w:bCs w:val="0"/>
              </w:rPr>
            </w:pPr>
            <w:r w:rsidRPr="00610FCD">
              <w:rPr>
                <w:b/>
                <w:bCs w:val="0"/>
              </w:rPr>
              <w:t>Year 4</w:t>
            </w:r>
          </w:p>
          <w:p w14:paraId="3603C77B" w14:textId="77777777" w:rsidR="00C40472" w:rsidRPr="00610FCD" w:rsidRDefault="00C40472" w:rsidP="009124E1">
            <w:pPr>
              <w:pStyle w:val="TableText"/>
              <w:keepNext w:val="0"/>
              <w:widowControl w:val="0"/>
              <w:jc w:val="center"/>
              <w:rPr>
                <w:b/>
                <w:bCs w:val="0"/>
              </w:rPr>
            </w:pPr>
          </w:p>
        </w:tc>
        <w:tc>
          <w:tcPr>
            <w:tcW w:w="1110" w:type="dxa"/>
            <w:shd w:val="clear" w:color="auto" w:fill="auto"/>
            <w:vAlign w:val="center"/>
          </w:tcPr>
          <w:p w14:paraId="4A087E05" w14:textId="77777777" w:rsidR="00C40472" w:rsidRPr="00610FCD" w:rsidRDefault="00C40472" w:rsidP="009124E1">
            <w:pPr>
              <w:pStyle w:val="TableText"/>
              <w:keepNext w:val="0"/>
              <w:widowControl w:val="0"/>
              <w:jc w:val="center"/>
              <w:rPr>
                <w:b/>
                <w:bCs w:val="0"/>
              </w:rPr>
            </w:pPr>
            <w:r w:rsidRPr="00610FCD">
              <w:rPr>
                <w:b/>
                <w:bCs w:val="0"/>
              </w:rPr>
              <w:t>Year 5</w:t>
            </w:r>
          </w:p>
          <w:p w14:paraId="42D75278" w14:textId="77777777" w:rsidR="00C40472" w:rsidRPr="00610FCD" w:rsidRDefault="00C40472" w:rsidP="009124E1">
            <w:pPr>
              <w:pStyle w:val="TableText"/>
              <w:keepNext w:val="0"/>
              <w:widowControl w:val="0"/>
              <w:jc w:val="center"/>
              <w:rPr>
                <w:b/>
                <w:bCs w:val="0"/>
              </w:rPr>
            </w:pPr>
          </w:p>
        </w:tc>
        <w:tc>
          <w:tcPr>
            <w:tcW w:w="1111" w:type="dxa"/>
            <w:shd w:val="clear" w:color="auto" w:fill="auto"/>
            <w:vAlign w:val="center"/>
          </w:tcPr>
          <w:p w14:paraId="59839877" w14:textId="77777777" w:rsidR="00C40472" w:rsidRPr="00610FCD" w:rsidRDefault="00C40472" w:rsidP="009124E1">
            <w:pPr>
              <w:pStyle w:val="TableText"/>
              <w:keepNext w:val="0"/>
              <w:widowControl w:val="0"/>
              <w:jc w:val="center"/>
              <w:rPr>
                <w:b/>
                <w:bCs w:val="0"/>
              </w:rPr>
            </w:pPr>
            <w:r w:rsidRPr="00610FCD">
              <w:rPr>
                <w:b/>
                <w:bCs w:val="0"/>
              </w:rPr>
              <w:t>Year 6</w:t>
            </w:r>
          </w:p>
          <w:p w14:paraId="287CE306" w14:textId="77777777" w:rsidR="00C40472" w:rsidRPr="00610FCD" w:rsidRDefault="00C40472" w:rsidP="009124E1">
            <w:pPr>
              <w:pStyle w:val="TableText"/>
              <w:keepNext w:val="0"/>
              <w:widowControl w:val="0"/>
              <w:jc w:val="center"/>
              <w:rPr>
                <w:b/>
                <w:bCs w:val="0"/>
              </w:rPr>
            </w:pPr>
          </w:p>
        </w:tc>
      </w:tr>
      <w:tr w:rsidR="00C40472" w:rsidRPr="00610FCD" w14:paraId="4EE0E400" w14:textId="77777777" w:rsidTr="009124E1">
        <w:trPr>
          <w:trHeight w:val="170"/>
        </w:trPr>
        <w:tc>
          <w:tcPr>
            <w:tcW w:w="9067" w:type="dxa"/>
            <w:gridSpan w:val="7"/>
            <w:shd w:val="clear" w:color="auto" w:fill="auto"/>
            <w:vAlign w:val="center"/>
          </w:tcPr>
          <w:p w14:paraId="5411EDE9" w14:textId="77777777" w:rsidR="00C40472" w:rsidRPr="00610FCD" w:rsidRDefault="00C40472" w:rsidP="009124E1">
            <w:pPr>
              <w:pStyle w:val="TableText"/>
              <w:keepNext w:val="0"/>
              <w:widowControl w:val="0"/>
              <w:rPr>
                <w:b/>
                <w:bCs w:val="0"/>
              </w:rPr>
            </w:pPr>
            <w:r w:rsidRPr="00610FCD">
              <w:rPr>
                <w:b/>
                <w:bCs w:val="0"/>
              </w:rPr>
              <w:t>Eligible population</w:t>
            </w:r>
          </w:p>
        </w:tc>
      </w:tr>
      <w:tr w:rsidR="00C40472" w:rsidRPr="00610FCD" w14:paraId="16A59F31" w14:textId="77777777" w:rsidTr="009124E1">
        <w:trPr>
          <w:trHeight w:val="170"/>
        </w:trPr>
        <w:tc>
          <w:tcPr>
            <w:tcW w:w="2405" w:type="dxa"/>
            <w:shd w:val="clear" w:color="auto" w:fill="auto"/>
            <w:vAlign w:val="center"/>
          </w:tcPr>
          <w:p w14:paraId="2497C478" w14:textId="77777777" w:rsidR="00C40472" w:rsidRPr="00610FCD" w:rsidRDefault="00C40472" w:rsidP="009124E1">
            <w:pPr>
              <w:pStyle w:val="TableText"/>
              <w:keepNext w:val="0"/>
              <w:widowControl w:val="0"/>
            </w:pPr>
            <w:r w:rsidRPr="00610FCD">
              <w:t xml:space="preserve">Favourable/intermediate/ unknown cytogenetics </w:t>
            </w:r>
          </w:p>
        </w:tc>
        <w:tc>
          <w:tcPr>
            <w:tcW w:w="1110" w:type="dxa"/>
            <w:shd w:val="clear" w:color="auto" w:fill="auto"/>
            <w:vAlign w:val="center"/>
          </w:tcPr>
          <w:p w14:paraId="6D58FBB8"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0" w:type="dxa"/>
            <w:shd w:val="clear" w:color="auto" w:fill="auto"/>
            <w:vAlign w:val="center"/>
          </w:tcPr>
          <w:p w14:paraId="09BDB0AB"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1" w:type="dxa"/>
            <w:shd w:val="clear" w:color="auto" w:fill="auto"/>
            <w:vAlign w:val="center"/>
          </w:tcPr>
          <w:p w14:paraId="4D2F361C"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0" w:type="dxa"/>
            <w:shd w:val="clear" w:color="auto" w:fill="auto"/>
            <w:vAlign w:val="center"/>
          </w:tcPr>
          <w:p w14:paraId="273BAD89"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0" w:type="dxa"/>
            <w:shd w:val="clear" w:color="auto" w:fill="auto"/>
            <w:vAlign w:val="center"/>
          </w:tcPr>
          <w:p w14:paraId="377D20AF"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1" w:type="dxa"/>
            <w:shd w:val="clear" w:color="auto" w:fill="auto"/>
            <w:vAlign w:val="center"/>
          </w:tcPr>
          <w:p w14:paraId="565BB117"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r>
      <w:tr w:rsidR="00C40472" w:rsidRPr="00610FCD" w14:paraId="1B425F9B" w14:textId="77777777" w:rsidTr="009124E1">
        <w:trPr>
          <w:trHeight w:val="170"/>
        </w:trPr>
        <w:tc>
          <w:tcPr>
            <w:tcW w:w="2405" w:type="dxa"/>
            <w:shd w:val="clear" w:color="auto" w:fill="DBE5F1" w:themeFill="accent1" w:themeFillTint="33"/>
            <w:vAlign w:val="center"/>
          </w:tcPr>
          <w:p w14:paraId="6AD8DA7D" w14:textId="77777777" w:rsidR="00C40472" w:rsidRPr="00610FCD" w:rsidRDefault="00C40472" w:rsidP="009124E1">
            <w:pPr>
              <w:pStyle w:val="TableText"/>
              <w:keepNext w:val="0"/>
              <w:widowControl w:val="0"/>
              <w:rPr>
                <w:b/>
                <w:bCs w:val="0"/>
              </w:rPr>
            </w:pPr>
            <w:r w:rsidRPr="00610FCD">
              <w:rPr>
                <w:b/>
                <w:bCs w:val="0"/>
              </w:rPr>
              <w:t>March 2021 submission, eligible population</w:t>
            </w:r>
          </w:p>
        </w:tc>
        <w:tc>
          <w:tcPr>
            <w:tcW w:w="1110" w:type="dxa"/>
            <w:shd w:val="clear" w:color="auto" w:fill="DBE5F1" w:themeFill="accent1" w:themeFillTint="33"/>
            <w:vAlign w:val="center"/>
          </w:tcPr>
          <w:p w14:paraId="1C42D663"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0" w:type="dxa"/>
            <w:shd w:val="clear" w:color="auto" w:fill="DBE5F1" w:themeFill="accent1" w:themeFillTint="33"/>
            <w:vAlign w:val="center"/>
          </w:tcPr>
          <w:p w14:paraId="4B2759DF"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1" w:type="dxa"/>
            <w:shd w:val="clear" w:color="auto" w:fill="DBE5F1" w:themeFill="accent1" w:themeFillTint="33"/>
            <w:vAlign w:val="center"/>
          </w:tcPr>
          <w:p w14:paraId="3FAFABE9"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0" w:type="dxa"/>
            <w:shd w:val="clear" w:color="auto" w:fill="DBE5F1" w:themeFill="accent1" w:themeFillTint="33"/>
            <w:vAlign w:val="center"/>
          </w:tcPr>
          <w:p w14:paraId="5162D2B3"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0" w:type="dxa"/>
            <w:shd w:val="clear" w:color="auto" w:fill="DBE5F1" w:themeFill="accent1" w:themeFillTint="33"/>
            <w:vAlign w:val="center"/>
          </w:tcPr>
          <w:p w14:paraId="5739FAB0"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1" w:type="dxa"/>
            <w:shd w:val="clear" w:color="auto" w:fill="DBE5F1" w:themeFill="accent1" w:themeFillTint="33"/>
            <w:vAlign w:val="center"/>
          </w:tcPr>
          <w:p w14:paraId="66530DB9"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r>
      <w:tr w:rsidR="00C40472" w:rsidRPr="00610FCD" w14:paraId="15C513C3" w14:textId="77777777" w:rsidTr="009124E1">
        <w:trPr>
          <w:trHeight w:val="170"/>
        </w:trPr>
        <w:tc>
          <w:tcPr>
            <w:tcW w:w="9067" w:type="dxa"/>
            <w:gridSpan w:val="7"/>
            <w:shd w:val="clear" w:color="auto" w:fill="auto"/>
            <w:vAlign w:val="center"/>
          </w:tcPr>
          <w:p w14:paraId="5C5A7847" w14:textId="77777777" w:rsidR="00C40472" w:rsidRPr="00610FCD" w:rsidRDefault="00C40472" w:rsidP="009124E1">
            <w:pPr>
              <w:pStyle w:val="TableText"/>
              <w:keepNext w:val="0"/>
              <w:widowControl w:val="0"/>
              <w:rPr>
                <w:b/>
                <w:bCs w:val="0"/>
                <w:color w:val="000000"/>
              </w:rPr>
            </w:pPr>
            <w:r w:rsidRPr="00610FCD">
              <w:rPr>
                <w:b/>
                <w:bCs w:val="0"/>
                <w:color w:val="000000"/>
              </w:rPr>
              <w:t>Gemtuzumab induction treatment utilisation</w:t>
            </w:r>
          </w:p>
        </w:tc>
      </w:tr>
      <w:tr w:rsidR="00C40472" w:rsidRPr="00610FCD" w14:paraId="321E75BB" w14:textId="77777777" w:rsidTr="009124E1">
        <w:trPr>
          <w:trHeight w:val="170"/>
        </w:trPr>
        <w:tc>
          <w:tcPr>
            <w:tcW w:w="2405" w:type="dxa"/>
            <w:shd w:val="clear" w:color="auto" w:fill="auto"/>
          </w:tcPr>
          <w:p w14:paraId="4493DCC2" w14:textId="77777777" w:rsidR="00C40472" w:rsidRPr="00610FCD" w:rsidRDefault="00C40472" w:rsidP="009124E1">
            <w:pPr>
              <w:pStyle w:val="TableText"/>
              <w:keepNext w:val="0"/>
              <w:widowControl w:val="0"/>
            </w:pPr>
            <w:r w:rsidRPr="00610FCD">
              <w:t>Patients without FLT3 mutation receiving induction (70%)</w:t>
            </w:r>
          </w:p>
        </w:tc>
        <w:tc>
          <w:tcPr>
            <w:tcW w:w="1110" w:type="dxa"/>
            <w:shd w:val="clear" w:color="auto" w:fill="auto"/>
            <w:vAlign w:val="center"/>
          </w:tcPr>
          <w:p w14:paraId="7788CBCD"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0" w:type="dxa"/>
            <w:shd w:val="clear" w:color="auto" w:fill="auto"/>
            <w:vAlign w:val="center"/>
          </w:tcPr>
          <w:p w14:paraId="55FF62B2"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1" w:type="dxa"/>
            <w:shd w:val="clear" w:color="auto" w:fill="auto"/>
            <w:vAlign w:val="center"/>
          </w:tcPr>
          <w:p w14:paraId="417A1DCE"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0" w:type="dxa"/>
            <w:shd w:val="clear" w:color="auto" w:fill="auto"/>
            <w:vAlign w:val="center"/>
          </w:tcPr>
          <w:p w14:paraId="04D64B32"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0" w:type="dxa"/>
            <w:shd w:val="clear" w:color="auto" w:fill="auto"/>
            <w:vAlign w:val="center"/>
          </w:tcPr>
          <w:p w14:paraId="2C0F6B19"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1" w:type="dxa"/>
            <w:shd w:val="clear" w:color="auto" w:fill="auto"/>
            <w:vAlign w:val="center"/>
          </w:tcPr>
          <w:p w14:paraId="668C5ED1"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r>
      <w:tr w:rsidR="00C40472" w:rsidRPr="00610FCD" w14:paraId="5F6C6FA5" w14:textId="77777777" w:rsidTr="009124E1">
        <w:trPr>
          <w:trHeight w:val="170"/>
        </w:trPr>
        <w:tc>
          <w:tcPr>
            <w:tcW w:w="2405" w:type="dxa"/>
            <w:shd w:val="clear" w:color="auto" w:fill="auto"/>
            <w:vAlign w:val="center"/>
          </w:tcPr>
          <w:p w14:paraId="55975FCC" w14:textId="77777777" w:rsidR="00C40472" w:rsidRPr="00610FCD" w:rsidRDefault="00C40472" w:rsidP="009124E1">
            <w:pPr>
              <w:pStyle w:val="TableText"/>
              <w:keepNext w:val="0"/>
              <w:widowControl w:val="0"/>
            </w:pPr>
            <w:r w:rsidRPr="00610FCD">
              <w:t>Private hospital admitted (17%)</w:t>
            </w:r>
          </w:p>
        </w:tc>
        <w:tc>
          <w:tcPr>
            <w:tcW w:w="1110" w:type="dxa"/>
            <w:shd w:val="clear" w:color="auto" w:fill="auto"/>
          </w:tcPr>
          <w:p w14:paraId="2B42FF49"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49002D">
              <w:rPr>
                <w:i/>
                <w:iCs/>
                <w:vertAlign w:val="superscript"/>
              </w:rPr>
              <w:t>1</w:t>
            </w:r>
          </w:p>
        </w:tc>
        <w:tc>
          <w:tcPr>
            <w:tcW w:w="1110" w:type="dxa"/>
            <w:shd w:val="clear" w:color="auto" w:fill="auto"/>
          </w:tcPr>
          <w:p w14:paraId="444855C2"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49002D">
              <w:rPr>
                <w:i/>
                <w:iCs/>
                <w:vertAlign w:val="superscript"/>
              </w:rPr>
              <w:t>1</w:t>
            </w:r>
          </w:p>
        </w:tc>
        <w:tc>
          <w:tcPr>
            <w:tcW w:w="1111" w:type="dxa"/>
            <w:shd w:val="clear" w:color="auto" w:fill="auto"/>
          </w:tcPr>
          <w:p w14:paraId="260EBCD5"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49002D">
              <w:rPr>
                <w:i/>
                <w:iCs/>
                <w:vertAlign w:val="superscript"/>
              </w:rPr>
              <w:t>1</w:t>
            </w:r>
          </w:p>
        </w:tc>
        <w:tc>
          <w:tcPr>
            <w:tcW w:w="1110" w:type="dxa"/>
            <w:shd w:val="clear" w:color="auto" w:fill="auto"/>
          </w:tcPr>
          <w:p w14:paraId="1E6F0A8D"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49002D">
              <w:rPr>
                <w:i/>
                <w:iCs/>
                <w:vertAlign w:val="superscript"/>
              </w:rPr>
              <w:t>1</w:t>
            </w:r>
          </w:p>
        </w:tc>
        <w:tc>
          <w:tcPr>
            <w:tcW w:w="1110" w:type="dxa"/>
            <w:shd w:val="clear" w:color="auto" w:fill="auto"/>
          </w:tcPr>
          <w:p w14:paraId="24F48E87"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49002D">
              <w:rPr>
                <w:i/>
                <w:iCs/>
                <w:vertAlign w:val="superscript"/>
              </w:rPr>
              <w:t>1</w:t>
            </w:r>
          </w:p>
        </w:tc>
        <w:tc>
          <w:tcPr>
            <w:tcW w:w="1111" w:type="dxa"/>
            <w:shd w:val="clear" w:color="auto" w:fill="auto"/>
          </w:tcPr>
          <w:p w14:paraId="550C9993"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49002D">
              <w:rPr>
                <w:i/>
                <w:iCs/>
                <w:vertAlign w:val="superscript"/>
              </w:rPr>
              <w:t>1</w:t>
            </w:r>
          </w:p>
        </w:tc>
      </w:tr>
      <w:tr w:rsidR="00C40472" w:rsidRPr="00610FCD" w14:paraId="32A47335" w14:textId="77777777" w:rsidTr="009124E1">
        <w:trPr>
          <w:trHeight w:val="170"/>
        </w:trPr>
        <w:tc>
          <w:tcPr>
            <w:tcW w:w="2405" w:type="dxa"/>
            <w:shd w:val="clear" w:color="auto" w:fill="auto"/>
            <w:vAlign w:val="center"/>
          </w:tcPr>
          <w:p w14:paraId="5E040593" w14:textId="77777777" w:rsidR="00C40472" w:rsidRPr="00610FCD" w:rsidRDefault="00C40472" w:rsidP="009124E1">
            <w:pPr>
              <w:pStyle w:val="TableText"/>
              <w:keepNext w:val="0"/>
              <w:widowControl w:val="0"/>
            </w:pPr>
            <w:r w:rsidRPr="00610FCD">
              <w:t>Induction scripts (2.82/patient)</w:t>
            </w:r>
          </w:p>
        </w:tc>
        <w:tc>
          <w:tcPr>
            <w:tcW w:w="1110" w:type="dxa"/>
            <w:shd w:val="clear" w:color="auto" w:fill="auto"/>
          </w:tcPr>
          <w:p w14:paraId="5B56C32C"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49002D">
              <w:rPr>
                <w:i/>
                <w:iCs/>
                <w:vertAlign w:val="superscript"/>
              </w:rPr>
              <w:t>1</w:t>
            </w:r>
          </w:p>
        </w:tc>
        <w:tc>
          <w:tcPr>
            <w:tcW w:w="1110" w:type="dxa"/>
            <w:shd w:val="clear" w:color="auto" w:fill="auto"/>
          </w:tcPr>
          <w:p w14:paraId="2A8A68F8"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49002D">
              <w:rPr>
                <w:i/>
                <w:iCs/>
                <w:vertAlign w:val="superscript"/>
              </w:rPr>
              <w:t>1</w:t>
            </w:r>
          </w:p>
        </w:tc>
        <w:tc>
          <w:tcPr>
            <w:tcW w:w="1111" w:type="dxa"/>
            <w:shd w:val="clear" w:color="auto" w:fill="auto"/>
          </w:tcPr>
          <w:p w14:paraId="1AE9C0D9"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49002D">
              <w:rPr>
                <w:i/>
                <w:iCs/>
                <w:vertAlign w:val="superscript"/>
              </w:rPr>
              <w:t>1</w:t>
            </w:r>
          </w:p>
        </w:tc>
        <w:tc>
          <w:tcPr>
            <w:tcW w:w="1110" w:type="dxa"/>
            <w:shd w:val="clear" w:color="auto" w:fill="auto"/>
          </w:tcPr>
          <w:p w14:paraId="1497F4A4"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49002D">
              <w:rPr>
                <w:i/>
                <w:iCs/>
                <w:vertAlign w:val="superscript"/>
              </w:rPr>
              <w:t>1</w:t>
            </w:r>
          </w:p>
        </w:tc>
        <w:tc>
          <w:tcPr>
            <w:tcW w:w="1110" w:type="dxa"/>
            <w:shd w:val="clear" w:color="auto" w:fill="auto"/>
          </w:tcPr>
          <w:p w14:paraId="2490E6B6"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49002D">
              <w:rPr>
                <w:i/>
                <w:iCs/>
                <w:vertAlign w:val="superscript"/>
              </w:rPr>
              <w:t>1</w:t>
            </w:r>
          </w:p>
        </w:tc>
        <w:tc>
          <w:tcPr>
            <w:tcW w:w="1111" w:type="dxa"/>
            <w:shd w:val="clear" w:color="auto" w:fill="auto"/>
          </w:tcPr>
          <w:p w14:paraId="65EF9142"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49002D">
              <w:rPr>
                <w:i/>
                <w:iCs/>
                <w:vertAlign w:val="superscript"/>
              </w:rPr>
              <w:t>1</w:t>
            </w:r>
          </w:p>
        </w:tc>
      </w:tr>
      <w:tr w:rsidR="00C40472" w:rsidRPr="00610FCD" w14:paraId="1EFEB567" w14:textId="77777777" w:rsidTr="009124E1">
        <w:trPr>
          <w:trHeight w:val="170"/>
        </w:trPr>
        <w:tc>
          <w:tcPr>
            <w:tcW w:w="2405" w:type="dxa"/>
            <w:shd w:val="clear" w:color="auto" w:fill="DBE5F1" w:themeFill="accent1" w:themeFillTint="33"/>
            <w:vAlign w:val="center"/>
          </w:tcPr>
          <w:p w14:paraId="69E4971C" w14:textId="77777777" w:rsidR="00C40472" w:rsidRPr="00610FCD" w:rsidRDefault="00C40472" w:rsidP="009124E1">
            <w:pPr>
              <w:pStyle w:val="TableText"/>
              <w:keepNext w:val="0"/>
              <w:widowControl w:val="0"/>
              <w:rPr>
                <w:b/>
                <w:bCs w:val="0"/>
              </w:rPr>
            </w:pPr>
            <w:r w:rsidRPr="00610FCD">
              <w:rPr>
                <w:b/>
                <w:bCs w:val="0"/>
              </w:rPr>
              <w:t>March 2021 submission, induction scripts</w:t>
            </w:r>
          </w:p>
        </w:tc>
        <w:tc>
          <w:tcPr>
            <w:tcW w:w="1110" w:type="dxa"/>
            <w:shd w:val="clear" w:color="auto" w:fill="DBE5F1" w:themeFill="accent1" w:themeFillTint="33"/>
            <w:vAlign w:val="center"/>
          </w:tcPr>
          <w:p w14:paraId="01860BBB" w14:textId="77777777" w:rsidR="00C40472" w:rsidRPr="00FF0EA4" w:rsidRDefault="00FF0EA4" w:rsidP="009124E1">
            <w:pPr>
              <w:pStyle w:val="TableText"/>
              <w:keepNext w:val="0"/>
              <w:widowControl w:val="0"/>
              <w:jc w:val="center"/>
              <w:rPr>
                <w:i/>
                <w:iCs/>
              </w:rPr>
            </w:pPr>
            <w:r>
              <w:rPr>
                <w:i/>
                <w:iCs/>
                <w:noProof/>
                <w:color w:val="000000"/>
                <w:highlight w:val="black"/>
              </w:rPr>
              <w:t>''''''''</w:t>
            </w:r>
            <w:r w:rsidR="0049002D" w:rsidRPr="0049002D">
              <w:rPr>
                <w:i/>
                <w:iCs/>
                <w:vertAlign w:val="superscript"/>
              </w:rPr>
              <w:t>1</w:t>
            </w:r>
          </w:p>
        </w:tc>
        <w:tc>
          <w:tcPr>
            <w:tcW w:w="1110" w:type="dxa"/>
            <w:shd w:val="clear" w:color="auto" w:fill="DBE5F1" w:themeFill="accent1" w:themeFillTint="33"/>
            <w:vAlign w:val="center"/>
          </w:tcPr>
          <w:p w14:paraId="0E7CB065" w14:textId="77777777" w:rsidR="00C40472" w:rsidRPr="00FF0EA4" w:rsidRDefault="00FF0EA4" w:rsidP="009124E1">
            <w:pPr>
              <w:pStyle w:val="TableText"/>
              <w:keepNext w:val="0"/>
              <w:widowControl w:val="0"/>
              <w:jc w:val="center"/>
              <w:rPr>
                <w:i/>
                <w:iCs/>
              </w:rPr>
            </w:pPr>
            <w:r>
              <w:rPr>
                <w:i/>
                <w:iCs/>
                <w:noProof/>
                <w:color w:val="000000"/>
                <w:highlight w:val="black"/>
              </w:rPr>
              <w:t>''''''''''</w:t>
            </w:r>
            <w:r w:rsidR="0049002D" w:rsidRPr="0049002D">
              <w:rPr>
                <w:i/>
                <w:iCs/>
                <w:vertAlign w:val="superscript"/>
              </w:rPr>
              <w:t>1</w:t>
            </w:r>
          </w:p>
        </w:tc>
        <w:tc>
          <w:tcPr>
            <w:tcW w:w="1111" w:type="dxa"/>
            <w:shd w:val="clear" w:color="auto" w:fill="DBE5F1" w:themeFill="accent1" w:themeFillTint="33"/>
            <w:vAlign w:val="center"/>
          </w:tcPr>
          <w:p w14:paraId="6087D3A7" w14:textId="77777777" w:rsidR="00C40472" w:rsidRPr="00FF0EA4" w:rsidRDefault="00FF0EA4" w:rsidP="009124E1">
            <w:pPr>
              <w:pStyle w:val="TableText"/>
              <w:keepNext w:val="0"/>
              <w:widowControl w:val="0"/>
              <w:jc w:val="center"/>
              <w:rPr>
                <w:i/>
                <w:iCs/>
              </w:rPr>
            </w:pPr>
            <w:r>
              <w:rPr>
                <w:i/>
                <w:iCs/>
                <w:noProof/>
                <w:color w:val="000000"/>
                <w:highlight w:val="black"/>
              </w:rPr>
              <w:t>'''''''''</w:t>
            </w:r>
            <w:r w:rsidR="0049002D" w:rsidRPr="0049002D">
              <w:rPr>
                <w:i/>
                <w:iCs/>
                <w:vertAlign w:val="superscript"/>
              </w:rPr>
              <w:t>1</w:t>
            </w:r>
          </w:p>
        </w:tc>
        <w:tc>
          <w:tcPr>
            <w:tcW w:w="1110" w:type="dxa"/>
            <w:shd w:val="clear" w:color="auto" w:fill="DBE5F1" w:themeFill="accent1" w:themeFillTint="33"/>
            <w:vAlign w:val="center"/>
          </w:tcPr>
          <w:p w14:paraId="55CFA584" w14:textId="77777777" w:rsidR="00C40472" w:rsidRPr="00FF0EA4" w:rsidRDefault="00FF0EA4" w:rsidP="009124E1">
            <w:pPr>
              <w:pStyle w:val="TableText"/>
              <w:keepNext w:val="0"/>
              <w:widowControl w:val="0"/>
              <w:jc w:val="center"/>
              <w:rPr>
                <w:i/>
                <w:iCs/>
              </w:rPr>
            </w:pPr>
            <w:r>
              <w:rPr>
                <w:i/>
                <w:iCs/>
                <w:noProof/>
                <w:color w:val="000000"/>
                <w:highlight w:val="black"/>
              </w:rPr>
              <w:t>'''''''''</w:t>
            </w:r>
            <w:r w:rsidR="0049002D" w:rsidRPr="0049002D">
              <w:rPr>
                <w:i/>
                <w:iCs/>
                <w:vertAlign w:val="superscript"/>
              </w:rPr>
              <w:t>1</w:t>
            </w:r>
          </w:p>
        </w:tc>
        <w:tc>
          <w:tcPr>
            <w:tcW w:w="1110" w:type="dxa"/>
            <w:shd w:val="clear" w:color="auto" w:fill="DBE5F1" w:themeFill="accent1" w:themeFillTint="33"/>
            <w:vAlign w:val="center"/>
          </w:tcPr>
          <w:p w14:paraId="1A0D9412" w14:textId="77777777" w:rsidR="00C40472" w:rsidRPr="00FF0EA4" w:rsidRDefault="00FF0EA4" w:rsidP="009124E1">
            <w:pPr>
              <w:pStyle w:val="TableText"/>
              <w:keepNext w:val="0"/>
              <w:widowControl w:val="0"/>
              <w:jc w:val="center"/>
              <w:rPr>
                <w:i/>
                <w:iCs/>
              </w:rPr>
            </w:pPr>
            <w:r>
              <w:rPr>
                <w:i/>
                <w:iCs/>
                <w:noProof/>
                <w:color w:val="000000"/>
                <w:highlight w:val="black"/>
              </w:rPr>
              <w:t>''''''''</w:t>
            </w:r>
            <w:r w:rsidR="0049002D" w:rsidRPr="0049002D">
              <w:rPr>
                <w:i/>
                <w:iCs/>
                <w:vertAlign w:val="superscript"/>
              </w:rPr>
              <w:t>1</w:t>
            </w:r>
          </w:p>
        </w:tc>
        <w:tc>
          <w:tcPr>
            <w:tcW w:w="1111" w:type="dxa"/>
            <w:shd w:val="clear" w:color="auto" w:fill="DBE5F1" w:themeFill="accent1" w:themeFillTint="33"/>
            <w:vAlign w:val="center"/>
          </w:tcPr>
          <w:p w14:paraId="15F62539" w14:textId="77777777" w:rsidR="00C40472" w:rsidRPr="00FF0EA4" w:rsidRDefault="00FF0EA4" w:rsidP="009124E1">
            <w:pPr>
              <w:pStyle w:val="TableText"/>
              <w:keepNext w:val="0"/>
              <w:widowControl w:val="0"/>
              <w:jc w:val="center"/>
              <w:rPr>
                <w:i/>
                <w:iCs/>
              </w:rPr>
            </w:pPr>
            <w:r>
              <w:rPr>
                <w:i/>
                <w:iCs/>
                <w:noProof/>
                <w:color w:val="000000"/>
                <w:highlight w:val="black"/>
              </w:rPr>
              <w:t>''''''''''</w:t>
            </w:r>
            <w:r w:rsidR="0049002D" w:rsidRPr="0049002D">
              <w:rPr>
                <w:i/>
                <w:iCs/>
                <w:vertAlign w:val="superscript"/>
              </w:rPr>
              <w:t>1</w:t>
            </w:r>
          </w:p>
        </w:tc>
      </w:tr>
      <w:tr w:rsidR="00C40472" w:rsidRPr="00610FCD" w14:paraId="130720B4" w14:textId="77777777" w:rsidTr="009124E1">
        <w:trPr>
          <w:trHeight w:val="170"/>
        </w:trPr>
        <w:tc>
          <w:tcPr>
            <w:tcW w:w="9067" w:type="dxa"/>
            <w:gridSpan w:val="7"/>
            <w:shd w:val="clear" w:color="auto" w:fill="auto"/>
            <w:vAlign w:val="center"/>
          </w:tcPr>
          <w:p w14:paraId="2C820503" w14:textId="77777777" w:rsidR="00C40472" w:rsidRPr="00610FCD" w:rsidRDefault="00C40472" w:rsidP="009124E1">
            <w:pPr>
              <w:pStyle w:val="TableText"/>
              <w:keepNext w:val="0"/>
              <w:widowControl w:val="0"/>
              <w:rPr>
                <w:b/>
                <w:bCs w:val="0"/>
                <w:color w:val="000000"/>
              </w:rPr>
            </w:pPr>
            <w:r w:rsidRPr="00610FCD">
              <w:rPr>
                <w:b/>
                <w:bCs w:val="0"/>
                <w:color w:val="000000"/>
              </w:rPr>
              <w:t>Gemtuzumab consolidation treatment utilisation</w:t>
            </w:r>
          </w:p>
        </w:tc>
      </w:tr>
      <w:tr w:rsidR="00C40472" w:rsidRPr="00610FCD" w14:paraId="2EBC3C09" w14:textId="77777777" w:rsidTr="009124E1">
        <w:trPr>
          <w:trHeight w:val="170"/>
        </w:trPr>
        <w:tc>
          <w:tcPr>
            <w:tcW w:w="2405" w:type="dxa"/>
            <w:shd w:val="clear" w:color="auto" w:fill="auto"/>
            <w:vAlign w:val="center"/>
          </w:tcPr>
          <w:p w14:paraId="137E605A" w14:textId="77777777" w:rsidR="00C40472" w:rsidRPr="00610FCD" w:rsidRDefault="00C40472" w:rsidP="009124E1">
            <w:pPr>
              <w:pStyle w:val="TableText"/>
              <w:keepNext w:val="0"/>
              <w:widowControl w:val="0"/>
            </w:pPr>
            <w:r w:rsidRPr="00610FCD">
              <w:t>Patients receiving induction</w:t>
            </w:r>
          </w:p>
        </w:tc>
        <w:tc>
          <w:tcPr>
            <w:tcW w:w="1110" w:type="dxa"/>
            <w:shd w:val="clear" w:color="auto" w:fill="auto"/>
          </w:tcPr>
          <w:p w14:paraId="724310B1"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0" w:type="dxa"/>
            <w:shd w:val="clear" w:color="auto" w:fill="auto"/>
          </w:tcPr>
          <w:p w14:paraId="11E458C1"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1" w:type="dxa"/>
            <w:shd w:val="clear" w:color="auto" w:fill="auto"/>
          </w:tcPr>
          <w:p w14:paraId="002DA0BC"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0" w:type="dxa"/>
            <w:shd w:val="clear" w:color="auto" w:fill="auto"/>
          </w:tcPr>
          <w:p w14:paraId="717BFDBF" w14:textId="77777777" w:rsidR="00C40472" w:rsidRPr="00FF0EA4" w:rsidRDefault="00FF0EA4" w:rsidP="009124E1">
            <w:pPr>
              <w:pStyle w:val="TableText"/>
              <w:keepNext w:val="0"/>
              <w:widowControl w:val="0"/>
              <w:jc w:val="center"/>
            </w:pPr>
            <w:r>
              <w:rPr>
                <w:noProof/>
                <w:color w:val="000000"/>
                <w:highlight w:val="black"/>
              </w:rPr>
              <w:t>'''''''''</w:t>
            </w:r>
            <w:r w:rsidR="0049002D" w:rsidRPr="0049002D">
              <w:rPr>
                <w:iCs/>
                <w:vertAlign w:val="superscript"/>
              </w:rPr>
              <w:t>1</w:t>
            </w:r>
          </w:p>
        </w:tc>
        <w:tc>
          <w:tcPr>
            <w:tcW w:w="1110" w:type="dxa"/>
            <w:shd w:val="clear" w:color="auto" w:fill="auto"/>
          </w:tcPr>
          <w:p w14:paraId="3CC28418" w14:textId="77777777" w:rsidR="00C40472" w:rsidRPr="00FF0EA4" w:rsidRDefault="00FF0EA4" w:rsidP="009124E1">
            <w:pPr>
              <w:pStyle w:val="TableText"/>
              <w:keepNext w:val="0"/>
              <w:widowControl w:val="0"/>
              <w:jc w:val="center"/>
            </w:pPr>
            <w:r>
              <w:rPr>
                <w:noProof/>
                <w:color w:val="000000"/>
                <w:highlight w:val="black"/>
              </w:rPr>
              <w:t>''''''''</w:t>
            </w:r>
            <w:r w:rsidR="00CF3578" w:rsidRPr="0049002D">
              <w:rPr>
                <w:iCs/>
                <w:vertAlign w:val="superscript"/>
              </w:rPr>
              <w:t>1</w:t>
            </w:r>
          </w:p>
        </w:tc>
        <w:tc>
          <w:tcPr>
            <w:tcW w:w="1111" w:type="dxa"/>
            <w:shd w:val="clear" w:color="auto" w:fill="auto"/>
          </w:tcPr>
          <w:p w14:paraId="0D5270C0" w14:textId="77777777" w:rsidR="00C40472" w:rsidRPr="00FF0EA4" w:rsidRDefault="00FF0EA4" w:rsidP="009124E1">
            <w:pPr>
              <w:pStyle w:val="TableText"/>
              <w:keepNext w:val="0"/>
              <w:widowControl w:val="0"/>
              <w:jc w:val="center"/>
            </w:pPr>
            <w:r>
              <w:rPr>
                <w:noProof/>
                <w:color w:val="000000"/>
                <w:highlight w:val="black"/>
              </w:rPr>
              <w:t>''''''''''</w:t>
            </w:r>
            <w:r w:rsidR="00CF3578" w:rsidRPr="0049002D">
              <w:rPr>
                <w:iCs/>
                <w:vertAlign w:val="superscript"/>
              </w:rPr>
              <w:t>1</w:t>
            </w:r>
          </w:p>
        </w:tc>
      </w:tr>
      <w:tr w:rsidR="00C40472" w:rsidRPr="00610FCD" w14:paraId="5A09C886" w14:textId="77777777" w:rsidTr="009124E1">
        <w:trPr>
          <w:trHeight w:val="170"/>
        </w:trPr>
        <w:tc>
          <w:tcPr>
            <w:tcW w:w="2405" w:type="dxa"/>
            <w:shd w:val="clear" w:color="auto" w:fill="auto"/>
            <w:vAlign w:val="center"/>
          </w:tcPr>
          <w:p w14:paraId="0657E749" w14:textId="77777777" w:rsidR="00C40472" w:rsidRPr="00610FCD" w:rsidRDefault="00C40472" w:rsidP="009124E1">
            <w:pPr>
              <w:pStyle w:val="TableText"/>
              <w:keepNext w:val="0"/>
              <w:widowControl w:val="0"/>
            </w:pPr>
            <w:r w:rsidRPr="00610FCD">
              <w:t xml:space="preserve">Consolidation 1 uptake (69.5%) </w:t>
            </w:r>
          </w:p>
        </w:tc>
        <w:tc>
          <w:tcPr>
            <w:tcW w:w="1110" w:type="dxa"/>
            <w:shd w:val="clear" w:color="auto" w:fill="auto"/>
          </w:tcPr>
          <w:p w14:paraId="75508FF7"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0" w:type="dxa"/>
            <w:shd w:val="clear" w:color="auto" w:fill="auto"/>
          </w:tcPr>
          <w:p w14:paraId="2EAFFCA1"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1" w:type="dxa"/>
            <w:shd w:val="clear" w:color="auto" w:fill="auto"/>
          </w:tcPr>
          <w:p w14:paraId="307B76BE"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0" w:type="dxa"/>
            <w:shd w:val="clear" w:color="auto" w:fill="auto"/>
          </w:tcPr>
          <w:p w14:paraId="0B873117"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0" w:type="dxa"/>
            <w:shd w:val="clear" w:color="auto" w:fill="auto"/>
          </w:tcPr>
          <w:p w14:paraId="5C72FF91" w14:textId="77777777" w:rsidR="00C40472" w:rsidRPr="00FF0EA4" w:rsidRDefault="00FF0EA4" w:rsidP="009124E1">
            <w:pPr>
              <w:pStyle w:val="TableText"/>
              <w:keepNext w:val="0"/>
              <w:widowControl w:val="0"/>
              <w:jc w:val="center"/>
              <w:rPr>
                <w:color w:val="000000"/>
              </w:rPr>
            </w:pPr>
            <w:r>
              <w:rPr>
                <w:noProof/>
                <w:color w:val="000000"/>
                <w:highlight w:val="black"/>
              </w:rPr>
              <w:t>''''''''''</w:t>
            </w:r>
            <w:r w:rsidR="00CF3578" w:rsidRPr="0049002D">
              <w:rPr>
                <w:iCs/>
                <w:vertAlign w:val="superscript"/>
              </w:rPr>
              <w:t>1</w:t>
            </w:r>
          </w:p>
        </w:tc>
        <w:tc>
          <w:tcPr>
            <w:tcW w:w="1111" w:type="dxa"/>
            <w:shd w:val="clear" w:color="auto" w:fill="auto"/>
          </w:tcPr>
          <w:p w14:paraId="42C35111" w14:textId="77777777" w:rsidR="00C40472" w:rsidRPr="00FF0EA4" w:rsidRDefault="00FF0EA4" w:rsidP="009124E1">
            <w:pPr>
              <w:pStyle w:val="TableText"/>
              <w:keepNext w:val="0"/>
              <w:widowControl w:val="0"/>
              <w:jc w:val="center"/>
              <w:rPr>
                <w:color w:val="000000"/>
              </w:rPr>
            </w:pPr>
            <w:r>
              <w:rPr>
                <w:noProof/>
                <w:color w:val="000000"/>
                <w:highlight w:val="black"/>
              </w:rPr>
              <w:t>'''''''''</w:t>
            </w:r>
            <w:r w:rsidR="00CF3578" w:rsidRPr="0049002D">
              <w:rPr>
                <w:iCs/>
                <w:vertAlign w:val="superscript"/>
              </w:rPr>
              <w:t>1</w:t>
            </w:r>
          </w:p>
        </w:tc>
      </w:tr>
      <w:tr w:rsidR="00C40472" w:rsidRPr="00610FCD" w14:paraId="5DDA2E3E" w14:textId="77777777" w:rsidTr="009124E1">
        <w:trPr>
          <w:trHeight w:val="170"/>
        </w:trPr>
        <w:tc>
          <w:tcPr>
            <w:tcW w:w="2405" w:type="dxa"/>
            <w:shd w:val="clear" w:color="auto" w:fill="auto"/>
            <w:vAlign w:val="center"/>
          </w:tcPr>
          <w:p w14:paraId="445EA43B" w14:textId="77777777" w:rsidR="00C40472" w:rsidRPr="00610FCD" w:rsidRDefault="00C40472" w:rsidP="009124E1">
            <w:pPr>
              <w:pStyle w:val="TableText"/>
              <w:keepNext w:val="0"/>
              <w:widowControl w:val="0"/>
            </w:pPr>
            <w:r w:rsidRPr="00610FCD">
              <w:t>Consolidation 2 uptake (48.9%)</w:t>
            </w:r>
          </w:p>
        </w:tc>
        <w:tc>
          <w:tcPr>
            <w:tcW w:w="1110" w:type="dxa"/>
            <w:shd w:val="clear" w:color="auto" w:fill="auto"/>
          </w:tcPr>
          <w:p w14:paraId="7DCF4651"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0" w:type="dxa"/>
            <w:shd w:val="clear" w:color="auto" w:fill="auto"/>
          </w:tcPr>
          <w:p w14:paraId="13C99E4B"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1" w:type="dxa"/>
            <w:shd w:val="clear" w:color="auto" w:fill="auto"/>
          </w:tcPr>
          <w:p w14:paraId="38CA694E"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0" w:type="dxa"/>
            <w:shd w:val="clear" w:color="auto" w:fill="auto"/>
          </w:tcPr>
          <w:p w14:paraId="4836A8CE"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0" w:type="dxa"/>
            <w:shd w:val="clear" w:color="auto" w:fill="auto"/>
          </w:tcPr>
          <w:p w14:paraId="73F6CE02" w14:textId="77777777" w:rsidR="00C40472" w:rsidRPr="00FF0EA4" w:rsidRDefault="00FF0EA4" w:rsidP="009124E1">
            <w:pPr>
              <w:pStyle w:val="TableText"/>
              <w:keepNext w:val="0"/>
              <w:widowControl w:val="0"/>
              <w:jc w:val="center"/>
              <w:rPr>
                <w:color w:val="000000"/>
              </w:rPr>
            </w:pPr>
            <w:r>
              <w:rPr>
                <w:noProof/>
                <w:color w:val="000000"/>
                <w:highlight w:val="black"/>
              </w:rPr>
              <w:t>''''''</w:t>
            </w:r>
            <w:r w:rsidR="00CF3578" w:rsidRPr="0049002D">
              <w:rPr>
                <w:iCs/>
                <w:vertAlign w:val="superscript"/>
              </w:rPr>
              <w:t>1</w:t>
            </w:r>
          </w:p>
        </w:tc>
        <w:tc>
          <w:tcPr>
            <w:tcW w:w="1111" w:type="dxa"/>
            <w:shd w:val="clear" w:color="auto" w:fill="auto"/>
          </w:tcPr>
          <w:p w14:paraId="5E4A277F" w14:textId="77777777" w:rsidR="00C40472" w:rsidRPr="00FF0EA4" w:rsidRDefault="00FF0EA4" w:rsidP="009124E1">
            <w:pPr>
              <w:pStyle w:val="TableText"/>
              <w:keepNext w:val="0"/>
              <w:widowControl w:val="0"/>
              <w:jc w:val="center"/>
              <w:rPr>
                <w:color w:val="000000"/>
              </w:rPr>
            </w:pPr>
            <w:r>
              <w:rPr>
                <w:noProof/>
                <w:color w:val="000000"/>
                <w:highlight w:val="black"/>
              </w:rPr>
              <w:t>''''''</w:t>
            </w:r>
            <w:r w:rsidR="00CF3578" w:rsidRPr="0049002D">
              <w:rPr>
                <w:iCs/>
                <w:vertAlign w:val="superscript"/>
              </w:rPr>
              <w:t>1</w:t>
            </w:r>
          </w:p>
        </w:tc>
      </w:tr>
      <w:tr w:rsidR="00C40472" w:rsidRPr="00610FCD" w14:paraId="79286BE2" w14:textId="77777777" w:rsidTr="009124E1">
        <w:trPr>
          <w:trHeight w:val="170"/>
        </w:trPr>
        <w:tc>
          <w:tcPr>
            <w:tcW w:w="2405" w:type="dxa"/>
            <w:shd w:val="clear" w:color="auto" w:fill="auto"/>
            <w:vAlign w:val="center"/>
          </w:tcPr>
          <w:p w14:paraId="162CEB13" w14:textId="77777777" w:rsidR="00C40472" w:rsidRPr="00610FCD" w:rsidRDefault="00C40472" w:rsidP="009124E1">
            <w:pPr>
              <w:pStyle w:val="TableText"/>
              <w:keepNext w:val="0"/>
              <w:widowControl w:val="0"/>
            </w:pPr>
            <w:r w:rsidRPr="00610FCD">
              <w:t>Total patients (both consolidation cycles)</w:t>
            </w:r>
          </w:p>
        </w:tc>
        <w:tc>
          <w:tcPr>
            <w:tcW w:w="1110" w:type="dxa"/>
            <w:shd w:val="clear" w:color="auto" w:fill="auto"/>
            <w:vAlign w:val="center"/>
          </w:tcPr>
          <w:p w14:paraId="5442F69E"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0" w:type="dxa"/>
            <w:shd w:val="clear" w:color="auto" w:fill="auto"/>
            <w:vAlign w:val="center"/>
          </w:tcPr>
          <w:p w14:paraId="27FBE683"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1" w:type="dxa"/>
            <w:shd w:val="clear" w:color="auto" w:fill="auto"/>
            <w:vAlign w:val="center"/>
          </w:tcPr>
          <w:p w14:paraId="05C704A3"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0" w:type="dxa"/>
            <w:shd w:val="clear" w:color="auto" w:fill="auto"/>
            <w:vAlign w:val="center"/>
          </w:tcPr>
          <w:p w14:paraId="3F099AE9" w14:textId="77777777" w:rsidR="00C40472" w:rsidRPr="00FF0EA4" w:rsidRDefault="00FF0EA4" w:rsidP="009124E1">
            <w:pPr>
              <w:pStyle w:val="TableText"/>
              <w:keepNext w:val="0"/>
              <w:widowControl w:val="0"/>
              <w:jc w:val="center"/>
              <w:rPr>
                <w:color w:val="000000"/>
              </w:rPr>
            </w:pPr>
            <w:r>
              <w:rPr>
                <w:noProof/>
                <w:color w:val="000000"/>
                <w:highlight w:val="black"/>
              </w:rPr>
              <w:t>'''''''''</w:t>
            </w:r>
            <w:r w:rsidR="0049002D" w:rsidRPr="0049002D">
              <w:rPr>
                <w:iCs/>
                <w:vertAlign w:val="superscript"/>
              </w:rPr>
              <w:t>1</w:t>
            </w:r>
          </w:p>
        </w:tc>
        <w:tc>
          <w:tcPr>
            <w:tcW w:w="1110" w:type="dxa"/>
            <w:shd w:val="clear" w:color="auto" w:fill="auto"/>
            <w:vAlign w:val="center"/>
          </w:tcPr>
          <w:p w14:paraId="6E88B13C" w14:textId="77777777" w:rsidR="00C40472" w:rsidRPr="00FF0EA4" w:rsidRDefault="00FF0EA4" w:rsidP="009124E1">
            <w:pPr>
              <w:pStyle w:val="TableText"/>
              <w:keepNext w:val="0"/>
              <w:widowControl w:val="0"/>
              <w:jc w:val="center"/>
              <w:rPr>
                <w:color w:val="000000"/>
              </w:rPr>
            </w:pPr>
            <w:r>
              <w:rPr>
                <w:noProof/>
                <w:color w:val="000000"/>
                <w:highlight w:val="black"/>
              </w:rPr>
              <w:t>''''''''</w:t>
            </w:r>
            <w:r w:rsidR="00CF3578" w:rsidRPr="0049002D">
              <w:rPr>
                <w:iCs/>
                <w:vertAlign w:val="superscript"/>
              </w:rPr>
              <w:t>1</w:t>
            </w:r>
          </w:p>
        </w:tc>
        <w:tc>
          <w:tcPr>
            <w:tcW w:w="1111" w:type="dxa"/>
            <w:shd w:val="clear" w:color="auto" w:fill="auto"/>
            <w:vAlign w:val="center"/>
          </w:tcPr>
          <w:p w14:paraId="0D044DC6" w14:textId="77777777" w:rsidR="00C40472" w:rsidRPr="00FF0EA4" w:rsidRDefault="00FF0EA4" w:rsidP="009124E1">
            <w:pPr>
              <w:pStyle w:val="TableText"/>
              <w:keepNext w:val="0"/>
              <w:widowControl w:val="0"/>
              <w:jc w:val="center"/>
              <w:rPr>
                <w:color w:val="000000"/>
              </w:rPr>
            </w:pPr>
            <w:r>
              <w:rPr>
                <w:noProof/>
                <w:color w:val="000000"/>
                <w:highlight w:val="black"/>
              </w:rPr>
              <w:t>''''''''''</w:t>
            </w:r>
            <w:r w:rsidR="00CF3578" w:rsidRPr="0049002D">
              <w:rPr>
                <w:iCs/>
                <w:vertAlign w:val="superscript"/>
              </w:rPr>
              <w:t>1</w:t>
            </w:r>
          </w:p>
        </w:tc>
      </w:tr>
      <w:tr w:rsidR="00C40472" w:rsidRPr="00610FCD" w14:paraId="33AD0193" w14:textId="77777777" w:rsidTr="009124E1">
        <w:trPr>
          <w:trHeight w:val="170"/>
        </w:trPr>
        <w:tc>
          <w:tcPr>
            <w:tcW w:w="2405" w:type="dxa"/>
            <w:shd w:val="clear" w:color="auto" w:fill="auto"/>
            <w:vAlign w:val="center"/>
          </w:tcPr>
          <w:p w14:paraId="1EBFBDD5" w14:textId="77777777" w:rsidR="00C40472" w:rsidRPr="00610FCD" w:rsidRDefault="00C40472" w:rsidP="009124E1">
            <w:pPr>
              <w:pStyle w:val="TableText"/>
              <w:keepNext w:val="0"/>
              <w:widowControl w:val="0"/>
            </w:pPr>
            <w:r w:rsidRPr="00610FCD">
              <w:t>Private hospital admitted and non-admitted, and public hospital non-admitted (34%)</w:t>
            </w:r>
          </w:p>
        </w:tc>
        <w:tc>
          <w:tcPr>
            <w:tcW w:w="1110" w:type="dxa"/>
            <w:shd w:val="clear" w:color="auto" w:fill="auto"/>
            <w:vAlign w:val="center"/>
          </w:tcPr>
          <w:p w14:paraId="3CE24A41"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CF3578">
              <w:rPr>
                <w:i/>
                <w:iCs/>
                <w:vertAlign w:val="superscript"/>
              </w:rPr>
              <w:t>1</w:t>
            </w:r>
          </w:p>
        </w:tc>
        <w:tc>
          <w:tcPr>
            <w:tcW w:w="1110" w:type="dxa"/>
            <w:shd w:val="clear" w:color="auto" w:fill="auto"/>
            <w:vAlign w:val="center"/>
          </w:tcPr>
          <w:p w14:paraId="50476A17"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CF3578">
              <w:rPr>
                <w:i/>
                <w:iCs/>
                <w:vertAlign w:val="superscript"/>
              </w:rPr>
              <w:t>1</w:t>
            </w:r>
          </w:p>
        </w:tc>
        <w:tc>
          <w:tcPr>
            <w:tcW w:w="1111" w:type="dxa"/>
            <w:shd w:val="clear" w:color="auto" w:fill="auto"/>
            <w:vAlign w:val="center"/>
          </w:tcPr>
          <w:p w14:paraId="5EBDE353"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CF3578">
              <w:rPr>
                <w:i/>
                <w:iCs/>
                <w:vertAlign w:val="superscript"/>
              </w:rPr>
              <w:t>1</w:t>
            </w:r>
          </w:p>
        </w:tc>
        <w:tc>
          <w:tcPr>
            <w:tcW w:w="1110" w:type="dxa"/>
            <w:shd w:val="clear" w:color="auto" w:fill="auto"/>
            <w:vAlign w:val="center"/>
          </w:tcPr>
          <w:p w14:paraId="35C6C15E"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CF3578">
              <w:rPr>
                <w:i/>
                <w:iCs/>
                <w:vertAlign w:val="superscript"/>
              </w:rPr>
              <w:t>1</w:t>
            </w:r>
          </w:p>
        </w:tc>
        <w:tc>
          <w:tcPr>
            <w:tcW w:w="1110" w:type="dxa"/>
            <w:shd w:val="clear" w:color="auto" w:fill="auto"/>
            <w:vAlign w:val="center"/>
          </w:tcPr>
          <w:p w14:paraId="24F5014D"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CF3578" w:rsidRPr="00CF3578">
              <w:rPr>
                <w:i/>
                <w:iCs/>
                <w:vertAlign w:val="superscript"/>
              </w:rPr>
              <w:t>1</w:t>
            </w:r>
          </w:p>
        </w:tc>
        <w:tc>
          <w:tcPr>
            <w:tcW w:w="1111" w:type="dxa"/>
            <w:shd w:val="clear" w:color="auto" w:fill="auto"/>
            <w:vAlign w:val="center"/>
          </w:tcPr>
          <w:p w14:paraId="663FABC1"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CF3578" w:rsidRPr="00CF3578">
              <w:rPr>
                <w:i/>
                <w:iCs/>
                <w:vertAlign w:val="superscript"/>
              </w:rPr>
              <w:t>1</w:t>
            </w:r>
          </w:p>
        </w:tc>
      </w:tr>
      <w:tr w:rsidR="00C40472" w:rsidRPr="00610FCD" w14:paraId="51B3D8DA" w14:textId="77777777" w:rsidTr="009124E1">
        <w:trPr>
          <w:trHeight w:val="170"/>
        </w:trPr>
        <w:tc>
          <w:tcPr>
            <w:tcW w:w="2405" w:type="dxa"/>
            <w:shd w:val="clear" w:color="auto" w:fill="auto"/>
            <w:vAlign w:val="center"/>
          </w:tcPr>
          <w:p w14:paraId="0F2244EA" w14:textId="77777777" w:rsidR="00C40472" w:rsidRPr="00610FCD" w:rsidRDefault="00C40472" w:rsidP="009124E1">
            <w:pPr>
              <w:pStyle w:val="TableText"/>
              <w:keepNext w:val="0"/>
              <w:widowControl w:val="0"/>
            </w:pPr>
            <w:r w:rsidRPr="00610FCD">
              <w:t>Consolidation scripts (1/patient)</w:t>
            </w:r>
          </w:p>
        </w:tc>
        <w:tc>
          <w:tcPr>
            <w:tcW w:w="1110" w:type="dxa"/>
            <w:shd w:val="clear" w:color="auto" w:fill="auto"/>
            <w:vAlign w:val="center"/>
          </w:tcPr>
          <w:p w14:paraId="30BA76B0"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CF3578" w:rsidRPr="00CF3578">
              <w:rPr>
                <w:i/>
                <w:iCs/>
                <w:vertAlign w:val="superscript"/>
              </w:rPr>
              <w:t>1</w:t>
            </w:r>
          </w:p>
        </w:tc>
        <w:tc>
          <w:tcPr>
            <w:tcW w:w="1110" w:type="dxa"/>
            <w:shd w:val="clear" w:color="auto" w:fill="auto"/>
            <w:vAlign w:val="center"/>
          </w:tcPr>
          <w:p w14:paraId="7C6801D2"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CF3578">
              <w:rPr>
                <w:i/>
                <w:iCs/>
                <w:vertAlign w:val="superscript"/>
              </w:rPr>
              <w:t>1</w:t>
            </w:r>
          </w:p>
        </w:tc>
        <w:tc>
          <w:tcPr>
            <w:tcW w:w="1111" w:type="dxa"/>
            <w:shd w:val="clear" w:color="auto" w:fill="auto"/>
            <w:vAlign w:val="center"/>
          </w:tcPr>
          <w:p w14:paraId="3D1AC4DC"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CF3578">
              <w:rPr>
                <w:i/>
                <w:iCs/>
                <w:vertAlign w:val="superscript"/>
              </w:rPr>
              <w:t>1</w:t>
            </w:r>
          </w:p>
        </w:tc>
        <w:tc>
          <w:tcPr>
            <w:tcW w:w="1110" w:type="dxa"/>
            <w:shd w:val="clear" w:color="auto" w:fill="auto"/>
            <w:vAlign w:val="center"/>
          </w:tcPr>
          <w:p w14:paraId="46FEF13B"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49002D" w:rsidRPr="00CF3578">
              <w:rPr>
                <w:i/>
                <w:iCs/>
                <w:vertAlign w:val="superscript"/>
              </w:rPr>
              <w:t>1</w:t>
            </w:r>
          </w:p>
        </w:tc>
        <w:tc>
          <w:tcPr>
            <w:tcW w:w="1110" w:type="dxa"/>
            <w:shd w:val="clear" w:color="auto" w:fill="auto"/>
            <w:vAlign w:val="center"/>
          </w:tcPr>
          <w:p w14:paraId="3D793EF3"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CF3578" w:rsidRPr="00CF3578">
              <w:rPr>
                <w:i/>
                <w:iCs/>
                <w:vertAlign w:val="superscript"/>
              </w:rPr>
              <w:t>1</w:t>
            </w:r>
          </w:p>
        </w:tc>
        <w:tc>
          <w:tcPr>
            <w:tcW w:w="1111" w:type="dxa"/>
            <w:shd w:val="clear" w:color="auto" w:fill="auto"/>
            <w:vAlign w:val="center"/>
          </w:tcPr>
          <w:p w14:paraId="6F70B3EF"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CF3578" w:rsidRPr="00CF3578">
              <w:rPr>
                <w:i/>
                <w:iCs/>
                <w:vertAlign w:val="superscript"/>
              </w:rPr>
              <w:t>1</w:t>
            </w:r>
          </w:p>
        </w:tc>
      </w:tr>
      <w:tr w:rsidR="00C40472" w:rsidRPr="00610FCD" w14:paraId="34C44856" w14:textId="77777777" w:rsidTr="009124E1">
        <w:trPr>
          <w:trHeight w:val="170"/>
        </w:trPr>
        <w:tc>
          <w:tcPr>
            <w:tcW w:w="2405" w:type="dxa"/>
            <w:shd w:val="clear" w:color="auto" w:fill="DBE5F1" w:themeFill="accent1" w:themeFillTint="33"/>
            <w:vAlign w:val="center"/>
          </w:tcPr>
          <w:p w14:paraId="7B92F4F0" w14:textId="77777777" w:rsidR="00C40472" w:rsidRPr="00610FCD" w:rsidRDefault="00C40472" w:rsidP="009124E1">
            <w:pPr>
              <w:pStyle w:val="TableText"/>
              <w:keepNext w:val="0"/>
              <w:widowControl w:val="0"/>
              <w:rPr>
                <w:b/>
                <w:bCs w:val="0"/>
              </w:rPr>
            </w:pPr>
            <w:r w:rsidRPr="00610FCD">
              <w:rPr>
                <w:b/>
                <w:bCs w:val="0"/>
              </w:rPr>
              <w:t>March 2021 submission, consolidation scripts</w:t>
            </w:r>
          </w:p>
        </w:tc>
        <w:tc>
          <w:tcPr>
            <w:tcW w:w="1110" w:type="dxa"/>
            <w:shd w:val="clear" w:color="auto" w:fill="DBE5F1" w:themeFill="accent1" w:themeFillTint="33"/>
            <w:vAlign w:val="center"/>
          </w:tcPr>
          <w:p w14:paraId="4FCBA1E8" w14:textId="77777777" w:rsidR="00C40472" w:rsidRPr="00FF0EA4" w:rsidRDefault="00FF0EA4" w:rsidP="009124E1">
            <w:pPr>
              <w:pStyle w:val="TableText"/>
              <w:keepNext w:val="0"/>
              <w:widowControl w:val="0"/>
              <w:jc w:val="center"/>
              <w:rPr>
                <w:i/>
                <w:iCs/>
              </w:rPr>
            </w:pPr>
            <w:r>
              <w:rPr>
                <w:i/>
                <w:iCs/>
                <w:noProof/>
                <w:color w:val="000000"/>
                <w:highlight w:val="black"/>
              </w:rPr>
              <w:t>''''''</w:t>
            </w:r>
            <w:r w:rsidR="00CF3578" w:rsidRPr="00CF3578">
              <w:rPr>
                <w:i/>
                <w:iCs/>
                <w:vertAlign w:val="superscript"/>
              </w:rPr>
              <w:t>1</w:t>
            </w:r>
          </w:p>
        </w:tc>
        <w:tc>
          <w:tcPr>
            <w:tcW w:w="1110" w:type="dxa"/>
            <w:shd w:val="clear" w:color="auto" w:fill="DBE5F1" w:themeFill="accent1" w:themeFillTint="33"/>
            <w:vAlign w:val="center"/>
          </w:tcPr>
          <w:p w14:paraId="520F31E6" w14:textId="77777777" w:rsidR="00C40472" w:rsidRPr="00FF0EA4" w:rsidRDefault="00FF0EA4" w:rsidP="009124E1">
            <w:pPr>
              <w:pStyle w:val="TableText"/>
              <w:keepNext w:val="0"/>
              <w:widowControl w:val="0"/>
              <w:jc w:val="center"/>
              <w:rPr>
                <w:i/>
                <w:iCs/>
              </w:rPr>
            </w:pPr>
            <w:r>
              <w:rPr>
                <w:i/>
                <w:iCs/>
                <w:noProof/>
                <w:color w:val="000000"/>
                <w:highlight w:val="black"/>
              </w:rPr>
              <w:t>'''''''</w:t>
            </w:r>
            <w:r w:rsidR="00CF3578" w:rsidRPr="00CF3578">
              <w:rPr>
                <w:i/>
                <w:iCs/>
                <w:vertAlign w:val="superscript"/>
              </w:rPr>
              <w:t>1</w:t>
            </w:r>
          </w:p>
        </w:tc>
        <w:tc>
          <w:tcPr>
            <w:tcW w:w="1111" w:type="dxa"/>
            <w:shd w:val="clear" w:color="auto" w:fill="DBE5F1" w:themeFill="accent1" w:themeFillTint="33"/>
            <w:vAlign w:val="center"/>
          </w:tcPr>
          <w:p w14:paraId="2BFA1E9F" w14:textId="77777777" w:rsidR="00C40472" w:rsidRPr="00FF0EA4" w:rsidRDefault="00FF0EA4" w:rsidP="009124E1">
            <w:pPr>
              <w:pStyle w:val="TableText"/>
              <w:keepNext w:val="0"/>
              <w:widowControl w:val="0"/>
              <w:jc w:val="center"/>
              <w:rPr>
                <w:i/>
                <w:iCs/>
              </w:rPr>
            </w:pPr>
            <w:r>
              <w:rPr>
                <w:i/>
                <w:iCs/>
                <w:noProof/>
                <w:color w:val="000000"/>
                <w:highlight w:val="black"/>
              </w:rPr>
              <w:t>''''''</w:t>
            </w:r>
            <w:r w:rsidR="00CF3578" w:rsidRPr="00CF3578">
              <w:rPr>
                <w:i/>
                <w:iCs/>
                <w:vertAlign w:val="superscript"/>
              </w:rPr>
              <w:t>1</w:t>
            </w:r>
          </w:p>
        </w:tc>
        <w:tc>
          <w:tcPr>
            <w:tcW w:w="1110" w:type="dxa"/>
            <w:shd w:val="clear" w:color="auto" w:fill="DBE5F1" w:themeFill="accent1" w:themeFillTint="33"/>
            <w:vAlign w:val="center"/>
          </w:tcPr>
          <w:p w14:paraId="357579FA" w14:textId="77777777" w:rsidR="00C40472" w:rsidRPr="00FF0EA4" w:rsidRDefault="00FF0EA4" w:rsidP="009124E1">
            <w:pPr>
              <w:pStyle w:val="TableText"/>
              <w:keepNext w:val="0"/>
              <w:widowControl w:val="0"/>
              <w:jc w:val="center"/>
              <w:rPr>
                <w:i/>
                <w:iCs/>
              </w:rPr>
            </w:pPr>
            <w:r>
              <w:rPr>
                <w:i/>
                <w:iCs/>
                <w:noProof/>
                <w:color w:val="000000"/>
                <w:highlight w:val="black"/>
              </w:rPr>
              <w:t>''''''</w:t>
            </w:r>
            <w:r w:rsidR="00CF3578" w:rsidRPr="00CF3578">
              <w:rPr>
                <w:i/>
                <w:iCs/>
                <w:vertAlign w:val="superscript"/>
              </w:rPr>
              <w:t>1</w:t>
            </w:r>
          </w:p>
        </w:tc>
        <w:tc>
          <w:tcPr>
            <w:tcW w:w="1110" w:type="dxa"/>
            <w:shd w:val="clear" w:color="auto" w:fill="DBE5F1" w:themeFill="accent1" w:themeFillTint="33"/>
            <w:vAlign w:val="center"/>
          </w:tcPr>
          <w:p w14:paraId="76D538D8" w14:textId="77777777" w:rsidR="00C40472" w:rsidRPr="00FF0EA4" w:rsidRDefault="00FF0EA4" w:rsidP="009124E1">
            <w:pPr>
              <w:pStyle w:val="TableText"/>
              <w:keepNext w:val="0"/>
              <w:widowControl w:val="0"/>
              <w:jc w:val="center"/>
              <w:rPr>
                <w:i/>
                <w:iCs/>
              </w:rPr>
            </w:pPr>
            <w:r>
              <w:rPr>
                <w:i/>
                <w:iCs/>
                <w:noProof/>
                <w:color w:val="000000"/>
                <w:highlight w:val="black"/>
              </w:rPr>
              <w:t>''''''</w:t>
            </w:r>
            <w:r w:rsidR="00CF3578" w:rsidRPr="00CF3578">
              <w:rPr>
                <w:i/>
                <w:iCs/>
                <w:vertAlign w:val="superscript"/>
              </w:rPr>
              <w:t>1</w:t>
            </w:r>
          </w:p>
        </w:tc>
        <w:tc>
          <w:tcPr>
            <w:tcW w:w="1111" w:type="dxa"/>
            <w:shd w:val="clear" w:color="auto" w:fill="DBE5F1" w:themeFill="accent1" w:themeFillTint="33"/>
            <w:vAlign w:val="center"/>
          </w:tcPr>
          <w:p w14:paraId="6CF2AC2E" w14:textId="77777777" w:rsidR="00C40472" w:rsidRPr="00FF0EA4" w:rsidRDefault="00FF0EA4" w:rsidP="009124E1">
            <w:pPr>
              <w:pStyle w:val="TableText"/>
              <w:keepNext w:val="0"/>
              <w:widowControl w:val="0"/>
              <w:jc w:val="center"/>
              <w:rPr>
                <w:i/>
                <w:iCs/>
              </w:rPr>
            </w:pPr>
            <w:r>
              <w:rPr>
                <w:i/>
                <w:iCs/>
                <w:noProof/>
                <w:color w:val="000000"/>
                <w:highlight w:val="black"/>
              </w:rPr>
              <w:t>''''''</w:t>
            </w:r>
            <w:r w:rsidR="00CF3578" w:rsidRPr="00CF3578">
              <w:rPr>
                <w:i/>
                <w:iCs/>
                <w:vertAlign w:val="superscript"/>
              </w:rPr>
              <w:t>1</w:t>
            </w:r>
          </w:p>
        </w:tc>
      </w:tr>
      <w:tr w:rsidR="00C40472" w:rsidRPr="00610FCD" w14:paraId="55F29A55" w14:textId="77777777" w:rsidTr="009124E1">
        <w:trPr>
          <w:trHeight w:val="170"/>
        </w:trPr>
        <w:tc>
          <w:tcPr>
            <w:tcW w:w="9067" w:type="dxa"/>
            <w:gridSpan w:val="7"/>
            <w:shd w:val="clear" w:color="auto" w:fill="auto"/>
            <w:vAlign w:val="center"/>
          </w:tcPr>
          <w:p w14:paraId="6917ED2C" w14:textId="77777777" w:rsidR="00C40472" w:rsidRPr="00610FCD" w:rsidRDefault="00C40472" w:rsidP="009124E1">
            <w:pPr>
              <w:pStyle w:val="TableText"/>
              <w:keepNext w:val="0"/>
              <w:widowControl w:val="0"/>
              <w:rPr>
                <w:b/>
                <w:bCs w:val="0"/>
                <w:color w:val="000000"/>
              </w:rPr>
            </w:pPr>
            <w:r w:rsidRPr="00610FCD">
              <w:rPr>
                <w:b/>
                <w:bCs w:val="0"/>
                <w:color w:val="000000"/>
              </w:rPr>
              <w:t>Cost of gemtuzumab to the PBS/RPBS</w:t>
            </w:r>
          </w:p>
        </w:tc>
      </w:tr>
      <w:tr w:rsidR="00C40472" w:rsidRPr="00610FCD" w14:paraId="2AC78BAE" w14:textId="77777777" w:rsidTr="009124E1">
        <w:trPr>
          <w:trHeight w:val="170"/>
        </w:trPr>
        <w:tc>
          <w:tcPr>
            <w:tcW w:w="2405" w:type="dxa"/>
            <w:shd w:val="clear" w:color="auto" w:fill="auto"/>
            <w:vAlign w:val="center"/>
          </w:tcPr>
          <w:p w14:paraId="5717978D" w14:textId="77777777" w:rsidR="00C40472" w:rsidRPr="00610FCD" w:rsidRDefault="00C40472" w:rsidP="009124E1">
            <w:pPr>
              <w:pStyle w:val="TableText"/>
              <w:keepNext w:val="0"/>
              <w:widowControl w:val="0"/>
            </w:pPr>
            <w:r w:rsidRPr="00610FCD">
              <w:t>Total scripts</w:t>
            </w:r>
          </w:p>
        </w:tc>
        <w:tc>
          <w:tcPr>
            <w:tcW w:w="1110" w:type="dxa"/>
            <w:shd w:val="clear" w:color="auto" w:fill="auto"/>
          </w:tcPr>
          <w:p w14:paraId="3F1DF2E9"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CF3578" w:rsidRPr="00CF3578">
              <w:rPr>
                <w:i/>
                <w:iCs/>
                <w:vertAlign w:val="superscript"/>
              </w:rPr>
              <w:t>1</w:t>
            </w:r>
          </w:p>
        </w:tc>
        <w:tc>
          <w:tcPr>
            <w:tcW w:w="1110" w:type="dxa"/>
            <w:shd w:val="clear" w:color="auto" w:fill="auto"/>
          </w:tcPr>
          <w:p w14:paraId="7AFCA3B1"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CF3578" w:rsidRPr="00CF3578">
              <w:rPr>
                <w:i/>
                <w:iCs/>
                <w:vertAlign w:val="superscript"/>
              </w:rPr>
              <w:t>1</w:t>
            </w:r>
          </w:p>
        </w:tc>
        <w:tc>
          <w:tcPr>
            <w:tcW w:w="1111" w:type="dxa"/>
            <w:shd w:val="clear" w:color="auto" w:fill="auto"/>
          </w:tcPr>
          <w:p w14:paraId="4920AF57"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CF3578" w:rsidRPr="00CF3578">
              <w:rPr>
                <w:i/>
                <w:iCs/>
                <w:vertAlign w:val="superscript"/>
              </w:rPr>
              <w:t>1</w:t>
            </w:r>
          </w:p>
        </w:tc>
        <w:tc>
          <w:tcPr>
            <w:tcW w:w="1110" w:type="dxa"/>
            <w:shd w:val="clear" w:color="auto" w:fill="auto"/>
          </w:tcPr>
          <w:p w14:paraId="05F38822"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CF3578" w:rsidRPr="00CF3578">
              <w:rPr>
                <w:i/>
                <w:iCs/>
                <w:vertAlign w:val="superscript"/>
              </w:rPr>
              <w:t>1</w:t>
            </w:r>
          </w:p>
        </w:tc>
        <w:tc>
          <w:tcPr>
            <w:tcW w:w="1110" w:type="dxa"/>
            <w:shd w:val="clear" w:color="auto" w:fill="auto"/>
          </w:tcPr>
          <w:p w14:paraId="6ABA2690"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CF3578" w:rsidRPr="00CF3578">
              <w:rPr>
                <w:i/>
                <w:iCs/>
                <w:vertAlign w:val="superscript"/>
              </w:rPr>
              <w:t>1</w:t>
            </w:r>
          </w:p>
        </w:tc>
        <w:tc>
          <w:tcPr>
            <w:tcW w:w="1111" w:type="dxa"/>
            <w:shd w:val="clear" w:color="auto" w:fill="auto"/>
          </w:tcPr>
          <w:p w14:paraId="02665495" w14:textId="77777777" w:rsidR="00C40472" w:rsidRPr="00FF0EA4" w:rsidRDefault="00FF0EA4" w:rsidP="009124E1">
            <w:pPr>
              <w:pStyle w:val="TableText"/>
              <w:keepNext w:val="0"/>
              <w:widowControl w:val="0"/>
              <w:jc w:val="center"/>
              <w:rPr>
                <w:i/>
                <w:iCs/>
                <w:color w:val="000000"/>
              </w:rPr>
            </w:pPr>
            <w:r>
              <w:rPr>
                <w:i/>
                <w:iCs/>
                <w:noProof/>
                <w:color w:val="000000"/>
                <w:highlight w:val="black"/>
              </w:rPr>
              <w:t>'''''''''</w:t>
            </w:r>
            <w:r w:rsidR="00CF3578" w:rsidRPr="00CF3578">
              <w:rPr>
                <w:i/>
                <w:iCs/>
                <w:vertAlign w:val="superscript"/>
              </w:rPr>
              <w:t>1</w:t>
            </w:r>
          </w:p>
        </w:tc>
      </w:tr>
      <w:tr w:rsidR="00C40472" w:rsidRPr="00610FCD" w14:paraId="36C8BE24" w14:textId="77777777" w:rsidTr="009124E1">
        <w:trPr>
          <w:trHeight w:val="170"/>
        </w:trPr>
        <w:tc>
          <w:tcPr>
            <w:tcW w:w="2405" w:type="dxa"/>
            <w:shd w:val="clear" w:color="auto" w:fill="DBE5F1" w:themeFill="accent1" w:themeFillTint="33"/>
            <w:vAlign w:val="center"/>
          </w:tcPr>
          <w:p w14:paraId="44466ADA" w14:textId="77777777" w:rsidR="00C40472" w:rsidRPr="004C252A" w:rsidRDefault="00C40472" w:rsidP="009124E1">
            <w:pPr>
              <w:pStyle w:val="TableText"/>
              <w:keepNext w:val="0"/>
              <w:widowControl w:val="0"/>
              <w:rPr>
                <w:b/>
              </w:rPr>
            </w:pPr>
            <w:r w:rsidRPr="004C252A">
              <w:rPr>
                <w:b/>
              </w:rPr>
              <w:t>March 2021 submission, total scripts</w:t>
            </w:r>
          </w:p>
        </w:tc>
        <w:tc>
          <w:tcPr>
            <w:tcW w:w="1110" w:type="dxa"/>
            <w:shd w:val="clear" w:color="auto" w:fill="DBE5F1" w:themeFill="accent1" w:themeFillTint="33"/>
            <w:vAlign w:val="center"/>
          </w:tcPr>
          <w:p w14:paraId="5C7E1977" w14:textId="77777777" w:rsidR="00C40472" w:rsidRPr="00FF0EA4" w:rsidRDefault="00FF0EA4" w:rsidP="009124E1">
            <w:pPr>
              <w:pStyle w:val="TableText"/>
              <w:keepNext w:val="0"/>
              <w:widowControl w:val="0"/>
              <w:jc w:val="center"/>
            </w:pPr>
            <w:r>
              <w:rPr>
                <w:noProof/>
                <w:color w:val="000000"/>
                <w:highlight w:val="black"/>
              </w:rPr>
              <w:t>''''''''''</w:t>
            </w:r>
            <w:r w:rsidR="00CF3578" w:rsidRPr="0049002D">
              <w:rPr>
                <w:iCs/>
                <w:vertAlign w:val="superscript"/>
              </w:rPr>
              <w:t>1</w:t>
            </w:r>
          </w:p>
        </w:tc>
        <w:tc>
          <w:tcPr>
            <w:tcW w:w="1110" w:type="dxa"/>
            <w:shd w:val="clear" w:color="auto" w:fill="DBE5F1" w:themeFill="accent1" w:themeFillTint="33"/>
            <w:vAlign w:val="center"/>
          </w:tcPr>
          <w:p w14:paraId="6CA3D620" w14:textId="77777777" w:rsidR="00C40472" w:rsidRPr="00FF0EA4" w:rsidRDefault="00FF0EA4" w:rsidP="009124E1">
            <w:pPr>
              <w:pStyle w:val="TableText"/>
              <w:keepNext w:val="0"/>
              <w:widowControl w:val="0"/>
              <w:jc w:val="center"/>
            </w:pPr>
            <w:r>
              <w:rPr>
                <w:noProof/>
                <w:color w:val="000000"/>
                <w:highlight w:val="black"/>
              </w:rPr>
              <w:t>''''''''''</w:t>
            </w:r>
            <w:r w:rsidR="00CF3578" w:rsidRPr="0049002D">
              <w:rPr>
                <w:iCs/>
                <w:vertAlign w:val="superscript"/>
              </w:rPr>
              <w:t>1</w:t>
            </w:r>
          </w:p>
        </w:tc>
        <w:tc>
          <w:tcPr>
            <w:tcW w:w="1111" w:type="dxa"/>
            <w:shd w:val="clear" w:color="auto" w:fill="DBE5F1" w:themeFill="accent1" w:themeFillTint="33"/>
            <w:vAlign w:val="center"/>
          </w:tcPr>
          <w:p w14:paraId="645A790B" w14:textId="77777777" w:rsidR="00C40472" w:rsidRPr="00FF0EA4" w:rsidRDefault="00FF0EA4" w:rsidP="009124E1">
            <w:pPr>
              <w:pStyle w:val="TableText"/>
              <w:keepNext w:val="0"/>
              <w:widowControl w:val="0"/>
              <w:jc w:val="center"/>
            </w:pPr>
            <w:r>
              <w:rPr>
                <w:noProof/>
                <w:color w:val="000000"/>
                <w:highlight w:val="black"/>
              </w:rPr>
              <w:t>'''''''''</w:t>
            </w:r>
            <w:r w:rsidR="00CF3578" w:rsidRPr="0049002D">
              <w:rPr>
                <w:iCs/>
                <w:vertAlign w:val="superscript"/>
              </w:rPr>
              <w:t>1</w:t>
            </w:r>
          </w:p>
        </w:tc>
        <w:tc>
          <w:tcPr>
            <w:tcW w:w="1110" w:type="dxa"/>
            <w:shd w:val="clear" w:color="auto" w:fill="DBE5F1" w:themeFill="accent1" w:themeFillTint="33"/>
            <w:vAlign w:val="center"/>
          </w:tcPr>
          <w:p w14:paraId="7DE278BA" w14:textId="77777777" w:rsidR="00C40472" w:rsidRPr="00FF0EA4" w:rsidRDefault="00FF0EA4" w:rsidP="009124E1">
            <w:pPr>
              <w:pStyle w:val="TableText"/>
              <w:keepNext w:val="0"/>
              <w:widowControl w:val="0"/>
              <w:jc w:val="center"/>
            </w:pPr>
            <w:r>
              <w:rPr>
                <w:noProof/>
                <w:color w:val="000000"/>
                <w:highlight w:val="black"/>
              </w:rPr>
              <w:t>''''''''</w:t>
            </w:r>
            <w:r w:rsidR="00CF3578" w:rsidRPr="0049002D">
              <w:rPr>
                <w:iCs/>
                <w:vertAlign w:val="superscript"/>
              </w:rPr>
              <w:t>1</w:t>
            </w:r>
          </w:p>
        </w:tc>
        <w:tc>
          <w:tcPr>
            <w:tcW w:w="1110" w:type="dxa"/>
            <w:shd w:val="clear" w:color="auto" w:fill="DBE5F1" w:themeFill="accent1" w:themeFillTint="33"/>
            <w:vAlign w:val="center"/>
          </w:tcPr>
          <w:p w14:paraId="743E80B0" w14:textId="77777777" w:rsidR="00C40472" w:rsidRPr="00FF0EA4" w:rsidRDefault="00FF0EA4" w:rsidP="009124E1">
            <w:pPr>
              <w:pStyle w:val="TableText"/>
              <w:keepNext w:val="0"/>
              <w:widowControl w:val="0"/>
              <w:jc w:val="center"/>
            </w:pPr>
            <w:r>
              <w:rPr>
                <w:noProof/>
                <w:color w:val="000000"/>
                <w:highlight w:val="black"/>
              </w:rPr>
              <w:t>''''''''''</w:t>
            </w:r>
            <w:r w:rsidR="00CF3578" w:rsidRPr="0049002D">
              <w:rPr>
                <w:iCs/>
                <w:vertAlign w:val="superscript"/>
              </w:rPr>
              <w:t>1</w:t>
            </w:r>
          </w:p>
        </w:tc>
        <w:tc>
          <w:tcPr>
            <w:tcW w:w="1111" w:type="dxa"/>
            <w:shd w:val="clear" w:color="auto" w:fill="DBE5F1" w:themeFill="accent1" w:themeFillTint="33"/>
            <w:vAlign w:val="center"/>
          </w:tcPr>
          <w:p w14:paraId="1CDBC95D" w14:textId="77777777" w:rsidR="00C40472" w:rsidRPr="00FF0EA4" w:rsidRDefault="00FF0EA4" w:rsidP="009124E1">
            <w:pPr>
              <w:pStyle w:val="TableText"/>
              <w:keepNext w:val="0"/>
              <w:widowControl w:val="0"/>
              <w:jc w:val="center"/>
            </w:pPr>
            <w:r>
              <w:rPr>
                <w:noProof/>
                <w:color w:val="000000"/>
                <w:highlight w:val="black"/>
              </w:rPr>
              <w:t>''''''''''</w:t>
            </w:r>
            <w:r w:rsidR="00CF3578" w:rsidRPr="0049002D">
              <w:rPr>
                <w:iCs/>
                <w:vertAlign w:val="superscript"/>
              </w:rPr>
              <w:t>1</w:t>
            </w:r>
          </w:p>
        </w:tc>
      </w:tr>
      <w:tr w:rsidR="00C40472" w:rsidRPr="00610FCD" w14:paraId="16763B88" w14:textId="77777777" w:rsidTr="009124E1">
        <w:trPr>
          <w:trHeight w:val="170"/>
        </w:trPr>
        <w:tc>
          <w:tcPr>
            <w:tcW w:w="2405" w:type="dxa"/>
            <w:shd w:val="clear" w:color="auto" w:fill="auto"/>
            <w:vAlign w:val="center"/>
          </w:tcPr>
          <w:p w14:paraId="4E333E3F" w14:textId="77777777" w:rsidR="00C40472" w:rsidRPr="00610FCD" w:rsidRDefault="00C40472" w:rsidP="009124E1">
            <w:pPr>
              <w:pStyle w:val="TableText"/>
              <w:keepNext w:val="0"/>
              <w:widowControl w:val="0"/>
              <w:rPr>
                <w:b/>
                <w:bCs w:val="0"/>
              </w:rPr>
            </w:pPr>
            <w:r w:rsidRPr="00610FCD">
              <w:rPr>
                <w:b/>
                <w:bCs w:val="0"/>
              </w:rPr>
              <w:t>Net PBS/RPBS cost</w:t>
            </w:r>
            <w:r>
              <w:rPr>
                <w:b/>
                <w:bCs w:val="0"/>
              </w:rPr>
              <w:t xml:space="preserve"> (less copay)</w:t>
            </w:r>
            <w:r w:rsidR="00103D85">
              <w:rPr>
                <w:b/>
                <w:bCs w:val="0"/>
              </w:rPr>
              <w:t xml:space="preserve"> </w:t>
            </w:r>
          </w:p>
        </w:tc>
        <w:tc>
          <w:tcPr>
            <w:tcW w:w="1110" w:type="dxa"/>
            <w:shd w:val="clear" w:color="auto" w:fill="auto"/>
            <w:vAlign w:val="center"/>
          </w:tcPr>
          <w:p w14:paraId="1EE7E88E" w14:textId="77777777" w:rsidR="00C40472" w:rsidRPr="00FF0EA4" w:rsidRDefault="00FF0EA4" w:rsidP="009124E1">
            <w:pPr>
              <w:pStyle w:val="TableText"/>
              <w:keepNext w:val="0"/>
              <w:widowControl w:val="0"/>
              <w:jc w:val="center"/>
              <w:rPr>
                <w:b/>
                <w:bCs w:val="0"/>
                <w:i/>
                <w:iCs/>
                <w:color w:val="000000"/>
              </w:rPr>
            </w:pPr>
            <w:r>
              <w:rPr>
                <w:b/>
                <w:bCs w:val="0"/>
                <w:i/>
                <w:iCs/>
                <w:noProof/>
                <w:color w:val="000000"/>
                <w:highlight w:val="black"/>
              </w:rPr>
              <w:t>''''''''''''''''''''</w:t>
            </w:r>
            <w:r w:rsidR="009B6118" w:rsidRPr="009B6118">
              <w:rPr>
                <w:i/>
                <w:iCs/>
                <w:vertAlign w:val="superscript"/>
              </w:rPr>
              <w:t>2</w:t>
            </w:r>
          </w:p>
        </w:tc>
        <w:tc>
          <w:tcPr>
            <w:tcW w:w="1110" w:type="dxa"/>
            <w:shd w:val="clear" w:color="auto" w:fill="auto"/>
            <w:vAlign w:val="center"/>
          </w:tcPr>
          <w:p w14:paraId="41D1581E" w14:textId="77777777" w:rsidR="00C40472" w:rsidRPr="00FF0EA4" w:rsidRDefault="00FF0EA4" w:rsidP="009124E1">
            <w:pPr>
              <w:pStyle w:val="TableText"/>
              <w:keepNext w:val="0"/>
              <w:widowControl w:val="0"/>
              <w:jc w:val="center"/>
              <w:rPr>
                <w:b/>
                <w:bCs w:val="0"/>
                <w:i/>
                <w:iCs/>
                <w:color w:val="000000"/>
              </w:rPr>
            </w:pPr>
            <w:r>
              <w:rPr>
                <w:b/>
                <w:bCs w:val="0"/>
                <w:i/>
                <w:iCs/>
                <w:noProof/>
                <w:color w:val="000000"/>
                <w:highlight w:val="black"/>
              </w:rPr>
              <w:t>''''''''''''''''''''</w:t>
            </w:r>
            <w:r w:rsidR="009B6118" w:rsidRPr="009B6118">
              <w:rPr>
                <w:i/>
                <w:iCs/>
                <w:vertAlign w:val="superscript"/>
              </w:rPr>
              <w:t>2</w:t>
            </w:r>
          </w:p>
        </w:tc>
        <w:tc>
          <w:tcPr>
            <w:tcW w:w="1111" w:type="dxa"/>
            <w:shd w:val="clear" w:color="auto" w:fill="auto"/>
            <w:vAlign w:val="center"/>
          </w:tcPr>
          <w:p w14:paraId="172E4A26" w14:textId="77777777" w:rsidR="00C40472" w:rsidRPr="00FF0EA4" w:rsidRDefault="00FF0EA4" w:rsidP="009124E1">
            <w:pPr>
              <w:pStyle w:val="TableText"/>
              <w:keepNext w:val="0"/>
              <w:widowControl w:val="0"/>
              <w:jc w:val="center"/>
              <w:rPr>
                <w:b/>
                <w:bCs w:val="0"/>
                <w:i/>
                <w:iCs/>
                <w:color w:val="000000"/>
              </w:rPr>
            </w:pPr>
            <w:r>
              <w:rPr>
                <w:b/>
                <w:bCs w:val="0"/>
                <w:i/>
                <w:iCs/>
                <w:noProof/>
                <w:color w:val="000000"/>
                <w:highlight w:val="black"/>
              </w:rPr>
              <w:t>'''''''''''''''''''''''</w:t>
            </w:r>
            <w:r w:rsidR="009B6118" w:rsidRPr="009B6118">
              <w:rPr>
                <w:i/>
                <w:iCs/>
                <w:vertAlign w:val="superscript"/>
              </w:rPr>
              <w:t>2</w:t>
            </w:r>
          </w:p>
        </w:tc>
        <w:tc>
          <w:tcPr>
            <w:tcW w:w="1110" w:type="dxa"/>
            <w:shd w:val="clear" w:color="auto" w:fill="auto"/>
            <w:vAlign w:val="center"/>
          </w:tcPr>
          <w:p w14:paraId="65DF3FB6" w14:textId="77777777" w:rsidR="00C40472" w:rsidRPr="00FF0EA4" w:rsidRDefault="00FF0EA4" w:rsidP="009124E1">
            <w:pPr>
              <w:pStyle w:val="TableText"/>
              <w:keepNext w:val="0"/>
              <w:widowControl w:val="0"/>
              <w:jc w:val="center"/>
              <w:rPr>
                <w:b/>
                <w:bCs w:val="0"/>
                <w:i/>
                <w:iCs/>
                <w:color w:val="000000"/>
              </w:rPr>
            </w:pPr>
            <w:r>
              <w:rPr>
                <w:b/>
                <w:bCs w:val="0"/>
                <w:i/>
                <w:iCs/>
                <w:noProof/>
                <w:color w:val="000000"/>
                <w:highlight w:val="black"/>
              </w:rPr>
              <w:t>''''''''''''''''''''''</w:t>
            </w:r>
            <w:r w:rsidR="009B6118" w:rsidRPr="009B6118">
              <w:rPr>
                <w:i/>
                <w:iCs/>
                <w:vertAlign w:val="superscript"/>
              </w:rPr>
              <w:t>2</w:t>
            </w:r>
          </w:p>
        </w:tc>
        <w:tc>
          <w:tcPr>
            <w:tcW w:w="1110" w:type="dxa"/>
            <w:shd w:val="clear" w:color="auto" w:fill="auto"/>
            <w:vAlign w:val="center"/>
          </w:tcPr>
          <w:p w14:paraId="409C13E4" w14:textId="77777777" w:rsidR="00C40472" w:rsidRPr="00FF0EA4" w:rsidRDefault="00FF0EA4" w:rsidP="009124E1">
            <w:pPr>
              <w:pStyle w:val="TableText"/>
              <w:keepNext w:val="0"/>
              <w:widowControl w:val="0"/>
              <w:jc w:val="center"/>
              <w:rPr>
                <w:b/>
                <w:bCs w:val="0"/>
                <w:i/>
                <w:iCs/>
                <w:color w:val="000000"/>
              </w:rPr>
            </w:pPr>
            <w:r>
              <w:rPr>
                <w:b/>
                <w:bCs w:val="0"/>
                <w:i/>
                <w:iCs/>
                <w:noProof/>
                <w:color w:val="000000"/>
                <w:highlight w:val="black"/>
              </w:rPr>
              <w:t>''''''''''''''''''''''''</w:t>
            </w:r>
            <w:r w:rsidR="009B6118" w:rsidRPr="009B6118">
              <w:rPr>
                <w:i/>
                <w:iCs/>
                <w:vertAlign w:val="superscript"/>
              </w:rPr>
              <w:t>2</w:t>
            </w:r>
          </w:p>
        </w:tc>
        <w:tc>
          <w:tcPr>
            <w:tcW w:w="1111" w:type="dxa"/>
            <w:shd w:val="clear" w:color="auto" w:fill="auto"/>
            <w:vAlign w:val="center"/>
          </w:tcPr>
          <w:p w14:paraId="3EB3E573" w14:textId="77777777" w:rsidR="00C40472" w:rsidRPr="00FF0EA4" w:rsidRDefault="00FF0EA4" w:rsidP="009124E1">
            <w:pPr>
              <w:pStyle w:val="TableText"/>
              <w:keepNext w:val="0"/>
              <w:widowControl w:val="0"/>
              <w:jc w:val="center"/>
              <w:rPr>
                <w:b/>
                <w:bCs w:val="0"/>
                <w:i/>
                <w:iCs/>
                <w:color w:val="000000"/>
              </w:rPr>
            </w:pPr>
            <w:r>
              <w:rPr>
                <w:b/>
                <w:bCs w:val="0"/>
                <w:i/>
                <w:iCs/>
                <w:noProof/>
                <w:color w:val="000000"/>
                <w:highlight w:val="black"/>
              </w:rPr>
              <w:t>''''''''''''''''''''''</w:t>
            </w:r>
            <w:r w:rsidR="009B6118" w:rsidRPr="009B6118">
              <w:rPr>
                <w:i/>
                <w:iCs/>
                <w:vertAlign w:val="superscript"/>
              </w:rPr>
              <w:t>2</w:t>
            </w:r>
          </w:p>
        </w:tc>
      </w:tr>
      <w:tr w:rsidR="00C40472" w:rsidRPr="00610FCD" w14:paraId="52046976" w14:textId="77777777" w:rsidTr="009124E1">
        <w:trPr>
          <w:trHeight w:val="170"/>
        </w:trPr>
        <w:tc>
          <w:tcPr>
            <w:tcW w:w="2405" w:type="dxa"/>
            <w:shd w:val="clear" w:color="auto" w:fill="DBE5F1" w:themeFill="accent1" w:themeFillTint="33"/>
            <w:vAlign w:val="center"/>
          </w:tcPr>
          <w:p w14:paraId="50D68036" w14:textId="77777777" w:rsidR="00C40472" w:rsidRPr="00610FCD" w:rsidRDefault="00C40472" w:rsidP="009124E1">
            <w:pPr>
              <w:pStyle w:val="TableText"/>
              <w:keepNext w:val="0"/>
              <w:widowControl w:val="0"/>
              <w:rPr>
                <w:b/>
                <w:bCs w:val="0"/>
              </w:rPr>
            </w:pPr>
            <w:r w:rsidRPr="00610FCD">
              <w:rPr>
                <w:b/>
                <w:bCs w:val="0"/>
              </w:rPr>
              <w:t xml:space="preserve">March 2021 submission, </w:t>
            </w:r>
          </w:p>
          <w:p w14:paraId="50016D1C" w14:textId="77777777" w:rsidR="00C40472" w:rsidRPr="00610FCD" w:rsidRDefault="00C40472" w:rsidP="009124E1">
            <w:pPr>
              <w:pStyle w:val="TableText"/>
              <w:keepNext w:val="0"/>
              <w:widowControl w:val="0"/>
              <w:rPr>
                <w:b/>
                <w:bCs w:val="0"/>
              </w:rPr>
            </w:pPr>
            <w:r w:rsidRPr="00610FCD">
              <w:rPr>
                <w:b/>
                <w:bCs w:val="0"/>
              </w:rPr>
              <w:t>Net PBS/RPBS cost</w:t>
            </w:r>
            <w:r>
              <w:rPr>
                <w:b/>
                <w:bCs w:val="0"/>
              </w:rPr>
              <w:t xml:space="preserve"> (less copay)</w:t>
            </w:r>
          </w:p>
        </w:tc>
        <w:tc>
          <w:tcPr>
            <w:tcW w:w="1110" w:type="dxa"/>
            <w:shd w:val="clear" w:color="auto" w:fill="DBE5F1" w:themeFill="accent1" w:themeFillTint="33"/>
            <w:vAlign w:val="center"/>
          </w:tcPr>
          <w:p w14:paraId="61C3AEAD"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0" w:type="dxa"/>
            <w:shd w:val="clear" w:color="auto" w:fill="DBE5F1" w:themeFill="accent1" w:themeFillTint="33"/>
            <w:vAlign w:val="center"/>
          </w:tcPr>
          <w:p w14:paraId="2B110515"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1" w:type="dxa"/>
            <w:shd w:val="clear" w:color="auto" w:fill="DBE5F1" w:themeFill="accent1" w:themeFillTint="33"/>
            <w:vAlign w:val="center"/>
          </w:tcPr>
          <w:p w14:paraId="46FCAF20"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0" w:type="dxa"/>
            <w:shd w:val="clear" w:color="auto" w:fill="DBE5F1" w:themeFill="accent1" w:themeFillTint="33"/>
            <w:vAlign w:val="center"/>
          </w:tcPr>
          <w:p w14:paraId="66D736D0"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0" w:type="dxa"/>
            <w:shd w:val="clear" w:color="auto" w:fill="DBE5F1" w:themeFill="accent1" w:themeFillTint="33"/>
            <w:vAlign w:val="center"/>
          </w:tcPr>
          <w:p w14:paraId="695EC1BF"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1" w:type="dxa"/>
            <w:shd w:val="clear" w:color="auto" w:fill="DBE5F1" w:themeFill="accent1" w:themeFillTint="33"/>
            <w:vAlign w:val="center"/>
          </w:tcPr>
          <w:p w14:paraId="733BA3B6"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r>
      <w:tr w:rsidR="00C40472" w:rsidRPr="00610FCD" w14:paraId="30B315C9" w14:textId="77777777" w:rsidTr="009124E1">
        <w:trPr>
          <w:trHeight w:val="170"/>
        </w:trPr>
        <w:tc>
          <w:tcPr>
            <w:tcW w:w="2405" w:type="dxa"/>
            <w:shd w:val="clear" w:color="auto" w:fill="auto"/>
            <w:vAlign w:val="center"/>
          </w:tcPr>
          <w:p w14:paraId="0E4EC6E3" w14:textId="77777777" w:rsidR="00C40472" w:rsidRPr="00610FCD" w:rsidRDefault="00C40472" w:rsidP="009124E1">
            <w:pPr>
              <w:pStyle w:val="TableText"/>
              <w:keepNext w:val="0"/>
              <w:widowControl w:val="0"/>
            </w:pPr>
            <w:r w:rsidRPr="00610FCD">
              <w:t>Blood transfusions procedure (MBS item 13706)</w:t>
            </w:r>
            <w:r w:rsidR="00103D85">
              <w:t xml:space="preserve"> </w:t>
            </w:r>
          </w:p>
        </w:tc>
        <w:tc>
          <w:tcPr>
            <w:tcW w:w="1110" w:type="dxa"/>
            <w:shd w:val="clear" w:color="auto" w:fill="auto"/>
            <w:vAlign w:val="center"/>
          </w:tcPr>
          <w:p w14:paraId="7F309EF8"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0" w:type="dxa"/>
            <w:shd w:val="clear" w:color="auto" w:fill="auto"/>
            <w:vAlign w:val="center"/>
          </w:tcPr>
          <w:p w14:paraId="074F8C41"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1" w:type="dxa"/>
            <w:shd w:val="clear" w:color="auto" w:fill="auto"/>
            <w:vAlign w:val="center"/>
          </w:tcPr>
          <w:p w14:paraId="11C44C58"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0" w:type="dxa"/>
            <w:shd w:val="clear" w:color="auto" w:fill="auto"/>
            <w:vAlign w:val="center"/>
          </w:tcPr>
          <w:p w14:paraId="32B17E52"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0" w:type="dxa"/>
            <w:shd w:val="clear" w:color="auto" w:fill="auto"/>
            <w:vAlign w:val="center"/>
          </w:tcPr>
          <w:p w14:paraId="5E47EC06"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1" w:type="dxa"/>
            <w:shd w:val="clear" w:color="auto" w:fill="auto"/>
            <w:vAlign w:val="center"/>
          </w:tcPr>
          <w:p w14:paraId="08369307"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r>
      <w:tr w:rsidR="00C40472" w:rsidRPr="00610FCD" w14:paraId="0D2ABFCF" w14:textId="77777777" w:rsidTr="009124E1">
        <w:trPr>
          <w:trHeight w:val="170"/>
        </w:trPr>
        <w:tc>
          <w:tcPr>
            <w:tcW w:w="2405" w:type="dxa"/>
            <w:shd w:val="clear" w:color="auto" w:fill="auto"/>
            <w:vAlign w:val="center"/>
          </w:tcPr>
          <w:p w14:paraId="61579A3B" w14:textId="77777777" w:rsidR="00C40472" w:rsidRPr="00103D85" w:rsidRDefault="00C40472" w:rsidP="009124E1">
            <w:pPr>
              <w:pStyle w:val="TableText"/>
              <w:keepNext w:val="0"/>
              <w:widowControl w:val="0"/>
            </w:pPr>
            <w:r w:rsidRPr="00610FCD">
              <w:t>Cost of blood products (National Blood Authority</w:t>
            </w:r>
            <w:r>
              <w:t>, NBA</w:t>
            </w:r>
            <w:r w:rsidRPr="00610FCD">
              <w:t>)</w:t>
            </w:r>
            <w:r>
              <w:t xml:space="preserve"> </w:t>
            </w:r>
            <w:r>
              <w:rPr>
                <w:vertAlign w:val="superscript"/>
              </w:rPr>
              <w:t>a</w:t>
            </w:r>
          </w:p>
        </w:tc>
        <w:tc>
          <w:tcPr>
            <w:tcW w:w="1110" w:type="dxa"/>
            <w:shd w:val="clear" w:color="auto" w:fill="auto"/>
            <w:vAlign w:val="center"/>
          </w:tcPr>
          <w:p w14:paraId="78C4BDF2"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0" w:type="dxa"/>
            <w:shd w:val="clear" w:color="auto" w:fill="auto"/>
            <w:vAlign w:val="center"/>
          </w:tcPr>
          <w:p w14:paraId="2EB7D810"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1" w:type="dxa"/>
            <w:shd w:val="clear" w:color="auto" w:fill="auto"/>
            <w:vAlign w:val="center"/>
          </w:tcPr>
          <w:p w14:paraId="5DE8AE0F"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0" w:type="dxa"/>
            <w:shd w:val="clear" w:color="auto" w:fill="auto"/>
            <w:vAlign w:val="center"/>
          </w:tcPr>
          <w:p w14:paraId="426A63E5"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0" w:type="dxa"/>
            <w:shd w:val="clear" w:color="auto" w:fill="auto"/>
            <w:vAlign w:val="center"/>
          </w:tcPr>
          <w:p w14:paraId="068717FE"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c>
          <w:tcPr>
            <w:tcW w:w="1111" w:type="dxa"/>
            <w:shd w:val="clear" w:color="auto" w:fill="auto"/>
            <w:vAlign w:val="center"/>
          </w:tcPr>
          <w:p w14:paraId="07B02FE9" w14:textId="77777777" w:rsidR="00C40472" w:rsidRPr="00FF0EA4" w:rsidRDefault="00FF0EA4" w:rsidP="009124E1">
            <w:pPr>
              <w:pStyle w:val="TableText"/>
              <w:keepNext w:val="0"/>
              <w:widowControl w:val="0"/>
              <w:jc w:val="center"/>
            </w:pPr>
            <w:r>
              <w:rPr>
                <w:noProof/>
                <w:color w:val="000000"/>
                <w:highlight w:val="black"/>
              </w:rPr>
              <w:t>''''''''''''''''''''</w:t>
            </w:r>
            <w:r w:rsidR="009B6118" w:rsidRPr="009B6118">
              <w:rPr>
                <w:iCs/>
                <w:vertAlign w:val="superscript"/>
              </w:rPr>
              <w:t>2</w:t>
            </w:r>
          </w:p>
        </w:tc>
      </w:tr>
      <w:tr w:rsidR="00C40472" w:rsidRPr="00610FCD" w14:paraId="373D414C" w14:textId="77777777" w:rsidTr="009124E1">
        <w:trPr>
          <w:trHeight w:val="170"/>
        </w:trPr>
        <w:tc>
          <w:tcPr>
            <w:tcW w:w="2405" w:type="dxa"/>
            <w:shd w:val="clear" w:color="auto" w:fill="auto"/>
            <w:vAlign w:val="center"/>
          </w:tcPr>
          <w:p w14:paraId="3C0D2A96" w14:textId="77777777" w:rsidR="00C40472" w:rsidRPr="00610FCD" w:rsidRDefault="00C40472" w:rsidP="009124E1">
            <w:pPr>
              <w:pStyle w:val="TableText"/>
              <w:keepNext w:val="0"/>
              <w:widowControl w:val="0"/>
              <w:rPr>
                <w:b/>
                <w:bCs w:val="0"/>
              </w:rPr>
            </w:pPr>
            <w:r w:rsidRPr="00610FCD">
              <w:rPr>
                <w:b/>
                <w:bCs w:val="0"/>
              </w:rPr>
              <w:t>Total cost to</w:t>
            </w:r>
            <w:r>
              <w:rPr>
                <w:b/>
                <w:bCs w:val="0"/>
              </w:rPr>
              <w:t xml:space="preserve"> PBS/RPBS/MBS/ NBA</w:t>
            </w:r>
          </w:p>
        </w:tc>
        <w:tc>
          <w:tcPr>
            <w:tcW w:w="1110" w:type="dxa"/>
            <w:shd w:val="clear" w:color="auto" w:fill="auto"/>
            <w:vAlign w:val="center"/>
          </w:tcPr>
          <w:p w14:paraId="602793C8" w14:textId="77777777" w:rsidR="00C40472" w:rsidRPr="00FF0EA4" w:rsidRDefault="00FF0EA4" w:rsidP="009124E1">
            <w:pPr>
              <w:pStyle w:val="TableText"/>
              <w:keepNext w:val="0"/>
              <w:widowControl w:val="0"/>
              <w:jc w:val="center"/>
              <w:rPr>
                <w:b/>
                <w:bCs w:val="0"/>
                <w:i/>
                <w:iCs/>
              </w:rPr>
            </w:pPr>
            <w:r>
              <w:rPr>
                <w:b/>
                <w:bCs w:val="0"/>
                <w:i/>
                <w:iCs/>
                <w:noProof/>
                <w:color w:val="000000"/>
                <w:highlight w:val="black"/>
              </w:rPr>
              <w:t>'''''''''''''''''''</w:t>
            </w:r>
            <w:r w:rsidR="009B6118" w:rsidRPr="009B6118">
              <w:rPr>
                <w:i/>
                <w:iCs/>
                <w:vertAlign w:val="superscript"/>
              </w:rPr>
              <w:t>2</w:t>
            </w:r>
          </w:p>
        </w:tc>
        <w:tc>
          <w:tcPr>
            <w:tcW w:w="1110" w:type="dxa"/>
            <w:shd w:val="clear" w:color="auto" w:fill="auto"/>
            <w:vAlign w:val="center"/>
          </w:tcPr>
          <w:p w14:paraId="695D50F2" w14:textId="77777777" w:rsidR="00C40472" w:rsidRPr="00FF0EA4" w:rsidRDefault="00FF0EA4" w:rsidP="009124E1">
            <w:pPr>
              <w:pStyle w:val="TableText"/>
              <w:keepNext w:val="0"/>
              <w:widowControl w:val="0"/>
              <w:jc w:val="center"/>
              <w:rPr>
                <w:b/>
                <w:bCs w:val="0"/>
                <w:i/>
                <w:iCs/>
              </w:rPr>
            </w:pPr>
            <w:r>
              <w:rPr>
                <w:b/>
                <w:bCs w:val="0"/>
                <w:i/>
                <w:iCs/>
                <w:noProof/>
                <w:color w:val="000000"/>
                <w:highlight w:val="black"/>
              </w:rPr>
              <w:t>'''''''''''''''''''''</w:t>
            </w:r>
            <w:r w:rsidR="009B6118" w:rsidRPr="009B6118">
              <w:rPr>
                <w:i/>
                <w:iCs/>
                <w:vertAlign w:val="superscript"/>
              </w:rPr>
              <w:t>2</w:t>
            </w:r>
          </w:p>
        </w:tc>
        <w:tc>
          <w:tcPr>
            <w:tcW w:w="1111" w:type="dxa"/>
            <w:shd w:val="clear" w:color="auto" w:fill="auto"/>
            <w:vAlign w:val="center"/>
          </w:tcPr>
          <w:p w14:paraId="3BF74655" w14:textId="77777777" w:rsidR="00C40472" w:rsidRPr="00FF0EA4" w:rsidRDefault="00FF0EA4" w:rsidP="009124E1">
            <w:pPr>
              <w:pStyle w:val="TableText"/>
              <w:keepNext w:val="0"/>
              <w:widowControl w:val="0"/>
              <w:jc w:val="center"/>
              <w:rPr>
                <w:b/>
                <w:bCs w:val="0"/>
                <w:i/>
                <w:iCs/>
              </w:rPr>
            </w:pPr>
            <w:r>
              <w:rPr>
                <w:b/>
                <w:bCs w:val="0"/>
                <w:i/>
                <w:iCs/>
                <w:noProof/>
                <w:color w:val="000000"/>
                <w:highlight w:val="black"/>
              </w:rPr>
              <w:t>''''''''''''''''''''</w:t>
            </w:r>
            <w:r w:rsidR="009B6118" w:rsidRPr="009B6118">
              <w:rPr>
                <w:i/>
                <w:iCs/>
                <w:vertAlign w:val="superscript"/>
              </w:rPr>
              <w:t>2</w:t>
            </w:r>
          </w:p>
        </w:tc>
        <w:tc>
          <w:tcPr>
            <w:tcW w:w="1110" w:type="dxa"/>
            <w:shd w:val="clear" w:color="auto" w:fill="auto"/>
            <w:vAlign w:val="center"/>
          </w:tcPr>
          <w:p w14:paraId="1851EC5E" w14:textId="77777777" w:rsidR="00C40472" w:rsidRPr="00FF0EA4" w:rsidRDefault="00FF0EA4" w:rsidP="009124E1">
            <w:pPr>
              <w:pStyle w:val="TableText"/>
              <w:keepNext w:val="0"/>
              <w:widowControl w:val="0"/>
              <w:jc w:val="center"/>
              <w:rPr>
                <w:b/>
                <w:bCs w:val="0"/>
                <w:i/>
                <w:iCs/>
              </w:rPr>
            </w:pPr>
            <w:r>
              <w:rPr>
                <w:b/>
                <w:bCs w:val="0"/>
                <w:i/>
                <w:iCs/>
                <w:noProof/>
                <w:color w:val="000000"/>
                <w:highlight w:val="black"/>
              </w:rPr>
              <w:t>'''''''''''''''''''''</w:t>
            </w:r>
            <w:r w:rsidR="009B6118" w:rsidRPr="009B6118">
              <w:rPr>
                <w:i/>
                <w:iCs/>
                <w:vertAlign w:val="superscript"/>
              </w:rPr>
              <w:t>2</w:t>
            </w:r>
          </w:p>
        </w:tc>
        <w:tc>
          <w:tcPr>
            <w:tcW w:w="1110" w:type="dxa"/>
            <w:shd w:val="clear" w:color="auto" w:fill="auto"/>
            <w:vAlign w:val="center"/>
          </w:tcPr>
          <w:p w14:paraId="19E5A28D" w14:textId="77777777" w:rsidR="00C40472" w:rsidRPr="00FF0EA4" w:rsidRDefault="00FF0EA4" w:rsidP="009124E1">
            <w:pPr>
              <w:pStyle w:val="TableText"/>
              <w:keepNext w:val="0"/>
              <w:widowControl w:val="0"/>
              <w:jc w:val="center"/>
              <w:rPr>
                <w:b/>
                <w:bCs w:val="0"/>
                <w:i/>
                <w:iCs/>
              </w:rPr>
            </w:pPr>
            <w:r>
              <w:rPr>
                <w:b/>
                <w:bCs w:val="0"/>
                <w:i/>
                <w:iCs/>
                <w:noProof/>
                <w:color w:val="000000"/>
                <w:highlight w:val="black"/>
              </w:rPr>
              <w:t>''''''''''''''''''''</w:t>
            </w:r>
            <w:r w:rsidR="009B6118" w:rsidRPr="009B6118">
              <w:rPr>
                <w:i/>
                <w:iCs/>
                <w:vertAlign w:val="superscript"/>
              </w:rPr>
              <w:t>2</w:t>
            </w:r>
          </w:p>
        </w:tc>
        <w:tc>
          <w:tcPr>
            <w:tcW w:w="1111" w:type="dxa"/>
            <w:shd w:val="clear" w:color="auto" w:fill="auto"/>
            <w:vAlign w:val="center"/>
          </w:tcPr>
          <w:p w14:paraId="1999AAE1" w14:textId="77777777" w:rsidR="00C40472" w:rsidRPr="00FF0EA4" w:rsidRDefault="00FF0EA4" w:rsidP="009124E1">
            <w:pPr>
              <w:pStyle w:val="TableText"/>
              <w:keepNext w:val="0"/>
              <w:widowControl w:val="0"/>
              <w:jc w:val="center"/>
              <w:rPr>
                <w:b/>
                <w:bCs w:val="0"/>
                <w:i/>
                <w:iCs/>
              </w:rPr>
            </w:pPr>
            <w:r>
              <w:rPr>
                <w:b/>
                <w:bCs w:val="0"/>
                <w:i/>
                <w:iCs/>
                <w:noProof/>
                <w:color w:val="000000"/>
                <w:highlight w:val="black"/>
              </w:rPr>
              <w:t>'''''''''''''''''''''</w:t>
            </w:r>
            <w:r w:rsidR="009B6118" w:rsidRPr="009B6118">
              <w:rPr>
                <w:i/>
                <w:iCs/>
                <w:vertAlign w:val="superscript"/>
              </w:rPr>
              <w:t>2</w:t>
            </w:r>
          </w:p>
        </w:tc>
      </w:tr>
    </w:tbl>
    <w:p w14:paraId="43FEC5FE" w14:textId="77777777" w:rsidR="00C40472" w:rsidRPr="00610FCD" w:rsidRDefault="00C40472" w:rsidP="00C40472">
      <w:pPr>
        <w:pStyle w:val="TableFigureFooter"/>
      </w:pPr>
      <w:r w:rsidRPr="00610FCD">
        <w:t>Source: Sections 4.2-4.4, pp281-298 of the resubmission</w:t>
      </w:r>
    </w:p>
    <w:p w14:paraId="1FFE82C2" w14:textId="77777777" w:rsidR="00C40472" w:rsidRPr="00AB6455" w:rsidRDefault="00C40472" w:rsidP="00C40472">
      <w:pPr>
        <w:pStyle w:val="TableFigureFooter"/>
      </w:pPr>
      <w:r>
        <w:rPr>
          <w:vertAlign w:val="superscript"/>
        </w:rPr>
        <w:t>a</w:t>
      </w:r>
      <w:r>
        <w:t xml:space="preserve"> The resubmission assumed the full cost of blood products is borne by the Australian Government. Funding of blood and blood products is shared between the Australian Government (63%) and the States and Territories (37%).</w:t>
      </w:r>
    </w:p>
    <w:p w14:paraId="01EB0C05" w14:textId="77777777" w:rsidR="00C40472" w:rsidRDefault="00C40472" w:rsidP="00C40472">
      <w:pPr>
        <w:pStyle w:val="TableFigureFooter"/>
        <w:rPr>
          <w:i/>
          <w:iCs/>
        </w:rPr>
      </w:pPr>
      <w:r w:rsidRPr="00610FCD">
        <w:rPr>
          <w:i/>
          <w:iCs/>
        </w:rPr>
        <w:t xml:space="preserve">There was an error in the public hospital/private hospital split presented in the resubmission. Italicised estimates were calculated based on corrected estimates provided by the sponsor during the evaluation. </w:t>
      </w:r>
    </w:p>
    <w:p w14:paraId="3138D07E" w14:textId="77777777" w:rsidR="00444E4F" w:rsidRDefault="00444E4F" w:rsidP="00C40472">
      <w:pPr>
        <w:pStyle w:val="TableFigureFooter"/>
        <w:rPr>
          <w:i/>
          <w:iCs/>
        </w:rPr>
      </w:pPr>
      <w:r>
        <w:rPr>
          <w:i/>
          <w:iCs/>
        </w:rPr>
        <w:t>The redacted values correspond to the following ranges:</w:t>
      </w:r>
    </w:p>
    <w:p w14:paraId="6BA33FD9" w14:textId="77777777" w:rsidR="00444E4F" w:rsidRDefault="00444E4F" w:rsidP="00C40472">
      <w:pPr>
        <w:pStyle w:val="TableFigureFooter"/>
        <w:rPr>
          <w:i/>
          <w:iCs/>
        </w:rPr>
      </w:pPr>
      <w:r>
        <w:rPr>
          <w:i/>
          <w:iCs/>
          <w:vertAlign w:val="superscript"/>
        </w:rPr>
        <w:t>1</w:t>
      </w:r>
      <w:r>
        <w:rPr>
          <w:i/>
          <w:iCs/>
        </w:rPr>
        <w:t xml:space="preserve"> &lt; 500</w:t>
      </w:r>
    </w:p>
    <w:p w14:paraId="70D56303" w14:textId="77777777" w:rsidR="00444E4F" w:rsidRPr="00444E4F" w:rsidRDefault="00444E4F" w:rsidP="00C40472">
      <w:pPr>
        <w:pStyle w:val="TableFigureFooter"/>
        <w:rPr>
          <w:i/>
          <w:iCs/>
        </w:rPr>
      </w:pPr>
      <w:r>
        <w:rPr>
          <w:i/>
          <w:iCs/>
          <w:vertAlign w:val="superscript"/>
        </w:rPr>
        <w:t>2</w:t>
      </w:r>
      <w:r>
        <w:rPr>
          <w:i/>
          <w:iCs/>
        </w:rPr>
        <w:t xml:space="preserve"> </w:t>
      </w:r>
      <w:r w:rsidR="00103D85">
        <w:rPr>
          <w:i/>
          <w:iCs/>
        </w:rPr>
        <w:t>$0 to &lt; $10 million</w:t>
      </w:r>
    </w:p>
    <w:p w14:paraId="45445B9B" w14:textId="77777777" w:rsidR="0071015C" w:rsidRPr="0071015C" w:rsidRDefault="00C40472" w:rsidP="00C40472">
      <w:pPr>
        <w:pStyle w:val="ExecSumBodyText"/>
      </w:pPr>
      <w:r w:rsidRPr="00610FCD">
        <w:t>The estimated net cost to the PBS</w:t>
      </w:r>
      <w:r>
        <w:t>/RPBS</w:t>
      </w:r>
      <w:r w:rsidRPr="00610FCD">
        <w:t xml:space="preserve"> was $</w:t>
      </w:r>
      <w:r w:rsidR="00F3399F">
        <w:t>0 to &lt; $10 million</w:t>
      </w:r>
      <w:r w:rsidRPr="00610FCD">
        <w:t xml:space="preserve"> in Year 1, increasing to $</w:t>
      </w:r>
      <w:r w:rsidR="00F3399F">
        <w:t>0 to &lt; $10</w:t>
      </w:r>
      <w:r>
        <w:t> </w:t>
      </w:r>
      <w:r w:rsidRPr="00610FCD">
        <w:t>million in Year 6, a total cost of $</w:t>
      </w:r>
      <w:r w:rsidR="00F3399F">
        <w:t>10 million to &lt; $20</w:t>
      </w:r>
      <w:r w:rsidRPr="00610FCD">
        <w:t xml:space="preserve"> million over 6 years. </w:t>
      </w:r>
      <w:r w:rsidRPr="00FB1983">
        <w:rPr>
          <w:iCs/>
        </w:rPr>
        <w:t>The March 2021 submission estimated a net cost to the PBS/RPBS of $</w:t>
      </w:r>
      <w:r w:rsidR="00F3399F">
        <w:rPr>
          <w:iCs/>
        </w:rPr>
        <w:t>10 million to &lt; $20</w:t>
      </w:r>
      <w:r w:rsidRPr="00FB1983">
        <w:rPr>
          <w:iCs/>
        </w:rPr>
        <w:t xml:space="preserve"> million over 6 years. </w:t>
      </w:r>
      <w:r w:rsidR="004244E6">
        <w:t>The pre-PBAC response claimed that at the reduced price offered, the financial impact to the PBS would reduce by $</w:t>
      </w:r>
      <w:r w:rsidR="00F3399F">
        <w:t>0 to &lt; $10</w:t>
      </w:r>
      <w:r w:rsidR="00B1485C">
        <w:t xml:space="preserve"> million</w:t>
      </w:r>
      <w:r w:rsidR="004244E6">
        <w:t xml:space="preserve"> over 6 years. </w:t>
      </w:r>
      <w:r w:rsidRPr="00FB1983">
        <w:rPr>
          <w:iCs/>
        </w:rPr>
        <w:t>The difference in RPBS/PBS budget implications was primarily due to a smaller eligible population that excluded patients with acute promyelocytic leukaemia, and a smaller treated population that excluded the initiation of gemtuzumab treatment in patients who are awaiting cytogenetic test results. Net costs to the PBS/RPBS in the March 2021 submission were also based on a slightly higher proportion of use of gemtuzumab in private hospital settings (20%).</w:t>
      </w:r>
      <w:r w:rsidR="0071015C">
        <w:rPr>
          <w:iCs/>
        </w:rPr>
        <w:t xml:space="preserve"> </w:t>
      </w:r>
    </w:p>
    <w:p w14:paraId="6A7B2A57" w14:textId="77777777" w:rsidR="00C40472" w:rsidRPr="00610FCD" w:rsidRDefault="00C40472" w:rsidP="00C40472">
      <w:pPr>
        <w:pStyle w:val="ExecSumBodyText"/>
      </w:pPr>
      <w:r w:rsidRPr="00610FCD">
        <w:t>The resubmission estimated additional costs to Government due to increased blood transfusions associated with gemtuzumab treatment. The total cost to Government including additional costs to MBS and the National Blood Authority was $</w:t>
      </w:r>
      <w:r w:rsidR="00F3399F">
        <w:t>0 to &lt; $10</w:t>
      </w:r>
      <w:r w:rsidRPr="00610FCD">
        <w:t xml:space="preserve"> million in Year 1, increasing to $</w:t>
      </w:r>
      <w:r w:rsidR="00F3399F">
        <w:t>0 to &lt; $10</w:t>
      </w:r>
      <w:r w:rsidRPr="00610FCD">
        <w:t xml:space="preserve"> million in Year 6, a total cost of $</w:t>
      </w:r>
      <w:r w:rsidR="00F3399F">
        <w:t>10 million to &lt; $20</w:t>
      </w:r>
      <w:r w:rsidRPr="00610FCD">
        <w:t xml:space="preserve"> million over 6 years.  </w:t>
      </w:r>
    </w:p>
    <w:p w14:paraId="12142E10" w14:textId="77777777" w:rsidR="00C40472" w:rsidRPr="00FB1983" w:rsidRDefault="00C40472" w:rsidP="00C40472">
      <w:pPr>
        <w:pStyle w:val="ExecSumBodyText"/>
        <w:rPr>
          <w:iCs/>
        </w:rPr>
      </w:pPr>
      <w:r w:rsidRPr="00610FCD">
        <w:t xml:space="preserve">Based on expert opinion, the resubmission clarified that all patients would receive confirmation of cytogenetic risk prior to initiation of treatment with gemtuzumab. </w:t>
      </w:r>
    </w:p>
    <w:p w14:paraId="2B37E937" w14:textId="77777777" w:rsidR="00C40472" w:rsidRPr="00FB1983" w:rsidRDefault="00C40472" w:rsidP="00C40472">
      <w:pPr>
        <w:pStyle w:val="ExecSumBodyText"/>
        <w:rPr>
          <w:iCs/>
        </w:rPr>
      </w:pPr>
      <w:r w:rsidRPr="00FB1983">
        <w:rPr>
          <w:iCs/>
        </w:rPr>
        <w:t>The size of the eligible population remain</w:t>
      </w:r>
      <w:r>
        <w:rPr>
          <w:iCs/>
        </w:rPr>
        <w:t>ed</w:t>
      </w:r>
      <w:r w:rsidRPr="00FB1983">
        <w:rPr>
          <w:iCs/>
        </w:rPr>
        <w:t xml:space="preserve"> uncertain given concerns with key inputs related to cytogenetic risk distribution and the proportion of patients who are not FLT3-mutation positive. </w:t>
      </w:r>
    </w:p>
    <w:p w14:paraId="1AFAAECF" w14:textId="77777777" w:rsidR="00C40472" w:rsidRPr="00FB1983" w:rsidRDefault="00FB37E8" w:rsidP="00C40472">
      <w:pPr>
        <w:pStyle w:val="ExecSumBodyText"/>
        <w:rPr>
          <w:iCs/>
        </w:rPr>
      </w:pPr>
      <w:r>
        <w:rPr>
          <w:iCs/>
        </w:rPr>
        <w:t>T</w:t>
      </w:r>
      <w:r w:rsidR="00C40472" w:rsidRPr="00FB1983">
        <w:rPr>
          <w:iCs/>
        </w:rPr>
        <w:t xml:space="preserve">he uptake of gemtuzumab in the eligible population was </w:t>
      </w:r>
      <w:r w:rsidR="00C57A93">
        <w:rPr>
          <w:iCs/>
        </w:rPr>
        <w:t>likely overestimated</w:t>
      </w:r>
      <w:r w:rsidR="00C40472" w:rsidRPr="00FB1983">
        <w:rPr>
          <w:iCs/>
        </w:rPr>
        <w:t xml:space="preserve"> due to the following reasons: </w:t>
      </w:r>
    </w:p>
    <w:p w14:paraId="1E110E26" w14:textId="77777777" w:rsidR="00C40472" w:rsidRPr="00D648C3" w:rsidRDefault="00C40472" w:rsidP="00C40472">
      <w:pPr>
        <w:pStyle w:val="ExecSumBodyText"/>
        <w:numPr>
          <w:ilvl w:val="0"/>
          <w:numId w:val="14"/>
        </w:numPr>
        <w:spacing w:after="0"/>
        <w:ind w:left="1077" w:hanging="357"/>
        <w:rPr>
          <w:iCs/>
        </w:rPr>
      </w:pPr>
      <w:r w:rsidRPr="00C57A93">
        <w:rPr>
          <w:iCs/>
        </w:rPr>
        <w:t>The uptake of gemtuzumab in patients with unknown cytogenetic risk is</w:t>
      </w:r>
      <w:r w:rsidR="00C57A93" w:rsidRPr="00C57A93">
        <w:rPr>
          <w:iCs/>
        </w:rPr>
        <w:t xml:space="preserve"> likely to be relatively low</w:t>
      </w:r>
      <w:r w:rsidRPr="00C57A93">
        <w:rPr>
          <w:iCs/>
        </w:rPr>
        <w:t>. The PSCR argued that cytogenetic analysis is only unsuccessful in a small proportion of AML cases,</w:t>
      </w:r>
      <w:r w:rsidRPr="00D648C3">
        <w:rPr>
          <w:iCs/>
        </w:rPr>
        <w:t xml:space="preserve"> with no correlations to defined biological/genetic aspects of AML or established risk groups. It also considered that this small group of patients (estimated as 9%, i.e. 4 of 31) should not be excluded from subsidy as it claimed that they also have favourable evidence of clinical benefit with treatment with gemtuzumab.  In practice, the ESC considered it was possible that few of these patients would be treated with gemtuzumab. The ESC recognised that some of these patients would have demonstrated intermediate/favourable cytogenetics had their tests been successful. </w:t>
      </w:r>
    </w:p>
    <w:p w14:paraId="0F587E35" w14:textId="77777777" w:rsidR="00C40472" w:rsidRPr="00FB1983" w:rsidRDefault="00C40472" w:rsidP="00C40472">
      <w:pPr>
        <w:pStyle w:val="ExecSumBodyText"/>
        <w:numPr>
          <w:ilvl w:val="0"/>
          <w:numId w:val="14"/>
        </w:numPr>
        <w:rPr>
          <w:iCs/>
        </w:rPr>
      </w:pPr>
      <w:r w:rsidRPr="00FB1983">
        <w:rPr>
          <w:iCs/>
        </w:rPr>
        <w:t>Based on published international guidelines and local expert opinion, the role of gemtuzumab is primarily for the treatment of patients with favourable risk and some patients who have intermediate risk, who are not FLT3-mutation positive and are otherwise not being considered for HSCT. This is a smaller role than</w:t>
      </w:r>
      <w:r>
        <w:rPr>
          <w:iCs/>
        </w:rPr>
        <w:t xml:space="preserve"> was</w:t>
      </w:r>
      <w:r w:rsidRPr="00FB1983">
        <w:rPr>
          <w:iCs/>
        </w:rPr>
        <w:t xml:space="preserve"> proposed in the resubmission. </w:t>
      </w:r>
    </w:p>
    <w:p w14:paraId="50EE65C9" w14:textId="32A284C6" w:rsidR="00C40472" w:rsidRPr="00FB1983" w:rsidRDefault="00C40472" w:rsidP="00C40472">
      <w:pPr>
        <w:pStyle w:val="ExecSumBodyText"/>
        <w:rPr>
          <w:iCs/>
        </w:rPr>
      </w:pPr>
      <w:r w:rsidRPr="00FB1983">
        <w:rPr>
          <w:iCs/>
        </w:rPr>
        <w:t>The majority of costs associated with gemtuzumab are expected to be derived from use in the public hospital inpatient setting, based on 83% of patients receiving induction treatment and 66% of patients receiving consolidation treatment. An estimate of gemtuzumab drug costs to State/Territory Governments was calculated during the evaluation (based on utilisation assumptions in the resubmission and the proposed gemtuzumab AEMP)</w:t>
      </w:r>
      <w:r w:rsidRPr="00AC1DAB">
        <w:rPr>
          <w:iCs/>
        </w:rPr>
        <w:t>.</w:t>
      </w:r>
      <w:r w:rsidRPr="00FB1983">
        <w:rPr>
          <w:iCs/>
        </w:rPr>
        <w:t xml:space="preserve"> The estimated cost to State/Territory Government budgets was $</w:t>
      </w:r>
      <w:r w:rsidR="00F3399F">
        <w:rPr>
          <w:iCs/>
        </w:rPr>
        <w:t>0 to &lt; $10</w:t>
      </w:r>
      <w:r w:rsidRPr="00FB1983">
        <w:rPr>
          <w:iCs/>
        </w:rPr>
        <w:t xml:space="preserve"> million in Year 1, increasing to $</w:t>
      </w:r>
      <w:r w:rsidR="00F3399F">
        <w:rPr>
          <w:iCs/>
        </w:rPr>
        <w:t>0 to &lt; $10</w:t>
      </w:r>
      <w:r w:rsidRPr="00FB1983">
        <w:rPr>
          <w:iCs/>
        </w:rPr>
        <w:t xml:space="preserve"> million in Year 6, a total of $</w:t>
      </w:r>
      <w:r w:rsidR="00F3399F">
        <w:rPr>
          <w:iCs/>
        </w:rPr>
        <w:t xml:space="preserve">30 million to &lt; $40 </w:t>
      </w:r>
      <w:r w:rsidRPr="00FB1983">
        <w:rPr>
          <w:iCs/>
        </w:rPr>
        <w:t>million over 6 years.</w:t>
      </w:r>
      <w:r w:rsidR="00644672">
        <w:rPr>
          <w:iCs/>
        </w:rPr>
        <w:t xml:space="preserve"> This impact would be less when based on the reduced price offered in the pre-PBAC response.</w:t>
      </w:r>
    </w:p>
    <w:p w14:paraId="64C3A224" w14:textId="77777777" w:rsidR="00C40472" w:rsidRPr="00FB1983" w:rsidRDefault="00C40472" w:rsidP="00C40472">
      <w:pPr>
        <w:pStyle w:val="ExecSumBodyText"/>
        <w:rPr>
          <w:iCs/>
        </w:rPr>
      </w:pPr>
      <w:r w:rsidRPr="00610FCD">
        <w:t>The resubmission assumed that gemtuzumab would be added to current therapy and would not result in changes in the use of the backbone chemotherapy regimen.</w:t>
      </w:r>
      <w:r w:rsidRPr="00FB1983">
        <w:rPr>
          <w:iCs/>
        </w:rPr>
        <w:t xml:space="preserve"> There may be additional costs should daunorubicin (the backbone therapy in ALFA-0701) be used instead of idarubicin given that daunorubicin is more expensive than idarubicin. </w:t>
      </w:r>
      <w:r w:rsidR="00BD5F4D">
        <w:rPr>
          <w:iCs/>
        </w:rPr>
        <w:t>T</w:t>
      </w:r>
      <w:r w:rsidRPr="00FB1983">
        <w:rPr>
          <w:iCs/>
        </w:rPr>
        <w:t>hese costs are likely to impact State/Territory Government budgets given that daunorubicin is not listed on the PBS.</w:t>
      </w:r>
    </w:p>
    <w:p w14:paraId="40301BEA" w14:textId="77777777" w:rsidR="00576972" w:rsidRPr="00610FCD" w:rsidRDefault="00576972" w:rsidP="00606FBA">
      <w:pPr>
        <w:pStyle w:val="3-SubsectionHeading"/>
      </w:pPr>
      <w:r w:rsidRPr="00610FCD">
        <w:t>Quality Use of Medicines</w:t>
      </w:r>
      <w:bookmarkEnd w:id="42"/>
      <w:bookmarkEnd w:id="43"/>
    </w:p>
    <w:p w14:paraId="10ABBBE0" w14:textId="77777777" w:rsidR="00576972" w:rsidRPr="00610FCD" w:rsidRDefault="00F76251" w:rsidP="00606FBA">
      <w:pPr>
        <w:pStyle w:val="ExecSumBodyText"/>
      </w:pPr>
      <w:r w:rsidRPr="00610FCD">
        <w:t xml:space="preserve">The resubmission noted a range of activities </w:t>
      </w:r>
      <w:r w:rsidR="001D0B65" w:rsidRPr="00610FCD">
        <w:t xml:space="preserve">initiated to support the quality use of medicines including a patient access program, patient support materials, </w:t>
      </w:r>
      <w:r w:rsidR="00F21309" w:rsidRPr="00610FCD">
        <w:t xml:space="preserve">healthcare professional guidelines, expert </w:t>
      </w:r>
      <w:r w:rsidR="007B1379" w:rsidRPr="00610FCD">
        <w:t>presentations,</w:t>
      </w:r>
      <w:r w:rsidR="00F21309" w:rsidRPr="00610FCD">
        <w:t xml:space="preserve"> and post-marketing surveillance.</w:t>
      </w:r>
    </w:p>
    <w:p w14:paraId="27532804" w14:textId="77777777" w:rsidR="003E473F" w:rsidRPr="003E473F" w:rsidRDefault="007C545D" w:rsidP="007C545D">
      <w:pPr>
        <w:ind w:firstLine="720"/>
        <w:rPr>
          <w:rFonts w:eastAsia="Calibri"/>
          <w:i/>
          <w:iCs/>
        </w:rPr>
      </w:pPr>
      <w:r w:rsidRPr="00FB37E8">
        <w:rPr>
          <w:rFonts w:eastAsia="Calibri"/>
          <w:i/>
          <w:iCs/>
        </w:rPr>
        <w:t>For more detail on PBAC’s view, see section 7 PBAC outcome.</w:t>
      </w:r>
    </w:p>
    <w:p w14:paraId="3C32D84D" w14:textId="77777777" w:rsidR="007C545D" w:rsidRPr="0090150D" w:rsidRDefault="007C545D" w:rsidP="008B1AFB">
      <w:pPr>
        <w:pStyle w:val="2-SectionHeading"/>
        <w:numPr>
          <w:ilvl w:val="0"/>
          <w:numId w:val="1"/>
        </w:numPr>
      </w:pPr>
      <w:bookmarkStart w:id="48" w:name="_Hlk76381249"/>
      <w:bookmarkStart w:id="49" w:name="_Hlk76377955"/>
      <w:r w:rsidRPr="0090150D">
        <w:t>PBAC Outcome</w:t>
      </w:r>
    </w:p>
    <w:p w14:paraId="05A0DA51" w14:textId="77777777" w:rsidR="007C545D" w:rsidRPr="009124E1" w:rsidRDefault="007C545D" w:rsidP="00B95DDC">
      <w:pPr>
        <w:widowControl w:val="0"/>
        <w:numPr>
          <w:ilvl w:val="1"/>
          <w:numId w:val="1"/>
        </w:numPr>
        <w:spacing w:after="120"/>
        <w:rPr>
          <w:rFonts w:asciiTheme="minorHAnsi" w:hAnsiTheme="minorHAnsi"/>
          <w:snapToGrid w:val="0"/>
          <w:lang w:val="en-GB"/>
        </w:rPr>
      </w:pPr>
      <w:bookmarkStart w:id="50" w:name="_Hlk88632639"/>
      <w:r w:rsidRPr="009124E1">
        <w:rPr>
          <w:rFonts w:asciiTheme="minorHAnsi" w:hAnsiTheme="minorHAnsi"/>
          <w:snapToGrid w:val="0"/>
          <w:lang w:val="en-GB"/>
        </w:rPr>
        <w:t xml:space="preserve">The PBAC recommended the listing of </w:t>
      </w:r>
      <w:r w:rsidR="00D648C3" w:rsidRPr="009124E1">
        <w:rPr>
          <w:rFonts w:asciiTheme="minorHAnsi" w:hAnsiTheme="minorHAnsi"/>
          <w:snapToGrid w:val="0"/>
          <w:lang w:val="en-GB"/>
        </w:rPr>
        <w:t>gemtuzumab ozogamicin</w:t>
      </w:r>
      <w:r w:rsidR="009124E1">
        <w:rPr>
          <w:rFonts w:asciiTheme="minorHAnsi" w:hAnsiTheme="minorHAnsi"/>
          <w:snapToGrid w:val="0"/>
          <w:lang w:val="en-GB"/>
        </w:rPr>
        <w:t>,</w:t>
      </w:r>
      <w:r w:rsidR="002F3870" w:rsidRPr="009124E1">
        <w:rPr>
          <w:rFonts w:asciiTheme="minorHAnsi" w:hAnsiTheme="minorHAnsi"/>
          <w:snapToGrid w:val="0"/>
          <w:lang w:val="en-GB"/>
        </w:rPr>
        <w:t xml:space="preserve"> </w:t>
      </w:r>
      <w:r w:rsidR="002F3870" w:rsidRPr="009124E1">
        <w:t>in combination with standard intensive chemotherapy (an anthracycline and cytarabine)</w:t>
      </w:r>
      <w:r w:rsidR="009124E1">
        <w:t>,</w:t>
      </w:r>
      <w:r w:rsidR="002F3870" w:rsidRPr="009124E1">
        <w:t xml:space="preserve"> for the treatment of patients with previously untreated, de novo CD33-positve acute myeloid leukaemia (AML) </w:t>
      </w:r>
      <w:r w:rsidR="009124E1" w:rsidRPr="009124E1">
        <w:t xml:space="preserve">except acute promyelocytic leukaemia, who have favourable/intermediate/unknown cytogenetic risk (where the unknown risk is due to inconclusive test results). The PBAC recommended that </w:t>
      </w:r>
      <w:r w:rsidR="009124E1" w:rsidRPr="009124E1">
        <w:rPr>
          <w:rFonts w:asciiTheme="minorHAnsi" w:hAnsiTheme="minorHAnsi"/>
          <w:snapToGrid w:val="0"/>
          <w:lang w:val="en-GB"/>
        </w:rPr>
        <w:t xml:space="preserve">gemtuzumab ozogamicin </w:t>
      </w:r>
      <w:r w:rsidRPr="009124E1">
        <w:rPr>
          <w:rFonts w:asciiTheme="minorHAnsi" w:hAnsiTheme="minorHAnsi"/>
          <w:snapToGrid w:val="0"/>
          <w:lang w:val="en-GB"/>
        </w:rPr>
        <w:t>should be available only under special arrangements under Section 100</w:t>
      </w:r>
      <w:r w:rsidR="005D6932" w:rsidRPr="009124E1">
        <w:rPr>
          <w:rFonts w:asciiTheme="minorHAnsi" w:hAnsiTheme="minorHAnsi"/>
          <w:snapToGrid w:val="0"/>
          <w:lang w:val="en-GB"/>
        </w:rPr>
        <w:t xml:space="preserve"> (Efficient Funding of Chemotherapy Program</w:t>
      </w:r>
      <w:r w:rsidR="003F1176">
        <w:rPr>
          <w:rFonts w:asciiTheme="minorHAnsi" w:hAnsiTheme="minorHAnsi"/>
          <w:snapToGrid w:val="0"/>
          <w:lang w:val="en-GB"/>
        </w:rPr>
        <w:t>)</w:t>
      </w:r>
      <w:r w:rsidRPr="009124E1">
        <w:rPr>
          <w:rFonts w:asciiTheme="minorHAnsi" w:hAnsiTheme="minorHAnsi"/>
          <w:snapToGrid w:val="0"/>
          <w:lang w:val="en-GB"/>
        </w:rPr>
        <w:t>.</w:t>
      </w:r>
      <w:r w:rsidR="009124E1" w:rsidRPr="009124E1">
        <w:rPr>
          <w:rFonts w:asciiTheme="minorHAnsi" w:hAnsiTheme="minorHAnsi"/>
          <w:snapToGrid w:val="0"/>
          <w:lang w:val="en-GB"/>
        </w:rPr>
        <w:t xml:space="preserve"> </w:t>
      </w:r>
      <w:r w:rsidRPr="009124E1">
        <w:rPr>
          <w:rFonts w:asciiTheme="minorHAnsi" w:hAnsiTheme="minorHAnsi"/>
          <w:snapToGrid w:val="0"/>
          <w:lang w:val="en-GB"/>
        </w:rPr>
        <w:t xml:space="preserve">The PBAC is satisfied that </w:t>
      </w:r>
      <w:r w:rsidR="005D6932" w:rsidRPr="009124E1">
        <w:rPr>
          <w:rFonts w:asciiTheme="minorHAnsi" w:hAnsiTheme="minorHAnsi"/>
          <w:snapToGrid w:val="0"/>
          <w:lang w:val="en-GB"/>
        </w:rPr>
        <w:t>gemtuzumab ozogamicin</w:t>
      </w:r>
      <w:r w:rsidRPr="009124E1">
        <w:rPr>
          <w:rFonts w:asciiTheme="minorHAnsi" w:hAnsiTheme="minorHAnsi"/>
          <w:snapToGrid w:val="0"/>
          <w:lang w:val="en-GB"/>
        </w:rPr>
        <w:t xml:space="preserve"> provides, for some patients, a significant improvement in efficacy over</w:t>
      </w:r>
      <w:r w:rsidR="005D6932" w:rsidRPr="009124E1">
        <w:rPr>
          <w:rFonts w:asciiTheme="minorHAnsi" w:hAnsiTheme="minorHAnsi"/>
          <w:snapToGrid w:val="0"/>
          <w:lang w:val="en-GB"/>
        </w:rPr>
        <w:t xml:space="preserve"> standard of care</w:t>
      </w:r>
      <w:r w:rsidRPr="009124E1">
        <w:rPr>
          <w:rFonts w:asciiTheme="minorHAnsi" w:hAnsiTheme="minorHAnsi"/>
          <w:snapToGrid w:val="0"/>
          <w:lang w:val="en-GB"/>
        </w:rPr>
        <w:t>.</w:t>
      </w:r>
    </w:p>
    <w:p w14:paraId="06E40ED3" w14:textId="77777777" w:rsidR="005D6932" w:rsidRPr="005D6932" w:rsidRDefault="00ED78FA" w:rsidP="00B95DDC">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w:t>
      </w:r>
      <w:r w:rsidR="005D6932">
        <w:rPr>
          <w:rFonts w:asciiTheme="minorHAnsi" w:hAnsiTheme="minorHAnsi"/>
          <w:snapToGrid w:val="0"/>
          <w:lang w:val="en-GB"/>
        </w:rPr>
        <w:t>he PBAC remained of the view that the</w:t>
      </w:r>
      <w:r>
        <w:rPr>
          <w:rFonts w:asciiTheme="minorHAnsi" w:hAnsiTheme="minorHAnsi"/>
          <w:snapToGrid w:val="0"/>
          <w:lang w:val="en-GB"/>
        </w:rPr>
        <w:t xml:space="preserve"> exact</w:t>
      </w:r>
      <w:r w:rsidR="005D6932">
        <w:rPr>
          <w:rFonts w:asciiTheme="minorHAnsi" w:hAnsiTheme="minorHAnsi"/>
          <w:snapToGrid w:val="0"/>
          <w:lang w:val="en-GB"/>
        </w:rPr>
        <w:t xml:space="preserve"> magnitude of the overall survival benefit was difficult to determine,</w:t>
      </w:r>
      <w:r>
        <w:rPr>
          <w:rFonts w:asciiTheme="minorHAnsi" w:hAnsiTheme="minorHAnsi"/>
          <w:snapToGrid w:val="0"/>
          <w:lang w:val="en-GB"/>
        </w:rPr>
        <w:t xml:space="preserve"> and</w:t>
      </w:r>
      <w:r w:rsidR="005D6932">
        <w:rPr>
          <w:rFonts w:asciiTheme="minorHAnsi" w:hAnsiTheme="minorHAnsi"/>
          <w:snapToGrid w:val="0"/>
          <w:lang w:val="en-GB"/>
        </w:rPr>
        <w:t xml:space="preserve"> that the economic model was complex and difficult to assess</w:t>
      </w:r>
      <w:r>
        <w:rPr>
          <w:rFonts w:asciiTheme="minorHAnsi" w:hAnsiTheme="minorHAnsi"/>
          <w:snapToGrid w:val="0"/>
          <w:lang w:val="en-GB"/>
        </w:rPr>
        <w:t>.</w:t>
      </w:r>
      <w:r w:rsidR="00C867E8">
        <w:rPr>
          <w:rFonts w:asciiTheme="minorHAnsi" w:hAnsiTheme="minorHAnsi"/>
          <w:snapToGrid w:val="0"/>
          <w:lang w:val="en-GB"/>
        </w:rPr>
        <w:t xml:space="preserve"> A</w:t>
      </w:r>
      <w:r>
        <w:rPr>
          <w:rFonts w:asciiTheme="minorHAnsi" w:hAnsiTheme="minorHAnsi"/>
          <w:snapToGrid w:val="0"/>
          <w:lang w:val="en-GB"/>
        </w:rPr>
        <w:t xml:space="preserve">lthough </w:t>
      </w:r>
      <w:r w:rsidR="005D6932">
        <w:rPr>
          <w:rFonts w:asciiTheme="minorHAnsi" w:hAnsiTheme="minorHAnsi"/>
          <w:snapToGrid w:val="0"/>
          <w:lang w:val="en-GB"/>
        </w:rPr>
        <w:t>the resubmission had not addressed all areas of uncertainty,</w:t>
      </w:r>
      <w:r w:rsidR="00C867E8">
        <w:rPr>
          <w:rFonts w:asciiTheme="minorHAnsi" w:hAnsiTheme="minorHAnsi"/>
          <w:snapToGrid w:val="0"/>
          <w:lang w:val="en-GB"/>
        </w:rPr>
        <w:t xml:space="preserve"> nonetheless,</w:t>
      </w:r>
      <w:r w:rsidR="005D6932">
        <w:rPr>
          <w:rFonts w:asciiTheme="minorHAnsi" w:hAnsiTheme="minorHAnsi"/>
          <w:snapToGrid w:val="0"/>
          <w:lang w:val="en-GB"/>
        </w:rPr>
        <w:t xml:space="preserve"> </w:t>
      </w:r>
      <w:r>
        <w:rPr>
          <w:rFonts w:asciiTheme="minorHAnsi" w:hAnsiTheme="minorHAnsi"/>
          <w:snapToGrid w:val="0"/>
          <w:lang w:val="en-GB"/>
        </w:rPr>
        <w:t xml:space="preserve">the PBAC </w:t>
      </w:r>
      <w:r w:rsidR="005D6932">
        <w:rPr>
          <w:rFonts w:asciiTheme="minorHAnsi" w:hAnsiTheme="minorHAnsi"/>
          <w:snapToGrid w:val="0"/>
          <w:lang w:val="en-GB"/>
        </w:rPr>
        <w:t xml:space="preserve">considered that the cost-effectiveness of the listing would be acceptable, </w:t>
      </w:r>
      <w:r w:rsidR="005D6932" w:rsidRPr="00A67733">
        <w:rPr>
          <w:rFonts w:asciiTheme="minorHAnsi" w:hAnsiTheme="minorHAnsi"/>
          <w:snapToGrid w:val="0"/>
          <w:lang w:val="en-GB"/>
        </w:rPr>
        <w:t xml:space="preserve">in the context of </w:t>
      </w:r>
      <w:r w:rsidR="00B04612">
        <w:rPr>
          <w:rFonts w:asciiTheme="minorHAnsi" w:hAnsiTheme="minorHAnsi"/>
          <w:snapToGrid w:val="0"/>
          <w:lang w:val="en-GB"/>
        </w:rPr>
        <w:t>the</w:t>
      </w:r>
      <w:r w:rsidR="00B04612" w:rsidRPr="00A67733">
        <w:rPr>
          <w:rFonts w:asciiTheme="minorHAnsi" w:hAnsiTheme="minorHAnsi"/>
          <w:snapToGrid w:val="0"/>
          <w:lang w:val="en-GB"/>
        </w:rPr>
        <w:t xml:space="preserve"> </w:t>
      </w:r>
      <w:r w:rsidR="00D51DDB" w:rsidRPr="00A67733">
        <w:rPr>
          <w:rFonts w:asciiTheme="minorHAnsi" w:hAnsiTheme="minorHAnsi"/>
          <w:snapToGrid w:val="0"/>
          <w:lang w:val="en-GB"/>
        </w:rPr>
        <w:t>reduced price</w:t>
      </w:r>
      <w:r w:rsidR="00A67733">
        <w:rPr>
          <w:rFonts w:asciiTheme="minorHAnsi" w:hAnsiTheme="minorHAnsi"/>
          <w:snapToGrid w:val="0"/>
          <w:lang w:val="en-GB"/>
        </w:rPr>
        <w:t xml:space="preserve"> </w:t>
      </w:r>
      <w:r w:rsidR="00532E8E">
        <w:rPr>
          <w:rFonts w:asciiTheme="minorHAnsi" w:hAnsiTheme="minorHAnsi"/>
          <w:snapToGrid w:val="0"/>
          <w:lang w:val="en-GB"/>
        </w:rPr>
        <w:t>offered</w:t>
      </w:r>
      <w:r w:rsidR="00B04612">
        <w:rPr>
          <w:rFonts w:asciiTheme="minorHAnsi" w:hAnsiTheme="minorHAnsi"/>
          <w:snapToGrid w:val="0"/>
          <w:lang w:val="en-GB"/>
        </w:rPr>
        <w:t xml:space="preserve"> in the pre-PBAC response</w:t>
      </w:r>
      <w:r w:rsidR="00532E8E">
        <w:rPr>
          <w:rFonts w:asciiTheme="minorHAnsi" w:hAnsiTheme="minorHAnsi"/>
          <w:snapToGrid w:val="0"/>
          <w:lang w:val="en-GB"/>
        </w:rPr>
        <w:t xml:space="preserve"> </w:t>
      </w:r>
      <w:r w:rsidR="00A67733">
        <w:rPr>
          <w:rFonts w:asciiTheme="minorHAnsi" w:hAnsiTheme="minorHAnsi"/>
          <w:snapToGrid w:val="0"/>
          <w:lang w:val="en-GB"/>
        </w:rPr>
        <w:t>and</w:t>
      </w:r>
      <w:r w:rsidR="00C318E2" w:rsidRPr="00A67733">
        <w:rPr>
          <w:rFonts w:asciiTheme="minorHAnsi" w:hAnsiTheme="minorHAnsi"/>
          <w:snapToGrid w:val="0"/>
          <w:lang w:val="en-GB"/>
        </w:rPr>
        <w:t xml:space="preserve"> </w:t>
      </w:r>
      <w:r w:rsidR="00A67733" w:rsidRPr="00A67733">
        <w:rPr>
          <w:rFonts w:asciiTheme="minorHAnsi" w:hAnsiTheme="minorHAnsi"/>
          <w:snapToGrid w:val="0"/>
          <w:lang w:val="en-GB"/>
        </w:rPr>
        <w:t>a</w:t>
      </w:r>
      <w:r w:rsidR="003E5764" w:rsidRPr="00A67733">
        <w:rPr>
          <w:rFonts w:asciiTheme="minorHAnsi" w:hAnsiTheme="minorHAnsi"/>
          <w:snapToGrid w:val="0"/>
          <w:lang w:val="en-GB"/>
        </w:rPr>
        <w:t xml:space="preserve"> high clinical need in a</w:t>
      </w:r>
      <w:r w:rsidR="00A67733" w:rsidRPr="00A67733">
        <w:rPr>
          <w:rFonts w:asciiTheme="minorHAnsi" w:hAnsiTheme="minorHAnsi"/>
          <w:snapToGrid w:val="0"/>
          <w:lang w:val="en-GB"/>
        </w:rPr>
        <w:t xml:space="preserve"> </w:t>
      </w:r>
      <w:r w:rsidR="00532E8E" w:rsidRPr="00532E8E">
        <w:rPr>
          <w:rFonts w:asciiTheme="minorHAnsi" w:hAnsiTheme="minorHAnsi"/>
          <w:snapToGrid w:val="0"/>
          <w:lang w:val="en-GB"/>
        </w:rPr>
        <w:t xml:space="preserve">smaller, more defined population of patients most likely to see benefit, than </w:t>
      </w:r>
      <w:r w:rsidR="008661BE">
        <w:rPr>
          <w:rFonts w:asciiTheme="minorHAnsi" w:hAnsiTheme="minorHAnsi"/>
          <w:snapToGrid w:val="0"/>
          <w:lang w:val="en-GB"/>
        </w:rPr>
        <w:t xml:space="preserve">that which </w:t>
      </w:r>
      <w:r w:rsidR="00532E8E" w:rsidRPr="00532E8E">
        <w:rPr>
          <w:rFonts w:asciiTheme="minorHAnsi" w:hAnsiTheme="minorHAnsi"/>
          <w:snapToGrid w:val="0"/>
          <w:lang w:val="en-GB"/>
        </w:rPr>
        <w:t>had been assumed by the resubmission.</w:t>
      </w:r>
      <w:r w:rsidR="00532E8E">
        <w:rPr>
          <w:rFonts w:asciiTheme="minorHAnsi" w:hAnsiTheme="minorHAnsi"/>
          <w:snapToGrid w:val="0"/>
          <w:lang w:val="en-GB"/>
        </w:rPr>
        <w:t xml:space="preserve"> </w:t>
      </w:r>
      <w:r w:rsidR="00C318E2" w:rsidRPr="00A67733">
        <w:rPr>
          <w:rFonts w:asciiTheme="minorHAnsi" w:hAnsiTheme="minorHAnsi"/>
          <w:snapToGrid w:val="0"/>
          <w:lang w:val="en-GB"/>
        </w:rPr>
        <w:t xml:space="preserve"> </w:t>
      </w:r>
      <w:r w:rsidR="00D51DDB" w:rsidRPr="00A67733">
        <w:rPr>
          <w:rFonts w:asciiTheme="minorHAnsi" w:hAnsiTheme="minorHAnsi"/>
          <w:snapToGrid w:val="0"/>
          <w:lang w:val="en-GB"/>
        </w:rPr>
        <w:t xml:space="preserve"> </w:t>
      </w:r>
      <w:r w:rsidR="005D6932" w:rsidRPr="00A67733">
        <w:rPr>
          <w:rFonts w:asciiTheme="minorHAnsi" w:hAnsiTheme="minorHAnsi"/>
          <w:snapToGrid w:val="0"/>
          <w:lang w:val="en-GB"/>
        </w:rPr>
        <w:t xml:space="preserve"> </w:t>
      </w:r>
      <w:r w:rsidR="00A72102">
        <w:rPr>
          <w:rFonts w:asciiTheme="minorHAnsi" w:hAnsiTheme="minorHAnsi"/>
          <w:snapToGrid w:val="0"/>
          <w:lang w:val="en-GB"/>
        </w:rPr>
        <w:t xml:space="preserve"> </w:t>
      </w:r>
    </w:p>
    <w:bookmarkEnd w:id="50"/>
    <w:p w14:paraId="76196D5F" w14:textId="77777777" w:rsidR="00150A47" w:rsidRPr="00532E8E" w:rsidRDefault="00150A47" w:rsidP="007C545D">
      <w:pPr>
        <w:widowControl w:val="0"/>
        <w:numPr>
          <w:ilvl w:val="1"/>
          <w:numId w:val="1"/>
        </w:numPr>
        <w:spacing w:after="120"/>
        <w:rPr>
          <w:rFonts w:asciiTheme="minorHAnsi" w:hAnsiTheme="minorHAnsi"/>
          <w:snapToGrid w:val="0"/>
          <w:lang w:val="en-GB"/>
        </w:rPr>
      </w:pPr>
      <w:r w:rsidRPr="00532E8E">
        <w:rPr>
          <w:rFonts w:asciiTheme="minorHAnsi" w:hAnsiTheme="minorHAnsi"/>
          <w:snapToGrid w:val="0"/>
          <w:lang w:val="en-GB"/>
        </w:rPr>
        <w:t xml:space="preserve">The PBAC acknowledged the clinical input received from the </w:t>
      </w:r>
      <w:bookmarkStart w:id="51" w:name="_Hlk88579642"/>
      <w:r w:rsidRPr="00532E8E">
        <w:rPr>
          <w:rFonts w:asciiTheme="minorHAnsi" w:hAnsiTheme="minorHAnsi"/>
          <w:snapToGrid w:val="0"/>
          <w:lang w:val="en-GB"/>
        </w:rPr>
        <w:t xml:space="preserve">Haematology Society of Australia and New Zealand and the Australasian Leukaemia </w:t>
      </w:r>
      <w:r w:rsidR="00026CF8" w:rsidRPr="00532E8E">
        <w:rPr>
          <w:rFonts w:asciiTheme="minorHAnsi" w:hAnsiTheme="minorHAnsi"/>
          <w:snapToGrid w:val="0"/>
          <w:lang w:val="en-GB"/>
        </w:rPr>
        <w:t>and</w:t>
      </w:r>
      <w:r w:rsidRPr="00532E8E">
        <w:rPr>
          <w:rFonts w:asciiTheme="minorHAnsi" w:hAnsiTheme="minorHAnsi"/>
          <w:snapToGrid w:val="0"/>
          <w:lang w:val="en-GB"/>
        </w:rPr>
        <w:t xml:space="preserve"> Lymphoma Group</w:t>
      </w:r>
      <w:bookmarkEnd w:id="51"/>
      <w:r w:rsidR="00532E8E">
        <w:rPr>
          <w:rFonts w:asciiTheme="minorHAnsi" w:hAnsiTheme="minorHAnsi"/>
          <w:snapToGrid w:val="0"/>
          <w:lang w:val="en-GB"/>
        </w:rPr>
        <w:t xml:space="preserve"> (ALLG)</w:t>
      </w:r>
      <w:r w:rsidRPr="00532E8E">
        <w:rPr>
          <w:rFonts w:asciiTheme="minorHAnsi" w:hAnsiTheme="minorHAnsi"/>
          <w:snapToGrid w:val="0"/>
          <w:lang w:val="en-GB"/>
        </w:rPr>
        <w:t>, as well as the advice from the ESC</w:t>
      </w:r>
      <w:r w:rsidR="00532E8E">
        <w:rPr>
          <w:rFonts w:asciiTheme="minorHAnsi" w:hAnsiTheme="minorHAnsi"/>
          <w:snapToGrid w:val="0"/>
          <w:lang w:val="en-GB"/>
        </w:rPr>
        <w:t xml:space="preserve"> and other consumers</w:t>
      </w:r>
      <w:r w:rsidRPr="00532E8E">
        <w:rPr>
          <w:rFonts w:asciiTheme="minorHAnsi" w:hAnsiTheme="minorHAnsi"/>
          <w:snapToGrid w:val="0"/>
          <w:lang w:val="en-GB"/>
        </w:rPr>
        <w:t xml:space="preserve">, </w:t>
      </w:r>
      <w:r w:rsidR="00A67733" w:rsidRPr="00532E8E">
        <w:rPr>
          <w:rFonts w:asciiTheme="minorHAnsi" w:hAnsiTheme="minorHAnsi"/>
          <w:snapToGrid w:val="0"/>
          <w:lang w:val="en-GB"/>
        </w:rPr>
        <w:t>which confirmed that gemtuzumab ozogamicin would most likely be used for treatment in patients</w:t>
      </w:r>
      <w:r w:rsidRPr="00532E8E">
        <w:rPr>
          <w:rFonts w:asciiTheme="minorHAnsi" w:hAnsiTheme="minorHAnsi"/>
          <w:i/>
          <w:iCs/>
          <w:snapToGrid w:val="0"/>
          <w:lang w:val="en-GB"/>
        </w:rPr>
        <w:t xml:space="preserve"> </w:t>
      </w:r>
      <w:r w:rsidRPr="00532E8E">
        <w:rPr>
          <w:rFonts w:asciiTheme="minorHAnsi" w:hAnsiTheme="minorHAnsi"/>
          <w:snapToGrid w:val="0"/>
          <w:lang w:val="en-GB"/>
        </w:rPr>
        <w:t>with favourable/intermediate cytogenetic risk, who are not FLT3-mutation positive and who are not being considered for HSCT.</w:t>
      </w:r>
      <w:r w:rsidR="00A67733" w:rsidRPr="00532E8E">
        <w:rPr>
          <w:rFonts w:asciiTheme="minorHAnsi" w:hAnsiTheme="minorHAnsi"/>
          <w:snapToGrid w:val="0"/>
          <w:lang w:val="en-GB"/>
        </w:rPr>
        <w:t xml:space="preserve"> The PBAC also agreed with the ESC that </w:t>
      </w:r>
      <w:r w:rsidR="00875266">
        <w:rPr>
          <w:rFonts w:asciiTheme="minorHAnsi" w:hAnsiTheme="minorHAnsi"/>
          <w:snapToGrid w:val="0"/>
          <w:lang w:val="en-GB"/>
        </w:rPr>
        <w:t>use</w:t>
      </w:r>
      <w:r w:rsidR="00875266" w:rsidRPr="00532E8E">
        <w:rPr>
          <w:rFonts w:asciiTheme="minorHAnsi" w:hAnsiTheme="minorHAnsi"/>
          <w:snapToGrid w:val="0"/>
          <w:lang w:val="en-GB"/>
        </w:rPr>
        <w:t xml:space="preserve"> </w:t>
      </w:r>
      <w:r w:rsidR="00A67733" w:rsidRPr="00532E8E">
        <w:rPr>
          <w:rFonts w:asciiTheme="minorHAnsi" w:hAnsiTheme="minorHAnsi"/>
          <w:snapToGrid w:val="0"/>
          <w:lang w:val="en-GB"/>
        </w:rPr>
        <w:t>would be limited in settings with longer wait times for cytogenetic tests and where daunorubici</w:t>
      </w:r>
      <w:r w:rsidR="0006568B" w:rsidRPr="00532E8E">
        <w:rPr>
          <w:rFonts w:asciiTheme="minorHAnsi" w:hAnsiTheme="minorHAnsi"/>
          <w:snapToGrid w:val="0"/>
          <w:lang w:val="en-GB"/>
        </w:rPr>
        <w:t>n was not available</w:t>
      </w:r>
      <w:r w:rsidR="00710142" w:rsidRPr="00532E8E">
        <w:rPr>
          <w:rFonts w:asciiTheme="minorHAnsi" w:hAnsiTheme="minorHAnsi"/>
          <w:snapToGrid w:val="0"/>
          <w:lang w:val="en-GB"/>
        </w:rPr>
        <w:t>.</w:t>
      </w:r>
    </w:p>
    <w:p w14:paraId="4885C29B" w14:textId="77777777" w:rsidR="007C545D" w:rsidRPr="00FC4424" w:rsidRDefault="007F3371" w:rsidP="007C545D">
      <w:pPr>
        <w:widowControl w:val="0"/>
        <w:numPr>
          <w:ilvl w:val="1"/>
          <w:numId w:val="1"/>
        </w:numPr>
        <w:spacing w:after="120"/>
        <w:rPr>
          <w:rFonts w:asciiTheme="minorHAnsi" w:hAnsiTheme="minorHAnsi"/>
          <w:snapToGrid w:val="0"/>
          <w:color w:val="4F81BD" w:themeColor="accent1"/>
          <w:lang w:val="en-GB"/>
        </w:rPr>
      </w:pPr>
      <w:r>
        <w:rPr>
          <w:rFonts w:asciiTheme="minorHAnsi" w:hAnsiTheme="minorHAnsi"/>
          <w:snapToGrid w:val="0"/>
          <w:lang w:val="en-GB"/>
        </w:rPr>
        <w:t>The PBAC remained of the view that the nominated comparator of standard of care was appropriate, noting that this comprised intensive induction and consolidation chemotherapy with an anthracycline and cytarabine.</w:t>
      </w:r>
    </w:p>
    <w:p w14:paraId="4E87A021" w14:textId="77777777" w:rsidR="00FC4424" w:rsidRPr="00B81C70" w:rsidRDefault="00FC4424" w:rsidP="007C545D">
      <w:pPr>
        <w:widowControl w:val="0"/>
        <w:numPr>
          <w:ilvl w:val="1"/>
          <w:numId w:val="1"/>
        </w:numPr>
        <w:spacing w:after="120"/>
        <w:rPr>
          <w:rFonts w:asciiTheme="minorHAnsi" w:hAnsiTheme="minorHAnsi"/>
          <w:snapToGrid w:val="0"/>
          <w:color w:val="4F81BD" w:themeColor="accent1"/>
          <w:lang w:val="en-GB"/>
        </w:rPr>
      </w:pPr>
      <w:r>
        <w:rPr>
          <w:rFonts w:asciiTheme="minorHAnsi" w:hAnsiTheme="minorHAnsi"/>
          <w:snapToGrid w:val="0"/>
          <w:lang w:val="en-GB"/>
        </w:rPr>
        <w:t xml:space="preserve">The PBAC reiterated that the clinical claim of inferior comparative safety was reasonable, in view of the higher incidence of serious adverse events (para 7.11, </w:t>
      </w:r>
      <w:bookmarkStart w:id="52" w:name="_Hlk88632783"/>
      <w:r>
        <w:rPr>
          <w:rFonts w:asciiTheme="minorHAnsi" w:hAnsiTheme="minorHAnsi"/>
          <w:snapToGrid w:val="0"/>
          <w:lang w:val="en-GB"/>
        </w:rPr>
        <w:t>gemtuzumab, PSD, March 2021 PBAC meeting</w:t>
      </w:r>
      <w:bookmarkEnd w:id="52"/>
      <w:r>
        <w:rPr>
          <w:rFonts w:asciiTheme="minorHAnsi" w:hAnsiTheme="minorHAnsi"/>
          <w:snapToGrid w:val="0"/>
          <w:lang w:val="en-GB"/>
        </w:rPr>
        <w:t>).</w:t>
      </w:r>
    </w:p>
    <w:p w14:paraId="4416FA70" w14:textId="77777777" w:rsidR="00B81C70" w:rsidRPr="00257DE3" w:rsidRDefault="00B81C70" w:rsidP="007C545D">
      <w:pPr>
        <w:widowControl w:val="0"/>
        <w:numPr>
          <w:ilvl w:val="1"/>
          <w:numId w:val="1"/>
        </w:numPr>
        <w:spacing w:after="120"/>
        <w:rPr>
          <w:rFonts w:asciiTheme="minorHAnsi" w:hAnsiTheme="minorHAnsi"/>
          <w:snapToGrid w:val="0"/>
          <w:color w:val="4F81BD" w:themeColor="accent1"/>
          <w:lang w:val="en-GB"/>
        </w:rPr>
      </w:pPr>
      <w:r>
        <w:rPr>
          <w:rFonts w:asciiTheme="minorHAnsi" w:hAnsiTheme="minorHAnsi"/>
          <w:snapToGrid w:val="0"/>
          <w:lang w:val="en-GB"/>
        </w:rPr>
        <w:t xml:space="preserve">The PBAC recalled that it had previously considered the key trial AFLA-0701, and </w:t>
      </w:r>
      <w:r w:rsidR="00532E8E">
        <w:rPr>
          <w:rFonts w:asciiTheme="minorHAnsi" w:hAnsiTheme="minorHAnsi"/>
          <w:snapToGrid w:val="0"/>
          <w:lang w:val="en-GB"/>
        </w:rPr>
        <w:t>various</w:t>
      </w:r>
      <w:r>
        <w:rPr>
          <w:rFonts w:asciiTheme="minorHAnsi" w:hAnsiTheme="minorHAnsi"/>
          <w:snapToGrid w:val="0"/>
          <w:lang w:val="en-GB"/>
        </w:rPr>
        <w:t xml:space="preserve"> </w:t>
      </w:r>
      <w:r>
        <w:rPr>
          <w:rFonts w:asciiTheme="minorHAnsi" w:hAnsiTheme="minorHAnsi"/>
          <w:i/>
          <w:iCs/>
          <w:snapToGrid w:val="0"/>
          <w:lang w:val="en-GB"/>
        </w:rPr>
        <w:t xml:space="preserve">post hoc </w:t>
      </w:r>
      <w:r>
        <w:rPr>
          <w:rFonts w:asciiTheme="minorHAnsi" w:hAnsiTheme="minorHAnsi"/>
          <w:snapToGrid w:val="0"/>
          <w:lang w:val="en-GB"/>
        </w:rPr>
        <w:t xml:space="preserve">subgroup analyses by cytogenetic risk, and </w:t>
      </w:r>
      <w:r w:rsidR="00B95DDC">
        <w:rPr>
          <w:rFonts w:asciiTheme="minorHAnsi" w:hAnsiTheme="minorHAnsi"/>
          <w:snapToGrid w:val="0"/>
          <w:lang w:val="en-GB"/>
        </w:rPr>
        <w:t>although</w:t>
      </w:r>
      <w:r>
        <w:rPr>
          <w:rFonts w:asciiTheme="minorHAnsi" w:hAnsiTheme="minorHAnsi"/>
          <w:snapToGrid w:val="0"/>
          <w:lang w:val="en-GB"/>
        </w:rPr>
        <w:t xml:space="preserve"> it had considered the clinical claim of superior effectiveness was reasonable in terms of event-free survival, </w:t>
      </w:r>
      <w:r w:rsidR="00B95DDC">
        <w:rPr>
          <w:rFonts w:asciiTheme="minorHAnsi" w:hAnsiTheme="minorHAnsi"/>
          <w:snapToGrid w:val="0"/>
          <w:lang w:val="en-GB"/>
        </w:rPr>
        <w:t xml:space="preserve">the claim was not </w:t>
      </w:r>
      <w:r>
        <w:rPr>
          <w:rFonts w:asciiTheme="minorHAnsi" w:hAnsiTheme="minorHAnsi"/>
          <w:snapToGrid w:val="0"/>
          <w:lang w:val="en-GB"/>
        </w:rPr>
        <w:t>adequately supported in terms of overall survival</w:t>
      </w:r>
      <w:r w:rsidR="00555146">
        <w:rPr>
          <w:rFonts w:asciiTheme="minorHAnsi" w:hAnsiTheme="minorHAnsi"/>
          <w:snapToGrid w:val="0"/>
          <w:lang w:val="en-GB"/>
        </w:rPr>
        <w:t>, and there were also applicability concerns</w:t>
      </w:r>
      <w:r w:rsidR="007E3591">
        <w:rPr>
          <w:rFonts w:asciiTheme="minorHAnsi" w:hAnsiTheme="minorHAnsi"/>
          <w:snapToGrid w:val="0"/>
          <w:lang w:val="en-GB"/>
        </w:rPr>
        <w:t xml:space="preserve"> (para 7.9 and 6.52</w:t>
      </w:r>
      <w:r w:rsidR="00532E8E">
        <w:rPr>
          <w:rFonts w:asciiTheme="minorHAnsi" w:hAnsiTheme="minorHAnsi"/>
          <w:snapToGrid w:val="0"/>
          <w:lang w:val="en-GB"/>
        </w:rPr>
        <w:t xml:space="preserve">, </w:t>
      </w:r>
      <w:r w:rsidR="00532E8E" w:rsidRPr="00532E8E">
        <w:rPr>
          <w:rFonts w:asciiTheme="minorHAnsi" w:hAnsiTheme="minorHAnsi"/>
          <w:snapToGrid w:val="0"/>
          <w:lang w:val="en-GB"/>
        </w:rPr>
        <w:t>gemtuzumab, PSD, March 2021 PBAC meeting</w:t>
      </w:r>
      <w:r w:rsidR="007E3591">
        <w:rPr>
          <w:rFonts w:asciiTheme="minorHAnsi" w:hAnsiTheme="minorHAnsi"/>
          <w:snapToGrid w:val="0"/>
          <w:lang w:val="en-GB"/>
        </w:rPr>
        <w:t>)</w:t>
      </w:r>
      <w:r w:rsidR="00555146">
        <w:rPr>
          <w:rFonts w:asciiTheme="minorHAnsi" w:hAnsiTheme="minorHAnsi"/>
          <w:snapToGrid w:val="0"/>
          <w:lang w:val="en-GB"/>
        </w:rPr>
        <w:t xml:space="preserve">. </w:t>
      </w:r>
      <w:r w:rsidR="00B95DDC">
        <w:rPr>
          <w:rFonts w:asciiTheme="minorHAnsi" w:hAnsiTheme="minorHAnsi"/>
          <w:snapToGrid w:val="0"/>
          <w:lang w:val="en-GB"/>
        </w:rPr>
        <w:t xml:space="preserve">The PBAC noted new </w:t>
      </w:r>
      <w:r w:rsidR="00555146">
        <w:rPr>
          <w:rFonts w:asciiTheme="minorHAnsi" w:hAnsiTheme="minorHAnsi"/>
          <w:snapToGrid w:val="0"/>
          <w:lang w:val="en-GB"/>
        </w:rPr>
        <w:t xml:space="preserve">clinical </w:t>
      </w:r>
      <w:r w:rsidR="00B95DDC">
        <w:rPr>
          <w:rFonts w:asciiTheme="minorHAnsi" w:hAnsiTheme="minorHAnsi"/>
          <w:snapToGrid w:val="0"/>
          <w:lang w:val="en-GB"/>
        </w:rPr>
        <w:t xml:space="preserve">evidence presented </w:t>
      </w:r>
      <w:r w:rsidR="00555146">
        <w:rPr>
          <w:rFonts w:asciiTheme="minorHAnsi" w:hAnsiTheme="minorHAnsi"/>
          <w:snapToGrid w:val="0"/>
          <w:lang w:val="en-GB"/>
        </w:rPr>
        <w:t xml:space="preserve">including </w:t>
      </w:r>
      <w:r w:rsidR="00B95DDC">
        <w:rPr>
          <w:rFonts w:asciiTheme="minorHAnsi" w:hAnsiTheme="minorHAnsi"/>
          <w:snapToGrid w:val="0"/>
          <w:lang w:val="en-GB"/>
        </w:rPr>
        <w:t>revised Kaplan-Meier figures, new treatment effect estimates</w:t>
      </w:r>
      <w:r w:rsidR="00555146">
        <w:rPr>
          <w:rFonts w:asciiTheme="minorHAnsi" w:hAnsiTheme="minorHAnsi"/>
          <w:snapToGrid w:val="0"/>
          <w:lang w:val="en-GB"/>
        </w:rPr>
        <w:t xml:space="preserve">, </w:t>
      </w:r>
      <w:r w:rsidR="00555146">
        <w:rPr>
          <w:rFonts w:asciiTheme="minorHAnsi" w:hAnsiTheme="minorHAnsi"/>
          <w:i/>
          <w:iCs/>
          <w:snapToGrid w:val="0"/>
          <w:lang w:val="en-GB"/>
        </w:rPr>
        <w:t xml:space="preserve">post hoc </w:t>
      </w:r>
      <w:r w:rsidR="00555146">
        <w:rPr>
          <w:rFonts w:asciiTheme="minorHAnsi" w:hAnsiTheme="minorHAnsi"/>
          <w:snapToGrid w:val="0"/>
          <w:lang w:val="en-GB"/>
        </w:rPr>
        <w:t>tests for interaction, and a comparison with ALLG</w:t>
      </w:r>
      <w:r w:rsidR="00532E8E" w:rsidRPr="00532E8E">
        <w:t xml:space="preserve"> </w:t>
      </w:r>
      <w:r w:rsidR="00532E8E" w:rsidRPr="00532E8E">
        <w:rPr>
          <w:rFonts w:asciiTheme="minorHAnsi" w:hAnsiTheme="minorHAnsi"/>
          <w:snapToGrid w:val="0"/>
          <w:lang w:val="en-GB"/>
        </w:rPr>
        <w:t>National Blood Cancer Registry</w:t>
      </w:r>
      <w:r w:rsidR="00555146">
        <w:rPr>
          <w:rFonts w:asciiTheme="minorHAnsi" w:hAnsiTheme="minorHAnsi"/>
          <w:snapToGrid w:val="0"/>
          <w:lang w:val="en-GB"/>
        </w:rPr>
        <w:t xml:space="preserve"> data</w:t>
      </w:r>
      <w:r w:rsidR="007E3591">
        <w:rPr>
          <w:rFonts w:asciiTheme="minorHAnsi" w:hAnsiTheme="minorHAnsi"/>
          <w:snapToGrid w:val="0"/>
          <w:lang w:val="en-GB"/>
        </w:rPr>
        <w:t>.</w:t>
      </w:r>
      <w:r w:rsidR="00BD7BD6">
        <w:rPr>
          <w:rFonts w:asciiTheme="minorHAnsi" w:hAnsiTheme="minorHAnsi"/>
          <w:snapToGrid w:val="0"/>
          <w:lang w:val="en-GB"/>
        </w:rPr>
        <w:t xml:space="preserve"> The PBAC considered that the new evidence alone did not address its uncertainties with respect to the clinical claim. </w:t>
      </w:r>
      <w:bookmarkStart w:id="53" w:name="_Hlk88599507"/>
      <w:r w:rsidR="00BD7BD6">
        <w:rPr>
          <w:rFonts w:asciiTheme="minorHAnsi" w:hAnsiTheme="minorHAnsi"/>
          <w:snapToGrid w:val="0"/>
          <w:lang w:val="en-GB"/>
        </w:rPr>
        <w:t xml:space="preserve">However, </w:t>
      </w:r>
      <w:r w:rsidR="00257DE3">
        <w:rPr>
          <w:rFonts w:asciiTheme="minorHAnsi" w:hAnsiTheme="minorHAnsi"/>
          <w:snapToGrid w:val="0"/>
          <w:lang w:val="en-GB"/>
        </w:rPr>
        <w:t>it also recognised that no further clinical data was expected and that the cure claim itself was not implausible, although the magnitude of the benefit had been poorly supported.</w:t>
      </w:r>
      <w:bookmarkEnd w:id="53"/>
    </w:p>
    <w:p w14:paraId="40927C78" w14:textId="77777777" w:rsidR="00257DE3" w:rsidRPr="00C40472" w:rsidRDefault="00257DE3" w:rsidP="009124E1">
      <w:pPr>
        <w:pStyle w:val="ExecSumBodyText"/>
        <w:rPr>
          <w:color w:val="4F81BD" w:themeColor="accent1"/>
          <w:lang w:val="en-GB"/>
        </w:rPr>
      </w:pPr>
      <w:r w:rsidRPr="00080F10">
        <w:rPr>
          <w:lang w:val="en-GB"/>
        </w:rPr>
        <w:t xml:space="preserve">In terms of the economic model, </w:t>
      </w:r>
      <w:r w:rsidR="000020DA">
        <w:rPr>
          <w:lang w:val="en-GB"/>
        </w:rPr>
        <w:t>t</w:t>
      </w:r>
      <w:r w:rsidR="00080F10" w:rsidRPr="00080F10">
        <w:rPr>
          <w:lang w:val="en-GB"/>
        </w:rPr>
        <w:t xml:space="preserve">he PBAC </w:t>
      </w:r>
      <w:r w:rsidR="000020DA">
        <w:rPr>
          <w:lang w:val="en-GB"/>
        </w:rPr>
        <w:t xml:space="preserve">recalled that it had previously </w:t>
      </w:r>
      <w:r w:rsidR="00080F10" w:rsidRPr="00080F10">
        <w:rPr>
          <w:lang w:val="en-GB"/>
        </w:rPr>
        <w:t xml:space="preserve">considered that the economic model structure was overly complex making it difficult to determine the flow of patients through the </w:t>
      </w:r>
      <w:r w:rsidR="00080F10" w:rsidRPr="0084185C">
        <w:rPr>
          <w:lang w:val="en-GB"/>
        </w:rPr>
        <w:t>model</w:t>
      </w:r>
      <w:r w:rsidR="000020DA" w:rsidRPr="0084185C">
        <w:rPr>
          <w:lang w:val="en-GB"/>
        </w:rPr>
        <w:t xml:space="preserve">, and that a range of issues meant that </w:t>
      </w:r>
      <w:r w:rsidR="00080F10" w:rsidRPr="0084185C">
        <w:rPr>
          <w:lang w:val="en-GB"/>
        </w:rPr>
        <w:t xml:space="preserve">the base case ICER of </w:t>
      </w:r>
      <w:r w:rsidR="00F50AFD" w:rsidRPr="0084185C">
        <w:rPr>
          <w:lang w:val="en-GB"/>
        </w:rPr>
        <w:t>$</w:t>
      </w:r>
      <w:r w:rsidR="00F3399F">
        <w:rPr>
          <w:lang w:val="en-GB"/>
        </w:rPr>
        <w:t>35,000 to &lt; $45,000</w:t>
      </w:r>
      <w:r w:rsidR="0084185C" w:rsidRPr="0084185C">
        <w:rPr>
          <w:lang w:val="en-GB"/>
        </w:rPr>
        <w:t>/</w:t>
      </w:r>
      <w:r w:rsidR="00080F10" w:rsidRPr="0084185C">
        <w:rPr>
          <w:lang w:val="en-GB"/>
        </w:rPr>
        <w:t>QALY</w:t>
      </w:r>
      <w:r w:rsidR="00080F10" w:rsidRPr="00080F10">
        <w:rPr>
          <w:lang w:val="en-GB"/>
        </w:rPr>
        <w:t xml:space="preserve"> gained was highly uncertain and likely optimistic</w:t>
      </w:r>
      <w:r w:rsidR="000020DA">
        <w:rPr>
          <w:lang w:val="en-GB"/>
        </w:rPr>
        <w:t xml:space="preserve"> (para 7.13, </w:t>
      </w:r>
      <w:r w:rsidR="0084185C" w:rsidRPr="00532E8E">
        <w:rPr>
          <w:lang w:val="en-GB"/>
        </w:rPr>
        <w:t>gemtuzumab, PSD, March 2021 PBAC meeting</w:t>
      </w:r>
      <w:r w:rsidR="000020DA">
        <w:rPr>
          <w:lang w:val="en-GB"/>
        </w:rPr>
        <w:t xml:space="preserve">). The PBAC noted the changes made to the new model (see paragraph </w:t>
      </w:r>
      <w:r w:rsidR="00F90EC3">
        <w:rPr>
          <w:lang w:val="en-GB"/>
        </w:rPr>
        <w:t>6.64</w:t>
      </w:r>
      <w:r w:rsidR="000020DA">
        <w:rPr>
          <w:lang w:val="en-GB"/>
        </w:rPr>
        <w:t>-</w:t>
      </w:r>
      <w:r w:rsidR="00F90EC3">
        <w:rPr>
          <w:lang w:val="en-GB"/>
        </w:rPr>
        <w:t>6.66</w:t>
      </w:r>
      <w:r w:rsidR="000020DA">
        <w:rPr>
          <w:lang w:val="en-GB"/>
        </w:rPr>
        <w:t xml:space="preserve">), and although some issues had been adequately addressed (e.g. shortened time horizon), </w:t>
      </w:r>
      <w:r w:rsidR="000E57C1">
        <w:rPr>
          <w:lang w:val="en-GB"/>
        </w:rPr>
        <w:t>it considered that there</w:t>
      </w:r>
      <w:r w:rsidR="000020DA">
        <w:rPr>
          <w:lang w:val="en-GB"/>
        </w:rPr>
        <w:t xml:space="preserve"> remained uncertainties </w:t>
      </w:r>
      <w:r w:rsidR="000E57C1">
        <w:rPr>
          <w:lang w:val="en-GB"/>
        </w:rPr>
        <w:t>with respect to the</w:t>
      </w:r>
      <w:r w:rsidR="000020DA">
        <w:rPr>
          <w:lang w:val="en-GB"/>
        </w:rPr>
        <w:t xml:space="preserve"> clinical data and application of cure fractions, the verification of </w:t>
      </w:r>
      <w:r w:rsidR="000E57C1">
        <w:rPr>
          <w:lang w:val="en-GB"/>
        </w:rPr>
        <w:t xml:space="preserve">some </w:t>
      </w:r>
      <w:r w:rsidR="000020DA">
        <w:rPr>
          <w:lang w:val="en-GB"/>
        </w:rPr>
        <w:t xml:space="preserve">model inputs and assumptions, </w:t>
      </w:r>
      <w:r w:rsidR="000E57C1">
        <w:rPr>
          <w:lang w:val="en-GB"/>
        </w:rPr>
        <w:t xml:space="preserve">and the HSCT transition probabilities. </w:t>
      </w:r>
      <w:r w:rsidR="000E57C1" w:rsidRPr="00465F1C">
        <w:rPr>
          <w:lang w:val="en-GB"/>
        </w:rPr>
        <w:t xml:space="preserve">At the same time, with the reduced price offered in the pre-PBAC response, and </w:t>
      </w:r>
      <w:r w:rsidR="00BC40EE" w:rsidRPr="00465F1C">
        <w:rPr>
          <w:lang w:val="en-GB"/>
        </w:rPr>
        <w:t>in the</w:t>
      </w:r>
      <w:r w:rsidR="000E57C1" w:rsidRPr="00465F1C">
        <w:rPr>
          <w:lang w:val="en-GB"/>
        </w:rPr>
        <w:t xml:space="preserve"> more conservative </w:t>
      </w:r>
      <w:r w:rsidR="00BC40EE" w:rsidRPr="00465F1C">
        <w:rPr>
          <w:lang w:val="en-GB"/>
        </w:rPr>
        <w:t>sensitivity analyses</w:t>
      </w:r>
      <w:r w:rsidR="000E57C1" w:rsidRPr="00465F1C">
        <w:rPr>
          <w:lang w:val="en-GB"/>
        </w:rPr>
        <w:t xml:space="preserve"> (using pooled HSCT rates and adjusting the start and end times for overall survival convergence, see paragraph </w:t>
      </w:r>
      <w:r w:rsidR="00F90EC3">
        <w:rPr>
          <w:lang w:val="en-GB"/>
        </w:rPr>
        <w:t>6.95</w:t>
      </w:r>
      <w:r w:rsidR="000E57C1" w:rsidRPr="00465F1C">
        <w:rPr>
          <w:lang w:val="en-GB"/>
        </w:rPr>
        <w:t>), the PBAC considered that</w:t>
      </w:r>
      <w:r w:rsidR="00B1485C">
        <w:rPr>
          <w:lang w:val="en-GB"/>
        </w:rPr>
        <w:t>,</w:t>
      </w:r>
      <w:r w:rsidR="000E57C1" w:rsidRPr="00465F1C">
        <w:rPr>
          <w:lang w:val="en-GB"/>
        </w:rPr>
        <w:t xml:space="preserve"> </w:t>
      </w:r>
      <w:r w:rsidR="00875266" w:rsidRPr="00465F1C">
        <w:rPr>
          <w:lang w:val="en-GB"/>
        </w:rPr>
        <w:t xml:space="preserve">based on </w:t>
      </w:r>
      <w:r w:rsidR="000E57C1" w:rsidRPr="00465F1C">
        <w:rPr>
          <w:lang w:val="en-GB"/>
        </w:rPr>
        <w:t>the resulting incremental cost-effectiveness ratio</w:t>
      </w:r>
      <w:r w:rsidR="00FA6848" w:rsidRPr="00465F1C">
        <w:rPr>
          <w:lang w:val="en-GB"/>
        </w:rPr>
        <w:t>s</w:t>
      </w:r>
      <w:r w:rsidR="00B1485C">
        <w:rPr>
          <w:lang w:val="en-GB"/>
        </w:rPr>
        <w:t>,</w:t>
      </w:r>
      <w:r w:rsidR="00875266" w:rsidRPr="00465F1C">
        <w:rPr>
          <w:lang w:val="en-GB"/>
        </w:rPr>
        <w:t xml:space="preserve"> gemtuzumab</w:t>
      </w:r>
      <w:r w:rsidR="00644672" w:rsidRPr="00465F1C">
        <w:rPr>
          <w:lang w:val="en-GB"/>
        </w:rPr>
        <w:t xml:space="preserve"> ozo</w:t>
      </w:r>
      <w:r w:rsidR="00C150ED" w:rsidRPr="00465F1C">
        <w:rPr>
          <w:lang w:val="en-GB"/>
        </w:rPr>
        <w:t>gamicin</w:t>
      </w:r>
      <w:r w:rsidR="00875266" w:rsidRPr="00465F1C">
        <w:rPr>
          <w:lang w:val="en-GB"/>
        </w:rPr>
        <w:t xml:space="preserve"> was likely cost-effective</w:t>
      </w:r>
      <w:r w:rsidR="000E57C1" w:rsidRPr="00465F1C">
        <w:rPr>
          <w:lang w:val="en-GB"/>
        </w:rPr>
        <w:t>.</w:t>
      </w:r>
    </w:p>
    <w:p w14:paraId="4EBDE301" w14:textId="77777777" w:rsidR="006328EB" w:rsidRPr="006328EB" w:rsidRDefault="00C40472" w:rsidP="009124E1">
      <w:pPr>
        <w:pStyle w:val="ExecSumBodyText"/>
        <w:rPr>
          <w:i/>
          <w:iCs/>
          <w:color w:val="4F81BD" w:themeColor="accent1"/>
          <w:lang w:val="en-GB"/>
        </w:rPr>
      </w:pPr>
      <w:r>
        <w:rPr>
          <w:lang w:val="en-GB"/>
        </w:rPr>
        <w:t xml:space="preserve">The PBAC recollected that it had considered the previous submission’s financial estimates were uncertain for reasons to do with the assumed split between public and private hospital use, </w:t>
      </w:r>
      <w:r w:rsidRPr="00806250">
        <w:rPr>
          <w:lang w:val="en-GB"/>
        </w:rPr>
        <w:t xml:space="preserve">the size of eligible population, and assumed uptake rates. The PBAC noted the resubmission’s revisions to the utilisation and financial estimates (see paragraph </w:t>
      </w:r>
      <w:r w:rsidR="00F90EC3">
        <w:rPr>
          <w:lang w:val="en-GB"/>
        </w:rPr>
        <w:t>6.100</w:t>
      </w:r>
      <w:r w:rsidRPr="00806250">
        <w:rPr>
          <w:lang w:val="en-GB"/>
        </w:rPr>
        <w:t xml:space="preserve">), and agreed with the evaluation that </w:t>
      </w:r>
      <w:r w:rsidR="001D68BB">
        <w:rPr>
          <w:lang w:val="en-GB"/>
        </w:rPr>
        <w:t>specific</w:t>
      </w:r>
      <w:r w:rsidR="006328EB" w:rsidRPr="00806250">
        <w:rPr>
          <w:lang w:val="en-GB"/>
        </w:rPr>
        <w:t xml:space="preserve"> inputs to the financial model </w:t>
      </w:r>
      <w:r w:rsidRPr="00806250">
        <w:rPr>
          <w:lang w:val="en-GB"/>
        </w:rPr>
        <w:t xml:space="preserve">remained </w:t>
      </w:r>
      <w:r w:rsidR="006328EB" w:rsidRPr="00806250">
        <w:rPr>
          <w:lang w:val="en-GB"/>
        </w:rPr>
        <w:t xml:space="preserve">somewhat </w:t>
      </w:r>
      <w:r w:rsidRPr="00806250">
        <w:rPr>
          <w:lang w:val="en-GB"/>
        </w:rPr>
        <w:t>uncertain</w:t>
      </w:r>
      <w:r w:rsidR="002F5601" w:rsidRPr="00806250">
        <w:rPr>
          <w:lang w:val="en-GB"/>
        </w:rPr>
        <w:t xml:space="preserve">, </w:t>
      </w:r>
      <w:r w:rsidR="006328EB" w:rsidRPr="00806250">
        <w:rPr>
          <w:lang w:val="en-GB"/>
        </w:rPr>
        <w:t xml:space="preserve">but that the likely overall impact had been overestimated as the uptake was likely to be in </w:t>
      </w:r>
      <w:r w:rsidR="001D68BB">
        <w:rPr>
          <w:lang w:val="en-GB"/>
        </w:rPr>
        <w:t xml:space="preserve">a </w:t>
      </w:r>
      <w:r w:rsidR="006328EB" w:rsidRPr="00806250">
        <w:rPr>
          <w:lang w:val="en-GB"/>
        </w:rPr>
        <w:t>smaller, more defined population than had been assumed in the resubmission. That is,</w:t>
      </w:r>
      <w:r w:rsidR="00806250">
        <w:rPr>
          <w:lang w:val="en-GB"/>
        </w:rPr>
        <w:t xml:space="preserve"> use would be</w:t>
      </w:r>
      <w:r w:rsidR="006328EB" w:rsidRPr="00806250">
        <w:rPr>
          <w:lang w:val="en-GB"/>
        </w:rPr>
        <w:t xml:space="preserve"> primarily in patients</w:t>
      </w:r>
      <w:r w:rsidR="006328EB">
        <w:rPr>
          <w:lang w:val="en-GB"/>
        </w:rPr>
        <w:t xml:space="preserve"> with favourable cytogenetic risk and some patients with intermediate risk, who are not FLT3-mutation positive and not otherwise being considered for HSCT. The PBAC considered that the uptake would be further limited in settings where daunorubicin was not used, given the clinical hesitancy to use with alternative anthracyclines. </w:t>
      </w:r>
      <w:r w:rsidR="00AD2C63">
        <w:rPr>
          <w:lang w:val="en-GB"/>
        </w:rPr>
        <w:t>The PB</w:t>
      </w:r>
      <w:r w:rsidR="000D209F">
        <w:rPr>
          <w:lang w:val="en-GB"/>
        </w:rPr>
        <w:t>A</w:t>
      </w:r>
      <w:r w:rsidR="00AD2C63">
        <w:rPr>
          <w:lang w:val="en-GB"/>
        </w:rPr>
        <w:t>C noted also that updates to the estimates would be required in terms of limiting to patients with WHO status 0-2 (see next paragraph).</w:t>
      </w:r>
    </w:p>
    <w:p w14:paraId="65BA8E47" w14:textId="77777777" w:rsidR="00532E8E" w:rsidRDefault="00532E8E" w:rsidP="00532E8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With respect to the PBS listing, the PBAC:</w:t>
      </w:r>
    </w:p>
    <w:p w14:paraId="40F12FBB" w14:textId="77777777" w:rsidR="008661BE" w:rsidRDefault="008661BE" w:rsidP="008661BE">
      <w:pPr>
        <w:pStyle w:val="ListParagraph"/>
        <w:widowControl w:val="0"/>
        <w:numPr>
          <w:ilvl w:val="0"/>
          <w:numId w:val="22"/>
        </w:numPr>
        <w:spacing w:after="120"/>
        <w:rPr>
          <w:rFonts w:asciiTheme="minorHAnsi" w:hAnsiTheme="minorHAnsi"/>
          <w:snapToGrid w:val="0"/>
          <w:lang w:val="en-GB"/>
        </w:rPr>
      </w:pPr>
      <w:r w:rsidRPr="002D6857">
        <w:rPr>
          <w:rFonts w:asciiTheme="minorHAnsi" w:hAnsiTheme="minorHAnsi"/>
          <w:snapToGrid w:val="0"/>
          <w:lang w:val="en-GB"/>
        </w:rPr>
        <w:t>Recommended an Authority Required listing for both induction and consolidation phases.</w:t>
      </w:r>
    </w:p>
    <w:p w14:paraId="7FC0EF06" w14:textId="77777777" w:rsidR="00113889" w:rsidRDefault="00113889" w:rsidP="008661BE">
      <w:pPr>
        <w:pStyle w:val="ListParagraph"/>
        <w:widowControl w:val="0"/>
        <w:numPr>
          <w:ilvl w:val="0"/>
          <w:numId w:val="22"/>
        </w:numPr>
        <w:spacing w:after="120"/>
        <w:rPr>
          <w:rFonts w:asciiTheme="minorHAnsi" w:hAnsiTheme="minorHAnsi"/>
          <w:snapToGrid w:val="0"/>
          <w:lang w:val="en-GB"/>
        </w:rPr>
      </w:pPr>
      <w:r>
        <w:rPr>
          <w:rFonts w:asciiTheme="minorHAnsi" w:hAnsiTheme="minorHAnsi"/>
          <w:snapToGrid w:val="0"/>
          <w:lang w:val="en-GB"/>
        </w:rPr>
        <w:t xml:space="preserve">Agreed with the ESC and ALLG that patients with unknown cytogenetic results due to inconclusive results should be not be excluded from PBS subsidy (a pragmatic decision, given expected small patient numbers and likelihood that some of these patients would in fact have had intermediate/favourable cytogenetics if testing had been successful). </w:t>
      </w:r>
    </w:p>
    <w:p w14:paraId="279EAE12" w14:textId="77777777" w:rsidR="00113889" w:rsidRPr="00113889" w:rsidRDefault="00113889" w:rsidP="00EA1390">
      <w:pPr>
        <w:pStyle w:val="ListParagraph"/>
        <w:widowControl w:val="0"/>
        <w:numPr>
          <w:ilvl w:val="0"/>
          <w:numId w:val="22"/>
        </w:numPr>
        <w:spacing w:after="120"/>
        <w:rPr>
          <w:rFonts w:asciiTheme="minorHAnsi" w:hAnsiTheme="minorHAnsi"/>
          <w:snapToGrid w:val="0"/>
          <w:lang w:val="en-GB"/>
        </w:rPr>
      </w:pPr>
      <w:r w:rsidRPr="00113889">
        <w:rPr>
          <w:rFonts w:asciiTheme="minorHAnsi" w:hAnsiTheme="minorHAnsi"/>
          <w:snapToGrid w:val="0"/>
          <w:lang w:val="en-GB"/>
        </w:rPr>
        <w:t xml:space="preserve">Recommended that gemtuzumab must not be used in combination with a tyrosine kinase inhibitor, </w:t>
      </w:r>
      <w:r>
        <w:rPr>
          <w:rFonts w:asciiTheme="minorHAnsi" w:hAnsiTheme="minorHAnsi"/>
          <w:snapToGrid w:val="0"/>
          <w:lang w:val="en-GB"/>
        </w:rPr>
        <w:t xml:space="preserve">and </w:t>
      </w:r>
      <w:r w:rsidRPr="00113889">
        <w:rPr>
          <w:rFonts w:asciiTheme="minorHAnsi" w:hAnsiTheme="minorHAnsi"/>
          <w:snapToGrid w:val="0"/>
          <w:lang w:val="en-GB"/>
        </w:rPr>
        <w:t>that FLT3-mutation positive patients should be excluded from using gemtuzumab.</w:t>
      </w:r>
    </w:p>
    <w:p w14:paraId="0D88A9CE" w14:textId="77777777" w:rsidR="00113889" w:rsidRPr="00113889" w:rsidRDefault="00113889" w:rsidP="00113889">
      <w:pPr>
        <w:pStyle w:val="ListParagraph"/>
        <w:widowControl w:val="0"/>
        <w:numPr>
          <w:ilvl w:val="0"/>
          <w:numId w:val="22"/>
        </w:numPr>
        <w:spacing w:after="120"/>
        <w:rPr>
          <w:rFonts w:asciiTheme="minorHAnsi" w:hAnsiTheme="minorHAnsi"/>
          <w:snapToGrid w:val="0"/>
          <w:lang w:val="en-GB"/>
        </w:rPr>
      </w:pPr>
      <w:r>
        <w:rPr>
          <w:rFonts w:asciiTheme="minorHAnsi" w:hAnsiTheme="minorHAnsi"/>
          <w:snapToGrid w:val="0"/>
          <w:lang w:val="en-GB"/>
        </w:rPr>
        <w:t xml:space="preserve">Recommended that gemtuzumab should be initiated in patients </w:t>
      </w:r>
      <w:r w:rsidR="001D68BB">
        <w:rPr>
          <w:rFonts w:asciiTheme="minorHAnsi" w:hAnsiTheme="minorHAnsi"/>
          <w:snapToGrid w:val="0"/>
          <w:lang w:val="en-GB"/>
        </w:rPr>
        <w:t xml:space="preserve">who </w:t>
      </w:r>
      <w:r>
        <w:rPr>
          <w:rFonts w:asciiTheme="minorHAnsi" w:hAnsiTheme="minorHAnsi"/>
          <w:snapToGrid w:val="0"/>
          <w:lang w:val="en-GB"/>
        </w:rPr>
        <w:t xml:space="preserve">are previously untreated, except for essential treatment hydroxyurea or leukapheresis (consistent with the TGA PI recommendation for </w:t>
      </w:r>
      <w:r w:rsidRPr="00113889">
        <w:rPr>
          <w:rFonts w:asciiTheme="minorHAnsi" w:hAnsiTheme="minorHAnsi"/>
          <w:snapToGrid w:val="0"/>
          <w:lang w:val="en-GB"/>
        </w:rPr>
        <w:t>patients with hyperleukocytic AM</w:t>
      </w:r>
      <w:r>
        <w:rPr>
          <w:rFonts w:asciiTheme="minorHAnsi" w:hAnsiTheme="minorHAnsi"/>
          <w:snapToGrid w:val="0"/>
          <w:lang w:val="en-GB"/>
        </w:rPr>
        <w:t>L).</w:t>
      </w:r>
    </w:p>
    <w:p w14:paraId="4EE6FF54" w14:textId="77777777" w:rsidR="00532E8E" w:rsidRDefault="00113889" w:rsidP="00532E8E">
      <w:pPr>
        <w:pStyle w:val="ListParagraph"/>
        <w:widowControl w:val="0"/>
        <w:numPr>
          <w:ilvl w:val="0"/>
          <w:numId w:val="22"/>
        </w:numPr>
        <w:spacing w:after="120"/>
        <w:rPr>
          <w:rFonts w:asciiTheme="minorHAnsi" w:hAnsiTheme="minorHAnsi"/>
          <w:snapToGrid w:val="0"/>
          <w:lang w:val="en-GB"/>
        </w:rPr>
      </w:pPr>
      <w:r w:rsidRPr="00FA1DD7">
        <w:rPr>
          <w:rFonts w:asciiTheme="minorHAnsi" w:hAnsiTheme="minorHAnsi"/>
          <w:snapToGrid w:val="0"/>
          <w:lang w:val="en-GB"/>
        </w:rPr>
        <w:t xml:space="preserve">Recommended that the </w:t>
      </w:r>
      <w:r w:rsidR="00FA1DD7" w:rsidRPr="00FA1DD7">
        <w:rPr>
          <w:rFonts w:asciiTheme="minorHAnsi" w:hAnsiTheme="minorHAnsi"/>
          <w:snapToGrid w:val="0"/>
          <w:lang w:val="en-GB"/>
        </w:rPr>
        <w:t>listing</w:t>
      </w:r>
      <w:r w:rsidRPr="00FA1DD7">
        <w:rPr>
          <w:rFonts w:asciiTheme="minorHAnsi" w:hAnsiTheme="minorHAnsi"/>
          <w:snapToGrid w:val="0"/>
          <w:lang w:val="en-GB"/>
        </w:rPr>
        <w:t xml:space="preserve"> should be silent on age, </w:t>
      </w:r>
      <w:r w:rsidR="00FA1DD7" w:rsidRPr="00FA1DD7">
        <w:rPr>
          <w:rFonts w:asciiTheme="minorHAnsi" w:hAnsiTheme="minorHAnsi"/>
          <w:snapToGrid w:val="0"/>
          <w:lang w:val="en-GB"/>
        </w:rPr>
        <w:t>noting that although the magnitude of benefit in the paediatric population had not been demonstrated by the resubmission</w:t>
      </w:r>
      <w:r w:rsidR="00D61A2D">
        <w:rPr>
          <w:rFonts w:asciiTheme="minorHAnsi" w:hAnsiTheme="minorHAnsi"/>
          <w:snapToGrid w:val="0"/>
          <w:lang w:val="en-GB"/>
        </w:rPr>
        <w:t xml:space="preserve">, it had been </w:t>
      </w:r>
      <w:r w:rsidR="00FA1DD7" w:rsidRPr="00FA1DD7">
        <w:rPr>
          <w:rFonts w:asciiTheme="minorHAnsi" w:hAnsiTheme="minorHAnsi"/>
          <w:snapToGrid w:val="0"/>
          <w:lang w:val="en-GB"/>
        </w:rPr>
        <w:t>approved in the US based on phase III trial data</w:t>
      </w:r>
      <w:r w:rsidR="00D61A2D">
        <w:rPr>
          <w:rFonts w:asciiTheme="minorHAnsi" w:hAnsiTheme="minorHAnsi"/>
          <w:snapToGrid w:val="0"/>
          <w:lang w:val="en-GB"/>
        </w:rPr>
        <w:t xml:space="preserve"> and</w:t>
      </w:r>
      <w:r w:rsidR="00FA1DD7" w:rsidRPr="00FA1DD7">
        <w:rPr>
          <w:rFonts w:asciiTheme="minorHAnsi" w:hAnsiTheme="minorHAnsi"/>
          <w:snapToGrid w:val="0"/>
          <w:lang w:val="en-GB"/>
        </w:rPr>
        <w:t xml:space="preserve"> there was strong support for equity of access in the consumer comments. Moreover, the PBAC considered that any</w:t>
      </w:r>
      <w:r w:rsidR="00FA1DD7">
        <w:rPr>
          <w:rFonts w:asciiTheme="minorHAnsi" w:hAnsiTheme="minorHAnsi"/>
          <w:snapToGrid w:val="0"/>
          <w:lang w:val="en-GB"/>
        </w:rPr>
        <w:t xml:space="preserve"> PBS</w:t>
      </w:r>
      <w:r w:rsidR="00FA1DD7" w:rsidRPr="00FA1DD7">
        <w:rPr>
          <w:rFonts w:asciiTheme="minorHAnsi" w:hAnsiTheme="minorHAnsi"/>
          <w:snapToGrid w:val="0"/>
          <w:lang w:val="en-GB"/>
        </w:rPr>
        <w:t xml:space="preserve"> use in this population would be minor, given the size of the population.</w:t>
      </w:r>
    </w:p>
    <w:p w14:paraId="0EDE1BE6" w14:textId="77777777" w:rsidR="00D61A2D" w:rsidRDefault="00D61A2D" w:rsidP="00532E8E">
      <w:pPr>
        <w:pStyle w:val="ListParagraph"/>
        <w:widowControl w:val="0"/>
        <w:numPr>
          <w:ilvl w:val="0"/>
          <w:numId w:val="22"/>
        </w:numPr>
        <w:spacing w:after="120"/>
        <w:rPr>
          <w:rFonts w:asciiTheme="minorHAnsi" w:hAnsiTheme="minorHAnsi"/>
          <w:snapToGrid w:val="0"/>
          <w:lang w:val="en-GB"/>
        </w:rPr>
      </w:pPr>
      <w:r>
        <w:rPr>
          <w:rFonts w:asciiTheme="minorHAnsi" w:hAnsiTheme="minorHAnsi"/>
          <w:snapToGrid w:val="0"/>
          <w:lang w:val="en-GB"/>
        </w:rPr>
        <w:t xml:space="preserve">Recommended a maximum amount </w:t>
      </w:r>
      <w:r w:rsidR="00EE3EC2">
        <w:rPr>
          <w:rFonts w:asciiTheme="minorHAnsi" w:hAnsiTheme="minorHAnsi"/>
          <w:snapToGrid w:val="0"/>
          <w:lang w:val="en-GB"/>
        </w:rPr>
        <w:t xml:space="preserve">of 5 mg and 2 repeats for induction, and 5 mg and 1 repeat for consolidation, to align with dosage intervals, with no increases in maximum amounts or units permitted. It agreed with the resubmission that 1 induction cycle and 2 consolidation cycles should be permitted per lifetime. </w:t>
      </w:r>
    </w:p>
    <w:p w14:paraId="79E10CFC" w14:textId="77777777" w:rsidR="00EE3EC2" w:rsidRPr="00FA1DD7" w:rsidRDefault="00EE3EC2" w:rsidP="00532E8E">
      <w:pPr>
        <w:pStyle w:val="ListParagraph"/>
        <w:widowControl w:val="0"/>
        <w:numPr>
          <w:ilvl w:val="0"/>
          <w:numId w:val="22"/>
        </w:numPr>
        <w:spacing w:after="120"/>
        <w:rPr>
          <w:rFonts w:asciiTheme="minorHAnsi" w:hAnsiTheme="minorHAnsi"/>
          <w:snapToGrid w:val="0"/>
          <w:lang w:val="en-GB"/>
        </w:rPr>
      </w:pPr>
      <w:r>
        <w:rPr>
          <w:rFonts w:asciiTheme="minorHAnsi" w:hAnsiTheme="minorHAnsi"/>
          <w:snapToGrid w:val="0"/>
          <w:lang w:val="en-GB"/>
        </w:rPr>
        <w:t xml:space="preserve">Recommended that the listing should be restricted to patients with an ECOG performance status of 0-2, given that the vast majority of patients in ALFA-0701 were in this range. </w:t>
      </w:r>
    </w:p>
    <w:p w14:paraId="49BC15DC" w14:textId="77777777" w:rsidR="0059569D" w:rsidRPr="006F5D9B" w:rsidRDefault="006F5D9B" w:rsidP="00532E8E">
      <w:pPr>
        <w:pStyle w:val="ListParagraph"/>
        <w:numPr>
          <w:ilvl w:val="0"/>
          <w:numId w:val="22"/>
        </w:numPr>
        <w:rPr>
          <w:rFonts w:asciiTheme="minorHAnsi" w:hAnsiTheme="minorHAnsi"/>
          <w:snapToGrid w:val="0"/>
          <w:color w:val="808080" w:themeColor="background1" w:themeShade="80"/>
          <w:lang w:val="en-GB"/>
        </w:rPr>
      </w:pPr>
      <w:r>
        <w:rPr>
          <w:rFonts w:asciiTheme="minorHAnsi" w:hAnsiTheme="minorHAnsi"/>
          <w:snapToGrid w:val="0"/>
          <w:lang w:val="en-GB"/>
        </w:rPr>
        <w:t>Noted that the proposed induction criteria had s</w:t>
      </w:r>
      <w:r w:rsidR="00731207">
        <w:rPr>
          <w:rFonts w:asciiTheme="minorHAnsi" w:hAnsiTheme="minorHAnsi"/>
          <w:snapToGrid w:val="0"/>
          <w:lang w:val="en-GB"/>
        </w:rPr>
        <w:t xml:space="preserve">tated that patients with progressive disease would no longer be eligible for PBS-subsidised therapy, however the PBAC considered this was unnecessary in the context of only 1 induction cycle being permitted. The PBAC considered that the same requirement and definitions of progressive disease on the consolidation phase listing were appropriate. </w:t>
      </w:r>
    </w:p>
    <w:p w14:paraId="4F9F6B91" w14:textId="77777777" w:rsidR="00CC7CCE" w:rsidRPr="00D43E67" w:rsidRDefault="00CC7CCE" w:rsidP="00532E8E">
      <w:pPr>
        <w:pStyle w:val="ListParagraph"/>
        <w:numPr>
          <w:ilvl w:val="0"/>
          <w:numId w:val="22"/>
        </w:numPr>
        <w:spacing w:after="240"/>
        <w:rPr>
          <w:rFonts w:asciiTheme="minorHAnsi" w:hAnsiTheme="minorHAnsi"/>
          <w:snapToGrid w:val="0"/>
          <w:lang w:val="en-GB"/>
        </w:rPr>
      </w:pPr>
      <w:r w:rsidRPr="00D43E67">
        <w:rPr>
          <w:rFonts w:asciiTheme="minorHAnsi" w:hAnsiTheme="minorHAnsi"/>
          <w:snapToGrid w:val="0"/>
          <w:lang w:val="en-GB"/>
        </w:rPr>
        <w:t xml:space="preserve">Recommended that to access consolidation therapy, a patient must have achieved a complete remission following induction chemotherapy. The PBAC noted that the definition of complete remission in the proposed Prescribing Instructions was consistent with the TGA PI, and advised that there </w:t>
      </w:r>
      <w:r w:rsidR="00D43E67">
        <w:rPr>
          <w:rFonts w:asciiTheme="minorHAnsi" w:hAnsiTheme="minorHAnsi"/>
          <w:snapToGrid w:val="0"/>
          <w:lang w:val="en-GB"/>
        </w:rPr>
        <w:t xml:space="preserve">was no need to specify a timeframe between assessment of remission and accessing consolidation therapy as prescribers would be expected to consolidate therapy </w:t>
      </w:r>
      <w:r w:rsidR="00731207">
        <w:rPr>
          <w:rFonts w:asciiTheme="minorHAnsi" w:hAnsiTheme="minorHAnsi"/>
          <w:snapToGrid w:val="0"/>
          <w:lang w:val="en-GB"/>
        </w:rPr>
        <w:t>as clinically appropriate</w:t>
      </w:r>
      <w:r w:rsidR="00D43E67">
        <w:rPr>
          <w:rFonts w:asciiTheme="minorHAnsi" w:hAnsiTheme="minorHAnsi"/>
          <w:snapToGrid w:val="0"/>
          <w:lang w:val="en-GB"/>
        </w:rPr>
        <w:t xml:space="preserve">. </w:t>
      </w:r>
    </w:p>
    <w:p w14:paraId="31EE80EE" w14:textId="77777777" w:rsidR="007C545D" w:rsidRPr="00525B39" w:rsidRDefault="007C545D" w:rsidP="00D51DDB">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w:t>
      </w:r>
      <w:r w:rsidR="00D51DDB">
        <w:rPr>
          <w:rFonts w:asciiTheme="minorHAnsi" w:hAnsiTheme="minorHAnsi"/>
          <w:bCs/>
          <w:snapToGrid w:val="0"/>
          <w:lang w:val="en-GB"/>
        </w:rPr>
        <w:t xml:space="preserve">advised that gemtuzumab ozogamicin </w:t>
      </w:r>
      <w:r w:rsidRPr="00525B39">
        <w:rPr>
          <w:rFonts w:asciiTheme="minorHAnsi" w:hAnsiTheme="minorHAnsi"/>
          <w:bCs/>
          <w:snapToGrid w:val="0"/>
          <w:lang w:val="en-GB"/>
        </w:rPr>
        <w:t>should not be treated as interchangeable with any other drugs</w:t>
      </w:r>
      <w:r w:rsidR="00D51DDB">
        <w:rPr>
          <w:rFonts w:asciiTheme="minorHAnsi" w:hAnsiTheme="minorHAnsi"/>
          <w:bCs/>
          <w:snapToGrid w:val="0"/>
          <w:lang w:val="en-GB"/>
        </w:rPr>
        <w:t>.</w:t>
      </w:r>
    </w:p>
    <w:p w14:paraId="25D4E97A" w14:textId="77777777" w:rsidR="007C545D" w:rsidRPr="00525B39" w:rsidRDefault="007C545D" w:rsidP="007C545D">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that </w:t>
      </w:r>
      <w:r w:rsidR="00D51DDB">
        <w:rPr>
          <w:rFonts w:asciiTheme="minorHAnsi" w:hAnsiTheme="minorHAnsi"/>
          <w:bCs/>
          <w:snapToGrid w:val="0"/>
          <w:lang w:val="en-GB"/>
        </w:rPr>
        <w:t>gemtuzumab ozogamicin</w:t>
      </w:r>
      <w:r w:rsidRPr="00525B39">
        <w:rPr>
          <w:rFonts w:asciiTheme="minorHAnsi" w:hAnsiTheme="minorHAnsi"/>
          <w:bCs/>
          <w:snapToGrid w:val="0"/>
          <w:lang w:val="en-GB"/>
        </w:rPr>
        <w:t xml:space="preserve"> is not suitable for presc</w:t>
      </w:r>
      <w:r>
        <w:rPr>
          <w:rFonts w:asciiTheme="minorHAnsi" w:hAnsiTheme="minorHAnsi"/>
          <w:bCs/>
          <w:snapToGrid w:val="0"/>
          <w:lang w:val="en-GB"/>
        </w:rPr>
        <w:t>ribing by nurse practitioners.</w:t>
      </w:r>
    </w:p>
    <w:p w14:paraId="740DBDF1" w14:textId="77777777" w:rsidR="007C545D" w:rsidRPr="00525B39" w:rsidRDefault="007C545D" w:rsidP="007C545D">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recommended that the Early Supply Rule </w:t>
      </w:r>
      <w:r w:rsidR="00D51DDB">
        <w:rPr>
          <w:rFonts w:asciiTheme="minorHAnsi" w:hAnsiTheme="minorHAnsi"/>
          <w:bCs/>
          <w:snapToGrid w:val="0"/>
          <w:lang w:val="en-GB"/>
        </w:rPr>
        <w:t>should</w:t>
      </w:r>
      <w:r w:rsidRPr="00525B39">
        <w:rPr>
          <w:rFonts w:asciiTheme="minorHAnsi" w:hAnsiTheme="minorHAnsi"/>
          <w:bCs/>
          <w:snapToGrid w:val="0"/>
          <w:lang w:val="en-GB"/>
        </w:rPr>
        <w:t xml:space="preserve"> not apply. </w:t>
      </w:r>
    </w:p>
    <w:p w14:paraId="4E3CB179" w14:textId="77777777" w:rsidR="007C545D" w:rsidRPr="00D121C5" w:rsidRDefault="007C545D" w:rsidP="00C318E2">
      <w:pPr>
        <w:widowControl w:val="0"/>
        <w:numPr>
          <w:ilvl w:val="1"/>
          <w:numId w:val="1"/>
        </w:numPr>
        <w:spacing w:after="120"/>
        <w:rPr>
          <w:rFonts w:asciiTheme="minorHAnsi" w:hAnsiTheme="minorHAnsi" w:cstheme="minorHAnsi"/>
          <w:b/>
          <w:lang w:val="en-GB"/>
        </w:rPr>
      </w:pPr>
      <w:r w:rsidRPr="00C318E2">
        <w:rPr>
          <w:rFonts w:asciiTheme="minorHAnsi" w:hAnsiTheme="minorHAnsi"/>
          <w:bCs/>
          <w:snapToGrid w:val="0"/>
          <w:lang w:val="en-GB"/>
        </w:rPr>
        <w:t>The PBAC found that the criteria prescribed by the National Health (Pharmaceuticals</w:t>
      </w:r>
      <w:r w:rsidRPr="00D121C5">
        <w:rPr>
          <w:rFonts w:asciiTheme="minorHAnsi" w:hAnsiTheme="minorHAnsi" w:cstheme="minorHAnsi"/>
          <w:i/>
          <w:lang w:val="en-GB"/>
        </w:rPr>
        <w:t xml:space="preserve"> and Vaccines – Cost Recovery) Regulations 2009</w:t>
      </w:r>
      <w:r w:rsidRPr="00D121C5">
        <w:rPr>
          <w:rFonts w:asciiTheme="minorHAnsi" w:hAnsiTheme="minorHAnsi" w:cstheme="minorHAnsi"/>
          <w:lang w:val="en-GB"/>
        </w:rPr>
        <w:t xml:space="preserve"> for Pricing Pathway A were</w:t>
      </w:r>
      <w:r w:rsidR="00C318E2">
        <w:rPr>
          <w:rFonts w:asciiTheme="minorHAnsi" w:hAnsiTheme="minorHAnsi" w:cstheme="minorHAnsi"/>
          <w:lang w:val="en-GB"/>
        </w:rPr>
        <w:t xml:space="preserve"> not</w:t>
      </w:r>
      <w:r w:rsidRPr="00D121C5">
        <w:rPr>
          <w:rFonts w:asciiTheme="minorHAnsi" w:hAnsiTheme="minorHAnsi" w:cstheme="minorHAnsi"/>
          <w:lang w:val="en-GB"/>
        </w:rPr>
        <w:t xml:space="preserve"> met. Specifically</w:t>
      </w:r>
      <w:r w:rsidR="006F5D9B">
        <w:rPr>
          <w:rFonts w:asciiTheme="minorHAnsi" w:hAnsiTheme="minorHAnsi" w:cstheme="minorHAnsi"/>
          <w:lang w:val="en-GB"/>
        </w:rPr>
        <w:t>,</w:t>
      </w:r>
      <w:r w:rsidRPr="00D121C5">
        <w:rPr>
          <w:rFonts w:asciiTheme="minorHAnsi" w:hAnsiTheme="minorHAnsi" w:cstheme="minorHAnsi"/>
          <w:lang w:val="en-GB"/>
        </w:rPr>
        <w:t xml:space="preserve"> the PBAC found that in the circumstances of its recommendation for </w:t>
      </w:r>
      <w:r w:rsidR="00C318E2">
        <w:rPr>
          <w:rFonts w:asciiTheme="minorHAnsi" w:hAnsiTheme="minorHAnsi" w:cstheme="minorHAnsi"/>
          <w:lang w:val="en-GB"/>
        </w:rPr>
        <w:t>gemtuzumab ozogamicin</w:t>
      </w:r>
      <w:r w:rsidRPr="00D121C5">
        <w:rPr>
          <w:rFonts w:asciiTheme="minorHAnsi" w:hAnsiTheme="minorHAnsi" w:cstheme="minorHAnsi"/>
          <w:lang w:val="en-GB"/>
        </w:rPr>
        <w:t>:</w:t>
      </w:r>
    </w:p>
    <w:p w14:paraId="09715098" w14:textId="77777777" w:rsidR="007C545D" w:rsidRPr="00E608BE" w:rsidRDefault="007C545D" w:rsidP="00045745">
      <w:pPr>
        <w:widowControl w:val="0"/>
        <w:numPr>
          <w:ilvl w:val="1"/>
          <w:numId w:val="21"/>
        </w:numPr>
        <w:spacing w:after="120"/>
        <w:rPr>
          <w:rFonts w:asciiTheme="minorHAnsi" w:hAnsiTheme="minorHAnsi" w:cstheme="minorHAnsi"/>
          <w:lang w:val="en-GB"/>
        </w:rPr>
      </w:pPr>
      <w:r w:rsidRPr="00E608BE">
        <w:rPr>
          <w:rFonts w:asciiTheme="minorHAnsi" w:hAnsiTheme="minorHAnsi" w:cstheme="minorHAnsi"/>
          <w:lang w:val="en-GB"/>
        </w:rPr>
        <w:t>The treatment is expected to provide a</w:t>
      </w:r>
      <w:r w:rsidR="001D68BB">
        <w:rPr>
          <w:rFonts w:asciiTheme="minorHAnsi" w:hAnsiTheme="minorHAnsi" w:cstheme="minorHAnsi"/>
          <w:lang w:val="en-GB"/>
        </w:rPr>
        <w:t>n</w:t>
      </w:r>
      <w:r w:rsidRPr="00E608BE">
        <w:rPr>
          <w:rFonts w:asciiTheme="minorHAnsi" w:hAnsiTheme="minorHAnsi" w:cstheme="minorHAnsi"/>
          <w:lang w:val="en-GB"/>
        </w:rPr>
        <w:t xml:space="preserve"> improvement in efficacy, over alternative therapies, on the basis of </w:t>
      </w:r>
      <w:r w:rsidR="00E608BE" w:rsidRPr="00E608BE">
        <w:rPr>
          <w:rFonts w:asciiTheme="minorHAnsi" w:hAnsiTheme="minorHAnsi" w:cstheme="minorHAnsi"/>
          <w:lang w:val="en-GB"/>
        </w:rPr>
        <w:t>improved event-free survival, although uncertainty remained with respect to the magnitude of overall survival benefit</w:t>
      </w:r>
      <w:r w:rsidRPr="00E608BE">
        <w:rPr>
          <w:rFonts w:asciiTheme="minorHAnsi" w:hAnsiTheme="minorHAnsi" w:cstheme="minorHAnsi"/>
          <w:lang w:val="en-GB"/>
        </w:rPr>
        <w:t xml:space="preserve">; </w:t>
      </w:r>
    </w:p>
    <w:p w14:paraId="5B2D7E54" w14:textId="77777777" w:rsidR="007C545D" w:rsidRPr="00E608BE" w:rsidRDefault="007C545D" w:rsidP="00045745">
      <w:pPr>
        <w:widowControl w:val="0"/>
        <w:numPr>
          <w:ilvl w:val="1"/>
          <w:numId w:val="21"/>
        </w:numPr>
        <w:spacing w:after="120"/>
        <w:rPr>
          <w:rFonts w:asciiTheme="minorHAnsi" w:hAnsiTheme="minorHAnsi" w:cstheme="minorHAnsi"/>
          <w:lang w:val="en-GB"/>
        </w:rPr>
      </w:pPr>
      <w:r w:rsidRPr="00E608BE">
        <w:rPr>
          <w:rFonts w:asciiTheme="minorHAnsi" w:hAnsiTheme="minorHAnsi" w:cstheme="minorHAnsi"/>
          <w:lang w:val="en-GB"/>
        </w:rPr>
        <w:t xml:space="preserve">The treatment is not expected to address a high and urgent unmet clinical need </w:t>
      </w:r>
      <w:r w:rsidR="00E608BE" w:rsidRPr="00E608BE">
        <w:rPr>
          <w:rFonts w:asciiTheme="minorHAnsi" w:hAnsiTheme="minorHAnsi" w:cstheme="minorHAnsi"/>
          <w:lang w:val="en-GB"/>
        </w:rPr>
        <w:t>as, although the PBAC recognised a high clinical need for the subset of patients expected to be treated with gemtuzumab</w:t>
      </w:r>
      <w:r w:rsidR="00E608BE">
        <w:rPr>
          <w:rFonts w:asciiTheme="minorHAnsi" w:hAnsiTheme="minorHAnsi" w:cstheme="minorHAnsi"/>
          <w:lang w:val="en-GB"/>
        </w:rPr>
        <w:t xml:space="preserve"> ozogamicin</w:t>
      </w:r>
      <w:r w:rsidR="00E608BE" w:rsidRPr="00E608BE">
        <w:rPr>
          <w:rFonts w:asciiTheme="minorHAnsi" w:hAnsiTheme="minorHAnsi" w:cstheme="minorHAnsi"/>
          <w:lang w:val="en-GB"/>
        </w:rPr>
        <w:t>, there are currently therapies available on the PBS for AML</w:t>
      </w:r>
      <w:r w:rsidRPr="00E608BE">
        <w:rPr>
          <w:rFonts w:asciiTheme="minorHAnsi" w:hAnsiTheme="minorHAnsi" w:cstheme="minorHAnsi"/>
          <w:lang w:val="en-GB"/>
        </w:rPr>
        <w:t>;</w:t>
      </w:r>
    </w:p>
    <w:p w14:paraId="7B5455AC" w14:textId="77777777" w:rsidR="007C545D" w:rsidRPr="00C318E2" w:rsidRDefault="007C545D" w:rsidP="00C318E2">
      <w:pPr>
        <w:widowControl w:val="0"/>
        <w:numPr>
          <w:ilvl w:val="1"/>
          <w:numId w:val="21"/>
        </w:numPr>
        <w:spacing w:after="120"/>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C318E2">
        <w:rPr>
          <w:rFonts w:asciiTheme="minorHAnsi" w:hAnsiTheme="minorHAnsi" w:cstheme="minorHAnsi"/>
          <w:lang w:val="en-GB"/>
        </w:rPr>
        <w:t>.</w:t>
      </w:r>
    </w:p>
    <w:p w14:paraId="6D679CAB" w14:textId="77777777" w:rsidR="007C545D" w:rsidRDefault="007C545D" w:rsidP="008B1AFB">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not eligible for an Independent Review</w:t>
      </w:r>
      <w:r w:rsidR="008B1AFB">
        <w:rPr>
          <w:rFonts w:asciiTheme="minorHAnsi" w:hAnsiTheme="minorHAnsi"/>
          <w:bCs/>
          <w:snapToGrid w:val="0"/>
          <w:lang w:val="en-GB"/>
        </w:rPr>
        <w:t xml:space="preserve"> as it received a positive recommendation.</w:t>
      </w:r>
    </w:p>
    <w:p w14:paraId="3AF24F9F" w14:textId="77777777" w:rsidR="007C545D" w:rsidRPr="00525B39" w:rsidRDefault="007C545D" w:rsidP="007C545D">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575D41B" w14:textId="6D60ACCF" w:rsidR="007C545D" w:rsidRPr="00D32B02" w:rsidRDefault="007C545D" w:rsidP="00D32B02">
      <w:pPr>
        <w:rPr>
          <w:rFonts w:asciiTheme="minorHAnsi" w:hAnsiTheme="minorHAnsi"/>
          <w:bCs/>
          <w:snapToGrid w:val="0"/>
          <w:lang w:val="en-GB"/>
        </w:rPr>
      </w:pPr>
      <w:r w:rsidRPr="00525B39">
        <w:rPr>
          <w:rFonts w:asciiTheme="minorHAnsi" w:hAnsiTheme="minorHAnsi"/>
          <w:bCs/>
          <w:snapToGrid w:val="0"/>
          <w:lang w:val="en-GB"/>
        </w:rPr>
        <w:t>Recommended</w:t>
      </w:r>
    </w:p>
    <w:bookmarkEnd w:id="48"/>
    <w:p w14:paraId="1456C430" w14:textId="77777777" w:rsidR="007C545D" w:rsidRPr="00F237A4" w:rsidRDefault="007C545D" w:rsidP="008B1AFB">
      <w:pPr>
        <w:pStyle w:val="2-SectionHeading"/>
        <w:numPr>
          <w:ilvl w:val="0"/>
          <w:numId w:val="1"/>
        </w:numPr>
        <w:rPr>
          <w:b w:val="0"/>
          <w:bCs/>
          <w:iCs/>
          <w:lang w:val="en-GB"/>
        </w:rPr>
      </w:pPr>
      <w:r w:rsidRPr="008B1AFB">
        <w:t>Recommended</w:t>
      </w:r>
      <w:r w:rsidRPr="00525B39">
        <w:rPr>
          <w:bCs/>
          <w:lang w:val="en-GB"/>
        </w:rPr>
        <w:t xml:space="preserve"> listing</w:t>
      </w:r>
    </w:p>
    <w:p w14:paraId="5FB117A3" w14:textId="77777777" w:rsidR="007C545D" w:rsidRDefault="007C545D" w:rsidP="00217D42">
      <w:pPr>
        <w:pStyle w:val="ExecSumBodyText"/>
      </w:pPr>
      <w:r w:rsidRPr="00525B39">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3075"/>
        <w:gridCol w:w="1993"/>
        <w:gridCol w:w="1547"/>
        <w:gridCol w:w="1339"/>
      </w:tblGrid>
      <w:tr w:rsidR="009764DB" w:rsidRPr="006331A2" w14:paraId="258DD479" w14:textId="77777777" w:rsidTr="006F5D9B">
        <w:trPr>
          <w:cantSplit/>
          <w:trHeight w:val="20"/>
        </w:trPr>
        <w:tc>
          <w:tcPr>
            <w:tcW w:w="4138" w:type="dxa"/>
            <w:gridSpan w:val="2"/>
            <w:tcBorders>
              <w:top w:val="single" w:sz="4" w:space="0" w:color="auto"/>
              <w:left w:val="single" w:sz="4" w:space="0" w:color="auto"/>
              <w:bottom w:val="single" w:sz="4" w:space="0" w:color="auto"/>
              <w:right w:val="single" w:sz="4" w:space="0" w:color="auto"/>
            </w:tcBorders>
            <w:vAlign w:val="center"/>
            <w:hideMark/>
          </w:tcPr>
          <w:p w14:paraId="27E4BCE1" w14:textId="77777777" w:rsidR="009764DB" w:rsidRPr="006331A2" w:rsidRDefault="009764DB" w:rsidP="009764DB">
            <w:pPr>
              <w:pStyle w:val="Tableheadingrow"/>
            </w:pPr>
            <w:r w:rsidRPr="006331A2">
              <w:t xml:space="preserve">MEDICINAL PRODUCT </w:t>
            </w:r>
          </w:p>
          <w:p w14:paraId="0D2ED676" w14:textId="77777777" w:rsidR="009764DB" w:rsidRPr="006331A2" w:rsidRDefault="009764DB" w:rsidP="009764DB">
            <w:pPr>
              <w:pStyle w:val="Tableheadingrow"/>
            </w:pPr>
            <w:r w:rsidRPr="006331A2">
              <w:t>medicinal product pack (MPP)</w:t>
            </w:r>
          </w:p>
        </w:tc>
        <w:tc>
          <w:tcPr>
            <w:tcW w:w="1993" w:type="dxa"/>
            <w:tcBorders>
              <w:top w:val="single" w:sz="4" w:space="0" w:color="auto"/>
              <w:left w:val="single" w:sz="4" w:space="0" w:color="auto"/>
              <w:bottom w:val="single" w:sz="4" w:space="0" w:color="auto"/>
              <w:right w:val="single" w:sz="4" w:space="0" w:color="auto"/>
            </w:tcBorders>
            <w:vAlign w:val="center"/>
            <w:hideMark/>
          </w:tcPr>
          <w:p w14:paraId="58E634B9" w14:textId="77777777" w:rsidR="009764DB" w:rsidRPr="006331A2" w:rsidRDefault="009764DB" w:rsidP="009764DB">
            <w:pPr>
              <w:pStyle w:val="Tableheadingrow"/>
              <w:rPr>
                <w:szCs w:val="20"/>
              </w:rPr>
            </w:pPr>
            <w:r w:rsidRPr="006331A2">
              <w:rPr>
                <w:szCs w:val="20"/>
              </w:rPr>
              <w:t>PBS item code</w:t>
            </w:r>
          </w:p>
        </w:tc>
        <w:tc>
          <w:tcPr>
            <w:tcW w:w="1547" w:type="dxa"/>
            <w:tcBorders>
              <w:top w:val="single" w:sz="4" w:space="0" w:color="auto"/>
              <w:left w:val="single" w:sz="4" w:space="0" w:color="auto"/>
              <w:bottom w:val="single" w:sz="4" w:space="0" w:color="auto"/>
              <w:right w:val="single" w:sz="4" w:space="0" w:color="auto"/>
            </w:tcBorders>
            <w:vAlign w:val="center"/>
            <w:hideMark/>
          </w:tcPr>
          <w:p w14:paraId="12817E78" w14:textId="77777777" w:rsidR="009764DB" w:rsidRPr="006331A2" w:rsidRDefault="009764DB" w:rsidP="009764DB">
            <w:pPr>
              <w:pStyle w:val="Tableheadingrow"/>
              <w:rPr>
                <w:szCs w:val="20"/>
              </w:rPr>
            </w:pPr>
            <w:r w:rsidRPr="006331A2">
              <w:rPr>
                <w:szCs w:val="20"/>
              </w:rPr>
              <w:t>Max. Amount</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CDD6C3B" w14:textId="77777777" w:rsidR="009764DB" w:rsidRPr="006331A2" w:rsidRDefault="009764DB" w:rsidP="009764DB">
            <w:pPr>
              <w:pStyle w:val="Tableheadingrow"/>
              <w:rPr>
                <w:szCs w:val="20"/>
              </w:rPr>
            </w:pPr>
            <w:r w:rsidRPr="006331A2">
              <w:rPr>
                <w:szCs w:val="20"/>
              </w:rPr>
              <w:t>№.of</w:t>
            </w:r>
            <w:r>
              <w:rPr>
                <w:szCs w:val="20"/>
              </w:rPr>
              <w:t xml:space="preserve"> </w:t>
            </w:r>
            <w:r w:rsidRPr="006331A2">
              <w:rPr>
                <w:szCs w:val="20"/>
              </w:rPr>
              <w:t>Rpts</w:t>
            </w:r>
          </w:p>
        </w:tc>
      </w:tr>
      <w:tr w:rsidR="009764DB" w:rsidRPr="006331A2" w14:paraId="0688A89B" w14:textId="77777777" w:rsidTr="006F5D9B">
        <w:trPr>
          <w:cantSplit/>
          <w:trHeight w:val="20"/>
        </w:trPr>
        <w:tc>
          <w:tcPr>
            <w:tcW w:w="4138" w:type="dxa"/>
            <w:gridSpan w:val="2"/>
            <w:tcBorders>
              <w:top w:val="single" w:sz="4" w:space="0" w:color="auto"/>
              <w:left w:val="single" w:sz="4" w:space="0" w:color="auto"/>
              <w:bottom w:val="single" w:sz="4" w:space="0" w:color="auto"/>
              <w:right w:val="single" w:sz="4" w:space="0" w:color="auto"/>
            </w:tcBorders>
            <w:hideMark/>
          </w:tcPr>
          <w:p w14:paraId="4D1CF2E8" w14:textId="77777777" w:rsidR="009764DB" w:rsidRPr="006331A2" w:rsidRDefault="009764DB" w:rsidP="009764DB">
            <w:pPr>
              <w:pStyle w:val="Tableheadingrow"/>
              <w:rPr>
                <w:b w:val="0"/>
                <w:bCs/>
                <w:szCs w:val="20"/>
              </w:rPr>
            </w:pPr>
            <w:r w:rsidRPr="006331A2">
              <w:rPr>
                <w:b w:val="0"/>
                <w:bCs/>
              </w:rPr>
              <w:t>GEMTUZUMAB</w:t>
            </w:r>
            <w:r w:rsidRPr="006331A2">
              <w:rPr>
                <w:b w:val="0"/>
                <w:bCs/>
                <w:szCs w:val="20"/>
              </w:rPr>
              <w:t xml:space="preserve"> OZOGAMICIN</w:t>
            </w:r>
          </w:p>
          <w:p w14:paraId="6A9F9D06" w14:textId="77777777" w:rsidR="009764DB" w:rsidRPr="006331A2" w:rsidRDefault="009764DB" w:rsidP="009764DB">
            <w:pPr>
              <w:keepNext/>
              <w:rPr>
                <w:rFonts w:ascii="Arial Narrow" w:hAnsi="Arial Narrow"/>
                <w:sz w:val="20"/>
                <w:szCs w:val="20"/>
              </w:rPr>
            </w:pPr>
            <w:r w:rsidRPr="006331A2">
              <w:rPr>
                <w:rFonts w:ascii="Arial Narrow" w:hAnsi="Arial Narrow"/>
                <w:sz w:val="20"/>
                <w:szCs w:val="20"/>
              </w:rPr>
              <w:t>gemtuzumab ozogamicin 5 mg injection, 1 vial</w:t>
            </w:r>
          </w:p>
        </w:tc>
        <w:tc>
          <w:tcPr>
            <w:tcW w:w="1993" w:type="dxa"/>
            <w:tcBorders>
              <w:top w:val="single" w:sz="4" w:space="0" w:color="auto"/>
              <w:left w:val="single" w:sz="4" w:space="0" w:color="auto"/>
              <w:bottom w:val="single" w:sz="4" w:space="0" w:color="auto"/>
              <w:right w:val="single" w:sz="4" w:space="0" w:color="auto"/>
            </w:tcBorders>
            <w:hideMark/>
          </w:tcPr>
          <w:p w14:paraId="0857DADB" w14:textId="77777777" w:rsidR="009764DB" w:rsidRPr="006331A2" w:rsidRDefault="009764DB" w:rsidP="009764DB">
            <w:pPr>
              <w:keepNext/>
              <w:ind w:left="-108"/>
              <w:jc w:val="center"/>
              <w:rPr>
                <w:rFonts w:ascii="Arial Narrow" w:hAnsi="Arial Narrow"/>
                <w:sz w:val="20"/>
                <w:szCs w:val="20"/>
              </w:rPr>
            </w:pPr>
            <w:r w:rsidRPr="006331A2">
              <w:rPr>
                <w:rFonts w:ascii="Arial Narrow" w:hAnsi="Arial Narrow"/>
                <w:sz w:val="20"/>
                <w:szCs w:val="20"/>
              </w:rPr>
              <w:t>NEW (Public)</w:t>
            </w:r>
          </w:p>
          <w:p w14:paraId="2D73B7B6" w14:textId="77777777" w:rsidR="009764DB" w:rsidRPr="006331A2" w:rsidRDefault="009764DB" w:rsidP="009764DB">
            <w:pPr>
              <w:keepNext/>
              <w:ind w:left="-108"/>
              <w:jc w:val="center"/>
              <w:rPr>
                <w:rFonts w:ascii="Arial Narrow" w:hAnsi="Arial Narrow"/>
                <w:sz w:val="20"/>
                <w:szCs w:val="20"/>
              </w:rPr>
            </w:pPr>
            <w:r w:rsidRPr="006331A2">
              <w:rPr>
                <w:rFonts w:ascii="Arial Narrow" w:hAnsi="Arial Narrow"/>
                <w:sz w:val="20"/>
                <w:szCs w:val="20"/>
              </w:rPr>
              <w:t>NEW (Private)</w:t>
            </w:r>
          </w:p>
        </w:tc>
        <w:tc>
          <w:tcPr>
            <w:tcW w:w="1547" w:type="dxa"/>
            <w:tcBorders>
              <w:top w:val="single" w:sz="4" w:space="0" w:color="auto"/>
              <w:left w:val="single" w:sz="4" w:space="0" w:color="auto"/>
              <w:bottom w:val="single" w:sz="4" w:space="0" w:color="auto"/>
              <w:right w:val="single" w:sz="4" w:space="0" w:color="auto"/>
            </w:tcBorders>
            <w:vAlign w:val="center"/>
          </w:tcPr>
          <w:p w14:paraId="4B5B84C7" w14:textId="77777777" w:rsidR="009764DB" w:rsidRPr="006331A2" w:rsidRDefault="009764DB" w:rsidP="009764DB">
            <w:pPr>
              <w:keepNext/>
              <w:ind w:left="-108"/>
              <w:jc w:val="center"/>
              <w:rPr>
                <w:rFonts w:ascii="Arial Narrow" w:hAnsi="Arial Narrow"/>
                <w:sz w:val="20"/>
                <w:szCs w:val="20"/>
              </w:rPr>
            </w:pPr>
            <w:r w:rsidRPr="006331A2">
              <w:rPr>
                <w:rFonts w:ascii="Arial Narrow" w:hAnsi="Arial Narrow"/>
                <w:sz w:val="20"/>
                <w:szCs w:val="20"/>
              </w:rPr>
              <w:t>5 mg</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101A0F6" w14:textId="77777777" w:rsidR="009764DB" w:rsidRPr="006331A2" w:rsidRDefault="009764DB" w:rsidP="009764DB">
            <w:pPr>
              <w:keepNext/>
              <w:ind w:left="-108"/>
              <w:jc w:val="center"/>
              <w:rPr>
                <w:rFonts w:ascii="Arial Narrow" w:hAnsi="Arial Narrow"/>
                <w:sz w:val="20"/>
                <w:szCs w:val="20"/>
              </w:rPr>
            </w:pPr>
            <w:r w:rsidRPr="006331A2">
              <w:rPr>
                <w:rFonts w:ascii="Arial Narrow" w:hAnsi="Arial Narrow"/>
                <w:sz w:val="20"/>
                <w:szCs w:val="20"/>
              </w:rPr>
              <w:t>2</w:t>
            </w:r>
          </w:p>
        </w:tc>
      </w:tr>
      <w:tr w:rsidR="009764DB" w:rsidRPr="006331A2" w14:paraId="289D5E7F" w14:textId="77777777" w:rsidTr="006F5D9B">
        <w:trPr>
          <w:cantSplit/>
          <w:trHeight w:val="20"/>
        </w:trPr>
        <w:tc>
          <w:tcPr>
            <w:tcW w:w="9017" w:type="dxa"/>
            <w:gridSpan w:val="5"/>
            <w:tcBorders>
              <w:top w:val="single" w:sz="4" w:space="0" w:color="auto"/>
              <w:left w:val="single" w:sz="4" w:space="0" w:color="auto"/>
              <w:bottom w:val="single" w:sz="4" w:space="0" w:color="auto"/>
              <w:right w:val="single" w:sz="4" w:space="0" w:color="auto"/>
            </w:tcBorders>
            <w:hideMark/>
          </w:tcPr>
          <w:p w14:paraId="43B8EE5E" w14:textId="77777777" w:rsidR="009764DB" w:rsidRPr="006331A2" w:rsidRDefault="009764DB" w:rsidP="009764DB">
            <w:pPr>
              <w:keepNext/>
              <w:rPr>
                <w:rFonts w:ascii="Arial Narrow" w:hAnsi="Arial Narrow"/>
                <w:b/>
                <w:sz w:val="20"/>
                <w:szCs w:val="20"/>
              </w:rPr>
            </w:pPr>
            <w:r w:rsidRPr="006331A2">
              <w:rPr>
                <w:rFonts w:ascii="Arial Narrow" w:hAnsi="Arial Narrow"/>
                <w:b/>
                <w:sz w:val="20"/>
                <w:szCs w:val="20"/>
              </w:rPr>
              <w:t>Available brands</w:t>
            </w:r>
          </w:p>
        </w:tc>
      </w:tr>
      <w:tr w:rsidR="009764DB" w:rsidRPr="006331A2" w14:paraId="62F70C73" w14:textId="77777777" w:rsidTr="006F5D9B">
        <w:trPr>
          <w:cantSplit/>
          <w:trHeight w:val="20"/>
        </w:trPr>
        <w:tc>
          <w:tcPr>
            <w:tcW w:w="9017" w:type="dxa"/>
            <w:gridSpan w:val="5"/>
            <w:tcBorders>
              <w:top w:val="single" w:sz="4" w:space="0" w:color="auto"/>
              <w:left w:val="single" w:sz="4" w:space="0" w:color="auto"/>
              <w:bottom w:val="single" w:sz="4" w:space="0" w:color="auto"/>
              <w:right w:val="single" w:sz="4" w:space="0" w:color="auto"/>
            </w:tcBorders>
            <w:hideMark/>
          </w:tcPr>
          <w:p w14:paraId="383EF984" w14:textId="77777777" w:rsidR="009764DB" w:rsidRPr="006331A2" w:rsidRDefault="009764DB" w:rsidP="009764DB">
            <w:pPr>
              <w:rPr>
                <w:rFonts w:ascii="Arial Narrow" w:hAnsi="Arial Narrow"/>
                <w:sz w:val="20"/>
                <w:szCs w:val="20"/>
              </w:rPr>
            </w:pPr>
            <w:r w:rsidRPr="006331A2">
              <w:rPr>
                <w:rFonts w:ascii="Arial Narrow" w:hAnsi="Arial Narrow"/>
                <w:sz w:val="20"/>
                <w:szCs w:val="20"/>
              </w:rPr>
              <w:t xml:space="preserve">Mylotarg </w:t>
            </w:r>
          </w:p>
        </w:tc>
      </w:tr>
      <w:tr w:rsidR="009764DB" w:rsidRPr="006331A2" w14:paraId="7C293C58" w14:textId="77777777" w:rsidTr="006F5D9B">
        <w:trPr>
          <w:cantSplit/>
          <w:trHeight w:val="20"/>
        </w:trPr>
        <w:tc>
          <w:tcPr>
            <w:tcW w:w="9017" w:type="dxa"/>
            <w:gridSpan w:val="5"/>
            <w:tcBorders>
              <w:top w:val="single" w:sz="4" w:space="0" w:color="auto"/>
              <w:left w:val="single" w:sz="4" w:space="0" w:color="auto"/>
              <w:bottom w:val="single" w:sz="4" w:space="0" w:color="auto"/>
              <w:right w:val="single" w:sz="4" w:space="0" w:color="auto"/>
            </w:tcBorders>
          </w:tcPr>
          <w:p w14:paraId="3AA58D44" w14:textId="77777777" w:rsidR="009764DB" w:rsidRPr="006331A2" w:rsidRDefault="009764DB" w:rsidP="009764DB">
            <w:pPr>
              <w:rPr>
                <w:rFonts w:ascii="Arial Narrow" w:hAnsi="Arial Narrow"/>
                <w:sz w:val="20"/>
                <w:szCs w:val="20"/>
              </w:rPr>
            </w:pPr>
          </w:p>
        </w:tc>
      </w:tr>
      <w:tr w:rsidR="009764DB" w:rsidRPr="006331A2" w14:paraId="0A657EA9" w14:textId="77777777" w:rsidTr="006F5D9B">
        <w:trPr>
          <w:cantSplit/>
          <w:trHeight w:val="20"/>
        </w:trPr>
        <w:tc>
          <w:tcPr>
            <w:tcW w:w="9017" w:type="dxa"/>
            <w:gridSpan w:val="5"/>
            <w:tcBorders>
              <w:top w:val="single" w:sz="4" w:space="0" w:color="auto"/>
              <w:left w:val="single" w:sz="4" w:space="0" w:color="auto"/>
              <w:bottom w:val="single" w:sz="4" w:space="0" w:color="auto"/>
              <w:right w:val="single" w:sz="4" w:space="0" w:color="auto"/>
            </w:tcBorders>
            <w:hideMark/>
          </w:tcPr>
          <w:p w14:paraId="54FD0995" w14:textId="77777777" w:rsidR="009764DB" w:rsidRPr="006331A2" w:rsidRDefault="009764DB" w:rsidP="009764DB">
            <w:pPr>
              <w:rPr>
                <w:rFonts w:ascii="Arial Narrow" w:hAnsi="Arial Narrow"/>
                <w:sz w:val="20"/>
                <w:szCs w:val="20"/>
              </w:rPr>
            </w:pPr>
            <w:r w:rsidRPr="006331A2">
              <w:rPr>
                <w:rFonts w:ascii="Arial Narrow" w:hAnsi="Arial Narrow"/>
                <w:b/>
                <w:sz w:val="20"/>
                <w:szCs w:val="20"/>
              </w:rPr>
              <w:t>Restriction Summary [new] / Treatment of Concept: [new]</w:t>
            </w:r>
          </w:p>
        </w:tc>
      </w:tr>
      <w:tr w:rsidR="009764DB" w:rsidRPr="006331A2" w14:paraId="30E31A27" w14:textId="77777777" w:rsidTr="006F5D9B">
        <w:trPr>
          <w:trHeight w:val="20"/>
        </w:trPr>
        <w:tc>
          <w:tcPr>
            <w:tcW w:w="106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B8D197" w14:textId="77777777" w:rsidR="009764DB" w:rsidRPr="00842E06" w:rsidRDefault="009764DB" w:rsidP="009764DB">
            <w:pPr>
              <w:jc w:val="center"/>
              <w:rPr>
                <w:rFonts w:ascii="Arial Narrow" w:hAnsi="Arial Narrow"/>
                <w:i/>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4D7089" w14:textId="77777777" w:rsidR="009764DB" w:rsidRPr="006331A2" w:rsidRDefault="009764DB" w:rsidP="009764DB">
            <w:pPr>
              <w:rPr>
                <w:rFonts w:ascii="Arial Narrow" w:hAnsi="Arial Narrow"/>
                <w:sz w:val="20"/>
                <w:szCs w:val="20"/>
              </w:rPr>
            </w:pPr>
            <w:r w:rsidRPr="006331A2">
              <w:rPr>
                <w:rFonts w:ascii="Arial Narrow" w:hAnsi="Arial Narrow"/>
                <w:b/>
                <w:sz w:val="20"/>
                <w:szCs w:val="20"/>
              </w:rPr>
              <w:t xml:space="preserve">Category / Program: </w:t>
            </w:r>
            <w:r w:rsidRPr="006331A2">
              <w:rPr>
                <w:rFonts w:ascii="Arial Narrow" w:hAnsi="Arial Narrow"/>
                <w:sz w:val="20"/>
                <w:szCs w:val="20"/>
              </w:rPr>
              <w:t xml:space="preserve">Section 100 – Efficient Funding of Chemotherapy Public/Private hospitals </w:t>
            </w:r>
          </w:p>
        </w:tc>
      </w:tr>
      <w:tr w:rsidR="009764DB" w:rsidRPr="006331A2" w14:paraId="7BEE2AC2" w14:textId="77777777" w:rsidTr="00D1186C">
        <w:trPr>
          <w:trHeight w:val="20"/>
        </w:trPr>
        <w:tc>
          <w:tcPr>
            <w:tcW w:w="1063" w:type="dxa"/>
            <w:vMerge/>
            <w:tcBorders>
              <w:top w:val="single" w:sz="4" w:space="0" w:color="auto"/>
              <w:left w:val="single" w:sz="4" w:space="0" w:color="auto"/>
              <w:bottom w:val="single" w:sz="4" w:space="0" w:color="auto"/>
              <w:right w:val="single" w:sz="4" w:space="0" w:color="auto"/>
            </w:tcBorders>
            <w:vAlign w:val="center"/>
          </w:tcPr>
          <w:p w14:paraId="136F109B" w14:textId="77777777" w:rsidR="009764DB" w:rsidRPr="006331A2" w:rsidRDefault="009764DB" w:rsidP="009764DB">
            <w:pPr>
              <w:jc w:val="left"/>
              <w:rPr>
                <w:rFonts w:ascii="Arial Narrow" w:hAnsi="Arial Narrow"/>
                <w:b/>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DCB3E5" w14:textId="77777777" w:rsidR="009764DB" w:rsidRPr="006331A2" w:rsidRDefault="009764DB" w:rsidP="009764DB">
            <w:pPr>
              <w:rPr>
                <w:rFonts w:ascii="Arial Narrow" w:hAnsi="Arial Narrow"/>
                <w:b/>
                <w:sz w:val="20"/>
                <w:szCs w:val="20"/>
              </w:rPr>
            </w:pPr>
            <w:r w:rsidRPr="006331A2">
              <w:rPr>
                <w:rFonts w:ascii="Arial Narrow" w:hAnsi="Arial Narrow"/>
                <w:b/>
                <w:sz w:val="20"/>
                <w:szCs w:val="20"/>
              </w:rPr>
              <w:t xml:space="preserve">Prescriber type: </w:t>
            </w:r>
            <w:r w:rsidRPr="006331A2">
              <w:rPr>
                <w:rFonts w:ascii="Arial Narrow" w:hAnsi="Arial Narrow"/>
                <w:sz w:val="20"/>
                <w:szCs w:val="20"/>
              </w:rPr>
              <w:fldChar w:fldCharType="begin">
                <w:ffData>
                  <w:name w:val=""/>
                  <w:enabled/>
                  <w:calcOnExit w:val="0"/>
                  <w:checkBox>
                    <w:sizeAuto/>
                    <w:default w:val="1"/>
                  </w:checkBox>
                </w:ffData>
              </w:fldChar>
            </w:r>
            <w:r w:rsidRPr="006331A2">
              <w:rPr>
                <w:rFonts w:ascii="Arial Narrow" w:hAnsi="Arial Narrow"/>
                <w:sz w:val="20"/>
                <w:szCs w:val="20"/>
              </w:rPr>
              <w:instrText xml:space="preserve"> FORMCHECKBOX </w:instrText>
            </w:r>
            <w:r w:rsidR="000B5D34">
              <w:rPr>
                <w:rFonts w:ascii="Arial Narrow" w:hAnsi="Arial Narrow"/>
                <w:sz w:val="20"/>
                <w:szCs w:val="20"/>
              </w:rPr>
            </w:r>
            <w:r w:rsidR="000B5D34">
              <w:rPr>
                <w:rFonts w:ascii="Arial Narrow" w:hAnsi="Arial Narrow"/>
                <w:sz w:val="20"/>
                <w:szCs w:val="20"/>
              </w:rPr>
              <w:fldChar w:fldCharType="separate"/>
            </w:r>
            <w:r w:rsidRPr="006331A2">
              <w:rPr>
                <w:rFonts w:ascii="Arial Narrow" w:hAnsi="Arial Narrow"/>
                <w:sz w:val="20"/>
                <w:szCs w:val="20"/>
              </w:rPr>
              <w:fldChar w:fldCharType="end"/>
            </w:r>
            <w:r w:rsidRPr="006331A2">
              <w:rPr>
                <w:rFonts w:ascii="Arial Narrow" w:hAnsi="Arial Narrow"/>
                <w:sz w:val="20"/>
                <w:szCs w:val="20"/>
              </w:rPr>
              <w:t>Medical Practitioners</w:t>
            </w:r>
          </w:p>
        </w:tc>
      </w:tr>
      <w:tr w:rsidR="009764DB" w:rsidRPr="006331A2" w14:paraId="359AF209" w14:textId="77777777" w:rsidTr="00D1186C">
        <w:trPr>
          <w:trHeight w:val="20"/>
        </w:trPr>
        <w:tc>
          <w:tcPr>
            <w:tcW w:w="1063" w:type="dxa"/>
            <w:vMerge/>
            <w:tcBorders>
              <w:top w:val="single" w:sz="4" w:space="0" w:color="auto"/>
              <w:left w:val="single" w:sz="4" w:space="0" w:color="auto"/>
              <w:bottom w:val="single" w:sz="4" w:space="0" w:color="auto"/>
              <w:right w:val="single" w:sz="4" w:space="0" w:color="auto"/>
            </w:tcBorders>
            <w:vAlign w:val="center"/>
          </w:tcPr>
          <w:p w14:paraId="7AEB5B1F" w14:textId="77777777" w:rsidR="009764DB" w:rsidRPr="006331A2" w:rsidRDefault="009764DB" w:rsidP="009764DB">
            <w:pPr>
              <w:jc w:val="left"/>
              <w:rPr>
                <w:rFonts w:ascii="Arial Narrow" w:hAnsi="Arial Narrow"/>
                <w:b/>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139DD6" w14:textId="77777777" w:rsidR="009764DB" w:rsidRPr="006331A2" w:rsidRDefault="009764DB" w:rsidP="009764DB">
            <w:pPr>
              <w:rPr>
                <w:rFonts w:ascii="Arial Narrow" w:eastAsia="Calibri" w:hAnsi="Arial Narrow"/>
                <w:sz w:val="20"/>
                <w:szCs w:val="20"/>
              </w:rPr>
            </w:pPr>
            <w:r w:rsidRPr="006331A2">
              <w:rPr>
                <w:rFonts w:ascii="Arial Narrow" w:hAnsi="Arial Narrow"/>
                <w:b/>
                <w:sz w:val="20"/>
                <w:szCs w:val="20"/>
              </w:rPr>
              <w:t xml:space="preserve">Restriction Type: </w:t>
            </w:r>
            <w:r w:rsidRPr="006331A2">
              <w:rPr>
                <w:rFonts w:ascii="Arial Narrow" w:eastAsia="Calibri" w:hAnsi="Arial Narrow"/>
                <w:sz w:val="20"/>
                <w:szCs w:val="20"/>
              </w:rPr>
              <w:fldChar w:fldCharType="begin">
                <w:ffData>
                  <w:name w:val=""/>
                  <w:enabled/>
                  <w:calcOnExit w:val="0"/>
                  <w:checkBox>
                    <w:sizeAuto/>
                    <w:default w:val="1"/>
                  </w:checkBox>
                </w:ffData>
              </w:fldChar>
            </w:r>
            <w:r w:rsidRPr="006331A2">
              <w:rPr>
                <w:rFonts w:ascii="Arial Narrow" w:eastAsia="Calibri" w:hAnsi="Arial Narrow"/>
                <w:sz w:val="20"/>
                <w:szCs w:val="20"/>
              </w:rPr>
              <w:instrText xml:space="preserve"> FORMCHECKBOX </w:instrText>
            </w:r>
            <w:r w:rsidR="000B5D34">
              <w:rPr>
                <w:rFonts w:ascii="Arial Narrow" w:eastAsia="Calibri" w:hAnsi="Arial Narrow"/>
                <w:sz w:val="20"/>
                <w:szCs w:val="20"/>
              </w:rPr>
            </w:r>
            <w:r w:rsidR="000B5D34">
              <w:rPr>
                <w:rFonts w:ascii="Arial Narrow" w:eastAsia="Calibri" w:hAnsi="Arial Narrow"/>
                <w:sz w:val="20"/>
                <w:szCs w:val="20"/>
              </w:rPr>
              <w:fldChar w:fldCharType="separate"/>
            </w:r>
            <w:r w:rsidRPr="006331A2">
              <w:rPr>
                <w:rFonts w:ascii="Arial Narrow" w:eastAsia="Calibri" w:hAnsi="Arial Narrow"/>
                <w:sz w:val="20"/>
                <w:szCs w:val="20"/>
              </w:rPr>
              <w:fldChar w:fldCharType="end"/>
            </w:r>
            <w:r w:rsidRPr="006331A2">
              <w:rPr>
                <w:rFonts w:ascii="Arial Narrow" w:eastAsia="Calibri" w:hAnsi="Arial Narrow"/>
                <w:iCs/>
                <w:sz w:val="20"/>
                <w:szCs w:val="20"/>
              </w:rPr>
              <w:t>Authority Required – Telephone/electronic via Online PBS Authorities</w:t>
            </w:r>
          </w:p>
        </w:tc>
      </w:tr>
      <w:tr w:rsidR="009764DB" w:rsidRPr="006331A2" w14:paraId="13F4C39F"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440E33"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E18695" w14:textId="77777777" w:rsidR="009764DB" w:rsidRPr="006331A2" w:rsidRDefault="009764DB" w:rsidP="009764DB">
            <w:pPr>
              <w:rPr>
                <w:rFonts w:ascii="Arial Narrow" w:hAnsi="Arial Narrow"/>
                <w:b/>
                <w:bCs/>
                <w:sz w:val="20"/>
                <w:szCs w:val="20"/>
              </w:rPr>
            </w:pPr>
            <w:r w:rsidRPr="006331A2">
              <w:rPr>
                <w:rFonts w:ascii="Arial Narrow" w:hAnsi="Arial Narrow"/>
                <w:b/>
                <w:bCs/>
                <w:sz w:val="20"/>
                <w:szCs w:val="20"/>
              </w:rPr>
              <w:t xml:space="preserve">Condition: </w:t>
            </w:r>
            <w:r w:rsidRPr="006331A2">
              <w:rPr>
                <w:rFonts w:ascii="Arial Narrow" w:hAnsi="Arial Narrow"/>
                <w:bCs/>
                <w:sz w:val="20"/>
                <w:szCs w:val="20"/>
              </w:rPr>
              <w:t>Acute Myeloid Leukaemia</w:t>
            </w:r>
          </w:p>
        </w:tc>
      </w:tr>
      <w:tr w:rsidR="009764DB" w:rsidRPr="006331A2" w14:paraId="4355758C"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0154CC"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1EEC21" w14:textId="77777777" w:rsidR="009764DB" w:rsidRPr="006331A2" w:rsidRDefault="009764DB" w:rsidP="009764DB">
            <w:pPr>
              <w:rPr>
                <w:rFonts w:ascii="Arial Narrow" w:hAnsi="Arial Narrow"/>
                <w:sz w:val="20"/>
                <w:szCs w:val="20"/>
              </w:rPr>
            </w:pPr>
            <w:r w:rsidRPr="006331A2">
              <w:rPr>
                <w:rFonts w:ascii="Arial Narrow" w:hAnsi="Arial Narrow"/>
                <w:b/>
                <w:bCs/>
                <w:sz w:val="20"/>
                <w:szCs w:val="20"/>
              </w:rPr>
              <w:t>Indication:</w:t>
            </w:r>
            <w:r w:rsidRPr="006331A2">
              <w:rPr>
                <w:rFonts w:ascii="Arial Narrow" w:hAnsi="Arial Narrow"/>
                <w:sz w:val="20"/>
                <w:szCs w:val="20"/>
              </w:rPr>
              <w:t xml:space="preserve"> </w:t>
            </w:r>
            <w:r w:rsidRPr="006331A2">
              <w:rPr>
                <w:rFonts w:ascii="Arial Narrow" w:hAnsi="Arial Narrow"/>
                <w:bCs/>
                <w:iCs/>
                <w:sz w:val="20"/>
                <w:szCs w:val="20"/>
              </w:rPr>
              <w:t>Acute Myeloid Leukaemia</w:t>
            </w:r>
          </w:p>
        </w:tc>
      </w:tr>
      <w:tr w:rsidR="009764DB" w:rsidRPr="006331A2" w14:paraId="37F61144"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8B413E"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52C902" w14:textId="77777777" w:rsidR="009764DB" w:rsidRPr="006331A2" w:rsidRDefault="009764DB" w:rsidP="009764DB">
            <w:pPr>
              <w:rPr>
                <w:rFonts w:ascii="Arial Narrow" w:hAnsi="Arial Narrow"/>
                <w:sz w:val="20"/>
                <w:szCs w:val="20"/>
              </w:rPr>
            </w:pPr>
            <w:r w:rsidRPr="006331A2">
              <w:rPr>
                <w:rFonts w:ascii="Arial Narrow" w:hAnsi="Arial Narrow"/>
                <w:b/>
                <w:bCs/>
                <w:sz w:val="20"/>
                <w:szCs w:val="20"/>
              </w:rPr>
              <w:t>Treatment Phase:</w:t>
            </w:r>
            <w:r w:rsidRPr="006331A2">
              <w:rPr>
                <w:rFonts w:ascii="Arial Narrow" w:hAnsi="Arial Narrow"/>
                <w:sz w:val="20"/>
                <w:szCs w:val="20"/>
              </w:rPr>
              <w:t xml:space="preserve"> Induction treatment</w:t>
            </w:r>
          </w:p>
        </w:tc>
      </w:tr>
      <w:tr w:rsidR="009764DB" w:rsidRPr="006331A2" w14:paraId="6EE66669"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0138BD"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EA9F1A" w14:textId="77777777" w:rsidR="009764DB" w:rsidRPr="006331A2" w:rsidRDefault="009764DB" w:rsidP="009764DB">
            <w:pPr>
              <w:rPr>
                <w:rFonts w:ascii="Arial Narrow" w:hAnsi="Arial Narrow"/>
                <w:b/>
                <w:bCs/>
                <w:sz w:val="20"/>
                <w:szCs w:val="20"/>
              </w:rPr>
            </w:pPr>
            <w:r w:rsidRPr="006331A2">
              <w:rPr>
                <w:rFonts w:ascii="Arial Narrow" w:hAnsi="Arial Narrow"/>
                <w:b/>
                <w:bCs/>
                <w:sz w:val="20"/>
                <w:szCs w:val="20"/>
              </w:rPr>
              <w:t xml:space="preserve">Clinical criteria: </w:t>
            </w:r>
          </w:p>
        </w:tc>
      </w:tr>
      <w:tr w:rsidR="009764DB" w:rsidRPr="006331A2" w14:paraId="19C30357"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F3AC4E"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25DE03" w14:textId="77777777" w:rsidR="009764DB" w:rsidRPr="006331A2" w:rsidRDefault="009764DB" w:rsidP="009764DB">
            <w:pPr>
              <w:rPr>
                <w:rFonts w:ascii="Arial Narrow" w:hAnsi="Arial Narrow"/>
                <w:b/>
                <w:bCs/>
                <w:sz w:val="20"/>
                <w:szCs w:val="20"/>
              </w:rPr>
            </w:pPr>
            <w:r w:rsidRPr="006331A2">
              <w:rPr>
                <w:rFonts w:ascii="Arial Narrow" w:hAnsi="Arial Narrow"/>
                <w:b/>
                <w:bCs/>
                <w:sz w:val="20"/>
                <w:szCs w:val="20"/>
              </w:rPr>
              <w:t>AND</w:t>
            </w:r>
          </w:p>
        </w:tc>
      </w:tr>
      <w:tr w:rsidR="009764DB" w:rsidRPr="006331A2" w14:paraId="35C55A70"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63E9F5"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13558A" w14:textId="77777777" w:rsidR="009764DB" w:rsidRPr="006331A2" w:rsidRDefault="009764DB" w:rsidP="009764DB">
            <w:pPr>
              <w:rPr>
                <w:rFonts w:ascii="Arial Narrow" w:hAnsi="Arial Narrow"/>
                <w:sz w:val="20"/>
                <w:szCs w:val="20"/>
              </w:rPr>
            </w:pPr>
            <w:r w:rsidRPr="006331A2">
              <w:rPr>
                <w:rFonts w:ascii="Arial Narrow" w:hAnsi="Arial Narrow"/>
                <w:sz w:val="20"/>
                <w:szCs w:val="20"/>
              </w:rPr>
              <w:t>Patient must have confirmed CD33-positive AML prior to initiation of treatment,</w:t>
            </w:r>
          </w:p>
        </w:tc>
      </w:tr>
      <w:tr w:rsidR="009764DB" w:rsidRPr="006331A2" w14:paraId="4E710933"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2B4337"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BE8E96" w14:textId="77777777" w:rsidR="009764DB" w:rsidRPr="006331A2" w:rsidRDefault="009764DB" w:rsidP="009764DB">
            <w:pPr>
              <w:rPr>
                <w:rFonts w:ascii="Arial Narrow" w:hAnsi="Arial Narrow"/>
                <w:b/>
                <w:bCs/>
                <w:i/>
                <w:iCs/>
                <w:sz w:val="20"/>
                <w:szCs w:val="20"/>
              </w:rPr>
            </w:pPr>
            <w:r w:rsidRPr="006331A2">
              <w:rPr>
                <w:rFonts w:ascii="Arial Narrow" w:hAnsi="Arial Narrow"/>
                <w:b/>
                <w:bCs/>
                <w:i/>
                <w:iCs/>
                <w:sz w:val="20"/>
                <w:szCs w:val="20"/>
              </w:rPr>
              <w:t xml:space="preserve">Clinical criteria: </w:t>
            </w:r>
          </w:p>
        </w:tc>
      </w:tr>
      <w:tr w:rsidR="009764DB" w:rsidRPr="006331A2" w14:paraId="04544ACE"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7ADB44"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3AB591" w14:textId="77777777" w:rsidR="009764DB" w:rsidRPr="006331A2" w:rsidRDefault="009764DB" w:rsidP="009764DB">
            <w:pPr>
              <w:rPr>
                <w:rFonts w:ascii="Arial Narrow" w:hAnsi="Arial Narrow"/>
                <w:b/>
                <w:bCs/>
                <w:sz w:val="20"/>
                <w:szCs w:val="20"/>
              </w:rPr>
            </w:pPr>
            <w:r w:rsidRPr="006331A2">
              <w:rPr>
                <w:rFonts w:ascii="Arial Narrow" w:hAnsi="Arial Narrow"/>
                <w:b/>
                <w:bCs/>
                <w:sz w:val="20"/>
                <w:szCs w:val="20"/>
              </w:rPr>
              <w:t>AND</w:t>
            </w:r>
          </w:p>
        </w:tc>
      </w:tr>
      <w:tr w:rsidR="009764DB" w:rsidRPr="006331A2" w14:paraId="22CD3A2F"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C66D1F"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54FF26" w14:textId="77777777" w:rsidR="009764DB" w:rsidRPr="006331A2" w:rsidRDefault="009764DB" w:rsidP="009764DB">
            <w:pPr>
              <w:rPr>
                <w:rFonts w:ascii="Arial Narrow" w:hAnsi="Arial Narrow"/>
                <w:sz w:val="20"/>
                <w:szCs w:val="20"/>
              </w:rPr>
            </w:pPr>
            <w:r w:rsidRPr="006331A2">
              <w:rPr>
                <w:rFonts w:ascii="Arial Narrow" w:hAnsi="Arial Narrow"/>
                <w:sz w:val="20"/>
                <w:szCs w:val="20"/>
              </w:rPr>
              <w:t>The condition must be de novo,</w:t>
            </w:r>
          </w:p>
        </w:tc>
      </w:tr>
      <w:tr w:rsidR="009764DB" w:rsidRPr="006331A2" w14:paraId="7A874C0C"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3DEDB3"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D4B097" w14:textId="77777777" w:rsidR="009764DB" w:rsidRPr="006331A2" w:rsidRDefault="009764DB" w:rsidP="009764DB">
            <w:pPr>
              <w:rPr>
                <w:rFonts w:ascii="Arial Narrow" w:hAnsi="Arial Narrow"/>
                <w:b/>
                <w:bCs/>
                <w:sz w:val="20"/>
                <w:szCs w:val="20"/>
              </w:rPr>
            </w:pPr>
            <w:r w:rsidRPr="006331A2">
              <w:rPr>
                <w:rFonts w:ascii="Arial Narrow" w:hAnsi="Arial Narrow"/>
                <w:b/>
                <w:bCs/>
                <w:sz w:val="20"/>
                <w:szCs w:val="20"/>
              </w:rPr>
              <w:t xml:space="preserve">Clinical criteria: </w:t>
            </w:r>
          </w:p>
        </w:tc>
      </w:tr>
      <w:tr w:rsidR="009764DB" w:rsidRPr="006331A2" w14:paraId="0BB4CA1A"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7D553C"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3B9AF6" w14:textId="77777777" w:rsidR="009764DB" w:rsidRPr="006331A2" w:rsidRDefault="009764DB" w:rsidP="009764DB">
            <w:pPr>
              <w:rPr>
                <w:rFonts w:ascii="Arial Narrow" w:hAnsi="Arial Narrow"/>
                <w:sz w:val="20"/>
                <w:szCs w:val="20"/>
              </w:rPr>
            </w:pPr>
            <w:r w:rsidRPr="006331A2">
              <w:rPr>
                <w:rFonts w:ascii="Arial Narrow" w:hAnsi="Arial Narrow"/>
                <w:b/>
                <w:bCs/>
                <w:sz w:val="20"/>
                <w:szCs w:val="20"/>
              </w:rPr>
              <w:t>AND</w:t>
            </w:r>
          </w:p>
        </w:tc>
      </w:tr>
      <w:tr w:rsidR="009764DB" w:rsidRPr="006331A2" w14:paraId="4F727AA6"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BA0F27"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E41E7D" w14:textId="77777777" w:rsidR="009764DB" w:rsidRPr="006331A2" w:rsidRDefault="009764DB" w:rsidP="009764DB">
            <w:pPr>
              <w:rPr>
                <w:rFonts w:ascii="Arial Narrow" w:hAnsi="Arial Narrow"/>
                <w:sz w:val="20"/>
                <w:szCs w:val="20"/>
              </w:rPr>
            </w:pPr>
            <w:r w:rsidRPr="006331A2">
              <w:rPr>
                <w:rFonts w:ascii="Arial Narrow" w:hAnsi="Arial Narrow"/>
                <w:sz w:val="20"/>
                <w:szCs w:val="20"/>
              </w:rPr>
              <w:t>The condition must be previously untreated</w:t>
            </w:r>
            <w:r>
              <w:rPr>
                <w:rFonts w:ascii="Arial Narrow" w:hAnsi="Arial Narrow"/>
                <w:sz w:val="20"/>
                <w:szCs w:val="20"/>
              </w:rPr>
              <w:t xml:space="preserve"> (except for prior </w:t>
            </w:r>
            <w:r w:rsidRPr="006331A2">
              <w:rPr>
                <w:rFonts w:ascii="Arial Narrow" w:hAnsi="Arial Narrow"/>
                <w:sz w:val="20"/>
                <w:szCs w:val="20"/>
              </w:rPr>
              <w:t>essential treatment with hydroxyurea or leukapheresis</w:t>
            </w:r>
            <w:r>
              <w:t xml:space="preserve"> </w:t>
            </w:r>
            <w:r w:rsidRPr="003C3ACD">
              <w:rPr>
                <w:rFonts w:ascii="Arial Narrow" w:hAnsi="Arial Narrow"/>
                <w:sz w:val="20"/>
                <w:szCs w:val="20"/>
              </w:rPr>
              <w:t>for patients with hyperleukocytic AML</w:t>
            </w:r>
            <w:r>
              <w:rPr>
                <w:rFonts w:ascii="Arial Narrow" w:hAnsi="Arial Narrow"/>
                <w:sz w:val="20"/>
                <w:szCs w:val="20"/>
              </w:rPr>
              <w:t>)</w:t>
            </w:r>
            <w:r w:rsidRPr="006331A2">
              <w:rPr>
                <w:rFonts w:ascii="Arial Narrow" w:hAnsi="Arial Narrow"/>
                <w:sz w:val="20"/>
                <w:szCs w:val="20"/>
              </w:rPr>
              <w:t>.</w:t>
            </w:r>
          </w:p>
        </w:tc>
      </w:tr>
      <w:tr w:rsidR="009764DB" w:rsidRPr="006331A2" w14:paraId="4F11224D"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D818F4"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4242FF" w14:textId="77777777" w:rsidR="009764DB" w:rsidRPr="006331A2" w:rsidRDefault="009764DB" w:rsidP="009764DB">
            <w:pPr>
              <w:rPr>
                <w:rFonts w:ascii="Arial Narrow" w:hAnsi="Arial Narrow"/>
                <w:b/>
                <w:bCs/>
                <w:sz w:val="20"/>
                <w:szCs w:val="20"/>
              </w:rPr>
            </w:pPr>
            <w:r w:rsidRPr="006331A2">
              <w:rPr>
                <w:rFonts w:ascii="Arial Narrow" w:hAnsi="Arial Narrow"/>
                <w:b/>
                <w:bCs/>
                <w:sz w:val="20"/>
                <w:szCs w:val="20"/>
              </w:rPr>
              <w:t xml:space="preserve">Clinical criteria: </w:t>
            </w:r>
          </w:p>
        </w:tc>
      </w:tr>
      <w:tr w:rsidR="009764DB" w:rsidRPr="006331A2" w14:paraId="1351CA5B"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5DD2F1"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7241C4" w14:textId="77777777" w:rsidR="009764DB" w:rsidRPr="006331A2" w:rsidRDefault="009764DB" w:rsidP="009764DB">
            <w:pPr>
              <w:rPr>
                <w:rFonts w:ascii="Arial Narrow" w:hAnsi="Arial Narrow"/>
                <w:i/>
                <w:sz w:val="20"/>
                <w:szCs w:val="20"/>
              </w:rPr>
            </w:pPr>
            <w:r w:rsidRPr="006331A2">
              <w:rPr>
                <w:rFonts w:ascii="Arial Narrow" w:hAnsi="Arial Narrow"/>
                <w:b/>
                <w:bCs/>
                <w:iCs/>
                <w:sz w:val="20"/>
                <w:szCs w:val="20"/>
              </w:rPr>
              <w:t>AND</w:t>
            </w:r>
          </w:p>
        </w:tc>
      </w:tr>
      <w:tr w:rsidR="009764DB" w:rsidRPr="006331A2" w14:paraId="01786BCA"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CCC9D8"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683392" w14:textId="77777777" w:rsidR="009764DB" w:rsidRPr="003C3ACD" w:rsidRDefault="009764DB" w:rsidP="009764DB">
            <w:pPr>
              <w:rPr>
                <w:rFonts w:ascii="Arial Narrow" w:hAnsi="Arial Narrow"/>
                <w:sz w:val="20"/>
                <w:szCs w:val="20"/>
              </w:rPr>
            </w:pPr>
            <w:r w:rsidRPr="003C3ACD">
              <w:rPr>
                <w:rFonts w:ascii="Arial Narrow" w:hAnsi="Arial Narrow"/>
                <w:sz w:val="20"/>
                <w:szCs w:val="20"/>
              </w:rPr>
              <w:t xml:space="preserve">Patient must have confirmed intermediate/favourable cytogenetic risk, </w:t>
            </w:r>
          </w:p>
          <w:p w14:paraId="128F2230" w14:textId="77777777" w:rsidR="009764DB" w:rsidRPr="003C3ACD" w:rsidRDefault="009764DB" w:rsidP="009764DB">
            <w:pPr>
              <w:rPr>
                <w:rFonts w:ascii="Arial Narrow" w:hAnsi="Arial Narrow"/>
                <w:sz w:val="20"/>
                <w:szCs w:val="20"/>
              </w:rPr>
            </w:pPr>
            <w:r w:rsidRPr="003C3ACD">
              <w:rPr>
                <w:rFonts w:ascii="Arial Narrow" w:hAnsi="Arial Narrow"/>
                <w:sz w:val="20"/>
                <w:szCs w:val="20"/>
              </w:rPr>
              <w:t>OR</w:t>
            </w:r>
          </w:p>
          <w:p w14:paraId="181F3D1E" w14:textId="77777777" w:rsidR="009764DB" w:rsidRPr="006331A2" w:rsidRDefault="009764DB" w:rsidP="009764DB">
            <w:pPr>
              <w:rPr>
                <w:rFonts w:ascii="Arial Narrow" w:hAnsi="Arial Narrow"/>
                <w:i/>
                <w:iCs/>
                <w:sz w:val="20"/>
                <w:szCs w:val="20"/>
              </w:rPr>
            </w:pPr>
            <w:r w:rsidRPr="003C3ACD">
              <w:rPr>
                <w:rFonts w:ascii="Arial Narrow" w:hAnsi="Arial Narrow"/>
                <w:sz w:val="20"/>
                <w:szCs w:val="20"/>
              </w:rPr>
              <w:t>Patient must have unknown cytogenetic risk due to inconclusive test results.</w:t>
            </w:r>
            <w:r w:rsidRPr="006331A2">
              <w:rPr>
                <w:rFonts w:ascii="Arial Narrow" w:hAnsi="Arial Narrow"/>
                <w:i/>
                <w:iCs/>
                <w:sz w:val="20"/>
                <w:szCs w:val="20"/>
              </w:rPr>
              <w:t xml:space="preserve"> </w:t>
            </w:r>
          </w:p>
        </w:tc>
      </w:tr>
      <w:tr w:rsidR="009764DB" w:rsidRPr="006331A2" w14:paraId="0752AC62"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CBC73A"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A6C14E" w14:textId="77777777" w:rsidR="009764DB" w:rsidRPr="006331A2" w:rsidRDefault="009764DB" w:rsidP="009764DB">
            <w:pPr>
              <w:rPr>
                <w:rFonts w:ascii="Arial Narrow" w:hAnsi="Arial Narrow"/>
                <w:b/>
                <w:bCs/>
                <w:sz w:val="20"/>
                <w:szCs w:val="20"/>
              </w:rPr>
            </w:pPr>
            <w:r w:rsidRPr="006331A2">
              <w:rPr>
                <w:rFonts w:ascii="Arial Narrow" w:hAnsi="Arial Narrow"/>
                <w:b/>
                <w:bCs/>
                <w:sz w:val="20"/>
                <w:szCs w:val="20"/>
              </w:rPr>
              <w:t xml:space="preserve">Clinical criteria: </w:t>
            </w:r>
          </w:p>
        </w:tc>
      </w:tr>
      <w:tr w:rsidR="009764DB" w:rsidRPr="006331A2" w14:paraId="52F5A9A6"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ABD411"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F346F3" w14:textId="77777777" w:rsidR="009764DB" w:rsidRPr="006331A2" w:rsidRDefault="009764DB" w:rsidP="009764DB">
            <w:pPr>
              <w:rPr>
                <w:rFonts w:ascii="Arial Narrow" w:hAnsi="Arial Narrow"/>
                <w:sz w:val="20"/>
                <w:szCs w:val="20"/>
              </w:rPr>
            </w:pPr>
            <w:r w:rsidRPr="006331A2">
              <w:rPr>
                <w:rFonts w:ascii="Arial Narrow" w:hAnsi="Arial Narrow"/>
                <w:b/>
                <w:bCs/>
                <w:sz w:val="20"/>
                <w:szCs w:val="20"/>
              </w:rPr>
              <w:t>AND</w:t>
            </w:r>
          </w:p>
        </w:tc>
      </w:tr>
      <w:tr w:rsidR="009764DB" w:rsidRPr="006331A2" w14:paraId="2A2BBF46"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7A292F"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8ACEC9" w14:textId="77777777" w:rsidR="009764DB" w:rsidRPr="003C3ACD" w:rsidRDefault="009764DB" w:rsidP="009764DB">
            <w:pPr>
              <w:rPr>
                <w:rFonts w:ascii="Arial Narrow" w:hAnsi="Arial Narrow"/>
                <w:sz w:val="20"/>
                <w:szCs w:val="20"/>
              </w:rPr>
            </w:pPr>
            <w:r w:rsidRPr="003C3ACD">
              <w:rPr>
                <w:rFonts w:ascii="Arial Narrow" w:hAnsi="Arial Narrow"/>
                <w:sz w:val="20"/>
                <w:szCs w:val="20"/>
              </w:rPr>
              <w:t>Patient must have an Eastern Cooperative Oncology Group (ECOG) performance status score of 2 or less,</w:t>
            </w:r>
          </w:p>
        </w:tc>
      </w:tr>
      <w:tr w:rsidR="009764DB" w:rsidRPr="006331A2" w14:paraId="03F6FBCD"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55BA7E"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E05A59" w14:textId="77777777" w:rsidR="009764DB" w:rsidRPr="006331A2" w:rsidRDefault="009764DB" w:rsidP="009764DB">
            <w:pPr>
              <w:rPr>
                <w:rFonts w:ascii="Arial Narrow" w:hAnsi="Arial Narrow"/>
                <w:b/>
                <w:bCs/>
                <w:sz w:val="20"/>
                <w:szCs w:val="20"/>
              </w:rPr>
            </w:pPr>
            <w:r w:rsidRPr="006331A2">
              <w:rPr>
                <w:rFonts w:ascii="Arial Narrow" w:hAnsi="Arial Narrow"/>
                <w:b/>
                <w:bCs/>
                <w:sz w:val="20"/>
                <w:szCs w:val="20"/>
              </w:rPr>
              <w:t xml:space="preserve">Clinical criteria: </w:t>
            </w:r>
          </w:p>
        </w:tc>
      </w:tr>
      <w:tr w:rsidR="009764DB" w:rsidRPr="006331A2" w14:paraId="2CE92BCF"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26976E"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8C1408" w14:textId="77777777" w:rsidR="009764DB" w:rsidRPr="006331A2" w:rsidRDefault="009764DB" w:rsidP="009764DB">
            <w:pPr>
              <w:rPr>
                <w:rFonts w:ascii="Arial Narrow" w:hAnsi="Arial Narrow"/>
                <w:sz w:val="20"/>
                <w:szCs w:val="20"/>
              </w:rPr>
            </w:pPr>
            <w:r w:rsidRPr="006331A2">
              <w:rPr>
                <w:rFonts w:ascii="Arial Narrow" w:hAnsi="Arial Narrow"/>
                <w:b/>
                <w:bCs/>
                <w:sz w:val="20"/>
                <w:szCs w:val="20"/>
              </w:rPr>
              <w:t>AND</w:t>
            </w:r>
          </w:p>
        </w:tc>
      </w:tr>
      <w:tr w:rsidR="009764DB" w:rsidRPr="006331A2" w14:paraId="2547935E"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4260D2"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8909BD" w14:textId="77777777" w:rsidR="009764DB" w:rsidRPr="006331A2" w:rsidRDefault="009764DB" w:rsidP="009764DB">
            <w:pPr>
              <w:rPr>
                <w:rFonts w:ascii="Arial Narrow" w:hAnsi="Arial Narrow"/>
                <w:sz w:val="20"/>
                <w:szCs w:val="20"/>
              </w:rPr>
            </w:pPr>
            <w:r w:rsidRPr="006331A2">
              <w:rPr>
                <w:rFonts w:ascii="Arial Narrow" w:hAnsi="Arial Narrow"/>
                <w:sz w:val="20"/>
                <w:szCs w:val="20"/>
              </w:rPr>
              <w:t>The condition must not be acute promyelocytic leukaemia,</w:t>
            </w:r>
          </w:p>
        </w:tc>
      </w:tr>
      <w:tr w:rsidR="009764DB" w:rsidRPr="006331A2" w14:paraId="2EC278A5"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ED52CB"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8E00D3" w14:textId="77777777" w:rsidR="009764DB" w:rsidRPr="006331A2" w:rsidRDefault="009764DB" w:rsidP="009764DB">
            <w:pPr>
              <w:rPr>
                <w:rFonts w:ascii="Arial Narrow" w:hAnsi="Arial Narrow"/>
                <w:b/>
                <w:bCs/>
                <w:sz w:val="20"/>
                <w:szCs w:val="20"/>
              </w:rPr>
            </w:pPr>
            <w:r w:rsidRPr="006331A2">
              <w:rPr>
                <w:rFonts w:ascii="Arial Narrow" w:hAnsi="Arial Narrow"/>
                <w:b/>
                <w:bCs/>
                <w:sz w:val="20"/>
                <w:szCs w:val="20"/>
              </w:rPr>
              <w:t xml:space="preserve">Clinical criteria: </w:t>
            </w:r>
          </w:p>
        </w:tc>
      </w:tr>
      <w:tr w:rsidR="009764DB" w:rsidRPr="006331A2" w14:paraId="6C8EA68A"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9B0B2F"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090195" w14:textId="77777777" w:rsidR="009764DB" w:rsidRPr="006331A2" w:rsidRDefault="009764DB" w:rsidP="009764DB">
            <w:pPr>
              <w:rPr>
                <w:rFonts w:ascii="Arial Narrow" w:hAnsi="Arial Narrow"/>
                <w:sz w:val="20"/>
                <w:szCs w:val="20"/>
              </w:rPr>
            </w:pPr>
            <w:r w:rsidRPr="006331A2">
              <w:rPr>
                <w:rFonts w:ascii="Arial Narrow" w:hAnsi="Arial Narrow"/>
                <w:b/>
                <w:bCs/>
                <w:sz w:val="20"/>
                <w:szCs w:val="20"/>
              </w:rPr>
              <w:t>AND</w:t>
            </w:r>
          </w:p>
        </w:tc>
      </w:tr>
      <w:tr w:rsidR="009764DB" w:rsidRPr="006331A2" w14:paraId="39A8BCCE"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97EE2D"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98F981" w14:textId="77777777" w:rsidR="009764DB" w:rsidRPr="006331A2" w:rsidRDefault="009764DB" w:rsidP="009764DB">
            <w:pPr>
              <w:rPr>
                <w:rFonts w:ascii="Arial Narrow" w:hAnsi="Arial Narrow"/>
                <w:sz w:val="20"/>
                <w:szCs w:val="20"/>
              </w:rPr>
            </w:pPr>
            <w:r w:rsidRPr="006331A2">
              <w:rPr>
                <w:rFonts w:ascii="Arial Narrow" w:hAnsi="Arial Narrow"/>
                <w:sz w:val="20"/>
                <w:szCs w:val="20"/>
              </w:rPr>
              <w:t>The treatment must be in combination with standard intensive remission induction chemotherapy for this condition,</w:t>
            </w:r>
            <w:r>
              <w:rPr>
                <w:rFonts w:ascii="Arial Narrow" w:hAnsi="Arial Narrow"/>
                <w:sz w:val="20"/>
                <w:szCs w:val="20"/>
              </w:rPr>
              <w:t xml:space="preserve"> which must include </w:t>
            </w:r>
            <w:r w:rsidRPr="003C3ACD">
              <w:rPr>
                <w:rFonts w:ascii="Arial Narrow" w:hAnsi="Arial Narrow"/>
                <w:sz w:val="20"/>
                <w:szCs w:val="20"/>
              </w:rPr>
              <w:t>cytarabine and an anthracycline.</w:t>
            </w:r>
          </w:p>
        </w:tc>
      </w:tr>
      <w:tr w:rsidR="009764DB" w:rsidRPr="006331A2" w14:paraId="6496020A"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5FF6BE"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898A94" w14:textId="77777777" w:rsidR="009764DB" w:rsidRPr="006331A2" w:rsidRDefault="009764DB" w:rsidP="009764DB">
            <w:pPr>
              <w:rPr>
                <w:rFonts w:ascii="Arial Narrow" w:hAnsi="Arial Narrow"/>
                <w:sz w:val="20"/>
                <w:szCs w:val="20"/>
              </w:rPr>
            </w:pPr>
            <w:r w:rsidRPr="006331A2">
              <w:rPr>
                <w:rFonts w:ascii="Arial Narrow" w:hAnsi="Arial Narrow"/>
                <w:b/>
                <w:bCs/>
                <w:sz w:val="20"/>
                <w:szCs w:val="20"/>
              </w:rPr>
              <w:t xml:space="preserve">Clinical criteria: </w:t>
            </w:r>
          </w:p>
        </w:tc>
      </w:tr>
      <w:tr w:rsidR="009764DB" w:rsidRPr="006331A2" w14:paraId="5EF8B891"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D93543"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DD404D" w14:textId="77777777" w:rsidR="009764DB" w:rsidRPr="006331A2" w:rsidRDefault="009764DB" w:rsidP="009764DB">
            <w:pPr>
              <w:rPr>
                <w:rFonts w:ascii="Arial Narrow" w:hAnsi="Arial Narrow"/>
                <w:sz w:val="20"/>
                <w:szCs w:val="20"/>
              </w:rPr>
            </w:pPr>
            <w:r w:rsidRPr="006331A2">
              <w:rPr>
                <w:rFonts w:ascii="Arial Narrow" w:hAnsi="Arial Narrow"/>
                <w:b/>
                <w:bCs/>
                <w:sz w:val="20"/>
                <w:szCs w:val="20"/>
              </w:rPr>
              <w:t>AND</w:t>
            </w:r>
          </w:p>
        </w:tc>
      </w:tr>
      <w:tr w:rsidR="009764DB" w:rsidRPr="006331A2" w14:paraId="4705B6D4"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CD706A" w14:textId="77777777" w:rsidR="009764DB" w:rsidRPr="006331A2" w:rsidRDefault="009764DB" w:rsidP="009764DB">
            <w:pPr>
              <w:jc w:val="center"/>
              <w:rPr>
                <w:rFonts w:ascii="Arial Narrow" w:hAnsi="Arial Narrow"/>
                <w:i/>
                <w:iCs/>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5E4EE7" w14:textId="77777777" w:rsidR="009764DB" w:rsidRPr="003C3ACD" w:rsidRDefault="009764DB" w:rsidP="009764DB">
            <w:pPr>
              <w:rPr>
                <w:rFonts w:ascii="Arial Narrow" w:hAnsi="Arial Narrow"/>
                <w:sz w:val="20"/>
                <w:szCs w:val="20"/>
              </w:rPr>
            </w:pPr>
            <w:r w:rsidRPr="003C3ACD">
              <w:rPr>
                <w:rFonts w:ascii="Arial Narrow" w:hAnsi="Arial Narrow"/>
                <w:sz w:val="20"/>
                <w:szCs w:val="20"/>
              </w:rPr>
              <w:t>The treatment must not be used in combination with a tyrosine kinase inhibitor.</w:t>
            </w:r>
          </w:p>
        </w:tc>
      </w:tr>
      <w:tr w:rsidR="009764DB" w:rsidRPr="006331A2" w14:paraId="7FB7F257"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43C4B9"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DEC1A6" w14:textId="77777777" w:rsidR="009764DB" w:rsidRPr="006331A2" w:rsidRDefault="009764DB" w:rsidP="009764DB">
            <w:pPr>
              <w:rPr>
                <w:rFonts w:ascii="Arial Narrow" w:hAnsi="Arial Narrow"/>
                <w:sz w:val="20"/>
                <w:szCs w:val="20"/>
              </w:rPr>
            </w:pPr>
            <w:r w:rsidRPr="006331A2">
              <w:rPr>
                <w:rFonts w:ascii="Arial Narrow" w:hAnsi="Arial Narrow"/>
                <w:b/>
                <w:bCs/>
                <w:sz w:val="20"/>
                <w:szCs w:val="20"/>
              </w:rPr>
              <w:t xml:space="preserve">Clinical criteria: </w:t>
            </w:r>
          </w:p>
        </w:tc>
      </w:tr>
      <w:tr w:rsidR="009764DB" w:rsidRPr="006331A2" w14:paraId="3190F0CD"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D8E92B" w14:textId="77777777" w:rsidR="009764DB" w:rsidRPr="006331A2"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75F04F" w14:textId="77777777" w:rsidR="009764DB" w:rsidRPr="006331A2" w:rsidRDefault="009764DB" w:rsidP="009764DB">
            <w:pPr>
              <w:rPr>
                <w:rFonts w:ascii="Arial Narrow" w:hAnsi="Arial Narrow"/>
                <w:sz w:val="20"/>
                <w:szCs w:val="20"/>
              </w:rPr>
            </w:pPr>
            <w:r w:rsidRPr="006331A2">
              <w:rPr>
                <w:rFonts w:ascii="Arial Narrow" w:hAnsi="Arial Narrow"/>
                <w:b/>
                <w:bCs/>
                <w:sz w:val="20"/>
                <w:szCs w:val="20"/>
              </w:rPr>
              <w:t>AND</w:t>
            </w:r>
          </w:p>
        </w:tc>
      </w:tr>
      <w:tr w:rsidR="009764DB" w:rsidRPr="00842E06" w14:paraId="52DB6A4C"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72A3BE" w14:textId="77777777" w:rsidR="009764DB" w:rsidRPr="00842E06" w:rsidRDefault="009764DB" w:rsidP="009764DB">
            <w:pPr>
              <w:jc w:val="center"/>
              <w:rPr>
                <w:rFonts w:ascii="Arial Narrow" w:hAnsi="Arial Narrow"/>
                <w:i/>
                <w:iCs/>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007D7F" w14:textId="77777777" w:rsidR="009764DB" w:rsidRPr="00842E06" w:rsidRDefault="009764DB" w:rsidP="009764DB">
            <w:pPr>
              <w:rPr>
                <w:rFonts w:ascii="Arial Narrow" w:hAnsi="Arial Narrow"/>
                <w:sz w:val="20"/>
                <w:szCs w:val="20"/>
              </w:rPr>
            </w:pPr>
            <w:r w:rsidRPr="00842E06">
              <w:rPr>
                <w:rFonts w:ascii="Arial Narrow" w:hAnsi="Arial Narrow"/>
                <w:sz w:val="20"/>
                <w:szCs w:val="20"/>
              </w:rPr>
              <w:t>The condition must not be internal tandem duplication (ITD) or tyrosine kinase domain (TKD) FMS tyrosine kinase 3 (FLT3) mutation positive.</w:t>
            </w:r>
          </w:p>
        </w:tc>
      </w:tr>
      <w:tr w:rsidR="009764DB" w:rsidRPr="00842E06" w14:paraId="2DB1F73E"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89B46F" w14:textId="77777777" w:rsidR="009764DB" w:rsidRPr="00842E06"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DBE376" w14:textId="77777777" w:rsidR="009764DB" w:rsidRPr="00842E06" w:rsidRDefault="009764DB" w:rsidP="009764DB">
            <w:pPr>
              <w:rPr>
                <w:rFonts w:ascii="Arial Narrow" w:hAnsi="Arial Narrow"/>
                <w:sz w:val="20"/>
                <w:szCs w:val="20"/>
              </w:rPr>
            </w:pPr>
            <w:r w:rsidRPr="00842E06">
              <w:rPr>
                <w:rFonts w:ascii="Arial Narrow" w:hAnsi="Arial Narrow"/>
                <w:b/>
                <w:bCs/>
                <w:sz w:val="20"/>
                <w:szCs w:val="20"/>
              </w:rPr>
              <w:t xml:space="preserve">Clinical criteria: </w:t>
            </w:r>
          </w:p>
        </w:tc>
      </w:tr>
      <w:tr w:rsidR="009764DB" w:rsidRPr="00842E06" w14:paraId="13EC3B3A" w14:textId="77777777" w:rsidTr="006F5D9B">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66C30B" w14:textId="77777777" w:rsidR="009764DB" w:rsidRPr="00842E06"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553558" w14:textId="77777777" w:rsidR="009764DB" w:rsidRPr="00842E06" w:rsidRDefault="009764DB" w:rsidP="009764DB">
            <w:pPr>
              <w:rPr>
                <w:rFonts w:ascii="Arial Narrow" w:hAnsi="Arial Narrow"/>
                <w:sz w:val="20"/>
                <w:szCs w:val="20"/>
              </w:rPr>
            </w:pPr>
            <w:r w:rsidRPr="00842E06">
              <w:rPr>
                <w:rFonts w:ascii="Arial Narrow" w:hAnsi="Arial Narrow"/>
                <w:b/>
                <w:bCs/>
                <w:sz w:val="20"/>
                <w:szCs w:val="20"/>
              </w:rPr>
              <w:t>AND</w:t>
            </w:r>
          </w:p>
        </w:tc>
      </w:tr>
      <w:tr w:rsidR="009764DB" w:rsidRPr="006331A2" w14:paraId="02D83F79"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A8D3C5" w14:textId="77777777" w:rsidR="009764DB" w:rsidRPr="00842E06" w:rsidRDefault="009764DB" w:rsidP="009764DB">
            <w:pPr>
              <w:jc w:val="center"/>
              <w:rPr>
                <w:rFonts w:ascii="Arial Narrow" w:hAnsi="Arial Narrow"/>
                <w:i/>
                <w:iCs/>
                <w:sz w:val="20"/>
                <w:szCs w:val="20"/>
              </w:rPr>
            </w:pPr>
            <w:bookmarkStart w:id="54" w:name="_Hlk88641265"/>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D11325" w14:textId="77777777" w:rsidR="009764DB" w:rsidRPr="00842E06" w:rsidRDefault="009764DB" w:rsidP="009764DB">
            <w:pPr>
              <w:rPr>
                <w:rFonts w:ascii="Arial Narrow" w:hAnsi="Arial Narrow"/>
                <w:sz w:val="20"/>
                <w:szCs w:val="20"/>
              </w:rPr>
            </w:pPr>
            <w:r w:rsidRPr="00842E06">
              <w:rPr>
                <w:rFonts w:ascii="Arial Narrow" w:hAnsi="Arial Narrow"/>
                <w:sz w:val="20"/>
                <w:szCs w:val="20"/>
              </w:rPr>
              <w:t>Patient must not receive more than 1 induction cycle under this restriction in a lifetime.</w:t>
            </w:r>
          </w:p>
        </w:tc>
      </w:tr>
      <w:bookmarkEnd w:id="54"/>
      <w:tr w:rsidR="009764DB" w:rsidRPr="00842E06" w14:paraId="6B5D7D56"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07ADF1" w14:textId="77777777" w:rsidR="009764DB" w:rsidRPr="00842E06"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A8DE1A" w14:textId="77777777" w:rsidR="009764DB" w:rsidRPr="00842E06" w:rsidRDefault="009764DB" w:rsidP="009764DB">
            <w:pPr>
              <w:rPr>
                <w:rFonts w:ascii="Arial Narrow" w:hAnsi="Arial Narrow"/>
                <w:sz w:val="20"/>
                <w:szCs w:val="20"/>
              </w:rPr>
            </w:pPr>
            <w:r w:rsidRPr="00842E06">
              <w:rPr>
                <w:rFonts w:ascii="Arial Narrow" w:hAnsi="Arial Narrow"/>
                <w:b/>
                <w:bCs/>
                <w:sz w:val="20"/>
                <w:szCs w:val="20"/>
              </w:rPr>
              <w:t>Prescribing Instructions:</w:t>
            </w:r>
            <w:r w:rsidRPr="00842E06">
              <w:rPr>
                <w:rFonts w:ascii="Arial Narrow" w:hAnsi="Arial Narrow"/>
                <w:sz w:val="20"/>
                <w:szCs w:val="20"/>
              </w:rPr>
              <w:t xml:space="preserve"> This drug is not PBS-subsidised if it is prescribed to an in-patient in a public hospital setting.</w:t>
            </w:r>
          </w:p>
        </w:tc>
      </w:tr>
      <w:tr w:rsidR="009764DB" w:rsidRPr="003C3ACD" w14:paraId="6FFFAF0F"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9E29AD" w14:textId="77777777" w:rsidR="009764DB" w:rsidRPr="003C3ACD"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B1BF2B" w14:textId="77777777" w:rsidR="009764DB" w:rsidRPr="003C3ACD" w:rsidRDefault="009764DB" w:rsidP="009764DB">
            <w:pPr>
              <w:rPr>
                <w:rFonts w:ascii="Arial Narrow" w:hAnsi="Arial Narrow"/>
                <w:sz w:val="20"/>
                <w:szCs w:val="20"/>
              </w:rPr>
            </w:pPr>
            <w:r w:rsidRPr="003C3ACD">
              <w:rPr>
                <w:rFonts w:ascii="Arial Narrow" w:hAnsi="Arial Narrow"/>
                <w:b/>
                <w:bCs/>
                <w:sz w:val="20"/>
                <w:szCs w:val="20"/>
              </w:rPr>
              <w:t xml:space="preserve">Administrative Advice: </w:t>
            </w:r>
            <w:r w:rsidRPr="003C3ACD">
              <w:rPr>
                <w:rFonts w:ascii="Arial Narrow" w:hAnsi="Arial Narrow"/>
                <w:sz w:val="20"/>
                <w:szCs w:val="20"/>
              </w:rPr>
              <w:t>No increase in the maximum number of repeats may be authorised.</w:t>
            </w:r>
          </w:p>
        </w:tc>
      </w:tr>
      <w:tr w:rsidR="009764DB" w:rsidRPr="003C3ACD" w14:paraId="34221545"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EBB581" w14:textId="77777777" w:rsidR="009764DB" w:rsidRPr="003C3ACD"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9EF4CB" w14:textId="77777777" w:rsidR="009764DB" w:rsidRPr="003C3ACD" w:rsidRDefault="009764DB" w:rsidP="009764DB">
            <w:pPr>
              <w:rPr>
                <w:rFonts w:ascii="Arial Narrow" w:hAnsi="Arial Narrow"/>
                <w:sz w:val="20"/>
                <w:szCs w:val="20"/>
              </w:rPr>
            </w:pPr>
            <w:r w:rsidRPr="003C3ACD">
              <w:rPr>
                <w:rFonts w:ascii="Arial Narrow" w:hAnsi="Arial Narrow"/>
                <w:b/>
                <w:bCs/>
                <w:sz w:val="20"/>
                <w:szCs w:val="20"/>
              </w:rPr>
              <w:t xml:space="preserve">Administrative Advice: </w:t>
            </w:r>
            <w:r w:rsidRPr="003C3ACD">
              <w:rPr>
                <w:rFonts w:ascii="Arial Narrow" w:hAnsi="Arial Narrow"/>
                <w:sz w:val="20"/>
                <w:szCs w:val="20"/>
              </w:rPr>
              <w:t>No increase in the maximum amount or number of units may be authorised.</w:t>
            </w:r>
          </w:p>
        </w:tc>
      </w:tr>
      <w:tr w:rsidR="009764DB" w:rsidRPr="003C3ACD" w14:paraId="474D7586" w14:textId="77777777" w:rsidTr="00D1186C">
        <w:trPr>
          <w:trHeight w:val="20"/>
        </w:trPr>
        <w:tc>
          <w:tcPr>
            <w:tcW w:w="10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96C5EB" w14:textId="77777777" w:rsidR="009764DB" w:rsidRPr="003C3ACD" w:rsidRDefault="009764DB" w:rsidP="009764DB">
            <w:pPr>
              <w:jc w:val="center"/>
              <w:rPr>
                <w:rFonts w:ascii="Arial Narrow" w:hAnsi="Arial Narrow"/>
                <w:sz w:val="20"/>
                <w:szCs w:val="20"/>
              </w:rPr>
            </w:pPr>
          </w:p>
        </w:tc>
        <w:tc>
          <w:tcPr>
            <w:tcW w:w="79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3397A6" w14:textId="77777777" w:rsidR="009764DB" w:rsidRPr="003C3ACD" w:rsidRDefault="009764DB" w:rsidP="009764DB">
            <w:pPr>
              <w:rPr>
                <w:rFonts w:ascii="Arial Narrow" w:hAnsi="Arial Narrow"/>
                <w:sz w:val="20"/>
                <w:szCs w:val="20"/>
              </w:rPr>
            </w:pPr>
            <w:r w:rsidRPr="003C3ACD">
              <w:rPr>
                <w:rFonts w:ascii="Arial Narrow" w:hAnsi="Arial Narrow"/>
                <w:b/>
                <w:bCs/>
                <w:sz w:val="20"/>
                <w:szCs w:val="20"/>
              </w:rPr>
              <w:t>Administrative Advice:</w:t>
            </w:r>
            <w:r>
              <w:rPr>
                <w:rFonts w:ascii="Arial Narrow" w:hAnsi="Arial Narrow"/>
                <w:b/>
                <w:bCs/>
                <w:sz w:val="20"/>
                <w:szCs w:val="20"/>
              </w:rPr>
              <w:t xml:space="preserve"> </w:t>
            </w:r>
            <w:r w:rsidRPr="003C3ACD">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01A274B1" w14:textId="77777777" w:rsidR="009764DB" w:rsidRDefault="009764DB" w:rsidP="009764DB">
      <w:pPr>
        <w:rPr>
          <w:color w:val="FF000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155"/>
        <w:gridCol w:w="1998"/>
        <w:gridCol w:w="1530"/>
        <w:gridCol w:w="1348"/>
      </w:tblGrid>
      <w:tr w:rsidR="009764DB" w:rsidRPr="00842E06" w14:paraId="6098B5EA" w14:textId="77777777" w:rsidTr="009764DB">
        <w:trPr>
          <w:cantSplit/>
          <w:trHeight w:val="20"/>
        </w:trPr>
        <w:tc>
          <w:tcPr>
            <w:tcW w:w="4144" w:type="dxa"/>
            <w:gridSpan w:val="2"/>
            <w:tcBorders>
              <w:top w:val="single" w:sz="4" w:space="0" w:color="auto"/>
              <w:left w:val="single" w:sz="4" w:space="0" w:color="auto"/>
              <w:bottom w:val="single" w:sz="4" w:space="0" w:color="auto"/>
              <w:right w:val="single" w:sz="4" w:space="0" w:color="auto"/>
            </w:tcBorders>
            <w:vAlign w:val="center"/>
            <w:hideMark/>
          </w:tcPr>
          <w:p w14:paraId="50636A10" w14:textId="77777777" w:rsidR="009764DB" w:rsidRPr="00842E06" w:rsidRDefault="009764DB" w:rsidP="009764DB">
            <w:pPr>
              <w:keepNext/>
              <w:rPr>
                <w:rFonts w:ascii="Arial Narrow" w:hAnsi="Arial Narrow"/>
                <w:b/>
                <w:sz w:val="20"/>
                <w:szCs w:val="20"/>
              </w:rPr>
            </w:pPr>
            <w:r w:rsidRPr="00842E06">
              <w:rPr>
                <w:rFonts w:ascii="Arial Narrow" w:hAnsi="Arial Narrow"/>
                <w:b/>
                <w:sz w:val="20"/>
                <w:szCs w:val="20"/>
              </w:rPr>
              <w:t xml:space="preserve">MEDICINAL PRODUCT </w:t>
            </w:r>
          </w:p>
          <w:p w14:paraId="10E8D7C2" w14:textId="77777777" w:rsidR="009764DB" w:rsidRPr="00842E06" w:rsidRDefault="009764DB" w:rsidP="009764DB">
            <w:pPr>
              <w:keepNext/>
              <w:rPr>
                <w:rFonts w:ascii="Arial Narrow" w:hAnsi="Arial Narrow"/>
                <w:b/>
                <w:sz w:val="20"/>
                <w:szCs w:val="20"/>
              </w:rPr>
            </w:pPr>
            <w:r w:rsidRPr="00842E06">
              <w:rPr>
                <w:rFonts w:ascii="Arial Narrow" w:hAnsi="Arial Narrow"/>
                <w:b/>
                <w:sz w:val="20"/>
                <w:szCs w:val="20"/>
              </w:rPr>
              <w:t>medicinal product pack (MPP)</w:t>
            </w:r>
          </w:p>
        </w:tc>
        <w:tc>
          <w:tcPr>
            <w:tcW w:w="1998" w:type="dxa"/>
            <w:tcBorders>
              <w:top w:val="single" w:sz="4" w:space="0" w:color="auto"/>
              <w:left w:val="single" w:sz="4" w:space="0" w:color="auto"/>
              <w:bottom w:val="single" w:sz="4" w:space="0" w:color="auto"/>
              <w:right w:val="single" w:sz="4" w:space="0" w:color="auto"/>
            </w:tcBorders>
            <w:vAlign w:val="center"/>
            <w:hideMark/>
          </w:tcPr>
          <w:p w14:paraId="4FA9FAA7" w14:textId="77777777" w:rsidR="009764DB" w:rsidRPr="00842E06" w:rsidRDefault="009764DB" w:rsidP="009764DB">
            <w:pPr>
              <w:keepNext/>
              <w:ind w:left="-108"/>
              <w:jc w:val="center"/>
              <w:rPr>
                <w:rFonts w:ascii="Arial Narrow" w:hAnsi="Arial Narrow"/>
                <w:b/>
                <w:sz w:val="20"/>
                <w:szCs w:val="20"/>
              </w:rPr>
            </w:pPr>
            <w:r w:rsidRPr="00842E06">
              <w:rPr>
                <w:rFonts w:ascii="Arial Narrow" w:hAnsi="Arial Narrow"/>
                <w:b/>
                <w:sz w:val="20"/>
                <w:szCs w:val="20"/>
              </w:rPr>
              <w:t>PBS item code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701B5F4" w14:textId="77777777" w:rsidR="009764DB" w:rsidRPr="00842E06" w:rsidRDefault="009764DB" w:rsidP="009764DB">
            <w:pPr>
              <w:keepNext/>
              <w:ind w:left="-108"/>
              <w:jc w:val="center"/>
              <w:rPr>
                <w:rFonts w:ascii="Arial Narrow" w:hAnsi="Arial Narrow"/>
                <w:b/>
                <w:sz w:val="20"/>
                <w:szCs w:val="20"/>
              </w:rPr>
            </w:pPr>
            <w:r w:rsidRPr="00842E06">
              <w:rPr>
                <w:rFonts w:ascii="Arial Narrow" w:hAnsi="Arial Narrow"/>
                <w:b/>
                <w:sz w:val="20"/>
                <w:szCs w:val="20"/>
              </w:rPr>
              <w:t>Max. Amount</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7AE30F4" w14:textId="77777777" w:rsidR="009764DB" w:rsidRPr="00842E06" w:rsidRDefault="009764DB" w:rsidP="009764DB">
            <w:pPr>
              <w:keepNext/>
              <w:ind w:left="-108"/>
              <w:jc w:val="center"/>
              <w:rPr>
                <w:rFonts w:ascii="Arial Narrow" w:hAnsi="Arial Narrow"/>
                <w:b/>
                <w:sz w:val="20"/>
                <w:szCs w:val="20"/>
              </w:rPr>
            </w:pPr>
            <w:r w:rsidRPr="00842E06">
              <w:rPr>
                <w:rFonts w:ascii="Arial Narrow" w:hAnsi="Arial Narrow"/>
                <w:b/>
                <w:sz w:val="20"/>
                <w:szCs w:val="20"/>
              </w:rPr>
              <w:t>№.of</w:t>
            </w:r>
            <w:r>
              <w:rPr>
                <w:rFonts w:ascii="Arial Narrow" w:hAnsi="Arial Narrow"/>
                <w:b/>
                <w:sz w:val="20"/>
                <w:szCs w:val="20"/>
              </w:rPr>
              <w:t xml:space="preserve"> </w:t>
            </w:r>
            <w:r w:rsidRPr="00842E06">
              <w:rPr>
                <w:rFonts w:ascii="Arial Narrow" w:hAnsi="Arial Narrow"/>
                <w:b/>
                <w:sz w:val="20"/>
                <w:szCs w:val="20"/>
              </w:rPr>
              <w:t>Rpts</w:t>
            </w:r>
          </w:p>
        </w:tc>
      </w:tr>
      <w:tr w:rsidR="009764DB" w:rsidRPr="00842E06" w14:paraId="4C8A2BC3" w14:textId="77777777" w:rsidTr="009764DB">
        <w:trPr>
          <w:cantSplit/>
          <w:trHeight w:val="20"/>
        </w:trPr>
        <w:tc>
          <w:tcPr>
            <w:tcW w:w="4144" w:type="dxa"/>
            <w:gridSpan w:val="2"/>
            <w:tcBorders>
              <w:top w:val="single" w:sz="4" w:space="0" w:color="auto"/>
              <w:left w:val="single" w:sz="4" w:space="0" w:color="auto"/>
              <w:bottom w:val="single" w:sz="4" w:space="0" w:color="auto"/>
              <w:right w:val="single" w:sz="4" w:space="0" w:color="auto"/>
            </w:tcBorders>
            <w:hideMark/>
          </w:tcPr>
          <w:p w14:paraId="5D87B177" w14:textId="77777777" w:rsidR="009764DB" w:rsidRPr="00842E06" w:rsidRDefault="009764DB" w:rsidP="009764DB">
            <w:pPr>
              <w:keepNext/>
              <w:rPr>
                <w:rFonts w:ascii="Arial Narrow" w:hAnsi="Arial Narrow"/>
                <w:sz w:val="20"/>
                <w:szCs w:val="20"/>
              </w:rPr>
            </w:pPr>
            <w:r w:rsidRPr="00842E06">
              <w:rPr>
                <w:rFonts w:ascii="Arial Narrow" w:hAnsi="Arial Narrow"/>
                <w:sz w:val="20"/>
                <w:szCs w:val="20"/>
              </w:rPr>
              <w:t>GEMTUZUMAB OZOGAMICIN</w:t>
            </w:r>
          </w:p>
          <w:p w14:paraId="39B00BCE" w14:textId="77777777" w:rsidR="009764DB" w:rsidRPr="00842E06" w:rsidRDefault="009764DB" w:rsidP="009764DB">
            <w:pPr>
              <w:keepNext/>
              <w:rPr>
                <w:rFonts w:ascii="Arial Narrow" w:hAnsi="Arial Narrow"/>
                <w:sz w:val="20"/>
                <w:szCs w:val="20"/>
              </w:rPr>
            </w:pPr>
            <w:r w:rsidRPr="00842E06">
              <w:rPr>
                <w:rFonts w:ascii="Arial Narrow" w:hAnsi="Arial Narrow"/>
                <w:sz w:val="20"/>
                <w:szCs w:val="20"/>
              </w:rPr>
              <w:t>gemtuzumab ozogamicin 5 mg injection, 1 vial</w:t>
            </w:r>
          </w:p>
        </w:tc>
        <w:tc>
          <w:tcPr>
            <w:tcW w:w="1998" w:type="dxa"/>
            <w:tcBorders>
              <w:top w:val="single" w:sz="4" w:space="0" w:color="auto"/>
              <w:left w:val="single" w:sz="4" w:space="0" w:color="auto"/>
              <w:bottom w:val="single" w:sz="4" w:space="0" w:color="auto"/>
              <w:right w:val="single" w:sz="4" w:space="0" w:color="auto"/>
            </w:tcBorders>
            <w:vAlign w:val="center"/>
            <w:hideMark/>
          </w:tcPr>
          <w:p w14:paraId="31C1B50E" w14:textId="77777777" w:rsidR="009764DB" w:rsidRPr="00842E06" w:rsidRDefault="009764DB" w:rsidP="009764DB">
            <w:pPr>
              <w:keepNext/>
              <w:ind w:left="-108"/>
              <w:jc w:val="center"/>
              <w:rPr>
                <w:rFonts w:ascii="Arial Narrow" w:hAnsi="Arial Narrow"/>
                <w:sz w:val="20"/>
                <w:szCs w:val="20"/>
              </w:rPr>
            </w:pPr>
            <w:r w:rsidRPr="00842E06">
              <w:rPr>
                <w:rFonts w:ascii="Arial Narrow" w:hAnsi="Arial Narrow"/>
                <w:sz w:val="20"/>
                <w:szCs w:val="20"/>
              </w:rPr>
              <w:t>NEW (Public)</w:t>
            </w:r>
          </w:p>
          <w:p w14:paraId="6F4B9E0B" w14:textId="77777777" w:rsidR="009764DB" w:rsidRPr="00842E06" w:rsidRDefault="009764DB" w:rsidP="009764DB">
            <w:pPr>
              <w:keepNext/>
              <w:ind w:left="-108"/>
              <w:jc w:val="center"/>
              <w:rPr>
                <w:rFonts w:ascii="Arial Narrow" w:hAnsi="Arial Narrow"/>
                <w:sz w:val="20"/>
                <w:szCs w:val="20"/>
              </w:rPr>
            </w:pPr>
            <w:r w:rsidRPr="00842E06">
              <w:rPr>
                <w:rFonts w:ascii="Arial Narrow" w:hAnsi="Arial Narrow"/>
                <w:sz w:val="20"/>
                <w:szCs w:val="20"/>
              </w:rPr>
              <w:t>NEW (Private)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FB0288" w14:textId="77777777" w:rsidR="009764DB" w:rsidRPr="00842E06" w:rsidRDefault="009764DB" w:rsidP="009764DB">
            <w:pPr>
              <w:keepNext/>
              <w:ind w:left="-108"/>
              <w:jc w:val="center"/>
              <w:rPr>
                <w:rFonts w:ascii="Arial Narrow" w:hAnsi="Arial Narrow"/>
                <w:sz w:val="20"/>
                <w:szCs w:val="20"/>
              </w:rPr>
            </w:pPr>
            <w:r w:rsidRPr="00842E06">
              <w:rPr>
                <w:rFonts w:ascii="Arial Narrow" w:hAnsi="Arial Narrow"/>
                <w:sz w:val="20"/>
                <w:szCs w:val="20"/>
              </w:rPr>
              <w:t>5 mg</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29D0309" w14:textId="77777777" w:rsidR="009764DB" w:rsidRPr="00842E06" w:rsidRDefault="009764DB" w:rsidP="009764DB">
            <w:pPr>
              <w:keepNext/>
              <w:ind w:left="-108"/>
              <w:jc w:val="center"/>
              <w:rPr>
                <w:rFonts w:ascii="Arial Narrow" w:hAnsi="Arial Narrow"/>
                <w:sz w:val="20"/>
                <w:szCs w:val="20"/>
              </w:rPr>
            </w:pPr>
            <w:r w:rsidRPr="00842E06">
              <w:rPr>
                <w:rFonts w:ascii="Arial Narrow" w:hAnsi="Arial Narrow"/>
                <w:sz w:val="20"/>
                <w:szCs w:val="20"/>
              </w:rPr>
              <w:t>1</w:t>
            </w:r>
          </w:p>
        </w:tc>
      </w:tr>
      <w:tr w:rsidR="009764DB" w:rsidRPr="00842E06" w14:paraId="689DE323" w14:textId="77777777" w:rsidTr="009764DB">
        <w:trPr>
          <w:cantSplit/>
          <w:trHeight w:val="20"/>
        </w:trPr>
        <w:tc>
          <w:tcPr>
            <w:tcW w:w="9020" w:type="dxa"/>
            <w:gridSpan w:val="5"/>
            <w:tcBorders>
              <w:top w:val="single" w:sz="4" w:space="0" w:color="auto"/>
              <w:left w:val="single" w:sz="4" w:space="0" w:color="auto"/>
              <w:bottom w:val="single" w:sz="4" w:space="0" w:color="auto"/>
              <w:right w:val="single" w:sz="4" w:space="0" w:color="auto"/>
            </w:tcBorders>
            <w:hideMark/>
          </w:tcPr>
          <w:p w14:paraId="6BBDBA38" w14:textId="77777777" w:rsidR="009764DB" w:rsidRPr="00842E06" w:rsidRDefault="009764DB" w:rsidP="009764DB">
            <w:pPr>
              <w:keepNext/>
              <w:rPr>
                <w:rFonts w:ascii="Arial Narrow" w:hAnsi="Arial Narrow"/>
                <w:b/>
                <w:sz w:val="20"/>
                <w:szCs w:val="20"/>
              </w:rPr>
            </w:pPr>
            <w:r w:rsidRPr="00842E06">
              <w:rPr>
                <w:rFonts w:ascii="Arial Narrow" w:hAnsi="Arial Narrow"/>
                <w:b/>
                <w:sz w:val="20"/>
                <w:szCs w:val="20"/>
              </w:rPr>
              <w:t>Available brands</w:t>
            </w:r>
          </w:p>
        </w:tc>
      </w:tr>
      <w:tr w:rsidR="009764DB" w:rsidRPr="00842E06" w14:paraId="36175B1D" w14:textId="77777777" w:rsidTr="009764DB">
        <w:trPr>
          <w:cantSplit/>
          <w:trHeight w:val="20"/>
        </w:trPr>
        <w:tc>
          <w:tcPr>
            <w:tcW w:w="9020" w:type="dxa"/>
            <w:gridSpan w:val="5"/>
            <w:tcBorders>
              <w:top w:val="single" w:sz="4" w:space="0" w:color="auto"/>
              <w:left w:val="single" w:sz="4" w:space="0" w:color="auto"/>
              <w:bottom w:val="single" w:sz="4" w:space="0" w:color="auto"/>
              <w:right w:val="single" w:sz="4" w:space="0" w:color="auto"/>
            </w:tcBorders>
            <w:hideMark/>
          </w:tcPr>
          <w:p w14:paraId="0C1FAC08" w14:textId="77777777" w:rsidR="009764DB" w:rsidRPr="00842E06" w:rsidRDefault="009764DB" w:rsidP="009764DB">
            <w:pPr>
              <w:rPr>
                <w:rFonts w:ascii="Arial Narrow" w:hAnsi="Arial Narrow"/>
                <w:sz w:val="20"/>
                <w:szCs w:val="20"/>
              </w:rPr>
            </w:pPr>
            <w:r w:rsidRPr="00842E06">
              <w:rPr>
                <w:rFonts w:ascii="Arial Narrow" w:hAnsi="Arial Narrow"/>
                <w:sz w:val="20"/>
                <w:szCs w:val="20"/>
              </w:rPr>
              <w:t xml:space="preserve">Mylotarg </w:t>
            </w:r>
          </w:p>
        </w:tc>
      </w:tr>
      <w:tr w:rsidR="009764DB" w:rsidRPr="00842E06" w14:paraId="1A43066D" w14:textId="77777777" w:rsidTr="009764DB">
        <w:trPr>
          <w:cantSplit/>
          <w:trHeight w:val="20"/>
        </w:trPr>
        <w:tc>
          <w:tcPr>
            <w:tcW w:w="9020" w:type="dxa"/>
            <w:gridSpan w:val="5"/>
            <w:tcBorders>
              <w:top w:val="single" w:sz="4" w:space="0" w:color="auto"/>
              <w:left w:val="single" w:sz="4" w:space="0" w:color="auto"/>
              <w:bottom w:val="single" w:sz="4" w:space="0" w:color="auto"/>
              <w:right w:val="single" w:sz="4" w:space="0" w:color="auto"/>
            </w:tcBorders>
          </w:tcPr>
          <w:p w14:paraId="390F47D2" w14:textId="77777777" w:rsidR="009764DB" w:rsidRPr="00842E06" w:rsidRDefault="009764DB" w:rsidP="009764DB">
            <w:pPr>
              <w:rPr>
                <w:rFonts w:ascii="Arial Narrow" w:hAnsi="Arial Narrow"/>
                <w:sz w:val="20"/>
                <w:szCs w:val="20"/>
              </w:rPr>
            </w:pPr>
          </w:p>
        </w:tc>
      </w:tr>
      <w:tr w:rsidR="009764DB" w:rsidRPr="00842E06" w14:paraId="5C4F73E9" w14:textId="77777777" w:rsidTr="009764DB">
        <w:trPr>
          <w:cantSplit/>
          <w:trHeight w:val="20"/>
        </w:trPr>
        <w:tc>
          <w:tcPr>
            <w:tcW w:w="9020" w:type="dxa"/>
            <w:gridSpan w:val="5"/>
            <w:tcBorders>
              <w:top w:val="single" w:sz="4" w:space="0" w:color="auto"/>
              <w:left w:val="single" w:sz="4" w:space="0" w:color="auto"/>
              <w:bottom w:val="single" w:sz="4" w:space="0" w:color="auto"/>
              <w:right w:val="single" w:sz="4" w:space="0" w:color="auto"/>
            </w:tcBorders>
            <w:hideMark/>
          </w:tcPr>
          <w:p w14:paraId="185A53D9" w14:textId="77777777" w:rsidR="009764DB" w:rsidRPr="00842E06" w:rsidRDefault="009764DB" w:rsidP="009764DB">
            <w:pPr>
              <w:rPr>
                <w:rFonts w:ascii="Arial Narrow" w:hAnsi="Arial Narrow"/>
                <w:sz w:val="20"/>
                <w:szCs w:val="20"/>
              </w:rPr>
            </w:pPr>
            <w:r w:rsidRPr="00842E06">
              <w:rPr>
                <w:rFonts w:ascii="Arial Narrow" w:hAnsi="Arial Narrow"/>
                <w:b/>
                <w:sz w:val="20"/>
                <w:szCs w:val="20"/>
              </w:rPr>
              <w:t>Restriction Summary [new] / Treatment of Concept: [new]</w:t>
            </w:r>
          </w:p>
        </w:tc>
      </w:tr>
      <w:tr w:rsidR="009764DB" w:rsidRPr="00842E06" w14:paraId="7346F7E7" w14:textId="77777777" w:rsidTr="009764DB">
        <w:trPr>
          <w:trHeight w:val="20"/>
        </w:trPr>
        <w:tc>
          <w:tcPr>
            <w:tcW w:w="98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1EA7CE" w14:textId="77777777" w:rsidR="009764DB" w:rsidRPr="00842E06" w:rsidRDefault="009764DB" w:rsidP="009764DB">
            <w:pPr>
              <w:jc w:val="center"/>
              <w:rPr>
                <w:rFonts w:ascii="Arial Narrow" w:hAnsi="Arial Narrow"/>
                <w:b/>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1874D6" w14:textId="77777777" w:rsidR="009764DB" w:rsidRPr="00842E06" w:rsidRDefault="009764DB" w:rsidP="009764DB">
            <w:pPr>
              <w:jc w:val="left"/>
              <w:rPr>
                <w:rFonts w:ascii="Arial Narrow" w:hAnsi="Arial Narrow"/>
                <w:sz w:val="20"/>
                <w:szCs w:val="20"/>
              </w:rPr>
            </w:pPr>
            <w:r w:rsidRPr="00842E06">
              <w:rPr>
                <w:rFonts w:ascii="Arial Narrow" w:hAnsi="Arial Narrow"/>
                <w:b/>
                <w:sz w:val="20"/>
                <w:szCs w:val="20"/>
              </w:rPr>
              <w:t xml:space="preserve">Category / Program: </w:t>
            </w:r>
            <w:r w:rsidRPr="00842E06">
              <w:rPr>
                <w:rFonts w:ascii="Arial Narrow" w:hAnsi="Arial Narrow"/>
                <w:sz w:val="20"/>
                <w:szCs w:val="20"/>
              </w:rPr>
              <w:t xml:space="preserve">Section 100 – Efficient Funding of Chemotherapy Public/Private hospitals </w:t>
            </w:r>
          </w:p>
        </w:tc>
      </w:tr>
      <w:tr w:rsidR="009764DB" w:rsidRPr="00842E06" w14:paraId="5C5EB12D" w14:textId="77777777" w:rsidTr="00D1186C">
        <w:trPr>
          <w:trHeight w:val="20"/>
        </w:trPr>
        <w:tc>
          <w:tcPr>
            <w:tcW w:w="989" w:type="dxa"/>
            <w:vMerge/>
            <w:tcBorders>
              <w:top w:val="single" w:sz="4" w:space="0" w:color="auto"/>
              <w:left w:val="single" w:sz="4" w:space="0" w:color="auto"/>
              <w:bottom w:val="single" w:sz="4" w:space="0" w:color="auto"/>
              <w:right w:val="single" w:sz="4" w:space="0" w:color="auto"/>
            </w:tcBorders>
            <w:vAlign w:val="center"/>
          </w:tcPr>
          <w:p w14:paraId="04A141AC" w14:textId="77777777" w:rsidR="009764DB" w:rsidRPr="00842E06" w:rsidRDefault="009764DB" w:rsidP="009764DB">
            <w:pPr>
              <w:jc w:val="left"/>
              <w:rPr>
                <w:rFonts w:ascii="Arial Narrow" w:hAnsi="Arial Narrow"/>
                <w:b/>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611490" w14:textId="77777777" w:rsidR="009764DB" w:rsidRPr="00842E06" w:rsidRDefault="009764DB" w:rsidP="009764DB">
            <w:pPr>
              <w:jc w:val="left"/>
              <w:rPr>
                <w:rFonts w:ascii="Arial Narrow" w:hAnsi="Arial Narrow"/>
                <w:b/>
                <w:sz w:val="20"/>
                <w:szCs w:val="20"/>
              </w:rPr>
            </w:pPr>
            <w:r w:rsidRPr="00842E06">
              <w:rPr>
                <w:rFonts w:ascii="Arial Narrow" w:hAnsi="Arial Narrow"/>
                <w:b/>
                <w:sz w:val="20"/>
                <w:szCs w:val="20"/>
              </w:rPr>
              <w:t xml:space="preserve">Prescriber type: </w:t>
            </w:r>
            <w:r w:rsidRPr="00842E06">
              <w:rPr>
                <w:rFonts w:ascii="Arial Narrow" w:hAnsi="Arial Narrow"/>
                <w:sz w:val="20"/>
                <w:szCs w:val="20"/>
              </w:rPr>
              <w:fldChar w:fldCharType="begin">
                <w:ffData>
                  <w:name w:val=""/>
                  <w:enabled/>
                  <w:calcOnExit w:val="0"/>
                  <w:checkBox>
                    <w:sizeAuto/>
                    <w:default w:val="1"/>
                  </w:checkBox>
                </w:ffData>
              </w:fldChar>
            </w:r>
            <w:r w:rsidRPr="00842E06">
              <w:rPr>
                <w:rFonts w:ascii="Arial Narrow" w:hAnsi="Arial Narrow"/>
                <w:sz w:val="20"/>
                <w:szCs w:val="20"/>
              </w:rPr>
              <w:instrText xml:space="preserve"> FORMCHECKBOX </w:instrText>
            </w:r>
            <w:r w:rsidR="000B5D34">
              <w:rPr>
                <w:rFonts w:ascii="Arial Narrow" w:hAnsi="Arial Narrow"/>
                <w:sz w:val="20"/>
                <w:szCs w:val="20"/>
              </w:rPr>
            </w:r>
            <w:r w:rsidR="000B5D34">
              <w:rPr>
                <w:rFonts w:ascii="Arial Narrow" w:hAnsi="Arial Narrow"/>
                <w:sz w:val="20"/>
                <w:szCs w:val="20"/>
              </w:rPr>
              <w:fldChar w:fldCharType="separate"/>
            </w:r>
            <w:r w:rsidRPr="00842E06">
              <w:rPr>
                <w:rFonts w:ascii="Arial Narrow" w:hAnsi="Arial Narrow"/>
                <w:sz w:val="20"/>
                <w:szCs w:val="20"/>
              </w:rPr>
              <w:fldChar w:fldCharType="end"/>
            </w:r>
            <w:r w:rsidRPr="00842E06">
              <w:rPr>
                <w:rFonts w:ascii="Arial Narrow" w:hAnsi="Arial Narrow"/>
                <w:sz w:val="20"/>
                <w:szCs w:val="20"/>
              </w:rPr>
              <w:t>Medical Practitioners</w:t>
            </w:r>
          </w:p>
        </w:tc>
      </w:tr>
      <w:tr w:rsidR="009764DB" w:rsidRPr="00842E06" w14:paraId="1E7A1BBA" w14:textId="77777777" w:rsidTr="00D1186C">
        <w:trPr>
          <w:trHeight w:val="20"/>
        </w:trPr>
        <w:tc>
          <w:tcPr>
            <w:tcW w:w="989" w:type="dxa"/>
            <w:vMerge/>
            <w:tcBorders>
              <w:top w:val="single" w:sz="4" w:space="0" w:color="auto"/>
              <w:left w:val="single" w:sz="4" w:space="0" w:color="auto"/>
              <w:bottom w:val="single" w:sz="4" w:space="0" w:color="auto"/>
              <w:right w:val="single" w:sz="4" w:space="0" w:color="auto"/>
            </w:tcBorders>
            <w:vAlign w:val="center"/>
          </w:tcPr>
          <w:p w14:paraId="37BFF586" w14:textId="77777777" w:rsidR="009764DB" w:rsidRPr="00842E06" w:rsidRDefault="009764DB" w:rsidP="009764DB">
            <w:pPr>
              <w:jc w:val="left"/>
              <w:rPr>
                <w:rFonts w:ascii="Arial Narrow" w:hAnsi="Arial Narrow"/>
                <w:b/>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3AD7EA" w14:textId="77777777" w:rsidR="009764DB" w:rsidRPr="00842E06" w:rsidRDefault="009764DB" w:rsidP="009764DB">
            <w:pPr>
              <w:jc w:val="left"/>
              <w:rPr>
                <w:rFonts w:ascii="Arial Narrow" w:hAnsi="Arial Narrow"/>
                <w:strike/>
                <w:sz w:val="20"/>
                <w:szCs w:val="20"/>
              </w:rPr>
            </w:pPr>
            <w:r w:rsidRPr="00842E06">
              <w:rPr>
                <w:rFonts w:ascii="Arial Narrow" w:hAnsi="Arial Narrow"/>
                <w:b/>
                <w:sz w:val="20"/>
                <w:szCs w:val="20"/>
              </w:rPr>
              <w:t xml:space="preserve">Restriction Type: </w:t>
            </w:r>
            <w:r w:rsidRPr="00842E06">
              <w:rPr>
                <w:rFonts w:ascii="Arial Narrow" w:eastAsia="Calibri" w:hAnsi="Arial Narrow"/>
                <w:sz w:val="20"/>
                <w:szCs w:val="20"/>
              </w:rPr>
              <w:fldChar w:fldCharType="begin">
                <w:ffData>
                  <w:name w:val=""/>
                  <w:enabled/>
                  <w:calcOnExit w:val="0"/>
                  <w:checkBox>
                    <w:sizeAuto/>
                    <w:default w:val="1"/>
                  </w:checkBox>
                </w:ffData>
              </w:fldChar>
            </w:r>
            <w:r w:rsidRPr="00842E06">
              <w:rPr>
                <w:rFonts w:ascii="Arial Narrow" w:eastAsia="Calibri" w:hAnsi="Arial Narrow"/>
                <w:sz w:val="20"/>
                <w:szCs w:val="20"/>
              </w:rPr>
              <w:instrText xml:space="preserve"> FORMCHECKBOX </w:instrText>
            </w:r>
            <w:r w:rsidR="000B5D34">
              <w:rPr>
                <w:rFonts w:ascii="Arial Narrow" w:eastAsia="Calibri" w:hAnsi="Arial Narrow"/>
                <w:sz w:val="20"/>
                <w:szCs w:val="20"/>
              </w:rPr>
            </w:r>
            <w:r w:rsidR="000B5D34">
              <w:rPr>
                <w:rFonts w:ascii="Arial Narrow" w:eastAsia="Calibri" w:hAnsi="Arial Narrow"/>
                <w:sz w:val="20"/>
                <w:szCs w:val="20"/>
              </w:rPr>
              <w:fldChar w:fldCharType="separate"/>
            </w:r>
            <w:r w:rsidRPr="00842E06">
              <w:rPr>
                <w:rFonts w:ascii="Arial Narrow" w:eastAsia="Calibri" w:hAnsi="Arial Narrow"/>
                <w:sz w:val="20"/>
                <w:szCs w:val="20"/>
              </w:rPr>
              <w:fldChar w:fldCharType="end"/>
            </w:r>
            <w:r w:rsidRPr="00842E06">
              <w:rPr>
                <w:rFonts w:ascii="Arial Narrow" w:eastAsia="Calibri" w:hAnsi="Arial Narrow"/>
                <w:sz w:val="20"/>
                <w:szCs w:val="20"/>
              </w:rPr>
              <w:t>Authority Required – Telephone/electronic via Online PBS Authorities</w:t>
            </w:r>
          </w:p>
        </w:tc>
      </w:tr>
      <w:tr w:rsidR="009764DB" w:rsidRPr="00842E06" w14:paraId="04075C0D" w14:textId="77777777" w:rsidTr="009764DB">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8681BD" w14:textId="77777777" w:rsidR="009764DB" w:rsidRPr="00842E06"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2C2154" w14:textId="77777777" w:rsidR="009764DB" w:rsidRPr="00842E06" w:rsidRDefault="009764DB" w:rsidP="009764DB">
            <w:pPr>
              <w:rPr>
                <w:rFonts w:ascii="Arial Narrow" w:hAnsi="Arial Narrow"/>
                <w:b/>
                <w:bCs/>
                <w:sz w:val="20"/>
                <w:szCs w:val="20"/>
              </w:rPr>
            </w:pPr>
            <w:r w:rsidRPr="00842E06">
              <w:rPr>
                <w:rFonts w:ascii="Arial Narrow" w:hAnsi="Arial Narrow"/>
                <w:b/>
                <w:bCs/>
                <w:sz w:val="20"/>
                <w:szCs w:val="20"/>
              </w:rPr>
              <w:t xml:space="preserve">Condition: </w:t>
            </w:r>
            <w:r w:rsidRPr="00842E06">
              <w:rPr>
                <w:rFonts w:ascii="Arial Narrow" w:hAnsi="Arial Narrow"/>
                <w:bCs/>
                <w:sz w:val="20"/>
                <w:szCs w:val="20"/>
              </w:rPr>
              <w:t xml:space="preserve">Acute Myeloid Leukaemia </w:t>
            </w:r>
          </w:p>
        </w:tc>
      </w:tr>
      <w:tr w:rsidR="009764DB" w:rsidRPr="00842E06" w14:paraId="23E6178A" w14:textId="77777777" w:rsidTr="00D1186C">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630B9B" w14:textId="77777777" w:rsidR="009764DB" w:rsidRPr="00842E06"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C10B94" w14:textId="77777777" w:rsidR="009764DB" w:rsidRPr="00842E06" w:rsidRDefault="009764DB" w:rsidP="009764DB">
            <w:pPr>
              <w:rPr>
                <w:rFonts w:ascii="Arial Narrow" w:hAnsi="Arial Narrow"/>
                <w:sz w:val="20"/>
                <w:szCs w:val="20"/>
              </w:rPr>
            </w:pPr>
            <w:r w:rsidRPr="00842E06">
              <w:rPr>
                <w:rFonts w:ascii="Arial Narrow" w:hAnsi="Arial Narrow"/>
                <w:b/>
                <w:bCs/>
                <w:sz w:val="20"/>
                <w:szCs w:val="20"/>
              </w:rPr>
              <w:t>Indication:</w:t>
            </w:r>
            <w:r w:rsidRPr="00842E06">
              <w:rPr>
                <w:rFonts w:ascii="Arial Narrow" w:hAnsi="Arial Narrow"/>
                <w:sz w:val="20"/>
                <w:szCs w:val="20"/>
              </w:rPr>
              <w:t xml:space="preserve"> </w:t>
            </w:r>
            <w:r w:rsidRPr="00842E06">
              <w:rPr>
                <w:rFonts w:ascii="Arial Narrow" w:hAnsi="Arial Narrow"/>
                <w:bCs/>
                <w:sz w:val="20"/>
                <w:szCs w:val="20"/>
              </w:rPr>
              <w:t>Acute Myeloid Leukaemia</w:t>
            </w:r>
          </w:p>
        </w:tc>
      </w:tr>
      <w:tr w:rsidR="009764DB" w:rsidRPr="00842E06" w14:paraId="5DF44274" w14:textId="77777777" w:rsidTr="009764DB">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21DCC1" w14:textId="77777777" w:rsidR="009764DB" w:rsidRPr="00842E06"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1EA6DD" w14:textId="77777777" w:rsidR="009764DB" w:rsidRPr="00842E06" w:rsidRDefault="009764DB" w:rsidP="009764DB">
            <w:pPr>
              <w:rPr>
                <w:rFonts w:ascii="Arial Narrow" w:hAnsi="Arial Narrow"/>
                <w:sz w:val="20"/>
                <w:szCs w:val="20"/>
              </w:rPr>
            </w:pPr>
            <w:r w:rsidRPr="00842E06">
              <w:rPr>
                <w:rFonts w:ascii="Arial Narrow" w:hAnsi="Arial Narrow"/>
                <w:b/>
                <w:bCs/>
                <w:sz w:val="20"/>
                <w:szCs w:val="20"/>
              </w:rPr>
              <w:t>Treatment Phase:</w:t>
            </w:r>
            <w:r w:rsidRPr="00842E06">
              <w:rPr>
                <w:rFonts w:ascii="Arial Narrow" w:hAnsi="Arial Narrow"/>
                <w:sz w:val="20"/>
                <w:szCs w:val="20"/>
              </w:rPr>
              <w:t xml:space="preserve"> Consolidation treatment</w:t>
            </w:r>
          </w:p>
        </w:tc>
      </w:tr>
      <w:tr w:rsidR="009764DB" w:rsidRPr="00842E06" w14:paraId="2D80404B" w14:textId="77777777" w:rsidTr="009764DB">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A631A1" w14:textId="77777777" w:rsidR="009764DB" w:rsidRPr="00842E06"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CAF75B" w14:textId="77777777" w:rsidR="009764DB" w:rsidRPr="00842E06" w:rsidRDefault="009764DB" w:rsidP="009764DB">
            <w:pPr>
              <w:rPr>
                <w:rFonts w:ascii="Arial Narrow" w:hAnsi="Arial Narrow"/>
                <w:sz w:val="20"/>
                <w:szCs w:val="20"/>
              </w:rPr>
            </w:pPr>
            <w:r w:rsidRPr="00842E06">
              <w:rPr>
                <w:rFonts w:ascii="Arial Narrow" w:hAnsi="Arial Narrow"/>
                <w:b/>
                <w:bCs/>
                <w:sz w:val="20"/>
                <w:szCs w:val="20"/>
              </w:rPr>
              <w:t>Clinical criteria:</w:t>
            </w:r>
          </w:p>
        </w:tc>
      </w:tr>
      <w:tr w:rsidR="009764DB" w:rsidRPr="00842E06" w14:paraId="314F19CE" w14:textId="77777777" w:rsidTr="00D1186C">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2F35BE" w14:textId="77777777" w:rsidR="009764DB" w:rsidRPr="00842E06"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2D9237" w14:textId="77777777" w:rsidR="009764DB" w:rsidRPr="00842E06" w:rsidRDefault="009764DB" w:rsidP="009764DB">
            <w:pPr>
              <w:rPr>
                <w:rFonts w:ascii="Arial Narrow" w:hAnsi="Arial Narrow"/>
                <w:iCs/>
                <w:sz w:val="20"/>
                <w:szCs w:val="20"/>
              </w:rPr>
            </w:pPr>
            <w:r w:rsidRPr="00842E06">
              <w:rPr>
                <w:rFonts w:ascii="Arial Narrow" w:hAnsi="Arial Narrow"/>
                <w:iCs/>
                <w:sz w:val="20"/>
                <w:szCs w:val="20"/>
              </w:rPr>
              <w:t>Patient must have achieved a complete remission following induction treatment with this drug for this condition</w:t>
            </w:r>
            <w:r>
              <w:rPr>
                <w:rFonts w:ascii="Arial Narrow" w:hAnsi="Arial Narrow"/>
                <w:iCs/>
                <w:sz w:val="20"/>
                <w:szCs w:val="20"/>
              </w:rPr>
              <w:t>,</w:t>
            </w:r>
          </w:p>
        </w:tc>
      </w:tr>
      <w:tr w:rsidR="009764DB" w:rsidRPr="00842E06" w14:paraId="76556F01" w14:textId="77777777" w:rsidTr="009764DB">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9DB4CD" w14:textId="77777777" w:rsidR="009764DB" w:rsidRPr="00842E06"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2DE275" w14:textId="77777777" w:rsidR="009764DB" w:rsidRPr="00842E06" w:rsidRDefault="009764DB" w:rsidP="009764DB">
            <w:pPr>
              <w:rPr>
                <w:rFonts w:ascii="Arial Narrow" w:hAnsi="Arial Narrow"/>
                <w:b/>
                <w:bCs/>
                <w:sz w:val="20"/>
                <w:szCs w:val="20"/>
              </w:rPr>
            </w:pPr>
            <w:r w:rsidRPr="00842E06">
              <w:rPr>
                <w:rFonts w:ascii="Arial Narrow" w:hAnsi="Arial Narrow"/>
                <w:b/>
                <w:bCs/>
                <w:sz w:val="20"/>
                <w:szCs w:val="20"/>
              </w:rPr>
              <w:t>AND</w:t>
            </w:r>
          </w:p>
        </w:tc>
      </w:tr>
      <w:tr w:rsidR="009764DB" w:rsidRPr="00842E06" w14:paraId="4075A53A" w14:textId="77777777" w:rsidTr="009764DB">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9064A9" w14:textId="77777777" w:rsidR="009764DB" w:rsidRPr="00842E06"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72856E" w14:textId="77777777" w:rsidR="009764DB" w:rsidRPr="00842E06" w:rsidRDefault="009764DB" w:rsidP="009764DB">
            <w:pPr>
              <w:rPr>
                <w:rFonts w:ascii="Arial Narrow" w:hAnsi="Arial Narrow"/>
                <w:b/>
                <w:bCs/>
                <w:sz w:val="20"/>
                <w:szCs w:val="20"/>
              </w:rPr>
            </w:pPr>
            <w:r w:rsidRPr="00842E06">
              <w:rPr>
                <w:rFonts w:ascii="Arial Narrow" w:hAnsi="Arial Narrow"/>
                <w:b/>
                <w:bCs/>
                <w:sz w:val="20"/>
                <w:szCs w:val="20"/>
              </w:rPr>
              <w:t>Clinical criteria:</w:t>
            </w:r>
          </w:p>
        </w:tc>
      </w:tr>
      <w:tr w:rsidR="009764DB" w:rsidRPr="00842E06" w14:paraId="547E1158" w14:textId="77777777" w:rsidTr="00D1186C">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507ADB" w14:textId="77777777" w:rsidR="009764DB" w:rsidRPr="00842E06"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862D21" w14:textId="77777777" w:rsidR="009764DB" w:rsidRPr="00842E06" w:rsidRDefault="009764DB" w:rsidP="009764DB">
            <w:pPr>
              <w:rPr>
                <w:rFonts w:ascii="Arial Narrow" w:hAnsi="Arial Narrow"/>
                <w:sz w:val="20"/>
                <w:szCs w:val="20"/>
              </w:rPr>
            </w:pPr>
            <w:r w:rsidRPr="00842E06">
              <w:rPr>
                <w:rFonts w:ascii="Arial Narrow" w:hAnsi="Arial Narrow"/>
                <w:sz w:val="20"/>
                <w:szCs w:val="20"/>
              </w:rPr>
              <w:t xml:space="preserve">The treatment must be in combination with </w:t>
            </w:r>
            <w:r w:rsidRPr="00447872">
              <w:rPr>
                <w:rFonts w:ascii="Arial Narrow" w:hAnsi="Arial Narrow"/>
                <w:sz w:val="20"/>
                <w:szCs w:val="20"/>
              </w:rPr>
              <w:t>standard intensive remission consolidation</w:t>
            </w:r>
            <w:r w:rsidRPr="00842E06">
              <w:rPr>
                <w:rFonts w:ascii="Arial Narrow" w:hAnsi="Arial Narrow"/>
                <w:sz w:val="20"/>
                <w:szCs w:val="20"/>
              </w:rPr>
              <w:t xml:space="preserve"> chemotherapy for this condition,</w:t>
            </w:r>
            <w:r w:rsidRPr="00447872">
              <w:rPr>
                <w:rFonts w:ascii="Arial Narrow" w:hAnsi="Arial Narrow"/>
                <w:sz w:val="20"/>
                <w:szCs w:val="20"/>
              </w:rPr>
              <w:t xml:space="preserve"> which must include cytarabine and an anthracycline.</w:t>
            </w:r>
          </w:p>
        </w:tc>
      </w:tr>
      <w:tr w:rsidR="009764DB" w:rsidRPr="00842E06" w14:paraId="7AA41F05" w14:textId="77777777" w:rsidTr="009764DB">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6C4C51" w14:textId="77777777" w:rsidR="009764DB" w:rsidRPr="00842E06"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B86FC1" w14:textId="77777777" w:rsidR="009764DB" w:rsidRPr="00842E06" w:rsidRDefault="009764DB" w:rsidP="009764DB">
            <w:pPr>
              <w:rPr>
                <w:rFonts w:ascii="Arial Narrow" w:hAnsi="Arial Narrow"/>
                <w:sz w:val="20"/>
                <w:szCs w:val="20"/>
              </w:rPr>
            </w:pPr>
            <w:r w:rsidRPr="00842E06">
              <w:rPr>
                <w:rFonts w:ascii="Arial Narrow" w:hAnsi="Arial Narrow"/>
                <w:b/>
                <w:bCs/>
                <w:sz w:val="20"/>
                <w:szCs w:val="20"/>
              </w:rPr>
              <w:t>AND</w:t>
            </w:r>
          </w:p>
        </w:tc>
      </w:tr>
      <w:tr w:rsidR="009764DB" w:rsidRPr="00842E06" w14:paraId="7B2498A8" w14:textId="77777777" w:rsidTr="009764DB">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46EFD7" w14:textId="77777777" w:rsidR="009764DB" w:rsidRPr="00842E06"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6BC9AD" w14:textId="77777777" w:rsidR="009764DB" w:rsidRPr="00842E06" w:rsidRDefault="009764DB" w:rsidP="009764DB">
            <w:pPr>
              <w:rPr>
                <w:rFonts w:ascii="Arial Narrow" w:hAnsi="Arial Narrow"/>
                <w:sz w:val="20"/>
                <w:szCs w:val="20"/>
              </w:rPr>
            </w:pPr>
            <w:r w:rsidRPr="00842E06">
              <w:rPr>
                <w:rFonts w:ascii="Arial Narrow" w:hAnsi="Arial Narrow"/>
                <w:b/>
                <w:bCs/>
                <w:sz w:val="20"/>
                <w:szCs w:val="20"/>
              </w:rPr>
              <w:t>Clinical criteria:</w:t>
            </w:r>
          </w:p>
        </w:tc>
      </w:tr>
      <w:tr w:rsidR="009764DB" w:rsidRPr="006331A2" w14:paraId="59183BD3" w14:textId="77777777" w:rsidTr="00D1186C">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0168AE" w14:textId="77777777" w:rsidR="009764DB" w:rsidRPr="00842E06" w:rsidRDefault="009764DB" w:rsidP="009764DB">
            <w:pPr>
              <w:jc w:val="center"/>
              <w:rPr>
                <w:rFonts w:ascii="Arial Narrow" w:hAnsi="Arial Narrow"/>
                <w:i/>
                <w:iCs/>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9BA98" w14:textId="77777777" w:rsidR="009764DB" w:rsidRPr="00842E06" w:rsidRDefault="009764DB" w:rsidP="009764DB">
            <w:pPr>
              <w:rPr>
                <w:rFonts w:ascii="Arial Narrow" w:hAnsi="Arial Narrow"/>
                <w:sz w:val="20"/>
                <w:szCs w:val="20"/>
              </w:rPr>
            </w:pPr>
            <w:r w:rsidRPr="00842E06">
              <w:rPr>
                <w:rFonts w:ascii="Arial Narrow" w:hAnsi="Arial Narrow"/>
                <w:sz w:val="20"/>
                <w:szCs w:val="20"/>
              </w:rPr>
              <w:t xml:space="preserve">Patient must not receive more than </w:t>
            </w:r>
            <w:r>
              <w:rPr>
                <w:rFonts w:ascii="Arial Narrow" w:hAnsi="Arial Narrow"/>
                <w:sz w:val="20"/>
                <w:szCs w:val="20"/>
              </w:rPr>
              <w:t>2</w:t>
            </w:r>
            <w:r w:rsidRPr="00842E06">
              <w:rPr>
                <w:rFonts w:ascii="Arial Narrow" w:hAnsi="Arial Narrow"/>
                <w:sz w:val="20"/>
                <w:szCs w:val="20"/>
              </w:rPr>
              <w:t xml:space="preserve"> </w:t>
            </w:r>
            <w:r>
              <w:rPr>
                <w:rFonts w:ascii="Arial Narrow" w:hAnsi="Arial Narrow"/>
                <w:sz w:val="20"/>
                <w:szCs w:val="20"/>
              </w:rPr>
              <w:t>consolidation</w:t>
            </w:r>
            <w:r w:rsidRPr="00842E06">
              <w:rPr>
                <w:rFonts w:ascii="Arial Narrow" w:hAnsi="Arial Narrow"/>
                <w:sz w:val="20"/>
                <w:szCs w:val="20"/>
              </w:rPr>
              <w:t xml:space="preserve"> cycle</w:t>
            </w:r>
            <w:r>
              <w:rPr>
                <w:rFonts w:ascii="Arial Narrow" w:hAnsi="Arial Narrow"/>
                <w:sz w:val="20"/>
                <w:szCs w:val="20"/>
              </w:rPr>
              <w:t>s</w:t>
            </w:r>
            <w:r w:rsidRPr="00842E06">
              <w:rPr>
                <w:rFonts w:ascii="Arial Narrow" w:hAnsi="Arial Narrow"/>
                <w:sz w:val="20"/>
                <w:szCs w:val="20"/>
              </w:rPr>
              <w:t xml:space="preserve"> under this restriction in a lifetime.</w:t>
            </w:r>
          </w:p>
        </w:tc>
      </w:tr>
      <w:tr w:rsidR="009764DB" w:rsidRPr="00447872" w14:paraId="46C79A9E" w14:textId="77777777" w:rsidTr="00D1186C">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BBE8FE" w14:textId="77777777" w:rsidR="009764DB" w:rsidRPr="00447872"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61BDB" w14:textId="77777777" w:rsidR="009764DB" w:rsidRPr="00447872" w:rsidRDefault="009764DB" w:rsidP="009764DB">
            <w:pPr>
              <w:autoSpaceDE w:val="0"/>
              <w:autoSpaceDN w:val="0"/>
              <w:adjustRightInd w:val="0"/>
              <w:rPr>
                <w:rFonts w:ascii="Arial Narrow" w:hAnsi="Arial Narrow" w:cs="Arial Narrow"/>
                <w:strike/>
                <w:sz w:val="20"/>
                <w:szCs w:val="20"/>
              </w:rPr>
            </w:pPr>
            <w:r w:rsidRPr="00447872">
              <w:rPr>
                <w:rFonts w:ascii="Arial Narrow" w:hAnsi="Arial Narrow"/>
                <w:b/>
                <w:bCs/>
                <w:sz w:val="20"/>
                <w:szCs w:val="20"/>
              </w:rPr>
              <w:t>Prescribing Instructions:</w:t>
            </w:r>
            <w:r w:rsidRPr="00447872">
              <w:rPr>
                <w:rFonts w:ascii="Arial Narrow" w:hAnsi="Arial Narrow"/>
                <w:sz w:val="20"/>
                <w:szCs w:val="20"/>
              </w:rPr>
              <w:t xml:space="preserve"> This drug is not PBS-subsidised if it is prescribed to an in-patient in a public hospital setting.</w:t>
            </w:r>
          </w:p>
        </w:tc>
      </w:tr>
      <w:tr w:rsidR="009764DB" w:rsidRPr="00842E06" w14:paraId="323970AC" w14:textId="77777777" w:rsidTr="00D1186C">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837530" w14:textId="77777777" w:rsidR="009764DB" w:rsidRPr="00842E06"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33B1D1" w14:textId="77777777" w:rsidR="009764DB" w:rsidRPr="00447872" w:rsidRDefault="009764DB" w:rsidP="009764DB">
            <w:pPr>
              <w:rPr>
                <w:rFonts w:ascii="Arial Narrow" w:hAnsi="Arial Narrow"/>
                <w:sz w:val="20"/>
                <w:szCs w:val="20"/>
              </w:rPr>
            </w:pPr>
            <w:r w:rsidRPr="00447872">
              <w:rPr>
                <w:rFonts w:ascii="Arial Narrow" w:hAnsi="Arial Narrow"/>
                <w:b/>
                <w:bCs/>
                <w:sz w:val="20"/>
                <w:szCs w:val="20"/>
              </w:rPr>
              <w:t>Prescribing Instructions:</w:t>
            </w:r>
            <w:r w:rsidRPr="00447872">
              <w:rPr>
                <w:rFonts w:ascii="Arial Narrow" w:hAnsi="Arial Narrow"/>
                <w:sz w:val="20"/>
                <w:szCs w:val="20"/>
              </w:rPr>
              <w:t xml:space="preserve"> A patient who has progressive disease when treated with this drug is no longer eligible for PBS-subsidised treatment with this drug.</w:t>
            </w:r>
          </w:p>
        </w:tc>
      </w:tr>
      <w:tr w:rsidR="009764DB" w:rsidRPr="00447872" w14:paraId="0CFFE188" w14:textId="77777777" w:rsidTr="00D1186C">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A456D7" w14:textId="77777777" w:rsidR="009764DB" w:rsidRPr="00447872"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A46693" w14:textId="77777777" w:rsidR="009764DB" w:rsidRPr="00447872" w:rsidRDefault="009764DB" w:rsidP="009764DB">
            <w:pPr>
              <w:rPr>
                <w:rFonts w:ascii="Arial Narrow" w:hAnsi="Arial Narrow"/>
                <w:sz w:val="20"/>
                <w:szCs w:val="20"/>
              </w:rPr>
            </w:pPr>
            <w:r w:rsidRPr="00447872">
              <w:rPr>
                <w:rFonts w:ascii="Arial Narrow" w:hAnsi="Arial Narrow"/>
                <w:b/>
                <w:bCs/>
                <w:sz w:val="20"/>
                <w:szCs w:val="20"/>
              </w:rPr>
              <w:t>Prescribing Instructions:</w:t>
            </w:r>
            <w:r w:rsidRPr="00447872">
              <w:rPr>
                <w:rFonts w:ascii="Arial Narrow" w:hAnsi="Arial Narrow"/>
                <w:sz w:val="20"/>
                <w:szCs w:val="20"/>
              </w:rPr>
              <w:t xml:space="preserve"> Complete remission following induction is defined as fewer than 5% blasts in a normocellular marrow and an absolute neutrophil count of more than 1.0 × 10</w:t>
            </w:r>
            <w:r w:rsidRPr="00447872">
              <w:rPr>
                <w:rFonts w:ascii="Arial Narrow" w:hAnsi="Arial Narrow"/>
                <w:sz w:val="20"/>
                <w:szCs w:val="20"/>
                <w:vertAlign w:val="superscript"/>
              </w:rPr>
              <w:t>9</w:t>
            </w:r>
            <w:r w:rsidRPr="00447872">
              <w:rPr>
                <w:rFonts w:ascii="Arial Narrow" w:hAnsi="Arial Narrow"/>
                <w:sz w:val="20"/>
                <w:szCs w:val="20"/>
              </w:rPr>
              <w:t xml:space="preserve"> cells/L with a platelet count of 100 × 10</w:t>
            </w:r>
            <w:r w:rsidRPr="00447872">
              <w:rPr>
                <w:rFonts w:ascii="Arial Narrow" w:hAnsi="Arial Narrow"/>
                <w:sz w:val="20"/>
                <w:szCs w:val="20"/>
                <w:vertAlign w:val="superscript"/>
              </w:rPr>
              <w:t>9</w:t>
            </w:r>
            <w:r w:rsidRPr="00447872">
              <w:rPr>
                <w:rFonts w:ascii="Arial Narrow" w:hAnsi="Arial Narrow"/>
                <w:sz w:val="20"/>
                <w:szCs w:val="20"/>
              </w:rPr>
              <w:t>/L or more in the peripheral blood in the absence of transfusion.</w:t>
            </w:r>
          </w:p>
        </w:tc>
      </w:tr>
      <w:tr w:rsidR="009764DB" w:rsidRPr="00447872" w14:paraId="51080528" w14:textId="77777777" w:rsidTr="00D1186C">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BE6DC" w14:textId="77777777" w:rsidR="009764DB" w:rsidRPr="00447872"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547890" w14:textId="77777777" w:rsidR="009764DB" w:rsidRPr="00447872" w:rsidRDefault="009764DB" w:rsidP="009764DB">
            <w:pPr>
              <w:rPr>
                <w:rFonts w:ascii="Arial Narrow" w:hAnsi="Arial Narrow"/>
                <w:sz w:val="20"/>
                <w:szCs w:val="20"/>
              </w:rPr>
            </w:pPr>
            <w:r w:rsidRPr="00447872">
              <w:rPr>
                <w:rFonts w:ascii="Arial Narrow" w:hAnsi="Arial Narrow"/>
                <w:b/>
                <w:bCs/>
                <w:sz w:val="20"/>
                <w:szCs w:val="20"/>
              </w:rPr>
              <w:t>Prescribing Instructions:</w:t>
            </w:r>
            <w:r w:rsidRPr="00447872">
              <w:rPr>
                <w:rFonts w:ascii="Arial Narrow" w:hAnsi="Arial Narrow"/>
                <w:sz w:val="20"/>
                <w:szCs w:val="20"/>
              </w:rPr>
              <w:t xml:space="preserve"> </w:t>
            </w:r>
          </w:p>
          <w:p w14:paraId="46A202B4" w14:textId="77777777" w:rsidR="009764DB" w:rsidRPr="00447872" w:rsidRDefault="009764DB" w:rsidP="009764DB">
            <w:pPr>
              <w:rPr>
                <w:rFonts w:ascii="Arial Narrow" w:hAnsi="Arial Narrow"/>
                <w:sz w:val="20"/>
                <w:szCs w:val="20"/>
              </w:rPr>
            </w:pPr>
            <w:r w:rsidRPr="00447872">
              <w:rPr>
                <w:rFonts w:ascii="Arial Narrow" w:hAnsi="Arial Narrow"/>
                <w:sz w:val="20"/>
                <w:szCs w:val="20"/>
              </w:rPr>
              <w:t>Progressive disease is defined as the presence of any of the following:</w:t>
            </w:r>
          </w:p>
          <w:p w14:paraId="504E9DCA" w14:textId="77777777" w:rsidR="009764DB" w:rsidRPr="00447872" w:rsidRDefault="009764DB" w:rsidP="009764DB">
            <w:pPr>
              <w:rPr>
                <w:rFonts w:ascii="Arial Narrow" w:hAnsi="Arial Narrow"/>
                <w:sz w:val="20"/>
                <w:szCs w:val="20"/>
              </w:rPr>
            </w:pPr>
            <w:r w:rsidRPr="00447872">
              <w:rPr>
                <w:rFonts w:ascii="Arial Narrow" w:hAnsi="Arial Narrow"/>
                <w:sz w:val="20"/>
                <w:szCs w:val="20"/>
              </w:rPr>
              <w:t>•Leukaemic cells in the CSF;</w:t>
            </w:r>
          </w:p>
          <w:p w14:paraId="73082586" w14:textId="77777777" w:rsidR="009764DB" w:rsidRPr="00447872" w:rsidRDefault="009764DB" w:rsidP="009764DB">
            <w:pPr>
              <w:rPr>
                <w:rFonts w:ascii="Arial Narrow" w:hAnsi="Arial Narrow"/>
                <w:sz w:val="20"/>
                <w:szCs w:val="20"/>
              </w:rPr>
            </w:pPr>
            <w:r w:rsidRPr="00447872">
              <w:rPr>
                <w:rFonts w:ascii="Arial Narrow" w:hAnsi="Arial Narrow"/>
                <w:sz w:val="20"/>
                <w:szCs w:val="20"/>
              </w:rPr>
              <w:t xml:space="preserve">•Re-appearance of circulating blast cells in the peripheral blood, not attributable to overshoot following recovery from myeloablative therapy; </w:t>
            </w:r>
          </w:p>
          <w:p w14:paraId="1A94690A" w14:textId="77777777" w:rsidR="009764DB" w:rsidRPr="00447872" w:rsidRDefault="009764DB" w:rsidP="009764DB">
            <w:pPr>
              <w:rPr>
                <w:rFonts w:ascii="Arial Narrow" w:hAnsi="Arial Narrow"/>
                <w:sz w:val="20"/>
                <w:szCs w:val="20"/>
              </w:rPr>
            </w:pPr>
            <w:r w:rsidRPr="00447872">
              <w:rPr>
                <w:rFonts w:ascii="Arial Narrow" w:hAnsi="Arial Narrow"/>
                <w:sz w:val="20"/>
                <w:szCs w:val="20"/>
              </w:rPr>
              <w:t xml:space="preserve">•Greater than 5 % blasts in the marrow not attributable to bone marrow regeneration or another cause; </w:t>
            </w:r>
          </w:p>
          <w:p w14:paraId="4A8E52B7" w14:textId="77777777" w:rsidR="009764DB" w:rsidRPr="00447872" w:rsidRDefault="009764DB" w:rsidP="009764DB">
            <w:pPr>
              <w:rPr>
                <w:rFonts w:ascii="Arial Narrow" w:hAnsi="Arial Narrow"/>
                <w:sz w:val="20"/>
                <w:szCs w:val="20"/>
              </w:rPr>
            </w:pPr>
            <w:r w:rsidRPr="00447872">
              <w:rPr>
                <w:rFonts w:ascii="Arial Narrow" w:hAnsi="Arial Narrow"/>
                <w:sz w:val="20"/>
                <w:szCs w:val="20"/>
              </w:rPr>
              <w:t>•Extramedullary leukaemia.</w:t>
            </w:r>
          </w:p>
        </w:tc>
      </w:tr>
      <w:tr w:rsidR="009764DB" w:rsidRPr="00447872" w14:paraId="1840EEFE" w14:textId="77777777" w:rsidTr="00D1186C">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BA9EBB" w14:textId="77777777" w:rsidR="009764DB" w:rsidRPr="00447872"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68458D" w14:textId="77777777" w:rsidR="009764DB" w:rsidRPr="00447872" w:rsidRDefault="009764DB" w:rsidP="009764DB">
            <w:pPr>
              <w:rPr>
                <w:rFonts w:ascii="Arial Narrow" w:hAnsi="Arial Narrow"/>
                <w:sz w:val="20"/>
                <w:szCs w:val="20"/>
              </w:rPr>
            </w:pPr>
            <w:r w:rsidRPr="00447872">
              <w:rPr>
                <w:rFonts w:ascii="Arial Narrow" w:hAnsi="Arial Narrow"/>
                <w:b/>
                <w:bCs/>
                <w:sz w:val="20"/>
                <w:szCs w:val="20"/>
              </w:rPr>
              <w:t xml:space="preserve">Administrative Advice: </w:t>
            </w:r>
            <w:r w:rsidRPr="00447872">
              <w:rPr>
                <w:rFonts w:ascii="Arial Narrow" w:hAnsi="Arial Narrow"/>
                <w:sz w:val="20"/>
                <w:szCs w:val="20"/>
              </w:rPr>
              <w:t>No increase in the maximum number of repeats may be authorised.</w:t>
            </w:r>
          </w:p>
        </w:tc>
      </w:tr>
      <w:tr w:rsidR="009764DB" w:rsidRPr="00447872" w14:paraId="541EA563" w14:textId="77777777" w:rsidTr="00D1186C">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1D45AB" w14:textId="77777777" w:rsidR="009764DB" w:rsidRPr="00447872" w:rsidRDefault="009764DB" w:rsidP="009764DB">
            <w:pPr>
              <w:jc w:val="center"/>
              <w:rPr>
                <w:rFonts w:ascii="Arial Narrow" w:hAnsi="Arial Narrow"/>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06635D" w14:textId="77777777" w:rsidR="009764DB" w:rsidRPr="00447872" w:rsidRDefault="009764DB" w:rsidP="009764DB">
            <w:pPr>
              <w:rPr>
                <w:rFonts w:ascii="Arial Narrow" w:hAnsi="Arial Narrow"/>
                <w:sz w:val="20"/>
                <w:szCs w:val="20"/>
              </w:rPr>
            </w:pPr>
            <w:r w:rsidRPr="00447872">
              <w:rPr>
                <w:rFonts w:ascii="Arial Narrow" w:hAnsi="Arial Narrow"/>
                <w:b/>
                <w:bCs/>
                <w:sz w:val="20"/>
                <w:szCs w:val="20"/>
              </w:rPr>
              <w:t xml:space="preserve">Administrative Advice: </w:t>
            </w:r>
            <w:r w:rsidRPr="00447872">
              <w:rPr>
                <w:rFonts w:ascii="Arial Narrow" w:hAnsi="Arial Narrow"/>
                <w:sz w:val="20"/>
                <w:szCs w:val="20"/>
              </w:rPr>
              <w:t>No increase in the maximum amount or number of units may be authorised.</w:t>
            </w:r>
          </w:p>
        </w:tc>
      </w:tr>
      <w:tr w:rsidR="009764DB" w:rsidRPr="00447872" w14:paraId="56498CF4" w14:textId="77777777" w:rsidTr="00D1186C">
        <w:trPr>
          <w:trHeight w:val="20"/>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BBAACF" w14:textId="77777777" w:rsidR="009764DB" w:rsidRPr="00447872" w:rsidRDefault="009764DB" w:rsidP="009764DB">
            <w:pPr>
              <w:jc w:val="center"/>
              <w:rPr>
                <w:rFonts w:ascii="Arial Narrow" w:hAnsi="Arial Narrow"/>
                <w:b/>
                <w:bCs/>
                <w:sz w:val="20"/>
                <w:szCs w:val="20"/>
              </w:rPr>
            </w:pPr>
          </w:p>
        </w:tc>
        <w:tc>
          <w:tcPr>
            <w:tcW w:w="803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948F47" w14:textId="77777777" w:rsidR="009764DB" w:rsidRPr="00447872" w:rsidRDefault="009764DB" w:rsidP="009764DB">
            <w:pPr>
              <w:rPr>
                <w:rFonts w:ascii="Arial Narrow" w:hAnsi="Arial Narrow"/>
                <w:b/>
                <w:bCs/>
                <w:sz w:val="20"/>
                <w:szCs w:val="20"/>
              </w:rPr>
            </w:pPr>
            <w:r w:rsidRPr="00447872">
              <w:rPr>
                <w:rFonts w:ascii="Arial Narrow" w:hAnsi="Arial Narrow"/>
                <w:b/>
                <w:bCs/>
                <w:sz w:val="20"/>
                <w:szCs w:val="20"/>
              </w:rPr>
              <w:t>Administrative Advice:</w:t>
            </w:r>
            <w:r>
              <w:rPr>
                <w:rFonts w:ascii="Arial Narrow" w:hAnsi="Arial Narrow"/>
                <w:b/>
                <w:bCs/>
                <w:sz w:val="20"/>
                <w:szCs w:val="20"/>
              </w:rPr>
              <w:t xml:space="preserve"> </w:t>
            </w:r>
            <w:r w:rsidRPr="00447872">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5EB157A3" w14:textId="77777777" w:rsidR="0041294A" w:rsidRDefault="0041294A" w:rsidP="0041294A"/>
    <w:p w14:paraId="31CF6B69" w14:textId="314FC9FB" w:rsidR="00453FEE" w:rsidRPr="00D32B02" w:rsidRDefault="00BC40EE" w:rsidP="009764DB">
      <w:pPr>
        <w:rPr>
          <w:lang w:val="en-GB"/>
        </w:rPr>
      </w:pPr>
      <w:bookmarkStart w:id="55" w:name="_Hlk88558963"/>
      <w:r w:rsidRPr="00BC40EE">
        <w:rPr>
          <w:b/>
          <w:bCs/>
          <w:i/>
          <w:iCs/>
        </w:rPr>
        <w:t xml:space="preserve">These restrictions may be subject to further review. Should there be any changes made to the restriction the </w:t>
      </w:r>
      <w:r>
        <w:rPr>
          <w:b/>
          <w:bCs/>
          <w:i/>
          <w:iCs/>
        </w:rPr>
        <w:t>s</w:t>
      </w:r>
      <w:r w:rsidRPr="00BC40EE">
        <w:rPr>
          <w:b/>
          <w:bCs/>
          <w:i/>
          <w:iCs/>
        </w:rPr>
        <w:t>ponsor will be informed.</w:t>
      </w:r>
      <w:bookmarkEnd w:id="49"/>
      <w:bookmarkEnd w:id="55"/>
    </w:p>
    <w:p w14:paraId="7D58726F" w14:textId="77777777" w:rsidR="00401A35" w:rsidRPr="00401A35" w:rsidRDefault="00401A35" w:rsidP="00401A35">
      <w:pPr>
        <w:pStyle w:val="2-SectionHeading"/>
        <w:numPr>
          <w:ilvl w:val="0"/>
          <w:numId w:val="1"/>
        </w:numPr>
      </w:pPr>
      <w:r w:rsidRPr="00C07617">
        <w:t>Context for Decision</w:t>
      </w:r>
    </w:p>
    <w:p w14:paraId="452AFD9E" w14:textId="77777777" w:rsidR="00401A35" w:rsidRPr="007129F2" w:rsidRDefault="00401A35" w:rsidP="00401A35">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D506274" w14:textId="77777777" w:rsidR="00401A35" w:rsidRPr="00401A35" w:rsidRDefault="00401A35" w:rsidP="00401A35">
      <w:pPr>
        <w:pStyle w:val="2-SectionHeading"/>
        <w:numPr>
          <w:ilvl w:val="0"/>
          <w:numId w:val="1"/>
        </w:numPr>
      </w:pPr>
      <w:r>
        <w:t>Sponsor’s Comment</w:t>
      </w:r>
    </w:p>
    <w:p w14:paraId="2FDDBDA1" w14:textId="77777777" w:rsidR="00401A35" w:rsidRPr="001179AC" w:rsidRDefault="00401A35" w:rsidP="00401A35">
      <w:pPr>
        <w:spacing w:after="120"/>
        <w:ind w:left="426" w:firstLine="294"/>
        <w:rPr>
          <w:rFonts w:asciiTheme="minorHAnsi" w:hAnsiTheme="minorHAnsi"/>
          <w:bCs/>
        </w:rPr>
      </w:pPr>
      <w:r w:rsidRPr="00C07617">
        <w:rPr>
          <w:rFonts w:asciiTheme="minorHAnsi" w:hAnsiTheme="minorHAnsi"/>
          <w:bCs/>
        </w:rPr>
        <w:t>The sponsor had no comment.</w:t>
      </w:r>
    </w:p>
    <w:p w14:paraId="68C099E2" w14:textId="77777777" w:rsidR="00401A35" w:rsidRDefault="00401A35" w:rsidP="009764DB">
      <w:pPr>
        <w:rPr>
          <w:snapToGrid w:val="0"/>
        </w:rPr>
      </w:pPr>
    </w:p>
    <w:sectPr w:rsidR="00401A35" w:rsidSect="0025100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41E093" w16cid:durableId="25C333F1"/>
  <w16cid:commentId w16cid:paraId="4D179595" w16cid:durableId="25C3265C"/>
  <w16cid:commentId w16cid:paraId="22A48DFC" w16cid:durableId="25C322A4"/>
  <w16cid:commentId w16cid:paraId="517828CB" w16cid:durableId="25C3230B"/>
  <w16cid:commentId w16cid:paraId="5AC1DBAD" w16cid:durableId="25C323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67CEA" w14:textId="77777777" w:rsidR="00CB3D84" w:rsidRDefault="00CB3D84" w:rsidP="00124A51">
      <w:r>
        <w:separator/>
      </w:r>
    </w:p>
    <w:p w14:paraId="41C301C9" w14:textId="77777777" w:rsidR="00CB3D84" w:rsidRDefault="00CB3D84"/>
  </w:endnote>
  <w:endnote w:type="continuationSeparator" w:id="0">
    <w:p w14:paraId="3535F64A" w14:textId="77777777" w:rsidR="00CB3D84" w:rsidRDefault="00CB3D84" w:rsidP="00124A51">
      <w:r>
        <w:continuationSeparator/>
      </w:r>
    </w:p>
    <w:p w14:paraId="72365384" w14:textId="77777777" w:rsidR="00CB3D84" w:rsidRDefault="00CB3D84"/>
  </w:endnote>
  <w:endnote w:type="continuationNotice" w:id="1">
    <w:p w14:paraId="05386A49" w14:textId="77777777" w:rsidR="00CB3D84" w:rsidRDefault="00CB3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BB09" w14:textId="77777777" w:rsidR="00B500BA" w:rsidRDefault="00B50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4C59" w14:textId="77777777" w:rsidR="00CB3D84" w:rsidRDefault="00CB3D84" w:rsidP="007C545D">
    <w:pPr>
      <w:contextualSpacing/>
      <w:rPr>
        <w:rFonts w:eastAsia="Calibri"/>
        <w:szCs w:val="22"/>
      </w:rPr>
    </w:pPr>
  </w:p>
  <w:bookmarkStart w:id="57" w:name="_Hlk76375156"/>
  <w:p w14:paraId="57C3B1A5" w14:textId="29B84ACA" w:rsidR="00CB3D84" w:rsidRPr="007C545D" w:rsidRDefault="00CB3D84" w:rsidP="007C545D">
    <w:pPr>
      <w:pStyle w:val="Footer"/>
      <w:keepNext/>
      <w:ind w:left="360"/>
      <w:jc w:val="center"/>
    </w:pPr>
    <w:r w:rsidRPr="00836F75">
      <w:rPr>
        <w:b/>
      </w:rPr>
      <w:fldChar w:fldCharType="begin"/>
    </w:r>
    <w:r w:rsidRPr="00836F75">
      <w:rPr>
        <w:b/>
      </w:rPr>
      <w:instrText xml:space="preserve"> PAGE   \* MERGEFORMAT </w:instrText>
    </w:r>
    <w:r w:rsidRPr="00836F75">
      <w:rPr>
        <w:b/>
      </w:rPr>
      <w:fldChar w:fldCharType="separate"/>
    </w:r>
    <w:r w:rsidR="000B5D34">
      <w:rPr>
        <w:b/>
        <w:noProof/>
      </w:rPr>
      <w:t>48</w:t>
    </w:r>
    <w:r w:rsidRPr="00836F75">
      <w:rPr>
        <w:b/>
        <w:noProof/>
      </w:rPr>
      <w:fldChar w:fldCharType="end"/>
    </w:r>
    <w:bookmarkEnd w:id="57"/>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2A784" w14:textId="77777777" w:rsidR="00B500BA" w:rsidRDefault="00B50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D62FD" w14:textId="77777777" w:rsidR="00CB3D84" w:rsidRDefault="00CB3D84" w:rsidP="00124A51">
      <w:r>
        <w:separator/>
      </w:r>
    </w:p>
    <w:p w14:paraId="4F7B41BA" w14:textId="77777777" w:rsidR="00CB3D84" w:rsidRDefault="00CB3D84"/>
  </w:footnote>
  <w:footnote w:type="continuationSeparator" w:id="0">
    <w:p w14:paraId="69493583" w14:textId="77777777" w:rsidR="00CB3D84" w:rsidRDefault="00CB3D84" w:rsidP="00124A51">
      <w:r>
        <w:continuationSeparator/>
      </w:r>
    </w:p>
    <w:p w14:paraId="3896E484" w14:textId="77777777" w:rsidR="00CB3D84" w:rsidRDefault="00CB3D84"/>
  </w:footnote>
  <w:footnote w:type="continuationNotice" w:id="1">
    <w:p w14:paraId="3E8500BF" w14:textId="77777777" w:rsidR="00CB3D84" w:rsidRDefault="00CB3D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FDBE" w14:textId="77777777" w:rsidR="00B500BA" w:rsidRDefault="00B50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5C0F0" w14:textId="77777777" w:rsidR="00CB3D84" w:rsidRPr="007C545D" w:rsidRDefault="00CB3D84" w:rsidP="007C545D">
    <w:pPr>
      <w:pStyle w:val="Header"/>
      <w:keepNext/>
      <w:ind w:left="360"/>
      <w:jc w:val="center"/>
      <w:rPr>
        <w:i/>
        <w:color w:val="808080"/>
      </w:rPr>
    </w:pPr>
    <w:bookmarkStart w:id="56" w:name="_Hlk76375146"/>
    <w:r>
      <w:rPr>
        <w:i/>
        <w:color w:val="808080"/>
      </w:rPr>
      <w:t>Public Summary Document</w:t>
    </w:r>
    <w:r w:rsidRPr="007C545D">
      <w:rPr>
        <w:i/>
        <w:color w:val="808080"/>
      </w:rPr>
      <w:t xml:space="preserve"> – November 2021 PBAC Meeting</w:t>
    </w:r>
  </w:p>
  <w:bookmarkEnd w:id="56"/>
  <w:p w14:paraId="4CE77A79" w14:textId="77777777" w:rsidR="00CB3D84" w:rsidRPr="007C545D" w:rsidRDefault="00CB3D84" w:rsidP="007C5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D1AFB" w14:textId="77777777" w:rsidR="00B500BA" w:rsidRDefault="00B50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121944"/>
    <w:multiLevelType w:val="hybridMultilevel"/>
    <w:tmpl w:val="DE7E25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5F629ED"/>
    <w:multiLevelType w:val="hybridMultilevel"/>
    <w:tmpl w:val="5CDAA5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19518F9"/>
    <w:multiLevelType w:val="hybridMultilevel"/>
    <w:tmpl w:val="84B0C2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435443B"/>
    <w:multiLevelType w:val="hybridMultilevel"/>
    <w:tmpl w:val="A79A52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257FF4"/>
    <w:multiLevelType w:val="hybridMultilevel"/>
    <w:tmpl w:val="FB127382"/>
    <w:lvl w:ilvl="0" w:tplc="08061D3E">
      <w:start w:val="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7E65FD"/>
    <w:multiLevelType w:val="hybridMultilevel"/>
    <w:tmpl w:val="704C9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FE79FA"/>
    <w:multiLevelType w:val="hybridMultilevel"/>
    <w:tmpl w:val="57B430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A390D"/>
    <w:multiLevelType w:val="hybridMultilevel"/>
    <w:tmpl w:val="DFC297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4D81AFE"/>
    <w:multiLevelType w:val="hybridMultilevel"/>
    <w:tmpl w:val="954270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7B1D8D"/>
    <w:multiLevelType w:val="hybridMultilevel"/>
    <w:tmpl w:val="4BC8BD50"/>
    <w:lvl w:ilvl="0" w:tplc="270A0692">
      <w:start w:val="1"/>
      <w:numFmt w:val="decimal"/>
      <w:lvlText w:val="%1."/>
      <w:lvlJc w:val="left"/>
      <w:pPr>
        <w:ind w:left="720" w:hanging="360"/>
      </w:pPr>
      <w:rPr>
        <w:rFonts w:asciiTheme="minorHAnsi" w:hAnsiTheme="minorHAnsi" w:cstheme="minorHAnsi"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0114638"/>
    <w:multiLevelType w:val="hybridMultilevel"/>
    <w:tmpl w:val="18886F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1516FA"/>
    <w:multiLevelType w:val="hybridMultilevel"/>
    <w:tmpl w:val="4B36BA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430A34"/>
    <w:multiLevelType w:val="hybridMultilevel"/>
    <w:tmpl w:val="A28C6C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F53672A"/>
    <w:multiLevelType w:val="hybridMultilevel"/>
    <w:tmpl w:val="A4B43658"/>
    <w:lvl w:ilvl="0" w:tplc="1788446E">
      <w:start w:val="1"/>
      <w:numFmt w:val="decimal"/>
      <w:lvlText w:val="%1."/>
      <w:lvlJc w:val="left"/>
      <w:pPr>
        <w:ind w:left="1440" w:hanging="360"/>
      </w:pPr>
      <w:rPr>
        <w:i/>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9"/>
  </w:num>
  <w:num w:numId="2">
    <w:abstractNumId w:val="10"/>
  </w:num>
  <w:num w:numId="3">
    <w:abstractNumId w:val="0"/>
  </w:num>
  <w:num w:numId="4">
    <w:abstractNumId w:val="19"/>
  </w:num>
  <w:num w:numId="5">
    <w:abstractNumId w:val="8"/>
  </w:num>
  <w:num w:numId="6">
    <w:abstractNumId w:val="18"/>
  </w:num>
  <w:num w:numId="7">
    <w:abstractNumId w:val="3"/>
  </w:num>
  <w:num w:numId="8">
    <w:abstractNumId w:val="11"/>
  </w:num>
  <w:num w:numId="9">
    <w:abstractNumId w:val="12"/>
  </w:num>
  <w:num w:numId="10">
    <w:abstractNumId w:val="16"/>
  </w:num>
  <w:num w:numId="11">
    <w:abstractNumId w:val="20"/>
  </w:num>
  <w:num w:numId="12">
    <w:abstractNumId w:val="7"/>
  </w:num>
  <w:num w:numId="13">
    <w:abstractNumId w:val="5"/>
  </w:num>
  <w:num w:numId="14">
    <w:abstractNumId w:val="9"/>
  </w:num>
  <w:num w:numId="15">
    <w:abstractNumId w:val="21"/>
  </w:num>
  <w:num w:numId="16">
    <w:abstractNumId w:val="14"/>
  </w:num>
  <w:num w:numId="17">
    <w:abstractNumId w:val="13"/>
  </w:num>
  <w:num w:numId="18">
    <w:abstractNumId w:val="6"/>
  </w:num>
  <w:num w:numId="19">
    <w:abstractNumId w:val="4"/>
  </w:num>
  <w:num w:numId="2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
  </w:num>
  <w:num w:numId="23">
    <w:abstractNumId w:val="2"/>
  </w:num>
  <w:num w:numId="24">
    <w:abstractNumId w:val="19"/>
  </w:num>
  <w:num w:numId="25">
    <w:abstractNumId w:val="19"/>
  </w:num>
  <w:num w:numId="2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6FC"/>
    <w:rsid w:val="00000790"/>
    <w:rsid w:val="00000D5A"/>
    <w:rsid w:val="0000110B"/>
    <w:rsid w:val="000015F3"/>
    <w:rsid w:val="00001752"/>
    <w:rsid w:val="00001CB8"/>
    <w:rsid w:val="00001EFA"/>
    <w:rsid w:val="00002070"/>
    <w:rsid w:val="000020DA"/>
    <w:rsid w:val="000025E6"/>
    <w:rsid w:val="00002D3F"/>
    <w:rsid w:val="0000308D"/>
    <w:rsid w:val="00003499"/>
    <w:rsid w:val="000039B7"/>
    <w:rsid w:val="000039BC"/>
    <w:rsid w:val="00003B85"/>
    <w:rsid w:val="00003D00"/>
    <w:rsid w:val="00003DF8"/>
    <w:rsid w:val="0000419E"/>
    <w:rsid w:val="0000467A"/>
    <w:rsid w:val="0000468A"/>
    <w:rsid w:val="00004F92"/>
    <w:rsid w:val="00005D57"/>
    <w:rsid w:val="00005E34"/>
    <w:rsid w:val="0000639A"/>
    <w:rsid w:val="00006447"/>
    <w:rsid w:val="0000696C"/>
    <w:rsid w:val="00007162"/>
    <w:rsid w:val="00007314"/>
    <w:rsid w:val="00007602"/>
    <w:rsid w:val="0001064C"/>
    <w:rsid w:val="000107A8"/>
    <w:rsid w:val="0001087B"/>
    <w:rsid w:val="00010921"/>
    <w:rsid w:val="000112EF"/>
    <w:rsid w:val="000119A5"/>
    <w:rsid w:val="00011D18"/>
    <w:rsid w:val="0001248F"/>
    <w:rsid w:val="00012836"/>
    <w:rsid w:val="0001286B"/>
    <w:rsid w:val="000128BF"/>
    <w:rsid w:val="00012AC3"/>
    <w:rsid w:val="00013247"/>
    <w:rsid w:val="0001342B"/>
    <w:rsid w:val="000134AA"/>
    <w:rsid w:val="00013C72"/>
    <w:rsid w:val="000140BD"/>
    <w:rsid w:val="000157F6"/>
    <w:rsid w:val="00015886"/>
    <w:rsid w:val="00016093"/>
    <w:rsid w:val="000160AD"/>
    <w:rsid w:val="000162EF"/>
    <w:rsid w:val="0001677D"/>
    <w:rsid w:val="00016E50"/>
    <w:rsid w:val="000172E3"/>
    <w:rsid w:val="0001737A"/>
    <w:rsid w:val="00017564"/>
    <w:rsid w:val="0001780B"/>
    <w:rsid w:val="000178C5"/>
    <w:rsid w:val="0001799C"/>
    <w:rsid w:val="00017F18"/>
    <w:rsid w:val="000200DB"/>
    <w:rsid w:val="000204C3"/>
    <w:rsid w:val="000207C9"/>
    <w:rsid w:val="000207CF"/>
    <w:rsid w:val="000210F4"/>
    <w:rsid w:val="00021DFC"/>
    <w:rsid w:val="00022119"/>
    <w:rsid w:val="0002225F"/>
    <w:rsid w:val="00022860"/>
    <w:rsid w:val="00022B03"/>
    <w:rsid w:val="00023763"/>
    <w:rsid w:val="00023D4B"/>
    <w:rsid w:val="00023E93"/>
    <w:rsid w:val="0002438F"/>
    <w:rsid w:val="000252D2"/>
    <w:rsid w:val="000252FA"/>
    <w:rsid w:val="0002604B"/>
    <w:rsid w:val="00026837"/>
    <w:rsid w:val="00026CF8"/>
    <w:rsid w:val="00026D6E"/>
    <w:rsid w:val="00026EC6"/>
    <w:rsid w:val="000274B8"/>
    <w:rsid w:val="00027788"/>
    <w:rsid w:val="000279D0"/>
    <w:rsid w:val="00027B38"/>
    <w:rsid w:val="0003064E"/>
    <w:rsid w:val="00030ED0"/>
    <w:rsid w:val="00031118"/>
    <w:rsid w:val="000323D8"/>
    <w:rsid w:val="000330C2"/>
    <w:rsid w:val="0003321B"/>
    <w:rsid w:val="00033863"/>
    <w:rsid w:val="00033DD2"/>
    <w:rsid w:val="00033E7E"/>
    <w:rsid w:val="0003502D"/>
    <w:rsid w:val="000350A7"/>
    <w:rsid w:val="00035378"/>
    <w:rsid w:val="00035DC0"/>
    <w:rsid w:val="0003608A"/>
    <w:rsid w:val="0003635B"/>
    <w:rsid w:val="00036829"/>
    <w:rsid w:val="000368C7"/>
    <w:rsid w:val="00037D74"/>
    <w:rsid w:val="00040202"/>
    <w:rsid w:val="00040568"/>
    <w:rsid w:val="000406DF"/>
    <w:rsid w:val="00040895"/>
    <w:rsid w:val="00040BD1"/>
    <w:rsid w:val="000412AE"/>
    <w:rsid w:val="00041A56"/>
    <w:rsid w:val="00041C41"/>
    <w:rsid w:val="000426B1"/>
    <w:rsid w:val="00042E8B"/>
    <w:rsid w:val="000431D2"/>
    <w:rsid w:val="00043406"/>
    <w:rsid w:val="000435EE"/>
    <w:rsid w:val="0004382A"/>
    <w:rsid w:val="00043C37"/>
    <w:rsid w:val="00044E78"/>
    <w:rsid w:val="00045017"/>
    <w:rsid w:val="00045271"/>
    <w:rsid w:val="000455E1"/>
    <w:rsid w:val="00045745"/>
    <w:rsid w:val="00045A2B"/>
    <w:rsid w:val="00045C66"/>
    <w:rsid w:val="0004662B"/>
    <w:rsid w:val="000467B2"/>
    <w:rsid w:val="0004698F"/>
    <w:rsid w:val="000473B8"/>
    <w:rsid w:val="000473BD"/>
    <w:rsid w:val="00047402"/>
    <w:rsid w:val="00047446"/>
    <w:rsid w:val="00047C16"/>
    <w:rsid w:val="000505FA"/>
    <w:rsid w:val="00050990"/>
    <w:rsid w:val="00050B63"/>
    <w:rsid w:val="00050F74"/>
    <w:rsid w:val="00051206"/>
    <w:rsid w:val="00051F43"/>
    <w:rsid w:val="00052609"/>
    <w:rsid w:val="00052A14"/>
    <w:rsid w:val="00053371"/>
    <w:rsid w:val="000539BF"/>
    <w:rsid w:val="000539D0"/>
    <w:rsid w:val="00053A04"/>
    <w:rsid w:val="000540E9"/>
    <w:rsid w:val="000544DB"/>
    <w:rsid w:val="00054621"/>
    <w:rsid w:val="000546D7"/>
    <w:rsid w:val="00054C98"/>
    <w:rsid w:val="000550E9"/>
    <w:rsid w:val="0005529C"/>
    <w:rsid w:val="000554B2"/>
    <w:rsid w:val="00055846"/>
    <w:rsid w:val="00055877"/>
    <w:rsid w:val="00056ECF"/>
    <w:rsid w:val="000574E8"/>
    <w:rsid w:val="00057567"/>
    <w:rsid w:val="0005782A"/>
    <w:rsid w:val="000579CC"/>
    <w:rsid w:val="000604DF"/>
    <w:rsid w:val="0006050D"/>
    <w:rsid w:val="00060F00"/>
    <w:rsid w:val="000611CE"/>
    <w:rsid w:val="0006127A"/>
    <w:rsid w:val="00061406"/>
    <w:rsid w:val="00061AB5"/>
    <w:rsid w:val="00061AF6"/>
    <w:rsid w:val="00061B02"/>
    <w:rsid w:val="00061F15"/>
    <w:rsid w:val="00062152"/>
    <w:rsid w:val="00062375"/>
    <w:rsid w:val="00062867"/>
    <w:rsid w:val="00062B91"/>
    <w:rsid w:val="00064377"/>
    <w:rsid w:val="0006469B"/>
    <w:rsid w:val="00064868"/>
    <w:rsid w:val="00064C52"/>
    <w:rsid w:val="00064D95"/>
    <w:rsid w:val="00064E1E"/>
    <w:rsid w:val="00065077"/>
    <w:rsid w:val="0006515A"/>
    <w:rsid w:val="000653B5"/>
    <w:rsid w:val="0006568B"/>
    <w:rsid w:val="00065780"/>
    <w:rsid w:val="00065913"/>
    <w:rsid w:val="00066360"/>
    <w:rsid w:val="000667A0"/>
    <w:rsid w:val="00066AF8"/>
    <w:rsid w:val="00066F2B"/>
    <w:rsid w:val="00070A50"/>
    <w:rsid w:val="00070B69"/>
    <w:rsid w:val="00071070"/>
    <w:rsid w:val="00071248"/>
    <w:rsid w:val="00071249"/>
    <w:rsid w:val="00071300"/>
    <w:rsid w:val="00071FD3"/>
    <w:rsid w:val="000720B9"/>
    <w:rsid w:val="00072155"/>
    <w:rsid w:val="0007221A"/>
    <w:rsid w:val="00072242"/>
    <w:rsid w:val="00072399"/>
    <w:rsid w:val="00072892"/>
    <w:rsid w:val="000737D4"/>
    <w:rsid w:val="000737F7"/>
    <w:rsid w:val="0007398B"/>
    <w:rsid w:val="00073A56"/>
    <w:rsid w:val="00074209"/>
    <w:rsid w:val="000756E5"/>
    <w:rsid w:val="00075785"/>
    <w:rsid w:val="00075837"/>
    <w:rsid w:val="00076151"/>
    <w:rsid w:val="0007616B"/>
    <w:rsid w:val="0007672F"/>
    <w:rsid w:val="00076873"/>
    <w:rsid w:val="00076A73"/>
    <w:rsid w:val="00076B24"/>
    <w:rsid w:val="00076B49"/>
    <w:rsid w:val="00076B54"/>
    <w:rsid w:val="00077333"/>
    <w:rsid w:val="000774F0"/>
    <w:rsid w:val="00077643"/>
    <w:rsid w:val="00077D49"/>
    <w:rsid w:val="000803AA"/>
    <w:rsid w:val="00080909"/>
    <w:rsid w:val="00080F10"/>
    <w:rsid w:val="000812CA"/>
    <w:rsid w:val="00081736"/>
    <w:rsid w:val="00081838"/>
    <w:rsid w:val="00081E63"/>
    <w:rsid w:val="00081EF4"/>
    <w:rsid w:val="0008258D"/>
    <w:rsid w:val="00082A71"/>
    <w:rsid w:val="0008315A"/>
    <w:rsid w:val="00083E55"/>
    <w:rsid w:val="00083E99"/>
    <w:rsid w:val="0008497E"/>
    <w:rsid w:val="00084B33"/>
    <w:rsid w:val="00084EEE"/>
    <w:rsid w:val="00084F54"/>
    <w:rsid w:val="00084FA8"/>
    <w:rsid w:val="00085310"/>
    <w:rsid w:val="000853B5"/>
    <w:rsid w:val="000856C5"/>
    <w:rsid w:val="00085C31"/>
    <w:rsid w:val="00085D43"/>
    <w:rsid w:val="00086545"/>
    <w:rsid w:val="00086AFF"/>
    <w:rsid w:val="00087083"/>
    <w:rsid w:val="00087C9E"/>
    <w:rsid w:val="00087F97"/>
    <w:rsid w:val="000902D9"/>
    <w:rsid w:val="000905AB"/>
    <w:rsid w:val="000906B8"/>
    <w:rsid w:val="00090713"/>
    <w:rsid w:val="00090C7E"/>
    <w:rsid w:val="000910F1"/>
    <w:rsid w:val="00091256"/>
    <w:rsid w:val="0009132D"/>
    <w:rsid w:val="0009149E"/>
    <w:rsid w:val="0009182E"/>
    <w:rsid w:val="00091B39"/>
    <w:rsid w:val="00091D5E"/>
    <w:rsid w:val="00091D84"/>
    <w:rsid w:val="000925B8"/>
    <w:rsid w:val="00092600"/>
    <w:rsid w:val="0009262B"/>
    <w:rsid w:val="00092DDA"/>
    <w:rsid w:val="00092F7B"/>
    <w:rsid w:val="00092FAC"/>
    <w:rsid w:val="0009315C"/>
    <w:rsid w:val="00093310"/>
    <w:rsid w:val="00093593"/>
    <w:rsid w:val="00093A4A"/>
    <w:rsid w:val="00093C97"/>
    <w:rsid w:val="00093DBE"/>
    <w:rsid w:val="0009403C"/>
    <w:rsid w:val="0009445C"/>
    <w:rsid w:val="00094DFE"/>
    <w:rsid w:val="00095200"/>
    <w:rsid w:val="00095DD7"/>
    <w:rsid w:val="00095FE5"/>
    <w:rsid w:val="00096284"/>
    <w:rsid w:val="000964B5"/>
    <w:rsid w:val="00096F64"/>
    <w:rsid w:val="00097302"/>
    <w:rsid w:val="00097367"/>
    <w:rsid w:val="000978DB"/>
    <w:rsid w:val="00097A7A"/>
    <w:rsid w:val="00097EBF"/>
    <w:rsid w:val="000A0050"/>
    <w:rsid w:val="000A012D"/>
    <w:rsid w:val="000A0695"/>
    <w:rsid w:val="000A0860"/>
    <w:rsid w:val="000A1BC0"/>
    <w:rsid w:val="000A1C94"/>
    <w:rsid w:val="000A1D83"/>
    <w:rsid w:val="000A1D9C"/>
    <w:rsid w:val="000A288B"/>
    <w:rsid w:val="000A295C"/>
    <w:rsid w:val="000A295D"/>
    <w:rsid w:val="000A2CFE"/>
    <w:rsid w:val="000A2FB2"/>
    <w:rsid w:val="000A3884"/>
    <w:rsid w:val="000A4374"/>
    <w:rsid w:val="000A470D"/>
    <w:rsid w:val="000A6039"/>
    <w:rsid w:val="000A6184"/>
    <w:rsid w:val="000A656E"/>
    <w:rsid w:val="000A70D7"/>
    <w:rsid w:val="000A71C2"/>
    <w:rsid w:val="000A729C"/>
    <w:rsid w:val="000A7453"/>
    <w:rsid w:val="000A7502"/>
    <w:rsid w:val="000A7C13"/>
    <w:rsid w:val="000A7D08"/>
    <w:rsid w:val="000B00FF"/>
    <w:rsid w:val="000B0121"/>
    <w:rsid w:val="000B0646"/>
    <w:rsid w:val="000B0670"/>
    <w:rsid w:val="000B09A1"/>
    <w:rsid w:val="000B0B09"/>
    <w:rsid w:val="000B0CA1"/>
    <w:rsid w:val="000B0E75"/>
    <w:rsid w:val="000B10D9"/>
    <w:rsid w:val="000B159E"/>
    <w:rsid w:val="000B1C89"/>
    <w:rsid w:val="000B230F"/>
    <w:rsid w:val="000B2BAB"/>
    <w:rsid w:val="000B2DCB"/>
    <w:rsid w:val="000B2F2C"/>
    <w:rsid w:val="000B3D7D"/>
    <w:rsid w:val="000B48B9"/>
    <w:rsid w:val="000B5202"/>
    <w:rsid w:val="000B5CE0"/>
    <w:rsid w:val="000B5D34"/>
    <w:rsid w:val="000B601D"/>
    <w:rsid w:val="000B64E1"/>
    <w:rsid w:val="000B6A0F"/>
    <w:rsid w:val="000B6B93"/>
    <w:rsid w:val="000B6CAC"/>
    <w:rsid w:val="000B74E3"/>
    <w:rsid w:val="000B7612"/>
    <w:rsid w:val="000B78AE"/>
    <w:rsid w:val="000B7BD2"/>
    <w:rsid w:val="000B7D4F"/>
    <w:rsid w:val="000B7E37"/>
    <w:rsid w:val="000B7F3C"/>
    <w:rsid w:val="000C0031"/>
    <w:rsid w:val="000C022B"/>
    <w:rsid w:val="000C0B48"/>
    <w:rsid w:val="000C0C56"/>
    <w:rsid w:val="000C0CCD"/>
    <w:rsid w:val="000C110A"/>
    <w:rsid w:val="000C1A7B"/>
    <w:rsid w:val="000C1B36"/>
    <w:rsid w:val="000C1B3F"/>
    <w:rsid w:val="000C1CF1"/>
    <w:rsid w:val="000C1F4C"/>
    <w:rsid w:val="000C20E5"/>
    <w:rsid w:val="000C2110"/>
    <w:rsid w:val="000C27F3"/>
    <w:rsid w:val="000C2C9C"/>
    <w:rsid w:val="000C3128"/>
    <w:rsid w:val="000C3DF9"/>
    <w:rsid w:val="000C4962"/>
    <w:rsid w:val="000C5BFA"/>
    <w:rsid w:val="000C5E29"/>
    <w:rsid w:val="000C66C1"/>
    <w:rsid w:val="000C6713"/>
    <w:rsid w:val="000C6D15"/>
    <w:rsid w:val="000C70FE"/>
    <w:rsid w:val="000C73AA"/>
    <w:rsid w:val="000C792F"/>
    <w:rsid w:val="000C7DBD"/>
    <w:rsid w:val="000D0139"/>
    <w:rsid w:val="000D0898"/>
    <w:rsid w:val="000D169E"/>
    <w:rsid w:val="000D1823"/>
    <w:rsid w:val="000D1B04"/>
    <w:rsid w:val="000D1BFC"/>
    <w:rsid w:val="000D1D5D"/>
    <w:rsid w:val="000D1FE1"/>
    <w:rsid w:val="000D209F"/>
    <w:rsid w:val="000D234B"/>
    <w:rsid w:val="000D281A"/>
    <w:rsid w:val="000D2848"/>
    <w:rsid w:val="000D2ED9"/>
    <w:rsid w:val="000D325D"/>
    <w:rsid w:val="000D326A"/>
    <w:rsid w:val="000D363C"/>
    <w:rsid w:val="000D37B7"/>
    <w:rsid w:val="000D38FD"/>
    <w:rsid w:val="000D3FC3"/>
    <w:rsid w:val="000D4D4B"/>
    <w:rsid w:val="000D4FA1"/>
    <w:rsid w:val="000D519A"/>
    <w:rsid w:val="000D51FB"/>
    <w:rsid w:val="000D58D6"/>
    <w:rsid w:val="000D5A9F"/>
    <w:rsid w:val="000D60FC"/>
    <w:rsid w:val="000D62B9"/>
    <w:rsid w:val="000D652D"/>
    <w:rsid w:val="000D71FE"/>
    <w:rsid w:val="000D76DF"/>
    <w:rsid w:val="000E040A"/>
    <w:rsid w:val="000E0640"/>
    <w:rsid w:val="000E0705"/>
    <w:rsid w:val="000E0871"/>
    <w:rsid w:val="000E0979"/>
    <w:rsid w:val="000E0EE6"/>
    <w:rsid w:val="000E135D"/>
    <w:rsid w:val="000E13E9"/>
    <w:rsid w:val="000E17CB"/>
    <w:rsid w:val="000E1944"/>
    <w:rsid w:val="000E1E71"/>
    <w:rsid w:val="000E2289"/>
    <w:rsid w:val="000E2577"/>
    <w:rsid w:val="000E28A9"/>
    <w:rsid w:val="000E2E19"/>
    <w:rsid w:val="000E3318"/>
    <w:rsid w:val="000E3399"/>
    <w:rsid w:val="000E3899"/>
    <w:rsid w:val="000E47DA"/>
    <w:rsid w:val="000E4864"/>
    <w:rsid w:val="000E4AC0"/>
    <w:rsid w:val="000E50B8"/>
    <w:rsid w:val="000E57C1"/>
    <w:rsid w:val="000E5DD5"/>
    <w:rsid w:val="000E64A0"/>
    <w:rsid w:val="000E65B3"/>
    <w:rsid w:val="000E6F68"/>
    <w:rsid w:val="000E780A"/>
    <w:rsid w:val="000E7BC3"/>
    <w:rsid w:val="000E7D04"/>
    <w:rsid w:val="000E7F7C"/>
    <w:rsid w:val="000F00BA"/>
    <w:rsid w:val="000F0D6A"/>
    <w:rsid w:val="000F13D1"/>
    <w:rsid w:val="000F14FC"/>
    <w:rsid w:val="000F17D9"/>
    <w:rsid w:val="000F2689"/>
    <w:rsid w:val="000F2691"/>
    <w:rsid w:val="000F2EC9"/>
    <w:rsid w:val="000F316A"/>
    <w:rsid w:val="000F3C02"/>
    <w:rsid w:val="000F3C74"/>
    <w:rsid w:val="000F405F"/>
    <w:rsid w:val="000F4BB8"/>
    <w:rsid w:val="000F4D64"/>
    <w:rsid w:val="000F4DAF"/>
    <w:rsid w:val="000F4DF0"/>
    <w:rsid w:val="000F4E89"/>
    <w:rsid w:val="000F4FA9"/>
    <w:rsid w:val="000F5093"/>
    <w:rsid w:val="000F5342"/>
    <w:rsid w:val="000F53FB"/>
    <w:rsid w:val="000F5634"/>
    <w:rsid w:val="000F644A"/>
    <w:rsid w:val="000F7127"/>
    <w:rsid w:val="000F74D3"/>
    <w:rsid w:val="000F7792"/>
    <w:rsid w:val="000F7B54"/>
    <w:rsid w:val="001005C3"/>
    <w:rsid w:val="001005EF"/>
    <w:rsid w:val="00100F8A"/>
    <w:rsid w:val="00101698"/>
    <w:rsid w:val="00101915"/>
    <w:rsid w:val="00101A03"/>
    <w:rsid w:val="00102C47"/>
    <w:rsid w:val="00102D6D"/>
    <w:rsid w:val="001031CE"/>
    <w:rsid w:val="001032DC"/>
    <w:rsid w:val="00103634"/>
    <w:rsid w:val="00103D85"/>
    <w:rsid w:val="00103ED7"/>
    <w:rsid w:val="00103EEF"/>
    <w:rsid w:val="0010452E"/>
    <w:rsid w:val="00104638"/>
    <w:rsid w:val="001048A6"/>
    <w:rsid w:val="00104A25"/>
    <w:rsid w:val="00104A6E"/>
    <w:rsid w:val="00104AE9"/>
    <w:rsid w:val="00105130"/>
    <w:rsid w:val="0010552C"/>
    <w:rsid w:val="00105611"/>
    <w:rsid w:val="001056AE"/>
    <w:rsid w:val="00105AE2"/>
    <w:rsid w:val="00105C19"/>
    <w:rsid w:val="00105CCF"/>
    <w:rsid w:val="001060C6"/>
    <w:rsid w:val="001065E3"/>
    <w:rsid w:val="001068E0"/>
    <w:rsid w:val="001068E2"/>
    <w:rsid w:val="00106B80"/>
    <w:rsid w:val="00106E8F"/>
    <w:rsid w:val="0010724C"/>
    <w:rsid w:val="00107292"/>
    <w:rsid w:val="0010750D"/>
    <w:rsid w:val="00107A82"/>
    <w:rsid w:val="00107CAC"/>
    <w:rsid w:val="0011032E"/>
    <w:rsid w:val="00110D7F"/>
    <w:rsid w:val="00110E37"/>
    <w:rsid w:val="00110E99"/>
    <w:rsid w:val="001114CE"/>
    <w:rsid w:val="001119C8"/>
    <w:rsid w:val="0011335D"/>
    <w:rsid w:val="0011348B"/>
    <w:rsid w:val="00113615"/>
    <w:rsid w:val="00113889"/>
    <w:rsid w:val="00113BDC"/>
    <w:rsid w:val="00113F8A"/>
    <w:rsid w:val="00114558"/>
    <w:rsid w:val="001147AA"/>
    <w:rsid w:val="00114A9F"/>
    <w:rsid w:val="00114AC8"/>
    <w:rsid w:val="00114F3E"/>
    <w:rsid w:val="00115982"/>
    <w:rsid w:val="00116115"/>
    <w:rsid w:val="001167D4"/>
    <w:rsid w:val="00116C53"/>
    <w:rsid w:val="00117038"/>
    <w:rsid w:val="00117107"/>
    <w:rsid w:val="0011722F"/>
    <w:rsid w:val="0011724E"/>
    <w:rsid w:val="0011749C"/>
    <w:rsid w:val="001175A3"/>
    <w:rsid w:val="00117771"/>
    <w:rsid w:val="001179EC"/>
    <w:rsid w:val="00117A8A"/>
    <w:rsid w:val="00117D33"/>
    <w:rsid w:val="001202F8"/>
    <w:rsid w:val="001203C1"/>
    <w:rsid w:val="00120FCB"/>
    <w:rsid w:val="00121799"/>
    <w:rsid w:val="00121C47"/>
    <w:rsid w:val="001222FC"/>
    <w:rsid w:val="00122904"/>
    <w:rsid w:val="001229B8"/>
    <w:rsid w:val="00122BF0"/>
    <w:rsid w:val="001231D2"/>
    <w:rsid w:val="00123902"/>
    <w:rsid w:val="00123F89"/>
    <w:rsid w:val="001241AF"/>
    <w:rsid w:val="0012430B"/>
    <w:rsid w:val="00124A51"/>
    <w:rsid w:val="00124D74"/>
    <w:rsid w:val="001250A9"/>
    <w:rsid w:val="0012520F"/>
    <w:rsid w:val="0012566C"/>
    <w:rsid w:val="00125837"/>
    <w:rsid w:val="00126237"/>
    <w:rsid w:val="00126621"/>
    <w:rsid w:val="00126B1D"/>
    <w:rsid w:val="0012708A"/>
    <w:rsid w:val="0012721F"/>
    <w:rsid w:val="001276E8"/>
    <w:rsid w:val="001301E9"/>
    <w:rsid w:val="00130ABF"/>
    <w:rsid w:val="00130D5F"/>
    <w:rsid w:val="00131D82"/>
    <w:rsid w:val="001329E8"/>
    <w:rsid w:val="00132B22"/>
    <w:rsid w:val="00132C92"/>
    <w:rsid w:val="00132E0B"/>
    <w:rsid w:val="0013314A"/>
    <w:rsid w:val="001338BA"/>
    <w:rsid w:val="00133AC7"/>
    <w:rsid w:val="00133D36"/>
    <w:rsid w:val="00135243"/>
    <w:rsid w:val="00135343"/>
    <w:rsid w:val="001353FE"/>
    <w:rsid w:val="00136316"/>
    <w:rsid w:val="001366F5"/>
    <w:rsid w:val="00136AA2"/>
    <w:rsid w:val="00136C2F"/>
    <w:rsid w:val="00136DDD"/>
    <w:rsid w:val="0013724F"/>
    <w:rsid w:val="00137582"/>
    <w:rsid w:val="00137645"/>
    <w:rsid w:val="00137819"/>
    <w:rsid w:val="001379E7"/>
    <w:rsid w:val="00137DC4"/>
    <w:rsid w:val="0014015A"/>
    <w:rsid w:val="00140E99"/>
    <w:rsid w:val="001418AD"/>
    <w:rsid w:val="0014196D"/>
    <w:rsid w:val="00142C5A"/>
    <w:rsid w:val="00142FB4"/>
    <w:rsid w:val="00143965"/>
    <w:rsid w:val="00143D59"/>
    <w:rsid w:val="00143F67"/>
    <w:rsid w:val="001444B5"/>
    <w:rsid w:val="00144C29"/>
    <w:rsid w:val="00145343"/>
    <w:rsid w:val="0014547E"/>
    <w:rsid w:val="001454ED"/>
    <w:rsid w:val="00145540"/>
    <w:rsid w:val="001456B0"/>
    <w:rsid w:val="00145BD5"/>
    <w:rsid w:val="001465A0"/>
    <w:rsid w:val="00146CB3"/>
    <w:rsid w:val="00146E99"/>
    <w:rsid w:val="001472D8"/>
    <w:rsid w:val="00147A8F"/>
    <w:rsid w:val="00147B34"/>
    <w:rsid w:val="00147F75"/>
    <w:rsid w:val="0015070F"/>
    <w:rsid w:val="001507BA"/>
    <w:rsid w:val="0015081C"/>
    <w:rsid w:val="00150905"/>
    <w:rsid w:val="00150A47"/>
    <w:rsid w:val="00150FCF"/>
    <w:rsid w:val="00151222"/>
    <w:rsid w:val="001520C9"/>
    <w:rsid w:val="00152211"/>
    <w:rsid w:val="001532C0"/>
    <w:rsid w:val="00153E96"/>
    <w:rsid w:val="0015455D"/>
    <w:rsid w:val="001547CE"/>
    <w:rsid w:val="0015494C"/>
    <w:rsid w:val="00154E93"/>
    <w:rsid w:val="0015533D"/>
    <w:rsid w:val="00155748"/>
    <w:rsid w:val="00155805"/>
    <w:rsid w:val="00155E83"/>
    <w:rsid w:val="00155FB9"/>
    <w:rsid w:val="00156A1A"/>
    <w:rsid w:val="00156B13"/>
    <w:rsid w:val="00156F8F"/>
    <w:rsid w:val="00157130"/>
    <w:rsid w:val="001576B1"/>
    <w:rsid w:val="0015772D"/>
    <w:rsid w:val="0016015F"/>
    <w:rsid w:val="0016047B"/>
    <w:rsid w:val="00160A4C"/>
    <w:rsid w:val="001612D8"/>
    <w:rsid w:val="0016152D"/>
    <w:rsid w:val="001617CA"/>
    <w:rsid w:val="00161ED7"/>
    <w:rsid w:val="00161FEA"/>
    <w:rsid w:val="00162913"/>
    <w:rsid w:val="00162B1F"/>
    <w:rsid w:val="0016304C"/>
    <w:rsid w:val="00163066"/>
    <w:rsid w:val="001637E2"/>
    <w:rsid w:val="00163D6E"/>
    <w:rsid w:val="00163EFF"/>
    <w:rsid w:val="00163F66"/>
    <w:rsid w:val="00164F68"/>
    <w:rsid w:val="0016540F"/>
    <w:rsid w:val="00165F9F"/>
    <w:rsid w:val="001661FB"/>
    <w:rsid w:val="001662D3"/>
    <w:rsid w:val="001662DE"/>
    <w:rsid w:val="00166326"/>
    <w:rsid w:val="00167105"/>
    <w:rsid w:val="00167141"/>
    <w:rsid w:val="001671A0"/>
    <w:rsid w:val="0016767F"/>
    <w:rsid w:val="001676F9"/>
    <w:rsid w:val="0016782C"/>
    <w:rsid w:val="00167EC2"/>
    <w:rsid w:val="00170844"/>
    <w:rsid w:val="00171093"/>
    <w:rsid w:val="001712CD"/>
    <w:rsid w:val="00171394"/>
    <w:rsid w:val="00171778"/>
    <w:rsid w:val="00171AD9"/>
    <w:rsid w:val="001721E0"/>
    <w:rsid w:val="00172D69"/>
    <w:rsid w:val="00173565"/>
    <w:rsid w:val="00173987"/>
    <w:rsid w:val="00173B07"/>
    <w:rsid w:val="00174147"/>
    <w:rsid w:val="001741E4"/>
    <w:rsid w:val="001746BD"/>
    <w:rsid w:val="0017482D"/>
    <w:rsid w:val="00174AAD"/>
    <w:rsid w:val="00174E1E"/>
    <w:rsid w:val="00175014"/>
    <w:rsid w:val="001751FA"/>
    <w:rsid w:val="0017520C"/>
    <w:rsid w:val="0017629D"/>
    <w:rsid w:val="00176D2E"/>
    <w:rsid w:val="00177013"/>
    <w:rsid w:val="00177086"/>
    <w:rsid w:val="00177942"/>
    <w:rsid w:val="00177A6E"/>
    <w:rsid w:val="00177BCD"/>
    <w:rsid w:val="00177D87"/>
    <w:rsid w:val="00180426"/>
    <w:rsid w:val="00180736"/>
    <w:rsid w:val="00181141"/>
    <w:rsid w:val="00181327"/>
    <w:rsid w:val="00181501"/>
    <w:rsid w:val="00181548"/>
    <w:rsid w:val="00181660"/>
    <w:rsid w:val="001816FC"/>
    <w:rsid w:val="00181D9C"/>
    <w:rsid w:val="00181E78"/>
    <w:rsid w:val="001821EB"/>
    <w:rsid w:val="0018253F"/>
    <w:rsid w:val="00182F41"/>
    <w:rsid w:val="0018405B"/>
    <w:rsid w:val="001840F3"/>
    <w:rsid w:val="00184838"/>
    <w:rsid w:val="00184AF8"/>
    <w:rsid w:val="00184B0E"/>
    <w:rsid w:val="00184E6E"/>
    <w:rsid w:val="00185753"/>
    <w:rsid w:val="00185F1E"/>
    <w:rsid w:val="00186344"/>
    <w:rsid w:val="001866E5"/>
    <w:rsid w:val="00186961"/>
    <w:rsid w:val="001870AD"/>
    <w:rsid w:val="0018711F"/>
    <w:rsid w:val="0018752F"/>
    <w:rsid w:val="0018758A"/>
    <w:rsid w:val="00187867"/>
    <w:rsid w:val="001878F7"/>
    <w:rsid w:val="00187921"/>
    <w:rsid w:val="00187E6F"/>
    <w:rsid w:val="00190235"/>
    <w:rsid w:val="0019042B"/>
    <w:rsid w:val="001906DB"/>
    <w:rsid w:val="00190B38"/>
    <w:rsid w:val="00190C14"/>
    <w:rsid w:val="0019146E"/>
    <w:rsid w:val="0019200B"/>
    <w:rsid w:val="0019203C"/>
    <w:rsid w:val="00192F16"/>
    <w:rsid w:val="001935F3"/>
    <w:rsid w:val="00193672"/>
    <w:rsid w:val="00193838"/>
    <w:rsid w:val="00193C20"/>
    <w:rsid w:val="00193F0C"/>
    <w:rsid w:val="00194708"/>
    <w:rsid w:val="0019482F"/>
    <w:rsid w:val="001948B7"/>
    <w:rsid w:val="00194AD8"/>
    <w:rsid w:val="00194C8D"/>
    <w:rsid w:val="00194F84"/>
    <w:rsid w:val="00195060"/>
    <w:rsid w:val="00195222"/>
    <w:rsid w:val="0019573F"/>
    <w:rsid w:val="00195F3E"/>
    <w:rsid w:val="001962D4"/>
    <w:rsid w:val="00196585"/>
    <w:rsid w:val="0019681D"/>
    <w:rsid w:val="00196E27"/>
    <w:rsid w:val="001975D8"/>
    <w:rsid w:val="00197EF1"/>
    <w:rsid w:val="001A01F6"/>
    <w:rsid w:val="001A046B"/>
    <w:rsid w:val="001A076F"/>
    <w:rsid w:val="001A0CD1"/>
    <w:rsid w:val="001A12EC"/>
    <w:rsid w:val="001A13E4"/>
    <w:rsid w:val="001A178E"/>
    <w:rsid w:val="001A19C4"/>
    <w:rsid w:val="001A1B89"/>
    <w:rsid w:val="001A1EA8"/>
    <w:rsid w:val="001A20A9"/>
    <w:rsid w:val="001A3082"/>
    <w:rsid w:val="001A3AE3"/>
    <w:rsid w:val="001A3B2F"/>
    <w:rsid w:val="001A3D62"/>
    <w:rsid w:val="001A42DF"/>
    <w:rsid w:val="001A43FA"/>
    <w:rsid w:val="001A467A"/>
    <w:rsid w:val="001A469E"/>
    <w:rsid w:val="001A47C5"/>
    <w:rsid w:val="001A48EC"/>
    <w:rsid w:val="001A4EB2"/>
    <w:rsid w:val="001A5249"/>
    <w:rsid w:val="001A5819"/>
    <w:rsid w:val="001A59FB"/>
    <w:rsid w:val="001A5E9E"/>
    <w:rsid w:val="001A5FC5"/>
    <w:rsid w:val="001A6354"/>
    <w:rsid w:val="001A6366"/>
    <w:rsid w:val="001A69EC"/>
    <w:rsid w:val="001A6B50"/>
    <w:rsid w:val="001A6E3A"/>
    <w:rsid w:val="001A78EB"/>
    <w:rsid w:val="001A7AE8"/>
    <w:rsid w:val="001A7B81"/>
    <w:rsid w:val="001B0472"/>
    <w:rsid w:val="001B0FDB"/>
    <w:rsid w:val="001B15FC"/>
    <w:rsid w:val="001B186D"/>
    <w:rsid w:val="001B188F"/>
    <w:rsid w:val="001B1A7D"/>
    <w:rsid w:val="001B1E4C"/>
    <w:rsid w:val="001B204E"/>
    <w:rsid w:val="001B208F"/>
    <w:rsid w:val="001B220F"/>
    <w:rsid w:val="001B2372"/>
    <w:rsid w:val="001B2558"/>
    <w:rsid w:val="001B2835"/>
    <w:rsid w:val="001B2E7A"/>
    <w:rsid w:val="001B33B7"/>
    <w:rsid w:val="001B3443"/>
    <w:rsid w:val="001B34DC"/>
    <w:rsid w:val="001B35D3"/>
    <w:rsid w:val="001B3721"/>
    <w:rsid w:val="001B39CB"/>
    <w:rsid w:val="001B3B39"/>
    <w:rsid w:val="001B3EE1"/>
    <w:rsid w:val="001B4089"/>
    <w:rsid w:val="001B481A"/>
    <w:rsid w:val="001B4AA0"/>
    <w:rsid w:val="001B4D20"/>
    <w:rsid w:val="001B4E62"/>
    <w:rsid w:val="001B508B"/>
    <w:rsid w:val="001B5686"/>
    <w:rsid w:val="001B5A8E"/>
    <w:rsid w:val="001B60C1"/>
    <w:rsid w:val="001B610D"/>
    <w:rsid w:val="001B6277"/>
    <w:rsid w:val="001B62F2"/>
    <w:rsid w:val="001B6682"/>
    <w:rsid w:val="001B67C5"/>
    <w:rsid w:val="001B7E6C"/>
    <w:rsid w:val="001C01DD"/>
    <w:rsid w:val="001C08F1"/>
    <w:rsid w:val="001C0D6D"/>
    <w:rsid w:val="001C14E3"/>
    <w:rsid w:val="001C225A"/>
    <w:rsid w:val="001C2A9B"/>
    <w:rsid w:val="001C2AC3"/>
    <w:rsid w:val="001C2BF8"/>
    <w:rsid w:val="001C2E10"/>
    <w:rsid w:val="001C334B"/>
    <w:rsid w:val="001C3375"/>
    <w:rsid w:val="001C3376"/>
    <w:rsid w:val="001C34A5"/>
    <w:rsid w:val="001C3F1E"/>
    <w:rsid w:val="001C4299"/>
    <w:rsid w:val="001C44E5"/>
    <w:rsid w:val="001C4874"/>
    <w:rsid w:val="001C48B7"/>
    <w:rsid w:val="001C4AE8"/>
    <w:rsid w:val="001C4E4B"/>
    <w:rsid w:val="001C500C"/>
    <w:rsid w:val="001C534B"/>
    <w:rsid w:val="001C5711"/>
    <w:rsid w:val="001C5AB0"/>
    <w:rsid w:val="001C5F91"/>
    <w:rsid w:val="001C5F94"/>
    <w:rsid w:val="001C6665"/>
    <w:rsid w:val="001C690E"/>
    <w:rsid w:val="001C6AAD"/>
    <w:rsid w:val="001C6E66"/>
    <w:rsid w:val="001C6F90"/>
    <w:rsid w:val="001C6F9F"/>
    <w:rsid w:val="001C6FD5"/>
    <w:rsid w:val="001C7BB9"/>
    <w:rsid w:val="001C7C0D"/>
    <w:rsid w:val="001C7D70"/>
    <w:rsid w:val="001C7FF8"/>
    <w:rsid w:val="001D0628"/>
    <w:rsid w:val="001D0B65"/>
    <w:rsid w:val="001D0BD8"/>
    <w:rsid w:val="001D1100"/>
    <w:rsid w:val="001D1391"/>
    <w:rsid w:val="001D13F8"/>
    <w:rsid w:val="001D1AF7"/>
    <w:rsid w:val="001D203A"/>
    <w:rsid w:val="001D2419"/>
    <w:rsid w:val="001D25D7"/>
    <w:rsid w:val="001D29CE"/>
    <w:rsid w:val="001D2FCE"/>
    <w:rsid w:val="001D30F9"/>
    <w:rsid w:val="001D38B9"/>
    <w:rsid w:val="001D3BA2"/>
    <w:rsid w:val="001D3BE0"/>
    <w:rsid w:val="001D3C15"/>
    <w:rsid w:val="001D41B2"/>
    <w:rsid w:val="001D4896"/>
    <w:rsid w:val="001D4D58"/>
    <w:rsid w:val="001D5046"/>
    <w:rsid w:val="001D50B2"/>
    <w:rsid w:val="001D5165"/>
    <w:rsid w:val="001D51A0"/>
    <w:rsid w:val="001D5CA3"/>
    <w:rsid w:val="001D66AE"/>
    <w:rsid w:val="001D68BB"/>
    <w:rsid w:val="001D7645"/>
    <w:rsid w:val="001D7B16"/>
    <w:rsid w:val="001D7C67"/>
    <w:rsid w:val="001E041B"/>
    <w:rsid w:val="001E05CD"/>
    <w:rsid w:val="001E0AA2"/>
    <w:rsid w:val="001E0D3D"/>
    <w:rsid w:val="001E0E1A"/>
    <w:rsid w:val="001E12CC"/>
    <w:rsid w:val="001E17B5"/>
    <w:rsid w:val="001E18C6"/>
    <w:rsid w:val="001E1937"/>
    <w:rsid w:val="001E1A0D"/>
    <w:rsid w:val="001E1E86"/>
    <w:rsid w:val="001E238E"/>
    <w:rsid w:val="001E2483"/>
    <w:rsid w:val="001E24B6"/>
    <w:rsid w:val="001E28F0"/>
    <w:rsid w:val="001E2B1E"/>
    <w:rsid w:val="001E2CFF"/>
    <w:rsid w:val="001E2D5F"/>
    <w:rsid w:val="001E2DD1"/>
    <w:rsid w:val="001E2F24"/>
    <w:rsid w:val="001E30D4"/>
    <w:rsid w:val="001E34DF"/>
    <w:rsid w:val="001E3686"/>
    <w:rsid w:val="001E4033"/>
    <w:rsid w:val="001E4161"/>
    <w:rsid w:val="001E4BAC"/>
    <w:rsid w:val="001E52EB"/>
    <w:rsid w:val="001E5729"/>
    <w:rsid w:val="001E5D7D"/>
    <w:rsid w:val="001E61D2"/>
    <w:rsid w:val="001E6451"/>
    <w:rsid w:val="001E66A6"/>
    <w:rsid w:val="001E740C"/>
    <w:rsid w:val="001E74E1"/>
    <w:rsid w:val="001E76E9"/>
    <w:rsid w:val="001E78B7"/>
    <w:rsid w:val="001E7905"/>
    <w:rsid w:val="001E7A87"/>
    <w:rsid w:val="001F0229"/>
    <w:rsid w:val="001F0BA4"/>
    <w:rsid w:val="001F1235"/>
    <w:rsid w:val="001F139D"/>
    <w:rsid w:val="001F17C6"/>
    <w:rsid w:val="001F1870"/>
    <w:rsid w:val="001F1CB3"/>
    <w:rsid w:val="001F1FF2"/>
    <w:rsid w:val="001F2BFA"/>
    <w:rsid w:val="001F2D22"/>
    <w:rsid w:val="001F2D2F"/>
    <w:rsid w:val="001F3396"/>
    <w:rsid w:val="001F3427"/>
    <w:rsid w:val="001F38B5"/>
    <w:rsid w:val="001F38C3"/>
    <w:rsid w:val="001F397D"/>
    <w:rsid w:val="001F3C5A"/>
    <w:rsid w:val="001F4081"/>
    <w:rsid w:val="001F535A"/>
    <w:rsid w:val="001F5A49"/>
    <w:rsid w:val="001F6632"/>
    <w:rsid w:val="001F674A"/>
    <w:rsid w:val="001F6777"/>
    <w:rsid w:val="001F6D47"/>
    <w:rsid w:val="001F7361"/>
    <w:rsid w:val="001F7C51"/>
    <w:rsid w:val="00200A91"/>
    <w:rsid w:val="00200B76"/>
    <w:rsid w:val="00200EF8"/>
    <w:rsid w:val="002011B0"/>
    <w:rsid w:val="00201B0C"/>
    <w:rsid w:val="00201CBE"/>
    <w:rsid w:val="00202744"/>
    <w:rsid w:val="002027F3"/>
    <w:rsid w:val="00202CC4"/>
    <w:rsid w:val="00203181"/>
    <w:rsid w:val="002032F7"/>
    <w:rsid w:val="00203783"/>
    <w:rsid w:val="0020385F"/>
    <w:rsid w:val="00203C30"/>
    <w:rsid w:val="00204278"/>
    <w:rsid w:val="002043B5"/>
    <w:rsid w:val="0020480C"/>
    <w:rsid w:val="00204EFE"/>
    <w:rsid w:val="0020504D"/>
    <w:rsid w:val="002052E1"/>
    <w:rsid w:val="0020550F"/>
    <w:rsid w:val="00205528"/>
    <w:rsid w:val="00206386"/>
    <w:rsid w:val="002068A0"/>
    <w:rsid w:val="00206A3B"/>
    <w:rsid w:val="00206A7F"/>
    <w:rsid w:val="00206DAA"/>
    <w:rsid w:val="00206EC2"/>
    <w:rsid w:val="00207021"/>
    <w:rsid w:val="0020732F"/>
    <w:rsid w:val="002076EA"/>
    <w:rsid w:val="00207D00"/>
    <w:rsid w:val="00210442"/>
    <w:rsid w:val="002105C1"/>
    <w:rsid w:val="00210B12"/>
    <w:rsid w:val="00210C2D"/>
    <w:rsid w:val="00210D5F"/>
    <w:rsid w:val="00210FF5"/>
    <w:rsid w:val="00211390"/>
    <w:rsid w:val="00211549"/>
    <w:rsid w:val="002116D3"/>
    <w:rsid w:val="00211744"/>
    <w:rsid w:val="00211A97"/>
    <w:rsid w:val="00211EB8"/>
    <w:rsid w:val="00211FCE"/>
    <w:rsid w:val="002122B0"/>
    <w:rsid w:val="002123C1"/>
    <w:rsid w:val="0021347B"/>
    <w:rsid w:val="0021367D"/>
    <w:rsid w:val="00213EF5"/>
    <w:rsid w:val="0021424A"/>
    <w:rsid w:val="002143AF"/>
    <w:rsid w:val="00214457"/>
    <w:rsid w:val="0021457B"/>
    <w:rsid w:val="00214C2E"/>
    <w:rsid w:val="00215509"/>
    <w:rsid w:val="00215E95"/>
    <w:rsid w:val="00215F09"/>
    <w:rsid w:val="00216292"/>
    <w:rsid w:val="002163D6"/>
    <w:rsid w:val="00216BF5"/>
    <w:rsid w:val="00216F6C"/>
    <w:rsid w:val="00217696"/>
    <w:rsid w:val="00217902"/>
    <w:rsid w:val="00217D42"/>
    <w:rsid w:val="002208FF"/>
    <w:rsid w:val="00220D29"/>
    <w:rsid w:val="00220D2A"/>
    <w:rsid w:val="00220F43"/>
    <w:rsid w:val="00221829"/>
    <w:rsid w:val="00221A0B"/>
    <w:rsid w:val="00222132"/>
    <w:rsid w:val="00222205"/>
    <w:rsid w:val="002223CE"/>
    <w:rsid w:val="00222708"/>
    <w:rsid w:val="00222AEB"/>
    <w:rsid w:val="00222B03"/>
    <w:rsid w:val="002230F6"/>
    <w:rsid w:val="0022337D"/>
    <w:rsid w:val="00223B49"/>
    <w:rsid w:val="00223D5A"/>
    <w:rsid w:val="00223F2D"/>
    <w:rsid w:val="00223FB2"/>
    <w:rsid w:val="002248E7"/>
    <w:rsid w:val="00224DD4"/>
    <w:rsid w:val="0022560E"/>
    <w:rsid w:val="00225D43"/>
    <w:rsid w:val="002265D3"/>
    <w:rsid w:val="00226AE4"/>
    <w:rsid w:val="002270AB"/>
    <w:rsid w:val="002270EC"/>
    <w:rsid w:val="002278A0"/>
    <w:rsid w:val="002302FD"/>
    <w:rsid w:val="002309CC"/>
    <w:rsid w:val="00230DB1"/>
    <w:rsid w:val="002310D0"/>
    <w:rsid w:val="00231D7A"/>
    <w:rsid w:val="00231E74"/>
    <w:rsid w:val="0023209F"/>
    <w:rsid w:val="00232577"/>
    <w:rsid w:val="0023297F"/>
    <w:rsid w:val="00232F54"/>
    <w:rsid w:val="002335B8"/>
    <w:rsid w:val="0023397A"/>
    <w:rsid w:val="002339C6"/>
    <w:rsid w:val="00233B29"/>
    <w:rsid w:val="00233BE1"/>
    <w:rsid w:val="00233BF5"/>
    <w:rsid w:val="00233C01"/>
    <w:rsid w:val="00233E30"/>
    <w:rsid w:val="00233EB9"/>
    <w:rsid w:val="0023413C"/>
    <w:rsid w:val="002346F0"/>
    <w:rsid w:val="00234BD0"/>
    <w:rsid w:val="00234E5C"/>
    <w:rsid w:val="0023551D"/>
    <w:rsid w:val="00235953"/>
    <w:rsid w:val="00236210"/>
    <w:rsid w:val="0023629D"/>
    <w:rsid w:val="002363AE"/>
    <w:rsid w:val="00236503"/>
    <w:rsid w:val="002366F0"/>
    <w:rsid w:val="00236C83"/>
    <w:rsid w:val="00237255"/>
    <w:rsid w:val="0023738F"/>
    <w:rsid w:val="002379D9"/>
    <w:rsid w:val="002407AE"/>
    <w:rsid w:val="00240AC1"/>
    <w:rsid w:val="00240EC2"/>
    <w:rsid w:val="002416D2"/>
    <w:rsid w:val="00241919"/>
    <w:rsid w:val="00241AD6"/>
    <w:rsid w:val="00241EBC"/>
    <w:rsid w:val="00241FAC"/>
    <w:rsid w:val="002424AF"/>
    <w:rsid w:val="002424CD"/>
    <w:rsid w:val="00242504"/>
    <w:rsid w:val="00242CA8"/>
    <w:rsid w:val="002432C8"/>
    <w:rsid w:val="002439DC"/>
    <w:rsid w:val="00243E7B"/>
    <w:rsid w:val="00243FCB"/>
    <w:rsid w:val="002441D2"/>
    <w:rsid w:val="0024430B"/>
    <w:rsid w:val="00244B1F"/>
    <w:rsid w:val="00244D52"/>
    <w:rsid w:val="00244DC8"/>
    <w:rsid w:val="002458BA"/>
    <w:rsid w:val="00245A48"/>
    <w:rsid w:val="00245CE9"/>
    <w:rsid w:val="00245FB5"/>
    <w:rsid w:val="0024636C"/>
    <w:rsid w:val="0024658B"/>
    <w:rsid w:val="00246DFD"/>
    <w:rsid w:val="00246E11"/>
    <w:rsid w:val="002470AC"/>
    <w:rsid w:val="00247120"/>
    <w:rsid w:val="00247314"/>
    <w:rsid w:val="00247909"/>
    <w:rsid w:val="00247925"/>
    <w:rsid w:val="00247CFE"/>
    <w:rsid w:val="00247DE5"/>
    <w:rsid w:val="002500C9"/>
    <w:rsid w:val="00250335"/>
    <w:rsid w:val="0025074E"/>
    <w:rsid w:val="00251006"/>
    <w:rsid w:val="00251077"/>
    <w:rsid w:val="00251152"/>
    <w:rsid w:val="002515B0"/>
    <w:rsid w:val="0025178B"/>
    <w:rsid w:val="00251834"/>
    <w:rsid w:val="00252354"/>
    <w:rsid w:val="002524D5"/>
    <w:rsid w:val="002527A4"/>
    <w:rsid w:val="00252988"/>
    <w:rsid w:val="00252BA4"/>
    <w:rsid w:val="00252CDC"/>
    <w:rsid w:val="00252D9C"/>
    <w:rsid w:val="0025350E"/>
    <w:rsid w:val="0025355D"/>
    <w:rsid w:val="00253B1D"/>
    <w:rsid w:val="00253B35"/>
    <w:rsid w:val="00254205"/>
    <w:rsid w:val="00254616"/>
    <w:rsid w:val="00254920"/>
    <w:rsid w:val="00254C6C"/>
    <w:rsid w:val="00254DCF"/>
    <w:rsid w:val="0025534B"/>
    <w:rsid w:val="00255614"/>
    <w:rsid w:val="00255818"/>
    <w:rsid w:val="00255BB7"/>
    <w:rsid w:val="00255F48"/>
    <w:rsid w:val="00256AB3"/>
    <w:rsid w:val="00256B55"/>
    <w:rsid w:val="00256D52"/>
    <w:rsid w:val="00257541"/>
    <w:rsid w:val="00257578"/>
    <w:rsid w:val="00257A39"/>
    <w:rsid w:val="00257A6E"/>
    <w:rsid w:val="00257AC4"/>
    <w:rsid w:val="00257DE3"/>
    <w:rsid w:val="00257FD2"/>
    <w:rsid w:val="002601F2"/>
    <w:rsid w:val="002604B9"/>
    <w:rsid w:val="0026058A"/>
    <w:rsid w:val="00260709"/>
    <w:rsid w:val="0026082C"/>
    <w:rsid w:val="002609B8"/>
    <w:rsid w:val="00260A5B"/>
    <w:rsid w:val="00260D95"/>
    <w:rsid w:val="00261A5B"/>
    <w:rsid w:val="00261EEF"/>
    <w:rsid w:val="00262A1A"/>
    <w:rsid w:val="00262A87"/>
    <w:rsid w:val="002639DE"/>
    <w:rsid w:val="00263B09"/>
    <w:rsid w:val="00263C9A"/>
    <w:rsid w:val="00264466"/>
    <w:rsid w:val="002648A2"/>
    <w:rsid w:val="00264AB8"/>
    <w:rsid w:val="00264BA7"/>
    <w:rsid w:val="00264D26"/>
    <w:rsid w:val="0026554C"/>
    <w:rsid w:val="002656D7"/>
    <w:rsid w:val="00265A60"/>
    <w:rsid w:val="00265EBE"/>
    <w:rsid w:val="0026609B"/>
    <w:rsid w:val="002664ED"/>
    <w:rsid w:val="00266659"/>
    <w:rsid w:val="002667A0"/>
    <w:rsid w:val="00266A77"/>
    <w:rsid w:val="00266AEE"/>
    <w:rsid w:val="0026703C"/>
    <w:rsid w:val="00267642"/>
    <w:rsid w:val="00267AEA"/>
    <w:rsid w:val="00267C53"/>
    <w:rsid w:val="002700DB"/>
    <w:rsid w:val="002700E6"/>
    <w:rsid w:val="00270444"/>
    <w:rsid w:val="002706AC"/>
    <w:rsid w:val="00270D8F"/>
    <w:rsid w:val="00271236"/>
    <w:rsid w:val="00271589"/>
    <w:rsid w:val="00271598"/>
    <w:rsid w:val="00271738"/>
    <w:rsid w:val="002717AE"/>
    <w:rsid w:val="00271AD6"/>
    <w:rsid w:val="00271B5D"/>
    <w:rsid w:val="00272092"/>
    <w:rsid w:val="002720D9"/>
    <w:rsid w:val="002721A9"/>
    <w:rsid w:val="0027294B"/>
    <w:rsid w:val="00272FB5"/>
    <w:rsid w:val="00273202"/>
    <w:rsid w:val="002736C0"/>
    <w:rsid w:val="00273EB4"/>
    <w:rsid w:val="002741D7"/>
    <w:rsid w:val="00274200"/>
    <w:rsid w:val="00274682"/>
    <w:rsid w:val="00274AC7"/>
    <w:rsid w:val="0027520A"/>
    <w:rsid w:val="00275414"/>
    <w:rsid w:val="00275C5A"/>
    <w:rsid w:val="00276173"/>
    <w:rsid w:val="002767F1"/>
    <w:rsid w:val="00276D11"/>
    <w:rsid w:val="0027723F"/>
    <w:rsid w:val="00277830"/>
    <w:rsid w:val="00277C29"/>
    <w:rsid w:val="00277C62"/>
    <w:rsid w:val="00277C8A"/>
    <w:rsid w:val="002809DC"/>
    <w:rsid w:val="00281014"/>
    <w:rsid w:val="00281678"/>
    <w:rsid w:val="00281D7B"/>
    <w:rsid w:val="00281D8F"/>
    <w:rsid w:val="00282029"/>
    <w:rsid w:val="00282338"/>
    <w:rsid w:val="0028269E"/>
    <w:rsid w:val="00282733"/>
    <w:rsid w:val="002827C4"/>
    <w:rsid w:val="002830A8"/>
    <w:rsid w:val="00284426"/>
    <w:rsid w:val="002847B8"/>
    <w:rsid w:val="00284C7E"/>
    <w:rsid w:val="002850E7"/>
    <w:rsid w:val="00285AAF"/>
    <w:rsid w:val="002862B2"/>
    <w:rsid w:val="0028665D"/>
    <w:rsid w:val="00286896"/>
    <w:rsid w:val="002869FD"/>
    <w:rsid w:val="00286E9F"/>
    <w:rsid w:val="00286F87"/>
    <w:rsid w:val="002879B1"/>
    <w:rsid w:val="00287AF0"/>
    <w:rsid w:val="00287D02"/>
    <w:rsid w:val="0029002E"/>
    <w:rsid w:val="00290041"/>
    <w:rsid w:val="00291C41"/>
    <w:rsid w:val="002922D1"/>
    <w:rsid w:val="0029276E"/>
    <w:rsid w:val="00293009"/>
    <w:rsid w:val="002933CE"/>
    <w:rsid w:val="00293989"/>
    <w:rsid w:val="00293F42"/>
    <w:rsid w:val="00294763"/>
    <w:rsid w:val="00294EA0"/>
    <w:rsid w:val="00294F1F"/>
    <w:rsid w:val="00295262"/>
    <w:rsid w:val="00295608"/>
    <w:rsid w:val="002959F9"/>
    <w:rsid w:val="0029675F"/>
    <w:rsid w:val="00296F00"/>
    <w:rsid w:val="00297D2E"/>
    <w:rsid w:val="002A037B"/>
    <w:rsid w:val="002A0767"/>
    <w:rsid w:val="002A0777"/>
    <w:rsid w:val="002A14AB"/>
    <w:rsid w:val="002A1F98"/>
    <w:rsid w:val="002A2237"/>
    <w:rsid w:val="002A2ADE"/>
    <w:rsid w:val="002A2F50"/>
    <w:rsid w:val="002A3000"/>
    <w:rsid w:val="002A3EAC"/>
    <w:rsid w:val="002A4DC0"/>
    <w:rsid w:val="002A561C"/>
    <w:rsid w:val="002A5958"/>
    <w:rsid w:val="002A5B35"/>
    <w:rsid w:val="002A6929"/>
    <w:rsid w:val="002A6C45"/>
    <w:rsid w:val="002A72B1"/>
    <w:rsid w:val="002A7485"/>
    <w:rsid w:val="002A7D97"/>
    <w:rsid w:val="002A7F95"/>
    <w:rsid w:val="002B05A1"/>
    <w:rsid w:val="002B06C4"/>
    <w:rsid w:val="002B0992"/>
    <w:rsid w:val="002B09A4"/>
    <w:rsid w:val="002B0C84"/>
    <w:rsid w:val="002B10C5"/>
    <w:rsid w:val="002B1C1F"/>
    <w:rsid w:val="002B1CAB"/>
    <w:rsid w:val="002B1EB3"/>
    <w:rsid w:val="002B2E55"/>
    <w:rsid w:val="002B324B"/>
    <w:rsid w:val="002B34EC"/>
    <w:rsid w:val="002B4045"/>
    <w:rsid w:val="002B432F"/>
    <w:rsid w:val="002B4BBA"/>
    <w:rsid w:val="002B4BC0"/>
    <w:rsid w:val="002B4F3A"/>
    <w:rsid w:val="002B503E"/>
    <w:rsid w:val="002B50CC"/>
    <w:rsid w:val="002B5335"/>
    <w:rsid w:val="002B5347"/>
    <w:rsid w:val="002B53A7"/>
    <w:rsid w:val="002B54C9"/>
    <w:rsid w:val="002B5A40"/>
    <w:rsid w:val="002B5C60"/>
    <w:rsid w:val="002B6205"/>
    <w:rsid w:val="002B62B3"/>
    <w:rsid w:val="002B6511"/>
    <w:rsid w:val="002B6594"/>
    <w:rsid w:val="002B6754"/>
    <w:rsid w:val="002B687C"/>
    <w:rsid w:val="002B6BF7"/>
    <w:rsid w:val="002B6CCE"/>
    <w:rsid w:val="002B71B1"/>
    <w:rsid w:val="002B7AFC"/>
    <w:rsid w:val="002B7BB9"/>
    <w:rsid w:val="002B7E71"/>
    <w:rsid w:val="002C0159"/>
    <w:rsid w:val="002C03A0"/>
    <w:rsid w:val="002C1012"/>
    <w:rsid w:val="002C229A"/>
    <w:rsid w:val="002C24C6"/>
    <w:rsid w:val="002C2510"/>
    <w:rsid w:val="002C276D"/>
    <w:rsid w:val="002C2775"/>
    <w:rsid w:val="002C27C1"/>
    <w:rsid w:val="002C2A1C"/>
    <w:rsid w:val="002C2E64"/>
    <w:rsid w:val="002C37F4"/>
    <w:rsid w:val="002C3BB1"/>
    <w:rsid w:val="002C3C53"/>
    <w:rsid w:val="002C4069"/>
    <w:rsid w:val="002C4E04"/>
    <w:rsid w:val="002C4F6F"/>
    <w:rsid w:val="002C5099"/>
    <w:rsid w:val="002C56A8"/>
    <w:rsid w:val="002C5889"/>
    <w:rsid w:val="002C5C9A"/>
    <w:rsid w:val="002C5F2F"/>
    <w:rsid w:val="002C6057"/>
    <w:rsid w:val="002C667D"/>
    <w:rsid w:val="002C6890"/>
    <w:rsid w:val="002C6A28"/>
    <w:rsid w:val="002C6AE4"/>
    <w:rsid w:val="002C6DB0"/>
    <w:rsid w:val="002C6DBD"/>
    <w:rsid w:val="002C6EF9"/>
    <w:rsid w:val="002C71CE"/>
    <w:rsid w:val="002C7908"/>
    <w:rsid w:val="002C7C6D"/>
    <w:rsid w:val="002C7FFC"/>
    <w:rsid w:val="002D0087"/>
    <w:rsid w:val="002D0838"/>
    <w:rsid w:val="002D08F8"/>
    <w:rsid w:val="002D0973"/>
    <w:rsid w:val="002D110C"/>
    <w:rsid w:val="002D1A8E"/>
    <w:rsid w:val="002D306F"/>
    <w:rsid w:val="002D33A2"/>
    <w:rsid w:val="002D38BC"/>
    <w:rsid w:val="002D3AC2"/>
    <w:rsid w:val="002D3D2E"/>
    <w:rsid w:val="002D577C"/>
    <w:rsid w:val="002D5833"/>
    <w:rsid w:val="002D6097"/>
    <w:rsid w:val="002D611F"/>
    <w:rsid w:val="002D6857"/>
    <w:rsid w:val="002D6A2D"/>
    <w:rsid w:val="002D6C6E"/>
    <w:rsid w:val="002D6D14"/>
    <w:rsid w:val="002D71FF"/>
    <w:rsid w:val="002D73E2"/>
    <w:rsid w:val="002D7B57"/>
    <w:rsid w:val="002D7C6A"/>
    <w:rsid w:val="002E0319"/>
    <w:rsid w:val="002E03CB"/>
    <w:rsid w:val="002E06B2"/>
    <w:rsid w:val="002E0901"/>
    <w:rsid w:val="002E1071"/>
    <w:rsid w:val="002E10CE"/>
    <w:rsid w:val="002E1238"/>
    <w:rsid w:val="002E12B7"/>
    <w:rsid w:val="002E15B9"/>
    <w:rsid w:val="002E2158"/>
    <w:rsid w:val="002E241E"/>
    <w:rsid w:val="002E2DBA"/>
    <w:rsid w:val="002E2EEB"/>
    <w:rsid w:val="002E3077"/>
    <w:rsid w:val="002E3C35"/>
    <w:rsid w:val="002E3DAF"/>
    <w:rsid w:val="002E3DE5"/>
    <w:rsid w:val="002E4735"/>
    <w:rsid w:val="002E483F"/>
    <w:rsid w:val="002E4D3B"/>
    <w:rsid w:val="002E4F02"/>
    <w:rsid w:val="002E5122"/>
    <w:rsid w:val="002E527D"/>
    <w:rsid w:val="002E56E3"/>
    <w:rsid w:val="002E5E47"/>
    <w:rsid w:val="002E5EA9"/>
    <w:rsid w:val="002E6621"/>
    <w:rsid w:val="002E670E"/>
    <w:rsid w:val="002E7535"/>
    <w:rsid w:val="002E7722"/>
    <w:rsid w:val="002E7B84"/>
    <w:rsid w:val="002F00CD"/>
    <w:rsid w:val="002F02A1"/>
    <w:rsid w:val="002F072B"/>
    <w:rsid w:val="002F07A3"/>
    <w:rsid w:val="002F07BA"/>
    <w:rsid w:val="002F0DA9"/>
    <w:rsid w:val="002F1006"/>
    <w:rsid w:val="002F1014"/>
    <w:rsid w:val="002F1955"/>
    <w:rsid w:val="002F298F"/>
    <w:rsid w:val="002F2A00"/>
    <w:rsid w:val="002F2BA5"/>
    <w:rsid w:val="002F33E5"/>
    <w:rsid w:val="002F3499"/>
    <w:rsid w:val="002F3870"/>
    <w:rsid w:val="002F3CE1"/>
    <w:rsid w:val="002F3E58"/>
    <w:rsid w:val="002F4890"/>
    <w:rsid w:val="002F49EE"/>
    <w:rsid w:val="002F4A79"/>
    <w:rsid w:val="002F4C2E"/>
    <w:rsid w:val="002F4C3A"/>
    <w:rsid w:val="002F4EBB"/>
    <w:rsid w:val="002F5601"/>
    <w:rsid w:val="002F5C49"/>
    <w:rsid w:val="002F5CDF"/>
    <w:rsid w:val="002F643C"/>
    <w:rsid w:val="002F64C7"/>
    <w:rsid w:val="002F713B"/>
    <w:rsid w:val="002F71C0"/>
    <w:rsid w:val="002F74F1"/>
    <w:rsid w:val="002F76AD"/>
    <w:rsid w:val="002F7945"/>
    <w:rsid w:val="002F7F45"/>
    <w:rsid w:val="00300E44"/>
    <w:rsid w:val="00300EBF"/>
    <w:rsid w:val="00301017"/>
    <w:rsid w:val="003010F8"/>
    <w:rsid w:val="003011F2"/>
    <w:rsid w:val="0030135D"/>
    <w:rsid w:val="00301489"/>
    <w:rsid w:val="0030155F"/>
    <w:rsid w:val="003016EC"/>
    <w:rsid w:val="00301891"/>
    <w:rsid w:val="00301E5E"/>
    <w:rsid w:val="0030205B"/>
    <w:rsid w:val="0030234B"/>
    <w:rsid w:val="00302B35"/>
    <w:rsid w:val="003035BD"/>
    <w:rsid w:val="003035F5"/>
    <w:rsid w:val="0030397B"/>
    <w:rsid w:val="003046FA"/>
    <w:rsid w:val="00304943"/>
    <w:rsid w:val="003049C6"/>
    <w:rsid w:val="00304B3D"/>
    <w:rsid w:val="00304BA4"/>
    <w:rsid w:val="0030587B"/>
    <w:rsid w:val="003060A2"/>
    <w:rsid w:val="00306382"/>
    <w:rsid w:val="00306625"/>
    <w:rsid w:val="00306D98"/>
    <w:rsid w:val="00306ECF"/>
    <w:rsid w:val="0030772F"/>
    <w:rsid w:val="0030786C"/>
    <w:rsid w:val="00307CBF"/>
    <w:rsid w:val="0031031A"/>
    <w:rsid w:val="003104B3"/>
    <w:rsid w:val="00310981"/>
    <w:rsid w:val="003120BA"/>
    <w:rsid w:val="0031234A"/>
    <w:rsid w:val="003124D9"/>
    <w:rsid w:val="00312594"/>
    <w:rsid w:val="0031358D"/>
    <w:rsid w:val="00313D94"/>
    <w:rsid w:val="00313E0F"/>
    <w:rsid w:val="003140C1"/>
    <w:rsid w:val="003146F0"/>
    <w:rsid w:val="003148F2"/>
    <w:rsid w:val="003149C1"/>
    <w:rsid w:val="00314D11"/>
    <w:rsid w:val="00314F9D"/>
    <w:rsid w:val="00315409"/>
    <w:rsid w:val="00315498"/>
    <w:rsid w:val="0031558A"/>
    <w:rsid w:val="00315B94"/>
    <w:rsid w:val="00315FF6"/>
    <w:rsid w:val="003161B3"/>
    <w:rsid w:val="00316474"/>
    <w:rsid w:val="0031666F"/>
    <w:rsid w:val="00316894"/>
    <w:rsid w:val="0031718D"/>
    <w:rsid w:val="00317268"/>
    <w:rsid w:val="003178F2"/>
    <w:rsid w:val="00317CD9"/>
    <w:rsid w:val="00317DD3"/>
    <w:rsid w:val="00320BAA"/>
    <w:rsid w:val="00320E44"/>
    <w:rsid w:val="00321491"/>
    <w:rsid w:val="003218C6"/>
    <w:rsid w:val="00321C0B"/>
    <w:rsid w:val="00321F23"/>
    <w:rsid w:val="00322107"/>
    <w:rsid w:val="003221E6"/>
    <w:rsid w:val="0032223D"/>
    <w:rsid w:val="00322355"/>
    <w:rsid w:val="003225D3"/>
    <w:rsid w:val="00322846"/>
    <w:rsid w:val="00322C1E"/>
    <w:rsid w:val="00322C77"/>
    <w:rsid w:val="003230D2"/>
    <w:rsid w:val="003239E0"/>
    <w:rsid w:val="00323B6A"/>
    <w:rsid w:val="00323DE0"/>
    <w:rsid w:val="00323DE1"/>
    <w:rsid w:val="00324D8C"/>
    <w:rsid w:val="003252BB"/>
    <w:rsid w:val="00325EF8"/>
    <w:rsid w:val="00326102"/>
    <w:rsid w:val="00326D17"/>
    <w:rsid w:val="00326DA7"/>
    <w:rsid w:val="00327008"/>
    <w:rsid w:val="0032701E"/>
    <w:rsid w:val="003270E4"/>
    <w:rsid w:val="0032778C"/>
    <w:rsid w:val="00327C17"/>
    <w:rsid w:val="00327D58"/>
    <w:rsid w:val="00330151"/>
    <w:rsid w:val="0033033A"/>
    <w:rsid w:val="00330D0F"/>
    <w:rsid w:val="00330DAA"/>
    <w:rsid w:val="00330F5C"/>
    <w:rsid w:val="0033144E"/>
    <w:rsid w:val="00331559"/>
    <w:rsid w:val="00332E10"/>
    <w:rsid w:val="0033312D"/>
    <w:rsid w:val="003336EF"/>
    <w:rsid w:val="003338C8"/>
    <w:rsid w:val="003339F7"/>
    <w:rsid w:val="00333ABF"/>
    <w:rsid w:val="0033448E"/>
    <w:rsid w:val="00334C5A"/>
    <w:rsid w:val="00334DB0"/>
    <w:rsid w:val="00334FC8"/>
    <w:rsid w:val="00335154"/>
    <w:rsid w:val="00335931"/>
    <w:rsid w:val="00335CDE"/>
    <w:rsid w:val="003366C9"/>
    <w:rsid w:val="00336EC7"/>
    <w:rsid w:val="003371B0"/>
    <w:rsid w:val="003375D3"/>
    <w:rsid w:val="00337834"/>
    <w:rsid w:val="00337BB0"/>
    <w:rsid w:val="00337CD2"/>
    <w:rsid w:val="003408E5"/>
    <w:rsid w:val="00340BC1"/>
    <w:rsid w:val="00340DF1"/>
    <w:rsid w:val="00340E8F"/>
    <w:rsid w:val="00341078"/>
    <w:rsid w:val="003413A0"/>
    <w:rsid w:val="003415E6"/>
    <w:rsid w:val="00341964"/>
    <w:rsid w:val="0034198C"/>
    <w:rsid w:val="00341D40"/>
    <w:rsid w:val="00342714"/>
    <w:rsid w:val="003428A3"/>
    <w:rsid w:val="00342935"/>
    <w:rsid w:val="00342AB9"/>
    <w:rsid w:val="00343390"/>
    <w:rsid w:val="003437AB"/>
    <w:rsid w:val="00343A48"/>
    <w:rsid w:val="003440F8"/>
    <w:rsid w:val="00344AB6"/>
    <w:rsid w:val="00344F17"/>
    <w:rsid w:val="00345977"/>
    <w:rsid w:val="00345E71"/>
    <w:rsid w:val="00345EA9"/>
    <w:rsid w:val="00346044"/>
    <w:rsid w:val="003465C7"/>
    <w:rsid w:val="003470CF"/>
    <w:rsid w:val="0034717C"/>
    <w:rsid w:val="0034759E"/>
    <w:rsid w:val="00347C5E"/>
    <w:rsid w:val="00350129"/>
    <w:rsid w:val="0035072F"/>
    <w:rsid w:val="00350A07"/>
    <w:rsid w:val="003515C2"/>
    <w:rsid w:val="003516F2"/>
    <w:rsid w:val="003517F9"/>
    <w:rsid w:val="00351983"/>
    <w:rsid w:val="00351BA9"/>
    <w:rsid w:val="00351C3F"/>
    <w:rsid w:val="00351C71"/>
    <w:rsid w:val="00351CBB"/>
    <w:rsid w:val="00351E6F"/>
    <w:rsid w:val="0035212A"/>
    <w:rsid w:val="0035265A"/>
    <w:rsid w:val="00352B82"/>
    <w:rsid w:val="00352F2D"/>
    <w:rsid w:val="0035365B"/>
    <w:rsid w:val="00354580"/>
    <w:rsid w:val="003548E0"/>
    <w:rsid w:val="00354F64"/>
    <w:rsid w:val="00355606"/>
    <w:rsid w:val="00355BE0"/>
    <w:rsid w:val="00355CB8"/>
    <w:rsid w:val="00355F59"/>
    <w:rsid w:val="0035620E"/>
    <w:rsid w:val="0035662D"/>
    <w:rsid w:val="00356748"/>
    <w:rsid w:val="0035681F"/>
    <w:rsid w:val="00357992"/>
    <w:rsid w:val="00357A6E"/>
    <w:rsid w:val="00357BC3"/>
    <w:rsid w:val="00357F0F"/>
    <w:rsid w:val="00360345"/>
    <w:rsid w:val="003605BA"/>
    <w:rsid w:val="0036069C"/>
    <w:rsid w:val="00360DD8"/>
    <w:rsid w:val="00360F39"/>
    <w:rsid w:val="0036100D"/>
    <w:rsid w:val="0036138C"/>
    <w:rsid w:val="0036187C"/>
    <w:rsid w:val="00361A05"/>
    <w:rsid w:val="0036247E"/>
    <w:rsid w:val="003624C4"/>
    <w:rsid w:val="00362B43"/>
    <w:rsid w:val="00362BBC"/>
    <w:rsid w:val="00362F8B"/>
    <w:rsid w:val="00363020"/>
    <w:rsid w:val="00363082"/>
    <w:rsid w:val="00363106"/>
    <w:rsid w:val="003632EC"/>
    <w:rsid w:val="00363400"/>
    <w:rsid w:val="00363857"/>
    <w:rsid w:val="00363B00"/>
    <w:rsid w:val="00363B05"/>
    <w:rsid w:val="00363E4C"/>
    <w:rsid w:val="003640DA"/>
    <w:rsid w:val="0036465E"/>
    <w:rsid w:val="00364767"/>
    <w:rsid w:val="003654AC"/>
    <w:rsid w:val="00365EC3"/>
    <w:rsid w:val="00365FF9"/>
    <w:rsid w:val="003661B9"/>
    <w:rsid w:val="003664DD"/>
    <w:rsid w:val="00366BC6"/>
    <w:rsid w:val="00366DA1"/>
    <w:rsid w:val="00367445"/>
    <w:rsid w:val="00370D55"/>
    <w:rsid w:val="003710CF"/>
    <w:rsid w:val="00371485"/>
    <w:rsid w:val="0037183A"/>
    <w:rsid w:val="00371C5E"/>
    <w:rsid w:val="00371C72"/>
    <w:rsid w:val="003720CD"/>
    <w:rsid w:val="0037234B"/>
    <w:rsid w:val="00372617"/>
    <w:rsid w:val="003728FA"/>
    <w:rsid w:val="00372E52"/>
    <w:rsid w:val="00373091"/>
    <w:rsid w:val="003732BA"/>
    <w:rsid w:val="00373402"/>
    <w:rsid w:val="0037358A"/>
    <w:rsid w:val="00373821"/>
    <w:rsid w:val="0037398B"/>
    <w:rsid w:val="0037425F"/>
    <w:rsid w:val="0037454D"/>
    <w:rsid w:val="003750F6"/>
    <w:rsid w:val="00375A6D"/>
    <w:rsid w:val="00375B12"/>
    <w:rsid w:val="00375C76"/>
    <w:rsid w:val="003760FC"/>
    <w:rsid w:val="00376173"/>
    <w:rsid w:val="00377014"/>
    <w:rsid w:val="0037727B"/>
    <w:rsid w:val="003776A5"/>
    <w:rsid w:val="00377AED"/>
    <w:rsid w:val="00380281"/>
    <w:rsid w:val="00380355"/>
    <w:rsid w:val="00380886"/>
    <w:rsid w:val="00381289"/>
    <w:rsid w:val="003819A7"/>
    <w:rsid w:val="00382342"/>
    <w:rsid w:val="0038258A"/>
    <w:rsid w:val="00382BD3"/>
    <w:rsid w:val="00383168"/>
    <w:rsid w:val="0038365C"/>
    <w:rsid w:val="0038369B"/>
    <w:rsid w:val="00383B78"/>
    <w:rsid w:val="00383D35"/>
    <w:rsid w:val="00383F49"/>
    <w:rsid w:val="00383F8D"/>
    <w:rsid w:val="00384293"/>
    <w:rsid w:val="003849F4"/>
    <w:rsid w:val="0038515B"/>
    <w:rsid w:val="0038536A"/>
    <w:rsid w:val="00385A9D"/>
    <w:rsid w:val="00385C47"/>
    <w:rsid w:val="00385FF2"/>
    <w:rsid w:val="003867BA"/>
    <w:rsid w:val="003868B0"/>
    <w:rsid w:val="00386A36"/>
    <w:rsid w:val="00386C4F"/>
    <w:rsid w:val="00386DC0"/>
    <w:rsid w:val="003870FC"/>
    <w:rsid w:val="0038729A"/>
    <w:rsid w:val="003873D6"/>
    <w:rsid w:val="0038744C"/>
    <w:rsid w:val="003874FA"/>
    <w:rsid w:val="003902B1"/>
    <w:rsid w:val="0039050C"/>
    <w:rsid w:val="00390541"/>
    <w:rsid w:val="00390DBF"/>
    <w:rsid w:val="00390EFE"/>
    <w:rsid w:val="00391730"/>
    <w:rsid w:val="0039179C"/>
    <w:rsid w:val="00391BD4"/>
    <w:rsid w:val="0039282E"/>
    <w:rsid w:val="003931C3"/>
    <w:rsid w:val="0039510A"/>
    <w:rsid w:val="003955D0"/>
    <w:rsid w:val="00395946"/>
    <w:rsid w:val="00395A0F"/>
    <w:rsid w:val="00395E2E"/>
    <w:rsid w:val="00395EF5"/>
    <w:rsid w:val="00396896"/>
    <w:rsid w:val="00396951"/>
    <w:rsid w:val="00396FD0"/>
    <w:rsid w:val="0039721C"/>
    <w:rsid w:val="0039724F"/>
    <w:rsid w:val="003973E8"/>
    <w:rsid w:val="003974F7"/>
    <w:rsid w:val="0039799D"/>
    <w:rsid w:val="00397EF7"/>
    <w:rsid w:val="003A0810"/>
    <w:rsid w:val="003A0977"/>
    <w:rsid w:val="003A1262"/>
    <w:rsid w:val="003A1289"/>
    <w:rsid w:val="003A12AF"/>
    <w:rsid w:val="003A134B"/>
    <w:rsid w:val="003A19B0"/>
    <w:rsid w:val="003A1A7A"/>
    <w:rsid w:val="003A1A84"/>
    <w:rsid w:val="003A1C39"/>
    <w:rsid w:val="003A1D1A"/>
    <w:rsid w:val="003A1D38"/>
    <w:rsid w:val="003A1DF5"/>
    <w:rsid w:val="003A1F3C"/>
    <w:rsid w:val="003A2392"/>
    <w:rsid w:val="003A2831"/>
    <w:rsid w:val="003A28FB"/>
    <w:rsid w:val="003A2B51"/>
    <w:rsid w:val="003A2C60"/>
    <w:rsid w:val="003A3781"/>
    <w:rsid w:val="003A3CB6"/>
    <w:rsid w:val="003A3ED1"/>
    <w:rsid w:val="003A4328"/>
    <w:rsid w:val="003A44B7"/>
    <w:rsid w:val="003A44DB"/>
    <w:rsid w:val="003A45B6"/>
    <w:rsid w:val="003A4802"/>
    <w:rsid w:val="003A482C"/>
    <w:rsid w:val="003A4D3D"/>
    <w:rsid w:val="003A4F7B"/>
    <w:rsid w:val="003A567B"/>
    <w:rsid w:val="003A5B95"/>
    <w:rsid w:val="003A5E20"/>
    <w:rsid w:val="003A60BB"/>
    <w:rsid w:val="003A693F"/>
    <w:rsid w:val="003A72E5"/>
    <w:rsid w:val="003A7340"/>
    <w:rsid w:val="003A7680"/>
    <w:rsid w:val="003A78E1"/>
    <w:rsid w:val="003B0AD0"/>
    <w:rsid w:val="003B0E58"/>
    <w:rsid w:val="003B1ADF"/>
    <w:rsid w:val="003B1E03"/>
    <w:rsid w:val="003B1FCD"/>
    <w:rsid w:val="003B261F"/>
    <w:rsid w:val="003B301A"/>
    <w:rsid w:val="003B32EF"/>
    <w:rsid w:val="003B3446"/>
    <w:rsid w:val="003B34E4"/>
    <w:rsid w:val="003B3589"/>
    <w:rsid w:val="003B3971"/>
    <w:rsid w:val="003B3FD0"/>
    <w:rsid w:val="003B45A0"/>
    <w:rsid w:val="003B471A"/>
    <w:rsid w:val="003B4740"/>
    <w:rsid w:val="003B48D4"/>
    <w:rsid w:val="003B4904"/>
    <w:rsid w:val="003B49F1"/>
    <w:rsid w:val="003B4BDB"/>
    <w:rsid w:val="003B5097"/>
    <w:rsid w:val="003B55D1"/>
    <w:rsid w:val="003B5B61"/>
    <w:rsid w:val="003B6435"/>
    <w:rsid w:val="003B6783"/>
    <w:rsid w:val="003B6BD1"/>
    <w:rsid w:val="003B7506"/>
    <w:rsid w:val="003B75D6"/>
    <w:rsid w:val="003B764A"/>
    <w:rsid w:val="003B7DFD"/>
    <w:rsid w:val="003B7FFC"/>
    <w:rsid w:val="003C01F6"/>
    <w:rsid w:val="003C08D5"/>
    <w:rsid w:val="003C0A6B"/>
    <w:rsid w:val="003C0E55"/>
    <w:rsid w:val="003C136C"/>
    <w:rsid w:val="003C13F5"/>
    <w:rsid w:val="003C14FC"/>
    <w:rsid w:val="003C1654"/>
    <w:rsid w:val="003C17F4"/>
    <w:rsid w:val="003C1D1A"/>
    <w:rsid w:val="003C2685"/>
    <w:rsid w:val="003C26C2"/>
    <w:rsid w:val="003C2887"/>
    <w:rsid w:val="003C2DD3"/>
    <w:rsid w:val="003C3596"/>
    <w:rsid w:val="003C3CF9"/>
    <w:rsid w:val="003C4569"/>
    <w:rsid w:val="003C486A"/>
    <w:rsid w:val="003C4DA2"/>
    <w:rsid w:val="003C5542"/>
    <w:rsid w:val="003C5ADE"/>
    <w:rsid w:val="003C5D86"/>
    <w:rsid w:val="003C6431"/>
    <w:rsid w:val="003C692C"/>
    <w:rsid w:val="003C6CD4"/>
    <w:rsid w:val="003C6E45"/>
    <w:rsid w:val="003C7086"/>
    <w:rsid w:val="003C7625"/>
    <w:rsid w:val="003C7841"/>
    <w:rsid w:val="003C791D"/>
    <w:rsid w:val="003C7934"/>
    <w:rsid w:val="003C7D0F"/>
    <w:rsid w:val="003C7D19"/>
    <w:rsid w:val="003C7D2F"/>
    <w:rsid w:val="003C7FFB"/>
    <w:rsid w:val="003D07CD"/>
    <w:rsid w:val="003D0AE5"/>
    <w:rsid w:val="003D15FB"/>
    <w:rsid w:val="003D16CB"/>
    <w:rsid w:val="003D1828"/>
    <w:rsid w:val="003D1DE4"/>
    <w:rsid w:val="003D1E9A"/>
    <w:rsid w:val="003D201F"/>
    <w:rsid w:val="003D221C"/>
    <w:rsid w:val="003D2422"/>
    <w:rsid w:val="003D27FD"/>
    <w:rsid w:val="003D2C19"/>
    <w:rsid w:val="003D2E63"/>
    <w:rsid w:val="003D2E84"/>
    <w:rsid w:val="003D2EDF"/>
    <w:rsid w:val="003D3950"/>
    <w:rsid w:val="003D39A1"/>
    <w:rsid w:val="003D3E49"/>
    <w:rsid w:val="003D3FBF"/>
    <w:rsid w:val="003D45B8"/>
    <w:rsid w:val="003D4A30"/>
    <w:rsid w:val="003D5046"/>
    <w:rsid w:val="003D5256"/>
    <w:rsid w:val="003D5F8C"/>
    <w:rsid w:val="003D6155"/>
    <w:rsid w:val="003D6393"/>
    <w:rsid w:val="003D660F"/>
    <w:rsid w:val="003D6B74"/>
    <w:rsid w:val="003D7452"/>
    <w:rsid w:val="003D745E"/>
    <w:rsid w:val="003D7554"/>
    <w:rsid w:val="003D79BB"/>
    <w:rsid w:val="003D7C98"/>
    <w:rsid w:val="003D7D9D"/>
    <w:rsid w:val="003E0543"/>
    <w:rsid w:val="003E0690"/>
    <w:rsid w:val="003E0F37"/>
    <w:rsid w:val="003E1163"/>
    <w:rsid w:val="003E1573"/>
    <w:rsid w:val="003E1621"/>
    <w:rsid w:val="003E1645"/>
    <w:rsid w:val="003E1AA3"/>
    <w:rsid w:val="003E1E4D"/>
    <w:rsid w:val="003E23F4"/>
    <w:rsid w:val="003E2935"/>
    <w:rsid w:val="003E2DF8"/>
    <w:rsid w:val="003E2F6D"/>
    <w:rsid w:val="003E3190"/>
    <w:rsid w:val="003E3741"/>
    <w:rsid w:val="003E3926"/>
    <w:rsid w:val="003E3B87"/>
    <w:rsid w:val="003E4168"/>
    <w:rsid w:val="003E4330"/>
    <w:rsid w:val="003E473F"/>
    <w:rsid w:val="003E4C54"/>
    <w:rsid w:val="003E4D6D"/>
    <w:rsid w:val="003E4FA9"/>
    <w:rsid w:val="003E5142"/>
    <w:rsid w:val="003E5764"/>
    <w:rsid w:val="003E5FE0"/>
    <w:rsid w:val="003E627C"/>
    <w:rsid w:val="003E661E"/>
    <w:rsid w:val="003E749E"/>
    <w:rsid w:val="003E75E2"/>
    <w:rsid w:val="003E7BEA"/>
    <w:rsid w:val="003E7FC9"/>
    <w:rsid w:val="003F0EAD"/>
    <w:rsid w:val="003F1176"/>
    <w:rsid w:val="003F11D4"/>
    <w:rsid w:val="003F17AD"/>
    <w:rsid w:val="003F1F05"/>
    <w:rsid w:val="003F2085"/>
    <w:rsid w:val="003F20D1"/>
    <w:rsid w:val="003F2A13"/>
    <w:rsid w:val="003F337C"/>
    <w:rsid w:val="003F3CC1"/>
    <w:rsid w:val="003F3DAA"/>
    <w:rsid w:val="003F4156"/>
    <w:rsid w:val="003F4309"/>
    <w:rsid w:val="003F43F1"/>
    <w:rsid w:val="003F44E2"/>
    <w:rsid w:val="003F48A8"/>
    <w:rsid w:val="003F5215"/>
    <w:rsid w:val="003F55AA"/>
    <w:rsid w:val="003F5A9B"/>
    <w:rsid w:val="003F5ADF"/>
    <w:rsid w:val="003F6262"/>
    <w:rsid w:val="003F65B9"/>
    <w:rsid w:val="003F6E08"/>
    <w:rsid w:val="003F6FEA"/>
    <w:rsid w:val="003F71EF"/>
    <w:rsid w:val="003F7231"/>
    <w:rsid w:val="003F7453"/>
    <w:rsid w:val="003F76F0"/>
    <w:rsid w:val="003F7C4F"/>
    <w:rsid w:val="003F7FFD"/>
    <w:rsid w:val="004002A6"/>
    <w:rsid w:val="00400B29"/>
    <w:rsid w:val="00400B64"/>
    <w:rsid w:val="00401A35"/>
    <w:rsid w:val="00401CAE"/>
    <w:rsid w:val="00401FDB"/>
    <w:rsid w:val="00402189"/>
    <w:rsid w:val="0040232A"/>
    <w:rsid w:val="0040244E"/>
    <w:rsid w:val="0040251E"/>
    <w:rsid w:val="004028D2"/>
    <w:rsid w:val="004029DC"/>
    <w:rsid w:val="00402A53"/>
    <w:rsid w:val="00402BC9"/>
    <w:rsid w:val="0040314B"/>
    <w:rsid w:val="0040387A"/>
    <w:rsid w:val="004039C3"/>
    <w:rsid w:val="00403C81"/>
    <w:rsid w:val="00404254"/>
    <w:rsid w:val="004042DD"/>
    <w:rsid w:val="00404721"/>
    <w:rsid w:val="00404CC4"/>
    <w:rsid w:val="0040504B"/>
    <w:rsid w:val="004057DE"/>
    <w:rsid w:val="004058CE"/>
    <w:rsid w:val="004059F4"/>
    <w:rsid w:val="00406060"/>
    <w:rsid w:val="0040625D"/>
    <w:rsid w:val="0040628F"/>
    <w:rsid w:val="0040683A"/>
    <w:rsid w:val="00406914"/>
    <w:rsid w:val="004069E3"/>
    <w:rsid w:val="00406A8C"/>
    <w:rsid w:val="0040707E"/>
    <w:rsid w:val="00407343"/>
    <w:rsid w:val="004079BB"/>
    <w:rsid w:val="00407FE5"/>
    <w:rsid w:val="004101B0"/>
    <w:rsid w:val="00410326"/>
    <w:rsid w:val="00410708"/>
    <w:rsid w:val="004108C2"/>
    <w:rsid w:val="00410BCA"/>
    <w:rsid w:val="00410EC7"/>
    <w:rsid w:val="004112DD"/>
    <w:rsid w:val="004115F9"/>
    <w:rsid w:val="00411B39"/>
    <w:rsid w:val="00411E48"/>
    <w:rsid w:val="00412130"/>
    <w:rsid w:val="004127A7"/>
    <w:rsid w:val="0041294A"/>
    <w:rsid w:val="00412A81"/>
    <w:rsid w:val="00412B0B"/>
    <w:rsid w:val="004131FD"/>
    <w:rsid w:val="004138CC"/>
    <w:rsid w:val="00413A1E"/>
    <w:rsid w:val="00413B2A"/>
    <w:rsid w:val="0041420E"/>
    <w:rsid w:val="00414476"/>
    <w:rsid w:val="00414C2E"/>
    <w:rsid w:val="004151CF"/>
    <w:rsid w:val="00415854"/>
    <w:rsid w:val="00416364"/>
    <w:rsid w:val="004165D5"/>
    <w:rsid w:val="004166EC"/>
    <w:rsid w:val="00417212"/>
    <w:rsid w:val="004201DF"/>
    <w:rsid w:val="0042047F"/>
    <w:rsid w:val="00420AA6"/>
    <w:rsid w:val="00420B9F"/>
    <w:rsid w:val="00420C0C"/>
    <w:rsid w:val="00420EFC"/>
    <w:rsid w:val="004214BA"/>
    <w:rsid w:val="00421750"/>
    <w:rsid w:val="0042192C"/>
    <w:rsid w:val="00422260"/>
    <w:rsid w:val="0042235D"/>
    <w:rsid w:val="004224EB"/>
    <w:rsid w:val="004225F5"/>
    <w:rsid w:val="00422C79"/>
    <w:rsid w:val="004230E0"/>
    <w:rsid w:val="00423EAD"/>
    <w:rsid w:val="00424071"/>
    <w:rsid w:val="0042413F"/>
    <w:rsid w:val="004244E6"/>
    <w:rsid w:val="004249A9"/>
    <w:rsid w:val="0042567B"/>
    <w:rsid w:val="0042571C"/>
    <w:rsid w:val="00425B65"/>
    <w:rsid w:val="00426285"/>
    <w:rsid w:val="00426BCC"/>
    <w:rsid w:val="00426F23"/>
    <w:rsid w:val="0042700D"/>
    <w:rsid w:val="00427194"/>
    <w:rsid w:val="004271CC"/>
    <w:rsid w:val="0042766F"/>
    <w:rsid w:val="004314CB"/>
    <w:rsid w:val="004316DB"/>
    <w:rsid w:val="004319F8"/>
    <w:rsid w:val="00431BB7"/>
    <w:rsid w:val="00431E55"/>
    <w:rsid w:val="00432051"/>
    <w:rsid w:val="004321F6"/>
    <w:rsid w:val="00432869"/>
    <w:rsid w:val="00432FC3"/>
    <w:rsid w:val="00433044"/>
    <w:rsid w:val="004337BD"/>
    <w:rsid w:val="00434088"/>
    <w:rsid w:val="0043449E"/>
    <w:rsid w:val="00434FB8"/>
    <w:rsid w:val="00435479"/>
    <w:rsid w:val="00435B15"/>
    <w:rsid w:val="00436183"/>
    <w:rsid w:val="00436634"/>
    <w:rsid w:val="00437177"/>
    <w:rsid w:val="004375B9"/>
    <w:rsid w:val="00437634"/>
    <w:rsid w:val="004404B3"/>
    <w:rsid w:val="00440991"/>
    <w:rsid w:val="00440B8C"/>
    <w:rsid w:val="00440D48"/>
    <w:rsid w:val="004415C9"/>
    <w:rsid w:val="004418D2"/>
    <w:rsid w:val="00441914"/>
    <w:rsid w:val="004419C0"/>
    <w:rsid w:val="00441DAF"/>
    <w:rsid w:val="0044201D"/>
    <w:rsid w:val="0044205B"/>
    <w:rsid w:val="004422DC"/>
    <w:rsid w:val="004423AD"/>
    <w:rsid w:val="004428D0"/>
    <w:rsid w:val="00442CAA"/>
    <w:rsid w:val="00442D71"/>
    <w:rsid w:val="00442F5D"/>
    <w:rsid w:val="00442FBD"/>
    <w:rsid w:val="00443052"/>
    <w:rsid w:val="004430F0"/>
    <w:rsid w:val="00443493"/>
    <w:rsid w:val="00443861"/>
    <w:rsid w:val="00443BBC"/>
    <w:rsid w:val="00444185"/>
    <w:rsid w:val="004443A7"/>
    <w:rsid w:val="0044442C"/>
    <w:rsid w:val="004444F3"/>
    <w:rsid w:val="0044460C"/>
    <w:rsid w:val="0044477E"/>
    <w:rsid w:val="00444941"/>
    <w:rsid w:val="00444D45"/>
    <w:rsid w:val="00444E4F"/>
    <w:rsid w:val="00444F56"/>
    <w:rsid w:val="00445106"/>
    <w:rsid w:val="00445365"/>
    <w:rsid w:val="004455EA"/>
    <w:rsid w:val="00445941"/>
    <w:rsid w:val="00445FD4"/>
    <w:rsid w:val="004460ED"/>
    <w:rsid w:val="004464EB"/>
    <w:rsid w:val="00446ED6"/>
    <w:rsid w:val="0044718E"/>
    <w:rsid w:val="00447794"/>
    <w:rsid w:val="00447D26"/>
    <w:rsid w:val="00447DFC"/>
    <w:rsid w:val="00450034"/>
    <w:rsid w:val="0045109A"/>
    <w:rsid w:val="00451296"/>
    <w:rsid w:val="004518E3"/>
    <w:rsid w:val="0045192D"/>
    <w:rsid w:val="00451ED6"/>
    <w:rsid w:val="004520F9"/>
    <w:rsid w:val="00452C69"/>
    <w:rsid w:val="00452FA8"/>
    <w:rsid w:val="0045316F"/>
    <w:rsid w:val="00453194"/>
    <w:rsid w:val="00453FEE"/>
    <w:rsid w:val="0045429A"/>
    <w:rsid w:val="0045526E"/>
    <w:rsid w:val="004552FF"/>
    <w:rsid w:val="00455438"/>
    <w:rsid w:val="00455522"/>
    <w:rsid w:val="0045580C"/>
    <w:rsid w:val="00455958"/>
    <w:rsid w:val="00455D45"/>
    <w:rsid w:val="00456102"/>
    <w:rsid w:val="0045635A"/>
    <w:rsid w:val="00456434"/>
    <w:rsid w:val="00457004"/>
    <w:rsid w:val="00457262"/>
    <w:rsid w:val="00457564"/>
    <w:rsid w:val="00457E5E"/>
    <w:rsid w:val="00460491"/>
    <w:rsid w:val="004609E9"/>
    <w:rsid w:val="00460A90"/>
    <w:rsid w:val="00461851"/>
    <w:rsid w:val="00462675"/>
    <w:rsid w:val="00462C4E"/>
    <w:rsid w:val="00462D6D"/>
    <w:rsid w:val="00462F14"/>
    <w:rsid w:val="004636AD"/>
    <w:rsid w:val="00463912"/>
    <w:rsid w:val="00463ADE"/>
    <w:rsid w:val="00464595"/>
    <w:rsid w:val="004646D3"/>
    <w:rsid w:val="0046473D"/>
    <w:rsid w:val="00464A8D"/>
    <w:rsid w:val="00464CF3"/>
    <w:rsid w:val="00464D9E"/>
    <w:rsid w:val="004658B5"/>
    <w:rsid w:val="00465ABF"/>
    <w:rsid w:val="00465D00"/>
    <w:rsid w:val="00465F1C"/>
    <w:rsid w:val="00466966"/>
    <w:rsid w:val="00466ED5"/>
    <w:rsid w:val="00466F98"/>
    <w:rsid w:val="004675A6"/>
    <w:rsid w:val="00470C67"/>
    <w:rsid w:val="00470EEC"/>
    <w:rsid w:val="0047136D"/>
    <w:rsid w:val="004714A5"/>
    <w:rsid w:val="00471682"/>
    <w:rsid w:val="00471731"/>
    <w:rsid w:val="00471EA5"/>
    <w:rsid w:val="004723C2"/>
    <w:rsid w:val="00472893"/>
    <w:rsid w:val="00472A79"/>
    <w:rsid w:val="00472C16"/>
    <w:rsid w:val="00473F19"/>
    <w:rsid w:val="00474576"/>
    <w:rsid w:val="004746B2"/>
    <w:rsid w:val="00474781"/>
    <w:rsid w:val="00475687"/>
    <w:rsid w:val="00475817"/>
    <w:rsid w:val="00475A95"/>
    <w:rsid w:val="00475E22"/>
    <w:rsid w:val="00476695"/>
    <w:rsid w:val="00476A44"/>
    <w:rsid w:val="00476D93"/>
    <w:rsid w:val="00476DF4"/>
    <w:rsid w:val="00477392"/>
    <w:rsid w:val="0047788F"/>
    <w:rsid w:val="00480097"/>
    <w:rsid w:val="00480644"/>
    <w:rsid w:val="0048088E"/>
    <w:rsid w:val="00480F2B"/>
    <w:rsid w:val="00481309"/>
    <w:rsid w:val="00481801"/>
    <w:rsid w:val="00481F8B"/>
    <w:rsid w:val="004825D0"/>
    <w:rsid w:val="00482720"/>
    <w:rsid w:val="0048279C"/>
    <w:rsid w:val="00482E66"/>
    <w:rsid w:val="00483043"/>
    <w:rsid w:val="004834F1"/>
    <w:rsid w:val="004835E7"/>
    <w:rsid w:val="00483A50"/>
    <w:rsid w:val="00483B1C"/>
    <w:rsid w:val="00483DCD"/>
    <w:rsid w:val="00483DED"/>
    <w:rsid w:val="00483F25"/>
    <w:rsid w:val="00484063"/>
    <w:rsid w:val="004847E8"/>
    <w:rsid w:val="004847F1"/>
    <w:rsid w:val="004855A6"/>
    <w:rsid w:val="004867E2"/>
    <w:rsid w:val="00486937"/>
    <w:rsid w:val="0048698D"/>
    <w:rsid w:val="00486D1A"/>
    <w:rsid w:val="00486EAA"/>
    <w:rsid w:val="00487807"/>
    <w:rsid w:val="00487E91"/>
    <w:rsid w:val="0049002D"/>
    <w:rsid w:val="00490585"/>
    <w:rsid w:val="00490B17"/>
    <w:rsid w:val="00490B74"/>
    <w:rsid w:val="00490ED6"/>
    <w:rsid w:val="004917EE"/>
    <w:rsid w:val="0049187A"/>
    <w:rsid w:val="00491B3A"/>
    <w:rsid w:val="00491B99"/>
    <w:rsid w:val="00491C2F"/>
    <w:rsid w:val="00491F71"/>
    <w:rsid w:val="00491FAD"/>
    <w:rsid w:val="00492434"/>
    <w:rsid w:val="004927E3"/>
    <w:rsid w:val="00492CFD"/>
    <w:rsid w:val="00493343"/>
    <w:rsid w:val="00493B4F"/>
    <w:rsid w:val="00493E12"/>
    <w:rsid w:val="00494207"/>
    <w:rsid w:val="0049476B"/>
    <w:rsid w:val="00494B19"/>
    <w:rsid w:val="00494DD5"/>
    <w:rsid w:val="00494FC9"/>
    <w:rsid w:val="0049529F"/>
    <w:rsid w:val="004958A4"/>
    <w:rsid w:val="004958B3"/>
    <w:rsid w:val="00495C6D"/>
    <w:rsid w:val="004962D2"/>
    <w:rsid w:val="004963CB"/>
    <w:rsid w:val="0049724A"/>
    <w:rsid w:val="004976CD"/>
    <w:rsid w:val="00497C9C"/>
    <w:rsid w:val="004A0588"/>
    <w:rsid w:val="004A0DA1"/>
    <w:rsid w:val="004A12D8"/>
    <w:rsid w:val="004A13D6"/>
    <w:rsid w:val="004A14DB"/>
    <w:rsid w:val="004A14F1"/>
    <w:rsid w:val="004A1CAB"/>
    <w:rsid w:val="004A2A1D"/>
    <w:rsid w:val="004A2EA4"/>
    <w:rsid w:val="004A2F82"/>
    <w:rsid w:val="004A3807"/>
    <w:rsid w:val="004A389A"/>
    <w:rsid w:val="004A48EB"/>
    <w:rsid w:val="004A4C90"/>
    <w:rsid w:val="004A5181"/>
    <w:rsid w:val="004A52E9"/>
    <w:rsid w:val="004A562B"/>
    <w:rsid w:val="004A5650"/>
    <w:rsid w:val="004A57A4"/>
    <w:rsid w:val="004A5EC8"/>
    <w:rsid w:val="004A6040"/>
    <w:rsid w:val="004A6597"/>
    <w:rsid w:val="004A69AD"/>
    <w:rsid w:val="004A6BC2"/>
    <w:rsid w:val="004A6BCC"/>
    <w:rsid w:val="004A7848"/>
    <w:rsid w:val="004B0383"/>
    <w:rsid w:val="004B046E"/>
    <w:rsid w:val="004B09FA"/>
    <w:rsid w:val="004B0B74"/>
    <w:rsid w:val="004B1093"/>
    <w:rsid w:val="004B1923"/>
    <w:rsid w:val="004B1CB4"/>
    <w:rsid w:val="004B1CE5"/>
    <w:rsid w:val="004B1F97"/>
    <w:rsid w:val="004B2212"/>
    <w:rsid w:val="004B26FB"/>
    <w:rsid w:val="004B2877"/>
    <w:rsid w:val="004B2ACC"/>
    <w:rsid w:val="004B2F18"/>
    <w:rsid w:val="004B2F70"/>
    <w:rsid w:val="004B320A"/>
    <w:rsid w:val="004B340A"/>
    <w:rsid w:val="004B36F1"/>
    <w:rsid w:val="004B373D"/>
    <w:rsid w:val="004B390D"/>
    <w:rsid w:val="004B3DDB"/>
    <w:rsid w:val="004B3FF3"/>
    <w:rsid w:val="004B439C"/>
    <w:rsid w:val="004B44FD"/>
    <w:rsid w:val="004B4A0B"/>
    <w:rsid w:val="004B4AF8"/>
    <w:rsid w:val="004B4FAD"/>
    <w:rsid w:val="004B5282"/>
    <w:rsid w:val="004B5372"/>
    <w:rsid w:val="004B583C"/>
    <w:rsid w:val="004B5B11"/>
    <w:rsid w:val="004B5CFC"/>
    <w:rsid w:val="004B6943"/>
    <w:rsid w:val="004B69CD"/>
    <w:rsid w:val="004B6DA1"/>
    <w:rsid w:val="004B6E0F"/>
    <w:rsid w:val="004B6F79"/>
    <w:rsid w:val="004B7483"/>
    <w:rsid w:val="004B774D"/>
    <w:rsid w:val="004B7C2B"/>
    <w:rsid w:val="004C00D5"/>
    <w:rsid w:val="004C0352"/>
    <w:rsid w:val="004C0382"/>
    <w:rsid w:val="004C0606"/>
    <w:rsid w:val="004C0709"/>
    <w:rsid w:val="004C0B31"/>
    <w:rsid w:val="004C0B91"/>
    <w:rsid w:val="004C0D0B"/>
    <w:rsid w:val="004C206C"/>
    <w:rsid w:val="004C20A7"/>
    <w:rsid w:val="004C21C5"/>
    <w:rsid w:val="004C2284"/>
    <w:rsid w:val="004C23A4"/>
    <w:rsid w:val="004C252A"/>
    <w:rsid w:val="004C268B"/>
    <w:rsid w:val="004C26DE"/>
    <w:rsid w:val="004C292E"/>
    <w:rsid w:val="004C2CF7"/>
    <w:rsid w:val="004C314C"/>
    <w:rsid w:val="004C31E7"/>
    <w:rsid w:val="004C37F7"/>
    <w:rsid w:val="004C3909"/>
    <w:rsid w:val="004C4142"/>
    <w:rsid w:val="004C435A"/>
    <w:rsid w:val="004C492C"/>
    <w:rsid w:val="004C49EE"/>
    <w:rsid w:val="004C4AED"/>
    <w:rsid w:val="004C504F"/>
    <w:rsid w:val="004C551F"/>
    <w:rsid w:val="004C585D"/>
    <w:rsid w:val="004C5AA9"/>
    <w:rsid w:val="004C5DF8"/>
    <w:rsid w:val="004C5FE9"/>
    <w:rsid w:val="004C662A"/>
    <w:rsid w:val="004C6E88"/>
    <w:rsid w:val="004C70B3"/>
    <w:rsid w:val="004C7B46"/>
    <w:rsid w:val="004C7B50"/>
    <w:rsid w:val="004D01A4"/>
    <w:rsid w:val="004D01E9"/>
    <w:rsid w:val="004D0EF4"/>
    <w:rsid w:val="004D1A3E"/>
    <w:rsid w:val="004D2111"/>
    <w:rsid w:val="004D24A6"/>
    <w:rsid w:val="004D28F1"/>
    <w:rsid w:val="004D2C2D"/>
    <w:rsid w:val="004D37FE"/>
    <w:rsid w:val="004D438C"/>
    <w:rsid w:val="004D4A1E"/>
    <w:rsid w:val="004D4A7B"/>
    <w:rsid w:val="004D53AD"/>
    <w:rsid w:val="004D57DF"/>
    <w:rsid w:val="004D599E"/>
    <w:rsid w:val="004D5A74"/>
    <w:rsid w:val="004D5CE5"/>
    <w:rsid w:val="004D5E87"/>
    <w:rsid w:val="004D662F"/>
    <w:rsid w:val="004D6921"/>
    <w:rsid w:val="004D69B5"/>
    <w:rsid w:val="004D6BFB"/>
    <w:rsid w:val="004D7227"/>
    <w:rsid w:val="004D74B1"/>
    <w:rsid w:val="004D78E9"/>
    <w:rsid w:val="004E013B"/>
    <w:rsid w:val="004E030F"/>
    <w:rsid w:val="004E0D55"/>
    <w:rsid w:val="004E0E7F"/>
    <w:rsid w:val="004E0EB8"/>
    <w:rsid w:val="004E15E4"/>
    <w:rsid w:val="004E17EA"/>
    <w:rsid w:val="004E18E9"/>
    <w:rsid w:val="004E1E55"/>
    <w:rsid w:val="004E261E"/>
    <w:rsid w:val="004E2ADC"/>
    <w:rsid w:val="004E2ADD"/>
    <w:rsid w:val="004E3066"/>
    <w:rsid w:val="004E369D"/>
    <w:rsid w:val="004E3F49"/>
    <w:rsid w:val="004E4361"/>
    <w:rsid w:val="004E43B2"/>
    <w:rsid w:val="004E4B0A"/>
    <w:rsid w:val="004E4B3C"/>
    <w:rsid w:val="004E539C"/>
    <w:rsid w:val="004E5AE5"/>
    <w:rsid w:val="004E612F"/>
    <w:rsid w:val="004E64B5"/>
    <w:rsid w:val="004E6ED6"/>
    <w:rsid w:val="004E7127"/>
    <w:rsid w:val="004E7C1B"/>
    <w:rsid w:val="004E7F8E"/>
    <w:rsid w:val="004E7FBA"/>
    <w:rsid w:val="004F0180"/>
    <w:rsid w:val="004F0310"/>
    <w:rsid w:val="004F039C"/>
    <w:rsid w:val="004F1973"/>
    <w:rsid w:val="004F1CBE"/>
    <w:rsid w:val="004F1D02"/>
    <w:rsid w:val="004F1E09"/>
    <w:rsid w:val="004F1E15"/>
    <w:rsid w:val="004F250C"/>
    <w:rsid w:val="004F2679"/>
    <w:rsid w:val="004F27ED"/>
    <w:rsid w:val="004F2F21"/>
    <w:rsid w:val="004F312D"/>
    <w:rsid w:val="004F330C"/>
    <w:rsid w:val="004F3DE5"/>
    <w:rsid w:val="004F3FF4"/>
    <w:rsid w:val="004F4036"/>
    <w:rsid w:val="004F40EA"/>
    <w:rsid w:val="004F4B36"/>
    <w:rsid w:val="004F4BEA"/>
    <w:rsid w:val="004F4FE1"/>
    <w:rsid w:val="004F53A3"/>
    <w:rsid w:val="004F5417"/>
    <w:rsid w:val="004F549F"/>
    <w:rsid w:val="004F5BFD"/>
    <w:rsid w:val="004F5F74"/>
    <w:rsid w:val="004F62FC"/>
    <w:rsid w:val="004F6913"/>
    <w:rsid w:val="004F6DB1"/>
    <w:rsid w:val="004F6F11"/>
    <w:rsid w:val="004F7256"/>
    <w:rsid w:val="004F7865"/>
    <w:rsid w:val="004F788E"/>
    <w:rsid w:val="004F7898"/>
    <w:rsid w:val="0050018E"/>
    <w:rsid w:val="005009CD"/>
    <w:rsid w:val="005009E4"/>
    <w:rsid w:val="00501580"/>
    <w:rsid w:val="0050174E"/>
    <w:rsid w:val="00501854"/>
    <w:rsid w:val="00501881"/>
    <w:rsid w:val="00501B45"/>
    <w:rsid w:val="00501DEE"/>
    <w:rsid w:val="0050219B"/>
    <w:rsid w:val="0050283B"/>
    <w:rsid w:val="00502E08"/>
    <w:rsid w:val="00503B26"/>
    <w:rsid w:val="00503F17"/>
    <w:rsid w:val="005042E7"/>
    <w:rsid w:val="00504509"/>
    <w:rsid w:val="005045EE"/>
    <w:rsid w:val="00504F5D"/>
    <w:rsid w:val="00505043"/>
    <w:rsid w:val="005052FF"/>
    <w:rsid w:val="0050655A"/>
    <w:rsid w:val="005067C8"/>
    <w:rsid w:val="00506928"/>
    <w:rsid w:val="00506A0E"/>
    <w:rsid w:val="00506F69"/>
    <w:rsid w:val="005070AB"/>
    <w:rsid w:val="005070D7"/>
    <w:rsid w:val="0050736E"/>
    <w:rsid w:val="005077EF"/>
    <w:rsid w:val="005079D0"/>
    <w:rsid w:val="00510066"/>
    <w:rsid w:val="00510144"/>
    <w:rsid w:val="00511375"/>
    <w:rsid w:val="005113C8"/>
    <w:rsid w:val="005117AE"/>
    <w:rsid w:val="00511AD5"/>
    <w:rsid w:val="00511C6F"/>
    <w:rsid w:val="00511DC7"/>
    <w:rsid w:val="00511EED"/>
    <w:rsid w:val="00512394"/>
    <w:rsid w:val="0051381D"/>
    <w:rsid w:val="005139FF"/>
    <w:rsid w:val="00514261"/>
    <w:rsid w:val="005142C5"/>
    <w:rsid w:val="005144E5"/>
    <w:rsid w:val="00514903"/>
    <w:rsid w:val="005149E6"/>
    <w:rsid w:val="00514A6B"/>
    <w:rsid w:val="00514D02"/>
    <w:rsid w:val="0051501B"/>
    <w:rsid w:val="005152B5"/>
    <w:rsid w:val="0051547F"/>
    <w:rsid w:val="0051580E"/>
    <w:rsid w:val="005166C0"/>
    <w:rsid w:val="00517256"/>
    <w:rsid w:val="00517797"/>
    <w:rsid w:val="0052001C"/>
    <w:rsid w:val="00520C39"/>
    <w:rsid w:val="00520C93"/>
    <w:rsid w:val="00520C98"/>
    <w:rsid w:val="0052123C"/>
    <w:rsid w:val="00521319"/>
    <w:rsid w:val="00521355"/>
    <w:rsid w:val="00521791"/>
    <w:rsid w:val="00522B37"/>
    <w:rsid w:val="00522BC8"/>
    <w:rsid w:val="00522F53"/>
    <w:rsid w:val="00523C28"/>
    <w:rsid w:val="00523CD8"/>
    <w:rsid w:val="0052413F"/>
    <w:rsid w:val="00524596"/>
    <w:rsid w:val="0052496E"/>
    <w:rsid w:val="00525CB6"/>
    <w:rsid w:val="00525DCF"/>
    <w:rsid w:val="00525FFB"/>
    <w:rsid w:val="00526054"/>
    <w:rsid w:val="00526303"/>
    <w:rsid w:val="005265F4"/>
    <w:rsid w:val="00526BDE"/>
    <w:rsid w:val="005275EB"/>
    <w:rsid w:val="00527B0A"/>
    <w:rsid w:val="00527C0E"/>
    <w:rsid w:val="00527CB3"/>
    <w:rsid w:val="00527D27"/>
    <w:rsid w:val="00527D65"/>
    <w:rsid w:val="00530097"/>
    <w:rsid w:val="005303CB"/>
    <w:rsid w:val="00531020"/>
    <w:rsid w:val="00531358"/>
    <w:rsid w:val="0053139A"/>
    <w:rsid w:val="005315AA"/>
    <w:rsid w:val="005316C2"/>
    <w:rsid w:val="0053176B"/>
    <w:rsid w:val="00532774"/>
    <w:rsid w:val="0053292C"/>
    <w:rsid w:val="0053295F"/>
    <w:rsid w:val="00532E8E"/>
    <w:rsid w:val="00533901"/>
    <w:rsid w:val="0053415E"/>
    <w:rsid w:val="005345E5"/>
    <w:rsid w:val="00534C5F"/>
    <w:rsid w:val="00535621"/>
    <w:rsid w:val="0053573D"/>
    <w:rsid w:val="00535F6D"/>
    <w:rsid w:val="005367E6"/>
    <w:rsid w:val="00536AAD"/>
    <w:rsid w:val="00536DDF"/>
    <w:rsid w:val="00536F42"/>
    <w:rsid w:val="00537182"/>
    <w:rsid w:val="0053772F"/>
    <w:rsid w:val="00537D79"/>
    <w:rsid w:val="00537E05"/>
    <w:rsid w:val="00537E81"/>
    <w:rsid w:val="00540F05"/>
    <w:rsid w:val="00540F75"/>
    <w:rsid w:val="00541025"/>
    <w:rsid w:val="00541399"/>
    <w:rsid w:val="005414FC"/>
    <w:rsid w:val="005415F6"/>
    <w:rsid w:val="00541C85"/>
    <w:rsid w:val="00541EDD"/>
    <w:rsid w:val="0054206D"/>
    <w:rsid w:val="005424DC"/>
    <w:rsid w:val="00542743"/>
    <w:rsid w:val="00542C05"/>
    <w:rsid w:val="00542C2D"/>
    <w:rsid w:val="00542E8F"/>
    <w:rsid w:val="00542F0C"/>
    <w:rsid w:val="0054331C"/>
    <w:rsid w:val="005433BE"/>
    <w:rsid w:val="005433CF"/>
    <w:rsid w:val="00543AD7"/>
    <w:rsid w:val="00543B3E"/>
    <w:rsid w:val="00544432"/>
    <w:rsid w:val="00544756"/>
    <w:rsid w:val="00544A03"/>
    <w:rsid w:val="00544D5E"/>
    <w:rsid w:val="005450BD"/>
    <w:rsid w:val="005453A5"/>
    <w:rsid w:val="005454E4"/>
    <w:rsid w:val="00545EAE"/>
    <w:rsid w:val="0054609C"/>
    <w:rsid w:val="00546233"/>
    <w:rsid w:val="00546358"/>
    <w:rsid w:val="005464EE"/>
    <w:rsid w:val="0054664B"/>
    <w:rsid w:val="005469BD"/>
    <w:rsid w:val="00546BA6"/>
    <w:rsid w:val="0054719C"/>
    <w:rsid w:val="005478BD"/>
    <w:rsid w:val="005479E3"/>
    <w:rsid w:val="00547E0B"/>
    <w:rsid w:val="00550B0F"/>
    <w:rsid w:val="00550F7D"/>
    <w:rsid w:val="00551651"/>
    <w:rsid w:val="00551816"/>
    <w:rsid w:val="00551985"/>
    <w:rsid w:val="005523A3"/>
    <w:rsid w:val="005528BD"/>
    <w:rsid w:val="00552989"/>
    <w:rsid w:val="00552BD3"/>
    <w:rsid w:val="00552D2F"/>
    <w:rsid w:val="00552E9B"/>
    <w:rsid w:val="00553090"/>
    <w:rsid w:val="005532A0"/>
    <w:rsid w:val="00553D11"/>
    <w:rsid w:val="005549B2"/>
    <w:rsid w:val="00554F35"/>
    <w:rsid w:val="00555109"/>
    <w:rsid w:val="00555146"/>
    <w:rsid w:val="00555995"/>
    <w:rsid w:val="005559E5"/>
    <w:rsid w:val="00555A57"/>
    <w:rsid w:val="00555A8C"/>
    <w:rsid w:val="00555D78"/>
    <w:rsid w:val="00555EC1"/>
    <w:rsid w:val="00556005"/>
    <w:rsid w:val="00556B35"/>
    <w:rsid w:val="00556BFB"/>
    <w:rsid w:val="0055741A"/>
    <w:rsid w:val="0056013B"/>
    <w:rsid w:val="005605A2"/>
    <w:rsid w:val="00560B73"/>
    <w:rsid w:val="00560BA5"/>
    <w:rsid w:val="00560D2C"/>
    <w:rsid w:val="00560D6A"/>
    <w:rsid w:val="00560D9D"/>
    <w:rsid w:val="00560F4D"/>
    <w:rsid w:val="00560F79"/>
    <w:rsid w:val="005611A9"/>
    <w:rsid w:val="005611B7"/>
    <w:rsid w:val="005618D4"/>
    <w:rsid w:val="00561C6A"/>
    <w:rsid w:val="0056262B"/>
    <w:rsid w:val="005627D0"/>
    <w:rsid w:val="00562ADD"/>
    <w:rsid w:val="0056315E"/>
    <w:rsid w:val="00563766"/>
    <w:rsid w:val="005639DE"/>
    <w:rsid w:val="005639EE"/>
    <w:rsid w:val="00564036"/>
    <w:rsid w:val="00564118"/>
    <w:rsid w:val="00564373"/>
    <w:rsid w:val="0056484F"/>
    <w:rsid w:val="00565399"/>
    <w:rsid w:val="0056560F"/>
    <w:rsid w:val="00565722"/>
    <w:rsid w:val="0056582D"/>
    <w:rsid w:val="00565D01"/>
    <w:rsid w:val="00565DF0"/>
    <w:rsid w:val="005660AF"/>
    <w:rsid w:val="00566249"/>
    <w:rsid w:val="00566310"/>
    <w:rsid w:val="0056696F"/>
    <w:rsid w:val="005669AC"/>
    <w:rsid w:val="00566E6D"/>
    <w:rsid w:val="00566FCD"/>
    <w:rsid w:val="005676BB"/>
    <w:rsid w:val="005676EB"/>
    <w:rsid w:val="00567983"/>
    <w:rsid w:val="00567A23"/>
    <w:rsid w:val="00567A4F"/>
    <w:rsid w:val="00570098"/>
    <w:rsid w:val="00570B75"/>
    <w:rsid w:val="0057106D"/>
    <w:rsid w:val="005712FA"/>
    <w:rsid w:val="00571478"/>
    <w:rsid w:val="00572054"/>
    <w:rsid w:val="00572269"/>
    <w:rsid w:val="0057244A"/>
    <w:rsid w:val="0057263F"/>
    <w:rsid w:val="00572B69"/>
    <w:rsid w:val="00572B89"/>
    <w:rsid w:val="00572C30"/>
    <w:rsid w:val="00572F26"/>
    <w:rsid w:val="005730FC"/>
    <w:rsid w:val="00573BE8"/>
    <w:rsid w:val="00573C1B"/>
    <w:rsid w:val="00573C5E"/>
    <w:rsid w:val="00574087"/>
    <w:rsid w:val="005750C5"/>
    <w:rsid w:val="00575172"/>
    <w:rsid w:val="00575222"/>
    <w:rsid w:val="005752DE"/>
    <w:rsid w:val="005754AB"/>
    <w:rsid w:val="00575D8D"/>
    <w:rsid w:val="00575F6C"/>
    <w:rsid w:val="00576325"/>
    <w:rsid w:val="00576360"/>
    <w:rsid w:val="0057691E"/>
    <w:rsid w:val="00576944"/>
    <w:rsid w:val="00576972"/>
    <w:rsid w:val="00576A9E"/>
    <w:rsid w:val="00576B38"/>
    <w:rsid w:val="005770B4"/>
    <w:rsid w:val="005772FB"/>
    <w:rsid w:val="00577477"/>
    <w:rsid w:val="00577550"/>
    <w:rsid w:val="005776C5"/>
    <w:rsid w:val="0057778F"/>
    <w:rsid w:val="005800D5"/>
    <w:rsid w:val="00580134"/>
    <w:rsid w:val="00580739"/>
    <w:rsid w:val="00580C4A"/>
    <w:rsid w:val="00580F47"/>
    <w:rsid w:val="00581427"/>
    <w:rsid w:val="005818FA"/>
    <w:rsid w:val="005819B1"/>
    <w:rsid w:val="00581CE1"/>
    <w:rsid w:val="00581D48"/>
    <w:rsid w:val="005825E0"/>
    <w:rsid w:val="00582997"/>
    <w:rsid w:val="00583699"/>
    <w:rsid w:val="005838B6"/>
    <w:rsid w:val="005838DC"/>
    <w:rsid w:val="0058444A"/>
    <w:rsid w:val="00584907"/>
    <w:rsid w:val="00585512"/>
    <w:rsid w:val="00585BB6"/>
    <w:rsid w:val="00585CDD"/>
    <w:rsid w:val="005865BE"/>
    <w:rsid w:val="00586AD8"/>
    <w:rsid w:val="00587058"/>
    <w:rsid w:val="00587921"/>
    <w:rsid w:val="00587A3C"/>
    <w:rsid w:val="00587B13"/>
    <w:rsid w:val="00587C86"/>
    <w:rsid w:val="00587FE2"/>
    <w:rsid w:val="00590206"/>
    <w:rsid w:val="005904D1"/>
    <w:rsid w:val="005914B2"/>
    <w:rsid w:val="0059165E"/>
    <w:rsid w:val="005917EE"/>
    <w:rsid w:val="00591957"/>
    <w:rsid w:val="00591D6A"/>
    <w:rsid w:val="00591D80"/>
    <w:rsid w:val="0059385E"/>
    <w:rsid w:val="00593F6E"/>
    <w:rsid w:val="0059410C"/>
    <w:rsid w:val="0059447B"/>
    <w:rsid w:val="00594753"/>
    <w:rsid w:val="005949FB"/>
    <w:rsid w:val="0059569D"/>
    <w:rsid w:val="005957D4"/>
    <w:rsid w:val="00597025"/>
    <w:rsid w:val="00597198"/>
    <w:rsid w:val="005972EF"/>
    <w:rsid w:val="005974A6"/>
    <w:rsid w:val="005974C3"/>
    <w:rsid w:val="00597BF9"/>
    <w:rsid w:val="00597D53"/>
    <w:rsid w:val="00597D72"/>
    <w:rsid w:val="005A00AF"/>
    <w:rsid w:val="005A013C"/>
    <w:rsid w:val="005A0A1E"/>
    <w:rsid w:val="005A1119"/>
    <w:rsid w:val="005A1487"/>
    <w:rsid w:val="005A18EC"/>
    <w:rsid w:val="005A1E06"/>
    <w:rsid w:val="005A1E92"/>
    <w:rsid w:val="005A22F7"/>
    <w:rsid w:val="005A2766"/>
    <w:rsid w:val="005A289B"/>
    <w:rsid w:val="005A2B42"/>
    <w:rsid w:val="005A2B5E"/>
    <w:rsid w:val="005A2DB5"/>
    <w:rsid w:val="005A309A"/>
    <w:rsid w:val="005A31C6"/>
    <w:rsid w:val="005A373D"/>
    <w:rsid w:val="005A3CD1"/>
    <w:rsid w:val="005A3F3F"/>
    <w:rsid w:val="005A43EB"/>
    <w:rsid w:val="005A4C4F"/>
    <w:rsid w:val="005A4E75"/>
    <w:rsid w:val="005A51FA"/>
    <w:rsid w:val="005A5373"/>
    <w:rsid w:val="005A5A8E"/>
    <w:rsid w:val="005A6300"/>
    <w:rsid w:val="005A6885"/>
    <w:rsid w:val="005A6890"/>
    <w:rsid w:val="005A6C8E"/>
    <w:rsid w:val="005A719F"/>
    <w:rsid w:val="005A7C99"/>
    <w:rsid w:val="005A7D59"/>
    <w:rsid w:val="005B0535"/>
    <w:rsid w:val="005B0A5A"/>
    <w:rsid w:val="005B0AE1"/>
    <w:rsid w:val="005B0B58"/>
    <w:rsid w:val="005B0C53"/>
    <w:rsid w:val="005B0CCC"/>
    <w:rsid w:val="005B0D11"/>
    <w:rsid w:val="005B0D13"/>
    <w:rsid w:val="005B1312"/>
    <w:rsid w:val="005B1516"/>
    <w:rsid w:val="005B17C9"/>
    <w:rsid w:val="005B1878"/>
    <w:rsid w:val="005B1C0B"/>
    <w:rsid w:val="005B2478"/>
    <w:rsid w:val="005B2A9A"/>
    <w:rsid w:val="005B2C3F"/>
    <w:rsid w:val="005B2DB4"/>
    <w:rsid w:val="005B3106"/>
    <w:rsid w:val="005B32F4"/>
    <w:rsid w:val="005B38E5"/>
    <w:rsid w:val="005B39EF"/>
    <w:rsid w:val="005B3F0F"/>
    <w:rsid w:val="005B3F84"/>
    <w:rsid w:val="005B419B"/>
    <w:rsid w:val="005B4C29"/>
    <w:rsid w:val="005B4CB8"/>
    <w:rsid w:val="005B4CC9"/>
    <w:rsid w:val="005B4D99"/>
    <w:rsid w:val="005B4E53"/>
    <w:rsid w:val="005B5857"/>
    <w:rsid w:val="005B5933"/>
    <w:rsid w:val="005B5BD5"/>
    <w:rsid w:val="005B64AE"/>
    <w:rsid w:val="005B6566"/>
    <w:rsid w:val="005B65E1"/>
    <w:rsid w:val="005B67A7"/>
    <w:rsid w:val="005B6A70"/>
    <w:rsid w:val="005B6D8E"/>
    <w:rsid w:val="005B7273"/>
    <w:rsid w:val="005B7896"/>
    <w:rsid w:val="005B7E79"/>
    <w:rsid w:val="005C0860"/>
    <w:rsid w:val="005C0C48"/>
    <w:rsid w:val="005C0CCE"/>
    <w:rsid w:val="005C1306"/>
    <w:rsid w:val="005C1648"/>
    <w:rsid w:val="005C17CC"/>
    <w:rsid w:val="005C1B24"/>
    <w:rsid w:val="005C1B83"/>
    <w:rsid w:val="005C1F54"/>
    <w:rsid w:val="005C20FE"/>
    <w:rsid w:val="005C25FF"/>
    <w:rsid w:val="005C2D55"/>
    <w:rsid w:val="005C346B"/>
    <w:rsid w:val="005C34EC"/>
    <w:rsid w:val="005C36B7"/>
    <w:rsid w:val="005C39BC"/>
    <w:rsid w:val="005C3EF1"/>
    <w:rsid w:val="005C428B"/>
    <w:rsid w:val="005C444F"/>
    <w:rsid w:val="005C47E3"/>
    <w:rsid w:val="005C4D6B"/>
    <w:rsid w:val="005C4DE5"/>
    <w:rsid w:val="005C4EDA"/>
    <w:rsid w:val="005C4FE1"/>
    <w:rsid w:val="005C5155"/>
    <w:rsid w:val="005C516F"/>
    <w:rsid w:val="005C52AB"/>
    <w:rsid w:val="005C53A4"/>
    <w:rsid w:val="005C5C2D"/>
    <w:rsid w:val="005C6845"/>
    <w:rsid w:val="005C7052"/>
    <w:rsid w:val="005C7644"/>
    <w:rsid w:val="005C76F3"/>
    <w:rsid w:val="005C77F2"/>
    <w:rsid w:val="005C784D"/>
    <w:rsid w:val="005C7DA4"/>
    <w:rsid w:val="005C7F9B"/>
    <w:rsid w:val="005D001A"/>
    <w:rsid w:val="005D0080"/>
    <w:rsid w:val="005D01E4"/>
    <w:rsid w:val="005D02F0"/>
    <w:rsid w:val="005D044D"/>
    <w:rsid w:val="005D075E"/>
    <w:rsid w:val="005D0ABD"/>
    <w:rsid w:val="005D1443"/>
    <w:rsid w:val="005D18AD"/>
    <w:rsid w:val="005D2283"/>
    <w:rsid w:val="005D26B4"/>
    <w:rsid w:val="005D2BAA"/>
    <w:rsid w:val="005D3596"/>
    <w:rsid w:val="005D3BED"/>
    <w:rsid w:val="005D3D1D"/>
    <w:rsid w:val="005D3DD0"/>
    <w:rsid w:val="005D4003"/>
    <w:rsid w:val="005D4343"/>
    <w:rsid w:val="005D501D"/>
    <w:rsid w:val="005D5676"/>
    <w:rsid w:val="005D5FB8"/>
    <w:rsid w:val="005D5FC7"/>
    <w:rsid w:val="005D6361"/>
    <w:rsid w:val="005D64AE"/>
    <w:rsid w:val="005D6932"/>
    <w:rsid w:val="005D69F2"/>
    <w:rsid w:val="005D6F95"/>
    <w:rsid w:val="005D7342"/>
    <w:rsid w:val="005D7699"/>
    <w:rsid w:val="005D7793"/>
    <w:rsid w:val="005D7EE4"/>
    <w:rsid w:val="005E0842"/>
    <w:rsid w:val="005E10AC"/>
    <w:rsid w:val="005E121D"/>
    <w:rsid w:val="005E1281"/>
    <w:rsid w:val="005E1438"/>
    <w:rsid w:val="005E18E6"/>
    <w:rsid w:val="005E1E49"/>
    <w:rsid w:val="005E20EA"/>
    <w:rsid w:val="005E23AB"/>
    <w:rsid w:val="005E24FD"/>
    <w:rsid w:val="005E3101"/>
    <w:rsid w:val="005E316E"/>
    <w:rsid w:val="005E31A0"/>
    <w:rsid w:val="005E38A8"/>
    <w:rsid w:val="005E3EFC"/>
    <w:rsid w:val="005E43DF"/>
    <w:rsid w:val="005E498E"/>
    <w:rsid w:val="005E4AE5"/>
    <w:rsid w:val="005E5062"/>
    <w:rsid w:val="005E5845"/>
    <w:rsid w:val="005E5928"/>
    <w:rsid w:val="005E5BC6"/>
    <w:rsid w:val="005E5E02"/>
    <w:rsid w:val="005E6432"/>
    <w:rsid w:val="005E6940"/>
    <w:rsid w:val="005E6A84"/>
    <w:rsid w:val="005E6BE5"/>
    <w:rsid w:val="005E6CAA"/>
    <w:rsid w:val="005E6CBC"/>
    <w:rsid w:val="005E6D1F"/>
    <w:rsid w:val="005E6DE1"/>
    <w:rsid w:val="005E72FF"/>
    <w:rsid w:val="005E73C0"/>
    <w:rsid w:val="005E7D4F"/>
    <w:rsid w:val="005F00FC"/>
    <w:rsid w:val="005F0733"/>
    <w:rsid w:val="005F0887"/>
    <w:rsid w:val="005F0DDC"/>
    <w:rsid w:val="005F0F71"/>
    <w:rsid w:val="005F11C7"/>
    <w:rsid w:val="005F141F"/>
    <w:rsid w:val="005F17A1"/>
    <w:rsid w:val="005F19C5"/>
    <w:rsid w:val="005F1A05"/>
    <w:rsid w:val="005F1FD1"/>
    <w:rsid w:val="005F2706"/>
    <w:rsid w:val="005F2D1A"/>
    <w:rsid w:val="005F386E"/>
    <w:rsid w:val="005F3CD3"/>
    <w:rsid w:val="005F3F1C"/>
    <w:rsid w:val="005F4330"/>
    <w:rsid w:val="005F4A05"/>
    <w:rsid w:val="005F51BC"/>
    <w:rsid w:val="005F5D53"/>
    <w:rsid w:val="005F60BF"/>
    <w:rsid w:val="005F64B9"/>
    <w:rsid w:val="005F674D"/>
    <w:rsid w:val="005F6900"/>
    <w:rsid w:val="005F6A8F"/>
    <w:rsid w:val="005F6BB7"/>
    <w:rsid w:val="005F7588"/>
    <w:rsid w:val="005F79D2"/>
    <w:rsid w:val="006000E1"/>
    <w:rsid w:val="0060044D"/>
    <w:rsid w:val="00600544"/>
    <w:rsid w:val="006007B4"/>
    <w:rsid w:val="00600810"/>
    <w:rsid w:val="0060091E"/>
    <w:rsid w:val="006009DF"/>
    <w:rsid w:val="00600AE4"/>
    <w:rsid w:val="00600CA4"/>
    <w:rsid w:val="00600DE1"/>
    <w:rsid w:val="00601084"/>
    <w:rsid w:val="00601347"/>
    <w:rsid w:val="006013E7"/>
    <w:rsid w:val="00601788"/>
    <w:rsid w:val="00602172"/>
    <w:rsid w:val="00602615"/>
    <w:rsid w:val="0060272B"/>
    <w:rsid w:val="00603884"/>
    <w:rsid w:val="00603CAE"/>
    <w:rsid w:val="00603DB9"/>
    <w:rsid w:val="0060419B"/>
    <w:rsid w:val="006047C5"/>
    <w:rsid w:val="00604AFC"/>
    <w:rsid w:val="00604DF5"/>
    <w:rsid w:val="00604F03"/>
    <w:rsid w:val="00605A93"/>
    <w:rsid w:val="00605B25"/>
    <w:rsid w:val="006062A1"/>
    <w:rsid w:val="00606645"/>
    <w:rsid w:val="00606DAF"/>
    <w:rsid w:val="00606FBA"/>
    <w:rsid w:val="006070AD"/>
    <w:rsid w:val="00607669"/>
    <w:rsid w:val="006076F4"/>
    <w:rsid w:val="00607AFD"/>
    <w:rsid w:val="006100BD"/>
    <w:rsid w:val="0061079C"/>
    <w:rsid w:val="00610FCD"/>
    <w:rsid w:val="00610FD8"/>
    <w:rsid w:val="0061116F"/>
    <w:rsid w:val="00611201"/>
    <w:rsid w:val="00611DB6"/>
    <w:rsid w:val="006121E8"/>
    <w:rsid w:val="0061257B"/>
    <w:rsid w:val="006125F7"/>
    <w:rsid w:val="00612D1C"/>
    <w:rsid w:val="00612D20"/>
    <w:rsid w:val="00612F97"/>
    <w:rsid w:val="006132FF"/>
    <w:rsid w:val="0061345D"/>
    <w:rsid w:val="006138DF"/>
    <w:rsid w:val="00613992"/>
    <w:rsid w:val="0061407A"/>
    <w:rsid w:val="0061458A"/>
    <w:rsid w:val="006146C7"/>
    <w:rsid w:val="00614C74"/>
    <w:rsid w:val="0061534B"/>
    <w:rsid w:val="0061549B"/>
    <w:rsid w:val="00615577"/>
    <w:rsid w:val="00615BD4"/>
    <w:rsid w:val="00615E9E"/>
    <w:rsid w:val="006161FF"/>
    <w:rsid w:val="0061640B"/>
    <w:rsid w:val="006165DD"/>
    <w:rsid w:val="00616635"/>
    <w:rsid w:val="00616726"/>
    <w:rsid w:val="0061672F"/>
    <w:rsid w:val="00616802"/>
    <w:rsid w:val="0061764E"/>
    <w:rsid w:val="00617E12"/>
    <w:rsid w:val="00617ED6"/>
    <w:rsid w:val="00617F4B"/>
    <w:rsid w:val="006200A5"/>
    <w:rsid w:val="00620944"/>
    <w:rsid w:val="0062098A"/>
    <w:rsid w:val="00620C25"/>
    <w:rsid w:val="00620D13"/>
    <w:rsid w:val="00620E3D"/>
    <w:rsid w:val="00620F3D"/>
    <w:rsid w:val="00621477"/>
    <w:rsid w:val="00621934"/>
    <w:rsid w:val="00621A7C"/>
    <w:rsid w:val="00621ADA"/>
    <w:rsid w:val="00621B87"/>
    <w:rsid w:val="0062223E"/>
    <w:rsid w:val="0062225D"/>
    <w:rsid w:val="00622705"/>
    <w:rsid w:val="00622C6E"/>
    <w:rsid w:val="00622CE5"/>
    <w:rsid w:val="00622F25"/>
    <w:rsid w:val="006232ED"/>
    <w:rsid w:val="00623C42"/>
    <w:rsid w:val="00623D61"/>
    <w:rsid w:val="00623F7B"/>
    <w:rsid w:val="006251D1"/>
    <w:rsid w:val="006254BF"/>
    <w:rsid w:val="00625B72"/>
    <w:rsid w:val="00626194"/>
    <w:rsid w:val="006261ED"/>
    <w:rsid w:val="0062688A"/>
    <w:rsid w:val="006269F5"/>
    <w:rsid w:val="00626C7A"/>
    <w:rsid w:val="00626D34"/>
    <w:rsid w:val="00626F8F"/>
    <w:rsid w:val="006272A6"/>
    <w:rsid w:val="00627454"/>
    <w:rsid w:val="00627787"/>
    <w:rsid w:val="00627C39"/>
    <w:rsid w:val="00627C6A"/>
    <w:rsid w:val="006303E5"/>
    <w:rsid w:val="006307E9"/>
    <w:rsid w:val="0063084F"/>
    <w:rsid w:val="0063095F"/>
    <w:rsid w:val="0063158F"/>
    <w:rsid w:val="00631703"/>
    <w:rsid w:val="006317B1"/>
    <w:rsid w:val="00631D44"/>
    <w:rsid w:val="00631D6B"/>
    <w:rsid w:val="00631E25"/>
    <w:rsid w:val="00632183"/>
    <w:rsid w:val="006328EB"/>
    <w:rsid w:val="0063290E"/>
    <w:rsid w:val="00632C48"/>
    <w:rsid w:val="006330A1"/>
    <w:rsid w:val="00633325"/>
    <w:rsid w:val="00633362"/>
    <w:rsid w:val="00634243"/>
    <w:rsid w:val="0063466D"/>
    <w:rsid w:val="0063479F"/>
    <w:rsid w:val="006349A8"/>
    <w:rsid w:val="00634B31"/>
    <w:rsid w:val="006353F0"/>
    <w:rsid w:val="0063558F"/>
    <w:rsid w:val="006357B5"/>
    <w:rsid w:val="00635D75"/>
    <w:rsid w:val="00635F52"/>
    <w:rsid w:val="006362D2"/>
    <w:rsid w:val="006364A1"/>
    <w:rsid w:val="00636787"/>
    <w:rsid w:val="0063678E"/>
    <w:rsid w:val="00636DEB"/>
    <w:rsid w:val="0063731B"/>
    <w:rsid w:val="0063735C"/>
    <w:rsid w:val="006373CA"/>
    <w:rsid w:val="0063795E"/>
    <w:rsid w:val="006379CB"/>
    <w:rsid w:val="00637BFD"/>
    <w:rsid w:val="00637E76"/>
    <w:rsid w:val="00640078"/>
    <w:rsid w:val="0064026C"/>
    <w:rsid w:val="006407D1"/>
    <w:rsid w:val="0064115D"/>
    <w:rsid w:val="00641468"/>
    <w:rsid w:val="00641C4E"/>
    <w:rsid w:val="00641D99"/>
    <w:rsid w:val="00641FB3"/>
    <w:rsid w:val="006422E7"/>
    <w:rsid w:val="006427EA"/>
    <w:rsid w:val="00642A84"/>
    <w:rsid w:val="00642C23"/>
    <w:rsid w:val="00643216"/>
    <w:rsid w:val="00643659"/>
    <w:rsid w:val="00643D00"/>
    <w:rsid w:val="0064434C"/>
    <w:rsid w:val="00644672"/>
    <w:rsid w:val="00644E56"/>
    <w:rsid w:val="00644E87"/>
    <w:rsid w:val="00646923"/>
    <w:rsid w:val="00646A62"/>
    <w:rsid w:val="00646BEE"/>
    <w:rsid w:val="00646F6C"/>
    <w:rsid w:val="006471CC"/>
    <w:rsid w:val="00647776"/>
    <w:rsid w:val="00647A29"/>
    <w:rsid w:val="00647F5E"/>
    <w:rsid w:val="00647FC9"/>
    <w:rsid w:val="006502BA"/>
    <w:rsid w:val="00650538"/>
    <w:rsid w:val="0065079F"/>
    <w:rsid w:val="00650ADF"/>
    <w:rsid w:val="00650AF6"/>
    <w:rsid w:val="00651023"/>
    <w:rsid w:val="0065102A"/>
    <w:rsid w:val="0065110F"/>
    <w:rsid w:val="0065135A"/>
    <w:rsid w:val="006515B2"/>
    <w:rsid w:val="006515C6"/>
    <w:rsid w:val="00651881"/>
    <w:rsid w:val="006519E9"/>
    <w:rsid w:val="0065238A"/>
    <w:rsid w:val="0065264A"/>
    <w:rsid w:val="00652A28"/>
    <w:rsid w:val="00652BEF"/>
    <w:rsid w:val="00652EE3"/>
    <w:rsid w:val="00653059"/>
    <w:rsid w:val="00653120"/>
    <w:rsid w:val="0065321E"/>
    <w:rsid w:val="0065366A"/>
    <w:rsid w:val="0065379F"/>
    <w:rsid w:val="006537B4"/>
    <w:rsid w:val="00653E1D"/>
    <w:rsid w:val="00653FBC"/>
    <w:rsid w:val="00654178"/>
    <w:rsid w:val="006543CA"/>
    <w:rsid w:val="0065450C"/>
    <w:rsid w:val="00654623"/>
    <w:rsid w:val="00654686"/>
    <w:rsid w:val="00654E4F"/>
    <w:rsid w:val="00654EFA"/>
    <w:rsid w:val="006550CD"/>
    <w:rsid w:val="006550CE"/>
    <w:rsid w:val="006551B5"/>
    <w:rsid w:val="0065580C"/>
    <w:rsid w:val="00655A95"/>
    <w:rsid w:val="00655C7F"/>
    <w:rsid w:val="00656188"/>
    <w:rsid w:val="00656190"/>
    <w:rsid w:val="0065665A"/>
    <w:rsid w:val="006568CA"/>
    <w:rsid w:val="006569CA"/>
    <w:rsid w:val="00656A71"/>
    <w:rsid w:val="00656AC4"/>
    <w:rsid w:val="00656E7D"/>
    <w:rsid w:val="0065715A"/>
    <w:rsid w:val="00657194"/>
    <w:rsid w:val="00657848"/>
    <w:rsid w:val="00657A74"/>
    <w:rsid w:val="00660402"/>
    <w:rsid w:val="00660E47"/>
    <w:rsid w:val="00660F87"/>
    <w:rsid w:val="006610F1"/>
    <w:rsid w:val="0066118E"/>
    <w:rsid w:val="00661248"/>
    <w:rsid w:val="00661498"/>
    <w:rsid w:val="0066181F"/>
    <w:rsid w:val="006619CC"/>
    <w:rsid w:val="00661C6B"/>
    <w:rsid w:val="006625FD"/>
    <w:rsid w:val="00662895"/>
    <w:rsid w:val="00662E76"/>
    <w:rsid w:val="00662FA0"/>
    <w:rsid w:val="006639CE"/>
    <w:rsid w:val="0066408D"/>
    <w:rsid w:val="00664380"/>
    <w:rsid w:val="006647AB"/>
    <w:rsid w:val="00664CFC"/>
    <w:rsid w:val="00664E3C"/>
    <w:rsid w:val="00666187"/>
    <w:rsid w:val="00666A9B"/>
    <w:rsid w:val="00666BC7"/>
    <w:rsid w:val="00666FE6"/>
    <w:rsid w:val="006670F2"/>
    <w:rsid w:val="006675C3"/>
    <w:rsid w:val="00667640"/>
    <w:rsid w:val="006704CD"/>
    <w:rsid w:val="006705E6"/>
    <w:rsid w:val="006708A3"/>
    <w:rsid w:val="00671004"/>
    <w:rsid w:val="0067113C"/>
    <w:rsid w:val="006712E4"/>
    <w:rsid w:val="006713F8"/>
    <w:rsid w:val="0067145E"/>
    <w:rsid w:val="006716AB"/>
    <w:rsid w:val="00671921"/>
    <w:rsid w:val="006721A0"/>
    <w:rsid w:val="00672591"/>
    <w:rsid w:val="00672646"/>
    <w:rsid w:val="00672FBE"/>
    <w:rsid w:val="00673DF5"/>
    <w:rsid w:val="00674909"/>
    <w:rsid w:val="00674ADC"/>
    <w:rsid w:val="00674E42"/>
    <w:rsid w:val="00675C9F"/>
    <w:rsid w:val="00675F61"/>
    <w:rsid w:val="0067694D"/>
    <w:rsid w:val="00676A18"/>
    <w:rsid w:val="00676B25"/>
    <w:rsid w:val="00677801"/>
    <w:rsid w:val="006779D3"/>
    <w:rsid w:val="00680699"/>
    <w:rsid w:val="006809BA"/>
    <w:rsid w:val="006813F8"/>
    <w:rsid w:val="00681BE5"/>
    <w:rsid w:val="00681E00"/>
    <w:rsid w:val="00682112"/>
    <w:rsid w:val="00682BA6"/>
    <w:rsid w:val="00683526"/>
    <w:rsid w:val="00683C7F"/>
    <w:rsid w:val="00683F9F"/>
    <w:rsid w:val="00684B77"/>
    <w:rsid w:val="00685493"/>
    <w:rsid w:val="00685E58"/>
    <w:rsid w:val="00686080"/>
    <w:rsid w:val="00686957"/>
    <w:rsid w:val="00686B31"/>
    <w:rsid w:val="006872BA"/>
    <w:rsid w:val="00687C3A"/>
    <w:rsid w:val="0069015A"/>
    <w:rsid w:val="006905D5"/>
    <w:rsid w:val="006906A8"/>
    <w:rsid w:val="0069076D"/>
    <w:rsid w:val="00690795"/>
    <w:rsid w:val="00690C24"/>
    <w:rsid w:val="006911B6"/>
    <w:rsid w:val="006913BF"/>
    <w:rsid w:val="0069162B"/>
    <w:rsid w:val="00691648"/>
    <w:rsid w:val="006916E6"/>
    <w:rsid w:val="006917B7"/>
    <w:rsid w:val="006917D7"/>
    <w:rsid w:val="00692816"/>
    <w:rsid w:val="00692977"/>
    <w:rsid w:val="00692D8B"/>
    <w:rsid w:val="00692DCD"/>
    <w:rsid w:val="0069310B"/>
    <w:rsid w:val="0069311C"/>
    <w:rsid w:val="0069434C"/>
    <w:rsid w:val="00694636"/>
    <w:rsid w:val="00694A21"/>
    <w:rsid w:val="00694A50"/>
    <w:rsid w:val="00694B35"/>
    <w:rsid w:val="00694C4C"/>
    <w:rsid w:val="00694F44"/>
    <w:rsid w:val="00695231"/>
    <w:rsid w:val="00696100"/>
    <w:rsid w:val="00696B99"/>
    <w:rsid w:val="00696F51"/>
    <w:rsid w:val="006970BB"/>
    <w:rsid w:val="00697586"/>
    <w:rsid w:val="006979A5"/>
    <w:rsid w:val="00697A50"/>
    <w:rsid w:val="00697C32"/>
    <w:rsid w:val="006A0193"/>
    <w:rsid w:val="006A04AA"/>
    <w:rsid w:val="006A0B10"/>
    <w:rsid w:val="006A0E09"/>
    <w:rsid w:val="006A1BA9"/>
    <w:rsid w:val="006A1D62"/>
    <w:rsid w:val="006A2738"/>
    <w:rsid w:val="006A3396"/>
    <w:rsid w:val="006A357E"/>
    <w:rsid w:val="006A358D"/>
    <w:rsid w:val="006A3702"/>
    <w:rsid w:val="006A37B9"/>
    <w:rsid w:val="006A3FAB"/>
    <w:rsid w:val="006A4261"/>
    <w:rsid w:val="006A47AE"/>
    <w:rsid w:val="006A4CDB"/>
    <w:rsid w:val="006A6020"/>
    <w:rsid w:val="006A64B8"/>
    <w:rsid w:val="006A6629"/>
    <w:rsid w:val="006A665E"/>
    <w:rsid w:val="006A6788"/>
    <w:rsid w:val="006A681A"/>
    <w:rsid w:val="006A69CB"/>
    <w:rsid w:val="006A6A56"/>
    <w:rsid w:val="006A6B99"/>
    <w:rsid w:val="006A6C6F"/>
    <w:rsid w:val="006A6C91"/>
    <w:rsid w:val="006A730F"/>
    <w:rsid w:val="006A7E5F"/>
    <w:rsid w:val="006A7F80"/>
    <w:rsid w:val="006B0456"/>
    <w:rsid w:val="006B0B55"/>
    <w:rsid w:val="006B197F"/>
    <w:rsid w:val="006B23A4"/>
    <w:rsid w:val="006B23B3"/>
    <w:rsid w:val="006B261B"/>
    <w:rsid w:val="006B2836"/>
    <w:rsid w:val="006B2C67"/>
    <w:rsid w:val="006B2C90"/>
    <w:rsid w:val="006B34A9"/>
    <w:rsid w:val="006B3540"/>
    <w:rsid w:val="006B35E6"/>
    <w:rsid w:val="006B38AC"/>
    <w:rsid w:val="006B3BBB"/>
    <w:rsid w:val="006B463E"/>
    <w:rsid w:val="006B465A"/>
    <w:rsid w:val="006B48E9"/>
    <w:rsid w:val="006B4949"/>
    <w:rsid w:val="006B4DC8"/>
    <w:rsid w:val="006B5525"/>
    <w:rsid w:val="006B5A57"/>
    <w:rsid w:val="006B5D4D"/>
    <w:rsid w:val="006B6DD0"/>
    <w:rsid w:val="006B6E5F"/>
    <w:rsid w:val="006B701F"/>
    <w:rsid w:val="006B70DA"/>
    <w:rsid w:val="006B7A64"/>
    <w:rsid w:val="006C0399"/>
    <w:rsid w:val="006C0447"/>
    <w:rsid w:val="006C08BE"/>
    <w:rsid w:val="006C0BD1"/>
    <w:rsid w:val="006C0DC8"/>
    <w:rsid w:val="006C1394"/>
    <w:rsid w:val="006C1520"/>
    <w:rsid w:val="006C1645"/>
    <w:rsid w:val="006C16A3"/>
    <w:rsid w:val="006C1A13"/>
    <w:rsid w:val="006C29D9"/>
    <w:rsid w:val="006C2A8E"/>
    <w:rsid w:val="006C2A8F"/>
    <w:rsid w:val="006C2B19"/>
    <w:rsid w:val="006C2E12"/>
    <w:rsid w:val="006C3255"/>
    <w:rsid w:val="006C3F26"/>
    <w:rsid w:val="006C492D"/>
    <w:rsid w:val="006C4FFF"/>
    <w:rsid w:val="006C55F4"/>
    <w:rsid w:val="006C56C7"/>
    <w:rsid w:val="006C58B9"/>
    <w:rsid w:val="006C5F21"/>
    <w:rsid w:val="006C62AA"/>
    <w:rsid w:val="006C66BA"/>
    <w:rsid w:val="006C674A"/>
    <w:rsid w:val="006C6D8F"/>
    <w:rsid w:val="006C7489"/>
    <w:rsid w:val="006C7A79"/>
    <w:rsid w:val="006C7AC7"/>
    <w:rsid w:val="006C7B59"/>
    <w:rsid w:val="006C7DB3"/>
    <w:rsid w:val="006D01D7"/>
    <w:rsid w:val="006D0927"/>
    <w:rsid w:val="006D09B4"/>
    <w:rsid w:val="006D0A2C"/>
    <w:rsid w:val="006D0BBB"/>
    <w:rsid w:val="006D0D17"/>
    <w:rsid w:val="006D0FBE"/>
    <w:rsid w:val="006D1289"/>
    <w:rsid w:val="006D1464"/>
    <w:rsid w:val="006D1781"/>
    <w:rsid w:val="006D1BA4"/>
    <w:rsid w:val="006D1F88"/>
    <w:rsid w:val="006D2621"/>
    <w:rsid w:val="006D2FED"/>
    <w:rsid w:val="006D36DE"/>
    <w:rsid w:val="006D38B3"/>
    <w:rsid w:val="006D3C7D"/>
    <w:rsid w:val="006D419C"/>
    <w:rsid w:val="006D4659"/>
    <w:rsid w:val="006D4913"/>
    <w:rsid w:val="006D4B0E"/>
    <w:rsid w:val="006D4E3A"/>
    <w:rsid w:val="006D4EF2"/>
    <w:rsid w:val="006D5A9A"/>
    <w:rsid w:val="006D5C1D"/>
    <w:rsid w:val="006D5D4A"/>
    <w:rsid w:val="006D5D5F"/>
    <w:rsid w:val="006D5ED7"/>
    <w:rsid w:val="006D6593"/>
    <w:rsid w:val="006D6708"/>
    <w:rsid w:val="006D672D"/>
    <w:rsid w:val="006D68FB"/>
    <w:rsid w:val="006D696B"/>
    <w:rsid w:val="006D6A15"/>
    <w:rsid w:val="006D6BC8"/>
    <w:rsid w:val="006D7613"/>
    <w:rsid w:val="006D7669"/>
    <w:rsid w:val="006D78F4"/>
    <w:rsid w:val="006D79F0"/>
    <w:rsid w:val="006D7B97"/>
    <w:rsid w:val="006E04B3"/>
    <w:rsid w:val="006E052A"/>
    <w:rsid w:val="006E09D5"/>
    <w:rsid w:val="006E0EA1"/>
    <w:rsid w:val="006E1045"/>
    <w:rsid w:val="006E1424"/>
    <w:rsid w:val="006E1D84"/>
    <w:rsid w:val="006E20D8"/>
    <w:rsid w:val="006E233D"/>
    <w:rsid w:val="006E237C"/>
    <w:rsid w:val="006E2868"/>
    <w:rsid w:val="006E2913"/>
    <w:rsid w:val="006E2A8A"/>
    <w:rsid w:val="006E2D2A"/>
    <w:rsid w:val="006E2D32"/>
    <w:rsid w:val="006E3270"/>
    <w:rsid w:val="006E32B5"/>
    <w:rsid w:val="006E333F"/>
    <w:rsid w:val="006E35D2"/>
    <w:rsid w:val="006E385B"/>
    <w:rsid w:val="006E427A"/>
    <w:rsid w:val="006E5597"/>
    <w:rsid w:val="006E5730"/>
    <w:rsid w:val="006E5FBD"/>
    <w:rsid w:val="006E65B6"/>
    <w:rsid w:val="006E666D"/>
    <w:rsid w:val="006E6A52"/>
    <w:rsid w:val="006E6BFA"/>
    <w:rsid w:val="006E6E80"/>
    <w:rsid w:val="006E71D8"/>
    <w:rsid w:val="006E7996"/>
    <w:rsid w:val="006E7A8D"/>
    <w:rsid w:val="006F001C"/>
    <w:rsid w:val="006F13BB"/>
    <w:rsid w:val="006F1571"/>
    <w:rsid w:val="006F18ED"/>
    <w:rsid w:val="006F19D6"/>
    <w:rsid w:val="006F1DFB"/>
    <w:rsid w:val="006F1F9D"/>
    <w:rsid w:val="006F259E"/>
    <w:rsid w:val="006F27E2"/>
    <w:rsid w:val="006F306C"/>
    <w:rsid w:val="006F3488"/>
    <w:rsid w:val="006F37E9"/>
    <w:rsid w:val="006F3B43"/>
    <w:rsid w:val="006F41DD"/>
    <w:rsid w:val="006F466F"/>
    <w:rsid w:val="006F490A"/>
    <w:rsid w:val="006F4D8C"/>
    <w:rsid w:val="006F4DC3"/>
    <w:rsid w:val="006F50F8"/>
    <w:rsid w:val="006F5455"/>
    <w:rsid w:val="006F5480"/>
    <w:rsid w:val="006F58B3"/>
    <w:rsid w:val="006F5D9B"/>
    <w:rsid w:val="006F60DF"/>
    <w:rsid w:val="006F63A5"/>
    <w:rsid w:val="006F6622"/>
    <w:rsid w:val="006F6C31"/>
    <w:rsid w:val="006F6FFE"/>
    <w:rsid w:val="006F7722"/>
    <w:rsid w:val="006F7BF9"/>
    <w:rsid w:val="006F7E69"/>
    <w:rsid w:val="0070089D"/>
    <w:rsid w:val="0070121A"/>
    <w:rsid w:val="0070142B"/>
    <w:rsid w:val="0070187F"/>
    <w:rsid w:val="00701FEB"/>
    <w:rsid w:val="007024D2"/>
    <w:rsid w:val="0070276E"/>
    <w:rsid w:val="007027F5"/>
    <w:rsid w:val="00702F69"/>
    <w:rsid w:val="00702F8F"/>
    <w:rsid w:val="00703205"/>
    <w:rsid w:val="00703BD2"/>
    <w:rsid w:val="00703BF3"/>
    <w:rsid w:val="00703CD4"/>
    <w:rsid w:val="00704499"/>
    <w:rsid w:val="0070487D"/>
    <w:rsid w:val="00704A1B"/>
    <w:rsid w:val="0070531F"/>
    <w:rsid w:val="0070575E"/>
    <w:rsid w:val="00705CED"/>
    <w:rsid w:val="007062B1"/>
    <w:rsid w:val="00706F4C"/>
    <w:rsid w:val="00706F6C"/>
    <w:rsid w:val="0070705E"/>
    <w:rsid w:val="00707309"/>
    <w:rsid w:val="007074DF"/>
    <w:rsid w:val="0070793E"/>
    <w:rsid w:val="007079FC"/>
    <w:rsid w:val="00710142"/>
    <w:rsid w:val="0071015C"/>
    <w:rsid w:val="00711A36"/>
    <w:rsid w:val="00711B30"/>
    <w:rsid w:val="007120D4"/>
    <w:rsid w:val="007124D4"/>
    <w:rsid w:val="00712883"/>
    <w:rsid w:val="00712D9E"/>
    <w:rsid w:val="0071305C"/>
    <w:rsid w:val="00713407"/>
    <w:rsid w:val="007134B7"/>
    <w:rsid w:val="007141E5"/>
    <w:rsid w:val="007145ED"/>
    <w:rsid w:val="0071473C"/>
    <w:rsid w:val="00714BC0"/>
    <w:rsid w:val="00714C26"/>
    <w:rsid w:val="0071529C"/>
    <w:rsid w:val="00715E57"/>
    <w:rsid w:val="00716134"/>
    <w:rsid w:val="007161EC"/>
    <w:rsid w:val="0071628A"/>
    <w:rsid w:val="007167C2"/>
    <w:rsid w:val="00716817"/>
    <w:rsid w:val="007170DA"/>
    <w:rsid w:val="00717187"/>
    <w:rsid w:val="007172AD"/>
    <w:rsid w:val="00717371"/>
    <w:rsid w:val="00717534"/>
    <w:rsid w:val="007201EB"/>
    <w:rsid w:val="007201F4"/>
    <w:rsid w:val="00720300"/>
    <w:rsid w:val="0072063B"/>
    <w:rsid w:val="007206B9"/>
    <w:rsid w:val="00720801"/>
    <w:rsid w:val="00720A7D"/>
    <w:rsid w:val="00721056"/>
    <w:rsid w:val="007211C1"/>
    <w:rsid w:val="00721348"/>
    <w:rsid w:val="00721379"/>
    <w:rsid w:val="00722619"/>
    <w:rsid w:val="007229B6"/>
    <w:rsid w:val="00722B1B"/>
    <w:rsid w:val="007236B4"/>
    <w:rsid w:val="007237D6"/>
    <w:rsid w:val="00723C84"/>
    <w:rsid w:val="00723DF2"/>
    <w:rsid w:val="0072402C"/>
    <w:rsid w:val="0072416F"/>
    <w:rsid w:val="0072429C"/>
    <w:rsid w:val="0072443F"/>
    <w:rsid w:val="00724BBC"/>
    <w:rsid w:val="00725137"/>
    <w:rsid w:val="0072609A"/>
    <w:rsid w:val="00726399"/>
    <w:rsid w:val="00726B6E"/>
    <w:rsid w:val="00726FE0"/>
    <w:rsid w:val="007277F3"/>
    <w:rsid w:val="0072786D"/>
    <w:rsid w:val="0072798E"/>
    <w:rsid w:val="00727C94"/>
    <w:rsid w:val="00730098"/>
    <w:rsid w:val="0073034F"/>
    <w:rsid w:val="0073051C"/>
    <w:rsid w:val="00731207"/>
    <w:rsid w:val="00731409"/>
    <w:rsid w:val="00731B0A"/>
    <w:rsid w:val="00731B6D"/>
    <w:rsid w:val="00731EAE"/>
    <w:rsid w:val="00732680"/>
    <w:rsid w:val="00732684"/>
    <w:rsid w:val="00732ACF"/>
    <w:rsid w:val="00733073"/>
    <w:rsid w:val="0073329F"/>
    <w:rsid w:val="00733AE2"/>
    <w:rsid w:val="00733FE6"/>
    <w:rsid w:val="00734630"/>
    <w:rsid w:val="00734F4B"/>
    <w:rsid w:val="00735033"/>
    <w:rsid w:val="00735328"/>
    <w:rsid w:val="007357DE"/>
    <w:rsid w:val="00735AE0"/>
    <w:rsid w:val="0073685B"/>
    <w:rsid w:val="00736D14"/>
    <w:rsid w:val="00736FA3"/>
    <w:rsid w:val="00736FEE"/>
    <w:rsid w:val="0073703A"/>
    <w:rsid w:val="007373A1"/>
    <w:rsid w:val="0073754C"/>
    <w:rsid w:val="00737DAE"/>
    <w:rsid w:val="007401D8"/>
    <w:rsid w:val="007402CD"/>
    <w:rsid w:val="0074064A"/>
    <w:rsid w:val="00740834"/>
    <w:rsid w:val="0074096A"/>
    <w:rsid w:val="00740AE8"/>
    <w:rsid w:val="00740BBA"/>
    <w:rsid w:val="007413BB"/>
    <w:rsid w:val="00741694"/>
    <w:rsid w:val="0074271A"/>
    <w:rsid w:val="00742A49"/>
    <w:rsid w:val="007433B9"/>
    <w:rsid w:val="00743568"/>
    <w:rsid w:val="00743A82"/>
    <w:rsid w:val="00743AC9"/>
    <w:rsid w:val="00743EC6"/>
    <w:rsid w:val="007440FE"/>
    <w:rsid w:val="00744268"/>
    <w:rsid w:val="00744287"/>
    <w:rsid w:val="00744667"/>
    <w:rsid w:val="007449BF"/>
    <w:rsid w:val="00744F2D"/>
    <w:rsid w:val="00744F84"/>
    <w:rsid w:val="007452E6"/>
    <w:rsid w:val="007460B4"/>
    <w:rsid w:val="00746BC0"/>
    <w:rsid w:val="00747389"/>
    <w:rsid w:val="00747510"/>
    <w:rsid w:val="00747533"/>
    <w:rsid w:val="0074762F"/>
    <w:rsid w:val="00747FC6"/>
    <w:rsid w:val="0075072A"/>
    <w:rsid w:val="007509A4"/>
    <w:rsid w:val="00750B04"/>
    <w:rsid w:val="007510B4"/>
    <w:rsid w:val="00752053"/>
    <w:rsid w:val="00752142"/>
    <w:rsid w:val="0075234F"/>
    <w:rsid w:val="007523F9"/>
    <w:rsid w:val="007525C3"/>
    <w:rsid w:val="00752A37"/>
    <w:rsid w:val="00752E73"/>
    <w:rsid w:val="0075357E"/>
    <w:rsid w:val="00753D00"/>
    <w:rsid w:val="00753F77"/>
    <w:rsid w:val="00754517"/>
    <w:rsid w:val="0075451F"/>
    <w:rsid w:val="0075486F"/>
    <w:rsid w:val="00754A8C"/>
    <w:rsid w:val="00754BAB"/>
    <w:rsid w:val="007550C0"/>
    <w:rsid w:val="00755544"/>
    <w:rsid w:val="00755AF2"/>
    <w:rsid w:val="00755D47"/>
    <w:rsid w:val="007563AF"/>
    <w:rsid w:val="007565AE"/>
    <w:rsid w:val="0075672F"/>
    <w:rsid w:val="00757069"/>
    <w:rsid w:val="00757312"/>
    <w:rsid w:val="007573E8"/>
    <w:rsid w:val="0075795E"/>
    <w:rsid w:val="00757CAC"/>
    <w:rsid w:val="00757EB3"/>
    <w:rsid w:val="00760C4E"/>
    <w:rsid w:val="00760F9E"/>
    <w:rsid w:val="00761438"/>
    <w:rsid w:val="00761546"/>
    <w:rsid w:val="00761F87"/>
    <w:rsid w:val="007620CC"/>
    <w:rsid w:val="007626FF"/>
    <w:rsid w:val="0076279F"/>
    <w:rsid w:val="007627BE"/>
    <w:rsid w:val="007629F2"/>
    <w:rsid w:val="00762BAF"/>
    <w:rsid w:val="00762E9D"/>
    <w:rsid w:val="0076420F"/>
    <w:rsid w:val="00764F03"/>
    <w:rsid w:val="00765543"/>
    <w:rsid w:val="007656F9"/>
    <w:rsid w:val="00765B1A"/>
    <w:rsid w:val="007661B1"/>
    <w:rsid w:val="007661F6"/>
    <w:rsid w:val="00766924"/>
    <w:rsid w:val="00766C58"/>
    <w:rsid w:val="00766F45"/>
    <w:rsid w:val="00767090"/>
    <w:rsid w:val="00767312"/>
    <w:rsid w:val="007673EB"/>
    <w:rsid w:val="0076744D"/>
    <w:rsid w:val="007678BA"/>
    <w:rsid w:val="00767B9A"/>
    <w:rsid w:val="00770172"/>
    <w:rsid w:val="007703A5"/>
    <w:rsid w:val="007708CD"/>
    <w:rsid w:val="00771EA4"/>
    <w:rsid w:val="0077260C"/>
    <w:rsid w:val="00772834"/>
    <w:rsid w:val="007735C1"/>
    <w:rsid w:val="00773621"/>
    <w:rsid w:val="007737E5"/>
    <w:rsid w:val="00773DB6"/>
    <w:rsid w:val="00774418"/>
    <w:rsid w:val="00774CB2"/>
    <w:rsid w:val="00775266"/>
    <w:rsid w:val="00775491"/>
    <w:rsid w:val="00775C61"/>
    <w:rsid w:val="00776251"/>
    <w:rsid w:val="007762D6"/>
    <w:rsid w:val="007764B1"/>
    <w:rsid w:val="0077664E"/>
    <w:rsid w:val="00776AF5"/>
    <w:rsid w:val="00776BDE"/>
    <w:rsid w:val="00777335"/>
    <w:rsid w:val="00777604"/>
    <w:rsid w:val="007777F4"/>
    <w:rsid w:val="00777A5A"/>
    <w:rsid w:val="00777BE4"/>
    <w:rsid w:val="007802B2"/>
    <w:rsid w:val="00780E03"/>
    <w:rsid w:val="007811E1"/>
    <w:rsid w:val="00781E66"/>
    <w:rsid w:val="007827A5"/>
    <w:rsid w:val="007828CD"/>
    <w:rsid w:val="007834F6"/>
    <w:rsid w:val="007843F2"/>
    <w:rsid w:val="00784A28"/>
    <w:rsid w:val="00784AF7"/>
    <w:rsid w:val="00785A46"/>
    <w:rsid w:val="00785A9F"/>
    <w:rsid w:val="00785D69"/>
    <w:rsid w:val="00786026"/>
    <w:rsid w:val="00786203"/>
    <w:rsid w:val="007869B5"/>
    <w:rsid w:val="00786AB6"/>
    <w:rsid w:val="00786DD3"/>
    <w:rsid w:val="00787BB7"/>
    <w:rsid w:val="00787C8F"/>
    <w:rsid w:val="00787D48"/>
    <w:rsid w:val="0079017E"/>
    <w:rsid w:val="00790356"/>
    <w:rsid w:val="0079068A"/>
    <w:rsid w:val="00790842"/>
    <w:rsid w:val="00790969"/>
    <w:rsid w:val="007915CE"/>
    <w:rsid w:val="00791BC3"/>
    <w:rsid w:val="007925DF"/>
    <w:rsid w:val="00792A1D"/>
    <w:rsid w:val="00792D28"/>
    <w:rsid w:val="00792DD0"/>
    <w:rsid w:val="0079351E"/>
    <w:rsid w:val="007938B4"/>
    <w:rsid w:val="0079445B"/>
    <w:rsid w:val="00794928"/>
    <w:rsid w:val="00794B0F"/>
    <w:rsid w:val="00794BB8"/>
    <w:rsid w:val="00794C09"/>
    <w:rsid w:val="00795C85"/>
    <w:rsid w:val="00795F22"/>
    <w:rsid w:val="0079604D"/>
    <w:rsid w:val="00796839"/>
    <w:rsid w:val="00796D02"/>
    <w:rsid w:val="00796F6F"/>
    <w:rsid w:val="00797037"/>
    <w:rsid w:val="007975C9"/>
    <w:rsid w:val="007976C2"/>
    <w:rsid w:val="007979A8"/>
    <w:rsid w:val="00797DD1"/>
    <w:rsid w:val="007A0336"/>
    <w:rsid w:val="007A078F"/>
    <w:rsid w:val="007A08AA"/>
    <w:rsid w:val="007A0A12"/>
    <w:rsid w:val="007A0B4F"/>
    <w:rsid w:val="007A132D"/>
    <w:rsid w:val="007A1332"/>
    <w:rsid w:val="007A1345"/>
    <w:rsid w:val="007A1582"/>
    <w:rsid w:val="007A2773"/>
    <w:rsid w:val="007A2DDB"/>
    <w:rsid w:val="007A2FD5"/>
    <w:rsid w:val="007A306B"/>
    <w:rsid w:val="007A33CC"/>
    <w:rsid w:val="007A36C4"/>
    <w:rsid w:val="007A3728"/>
    <w:rsid w:val="007A415D"/>
    <w:rsid w:val="007A4643"/>
    <w:rsid w:val="007A468C"/>
    <w:rsid w:val="007A51D6"/>
    <w:rsid w:val="007A5301"/>
    <w:rsid w:val="007A5627"/>
    <w:rsid w:val="007A5DFA"/>
    <w:rsid w:val="007A612D"/>
    <w:rsid w:val="007A6A1F"/>
    <w:rsid w:val="007A70BA"/>
    <w:rsid w:val="007A7388"/>
    <w:rsid w:val="007A7780"/>
    <w:rsid w:val="007A7CBB"/>
    <w:rsid w:val="007A7DBA"/>
    <w:rsid w:val="007B02DA"/>
    <w:rsid w:val="007B0477"/>
    <w:rsid w:val="007B05E0"/>
    <w:rsid w:val="007B0C8E"/>
    <w:rsid w:val="007B0D68"/>
    <w:rsid w:val="007B0F4E"/>
    <w:rsid w:val="007B1337"/>
    <w:rsid w:val="007B1379"/>
    <w:rsid w:val="007B1725"/>
    <w:rsid w:val="007B1B0E"/>
    <w:rsid w:val="007B1F3D"/>
    <w:rsid w:val="007B2203"/>
    <w:rsid w:val="007B251D"/>
    <w:rsid w:val="007B2A11"/>
    <w:rsid w:val="007B2AE4"/>
    <w:rsid w:val="007B2EE6"/>
    <w:rsid w:val="007B3164"/>
    <w:rsid w:val="007B3213"/>
    <w:rsid w:val="007B3EB9"/>
    <w:rsid w:val="007B418B"/>
    <w:rsid w:val="007B431E"/>
    <w:rsid w:val="007B4355"/>
    <w:rsid w:val="007B44C6"/>
    <w:rsid w:val="007B4F58"/>
    <w:rsid w:val="007B4F70"/>
    <w:rsid w:val="007B528D"/>
    <w:rsid w:val="007B54F8"/>
    <w:rsid w:val="007B5868"/>
    <w:rsid w:val="007B5957"/>
    <w:rsid w:val="007B5AAA"/>
    <w:rsid w:val="007B5BAB"/>
    <w:rsid w:val="007B60A1"/>
    <w:rsid w:val="007B63CA"/>
    <w:rsid w:val="007B6C21"/>
    <w:rsid w:val="007B706C"/>
    <w:rsid w:val="007B77D1"/>
    <w:rsid w:val="007B7E05"/>
    <w:rsid w:val="007C0237"/>
    <w:rsid w:val="007C0738"/>
    <w:rsid w:val="007C07C7"/>
    <w:rsid w:val="007C087D"/>
    <w:rsid w:val="007C08D7"/>
    <w:rsid w:val="007C0F44"/>
    <w:rsid w:val="007C1441"/>
    <w:rsid w:val="007C1629"/>
    <w:rsid w:val="007C1989"/>
    <w:rsid w:val="007C1CD9"/>
    <w:rsid w:val="007C20F7"/>
    <w:rsid w:val="007C226E"/>
    <w:rsid w:val="007C24D7"/>
    <w:rsid w:val="007C25F5"/>
    <w:rsid w:val="007C2BE5"/>
    <w:rsid w:val="007C2D73"/>
    <w:rsid w:val="007C2DEF"/>
    <w:rsid w:val="007C2EB4"/>
    <w:rsid w:val="007C3000"/>
    <w:rsid w:val="007C32EF"/>
    <w:rsid w:val="007C33C2"/>
    <w:rsid w:val="007C361D"/>
    <w:rsid w:val="007C387A"/>
    <w:rsid w:val="007C4411"/>
    <w:rsid w:val="007C4B84"/>
    <w:rsid w:val="007C4C3E"/>
    <w:rsid w:val="007C5123"/>
    <w:rsid w:val="007C519B"/>
    <w:rsid w:val="007C51E1"/>
    <w:rsid w:val="007C535F"/>
    <w:rsid w:val="007C545D"/>
    <w:rsid w:val="007C5775"/>
    <w:rsid w:val="007C58E0"/>
    <w:rsid w:val="007C5B52"/>
    <w:rsid w:val="007C5D7E"/>
    <w:rsid w:val="007C6236"/>
    <w:rsid w:val="007C64F3"/>
    <w:rsid w:val="007C6819"/>
    <w:rsid w:val="007C70FF"/>
    <w:rsid w:val="007C71AD"/>
    <w:rsid w:val="007C74CF"/>
    <w:rsid w:val="007C769E"/>
    <w:rsid w:val="007C7856"/>
    <w:rsid w:val="007C792C"/>
    <w:rsid w:val="007C79F3"/>
    <w:rsid w:val="007C7C25"/>
    <w:rsid w:val="007D004F"/>
    <w:rsid w:val="007D0347"/>
    <w:rsid w:val="007D0518"/>
    <w:rsid w:val="007D0A8A"/>
    <w:rsid w:val="007D0B38"/>
    <w:rsid w:val="007D1072"/>
    <w:rsid w:val="007D172E"/>
    <w:rsid w:val="007D1D0B"/>
    <w:rsid w:val="007D2217"/>
    <w:rsid w:val="007D2BDD"/>
    <w:rsid w:val="007D369A"/>
    <w:rsid w:val="007D39F9"/>
    <w:rsid w:val="007D3B71"/>
    <w:rsid w:val="007D41F7"/>
    <w:rsid w:val="007D442B"/>
    <w:rsid w:val="007D44D3"/>
    <w:rsid w:val="007D4D50"/>
    <w:rsid w:val="007D5440"/>
    <w:rsid w:val="007D548E"/>
    <w:rsid w:val="007D553F"/>
    <w:rsid w:val="007D5961"/>
    <w:rsid w:val="007D69EB"/>
    <w:rsid w:val="007D7047"/>
    <w:rsid w:val="007D789C"/>
    <w:rsid w:val="007D7B7D"/>
    <w:rsid w:val="007E033B"/>
    <w:rsid w:val="007E03B0"/>
    <w:rsid w:val="007E0DED"/>
    <w:rsid w:val="007E128F"/>
    <w:rsid w:val="007E17FF"/>
    <w:rsid w:val="007E1A27"/>
    <w:rsid w:val="007E3591"/>
    <w:rsid w:val="007E3726"/>
    <w:rsid w:val="007E4284"/>
    <w:rsid w:val="007E440C"/>
    <w:rsid w:val="007E4706"/>
    <w:rsid w:val="007E4FC4"/>
    <w:rsid w:val="007E5BBB"/>
    <w:rsid w:val="007E6BF7"/>
    <w:rsid w:val="007E6CF6"/>
    <w:rsid w:val="007E6F2F"/>
    <w:rsid w:val="007E712B"/>
    <w:rsid w:val="007E746B"/>
    <w:rsid w:val="007E7A04"/>
    <w:rsid w:val="007F030A"/>
    <w:rsid w:val="007F098C"/>
    <w:rsid w:val="007F0E15"/>
    <w:rsid w:val="007F0E8D"/>
    <w:rsid w:val="007F0F98"/>
    <w:rsid w:val="007F1017"/>
    <w:rsid w:val="007F1747"/>
    <w:rsid w:val="007F2503"/>
    <w:rsid w:val="007F2CD9"/>
    <w:rsid w:val="007F2CED"/>
    <w:rsid w:val="007F31A1"/>
    <w:rsid w:val="007F31D0"/>
    <w:rsid w:val="007F3371"/>
    <w:rsid w:val="007F3467"/>
    <w:rsid w:val="007F34DF"/>
    <w:rsid w:val="007F379F"/>
    <w:rsid w:val="007F3AED"/>
    <w:rsid w:val="007F3D30"/>
    <w:rsid w:val="007F43F2"/>
    <w:rsid w:val="007F44C5"/>
    <w:rsid w:val="007F4579"/>
    <w:rsid w:val="007F466A"/>
    <w:rsid w:val="007F4678"/>
    <w:rsid w:val="007F48F9"/>
    <w:rsid w:val="007F4A3F"/>
    <w:rsid w:val="007F4A61"/>
    <w:rsid w:val="007F4B0C"/>
    <w:rsid w:val="007F506E"/>
    <w:rsid w:val="007F5255"/>
    <w:rsid w:val="007F5480"/>
    <w:rsid w:val="007F5547"/>
    <w:rsid w:val="007F55EC"/>
    <w:rsid w:val="007F567A"/>
    <w:rsid w:val="007F56CC"/>
    <w:rsid w:val="007F5B49"/>
    <w:rsid w:val="007F5DE7"/>
    <w:rsid w:val="007F5E54"/>
    <w:rsid w:val="007F61C2"/>
    <w:rsid w:val="007F6D94"/>
    <w:rsid w:val="007F716C"/>
    <w:rsid w:val="007F78BB"/>
    <w:rsid w:val="007F7C92"/>
    <w:rsid w:val="008003BC"/>
    <w:rsid w:val="00800E9F"/>
    <w:rsid w:val="00801543"/>
    <w:rsid w:val="008018C1"/>
    <w:rsid w:val="0080297C"/>
    <w:rsid w:val="008036AE"/>
    <w:rsid w:val="00803C31"/>
    <w:rsid w:val="0080445A"/>
    <w:rsid w:val="00804753"/>
    <w:rsid w:val="00804AF8"/>
    <w:rsid w:val="00805142"/>
    <w:rsid w:val="00805541"/>
    <w:rsid w:val="008057D0"/>
    <w:rsid w:val="00805FCE"/>
    <w:rsid w:val="0080610D"/>
    <w:rsid w:val="00806250"/>
    <w:rsid w:val="008062DF"/>
    <w:rsid w:val="008067DC"/>
    <w:rsid w:val="00807A8B"/>
    <w:rsid w:val="00807E0D"/>
    <w:rsid w:val="00811383"/>
    <w:rsid w:val="00811652"/>
    <w:rsid w:val="00811B25"/>
    <w:rsid w:val="00811C08"/>
    <w:rsid w:val="00811EC7"/>
    <w:rsid w:val="008120CB"/>
    <w:rsid w:val="00812149"/>
    <w:rsid w:val="00812CAC"/>
    <w:rsid w:val="00812E14"/>
    <w:rsid w:val="00812EA9"/>
    <w:rsid w:val="00814556"/>
    <w:rsid w:val="008145B9"/>
    <w:rsid w:val="0081463B"/>
    <w:rsid w:val="00814B48"/>
    <w:rsid w:val="00814D7F"/>
    <w:rsid w:val="00814ECC"/>
    <w:rsid w:val="008150D1"/>
    <w:rsid w:val="00815314"/>
    <w:rsid w:val="00815886"/>
    <w:rsid w:val="00815AFB"/>
    <w:rsid w:val="00816361"/>
    <w:rsid w:val="00816445"/>
    <w:rsid w:val="008166EF"/>
    <w:rsid w:val="008166F0"/>
    <w:rsid w:val="00816BED"/>
    <w:rsid w:val="00816FEF"/>
    <w:rsid w:val="008174CB"/>
    <w:rsid w:val="00817FCC"/>
    <w:rsid w:val="008209DB"/>
    <w:rsid w:val="00820A59"/>
    <w:rsid w:val="00820A8C"/>
    <w:rsid w:val="00820EDA"/>
    <w:rsid w:val="00821145"/>
    <w:rsid w:val="008214A6"/>
    <w:rsid w:val="008215FB"/>
    <w:rsid w:val="00821CDA"/>
    <w:rsid w:val="00821FB7"/>
    <w:rsid w:val="008223CC"/>
    <w:rsid w:val="00822DF4"/>
    <w:rsid w:val="00822E62"/>
    <w:rsid w:val="0082305F"/>
    <w:rsid w:val="00823174"/>
    <w:rsid w:val="00823474"/>
    <w:rsid w:val="00823A26"/>
    <w:rsid w:val="00824209"/>
    <w:rsid w:val="00824A14"/>
    <w:rsid w:val="00825751"/>
    <w:rsid w:val="008258E3"/>
    <w:rsid w:val="00825EE4"/>
    <w:rsid w:val="008264EB"/>
    <w:rsid w:val="00826CCA"/>
    <w:rsid w:val="00827ACD"/>
    <w:rsid w:val="00830396"/>
    <w:rsid w:val="00830C98"/>
    <w:rsid w:val="008314C5"/>
    <w:rsid w:val="00832B95"/>
    <w:rsid w:val="00832C71"/>
    <w:rsid w:val="008331D6"/>
    <w:rsid w:val="00833338"/>
    <w:rsid w:val="00833B05"/>
    <w:rsid w:val="00833C60"/>
    <w:rsid w:val="00833D47"/>
    <w:rsid w:val="00834532"/>
    <w:rsid w:val="008351B4"/>
    <w:rsid w:val="00835373"/>
    <w:rsid w:val="00835893"/>
    <w:rsid w:val="00835CC2"/>
    <w:rsid w:val="00835CDE"/>
    <w:rsid w:val="00835FB7"/>
    <w:rsid w:val="008362B4"/>
    <w:rsid w:val="00836F3D"/>
    <w:rsid w:val="008400CB"/>
    <w:rsid w:val="00840594"/>
    <w:rsid w:val="00840CA2"/>
    <w:rsid w:val="00840F25"/>
    <w:rsid w:val="00841317"/>
    <w:rsid w:val="0084185C"/>
    <w:rsid w:val="00841EB9"/>
    <w:rsid w:val="00841FBC"/>
    <w:rsid w:val="00842AB6"/>
    <w:rsid w:val="00842B29"/>
    <w:rsid w:val="0084348E"/>
    <w:rsid w:val="0084374F"/>
    <w:rsid w:val="008444FC"/>
    <w:rsid w:val="00844A22"/>
    <w:rsid w:val="00844BF8"/>
    <w:rsid w:val="00845055"/>
    <w:rsid w:val="00845A5C"/>
    <w:rsid w:val="00845ABC"/>
    <w:rsid w:val="008462CD"/>
    <w:rsid w:val="008463A8"/>
    <w:rsid w:val="008463B6"/>
    <w:rsid w:val="0084673E"/>
    <w:rsid w:val="00846A28"/>
    <w:rsid w:val="00847196"/>
    <w:rsid w:val="00847400"/>
    <w:rsid w:val="008476EF"/>
    <w:rsid w:val="00847703"/>
    <w:rsid w:val="00847DF5"/>
    <w:rsid w:val="00847E9D"/>
    <w:rsid w:val="00850B40"/>
    <w:rsid w:val="00850C9B"/>
    <w:rsid w:val="008515AB"/>
    <w:rsid w:val="008515E2"/>
    <w:rsid w:val="008516C6"/>
    <w:rsid w:val="00852047"/>
    <w:rsid w:val="00852438"/>
    <w:rsid w:val="0085309D"/>
    <w:rsid w:val="0085317A"/>
    <w:rsid w:val="00853222"/>
    <w:rsid w:val="00853B8B"/>
    <w:rsid w:val="00853CA0"/>
    <w:rsid w:val="00853E0F"/>
    <w:rsid w:val="008547F6"/>
    <w:rsid w:val="00854858"/>
    <w:rsid w:val="00854FB0"/>
    <w:rsid w:val="00855940"/>
    <w:rsid w:val="00855B68"/>
    <w:rsid w:val="00855BDD"/>
    <w:rsid w:val="00856500"/>
    <w:rsid w:val="00856897"/>
    <w:rsid w:val="00856B31"/>
    <w:rsid w:val="00856E98"/>
    <w:rsid w:val="00856E9A"/>
    <w:rsid w:val="00856FA8"/>
    <w:rsid w:val="00857226"/>
    <w:rsid w:val="008574E7"/>
    <w:rsid w:val="00857811"/>
    <w:rsid w:val="00857C7A"/>
    <w:rsid w:val="00857CF3"/>
    <w:rsid w:val="0086039D"/>
    <w:rsid w:val="0086054D"/>
    <w:rsid w:val="008606F4"/>
    <w:rsid w:val="0086075D"/>
    <w:rsid w:val="0086076B"/>
    <w:rsid w:val="00860D9C"/>
    <w:rsid w:val="008617D5"/>
    <w:rsid w:val="0086210F"/>
    <w:rsid w:val="008621F4"/>
    <w:rsid w:val="00862489"/>
    <w:rsid w:val="00862502"/>
    <w:rsid w:val="0086262F"/>
    <w:rsid w:val="00862CC1"/>
    <w:rsid w:val="00863208"/>
    <w:rsid w:val="008649AA"/>
    <w:rsid w:val="008649BF"/>
    <w:rsid w:val="00864AB5"/>
    <w:rsid w:val="00865294"/>
    <w:rsid w:val="008655D1"/>
    <w:rsid w:val="008655F7"/>
    <w:rsid w:val="00865976"/>
    <w:rsid w:val="00865A0D"/>
    <w:rsid w:val="008660D4"/>
    <w:rsid w:val="008661BE"/>
    <w:rsid w:val="00866585"/>
    <w:rsid w:val="008668CD"/>
    <w:rsid w:val="008673AA"/>
    <w:rsid w:val="00867A0D"/>
    <w:rsid w:val="0087074D"/>
    <w:rsid w:val="00870943"/>
    <w:rsid w:val="00870F24"/>
    <w:rsid w:val="00871127"/>
    <w:rsid w:val="008718BF"/>
    <w:rsid w:val="00871995"/>
    <w:rsid w:val="00871CF9"/>
    <w:rsid w:val="00871FA9"/>
    <w:rsid w:val="008728E9"/>
    <w:rsid w:val="008730AF"/>
    <w:rsid w:val="008731D9"/>
    <w:rsid w:val="008736E4"/>
    <w:rsid w:val="00873AB3"/>
    <w:rsid w:val="00873B8F"/>
    <w:rsid w:val="00874AF2"/>
    <w:rsid w:val="00874B8C"/>
    <w:rsid w:val="00874E78"/>
    <w:rsid w:val="00875266"/>
    <w:rsid w:val="008752DB"/>
    <w:rsid w:val="008758DA"/>
    <w:rsid w:val="00875904"/>
    <w:rsid w:val="00875D0D"/>
    <w:rsid w:val="00875E3F"/>
    <w:rsid w:val="00876A56"/>
    <w:rsid w:val="00876A5A"/>
    <w:rsid w:val="00877825"/>
    <w:rsid w:val="00877DDA"/>
    <w:rsid w:val="00880A6A"/>
    <w:rsid w:val="00880D86"/>
    <w:rsid w:val="008813D6"/>
    <w:rsid w:val="00881F80"/>
    <w:rsid w:val="0088220C"/>
    <w:rsid w:val="0088225A"/>
    <w:rsid w:val="00882356"/>
    <w:rsid w:val="00882564"/>
    <w:rsid w:val="0088272E"/>
    <w:rsid w:val="00882874"/>
    <w:rsid w:val="008829E2"/>
    <w:rsid w:val="00882E3C"/>
    <w:rsid w:val="00882E95"/>
    <w:rsid w:val="00883522"/>
    <w:rsid w:val="00883557"/>
    <w:rsid w:val="00883787"/>
    <w:rsid w:val="008847AD"/>
    <w:rsid w:val="008851BA"/>
    <w:rsid w:val="008852D1"/>
    <w:rsid w:val="008852EE"/>
    <w:rsid w:val="008855E4"/>
    <w:rsid w:val="008857F2"/>
    <w:rsid w:val="00885972"/>
    <w:rsid w:val="00885B6F"/>
    <w:rsid w:val="00886092"/>
    <w:rsid w:val="00886B38"/>
    <w:rsid w:val="00886B53"/>
    <w:rsid w:val="00886C0B"/>
    <w:rsid w:val="00886CD2"/>
    <w:rsid w:val="00886E41"/>
    <w:rsid w:val="00886F2F"/>
    <w:rsid w:val="00886F81"/>
    <w:rsid w:val="00887394"/>
    <w:rsid w:val="008878B9"/>
    <w:rsid w:val="00887F07"/>
    <w:rsid w:val="00890939"/>
    <w:rsid w:val="00890CED"/>
    <w:rsid w:val="0089107E"/>
    <w:rsid w:val="00891E6F"/>
    <w:rsid w:val="008920B6"/>
    <w:rsid w:val="008921E8"/>
    <w:rsid w:val="0089275D"/>
    <w:rsid w:val="00892911"/>
    <w:rsid w:val="00892A36"/>
    <w:rsid w:val="00892F6C"/>
    <w:rsid w:val="00893239"/>
    <w:rsid w:val="00893A3D"/>
    <w:rsid w:val="00894489"/>
    <w:rsid w:val="0089482A"/>
    <w:rsid w:val="00894868"/>
    <w:rsid w:val="00894C21"/>
    <w:rsid w:val="00894EE6"/>
    <w:rsid w:val="008958B7"/>
    <w:rsid w:val="00895BF8"/>
    <w:rsid w:val="00895F0C"/>
    <w:rsid w:val="00896205"/>
    <w:rsid w:val="008963A5"/>
    <w:rsid w:val="008967CF"/>
    <w:rsid w:val="00896D5D"/>
    <w:rsid w:val="008974A7"/>
    <w:rsid w:val="0089758C"/>
    <w:rsid w:val="0089760F"/>
    <w:rsid w:val="008978BF"/>
    <w:rsid w:val="00897AB3"/>
    <w:rsid w:val="008A09BC"/>
    <w:rsid w:val="008A1099"/>
    <w:rsid w:val="008A119E"/>
    <w:rsid w:val="008A1796"/>
    <w:rsid w:val="008A1897"/>
    <w:rsid w:val="008A1C18"/>
    <w:rsid w:val="008A2054"/>
    <w:rsid w:val="008A2196"/>
    <w:rsid w:val="008A2381"/>
    <w:rsid w:val="008A25CF"/>
    <w:rsid w:val="008A2DCA"/>
    <w:rsid w:val="008A3363"/>
    <w:rsid w:val="008A3371"/>
    <w:rsid w:val="008A3C3E"/>
    <w:rsid w:val="008A3DC1"/>
    <w:rsid w:val="008A4032"/>
    <w:rsid w:val="008A44B6"/>
    <w:rsid w:val="008A5129"/>
    <w:rsid w:val="008A53A2"/>
    <w:rsid w:val="008A5CAF"/>
    <w:rsid w:val="008A5E5C"/>
    <w:rsid w:val="008A5FC7"/>
    <w:rsid w:val="008A6726"/>
    <w:rsid w:val="008A6D46"/>
    <w:rsid w:val="008A77AE"/>
    <w:rsid w:val="008A782E"/>
    <w:rsid w:val="008A79DE"/>
    <w:rsid w:val="008A7C4E"/>
    <w:rsid w:val="008B03CA"/>
    <w:rsid w:val="008B09DA"/>
    <w:rsid w:val="008B0E17"/>
    <w:rsid w:val="008B1492"/>
    <w:rsid w:val="008B1757"/>
    <w:rsid w:val="008B1AFB"/>
    <w:rsid w:val="008B1DA0"/>
    <w:rsid w:val="008B213E"/>
    <w:rsid w:val="008B2AFD"/>
    <w:rsid w:val="008B391B"/>
    <w:rsid w:val="008B395E"/>
    <w:rsid w:val="008B41A3"/>
    <w:rsid w:val="008B4467"/>
    <w:rsid w:val="008B5090"/>
    <w:rsid w:val="008B52C7"/>
    <w:rsid w:val="008B590D"/>
    <w:rsid w:val="008B5B03"/>
    <w:rsid w:val="008B5B1E"/>
    <w:rsid w:val="008B5D3B"/>
    <w:rsid w:val="008B6B34"/>
    <w:rsid w:val="008B6F61"/>
    <w:rsid w:val="008B75F6"/>
    <w:rsid w:val="008B7992"/>
    <w:rsid w:val="008B7D7E"/>
    <w:rsid w:val="008B7DFE"/>
    <w:rsid w:val="008C01B5"/>
    <w:rsid w:val="008C06D0"/>
    <w:rsid w:val="008C0B89"/>
    <w:rsid w:val="008C102D"/>
    <w:rsid w:val="008C16E7"/>
    <w:rsid w:val="008C1991"/>
    <w:rsid w:val="008C2295"/>
    <w:rsid w:val="008C22FB"/>
    <w:rsid w:val="008C2399"/>
    <w:rsid w:val="008C2456"/>
    <w:rsid w:val="008C2550"/>
    <w:rsid w:val="008C2CD0"/>
    <w:rsid w:val="008C3244"/>
    <w:rsid w:val="008C329B"/>
    <w:rsid w:val="008C3369"/>
    <w:rsid w:val="008C3902"/>
    <w:rsid w:val="008C49F6"/>
    <w:rsid w:val="008C517B"/>
    <w:rsid w:val="008C5610"/>
    <w:rsid w:val="008C5739"/>
    <w:rsid w:val="008C6660"/>
    <w:rsid w:val="008C66C2"/>
    <w:rsid w:val="008C6B24"/>
    <w:rsid w:val="008C7422"/>
    <w:rsid w:val="008C763B"/>
    <w:rsid w:val="008C767F"/>
    <w:rsid w:val="008C791A"/>
    <w:rsid w:val="008C7B23"/>
    <w:rsid w:val="008C7DDD"/>
    <w:rsid w:val="008C7E17"/>
    <w:rsid w:val="008C7ECB"/>
    <w:rsid w:val="008C7F52"/>
    <w:rsid w:val="008D07E8"/>
    <w:rsid w:val="008D08A5"/>
    <w:rsid w:val="008D0922"/>
    <w:rsid w:val="008D09ED"/>
    <w:rsid w:val="008D0E57"/>
    <w:rsid w:val="008D15A7"/>
    <w:rsid w:val="008D1722"/>
    <w:rsid w:val="008D1BC1"/>
    <w:rsid w:val="008D2952"/>
    <w:rsid w:val="008D30C3"/>
    <w:rsid w:val="008D314A"/>
    <w:rsid w:val="008D33D0"/>
    <w:rsid w:val="008D35DA"/>
    <w:rsid w:val="008D3AD6"/>
    <w:rsid w:val="008D3B86"/>
    <w:rsid w:val="008D3BD5"/>
    <w:rsid w:val="008D4206"/>
    <w:rsid w:val="008D4687"/>
    <w:rsid w:val="008D4755"/>
    <w:rsid w:val="008D4A4A"/>
    <w:rsid w:val="008D4C3D"/>
    <w:rsid w:val="008D4FB7"/>
    <w:rsid w:val="008D53AA"/>
    <w:rsid w:val="008D5ADC"/>
    <w:rsid w:val="008D61D6"/>
    <w:rsid w:val="008D662D"/>
    <w:rsid w:val="008D685D"/>
    <w:rsid w:val="008D6BBF"/>
    <w:rsid w:val="008D6BE8"/>
    <w:rsid w:val="008D6D48"/>
    <w:rsid w:val="008D7364"/>
    <w:rsid w:val="008D743C"/>
    <w:rsid w:val="008D75E6"/>
    <w:rsid w:val="008D7FF0"/>
    <w:rsid w:val="008E08FB"/>
    <w:rsid w:val="008E0D3C"/>
    <w:rsid w:val="008E0DC9"/>
    <w:rsid w:val="008E0EA0"/>
    <w:rsid w:val="008E1211"/>
    <w:rsid w:val="008E1248"/>
    <w:rsid w:val="008E181E"/>
    <w:rsid w:val="008E1B9E"/>
    <w:rsid w:val="008E214C"/>
    <w:rsid w:val="008E2817"/>
    <w:rsid w:val="008E2C0B"/>
    <w:rsid w:val="008E2D6E"/>
    <w:rsid w:val="008E2DEF"/>
    <w:rsid w:val="008E34F3"/>
    <w:rsid w:val="008E3B12"/>
    <w:rsid w:val="008E3D95"/>
    <w:rsid w:val="008E3F82"/>
    <w:rsid w:val="008E4B69"/>
    <w:rsid w:val="008E50E6"/>
    <w:rsid w:val="008E52A9"/>
    <w:rsid w:val="008E55AB"/>
    <w:rsid w:val="008E5B2D"/>
    <w:rsid w:val="008E5B8A"/>
    <w:rsid w:val="008E620A"/>
    <w:rsid w:val="008E697E"/>
    <w:rsid w:val="008E6A32"/>
    <w:rsid w:val="008E6C57"/>
    <w:rsid w:val="008E6CF3"/>
    <w:rsid w:val="008E6DAF"/>
    <w:rsid w:val="008E7620"/>
    <w:rsid w:val="008E7AA2"/>
    <w:rsid w:val="008F03EC"/>
    <w:rsid w:val="008F0AFA"/>
    <w:rsid w:val="008F0D40"/>
    <w:rsid w:val="008F0EC0"/>
    <w:rsid w:val="008F0EC7"/>
    <w:rsid w:val="008F120A"/>
    <w:rsid w:val="008F1A4E"/>
    <w:rsid w:val="008F1BC2"/>
    <w:rsid w:val="008F23D2"/>
    <w:rsid w:val="008F27E0"/>
    <w:rsid w:val="008F38BF"/>
    <w:rsid w:val="008F3CE4"/>
    <w:rsid w:val="008F42A8"/>
    <w:rsid w:val="008F4817"/>
    <w:rsid w:val="008F48EB"/>
    <w:rsid w:val="008F4D0F"/>
    <w:rsid w:val="008F4D4A"/>
    <w:rsid w:val="008F4F0B"/>
    <w:rsid w:val="008F5245"/>
    <w:rsid w:val="008F5275"/>
    <w:rsid w:val="008F62EF"/>
    <w:rsid w:val="008F63EF"/>
    <w:rsid w:val="008F65C4"/>
    <w:rsid w:val="008F6645"/>
    <w:rsid w:val="008F6BDA"/>
    <w:rsid w:val="008F6C9A"/>
    <w:rsid w:val="008F7931"/>
    <w:rsid w:val="00900474"/>
    <w:rsid w:val="00900E64"/>
    <w:rsid w:val="00900EE9"/>
    <w:rsid w:val="0090220E"/>
    <w:rsid w:val="00902545"/>
    <w:rsid w:val="0090257B"/>
    <w:rsid w:val="009026AC"/>
    <w:rsid w:val="0090278E"/>
    <w:rsid w:val="00902BDC"/>
    <w:rsid w:val="00902D23"/>
    <w:rsid w:val="00903390"/>
    <w:rsid w:val="00904341"/>
    <w:rsid w:val="009046C4"/>
    <w:rsid w:val="00904B7C"/>
    <w:rsid w:val="00904C77"/>
    <w:rsid w:val="00904E00"/>
    <w:rsid w:val="00905EA0"/>
    <w:rsid w:val="009061FB"/>
    <w:rsid w:val="009062A5"/>
    <w:rsid w:val="009062CC"/>
    <w:rsid w:val="00906367"/>
    <w:rsid w:val="00906D5F"/>
    <w:rsid w:val="00906DE6"/>
    <w:rsid w:val="0090765E"/>
    <w:rsid w:val="00910F80"/>
    <w:rsid w:val="00910FA7"/>
    <w:rsid w:val="009111FD"/>
    <w:rsid w:val="00911272"/>
    <w:rsid w:val="009113CA"/>
    <w:rsid w:val="00911716"/>
    <w:rsid w:val="00911F46"/>
    <w:rsid w:val="00912394"/>
    <w:rsid w:val="009124E1"/>
    <w:rsid w:val="00912CA8"/>
    <w:rsid w:val="009135D6"/>
    <w:rsid w:val="009145E9"/>
    <w:rsid w:val="00914C77"/>
    <w:rsid w:val="00914DA5"/>
    <w:rsid w:val="009157EA"/>
    <w:rsid w:val="00915AC4"/>
    <w:rsid w:val="00915D55"/>
    <w:rsid w:val="00917207"/>
    <w:rsid w:val="00917298"/>
    <w:rsid w:val="009177CB"/>
    <w:rsid w:val="009178AA"/>
    <w:rsid w:val="00917D7A"/>
    <w:rsid w:val="0092020D"/>
    <w:rsid w:val="009202B0"/>
    <w:rsid w:val="00920666"/>
    <w:rsid w:val="00920B8E"/>
    <w:rsid w:val="00920FCE"/>
    <w:rsid w:val="009219E4"/>
    <w:rsid w:val="00921ACB"/>
    <w:rsid w:val="00921BC9"/>
    <w:rsid w:val="00921C8E"/>
    <w:rsid w:val="00921E60"/>
    <w:rsid w:val="00921FF5"/>
    <w:rsid w:val="0092204B"/>
    <w:rsid w:val="009225CE"/>
    <w:rsid w:val="0092294B"/>
    <w:rsid w:val="009229BE"/>
    <w:rsid w:val="00922D05"/>
    <w:rsid w:val="00923414"/>
    <w:rsid w:val="0092369B"/>
    <w:rsid w:val="00923D0E"/>
    <w:rsid w:val="00924C40"/>
    <w:rsid w:val="00924E6A"/>
    <w:rsid w:val="0092512F"/>
    <w:rsid w:val="00925591"/>
    <w:rsid w:val="0092580C"/>
    <w:rsid w:val="00925AA4"/>
    <w:rsid w:val="00925E30"/>
    <w:rsid w:val="00925F6E"/>
    <w:rsid w:val="009263A5"/>
    <w:rsid w:val="009264EC"/>
    <w:rsid w:val="00926772"/>
    <w:rsid w:val="009269CD"/>
    <w:rsid w:val="0092735C"/>
    <w:rsid w:val="0092763E"/>
    <w:rsid w:val="009276A0"/>
    <w:rsid w:val="0093069A"/>
    <w:rsid w:val="0093076C"/>
    <w:rsid w:val="0093092F"/>
    <w:rsid w:val="00930AE8"/>
    <w:rsid w:val="00930DA2"/>
    <w:rsid w:val="00930ECC"/>
    <w:rsid w:val="009313BA"/>
    <w:rsid w:val="00931958"/>
    <w:rsid w:val="00931A0C"/>
    <w:rsid w:val="00931A65"/>
    <w:rsid w:val="0093233C"/>
    <w:rsid w:val="0093413C"/>
    <w:rsid w:val="009341C8"/>
    <w:rsid w:val="009342DA"/>
    <w:rsid w:val="009346A5"/>
    <w:rsid w:val="00934988"/>
    <w:rsid w:val="00934DA3"/>
    <w:rsid w:val="00935719"/>
    <w:rsid w:val="00936085"/>
    <w:rsid w:val="00936933"/>
    <w:rsid w:val="009369E2"/>
    <w:rsid w:val="00936C4B"/>
    <w:rsid w:val="00936EEE"/>
    <w:rsid w:val="00937089"/>
    <w:rsid w:val="00937896"/>
    <w:rsid w:val="0094008B"/>
    <w:rsid w:val="009400BA"/>
    <w:rsid w:val="0094087B"/>
    <w:rsid w:val="00940E35"/>
    <w:rsid w:val="00940F50"/>
    <w:rsid w:val="00941BF5"/>
    <w:rsid w:val="00942368"/>
    <w:rsid w:val="00942B29"/>
    <w:rsid w:val="00942FE2"/>
    <w:rsid w:val="00943956"/>
    <w:rsid w:val="00943D40"/>
    <w:rsid w:val="00944126"/>
    <w:rsid w:val="0094449B"/>
    <w:rsid w:val="00944A78"/>
    <w:rsid w:val="00944F1A"/>
    <w:rsid w:val="00944F8A"/>
    <w:rsid w:val="009451C0"/>
    <w:rsid w:val="00945A46"/>
    <w:rsid w:val="00945DB4"/>
    <w:rsid w:val="00945DCB"/>
    <w:rsid w:val="00945DD8"/>
    <w:rsid w:val="00946093"/>
    <w:rsid w:val="00946938"/>
    <w:rsid w:val="00946B69"/>
    <w:rsid w:val="0094719B"/>
    <w:rsid w:val="00947CC2"/>
    <w:rsid w:val="00947D25"/>
    <w:rsid w:val="009503A8"/>
    <w:rsid w:val="00950CFF"/>
    <w:rsid w:val="009510A2"/>
    <w:rsid w:val="00951204"/>
    <w:rsid w:val="0095122C"/>
    <w:rsid w:val="0095183F"/>
    <w:rsid w:val="00951C1C"/>
    <w:rsid w:val="00951C84"/>
    <w:rsid w:val="00951F02"/>
    <w:rsid w:val="00952207"/>
    <w:rsid w:val="00952828"/>
    <w:rsid w:val="00952939"/>
    <w:rsid w:val="00952A57"/>
    <w:rsid w:val="00952ADF"/>
    <w:rsid w:val="00953257"/>
    <w:rsid w:val="00953497"/>
    <w:rsid w:val="009536F9"/>
    <w:rsid w:val="00953795"/>
    <w:rsid w:val="00953D0C"/>
    <w:rsid w:val="009541DF"/>
    <w:rsid w:val="009543A9"/>
    <w:rsid w:val="0095474C"/>
    <w:rsid w:val="00954979"/>
    <w:rsid w:val="00954A3F"/>
    <w:rsid w:val="00955139"/>
    <w:rsid w:val="0095521B"/>
    <w:rsid w:val="00955E2F"/>
    <w:rsid w:val="00955F45"/>
    <w:rsid w:val="00955F47"/>
    <w:rsid w:val="009560D0"/>
    <w:rsid w:val="00956C33"/>
    <w:rsid w:val="0095760E"/>
    <w:rsid w:val="00957730"/>
    <w:rsid w:val="00957A40"/>
    <w:rsid w:val="00957BB7"/>
    <w:rsid w:val="00957DD9"/>
    <w:rsid w:val="00960173"/>
    <w:rsid w:val="0096027B"/>
    <w:rsid w:val="009606B5"/>
    <w:rsid w:val="009607D3"/>
    <w:rsid w:val="0096083A"/>
    <w:rsid w:val="00960C9A"/>
    <w:rsid w:val="00961C24"/>
    <w:rsid w:val="00961D36"/>
    <w:rsid w:val="00961DA6"/>
    <w:rsid w:val="00961F9F"/>
    <w:rsid w:val="0096216D"/>
    <w:rsid w:val="00962204"/>
    <w:rsid w:val="009622A8"/>
    <w:rsid w:val="00962407"/>
    <w:rsid w:val="00962CB9"/>
    <w:rsid w:val="00962E99"/>
    <w:rsid w:val="009631AD"/>
    <w:rsid w:val="0096356B"/>
    <w:rsid w:val="00963AB6"/>
    <w:rsid w:val="00964096"/>
    <w:rsid w:val="00964312"/>
    <w:rsid w:val="00964664"/>
    <w:rsid w:val="009648D1"/>
    <w:rsid w:val="00964E4D"/>
    <w:rsid w:val="009654EF"/>
    <w:rsid w:val="009656FC"/>
    <w:rsid w:val="00965B8A"/>
    <w:rsid w:val="00965C3F"/>
    <w:rsid w:val="00965D94"/>
    <w:rsid w:val="00965DB7"/>
    <w:rsid w:val="00966488"/>
    <w:rsid w:val="00966AB3"/>
    <w:rsid w:val="00966D0C"/>
    <w:rsid w:val="00966F27"/>
    <w:rsid w:val="00967858"/>
    <w:rsid w:val="0097018C"/>
    <w:rsid w:val="0097071F"/>
    <w:rsid w:val="00970972"/>
    <w:rsid w:val="00970EA5"/>
    <w:rsid w:val="009717AC"/>
    <w:rsid w:val="00972396"/>
    <w:rsid w:val="00972511"/>
    <w:rsid w:val="009725B7"/>
    <w:rsid w:val="009728D4"/>
    <w:rsid w:val="00972C6E"/>
    <w:rsid w:val="00972F1D"/>
    <w:rsid w:val="00972F34"/>
    <w:rsid w:val="00973B43"/>
    <w:rsid w:val="0097416F"/>
    <w:rsid w:val="009748D2"/>
    <w:rsid w:val="009751C1"/>
    <w:rsid w:val="009758C6"/>
    <w:rsid w:val="00975BA7"/>
    <w:rsid w:val="009764DB"/>
    <w:rsid w:val="00976B8A"/>
    <w:rsid w:val="00976D40"/>
    <w:rsid w:val="009772A8"/>
    <w:rsid w:val="0097744A"/>
    <w:rsid w:val="00977634"/>
    <w:rsid w:val="0097797C"/>
    <w:rsid w:val="00977A06"/>
    <w:rsid w:val="00980C7E"/>
    <w:rsid w:val="00981094"/>
    <w:rsid w:val="00981130"/>
    <w:rsid w:val="0098118C"/>
    <w:rsid w:val="00981191"/>
    <w:rsid w:val="009811F1"/>
    <w:rsid w:val="009814B8"/>
    <w:rsid w:val="0098166C"/>
    <w:rsid w:val="00981774"/>
    <w:rsid w:val="00981F99"/>
    <w:rsid w:val="0098232A"/>
    <w:rsid w:val="0098259C"/>
    <w:rsid w:val="0098299A"/>
    <w:rsid w:val="00982A0B"/>
    <w:rsid w:val="00982B4F"/>
    <w:rsid w:val="00982C66"/>
    <w:rsid w:val="0098363F"/>
    <w:rsid w:val="00983922"/>
    <w:rsid w:val="00983E57"/>
    <w:rsid w:val="0098428E"/>
    <w:rsid w:val="00984514"/>
    <w:rsid w:val="009850B7"/>
    <w:rsid w:val="00985D9D"/>
    <w:rsid w:val="00985DE2"/>
    <w:rsid w:val="009862BC"/>
    <w:rsid w:val="0098675D"/>
    <w:rsid w:val="0098686C"/>
    <w:rsid w:val="0098697C"/>
    <w:rsid w:val="009871FC"/>
    <w:rsid w:val="00987258"/>
    <w:rsid w:val="009872CC"/>
    <w:rsid w:val="009875C0"/>
    <w:rsid w:val="0098785A"/>
    <w:rsid w:val="009903A0"/>
    <w:rsid w:val="0099107C"/>
    <w:rsid w:val="009911FA"/>
    <w:rsid w:val="009915E5"/>
    <w:rsid w:val="009918BF"/>
    <w:rsid w:val="00991F98"/>
    <w:rsid w:val="009922C1"/>
    <w:rsid w:val="009925F4"/>
    <w:rsid w:val="009926E0"/>
    <w:rsid w:val="0099270A"/>
    <w:rsid w:val="00992D4D"/>
    <w:rsid w:val="009934E3"/>
    <w:rsid w:val="0099389C"/>
    <w:rsid w:val="0099451E"/>
    <w:rsid w:val="00994537"/>
    <w:rsid w:val="009948E9"/>
    <w:rsid w:val="00994E5D"/>
    <w:rsid w:val="00994F10"/>
    <w:rsid w:val="0099570A"/>
    <w:rsid w:val="009960DA"/>
    <w:rsid w:val="0099618C"/>
    <w:rsid w:val="009968E8"/>
    <w:rsid w:val="00996907"/>
    <w:rsid w:val="00996B1A"/>
    <w:rsid w:val="00997081"/>
    <w:rsid w:val="009A0099"/>
    <w:rsid w:val="009A0454"/>
    <w:rsid w:val="009A0824"/>
    <w:rsid w:val="009A0ADA"/>
    <w:rsid w:val="009A11AB"/>
    <w:rsid w:val="009A142D"/>
    <w:rsid w:val="009A175A"/>
    <w:rsid w:val="009A1B20"/>
    <w:rsid w:val="009A1B26"/>
    <w:rsid w:val="009A21B8"/>
    <w:rsid w:val="009A2DCC"/>
    <w:rsid w:val="009A3ED0"/>
    <w:rsid w:val="009A43F7"/>
    <w:rsid w:val="009A4BFC"/>
    <w:rsid w:val="009A50AA"/>
    <w:rsid w:val="009A516F"/>
    <w:rsid w:val="009A5ABC"/>
    <w:rsid w:val="009A5DE4"/>
    <w:rsid w:val="009A6745"/>
    <w:rsid w:val="009A6BF9"/>
    <w:rsid w:val="009A6E2C"/>
    <w:rsid w:val="009A722C"/>
    <w:rsid w:val="009A760A"/>
    <w:rsid w:val="009A795B"/>
    <w:rsid w:val="009A7D23"/>
    <w:rsid w:val="009A7F10"/>
    <w:rsid w:val="009B0117"/>
    <w:rsid w:val="009B054D"/>
    <w:rsid w:val="009B0B28"/>
    <w:rsid w:val="009B0E33"/>
    <w:rsid w:val="009B0FFF"/>
    <w:rsid w:val="009B1EFD"/>
    <w:rsid w:val="009B1FD6"/>
    <w:rsid w:val="009B20B7"/>
    <w:rsid w:val="009B2367"/>
    <w:rsid w:val="009B24FF"/>
    <w:rsid w:val="009B25CE"/>
    <w:rsid w:val="009B25FD"/>
    <w:rsid w:val="009B32C5"/>
    <w:rsid w:val="009B39EF"/>
    <w:rsid w:val="009B3AF9"/>
    <w:rsid w:val="009B3DF6"/>
    <w:rsid w:val="009B3E26"/>
    <w:rsid w:val="009B41ED"/>
    <w:rsid w:val="009B4240"/>
    <w:rsid w:val="009B469E"/>
    <w:rsid w:val="009B58F1"/>
    <w:rsid w:val="009B5EB8"/>
    <w:rsid w:val="009B6118"/>
    <w:rsid w:val="009B6401"/>
    <w:rsid w:val="009B640A"/>
    <w:rsid w:val="009B6555"/>
    <w:rsid w:val="009B6C00"/>
    <w:rsid w:val="009B6C31"/>
    <w:rsid w:val="009B737E"/>
    <w:rsid w:val="009B7660"/>
    <w:rsid w:val="009B78BC"/>
    <w:rsid w:val="009B7DC3"/>
    <w:rsid w:val="009C08CE"/>
    <w:rsid w:val="009C0B2E"/>
    <w:rsid w:val="009C0BB1"/>
    <w:rsid w:val="009C1135"/>
    <w:rsid w:val="009C16FC"/>
    <w:rsid w:val="009C172C"/>
    <w:rsid w:val="009C1A58"/>
    <w:rsid w:val="009C1AA2"/>
    <w:rsid w:val="009C3706"/>
    <w:rsid w:val="009C3A3A"/>
    <w:rsid w:val="009C45AD"/>
    <w:rsid w:val="009C4783"/>
    <w:rsid w:val="009C484B"/>
    <w:rsid w:val="009C48AB"/>
    <w:rsid w:val="009C53A7"/>
    <w:rsid w:val="009C5420"/>
    <w:rsid w:val="009C5738"/>
    <w:rsid w:val="009C6138"/>
    <w:rsid w:val="009C68A6"/>
    <w:rsid w:val="009C6ADB"/>
    <w:rsid w:val="009C6B2A"/>
    <w:rsid w:val="009C6BE5"/>
    <w:rsid w:val="009C6BF5"/>
    <w:rsid w:val="009C6CEA"/>
    <w:rsid w:val="009C6D01"/>
    <w:rsid w:val="009C6D5B"/>
    <w:rsid w:val="009C7284"/>
    <w:rsid w:val="009C7380"/>
    <w:rsid w:val="009C77A3"/>
    <w:rsid w:val="009C7B85"/>
    <w:rsid w:val="009C7F74"/>
    <w:rsid w:val="009D0254"/>
    <w:rsid w:val="009D11BB"/>
    <w:rsid w:val="009D120D"/>
    <w:rsid w:val="009D14B7"/>
    <w:rsid w:val="009D1A64"/>
    <w:rsid w:val="009D1C81"/>
    <w:rsid w:val="009D22E3"/>
    <w:rsid w:val="009D25D3"/>
    <w:rsid w:val="009D2B58"/>
    <w:rsid w:val="009D3699"/>
    <w:rsid w:val="009D36E8"/>
    <w:rsid w:val="009D38CD"/>
    <w:rsid w:val="009D3CB7"/>
    <w:rsid w:val="009D42C4"/>
    <w:rsid w:val="009D4557"/>
    <w:rsid w:val="009D4C12"/>
    <w:rsid w:val="009D5025"/>
    <w:rsid w:val="009D51FA"/>
    <w:rsid w:val="009D59A8"/>
    <w:rsid w:val="009D5B36"/>
    <w:rsid w:val="009D5B91"/>
    <w:rsid w:val="009D63BE"/>
    <w:rsid w:val="009D673A"/>
    <w:rsid w:val="009D6D98"/>
    <w:rsid w:val="009D6DCF"/>
    <w:rsid w:val="009D6EED"/>
    <w:rsid w:val="009D6FE5"/>
    <w:rsid w:val="009D70C7"/>
    <w:rsid w:val="009D792E"/>
    <w:rsid w:val="009D7DB1"/>
    <w:rsid w:val="009E0011"/>
    <w:rsid w:val="009E0305"/>
    <w:rsid w:val="009E0596"/>
    <w:rsid w:val="009E0740"/>
    <w:rsid w:val="009E07D5"/>
    <w:rsid w:val="009E0DCF"/>
    <w:rsid w:val="009E0DD2"/>
    <w:rsid w:val="009E0DFE"/>
    <w:rsid w:val="009E0F65"/>
    <w:rsid w:val="009E138F"/>
    <w:rsid w:val="009E15E7"/>
    <w:rsid w:val="009E1BF4"/>
    <w:rsid w:val="009E1F14"/>
    <w:rsid w:val="009E201A"/>
    <w:rsid w:val="009E2555"/>
    <w:rsid w:val="009E3073"/>
    <w:rsid w:val="009E31F6"/>
    <w:rsid w:val="009E37D5"/>
    <w:rsid w:val="009E3852"/>
    <w:rsid w:val="009E38D5"/>
    <w:rsid w:val="009E3E8D"/>
    <w:rsid w:val="009E4057"/>
    <w:rsid w:val="009E41A6"/>
    <w:rsid w:val="009E4C07"/>
    <w:rsid w:val="009E4D26"/>
    <w:rsid w:val="009E4DC8"/>
    <w:rsid w:val="009E4FE9"/>
    <w:rsid w:val="009E4FF4"/>
    <w:rsid w:val="009E544B"/>
    <w:rsid w:val="009E5AD7"/>
    <w:rsid w:val="009E5E31"/>
    <w:rsid w:val="009E61A3"/>
    <w:rsid w:val="009E7076"/>
    <w:rsid w:val="009E7983"/>
    <w:rsid w:val="009E79F1"/>
    <w:rsid w:val="009E7B3C"/>
    <w:rsid w:val="009E7BF9"/>
    <w:rsid w:val="009E7CD5"/>
    <w:rsid w:val="009E7D80"/>
    <w:rsid w:val="009F06D6"/>
    <w:rsid w:val="009F0E23"/>
    <w:rsid w:val="009F0EE3"/>
    <w:rsid w:val="009F100C"/>
    <w:rsid w:val="009F125E"/>
    <w:rsid w:val="009F1281"/>
    <w:rsid w:val="009F16F4"/>
    <w:rsid w:val="009F1761"/>
    <w:rsid w:val="009F1D10"/>
    <w:rsid w:val="009F21A8"/>
    <w:rsid w:val="009F2D09"/>
    <w:rsid w:val="009F3402"/>
    <w:rsid w:val="009F36C6"/>
    <w:rsid w:val="009F37BC"/>
    <w:rsid w:val="009F37C3"/>
    <w:rsid w:val="009F444F"/>
    <w:rsid w:val="009F44A3"/>
    <w:rsid w:val="009F4EA2"/>
    <w:rsid w:val="009F5336"/>
    <w:rsid w:val="009F54D8"/>
    <w:rsid w:val="009F5A44"/>
    <w:rsid w:val="009F5CED"/>
    <w:rsid w:val="009F61F9"/>
    <w:rsid w:val="009F6373"/>
    <w:rsid w:val="009F66E2"/>
    <w:rsid w:val="009F67B3"/>
    <w:rsid w:val="009F6A0B"/>
    <w:rsid w:val="009F6F2B"/>
    <w:rsid w:val="009F7893"/>
    <w:rsid w:val="009F7EB4"/>
    <w:rsid w:val="009F7F8A"/>
    <w:rsid w:val="00A00364"/>
    <w:rsid w:val="00A0066B"/>
    <w:rsid w:val="00A007A7"/>
    <w:rsid w:val="00A00DBB"/>
    <w:rsid w:val="00A0106C"/>
    <w:rsid w:val="00A01184"/>
    <w:rsid w:val="00A01904"/>
    <w:rsid w:val="00A01E2A"/>
    <w:rsid w:val="00A02029"/>
    <w:rsid w:val="00A021DF"/>
    <w:rsid w:val="00A02663"/>
    <w:rsid w:val="00A02AA3"/>
    <w:rsid w:val="00A02D82"/>
    <w:rsid w:val="00A02E4B"/>
    <w:rsid w:val="00A02EFA"/>
    <w:rsid w:val="00A034E7"/>
    <w:rsid w:val="00A037C2"/>
    <w:rsid w:val="00A037DD"/>
    <w:rsid w:val="00A03A78"/>
    <w:rsid w:val="00A03D2F"/>
    <w:rsid w:val="00A03D43"/>
    <w:rsid w:val="00A04104"/>
    <w:rsid w:val="00A04380"/>
    <w:rsid w:val="00A0477E"/>
    <w:rsid w:val="00A04C40"/>
    <w:rsid w:val="00A0538D"/>
    <w:rsid w:val="00A05472"/>
    <w:rsid w:val="00A05815"/>
    <w:rsid w:val="00A05B8F"/>
    <w:rsid w:val="00A05C32"/>
    <w:rsid w:val="00A05ED0"/>
    <w:rsid w:val="00A06060"/>
    <w:rsid w:val="00A0653F"/>
    <w:rsid w:val="00A0656A"/>
    <w:rsid w:val="00A06693"/>
    <w:rsid w:val="00A06845"/>
    <w:rsid w:val="00A068C0"/>
    <w:rsid w:val="00A06AA0"/>
    <w:rsid w:val="00A06B18"/>
    <w:rsid w:val="00A06E77"/>
    <w:rsid w:val="00A07539"/>
    <w:rsid w:val="00A10C59"/>
    <w:rsid w:val="00A11472"/>
    <w:rsid w:val="00A11CCB"/>
    <w:rsid w:val="00A11CD0"/>
    <w:rsid w:val="00A11D20"/>
    <w:rsid w:val="00A12132"/>
    <w:rsid w:val="00A121E0"/>
    <w:rsid w:val="00A1237F"/>
    <w:rsid w:val="00A1252E"/>
    <w:rsid w:val="00A131AD"/>
    <w:rsid w:val="00A13269"/>
    <w:rsid w:val="00A13310"/>
    <w:rsid w:val="00A133A1"/>
    <w:rsid w:val="00A13422"/>
    <w:rsid w:val="00A134CF"/>
    <w:rsid w:val="00A13948"/>
    <w:rsid w:val="00A139DA"/>
    <w:rsid w:val="00A14C07"/>
    <w:rsid w:val="00A14E18"/>
    <w:rsid w:val="00A15063"/>
    <w:rsid w:val="00A1517C"/>
    <w:rsid w:val="00A1555B"/>
    <w:rsid w:val="00A155C5"/>
    <w:rsid w:val="00A15F79"/>
    <w:rsid w:val="00A16AD8"/>
    <w:rsid w:val="00A171C1"/>
    <w:rsid w:val="00A17A57"/>
    <w:rsid w:val="00A17C24"/>
    <w:rsid w:val="00A17EEF"/>
    <w:rsid w:val="00A2009E"/>
    <w:rsid w:val="00A205BA"/>
    <w:rsid w:val="00A20992"/>
    <w:rsid w:val="00A20C96"/>
    <w:rsid w:val="00A21755"/>
    <w:rsid w:val="00A2177B"/>
    <w:rsid w:val="00A21C95"/>
    <w:rsid w:val="00A21CF3"/>
    <w:rsid w:val="00A21F3B"/>
    <w:rsid w:val="00A22054"/>
    <w:rsid w:val="00A225C5"/>
    <w:rsid w:val="00A22811"/>
    <w:rsid w:val="00A231DF"/>
    <w:rsid w:val="00A237F7"/>
    <w:rsid w:val="00A23B3D"/>
    <w:rsid w:val="00A243B9"/>
    <w:rsid w:val="00A2462D"/>
    <w:rsid w:val="00A24813"/>
    <w:rsid w:val="00A24918"/>
    <w:rsid w:val="00A2520A"/>
    <w:rsid w:val="00A25257"/>
    <w:rsid w:val="00A25422"/>
    <w:rsid w:val="00A25426"/>
    <w:rsid w:val="00A25FB2"/>
    <w:rsid w:val="00A26257"/>
    <w:rsid w:val="00A262D9"/>
    <w:rsid w:val="00A2686A"/>
    <w:rsid w:val="00A27121"/>
    <w:rsid w:val="00A27245"/>
    <w:rsid w:val="00A27359"/>
    <w:rsid w:val="00A27550"/>
    <w:rsid w:val="00A27AEC"/>
    <w:rsid w:val="00A27BA9"/>
    <w:rsid w:val="00A3003E"/>
    <w:rsid w:val="00A309C5"/>
    <w:rsid w:val="00A30C6C"/>
    <w:rsid w:val="00A30CAB"/>
    <w:rsid w:val="00A30E51"/>
    <w:rsid w:val="00A311F0"/>
    <w:rsid w:val="00A317AE"/>
    <w:rsid w:val="00A31A95"/>
    <w:rsid w:val="00A320DB"/>
    <w:rsid w:val="00A32658"/>
    <w:rsid w:val="00A3271D"/>
    <w:rsid w:val="00A330FB"/>
    <w:rsid w:val="00A33416"/>
    <w:rsid w:val="00A33F36"/>
    <w:rsid w:val="00A34441"/>
    <w:rsid w:val="00A3458F"/>
    <w:rsid w:val="00A34836"/>
    <w:rsid w:val="00A3489B"/>
    <w:rsid w:val="00A35172"/>
    <w:rsid w:val="00A35234"/>
    <w:rsid w:val="00A35796"/>
    <w:rsid w:val="00A35CBA"/>
    <w:rsid w:val="00A35D16"/>
    <w:rsid w:val="00A36332"/>
    <w:rsid w:val="00A3658E"/>
    <w:rsid w:val="00A367C8"/>
    <w:rsid w:val="00A36AD5"/>
    <w:rsid w:val="00A378CB"/>
    <w:rsid w:val="00A37AD3"/>
    <w:rsid w:val="00A37BCD"/>
    <w:rsid w:val="00A37D53"/>
    <w:rsid w:val="00A40030"/>
    <w:rsid w:val="00A40491"/>
    <w:rsid w:val="00A407D9"/>
    <w:rsid w:val="00A41020"/>
    <w:rsid w:val="00A41130"/>
    <w:rsid w:val="00A41689"/>
    <w:rsid w:val="00A41863"/>
    <w:rsid w:val="00A41FBD"/>
    <w:rsid w:val="00A42592"/>
    <w:rsid w:val="00A425DC"/>
    <w:rsid w:val="00A432D0"/>
    <w:rsid w:val="00A43427"/>
    <w:rsid w:val="00A43C59"/>
    <w:rsid w:val="00A43DC8"/>
    <w:rsid w:val="00A458FF"/>
    <w:rsid w:val="00A459A2"/>
    <w:rsid w:val="00A45A8B"/>
    <w:rsid w:val="00A45C22"/>
    <w:rsid w:val="00A45F93"/>
    <w:rsid w:val="00A462A8"/>
    <w:rsid w:val="00A46877"/>
    <w:rsid w:val="00A46C63"/>
    <w:rsid w:val="00A46FBE"/>
    <w:rsid w:val="00A47686"/>
    <w:rsid w:val="00A47DF8"/>
    <w:rsid w:val="00A47F98"/>
    <w:rsid w:val="00A5052F"/>
    <w:rsid w:val="00A50E38"/>
    <w:rsid w:val="00A50ECD"/>
    <w:rsid w:val="00A51190"/>
    <w:rsid w:val="00A518F3"/>
    <w:rsid w:val="00A51A5A"/>
    <w:rsid w:val="00A52256"/>
    <w:rsid w:val="00A52729"/>
    <w:rsid w:val="00A53304"/>
    <w:rsid w:val="00A53675"/>
    <w:rsid w:val="00A53E80"/>
    <w:rsid w:val="00A5408F"/>
    <w:rsid w:val="00A546A8"/>
    <w:rsid w:val="00A55080"/>
    <w:rsid w:val="00A5630E"/>
    <w:rsid w:val="00A564D7"/>
    <w:rsid w:val="00A56B6A"/>
    <w:rsid w:val="00A56FC5"/>
    <w:rsid w:val="00A57141"/>
    <w:rsid w:val="00A57246"/>
    <w:rsid w:val="00A578DC"/>
    <w:rsid w:val="00A57C72"/>
    <w:rsid w:val="00A57DD9"/>
    <w:rsid w:val="00A57FBC"/>
    <w:rsid w:val="00A60023"/>
    <w:rsid w:val="00A60698"/>
    <w:rsid w:val="00A60B4D"/>
    <w:rsid w:val="00A6137D"/>
    <w:rsid w:val="00A61B52"/>
    <w:rsid w:val="00A61BE7"/>
    <w:rsid w:val="00A61DD6"/>
    <w:rsid w:val="00A62062"/>
    <w:rsid w:val="00A62134"/>
    <w:rsid w:val="00A62524"/>
    <w:rsid w:val="00A62C0A"/>
    <w:rsid w:val="00A63016"/>
    <w:rsid w:val="00A6304F"/>
    <w:rsid w:val="00A6355F"/>
    <w:rsid w:val="00A635C8"/>
    <w:rsid w:val="00A635D3"/>
    <w:rsid w:val="00A636F4"/>
    <w:rsid w:val="00A63765"/>
    <w:rsid w:val="00A640E2"/>
    <w:rsid w:val="00A64100"/>
    <w:rsid w:val="00A64620"/>
    <w:rsid w:val="00A64D65"/>
    <w:rsid w:val="00A650C7"/>
    <w:rsid w:val="00A65970"/>
    <w:rsid w:val="00A65B1E"/>
    <w:rsid w:val="00A65B66"/>
    <w:rsid w:val="00A65C00"/>
    <w:rsid w:val="00A65E5A"/>
    <w:rsid w:val="00A66155"/>
    <w:rsid w:val="00A6666D"/>
    <w:rsid w:val="00A667A0"/>
    <w:rsid w:val="00A67020"/>
    <w:rsid w:val="00A6725B"/>
    <w:rsid w:val="00A67733"/>
    <w:rsid w:val="00A67933"/>
    <w:rsid w:val="00A7016D"/>
    <w:rsid w:val="00A703FB"/>
    <w:rsid w:val="00A70605"/>
    <w:rsid w:val="00A70E9C"/>
    <w:rsid w:val="00A70FD9"/>
    <w:rsid w:val="00A714F3"/>
    <w:rsid w:val="00A71834"/>
    <w:rsid w:val="00A71A8A"/>
    <w:rsid w:val="00A72102"/>
    <w:rsid w:val="00A722FA"/>
    <w:rsid w:val="00A72729"/>
    <w:rsid w:val="00A72E3E"/>
    <w:rsid w:val="00A73059"/>
    <w:rsid w:val="00A73134"/>
    <w:rsid w:val="00A73F85"/>
    <w:rsid w:val="00A74325"/>
    <w:rsid w:val="00A74524"/>
    <w:rsid w:val="00A74606"/>
    <w:rsid w:val="00A74C29"/>
    <w:rsid w:val="00A74FE8"/>
    <w:rsid w:val="00A75564"/>
    <w:rsid w:val="00A76001"/>
    <w:rsid w:val="00A761E8"/>
    <w:rsid w:val="00A76347"/>
    <w:rsid w:val="00A76CB5"/>
    <w:rsid w:val="00A777B2"/>
    <w:rsid w:val="00A77810"/>
    <w:rsid w:val="00A778D5"/>
    <w:rsid w:val="00A77C4B"/>
    <w:rsid w:val="00A77EA9"/>
    <w:rsid w:val="00A80526"/>
    <w:rsid w:val="00A81356"/>
    <w:rsid w:val="00A81870"/>
    <w:rsid w:val="00A82521"/>
    <w:rsid w:val="00A825D4"/>
    <w:rsid w:val="00A82628"/>
    <w:rsid w:val="00A828F6"/>
    <w:rsid w:val="00A82B73"/>
    <w:rsid w:val="00A82E84"/>
    <w:rsid w:val="00A835A3"/>
    <w:rsid w:val="00A837B4"/>
    <w:rsid w:val="00A83CDE"/>
    <w:rsid w:val="00A8404D"/>
    <w:rsid w:val="00A84342"/>
    <w:rsid w:val="00A84554"/>
    <w:rsid w:val="00A846B4"/>
    <w:rsid w:val="00A84CC3"/>
    <w:rsid w:val="00A84D54"/>
    <w:rsid w:val="00A858B6"/>
    <w:rsid w:val="00A85CCB"/>
    <w:rsid w:val="00A864F9"/>
    <w:rsid w:val="00A8685A"/>
    <w:rsid w:val="00A86BD7"/>
    <w:rsid w:val="00A86E8B"/>
    <w:rsid w:val="00A87164"/>
    <w:rsid w:val="00A87677"/>
    <w:rsid w:val="00A877E6"/>
    <w:rsid w:val="00A87DAF"/>
    <w:rsid w:val="00A87F81"/>
    <w:rsid w:val="00A90002"/>
    <w:rsid w:val="00A90350"/>
    <w:rsid w:val="00A9045C"/>
    <w:rsid w:val="00A90FBC"/>
    <w:rsid w:val="00A910E0"/>
    <w:rsid w:val="00A914B0"/>
    <w:rsid w:val="00A916C5"/>
    <w:rsid w:val="00A9176C"/>
    <w:rsid w:val="00A9199F"/>
    <w:rsid w:val="00A9216C"/>
    <w:rsid w:val="00A928E5"/>
    <w:rsid w:val="00A92F03"/>
    <w:rsid w:val="00A92F11"/>
    <w:rsid w:val="00A93072"/>
    <w:rsid w:val="00A930E5"/>
    <w:rsid w:val="00A937E8"/>
    <w:rsid w:val="00A938BD"/>
    <w:rsid w:val="00A93953"/>
    <w:rsid w:val="00A940ED"/>
    <w:rsid w:val="00A94646"/>
    <w:rsid w:val="00A947F0"/>
    <w:rsid w:val="00A94C4D"/>
    <w:rsid w:val="00A94DA1"/>
    <w:rsid w:val="00A951E4"/>
    <w:rsid w:val="00A9536A"/>
    <w:rsid w:val="00A95520"/>
    <w:rsid w:val="00A955DC"/>
    <w:rsid w:val="00A956EE"/>
    <w:rsid w:val="00A95871"/>
    <w:rsid w:val="00A959D8"/>
    <w:rsid w:val="00A9615C"/>
    <w:rsid w:val="00A96226"/>
    <w:rsid w:val="00A96506"/>
    <w:rsid w:val="00A96924"/>
    <w:rsid w:val="00A96E5A"/>
    <w:rsid w:val="00A97376"/>
    <w:rsid w:val="00A97387"/>
    <w:rsid w:val="00A973E6"/>
    <w:rsid w:val="00A97B7C"/>
    <w:rsid w:val="00AA0554"/>
    <w:rsid w:val="00AA0685"/>
    <w:rsid w:val="00AA06AC"/>
    <w:rsid w:val="00AA0B66"/>
    <w:rsid w:val="00AA113D"/>
    <w:rsid w:val="00AA204B"/>
    <w:rsid w:val="00AA2068"/>
    <w:rsid w:val="00AA26A4"/>
    <w:rsid w:val="00AA2D03"/>
    <w:rsid w:val="00AA2E5A"/>
    <w:rsid w:val="00AA2F0C"/>
    <w:rsid w:val="00AA2F2C"/>
    <w:rsid w:val="00AA3AEC"/>
    <w:rsid w:val="00AA4957"/>
    <w:rsid w:val="00AA4E18"/>
    <w:rsid w:val="00AA5329"/>
    <w:rsid w:val="00AA59B5"/>
    <w:rsid w:val="00AA64E0"/>
    <w:rsid w:val="00AA673D"/>
    <w:rsid w:val="00AA6BD5"/>
    <w:rsid w:val="00AA6BD8"/>
    <w:rsid w:val="00AA6C7D"/>
    <w:rsid w:val="00AA776B"/>
    <w:rsid w:val="00AA78B4"/>
    <w:rsid w:val="00AA7FD6"/>
    <w:rsid w:val="00AB042A"/>
    <w:rsid w:val="00AB0667"/>
    <w:rsid w:val="00AB06A3"/>
    <w:rsid w:val="00AB070A"/>
    <w:rsid w:val="00AB0FEF"/>
    <w:rsid w:val="00AB13E6"/>
    <w:rsid w:val="00AB15CC"/>
    <w:rsid w:val="00AB19EF"/>
    <w:rsid w:val="00AB1C55"/>
    <w:rsid w:val="00AB1D5E"/>
    <w:rsid w:val="00AB200C"/>
    <w:rsid w:val="00AB2B80"/>
    <w:rsid w:val="00AB2D34"/>
    <w:rsid w:val="00AB2EA8"/>
    <w:rsid w:val="00AB3013"/>
    <w:rsid w:val="00AB3430"/>
    <w:rsid w:val="00AB37B9"/>
    <w:rsid w:val="00AB4154"/>
    <w:rsid w:val="00AB44E4"/>
    <w:rsid w:val="00AB46DB"/>
    <w:rsid w:val="00AB4AD1"/>
    <w:rsid w:val="00AB4CDE"/>
    <w:rsid w:val="00AB4E3B"/>
    <w:rsid w:val="00AB4EF5"/>
    <w:rsid w:val="00AB552B"/>
    <w:rsid w:val="00AB5DFB"/>
    <w:rsid w:val="00AB5E07"/>
    <w:rsid w:val="00AB5FBB"/>
    <w:rsid w:val="00AB62C9"/>
    <w:rsid w:val="00AB6455"/>
    <w:rsid w:val="00AB7CFA"/>
    <w:rsid w:val="00AB7FBD"/>
    <w:rsid w:val="00AC04C4"/>
    <w:rsid w:val="00AC1091"/>
    <w:rsid w:val="00AC1AE5"/>
    <w:rsid w:val="00AC1AE9"/>
    <w:rsid w:val="00AC1BEE"/>
    <w:rsid w:val="00AC1D2E"/>
    <w:rsid w:val="00AC1DAB"/>
    <w:rsid w:val="00AC2161"/>
    <w:rsid w:val="00AC2FC4"/>
    <w:rsid w:val="00AC355B"/>
    <w:rsid w:val="00AC443B"/>
    <w:rsid w:val="00AC4B1B"/>
    <w:rsid w:val="00AC51E2"/>
    <w:rsid w:val="00AC5370"/>
    <w:rsid w:val="00AC58CB"/>
    <w:rsid w:val="00AC5B48"/>
    <w:rsid w:val="00AC5FE1"/>
    <w:rsid w:val="00AC66E0"/>
    <w:rsid w:val="00AC6E38"/>
    <w:rsid w:val="00AC70BB"/>
    <w:rsid w:val="00AC7CDA"/>
    <w:rsid w:val="00AD07A4"/>
    <w:rsid w:val="00AD0E39"/>
    <w:rsid w:val="00AD0ED9"/>
    <w:rsid w:val="00AD1265"/>
    <w:rsid w:val="00AD1450"/>
    <w:rsid w:val="00AD2048"/>
    <w:rsid w:val="00AD240C"/>
    <w:rsid w:val="00AD2780"/>
    <w:rsid w:val="00AD2C63"/>
    <w:rsid w:val="00AD3335"/>
    <w:rsid w:val="00AD3757"/>
    <w:rsid w:val="00AD3D92"/>
    <w:rsid w:val="00AD416A"/>
    <w:rsid w:val="00AD41BD"/>
    <w:rsid w:val="00AD4A61"/>
    <w:rsid w:val="00AD4BE8"/>
    <w:rsid w:val="00AD4BFC"/>
    <w:rsid w:val="00AD50C7"/>
    <w:rsid w:val="00AD5729"/>
    <w:rsid w:val="00AD5DDA"/>
    <w:rsid w:val="00AD6502"/>
    <w:rsid w:val="00AD6C0A"/>
    <w:rsid w:val="00AD6C13"/>
    <w:rsid w:val="00AD73AC"/>
    <w:rsid w:val="00AD77E9"/>
    <w:rsid w:val="00AD7ABB"/>
    <w:rsid w:val="00AE0253"/>
    <w:rsid w:val="00AE0294"/>
    <w:rsid w:val="00AE03EE"/>
    <w:rsid w:val="00AE05BB"/>
    <w:rsid w:val="00AE0695"/>
    <w:rsid w:val="00AE0831"/>
    <w:rsid w:val="00AE0BB4"/>
    <w:rsid w:val="00AE11D8"/>
    <w:rsid w:val="00AE15AC"/>
    <w:rsid w:val="00AE1750"/>
    <w:rsid w:val="00AE1B32"/>
    <w:rsid w:val="00AE1CF6"/>
    <w:rsid w:val="00AE1EE5"/>
    <w:rsid w:val="00AE26A9"/>
    <w:rsid w:val="00AE28BB"/>
    <w:rsid w:val="00AE2DD2"/>
    <w:rsid w:val="00AE3316"/>
    <w:rsid w:val="00AE3E35"/>
    <w:rsid w:val="00AE3E7E"/>
    <w:rsid w:val="00AE3EF9"/>
    <w:rsid w:val="00AE4063"/>
    <w:rsid w:val="00AE4164"/>
    <w:rsid w:val="00AE4397"/>
    <w:rsid w:val="00AE4A15"/>
    <w:rsid w:val="00AE5424"/>
    <w:rsid w:val="00AE575A"/>
    <w:rsid w:val="00AE6692"/>
    <w:rsid w:val="00AE6C92"/>
    <w:rsid w:val="00AE74F7"/>
    <w:rsid w:val="00AE7CB1"/>
    <w:rsid w:val="00AE7F69"/>
    <w:rsid w:val="00AF018C"/>
    <w:rsid w:val="00AF0B83"/>
    <w:rsid w:val="00AF0C02"/>
    <w:rsid w:val="00AF0E99"/>
    <w:rsid w:val="00AF1315"/>
    <w:rsid w:val="00AF1600"/>
    <w:rsid w:val="00AF19BF"/>
    <w:rsid w:val="00AF1E8F"/>
    <w:rsid w:val="00AF22EF"/>
    <w:rsid w:val="00AF241F"/>
    <w:rsid w:val="00AF29A3"/>
    <w:rsid w:val="00AF2A64"/>
    <w:rsid w:val="00AF2C58"/>
    <w:rsid w:val="00AF2DC3"/>
    <w:rsid w:val="00AF2FBA"/>
    <w:rsid w:val="00AF3643"/>
    <w:rsid w:val="00AF391C"/>
    <w:rsid w:val="00AF397E"/>
    <w:rsid w:val="00AF46D7"/>
    <w:rsid w:val="00AF496B"/>
    <w:rsid w:val="00AF50B8"/>
    <w:rsid w:val="00AF5AF8"/>
    <w:rsid w:val="00AF6127"/>
    <w:rsid w:val="00AF6D19"/>
    <w:rsid w:val="00AF7166"/>
    <w:rsid w:val="00AF74AF"/>
    <w:rsid w:val="00AF76A2"/>
    <w:rsid w:val="00AF7DBE"/>
    <w:rsid w:val="00B0012C"/>
    <w:rsid w:val="00B005B6"/>
    <w:rsid w:val="00B0089A"/>
    <w:rsid w:val="00B00BDF"/>
    <w:rsid w:val="00B00C0C"/>
    <w:rsid w:val="00B01513"/>
    <w:rsid w:val="00B01650"/>
    <w:rsid w:val="00B01BCF"/>
    <w:rsid w:val="00B01FEF"/>
    <w:rsid w:val="00B02431"/>
    <w:rsid w:val="00B033E5"/>
    <w:rsid w:val="00B03A63"/>
    <w:rsid w:val="00B03F6D"/>
    <w:rsid w:val="00B041AB"/>
    <w:rsid w:val="00B04612"/>
    <w:rsid w:val="00B04635"/>
    <w:rsid w:val="00B04B5C"/>
    <w:rsid w:val="00B05080"/>
    <w:rsid w:val="00B0513A"/>
    <w:rsid w:val="00B051E8"/>
    <w:rsid w:val="00B052BB"/>
    <w:rsid w:val="00B0531D"/>
    <w:rsid w:val="00B05C05"/>
    <w:rsid w:val="00B065BB"/>
    <w:rsid w:val="00B10970"/>
    <w:rsid w:val="00B10DE0"/>
    <w:rsid w:val="00B10E32"/>
    <w:rsid w:val="00B10FDB"/>
    <w:rsid w:val="00B1102F"/>
    <w:rsid w:val="00B1144F"/>
    <w:rsid w:val="00B11927"/>
    <w:rsid w:val="00B12129"/>
    <w:rsid w:val="00B121AB"/>
    <w:rsid w:val="00B12858"/>
    <w:rsid w:val="00B13CF7"/>
    <w:rsid w:val="00B1485C"/>
    <w:rsid w:val="00B1502C"/>
    <w:rsid w:val="00B155AE"/>
    <w:rsid w:val="00B15740"/>
    <w:rsid w:val="00B1584D"/>
    <w:rsid w:val="00B15B43"/>
    <w:rsid w:val="00B15D52"/>
    <w:rsid w:val="00B165AB"/>
    <w:rsid w:val="00B1679A"/>
    <w:rsid w:val="00B16E33"/>
    <w:rsid w:val="00B17293"/>
    <w:rsid w:val="00B17506"/>
    <w:rsid w:val="00B175E4"/>
    <w:rsid w:val="00B1774A"/>
    <w:rsid w:val="00B1786C"/>
    <w:rsid w:val="00B17C20"/>
    <w:rsid w:val="00B201A4"/>
    <w:rsid w:val="00B201D1"/>
    <w:rsid w:val="00B202DC"/>
    <w:rsid w:val="00B20561"/>
    <w:rsid w:val="00B20687"/>
    <w:rsid w:val="00B20B46"/>
    <w:rsid w:val="00B20D68"/>
    <w:rsid w:val="00B213A6"/>
    <w:rsid w:val="00B21C37"/>
    <w:rsid w:val="00B21C9C"/>
    <w:rsid w:val="00B22885"/>
    <w:rsid w:val="00B22A23"/>
    <w:rsid w:val="00B22EEC"/>
    <w:rsid w:val="00B2315A"/>
    <w:rsid w:val="00B233CE"/>
    <w:rsid w:val="00B235B0"/>
    <w:rsid w:val="00B23B53"/>
    <w:rsid w:val="00B2401B"/>
    <w:rsid w:val="00B241FB"/>
    <w:rsid w:val="00B24903"/>
    <w:rsid w:val="00B24A86"/>
    <w:rsid w:val="00B24D0F"/>
    <w:rsid w:val="00B24DF6"/>
    <w:rsid w:val="00B24FC9"/>
    <w:rsid w:val="00B257D6"/>
    <w:rsid w:val="00B25DA0"/>
    <w:rsid w:val="00B2649F"/>
    <w:rsid w:val="00B26531"/>
    <w:rsid w:val="00B273A8"/>
    <w:rsid w:val="00B27BC4"/>
    <w:rsid w:val="00B30422"/>
    <w:rsid w:val="00B30803"/>
    <w:rsid w:val="00B30879"/>
    <w:rsid w:val="00B30B3C"/>
    <w:rsid w:val="00B30BC2"/>
    <w:rsid w:val="00B30D86"/>
    <w:rsid w:val="00B316E4"/>
    <w:rsid w:val="00B317B6"/>
    <w:rsid w:val="00B32541"/>
    <w:rsid w:val="00B332CB"/>
    <w:rsid w:val="00B33F34"/>
    <w:rsid w:val="00B34056"/>
    <w:rsid w:val="00B342EC"/>
    <w:rsid w:val="00B345C0"/>
    <w:rsid w:val="00B345E9"/>
    <w:rsid w:val="00B34CD3"/>
    <w:rsid w:val="00B34DA8"/>
    <w:rsid w:val="00B34FE2"/>
    <w:rsid w:val="00B35166"/>
    <w:rsid w:val="00B354B0"/>
    <w:rsid w:val="00B35762"/>
    <w:rsid w:val="00B357D8"/>
    <w:rsid w:val="00B35868"/>
    <w:rsid w:val="00B35C4A"/>
    <w:rsid w:val="00B35DDA"/>
    <w:rsid w:val="00B360F4"/>
    <w:rsid w:val="00B36441"/>
    <w:rsid w:val="00B36904"/>
    <w:rsid w:val="00B36A00"/>
    <w:rsid w:val="00B36B32"/>
    <w:rsid w:val="00B37061"/>
    <w:rsid w:val="00B376DF"/>
    <w:rsid w:val="00B37939"/>
    <w:rsid w:val="00B37B02"/>
    <w:rsid w:val="00B37BFC"/>
    <w:rsid w:val="00B37CDD"/>
    <w:rsid w:val="00B40358"/>
    <w:rsid w:val="00B4044A"/>
    <w:rsid w:val="00B407DF"/>
    <w:rsid w:val="00B4083B"/>
    <w:rsid w:val="00B409B0"/>
    <w:rsid w:val="00B41488"/>
    <w:rsid w:val="00B41551"/>
    <w:rsid w:val="00B41614"/>
    <w:rsid w:val="00B418EB"/>
    <w:rsid w:val="00B41909"/>
    <w:rsid w:val="00B42851"/>
    <w:rsid w:val="00B42B0B"/>
    <w:rsid w:val="00B42CDE"/>
    <w:rsid w:val="00B42F80"/>
    <w:rsid w:val="00B43129"/>
    <w:rsid w:val="00B43177"/>
    <w:rsid w:val="00B435CB"/>
    <w:rsid w:val="00B43B10"/>
    <w:rsid w:val="00B4450D"/>
    <w:rsid w:val="00B445E6"/>
    <w:rsid w:val="00B44A33"/>
    <w:rsid w:val="00B44B88"/>
    <w:rsid w:val="00B44E04"/>
    <w:rsid w:val="00B452D5"/>
    <w:rsid w:val="00B4594E"/>
    <w:rsid w:val="00B4596A"/>
    <w:rsid w:val="00B45C43"/>
    <w:rsid w:val="00B45D65"/>
    <w:rsid w:val="00B4604D"/>
    <w:rsid w:val="00B46539"/>
    <w:rsid w:val="00B467A8"/>
    <w:rsid w:val="00B47383"/>
    <w:rsid w:val="00B477F3"/>
    <w:rsid w:val="00B477FE"/>
    <w:rsid w:val="00B47860"/>
    <w:rsid w:val="00B47F9F"/>
    <w:rsid w:val="00B500BA"/>
    <w:rsid w:val="00B50568"/>
    <w:rsid w:val="00B505C8"/>
    <w:rsid w:val="00B5063D"/>
    <w:rsid w:val="00B507C5"/>
    <w:rsid w:val="00B50800"/>
    <w:rsid w:val="00B50B4D"/>
    <w:rsid w:val="00B50DB8"/>
    <w:rsid w:val="00B50F39"/>
    <w:rsid w:val="00B513BE"/>
    <w:rsid w:val="00B5147A"/>
    <w:rsid w:val="00B51F7C"/>
    <w:rsid w:val="00B52A04"/>
    <w:rsid w:val="00B52A65"/>
    <w:rsid w:val="00B52C74"/>
    <w:rsid w:val="00B52CC1"/>
    <w:rsid w:val="00B53654"/>
    <w:rsid w:val="00B537C9"/>
    <w:rsid w:val="00B53905"/>
    <w:rsid w:val="00B53984"/>
    <w:rsid w:val="00B53F5A"/>
    <w:rsid w:val="00B54049"/>
    <w:rsid w:val="00B540DA"/>
    <w:rsid w:val="00B541FC"/>
    <w:rsid w:val="00B542DD"/>
    <w:rsid w:val="00B54333"/>
    <w:rsid w:val="00B544D1"/>
    <w:rsid w:val="00B5469C"/>
    <w:rsid w:val="00B54B5B"/>
    <w:rsid w:val="00B55362"/>
    <w:rsid w:val="00B5562E"/>
    <w:rsid w:val="00B55739"/>
    <w:rsid w:val="00B557F6"/>
    <w:rsid w:val="00B558A5"/>
    <w:rsid w:val="00B55B6D"/>
    <w:rsid w:val="00B55D65"/>
    <w:rsid w:val="00B55EE6"/>
    <w:rsid w:val="00B56A2C"/>
    <w:rsid w:val="00B56C4D"/>
    <w:rsid w:val="00B56CF7"/>
    <w:rsid w:val="00B56D32"/>
    <w:rsid w:val="00B56E08"/>
    <w:rsid w:val="00B57000"/>
    <w:rsid w:val="00B606B2"/>
    <w:rsid w:val="00B60877"/>
    <w:rsid w:val="00B60939"/>
    <w:rsid w:val="00B60AFD"/>
    <w:rsid w:val="00B60B4F"/>
    <w:rsid w:val="00B60E24"/>
    <w:rsid w:val="00B60EA3"/>
    <w:rsid w:val="00B6120E"/>
    <w:rsid w:val="00B6129F"/>
    <w:rsid w:val="00B61A7D"/>
    <w:rsid w:val="00B62490"/>
    <w:rsid w:val="00B62715"/>
    <w:rsid w:val="00B63037"/>
    <w:rsid w:val="00B631CC"/>
    <w:rsid w:val="00B63C23"/>
    <w:rsid w:val="00B644D2"/>
    <w:rsid w:val="00B64D76"/>
    <w:rsid w:val="00B65611"/>
    <w:rsid w:val="00B65C9F"/>
    <w:rsid w:val="00B664CA"/>
    <w:rsid w:val="00B66824"/>
    <w:rsid w:val="00B66986"/>
    <w:rsid w:val="00B66B2B"/>
    <w:rsid w:val="00B6729A"/>
    <w:rsid w:val="00B67ED5"/>
    <w:rsid w:val="00B709C6"/>
    <w:rsid w:val="00B70B22"/>
    <w:rsid w:val="00B70D35"/>
    <w:rsid w:val="00B70E8E"/>
    <w:rsid w:val="00B713DE"/>
    <w:rsid w:val="00B71D84"/>
    <w:rsid w:val="00B7289C"/>
    <w:rsid w:val="00B72CF7"/>
    <w:rsid w:val="00B73AC7"/>
    <w:rsid w:val="00B74C64"/>
    <w:rsid w:val="00B74FE4"/>
    <w:rsid w:val="00B7519F"/>
    <w:rsid w:val="00B7545B"/>
    <w:rsid w:val="00B7558D"/>
    <w:rsid w:val="00B75AF0"/>
    <w:rsid w:val="00B763AF"/>
    <w:rsid w:val="00B76C92"/>
    <w:rsid w:val="00B774F2"/>
    <w:rsid w:val="00B806E4"/>
    <w:rsid w:val="00B80E5A"/>
    <w:rsid w:val="00B81147"/>
    <w:rsid w:val="00B8122C"/>
    <w:rsid w:val="00B818A4"/>
    <w:rsid w:val="00B81C70"/>
    <w:rsid w:val="00B81F87"/>
    <w:rsid w:val="00B823C4"/>
    <w:rsid w:val="00B8260A"/>
    <w:rsid w:val="00B82A27"/>
    <w:rsid w:val="00B82BBB"/>
    <w:rsid w:val="00B83531"/>
    <w:rsid w:val="00B8377F"/>
    <w:rsid w:val="00B83BAD"/>
    <w:rsid w:val="00B83D96"/>
    <w:rsid w:val="00B84117"/>
    <w:rsid w:val="00B84640"/>
    <w:rsid w:val="00B858F0"/>
    <w:rsid w:val="00B85915"/>
    <w:rsid w:val="00B859F2"/>
    <w:rsid w:val="00B85AA2"/>
    <w:rsid w:val="00B85DD0"/>
    <w:rsid w:val="00B85EB9"/>
    <w:rsid w:val="00B85F03"/>
    <w:rsid w:val="00B86113"/>
    <w:rsid w:val="00B8649C"/>
    <w:rsid w:val="00B8695D"/>
    <w:rsid w:val="00B86C71"/>
    <w:rsid w:val="00B86E14"/>
    <w:rsid w:val="00B877E4"/>
    <w:rsid w:val="00B87B2F"/>
    <w:rsid w:val="00B87E34"/>
    <w:rsid w:val="00B87EA8"/>
    <w:rsid w:val="00B87F0A"/>
    <w:rsid w:val="00B87FF3"/>
    <w:rsid w:val="00B90ADB"/>
    <w:rsid w:val="00B90DFC"/>
    <w:rsid w:val="00B911FE"/>
    <w:rsid w:val="00B91586"/>
    <w:rsid w:val="00B915A8"/>
    <w:rsid w:val="00B91AB3"/>
    <w:rsid w:val="00B92330"/>
    <w:rsid w:val="00B929CF"/>
    <w:rsid w:val="00B92D0B"/>
    <w:rsid w:val="00B93154"/>
    <w:rsid w:val="00B933F8"/>
    <w:rsid w:val="00B93DC3"/>
    <w:rsid w:val="00B93F1B"/>
    <w:rsid w:val="00B94346"/>
    <w:rsid w:val="00B943FB"/>
    <w:rsid w:val="00B94945"/>
    <w:rsid w:val="00B94DD6"/>
    <w:rsid w:val="00B94E95"/>
    <w:rsid w:val="00B94F12"/>
    <w:rsid w:val="00B9550E"/>
    <w:rsid w:val="00B95938"/>
    <w:rsid w:val="00B95A00"/>
    <w:rsid w:val="00B95BC5"/>
    <w:rsid w:val="00B95D5A"/>
    <w:rsid w:val="00B95DDC"/>
    <w:rsid w:val="00B9601B"/>
    <w:rsid w:val="00B96425"/>
    <w:rsid w:val="00B969BC"/>
    <w:rsid w:val="00B9703E"/>
    <w:rsid w:val="00B9726B"/>
    <w:rsid w:val="00B97CCD"/>
    <w:rsid w:val="00BA00F2"/>
    <w:rsid w:val="00BA03C2"/>
    <w:rsid w:val="00BA05A4"/>
    <w:rsid w:val="00BA07A2"/>
    <w:rsid w:val="00BA07AC"/>
    <w:rsid w:val="00BA083A"/>
    <w:rsid w:val="00BA0EA6"/>
    <w:rsid w:val="00BA0F84"/>
    <w:rsid w:val="00BA1293"/>
    <w:rsid w:val="00BA13BB"/>
    <w:rsid w:val="00BA184E"/>
    <w:rsid w:val="00BA2AA3"/>
    <w:rsid w:val="00BA2BC7"/>
    <w:rsid w:val="00BA309E"/>
    <w:rsid w:val="00BA312E"/>
    <w:rsid w:val="00BA322D"/>
    <w:rsid w:val="00BA3684"/>
    <w:rsid w:val="00BA3BA1"/>
    <w:rsid w:val="00BA3C66"/>
    <w:rsid w:val="00BA3DE9"/>
    <w:rsid w:val="00BA4141"/>
    <w:rsid w:val="00BA41F9"/>
    <w:rsid w:val="00BA45A7"/>
    <w:rsid w:val="00BA4ED2"/>
    <w:rsid w:val="00BA4F3C"/>
    <w:rsid w:val="00BA5794"/>
    <w:rsid w:val="00BA63FA"/>
    <w:rsid w:val="00BA6504"/>
    <w:rsid w:val="00BA694F"/>
    <w:rsid w:val="00BA73A0"/>
    <w:rsid w:val="00BA775F"/>
    <w:rsid w:val="00BB00B3"/>
    <w:rsid w:val="00BB0BDD"/>
    <w:rsid w:val="00BB0D85"/>
    <w:rsid w:val="00BB1099"/>
    <w:rsid w:val="00BB176C"/>
    <w:rsid w:val="00BB1D7D"/>
    <w:rsid w:val="00BB2068"/>
    <w:rsid w:val="00BB212B"/>
    <w:rsid w:val="00BB2240"/>
    <w:rsid w:val="00BB23A2"/>
    <w:rsid w:val="00BB2706"/>
    <w:rsid w:val="00BB289F"/>
    <w:rsid w:val="00BB2A73"/>
    <w:rsid w:val="00BB32E0"/>
    <w:rsid w:val="00BB3647"/>
    <w:rsid w:val="00BB38B6"/>
    <w:rsid w:val="00BB3A45"/>
    <w:rsid w:val="00BB3C6C"/>
    <w:rsid w:val="00BB3F24"/>
    <w:rsid w:val="00BB4354"/>
    <w:rsid w:val="00BB4ACC"/>
    <w:rsid w:val="00BB4B97"/>
    <w:rsid w:val="00BB4C36"/>
    <w:rsid w:val="00BB4CDB"/>
    <w:rsid w:val="00BB5051"/>
    <w:rsid w:val="00BB54AC"/>
    <w:rsid w:val="00BB5E72"/>
    <w:rsid w:val="00BB5FFF"/>
    <w:rsid w:val="00BB6098"/>
    <w:rsid w:val="00BB613A"/>
    <w:rsid w:val="00BB613C"/>
    <w:rsid w:val="00BB61EE"/>
    <w:rsid w:val="00BB63C9"/>
    <w:rsid w:val="00BB65FB"/>
    <w:rsid w:val="00BB6784"/>
    <w:rsid w:val="00BB6C50"/>
    <w:rsid w:val="00BB703E"/>
    <w:rsid w:val="00BB732D"/>
    <w:rsid w:val="00BB7405"/>
    <w:rsid w:val="00BB7D94"/>
    <w:rsid w:val="00BC01E0"/>
    <w:rsid w:val="00BC030C"/>
    <w:rsid w:val="00BC0766"/>
    <w:rsid w:val="00BC1056"/>
    <w:rsid w:val="00BC112A"/>
    <w:rsid w:val="00BC125B"/>
    <w:rsid w:val="00BC191A"/>
    <w:rsid w:val="00BC2099"/>
    <w:rsid w:val="00BC22B8"/>
    <w:rsid w:val="00BC3439"/>
    <w:rsid w:val="00BC34CB"/>
    <w:rsid w:val="00BC3607"/>
    <w:rsid w:val="00BC3631"/>
    <w:rsid w:val="00BC3748"/>
    <w:rsid w:val="00BC3911"/>
    <w:rsid w:val="00BC3B2D"/>
    <w:rsid w:val="00BC3C0B"/>
    <w:rsid w:val="00BC40EE"/>
    <w:rsid w:val="00BC4553"/>
    <w:rsid w:val="00BC4554"/>
    <w:rsid w:val="00BC4EE5"/>
    <w:rsid w:val="00BC51AE"/>
    <w:rsid w:val="00BC591F"/>
    <w:rsid w:val="00BC5A25"/>
    <w:rsid w:val="00BC5DDB"/>
    <w:rsid w:val="00BC5DDF"/>
    <w:rsid w:val="00BC6089"/>
    <w:rsid w:val="00BC635C"/>
    <w:rsid w:val="00BC6FFB"/>
    <w:rsid w:val="00BC74A1"/>
    <w:rsid w:val="00BC7D6D"/>
    <w:rsid w:val="00BD03EB"/>
    <w:rsid w:val="00BD0516"/>
    <w:rsid w:val="00BD0785"/>
    <w:rsid w:val="00BD0B24"/>
    <w:rsid w:val="00BD0D47"/>
    <w:rsid w:val="00BD152C"/>
    <w:rsid w:val="00BD1703"/>
    <w:rsid w:val="00BD2108"/>
    <w:rsid w:val="00BD23C9"/>
    <w:rsid w:val="00BD247F"/>
    <w:rsid w:val="00BD25B5"/>
    <w:rsid w:val="00BD2870"/>
    <w:rsid w:val="00BD2E2D"/>
    <w:rsid w:val="00BD2E60"/>
    <w:rsid w:val="00BD33BF"/>
    <w:rsid w:val="00BD394C"/>
    <w:rsid w:val="00BD462D"/>
    <w:rsid w:val="00BD4987"/>
    <w:rsid w:val="00BD4CA8"/>
    <w:rsid w:val="00BD5069"/>
    <w:rsid w:val="00BD51C0"/>
    <w:rsid w:val="00BD5F4D"/>
    <w:rsid w:val="00BD62FC"/>
    <w:rsid w:val="00BD63C1"/>
    <w:rsid w:val="00BD68A3"/>
    <w:rsid w:val="00BD68E3"/>
    <w:rsid w:val="00BD6938"/>
    <w:rsid w:val="00BD6CF3"/>
    <w:rsid w:val="00BD7BD6"/>
    <w:rsid w:val="00BD7D2A"/>
    <w:rsid w:val="00BD7E3B"/>
    <w:rsid w:val="00BE0226"/>
    <w:rsid w:val="00BE06FA"/>
    <w:rsid w:val="00BE0827"/>
    <w:rsid w:val="00BE08A8"/>
    <w:rsid w:val="00BE0BB0"/>
    <w:rsid w:val="00BE0ECA"/>
    <w:rsid w:val="00BE1236"/>
    <w:rsid w:val="00BE1254"/>
    <w:rsid w:val="00BE13E4"/>
    <w:rsid w:val="00BE17D5"/>
    <w:rsid w:val="00BE1A45"/>
    <w:rsid w:val="00BE1B6C"/>
    <w:rsid w:val="00BE2180"/>
    <w:rsid w:val="00BE21F2"/>
    <w:rsid w:val="00BE24BD"/>
    <w:rsid w:val="00BE293C"/>
    <w:rsid w:val="00BE3363"/>
    <w:rsid w:val="00BE37F2"/>
    <w:rsid w:val="00BE3AD8"/>
    <w:rsid w:val="00BE4275"/>
    <w:rsid w:val="00BE46DB"/>
    <w:rsid w:val="00BE4BBA"/>
    <w:rsid w:val="00BE51FE"/>
    <w:rsid w:val="00BE5E3F"/>
    <w:rsid w:val="00BE5FCC"/>
    <w:rsid w:val="00BE614B"/>
    <w:rsid w:val="00BE6DEB"/>
    <w:rsid w:val="00BE710E"/>
    <w:rsid w:val="00BF06AE"/>
    <w:rsid w:val="00BF09C0"/>
    <w:rsid w:val="00BF0F95"/>
    <w:rsid w:val="00BF1003"/>
    <w:rsid w:val="00BF10E3"/>
    <w:rsid w:val="00BF1179"/>
    <w:rsid w:val="00BF17F7"/>
    <w:rsid w:val="00BF1BD3"/>
    <w:rsid w:val="00BF1BDE"/>
    <w:rsid w:val="00BF21E5"/>
    <w:rsid w:val="00BF2433"/>
    <w:rsid w:val="00BF24FB"/>
    <w:rsid w:val="00BF2588"/>
    <w:rsid w:val="00BF2ADD"/>
    <w:rsid w:val="00BF2BBE"/>
    <w:rsid w:val="00BF3E93"/>
    <w:rsid w:val="00BF3F6B"/>
    <w:rsid w:val="00BF4244"/>
    <w:rsid w:val="00BF42DB"/>
    <w:rsid w:val="00BF431B"/>
    <w:rsid w:val="00BF46FD"/>
    <w:rsid w:val="00BF4943"/>
    <w:rsid w:val="00BF4B67"/>
    <w:rsid w:val="00BF55CB"/>
    <w:rsid w:val="00BF5B4C"/>
    <w:rsid w:val="00BF5B59"/>
    <w:rsid w:val="00BF5BD5"/>
    <w:rsid w:val="00BF5DCF"/>
    <w:rsid w:val="00BF5FA6"/>
    <w:rsid w:val="00BF61C9"/>
    <w:rsid w:val="00BF6C94"/>
    <w:rsid w:val="00BF705E"/>
    <w:rsid w:val="00BF76F8"/>
    <w:rsid w:val="00BF7F98"/>
    <w:rsid w:val="00C0021D"/>
    <w:rsid w:val="00C0030A"/>
    <w:rsid w:val="00C00424"/>
    <w:rsid w:val="00C01008"/>
    <w:rsid w:val="00C02004"/>
    <w:rsid w:val="00C02C09"/>
    <w:rsid w:val="00C02DEB"/>
    <w:rsid w:val="00C02E8B"/>
    <w:rsid w:val="00C033B8"/>
    <w:rsid w:val="00C03956"/>
    <w:rsid w:val="00C03C79"/>
    <w:rsid w:val="00C03D83"/>
    <w:rsid w:val="00C03F38"/>
    <w:rsid w:val="00C03FC3"/>
    <w:rsid w:val="00C0412A"/>
    <w:rsid w:val="00C04618"/>
    <w:rsid w:val="00C050A1"/>
    <w:rsid w:val="00C05534"/>
    <w:rsid w:val="00C05644"/>
    <w:rsid w:val="00C0599E"/>
    <w:rsid w:val="00C05BD0"/>
    <w:rsid w:val="00C06341"/>
    <w:rsid w:val="00C065FF"/>
    <w:rsid w:val="00C067BA"/>
    <w:rsid w:val="00C06B30"/>
    <w:rsid w:val="00C06EA1"/>
    <w:rsid w:val="00C07010"/>
    <w:rsid w:val="00C07A57"/>
    <w:rsid w:val="00C07AAC"/>
    <w:rsid w:val="00C1050D"/>
    <w:rsid w:val="00C107A9"/>
    <w:rsid w:val="00C10BFF"/>
    <w:rsid w:val="00C11067"/>
    <w:rsid w:val="00C1179F"/>
    <w:rsid w:val="00C12098"/>
    <w:rsid w:val="00C12203"/>
    <w:rsid w:val="00C1272E"/>
    <w:rsid w:val="00C12B5B"/>
    <w:rsid w:val="00C12C14"/>
    <w:rsid w:val="00C138D5"/>
    <w:rsid w:val="00C144BB"/>
    <w:rsid w:val="00C15031"/>
    <w:rsid w:val="00C150ED"/>
    <w:rsid w:val="00C151F9"/>
    <w:rsid w:val="00C1540F"/>
    <w:rsid w:val="00C15840"/>
    <w:rsid w:val="00C15F04"/>
    <w:rsid w:val="00C16982"/>
    <w:rsid w:val="00C16F1C"/>
    <w:rsid w:val="00C179B3"/>
    <w:rsid w:val="00C179DA"/>
    <w:rsid w:val="00C17E3F"/>
    <w:rsid w:val="00C17F8D"/>
    <w:rsid w:val="00C200AA"/>
    <w:rsid w:val="00C206EB"/>
    <w:rsid w:val="00C207E7"/>
    <w:rsid w:val="00C20BF5"/>
    <w:rsid w:val="00C21480"/>
    <w:rsid w:val="00C21974"/>
    <w:rsid w:val="00C22676"/>
    <w:rsid w:val="00C2269C"/>
    <w:rsid w:val="00C22BE5"/>
    <w:rsid w:val="00C2346E"/>
    <w:rsid w:val="00C237ED"/>
    <w:rsid w:val="00C24147"/>
    <w:rsid w:val="00C24632"/>
    <w:rsid w:val="00C24E3C"/>
    <w:rsid w:val="00C24E76"/>
    <w:rsid w:val="00C24EB9"/>
    <w:rsid w:val="00C25418"/>
    <w:rsid w:val="00C259A6"/>
    <w:rsid w:val="00C25B42"/>
    <w:rsid w:val="00C25D9C"/>
    <w:rsid w:val="00C2620A"/>
    <w:rsid w:val="00C2695D"/>
    <w:rsid w:val="00C27283"/>
    <w:rsid w:val="00C2778B"/>
    <w:rsid w:val="00C2793A"/>
    <w:rsid w:val="00C27B42"/>
    <w:rsid w:val="00C27B57"/>
    <w:rsid w:val="00C30265"/>
    <w:rsid w:val="00C30266"/>
    <w:rsid w:val="00C30D89"/>
    <w:rsid w:val="00C30EB2"/>
    <w:rsid w:val="00C31334"/>
    <w:rsid w:val="00C31555"/>
    <w:rsid w:val="00C31649"/>
    <w:rsid w:val="00C318E2"/>
    <w:rsid w:val="00C31BB8"/>
    <w:rsid w:val="00C32292"/>
    <w:rsid w:val="00C32896"/>
    <w:rsid w:val="00C32D42"/>
    <w:rsid w:val="00C32EF0"/>
    <w:rsid w:val="00C32F05"/>
    <w:rsid w:val="00C3378A"/>
    <w:rsid w:val="00C33895"/>
    <w:rsid w:val="00C34156"/>
    <w:rsid w:val="00C3434C"/>
    <w:rsid w:val="00C34DD3"/>
    <w:rsid w:val="00C34F04"/>
    <w:rsid w:val="00C35802"/>
    <w:rsid w:val="00C35A86"/>
    <w:rsid w:val="00C36258"/>
    <w:rsid w:val="00C36472"/>
    <w:rsid w:val="00C36DF9"/>
    <w:rsid w:val="00C36E2D"/>
    <w:rsid w:val="00C36ED6"/>
    <w:rsid w:val="00C36F30"/>
    <w:rsid w:val="00C37300"/>
    <w:rsid w:val="00C37A6A"/>
    <w:rsid w:val="00C40385"/>
    <w:rsid w:val="00C40472"/>
    <w:rsid w:val="00C413BB"/>
    <w:rsid w:val="00C41768"/>
    <w:rsid w:val="00C41AD9"/>
    <w:rsid w:val="00C41BD6"/>
    <w:rsid w:val="00C4238B"/>
    <w:rsid w:val="00C42A5D"/>
    <w:rsid w:val="00C42BA3"/>
    <w:rsid w:val="00C42EFE"/>
    <w:rsid w:val="00C42F14"/>
    <w:rsid w:val="00C432DF"/>
    <w:rsid w:val="00C43823"/>
    <w:rsid w:val="00C43893"/>
    <w:rsid w:val="00C43F8F"/>
    <w:rsid w:val="00C43FBB"/>
    <w:rsid w:val="00C44356"/>
    <w:rsid w:val="00C443CF"/>
    <w:rsid w:val="00C4449B"/>
    <w:rsid w:val="00C44D7D"/>
    <w:rsid w:val="00C451AE"/>
    <w:rsid w:val="00C45716"/>
    <w:rsid w:val="00C4593D"/>
    <w:rsid w:val="00C459A1"/>
    <w:rsid w:val="00C45C9E"/>
    <w:rsid w:val="00C45D1C"/>
    <w:rsid w:val="00C462BF"/>
    <w:rsid w:val="00C46363"/>
    <w:rsid w:val="00C4646E"/>
    <w:rsid w:val="00C466F3"/>
    <w:rsid w:val="00C46703"/>
    <w:rsid w:val="00C4695C"/>
    <w:rsid w:val="00C46CC7"/>
    <w:rsid w:val="00C4709C"/>
    <w:rsid w:val="00C4742B"/>
    <w:rsid w:val="00C475AA"/>
    <w:rsid w:val="00C479D8"/>
    <w:rsid w:val="00C47A65"/>
    <w:rsid w:val="00C47F55"/>
    <w:rsid w:val="00C50EF4"/>
    <w:rsid w:val="00C5103E"/>
    <w:rsid w:val="00C51598"/>
    <w:rsid w:val="00C51951"/>
    <w:rsid w:val="00C51A62"/>
    <w:rsid w:val="00C51F33"/>
    <w:rsid w:val="00C5241B"/>
    <w:rsid w:val="00C5285A"/>
    <w:rsid w:val="00C52EDF"/>
    <w:rsid w:val="00C52FB3"/>
    <w:rsid w:val="00C533D8"/>
    <w:rsid w:val="00C53C98"/>
    <w:rsid w:val="00C5445C"/>
    <w:rsid w:val="00C54AD7"/>
    <w:rsid w:val="00C54B20"/>
    <w:rsid w:val="00C55472"/>
    <w:rsid w:val="00C554A2"/>
    <w:rsid w:val="00C554CF"/>
    <w:rsid w:val="00C55BFC"/>
    <w:rsid w:val="00C56711"/>
    <w:rsid w:val="00C56C78"/>
    <w:rsid w:val="00C56FCF"/>
    <w:rsid w:val="00C57024"/>
    <w:rsid w:val="00C57513"/>
    <w:rsid w:val="00C575EF"/>
    <w:rsid w:val="00C57679"/>
    <w:rsid w:val="00C57A93"/>
    <w:rsid w:val="00C57AEF"/>
    <w:rsid w:val="00C57B6C"/>
    <w:rsid w:val="00C57DEF"/>
    <w:rsid w:val="00C57E44"/>
    <w:rsid w:val="00C57FDE"/>
    <w:rsid w:val="00C6054A"/>
    <w:rsid w:val="00C60734"/>
    <w:rsid w:val="00C60BD2"/>
    <w:rsid w:val="00C613A0"/>
    <w:rsid w:val="00C614B3"/>
    <w:rsid w:val="00C62852"/>
    <w:rsid w:val="00C628A6"/>
    <w:rsid w:val="00C629B0"/>
    <w:rsid w:val="00C62C21"/>
    <w:rsid w:val="00C62D63"/>
    <w:rsid w:val="00C63150"/>
    <w:rsid w:val="00C6330B"/>
    <w:rsid w:val="00C640BA"/>
    <w:rsid w:val="00C64344"/>
    <w:rsid w:val="00C64776"/>
    <w:rsid w:val="00C6480F"/>
    <w:rsid w:val="00C64894"/>
    <w:rsid w:val="00C648C1"/>
    <w:rsid w:val="00C64974"/>
    <w:rsid w:val="00C64DA5"/>
    <w:rsid w:val="00C65108"/>
    <w:rsid w:val="00C65576"/>
    <w:rsid w:val="00C657B0"/>
    <w:rsid w:val="00C66153"/>
    <w:rsid w:val="00C66165"/>
    <w:rsid w:val="00C664EF"/>
    <w:rsid w:val="00C66C1F"/>
    <w:rsid w:val="00C66E5A"/>
    <w:rsid w:val="00C6709E"/>
    <w:rsid w:val="00C67434"/>
    <w:rsid w:val="00C6752F"/>
    <w:rsid w:val="00C679B9"/>
    <w:rsid w:val="00C67E85"/>
    <w:rsid w:val="00C67FBC"/>
    <w:rsid w:val="00C7060A"/>
    <w:rsid w:val="00C708EE"/>
    <w:rsid w:val="00C709F3"/>
    <w:rsid w:val="00C70CEE"/>
    <w:rsid w:val="00C7151A"/>
    <w:rsid w:val="00C7151E"/>
    <w:rsid w:val="00C717E3"/>
    <w:rsid w:val="00C71BEA"/>
    <w:rsid w:val="00C71F60"/>
    <w:rsid w:val="00C72241"/>
    <w:rsid w:val="00C722D1"/>
    <w:rsid w:val="00C72756"/>
    <w:rsid w:val="00C72BB3"/>
    <w:rsid w:val="00C72EFF"/>
    <w:rsid w:val="00C73149"/>
    <w:rsid w:val="00C7326F"/>
    <w:rsid w:val="00C73297"/>
    <w:rsid w:val="00C73662"/>
    <w:rsid w:val="00C737F9"/>
    <w:rsid w:val="00C73925"/>
    <w:rsid w:val="00C73C31"/>
    <w:rsid w:val="00C73FC9"/>
    <w:rsid w:val="00C74170"/>
    <w:rsid w:val="00C74227"/>
    <w:rsid w:val="00C743AD"/>
    <w:rsid w:val="00C74D98"/>
    <w:rsid w:val="00C750C8"/>
    <w:rsid w:val="00C7560F"/>
    <w:rsid w:val="00C757F6"/>
    <w:rsid w:val="00C75C09"/>
    <w:rsid w:val="00C75C7D"/>
    <w:rsid w:val="00C75ED7"/>
    <w:rsid w:val="00C7677E"/>
    <w:rsid w:val="00C76969"/>
    <w:rsid w:val="00C77B53"/>
    <w:rsid w:val="00C80169"/>
    <w:rsid w:val="00C80A0E"/>
    <w:rsid w:val="00C80C88"/>
    <w:rsid w:val="00C81409"/>
    <w:rsid w:val="00C81D00"/>
    <w:rsid w:val="00C8213F"/>
    <w:rsid w:val="00C82ADE"/>
    <w:rsid w:val="00C82B3B"/>
    <w:rsid w:val="00C82EBC"/>
    <w:rsid w:val="00C8352D"/>
    <w:rsid w:val="00C83AD0"/>
    <w:rsid w:val="00C84368"/>
    <w:rsid w:val="00C85154"/>
    <w:rsid w:val="00C853FF"/>
    <w:rsid w:val="00C857A7"/>
    <w:rsid w:val="00C85AFF"/>
    <w:rsid w:val="00C85BEF"/>
    <w:rsid w:val="00C85D7E"/>
    <w:rsid w:val="00C8613B"/>
    <w:rsid w:val="00C862C6"/>
    <w:rsid w:val="00C864E5"/>
    <w:rsid w:val="00C867E8"/>
    <w:rsid w:val="00C86EBC"/>
    <w:rsid w:val="00C87013"/>
    <w:rsid w:val="00C874DC"/>
    <w:rsid w:val="00C8797A"/>
    <w:rsid w:val="00C87C5B"/>
    <w:rsid w:val="00C87F06"/>
    <w:rsid w:val="00C900B8"/>
    <w:rsid w:val="00C90455"/>
    <w:rsid w:val="00C90C71"/>
    <w:rsid w:val="00C90FBC"/>
    <w:rsid w:val="00C9113E"/>
    <w:rsid w:val="00C914D5"/>
    <w:rsid w:val="00C91764"/>
    <w:rsid w:val="00C91DD8"/>
    <w:rsid w:val="00C91FD1"/>
    <w:rsid w:val="00C925CB"/>
    <w:rsid w:val="00C9291E"/>
    <w:rsid w:val="00C92A62"/>
    <w:rsid w:val="00C931CF"/>
    <w:rsid w:val="00C93828"/>
    <w:rsid w:val="00C938CF"/>
    <w:rsid w:val="00C93EB8"/>
    <w:rsid w:val="00C94053"/>
    <w:rsid w:val="00C941A7"/>
    <w:rsid w:val="00C94437"/>
    <w:rsid w:val="00C9453D"/>
    <w:rsid w:val="00C94B3B"/>
    <w:rsid w:val="00C94BFC"/>
    <w:rsid w:val="00C94C78"/>
    <w:rsid w:val="00C95198"/>
    <w:rsid w:val="00C95698"/>
    <w:rsid w:val="00C95877"/>
    <w:rsid w:val="00C9587F"/>
    <w:rsid w:val="00C958EB"/>
    <w:rsid w:val="00C95FCD"/>
    <w:rsid w:val="00C96119"/>
    <w:rsid w:val="00C9624D"/>
    <w:rsid w:val="00C969DA"/>
    <w:rsid w:val="00C96A1F"/>
    <w:rsid w:val="00C96B47"/>
    <w:rsid w:val="00C97A82"/>
    <w:rsid w:val="00C97EC5"/>
    <w:rsid w:val="00CA03D2"/>
    <w:rsid w:val="00CA06CD"/>
    <w:rsid w:val="00CA116A"/>
    <w:rsid w:val="00CA135D"/>
    <w:rsid w:val="00CA1643"/>
    <w:rsid w:val="00CA1B35"/>
    <w:rsid w:val="00CA1EDE"/>
    <w:rsid w:val="00CA253D"/>
    <w:rsid w:val="00CA2551"/>
    <w:rsid w:val="00CA2C77"/>
    <w:rsid w:val="00CA2D1D"/>
    <w:rsid w:val="00CA322D"/>
    <w:rsid w:val="00CA3DD2"/>
    <w:rsid w:val="00CA3EBD"/>
    <w:rsid w:val="00CA444F"/>
    <w:rsid w:val="00CA4931"/>
    <w:rsid w:val="00CA5245"/>
    <w:rsid w:val="00CA564F"/>
    <w:rsid w:val="00CA5B2C"/>
    <w:rsid w:val="00CA5C32"/>
    <w:rsid w:val="00CA5E68"/>
    <w:rsid w:val="00CA6074"/>
    <w:rsid w:val="00CA6D4C"/>
    <w:rsid w:val="00CA71F4"/>
    <w:rsid w:val="00CA76FE"/>
    <w:rsid w:val="00CA7B09"/>
    <w:rsid w:val="00CB0ADD"/>
    <w:rsid w:val="00CB0F16"/>
    <w:rsid w:val="00CB10D7"/>
    <w:rsid w:val="00CB12A5"/>
    <w:rsid w:val="00CB1CAC"/>
    <w:rsid w:val="00CB1D8C"/>
    <w:rsid w:val="00CB1E88"/>
    <w:rsid w:val="00CB1E9E"/>
    <w:rsid w:val="00CB1FE5"/>
    <w:rsid w:val="00CB21E2"/>
    <w:rsid w:val="00CB25D1"/>
    <w:rsid w:val="00CB2925"/>
    <w:rsid w:val="00CB2F2A"/>
    <w:rsid w:val="00CB3280"/>
    <w:rsid w:val="00CB387C"/>
    <w:rsid w:val="00CB3A3C"/>
    <w:rsid w:val="00CB3D84"/>
    <w:rsid w:val="00CB3E46"/>
    <w:rsid w:val="00CB44A6"/>
    <w:rsid w:val="00CB48CE"/>
    <w:rsid w:val="00CB4CB5"/>
    <w:rsid w:val="00CB4D7B"/>
    <w:rsid w:val="00CB4E8F"/>
    <w:rsid w:val="00CB4F50"/>
    <w:rsid w:val="00CB5157"/>
    <w:rsid w:val="00CB5694"/>
    <w:rsid w:val="00CB5B1A"/>
    <w:rsid w:val="00CB6235"/>
    <w:rsid w:val="00CB66FD"/>
    <w:rsid w:val="00CB6761"/>
    <w:rsid w:val="00CB6994"/>
    <w:rsid w:val="00CB6B22"/>
    <w:rsid w:val="00CB6ED1"/>
    <w:rsid w:val="00CB7288"/>
    <w:rsid w:val="00CB797A"/>
    <w:rsid w:val="00CB7D2C"/>
    <w:rsid w:val="00CB7F5F"/>
    <w:rsid w:val="00CC0069"/>
    <w:rsid w:val="00CC01D8"/>
    <w:rsid w:val="00CC041F"/>
    <w:rsid w:val="00CC07F4"/>
    <w:rsid w:val="00CC099F"/>
    <w:rsid w:val="00CC0A16"/>
    <w:rsid w:val="00CC0C27"/>
    <w:rsid w:val="00CC14C8"/>
    <w:rsid w:val="00CC1AE3"/>
    <w:rsid w:val="00CC1B39"/>
    <w:rsid w:val="00CC1DB5"/>
    <w:rsid w:val="00CC240E"/>
    <w:rsid w:val="00CC24A9"/>
    <w:rsid w:val="00CC2519"/>
    <w:rsid w:val="00CC2CC3"/>
    <w:rsid w:val="00CC2CF8"/>
    <w:rsid w:val="00CC2DED"/>
    <w:rsid w:val="00CC2E05"/>
    <w:rsid w:val="00CC35EA"/>
    <w:rsid w:val="00CC3848"/>
    <w:rsid w:val="00CC3BE6"/>
    <w:rsid w:val="00CC3D62"/>
    <w:rsid w:val="00CC3E85"/>
    <w:rsid w:val="00CC46C6"/>
    <w:rsid w:val="00CC569B"/>
    <w:rsid w:val="00CC5844"/>
    <w:rsid w:val="00CC5CB6"/>
    <w:rsid w:val="00CC64C4"/>
    <w:rsid w:val="00CC6685"/>
    <w:rsid w:val="00CC6E09"/>
    <w:rsid w:val="00CC73EB"/>
    <w:rsid w:val="00CC780D"/>
    <w:rsid w:val="00CC7A9D"/>
    <w:rsid w:val="00CC7CCE"/>
    <w:rsid w:val="00CC7FAB"/>
    <w:rsid w:val="00CD0990"/>
    <w:rsid w:val="00CD0B24"/>
    <w:rsid w:val="00CD1680"/>
    <w:rsid w:val="00CD266B"/>
    <w:rsid w:val="00CD28E1"/>
    <w:rsid w:val="00CD2D0D"/>
    <w:rsid w:val="00CD32F8"/>
    <w:rsid w:val="00CD3301"/>
    <w:rsid w:val="00CD33B8"/>
    <w:rsid w:val="00CD35D7"/>
    <w:rsid w:val="00CD3F77"/>
    <w:rsid w:val="00CD4917"/>
    <w:rsid w:val="00CD4CA6"/>
    <w:rsid w:val="00CD520E"/>
    <w:rsid w:val="00CD5A60"/>
    <w:rsid w:val="00CD5C24"/>
    <w:rsid w:val="00CD5C93"/>
    <w:rsid w:val="00CD669F"/>
    <w:rsid w:val="00CD6892"/>
    <w:rsid w:val="00CD6ADC"/>
    <w:rsid w:val="00CD6CB2"/>
    <w:rsid w:val="00CD7193"/>
    <w:rsid w:val="00CD7227"/>
    <w:rsid w:val="00CD7245"/>
    <w:rsid w:val="00CD7D55"/>
    <w:rsid w:val="00CE04A2"/>
    <w:rsid w:val="00CE0A6D"/>
    <w:rsid w:val="00CE12D5"/>
    <w:rsid w:val="00CE1995"/>
    <w:rsid w:val="00CE20C3"/>
    <w:rsid w:val="00CE21BF"/>
    <w:rsid w:val="00CE2210"/>
    <w:rsid w:val="00CE2D1C"/>
    <w:rsid w:val="00CE2DE9"/>
    <w:rsid w:val="00CE32BE"/>
    <w:rsid w:val="00CE348D"/>
    <w:rsid w:val="00CE34E3"/>
    <w:rsid w:val="00CE34F0"/>
    <w:rsid w:val="00CE3723"/>
    <w:rsid w:val="00CE37A5"/>
    <w:rsid w:val="00CE38C8"/>
    <w:rsid w:val="00CE3934"/>
    <w:rsid w:val="00CE3B4D"/>
    <w:rsid w:val="00CE3EAE"/>
    <w:rsid w:val="00CE42FE"/>
    <w:rsid w:val="00CE45C0"/>
    <w:rsid w:val="00CE4836"/>
    <w:rsid w:val="00CE4920"/>
    <w:rsid w:val="00CE514A"/>
    <w:rsid w:val="00CE5652"/>
    <w:rsid w:val="00CE56BE"/>
    <w:rsid w:val="00CE57C5"/>
    <w:rsid w:val="00CE594F"/>
    <w:rsid w:val="00CE60AB"/>
    <w:rsid w:val="00CE6274"/>
    <w:rsid w:val="00CE69D3"/>
    <w:rsid w:val="00CE6D65"/>
    <w:rsid w:val="00CE70E5"/>
    <w:rsid w:val="00CE72E8"/>
    <w:rsid w:val="00CE764B"/>
    <w:rsid w:val="00CE77B6"/>
    <w:rsid w:val="00CF0738"/>
    <w:rsid w:val="00CF07C1"/>
    <w:rsid w:val="00CF0C20"/>
    <w:rsid w:val="00CF0D29"/>
    <w:rsid w:val="00CF0DEE"/>
    <w:rsid w:val="00CF0F63"/>
    <w:rsid w:val="00CF11C3"/>
    <w:rsid w:val="00CF14B3"/>
    <w:rsid w:val="00CF163F"/>
    <w:rsid w:val="00CF1853"/>
    <w:rsid w:val="00CF1956"/>
    <w:rsid w:val="00CF1A82"/>
    <w:rsid w:val="00CF1B26"/>
    <w:rsid w:val="00CF2275"/>
    <w:rsid w:val="00CF2B8D"/>
    <w:rsid w:val="00CF30ED"/>
    <w:rsid w:val="00CF31A9"/>
    <w:rsid w:val="00CF3407"/>
    <w:rsid w:val="00CF3578"/>
    <w:rsid w:val="00CF3A33"/>
    <w:rsid w:val="00CF3D49"/>
    <w:rsid w:val="00CF40F2"/>
    <w:rsid w:val="00CF4357"/>
    <w:rsid w:val="00CF436A"/>
    <w:rsid w:val="00CF456B"/>
    <w:rsid w:val="00CF4922"/>
    <w:rsid w:val="00CF4C69"/>
    <w:rsid w:val="00CF4DC1"/>
    <w:rsid w:val="00CF5A22"/>
    <w:rsid w:val="00CF5EB5"/>
    <w:rsid w:val="00CF60A0"/>
    <w:rsid w:val="00CF65C5"/>
    <w:rsid w:val="00CF68BE"/>
    <w:rsid w:val="00CF6950"/>
    <w:rsid w:val="00CF6A48"/>
    <w:rsid w:val="00CF6C36"/>
    <w:rsid w:val="00CF6CDB"/>
    <w:rsid w:val="00CF6EE0"/>
    <w:rsid w:val="00CF7274"/>
    <w:rsid w:val="00D001CE"/>
    <w:rsid w:val="00D005B0"/>
    <w:rsid w:val="00D0067C"/>
    <w:rsid w:val="00D00BEA"/>
    <w:rsid w:val="00D00C2B"/>
    <w:rsid w:val="00D01F0F"/>
    <w:rsid w:val="00D0262E"/>
    <w:rsid w:val="00D0273C"/>
    <w:rsid w:val="00D027E6"/>
    <w:rsid w:val="00D02B4F"/>
    <w:rsid w:val="00D02BB9"/>
    <w:rsid w:val="00D02DE9"/>
    <w:rsid w:val="00D0307B"/>
    <w:rsid w:val="00D030CF"/>
    <w:rsid w:val="00D0350D"/>
    <w:rsid w:val="00D03979"/>
    <w:rsid w:val="00D03F76"/>
    <w:rsid w:val="00D046A0"/>
    <w:rsid w:val="00D04D95"/>
    <w:rsid w:val="00D05548"/>
    <w:rsid w:val="00D05552"/>
    <w:rsid w:val="00D05BFA"/>
    <w:rsid w:val="00D05E3D"/>
    <w:rsid w:val="00D06139"/>
    <w:rsid w:val="00D063DE"/>
    <w:rsid w:val="00D066B2"/>
    <w:rsid w:val="00D06E7C"/>
    <w:rsid w:val="00D06F6B"/>
    <w:rsid w:val="00D0715B"/>
    <w:rsid w:val="00D07221"/>
    <w:rsid w:val="00D07858"/>
    <w:rsid w:val="00D10090"/>
    <w:rsid w:val="00D105AA"/>
    <w:rsid w:val="00D110BD"/>
    <w:rsid w:val="00D111A7"/>
    <w:rsid w:val="00D1176D"/>
    <w:rsid w:val="00D11798"/>
    <w:rsid w:val="00D1186C"/>
    <w:rsid w:val="00D118FA"/>
    <w:rsid w:val="00D11A75"/>
    <w:rsid w:val="00D11EA9"/>
    <w:rsid w:val="00D12509"/>
    <w:rsid w:val="00D12E69"/>
    <w:rsid w:val="00D13675"/>
    <w:rsid w:val="00D1389A"/>
    <w:rsid w:val="00D138F8"/>
    <w:rsid w:val="00D13DFB"/>
    <w:rsid w:val="00D13FBE"/>
    <w:rsid w:val="00D141E1"/>
    <w:rsid w:val="00D14B77"/>
    <w:rsid w:val="00D14DF9"/>
    <w:rsid w:val="00D14F14"/>
    <w:rsid w:val="00D15314"/>
    <w:rsid w:val="00D160F0"/>
    <w:rsid w:val="00D16C06"/>
    <w:rsid w:val="00D17AD6"/>
    <w:rsid w:val="00D17D6C"/>
    <w:rsid w:val="00D17FAD"/>
    <w:rsid w:val="00D2085A"/>
    <w:rsid w:val="00D20B44"/>
    <w:rsid w:val="00D20F76"/>
    <w:rsid w:val="00D21180"/>
    <w:rsid w:val="00D2155B"/>
    <w:rsid w:val="00D21C36"/>
    <w:rsid w:val="00D2209F"/>
    <w:rsid w:val="00D23789"/>
    <w:rsid w:val="00D239C7"/>
    <w:rsid w:val="00D23A0B"/>
    <w:rsid w:val="00D23D11"/>
    <w:rsid w:val="00D24228"/>
    <w:rsid w:val="00D244B6"/>
    <w:rsid w:val="00D2484A"/>
    <w:rsid w:val="00D252AA"/>
    <w:rsid w:val="00D2595D"/>
    <w:rsid w:val="00D26676"/>
    <w:rsid w:val="00D26972"/>
    <w:rsid w:val="00D270B0"/>
    <w:rsid w:val="00D27427"/>
    <w:rsid w:val="00D2754D"/>
    <w:rsid w:val="00D275B1"/>
    <w:rsid w:val="00D27B27"/>
    <w:rsid w:val="00D304F9"/>
    <w:rsid w:val="00D30682"/>
    <w:rsid w:val="00D30D14"/>
    <w:rsid w:val="00D3227A"/>
    <w:rsid w:val="00D3238B"/>
    <w:rsid w:val="00D325D1"/>
    <w:rsid w:val="00D32881"/>
    <w:rsid w:val="00D32B02"/>
    <w:rsid w:val="00D32E2F"/>
    <w:rsid w:val="00D32F06"/>
    <w:rsid w:val="00D330B0"/>
    <w:rsid w:val="00D330F0"/>
    <w:rsid w:val="00D332E9"/>
    <w:rsid w:val="00D33616"/>
    <w:rsid w:val="00D33719"/>
    <w:rsid w:val="00D33BE9"/>
    <w:rsid w:val="00D33F6F"/>
    <w:rsid w:val="00D33F93"/>
    <w:rsid w:val="00D34704"/>
    <w:rsid w:val="00D357FF"/>
    <w:rsid w:val="00D36D83"/>
    <w:rsid w:val="00D37060"/>
    <w:rsid w:val="00D37076"/>
    <w:rsid w:val="00D3751A"/>
    <w:rsid w:val="00D3794B"/>
    <w:rsid w:val="00D37EB3"/>
    <w:rsid w:val="00D403DA"/>
    <w:rsid w:val="00D40537"/>
    <w:rsid w:val="00D40925"/>
    <w:rsid w:val="00D40D5E"/>
    <w:rsid w:val="00D41234"/>
    <w:rsid w:val="00D41CBD"/>
    <w:rsid w:val="00D424C7"/>
    <w:rsid w:val="00D425B5"/>
    <w:rsid w:val="00D428F0"/>
    <w:rsid w:val="00D42F61"/>
    <w:rsid w:val="00D43655"/>
    <w:rsid w:val="00D43B2A"/>
    <w:rsid w:val="00D43D83"/>
    <w:rsid w:val="00D43E67"/>
    <w:rsid w:val="00D4421A"/>
    <w:rsid w:val="00D448A0"/>
    <w:rsid w:val="00D45642"/>
    <w:rsid w:val="00D456D1"/>
    <w:rsid w:val="00D4713F"/>
    <w:rsid w:val="00D4730E"/>
    <w:rsid w:val="00D47575"/>
    <w:rsid w:val="00D47F73"/>
    <w:rsid w:val="00D50534"/>
    <w:rsid w:val="00D505F9"/>
    <w:rsid w:val="00D506FE"/>
    <w:rsid w:val="00D50919"/>
    <w:rsid w:val="00D50E44"/>
    <w:rsid w:val="00D515AE"/>
    <w:rsid w:val="00D51740"/>
    <w:rsid w:val="00D5192B"/>
    <w:rsid w:val="00D51B84"/>
    <w:rsid w:val="00D51CC5"/>
    <w:rsid w:val="00D51DDB"/>
    <w:rsid w:val="00D52042"/>
    <w:rsid w:val="00D5243B"/>
    <w:rsid w:val="00D52A8A"/>
    <w:rsid w:val="00D52ABD"/>
    <w:rsid w:val="00D533EC"/>
    <w:rsid w:val="00D53594"/>
    <w:rsid w:val="00D53821"/>
    <w:rsid w:val="00D5397D"/>
    <w:rsid w:val="00D53993"/>
    <w:rsid w:val="00D53E6B"/>
    <w:rsid w:val="00D54A51"/>
    <w:rsid w:val="00D54EFC"/>
    <w:rsid w:val="00D551F3"/>
    <w:rsid w:val="00D55738"/>
    <w:rsid w:val="00D55F62"/>
    <w:rsid w:val="00D56512"/>
    <w:rsid w:val="00D56598"/>
    <w:rsid w:val="00D56685"/>
    <w:rsid w:val="00D56A95"/>
    <w:rsid w:val="00D57CB8"/>
    <w:rsid w:val="00D6056C"/>
    <w:rsid w:val="00D61328"/>
    <w:rsid w:val="00D6133E"/>
    <w:rsid w:val="00D619B5"/>
    <w:rsid w:val="00D61A2D"/>
    <w:rsid w:val="00D61E59"/>
    <w:rsid w:val="00D622EA"/>
    <w:rsid w:val="00D62D91"/>
    <w:rsid w:val="00D632CC"/>
    <w:rsid w:val="00D637EE"/>
    <w:rsid w:val="00D64615"/>
    <w:rsid w:val="00D648C3"/>
    <w:rsid w:val="00D653E4"/>
    <w:rsid w:val="00D65621"/>
    <w:rsid w:val="00D658F4"/>
    <w:rsid w:val="00D65A7A"/>
    <w:rsid w:val="00D660D8"/>
    <w:rsid w:val="00D661CC"/>
    <w:rsid w:val="00D66315"/>
    <w:rsid w:val="00D66A41"/>
    <w:rsid w:val="00D66E52"/>
    <w:rsid w:val="00D66F65"/>
    <w:rsid w:val="00D66FE6"/>
    <w:rsid w:val="00D674D3"/>
    <w:rsid w:val="00D676BF"/>
    <w:rsid w:val="00D67FB6"/>
    <w:rsid w:val="00D70675"/>
    <w:rsid w:val="00D708DB"/>
    <w:rsid w:val="00D70F16"/>
    <w:rsid w:val="00D71377"/>
    <w:rsid w:val="00D7169A"/>
    <w:rsid w:val="00D71700"/>
    <w:rsid w:val="00D71B77"/>
    <w:rsid w:val="00D71D09"/>
    <w:rsid w:val="00D71E66"/>
    <w:rsid w:val="00D72F57"/>
    <w:rsid w:val="00D732DD"/>
    <w:rsid w:val="00D73663"/>
    <w:rsid w:val="00D738DF"/>
    <w:rsid w:val="00D739AF"/>
    <w:rsid w:val="00D73BF8"/>
    <w:rsid w:val="00D73C61"/>
    <w:rsid w:val="00D73D97"/>
    <w:rsid w:val="00D742F4"/>
    <w:rsid w:val="00D74E8F"/>
    <w:rsid w:val="00D75156"/>
    <w:rsid w:val="00D7542D"/>
    <w:rsid w:val="00D755CC"/>
    <w:rsid w:val="00D756B7"/>
    <w:rsid w:val="00D757D5"/>
    <w:rsid w:val="00D75B95"/>
    <w:rsid w:val="00D76025"/>
    <w:rsid w:val="00D76987"/>
    <w:rsid w:val="00D76A44"/>
    <w:rsid w:val="00D76F00"/>
    <w:rsid w:val="00D76F84"/>
    <w:rsid w:val="00D7779D"/>
    <w:rsid w:val="00D777A5"/>
    <w:rsid w:val="00D77957"/>
    <w:rsid w:val="00D77B22"/>
    <w:rsid w:val="00D80072"/>
    <w:rsid w:val="00D80224"/>
    <w:rsid w:val="00D8055E"/>
    <w:rsid w:val="00D807BE"/>
    <w:rsid w:val="00D80854"/>
    <w:rsid w:val="00D80C76"/>
    <w:rsid w:val="00D815EF"/>
    <w:rsid w:val="00D81B43"/>
    <w:rsid w:val="00D81EA8"/>
    <w:rsid w:val="00D81F26"/>
    <w:rsid w:val="00D8227E"/>
    <w:rsid w:val="00D825B2"/>
    <w:rsid w:val="00D828A5"/>
    <w:rsid w:val="00D83170"/>
    <w:rsid w:val="00D83657"/>
    <w:rsid w:val="00D83E8B"/>
    <w:rsid w:val="00D8417D"/>
    <w:rsid w:val="00D846BE"/>
    <w:rsid w:val="00D84DF1"/>
    <w:rsid w:val="00D84E51"/>
    <w:rsid w:val="00D850D5"/>
    <w:rsid w:val="00D855A5"/>
    <w:rsid w:val="00D859E7"/>
    <w:rsid w:val="00D85A3C"/>
    <w:rsid w:val="00D85A5B"/>
    <w:rsid w:val="00D85AFC"/>
    <w:rsid w:val="00D85C04"/>
    <w:rsid w:val="00D85CBD"/>
    <w:rsid w:val="00D85CC2"/>
    <w:rsid w:val="00D86231"/>
    <w:rsid w:val="00D86497"/>
    <w:rsid w:val="00D8731F"/>
    <w:rsid w:val="00D876ED"/>
    <w:rsid w:val="00D87BB8"/>
    <w:rsid w:val="00D9060D"/>
    <w:rsid w:val="00D90789"/>
    <w:rsid w:val="00D90D13"/>
    <w:rsid w:val="00D90DC5"/>
    <w:rsid w:val="00D91262"/>
    <w:rsid w:val="00D915FC"/>
    <w:rsid w:val="00D91923"/>
    <w:rsid w:val="00D91DCB"/>
    <w:rsid w:val="00D925AD"/>
    <w:rsid w:val="00D92939"/>
    <w:rsid w:val="00D92A1E"/>
    <w:rsid w:val="00D92F4C"/>
    <w:rsid w:val="00D932E5"/>
    <w:rsid w:val="00D933CD"/>
    <w:rsid w:val="00D93603"/>
    <w:rsid w:val="00D93753"/>
    <w:rsid w:val="00D938A1"/>
    <w:rsid w:val="00D938B0"/>
    <w:rsid w:val="00D93AE3"/>
    <w:rsid w:val="00D94190"/>
    <w:rsid w:val="00D94607"/>
    <w:rsid w:val="00D952C9"/>
    <w:rsid w:val="00D955A3"/>
    <w:rsid w:val="00D9564B"/>
    <w:rsid w:val="00D95CD7"/>
    <w:rsid w:val="00D96586"/>
    <w:rsid w:val="00D967C1"/>
    <w:rsid w:val="00D968F7"/>
    <w:rsid w:val="00D96A2E"/>
    <w:rsid w:val="00D9779D"/>
    <w:rsid w:val="00DA02E0"/>
    <w:rsid w:val="00DA03DE"/>
    <w:rsid w:val="00DA0572"/>
    <w:rsid w:val="00DA08BB"/>
    <w:rsid w:val="00DA0B4F"/>
    <w:rsid w:val="00DA1052"/>
    <w:rsid w:val="00DA2609"/>
    <w:rsid w:val="00DA29EE"/>
    <w:rsid w:val="00DA2A4C"/>
    <w:rsid w:val="00DA2DF3"/>
    <w:rsid w:val="00DA300E"/>
    <w:rsid w:val="00DA3167"/>
    <w:rsid w:val="00DA368E"/>
    <w:rsid w:val="00DA3C71"/>
    <w:rsid w:val="00DA4223"/>
    <w:rsid w:val="00DA468F"/>
    <w:rsid w:val="00DA4D39"/>
    <w:rsid w:val="00DA4D50"/>
    <w:rsid w:val="00DA4DC3"/>
    <w:rsid w:val="00DA4E48"/>
    <w:rsid w:val="00DA5449"/>
    <w:rsid w:val="00DA5A0E"/>
    <w:rsid w:val="00DA6492"/>
    <w:rsid w:val="00DA6897"/>
    <w:rsid w:val="00DA6F67"/>
    <w:rsid w:val="00DA7038"/>
    <w:rsid w:val="00DA72A0"/>
    <w:rsid w:val="00DA77A5"/>
    <w:rsid w:val="00DA7C2F"/>
    <w:rsid w:val="00DB0063"/>
    <w:rsid w:val="00DB0142"/>
    <w:rsid w:val="00DB0B0E"/>
    <w:rsid w:val="00DB0E00"/>
    <w:rsid w:val="00DB1293"/>
    <w:rsid w:val="00DB13DB"/>
    <w:rsid w:val="00DB1450"/>
    <w:rsid w:val="00DB1463"/>
    <w:rsid w:val="00DB1583"/>
    <w:rsid w:val="00DB1790"/>
    <w:rsid w:val="00DB1FCD"/>
    <w:rsid w:val="00DB258E"/>
    <w:rsid w:val="00DB3741"/>
    <w:rsid w:val="00DB3A8D"/>
    <w:rsid w:val="00DB3B71"/>
    <w:rsid w:val="00DB3DBF"/>
    <w:rsid w:val="00DB3F94"/>
    <w:rsid w:val="00DB484F"/>
    <w:rsid w:val="00DB4CD9"/>
    <w:rsid w:val="00DB54C6"/>
    <w:rsid w:val="00DB5901"/>
    <w:rsid w:val="00DB5934"/>
    <w:rsid w:val="00DB5AEC"/>
    <w:rsid w:val="00DB5D10"/>
    <w:rsid w:val="00DB6A3B"/>
    <w:rsid w:val="00DB6C2C"/>
    <w:rsid w:val="00DB7B61"/>
    <w:rsid w:val="00DB7FE7"/>
    <w:rsid w:val="00DC0230"/>
    <w:rsid w:val="00DC04F6"/>
    <w:rsid w:val="00DC0690"/>
    <w:rsid w:val="00DC07C0"/>
    <w:rsid w:val="00DC0952"/>
    <w:rsid w:val="00DC0A56"/>
    <w:rsid w:val="00DC17D3"/>
    <w:rsid w:val="00DC1D65"/>
    <w:rsid w:val="00DC2224"/>
    <w:rsid w:val="00DC2745"/>
    <w:rsid w:val="00DC280F"/>
    <w:rsid w:val="00DC2BB0"/>
    <w:rsid w:val="00DC2CE1"/>
    <w:rsid w:val="00DC2E73"/>
    <w:rsid w:val="00DC30C2"/>
    <w:rsid w:val="00DC3247"/>
    <w:rsid w:val="00DC3752"/>
    <w:rsid w:val="00DC378A"/>
    <w:rsid w:val="00DC3C57"/>
    <w:rsid w:val="00DC3F6C"/>
    <w:rsid w:val="00DC3F98"/>
    <w:rsid w:val="00DC4268"/>
    <w:rsid w:val="00DC4369"/>
    <w:rsid w:val="00DC4F30"/>
    <w:rsid w:val="00DC5152"/>
    <w:rsid w:val="00DC5501"/>
    <w:rsid w:val="00DC5743"/>
    <w:rsid w:val="00DC576D"/>
    <w:rsid w:val="00DC5F95"/>
    <w:rsid w:val="00DC641F"/>
    <w:rsid w:val="00DC7154"/>
    <w:rsid w:val="00DC7E8A"/>
    <w:rsid w:val="00DD0F78"/>
    <w:rsid w:val="00DD1407"/>
    <w:rsid w:val="00DD1443"/>
    <w:rsid w:val="00DD1638"/>
    <w:rsid w:val="00DD202E"/>
    <w:rsid w:val="00DD218E"/>
    <w:rsid w:val="00DD2425"/>
    <w:rsid w:val="00DD251E"/>
    <w:rsid w:val="00DD273C"/>
    <w:rsid w:val="00DD2D5B"/>
    <w:rsid w:val="00DD2E01"/>
    <w:rsid w:val="00DD310E"/>
    <w:rsid w:val="00DD3428"/>
    <w:rsid w:val="00DD3790"/>
    <w:rsid w:val="00DD37D7"/>
    <w:rsid w:val="00DD3BAD"/>
    <w:rsid w:val="00DD3DF8"/>
    <w:rsid w:val="00DD3F28"/>
    <w:rsid w:val="00DD4242"/>
    <w:rsid w:val="00DD4537"/>
    <w:rsid w:val="00DD4D5A"/>
    <w:rsid w:val="00DD4E15"/>
    <w:rsid w:val="00DD4F9D"/>
    <w:rsid w:val="00DD5B23"/>
    <w:rsid w:val="00DD5B2C"/>
    <w:rsid w:val="00DD5B72"/>
    <w:rsid w:val="00DD5E26"/>
    <w:rsid w:val="00DD5F4F"/>
    <w:rsid w:val="00DD6C88"/>
    <w:rsid w:val="00DD6DAF"/>
    <w:rsid w:val="00DD72BF"/>
    <w:rsid w:val="00DD756F"/>
    <w:rsid w:val="00DE08D7"/>
    <w:rsid w:val="00DE0A11"/>
    <w:rsid w:val="00DE0BEE"/>
    <w:rsid w:val="00DE0C0D"/>
    <w:rsid w:val="00DE1240"/>
    <w:rsid w:val="00DE136F"/>
    <w:rsid w:val="00DE184F"/>
    <w:rsid w:val="00DE22DC"/>
    <w:rsid w:val="00DE2304"/>
    <w:rsid w:val="00DE297D"/>
    <w:rsid w:val="00DE3138"/>
    <w:rsid w:val="00DE37F8"/>
    <w:rsid w:val="00DE3B1E"/>
    <w:rsid w:val="00DE4331"/>
    <w:rsid w:val="00DE447E"/>
    <w:rsid w:val="00DE45E5"/>
    <w:rsid w:val="00DE473E"/>
    <w:rsid w:val="00DE48AC"/>
    <w:rsid w:val="00DE4979"/>
    <w:rsid w:val="00DE4FCB"/>
    <w:rsid w:val="00DE5495"/>
    <w:rsid w:val="00DE5D07"/>
    <w:rsid w:val="00DE613C"/>
    <w:rsid w:val="00DE6B19"/>
    <w:rsid w:val="00DE6E87"/>
    <w:rsid w:val="00DE709B"/>
    <w:rsid w:val="00DE72A7"/>
    <w:rsid w:val="00DE76A7"/>
    <w:rsid w:val="00DE7832"/>
    <w:rsid w:val="00DE7ABB"/>
    <w:rsid w:val="00DE7DC6"/>
    <w:rsid w:val="00DE7F79"/>
    <w:rsid w:val="00DF0113"/>
    <w:rsid w:val="00DF02D6"/>
    <w:rsid w:val="00DF0483"/>
    <w:rsid w:val="00DF0A42"/>
    <w:rsid w:val="00DF0C88"/>
    <w:rsid w:val="00DF11F9"/>
    <w:rsid w:val="00DF12E5"/>
    <w:rsid w:val="00DF14C7"/>
    <w:rsid w:val="00DF16D7"/>
    <w:rsid w:val="00DF1710"/>
    <w:rsid w:val="00DF18FC"/>
    <w:rsid w:val="00DF1A06"/>
    <w:rsid w:val="00DF2539"/>
    <w:rsid w:val="00DF30CF"/>
    <w:rsid w:val="00DF3A1A"/>
    <w:rsid w:val="00DF3A58"/>
    <w:rsid w:val="00DF3D41"/>
    <w:rsid w:val="00DF4437"/>
    <w:rsid w:val="00DF4471"/>
    <w:rsid w:val="00DF4687"/>
    <w:rsid w:val="00DF46A5"/>
    <w:rsid w:val="00DF50A2"/>
    <w:rsid w:val="00DF5D2B"/>
    <w:rsid w:val="00DF6762"/>
    <w:rsid w:val="00DF6920"/>
    <w:rsid w:val="00DF6B55"/>
    <w:rsid w:val="00DF6B5C"/>
    <w:rsid w:val="00DF7AA8"/>
    <w:rsid w:val="00DF7BE1"/>
    <w:rsid w:val="00E00E8E"/>
    <w:rsid w:val="00E011B5"/>
    <w:rsid w:val="00E01BAB"/>
    <w:rsid w:val="00E01C49"/>
    <w:rsid w:val="00E01CCC"/>
    <w:rsid w:val="00E01D13"/>
    <w:rsid w:val="00E029D3"/>
    <w:rsid w:val="00E02B18"/>
    <w:rsid w:val="00E03076"/>
    <w:rsid w:val="00E03C6A"/>
    <w:rsid w:val="00E04026"/>
    <w:rsid w:val="00E040F6"/>
    <w:rsid w:val="00E041C6"/>
    <w:rsid w:val="00E042B3"/>
    <w:rsid w:val="00E04C37"/>
    <w:rsid w:val="00E04C8E"/>
    <w:rsid w:val="00E05630"/>
    <w:rsid w:val="00E0615F"/>
    <w:rsid w:val="00E063A3"/>
    <w:rsid w:val="00E06D05"/>
    <w:rsid w:val="00E06DBB"/>
    <w:rsid w:val="00E07356"/>
    <w:rsid w:val="00E07598"/>
    <w:rsid w:val="00E07610"/>
    <w:rsid w:val="00E07BC4"/>
    <w:rsid w:val="00E07ED4"/>
    <w:rsid w:val="00E10149"/>
    <w:rsid w:val="00E1017E"/>
    <w:rsid w:val="00E107D4"/>
    <w:rsid w:val="00E108A6"/>
    <w:rsid w:val="00E10A2C"/>
    <w:rsid w:val="00E10E11"/>
    <w:rsid w:val="00E11340"/>
    <w:rsid w:val="00E11430"/>
    <w:rsid w:val="00E114A7"/>
    <w:rsid w:val="00E116AE"/>
    <w:rsid w:val="00E11797"/>
    <w:rsid w:val="00E11B7D"/>
    <w:rsid w:val="00E12036"/>
    <w:rsid w:val="00E122A1"/>
    <w:rsid w:val="00E12B0B"/>
    <w:rsid w:val="00E12BF5"/>
    <w:rsid w:val="00E12BFE"/>
    <w:rsid w:val="00E13438"/>
    <w:rsid w:val="00E138FD"/>
    <w:rsid w:val="00E13936"/>
    <w:rsid w:val="00E1400C"/>
    <w:rsid w:val="00E14BAC"/>
    <w:rsid w:val="00E1553A"/>
    <w:rsid w:val="00E15816"/>
    <w:rsid w:val="00E16372"/>
    <w:rsid w:val="00E16A34"/>
    <w:rsid w:val="00E16B56"/>
    <w:rsid w:val="00E16E47"/>
    <w:rsid w:val="00E170A1"/>
    <w:rsid w:val="00E17737"/>
    <w:rsid w:val="00E17B7F"/>
    <w:rsid w:val="00E20004"/>
    <w:rsid w:val="00E20646"/>
    <w:rsid w:val="00E20E4D"/>
    <w:rsid w:val="00E20ED6"/>
    <w:rsid w:val="00E21066"/>
    <w:rsid w:val="00E2122C"/>
    <w:rsid w:val="00E21358"/>
    <w:rsid w:val="00E215C6"/>
    <w:rsid w:val="00E21881"/>
    <w:rsid w:val="00E21E36"/>
    <w:rsid w:val="00E223C3"/>
    <w:rsid w:val="00E2249B"/>
    <w:rsid w:val="00E22854"/>
    <w:rsid w:val="00E22A0D"/>
    <w:rsid w:val="00E22C2E"/>
    <w:rsid w:val="00E23206"/>
    <w:rsid w:val="00E2327C"/>
    <w:rsid w:val="00E23A19"/>
    <w:rsid w:val="00E23B9C"/>
    <w:rsid w:val="00E23E7E"/>
    <w:rsid w:val="00E244AC"/>
    <w:rsid w:val="00E244B4"/>
    <w:rsid w:val="00E244F6"/>
    <w:rsid w:val="00E245BA"/>
    <w:rsid w:val="00E2497D"/>
    <w:rsid w:val="00E24D5E"/>
    <w:rsid w:val="00E25095"/>
    <w:rsid w:val="00E25186"/>
    <w:rsid w:val="00E25332"/>
    <w:rsid w:val="00E2560D"/>
    <w:rsid w:val="00E25922"/>
    <w:rsid w:val="00E2597F"/>
    <w:rsid w:val="00E25E27"/>
    <w:rsid w:val="00E2641D"/>
    <w:rsid w:val="00E2644E"/>
    <w:rsid w:val="00E26E61"/>
    <w:rsid w:val="00E2708E"/>
    <w:rsid w:val="00E271A4"/>
    <w:rsid w:val="00E2746F"/>
    <w:rsid w:val="00E2754F"/>
    <w:rsid w:val="00E275FB"/>
    <w:rsid w:val="00E27650"/>
    <w:rsid w:val="00E2771E"/>
    <w:rsid w:val="00E279FC"/>
    <w:rsid w:val="00E30ED8"/>
    <w:rsid w:val="00E30F9F"/>
    <w:rsid w:val="00E3112E"/>
    <w:rsid w:val="00E311EF"/>
    <w:rsid w:val="00E316C2"/>
    <w:rsid w:val="00E31A5C"/>
    <w:rsid w:val="00E31DB7"/>
    <w:rsid w:val="00E32180"/>
    <w:rsid w:val="00E3223A"/>
    <w:rsid w:val="00E323A9"/>
    <w:rsid w:val="00E32698"/>
    <w:rsid w:val="00E32C10"/>
    <w:rsid w:val="00E32CD3"/>
    <w:rsid w:val="00E33DAC"/>
    <w:rsid w:val="00E33EBC"/>
    <w:rsid w:val="00E340D4"/>
    <w:rsid w:val="00E3460F"/>
    <w:rsid w:val="00E34948"/>
    <w:rsid w:val="00E34B4C"/>
    <w:rsid w:val="00E34C96"/>
    <w:rsid w:val="00E34CA4"/>
    <w:rsid w:val="00E34E63"/>
    <w:rsid w:val="00E34F77"/>
    <w:rsid w:val="00E352DD"/>
    <w:rsid w:val="00E354FD"/>
    <w:rsid w:val="00E35863"/>
    <w:rsid w:val="00E35DB2"/>
    <w:rsid w:val="00E3638E"/>
    <w:rsid w:val="00E364FF"/>
    <w:rsid w:val="00E37569"/>
    <w:rsid w:val="00E37D67"/>
    <w:rsid w:val="00E37E33"/>
    <w:rsid w:val="00E400C2"/>
    <w:rsid w:val="00E4018B"/>
    <w:rsid w:val="00E401B2"/>
    <w:rsid w:val="00E409DD"/>
    <w:rsid w:val="00E410BD"/>
    <w:rsid w:val="00E4110D"/>
    <w:rsid w:val="00E41A26"/>
    <w:rsid w:val="00E41E30"/>
    <w:rsid w:val="00E41E9D"/>
    <w:rsid w:val="00E41F2D"/>
    <w:rsid w:val="00E4255C"/>
    <w:rsid w:val="00E42619"/>
    <w:rsid w:val="00E42AB1"/>
    <w:rsid w:val="00E42BDB"/>
    <w:rsid w:val="00E42C75"/>
    <w:rsid w:val="00E42F73"/>
    <w:rsid w:val="00E43BFC"/>
    <w:rsid w:val="00E43C56"/>
    <w:rsid w:val="00E43D70"/>
    <w:rsid w:val="00E44273"/>
    <w:rsid w:val="00E449EC"/>
    <w:rsid w:val="00E44C1A"/>
    <w:rsid w:val="00E44E57"/>
    <w:rsid w:val="00E44F9C"/>
    <w:rsid w:val="00E452F7"/>
    <w:rsid w:val="00E455CF"/>
    <w:rsid w:val="00E456EB"/>
    <w:rsid w:val="00E45928"/>
    <w:rsid w:val="00E45E8F"/>
    <w:rsid w:val="00E46419"/>
    <w:rsid w:val="00E466F3"/>
    <w:rsid w:val="00E46D46"/>
    <w:rsid w:val="00E476D4"/>
    <w:rsid w:val="00E47B2C"/>
    <w:rsid w:val="00E47CF2"/>
    <w:rsid w:val="00E5004C"/>
    <w:rsid w:val="00E50124"/>
    <w:rsid w:val="00E5045C"/>
    <w:rsid w:val="00E50B43"/>
    <w:rsid w:val="00E511F8"/>
    <w:rsid w:val="00E51560"/>
    <w:rsid w:val="00E51E24"/>
    <w:rsid w:val="00E52401"/>
    <w:rsid w:val="00E528A4"/>
    <w:rsid w:val="00E53800"/>
    <w:rsid w:val="00E538C1"/>
    <w:rsid w:val="00E53965"/>
    <w:rsid w:val="00E53D4F"/>
    <w:rsid w:val="00E53FC8"/>
    <w:rsid w:val="00E5419A"/>
    <w:rsid w:val="00E54347"/>
    <w:rsid w:val="00E54793"/>
    <w:rsid w:val="00E54A7E"/>
    <w:rsid w:val="00E54CD7"/>
    <w:rsid w:val="00E5500B"/>
    <w:rsid w:val="00E55424"/>
    <w:rsid w:val="00E55915"/>
    <w:rsid w:val="00E55BB5"/>
    <w:rsid w:val="00E55BFB"/>
    <w:rsid w:val="00E55CD8"/>
    <w:rsid w:val="00E5611C"/>
    <w:rsid w:val="00E56677"/>
    <w:rsid w:val="00E567C4"/>
    <w:rsid w:val="00E569EB"/>
    <w:rsid w:val="00E56B9D"/>
    <w:rsid w:val="00E56E8E"/>
    <w:rsid w:val="00E56F2D"/>
    <w:rsid w:val="00E57352"/>
    <w:rsid w:val="00E57511"/>
    <w:rsid w:val="00E579A7"/>
    <w:rsid w:val="00E57B3A"/>
    <w:rsid w:val="00E60002"/>
    <w:rsid w:val="00E608BE"/>
    <w:rsid w:val="00E60B80"/>
    <w:rsid w:val="00E60F18"/>
    <w:rsid w:val="00E6152D"/>
    <w:rsid w:val="00E61577"/>
    <w:rsid w:val="00E61A47"/>
    <w:rsid w:val="00E61C74"/>
    <w:rsid w:val="00E61F69"/>
    <w:rsid w:val="00E62491"/>
    <w:rsid w:val="00E624A4"/>
    <w:rsid w:val="00E62D2D"/>
    <w:rsid w:val="00E631F7"/>
    <w:rsid w:val="00E63FFE"/>
    <w:rsid w:val="00E643FC"/>
    <w:rsid w:val="00E64831"/>
    <w:rsid w:val="00E64A4C"/>
    <w:rsid w:val="00E64EEE"/>
    <w:rsid w:val="00E652B6"/>
    <w:rsid w:val="00E65D7B"/>
    <w:rsid w:val="00E65E79"/>
    <w:rsid w:val="00E65EAB"/>
    <w:rsid w:val="00E66099"/>
    <w:rsid w:val="00E6630B"/>
    <w:rsid w:val="00E6653C"/>
    <w:rsid w:val="00E66B92"/>
    <w:rsid w:val="00E66BA2"/>
    <w:rsid w:val="00E66FC9"/>
    <w:rsid w:val="00E67416"/>
    <w:rsid w:val="00E678AD"/>
    <w:rsid w:val="00E67B83"/>
    <w:rsid w:val="00E70559"/>
    <w:rsid w:val="00E70694"/>
    <w:rsid w:val="00E706BE"/>
    <w:rsid w:val="00E70B75"/>
    <w:rsid w:val="00E70E4F"/>
    <w:rsid w:val="00E715D4"/>
    <w:rsid w:val="00E716B6"/>
    <w:rsid w:val="00E718B6"/>
    <w:rsid w:val="00E7239D"/>
    <w:rsid w:val="00E723BA"/>
    <w:rsid w:val="00E725CF"/>
    <w:rsid w:val="00E72907"/>
    <w:rsid w:val="00E73581"/>
    <w:rsid w:val="00E746A7"/>
    <w:rsid w:val="00E74872"/>
    <w:rsid w:val="00E7491D"/>
    <w:rsid w:val="00E74B0E"/>
    <w:rsid w:val="00E75053"/>
    <w:rsid w:val="00E7530B"/>
    <w:rsid w:val="00E75CE8"/>
    <w:rsid w:val="00E770B4"/>
    <w:rsid w:val="00E77C26"/>
    <w:rsid w:val="00E77E7E"/>
    <w:rsid w:val="00E77E81"/>
    <w:rsid w:val="00E77EBA"/>
    <w:rsid w:val="00E80127"/>
    <w:rsid w:val="00E8165C"/>
    <w:rsid w:val="00E817CD"/>
    <w:rsid w:val="00E818B1"/>
    <w:rsid w:val="00E82036"/>
    <w:rsid w:val="00E82829"/>
    <w:rsid w:val="00E82B41"/>
    <w:rsid w:val="00E82D46"/>
    <w:rsid w:val="00E833F7"/>
    <w:rsid w:val="00E836B9"/>
    <w:rsid w:val="00E83A6A"/>
    <w:rsid w:val="00E83BDF"/>
    <w:rsid w:val="00E83D04"/>
    <w:rsid w:val="00E83E57"/>
    <w:rsid w:val="00E84282"/>
    <w:rsid w:val="00E84284"/>
    <w:rsid w:val="00E8432B"/>
    <w:rsid w:val="00E84FC5"/>
    <w:rsid w:val="00E852E3"/>
    <w:rsid w:val="00E85362"/>
    <w:rsid w:val="00E8574F"/>
    <w:rsid w:val="00E859B2"/>
    <w:rsid w:val="00E85D1A"/>
    <w:rsid w:val="00E85D26"/>
    <w:rsid w:val="00E86075"/>
    <w:rsid w:val="00E8665D"/>
    <w:rsid w:val="00E877F6"/>
    <w:rsid w:val="00E87A1D"/>
    <w:rsid w:val="00E9030F"/>
    <w:rsid w:val="00E9033E"/>
    <w:rsid w:val="00E903B3"/>
    <w:rsid w:val="00E9094A"/>
    <w:rsid w:val="00E90B77"/>
    <w:rsid w:val="00E916D8"/>
    <w:rsid w:val="00E91D35"/>
    <w:rsid w:val="00E9210D"/>
    <w:rsid w:val="00E92150"/>
    <w:rsid w:val="00E926A5"/>
    <w:rsid w:val="00E929E7"/>
    <w:rsid w:val="00E93669"/>
    <w:rsid w:val="00E946E2"/>
    <w:rsid w:val="00E9477E"/>
    <w:rsid w:val="00E94BD9"/>
    <w:rsid w:val="00E94C3F"/>
    <w:rsid w:val="00E95A1B"/>
    <w:rsid w:val="00E9615C"/>
    <w:rsid w:val="00E96442"/>
    <w:rsid w:val="00E96510"/>
    <w:rsid w:val="00E9689E"/>
    <w:rsid w:val="00E96931"/>
    <w:rsid w:val="00E96A1B"/>
    <w:rsid w:val="00E96DA6"/>
    <w:rsid w:val="00E96E48"/>
    <w:rsid w:val="00E96F77"/>
    <w:rsid w:val="00E97868"/>
    <w:rsid w:val="00EA00ED"/>
    <w:rsid w:val="00EA0381"/>
    <w:rsid w:val="00EA04AB"/>
    <w:rsid w:val="00EA06A1"/>
    <w:rsid w:val="00EA097B"/>
    <w:rsid w:val="00EA0D0B"/>
    <w:rsid w:val="00EA0ED8"/>
    <w:rsid w:val="00EA117B"/>
    <w:rsid w:val="00EA1390"/>
    <w:rsid w:val="00EA17C3"/>
    <w:rsid w:val="00EA1A12"/>
    <w:rsid w:val="00EA1A16"/>
    <w:rsid w:val="00EA227C"/>
    <w:rsid w:val="00EA2427"/>
    <w:rsid w:val="00EA259A"/>
    <w:rsid w:val="00EA2878"/>
    <w:rsid w:val="00EA2BFF"/>
    <w:rsid w:val="00EA2C7A"/>
    <w:rsid w:val="00EA2CAA"/>
    <w:rsid w:val="00EA334B"/>
    <w:rsid w:val="00EA34B1"/>
    <w:rsid w:val="00EA3864"/>
    <w:rsid w:val="00EA3CB0"/>
    <w:rsid w:val="00EA480C"/>
    <w:rsid w:val="00EA49B3"/>
    <w:rsid w:val="00EA4ADC"/>
    <w:rsid w:val="00EA4C22"/>
    <w:rsid w:val="00EA4F77"/>
    <w:rsid w:val="00EA5411"/>
    <w:rsid w:val="00EA548D"/>
    <w:rsid w:val="00EA557F"/>
    <w:rsid w:val="00EA5712"/>
    <w:rsid w:val="00EA5A62"/>
    <w:rsid w:val="00EA5CBB"/>
    <w:rsid w:val="00EA5CBD"/>
    <w:rsid w:val="00EA5CEF"/>
    <w:rsid w:val="00EA5D0E"/>
    <w:rsid w:val="00EA65B8"/>
    <w:rsid w:val="00EA696E"/>
    <w:rsid w:val="00EA71A6"/>
    <w:rsid w:val="00EA7F1C"/>
    <w:rsid w:val="00EB017D"/>
    <w:rsid w:val="00EB0CED"/>
    <w:rsid w:val="00EB15B6"/>
    <w:rsid w:val="00EB1A36"/>
    <w:rsid w:val="00EB1B5C"/>
    <w:rsid w:val="00EB1FB0"/>
    <w:rsid w:val="00EB224D"/>
    <w:rsid w:val="00EB2D88"/>
    <w:rsid w:val="00EB3052"/>
    <w:rsid w:val="00EB388F"/>
    <w:rsid w:val="00EB3AA9"/>
    <w:rsid w:val="00EB3D06"/>
    <w:rsid w:val="00EB3E46"/>
    <w:rsid w:val="00EB3E80"/>
    <w:rsid w:val="00EB4585"/>
    <w:rsid w:val="00EB46BF"/>
    <w:rsid w:val="00EB4916"/>
    <w:rsid w:val="00EB49E4"/>
    <w:rsid w:val="00EB4E61"/>
    <w:rsid w:val="00EB4EAF"/>
    <w:rsid w:val="00EC00C9"/>
    <w:rsid w:val="00EC00DF"/>
    <w:rsid w:val="00EC0351"/>
    <w:rsid w:val="00EC03A5"/>
    <w:rsid w:val="00EC0959"/>
    <w:rsid w:val="00EC09F6"/>
    <w:rsid w:val="00EC0B14"/>
    <w:rsid w:val="00EC0CFB"/>
    <w:rsid w:val="00EC0DD9"/>
    <w:rsid w:val="00EC176F"/>
    <w:rsid w:val="00EC1B7D"/>
    <w:rsid w:val="00EC1B82"/>
    <w:rsid w:val="00EC1D4B"/>
    <w:rsid w:val="00EC1D94"/>
    <w:rsid w:val="00EC20C7"/>
    <w:rsid w:val="00EC2649"/>
    <w:rsid w:val="00EC279D"/>
    <w:rsid w:val="00EC285F"/>
    <w:rsid w:val="00EC2995"/>
    <w:rsid w:val="00EC2C49"/>
    <w:rsid w:val="00EC3063"/>
    <w:rsid w:val="00EC31ED"/>
    <w:rsid w:val="00EC36ED"/>
    <w:rsid w:val="00EC3896"/>
    <w:rsid w:val="00EC39C4"/>
    <w:rsid w:val="00EC3FD6"/>
    <w:rsid w:val="00EC4252"/>
    <w:rsid w:val="00EC440F"/>
    <w:rsid w:val="00EC4473"/>
    <w:rsid w:val="00EC45EF"/>
    <w:rsid w:val="00EC47B1"/>
    <w:rsid w:val="00EC4F35"/>
    <w:rsid w:val="00EC538A"/>
    <w:rsid w:val="00EC5529"/>
    <w:rsid w:val="00EC5836"/>
    <w:rsid w:val="00EC59A2"/>
    <w:rsid w:val="00EC59AB"/>
    <w:rsid w:val="00EC669C"/>
    <w:rsid w:val="00EC6751"/>
    <w:rsid w:val="00EC688C"/>
    <w:rsid w:val="00EC7396"/>
    <w:rsid w:val="00ED0A9A"/>
    <w:rsid w:val="00ED1763"/>
    <w:rsid w:val="00ED1ECD"/>
    <w:rsid w:val="00ED209D"/>
    <w:rsid w:val="00ED2237"/>
    <w:rsid w:val="00ED2356"/>
    <w:rsid w:val="00ED2A79"/>
    <w:rsid w:val="00ED3093"/>
    <w:rsid w:val="00ED37E6"/>
    <w:rsid w:val="00ED38A1"/>
    <w:rsid w:val="00ED3B23"/>
    <w:rsid w:val="00ED3E70"/>
    <w:rsid w:val="00ED4640"/>
    <w:rsid w:val="00ED47DA"/>
    <w:rsid w:val="00ED486A"/>
    <w:rsid w:val="00ED57EA"/>
    <w:rsid w:val="00ED57F6"/>
    <w:rsid w:val="00ED5BC0"/>
    <w:rsid w:val="00ED5BD4"/>
    <w:rsid w:val="00ED60CD"/>
    <w:rsid w:val="00ED61CA"/>
    <w:rsid w:val="00ED6897"/>
    <w:rsid w:val="00ED68F6"/>
    <w:rsid w:val="00ED6E10"/>
    <w:rsid w:val="00ED7125"/>
    <w:rsid w:val="00ED78FA"/>
    <w:rsid w:val="00ED79E2"/>
    <w:rsid w:val="00EE01CF"/>
    <w:rsid w:val="00EE07CC"/>
    <w:rsid w:val="00EE07D3"/>
    <w:rsid w:val="00EE13B4"/>
    <w:rsid w:val="00EE1996"/>
    <w:rsid w:val="00EE1C01"/>
    <w:rsid w:val="00EE1D0D"/>
    <w:rsid w:val="00EE1E1F"/>
    <w:rsid w:val="00EE22AF"/>
    <w:rsid w:val="00EE2430"/>
    <w:rsid w:val="00EE2865"/>
    <w:rsid w:val="00EE376A"/>
    <w:rsid w:val="00EE3A06"/>
    <w:rsid w:val="00EE3EC2"/>
    <w:rsid w:val="00EE3EF5"/>
    <w:rsid w:val="00EE3F82"/>
    <w:rsid w:val="00EE483C"/>
    <w:rsid w:val="00EE4FD5"/>
    <w:rsid w:val="00EE629F"/>
    <w:rsid w:val="00EE63A8"/>
    <w:rsid w:val="00EE64AA"/>
    <w:rsid w:val="00EE6801"/>
    <w:rsid w:val="00EE6C27"/>
    <w:rsid w:val="00EE6F28"/>
    <w:rsid w:val="00EE7294"/>
    <w:rsid w:val="00EE7437"/>
    <w:rsid w:val="00EE749E"/>
    <w:rsid w:val="00EE7666"/>
    <w:rsid w:val="00EE78CD"/>
    <w:rsid w:val="00EE7E04"/>
    <w:rsid w:val="00EF0171"/>
    <w:rsid w:val="00EF044D"/>
    <w:rsid w:val="00EF0883"/>
    <w:rsid w:val="00EF0F1B"/>
    <w:rsid w:val="00EF16A5"/>
    <w:rsid w:val="00EF1AB1"/>
    <w:rsid w:val="00EF1B25"/>
    <w:rsid w:val="00EF1DA0"/>
    <w:rsid w:val="00EF1E5C"/>
    <w:rsid w:val="00EF1E80"/>
    <w:rsid w:val="00EF1FF6"/>
    <w:rsid w:val="00EF20F3"/>
    <w:rsid w:val="00EF2432"/>
    <w:rsid w:val="00EF2DFC"/>
    <w:rsid w:val="00EF3FC6"/>
    <w:rsid w:val="00EF4018"/>
    <w:rsid w:val="00EF447C"/>
    <w:rsid w:val="00EF4709"/>
    <w:rsid w:val="00EF4747"/>
    <w:rsid w:val="00EF4BF8"/>
    <w:rsid w:val="00EF4D52"/>
    <w:rsid w:val="00EF52D5"/>
    <w:rsid w:val="00EF66DB"/>
    <w:rsid w:val="00EF6D4D"/>
    <w:rsid w:val="00EF7D08"/>
    <w:rsid w:val="00F004D0"/>
    <w:rsid w:val="00F009AD"/>
    <w:rsid w:val="00F00D51"/>
    <w:rsid w:val="00F011A0"/>
    <w:rsid w:val="00F01432"/>
    <w:rsid w:val="00F01BEC"/>
    <w:rsid w:val="00F01FB9"/>
    <w:rsid w:val="00F02253"/>
    <w:rsid w:val="00F023A3"/>
    <w:rsid w:val="00F02B62"/>
    <w:rsid w:val="00F02DFF"/>
    <w:rsid w:val="00F02F66"/>
    <w:rsid w:val="00F031FF"/>
    <w:rsid w:val="00F03623"/>
    <w:rsid w:val="00F0399C"/>
    <w:rsid w:val="00F03AF9"/>
    <w:rsid w:val="00F03B5C"/>
    <w:rsid w:val="00F03C2E"/>
    <w:rsid w:val="00F03D12"/>
    <w:rsid w:val="00F03F99"/>
    <w:rsid w:val="00F04095"/>
    <w:rsid w:val="00F04222"/>
    <w:rsid w:val="00F04293"/>
    <w:rsid w:val="00F044C6"/>
    <w:rsid w:val="00F045E9"/>
    <w:rsid w:val="00F049CC"/>
    <w:rsid w:val="00F04A66"/>
    <w:rsid w:val="00F04B4B"/>
    <w:rsid w:val="00F05108"/>
    <w:rsid w:val="00F0516C"/>
    <w:rsid w:val="00F051D0"/>
    <w:rsid w:val="00F0568F"/>
    <w:rsid w:val="00F05C1E"/>
    <w:rsid w:val="00F05D53"/>
    <w:rsid w:val="00F064D8"/>
    <w:rsid w:val="00F067A2"/>
    <w:rsid w:val="00F06D2D"/>
    <w:rsid w:val="00F0728C"/>
    <w:rsid w:val="00F07600"/>
    <w:rsid w:val="00F07B9E"/>
    <w:rsid w:val="00F07E65"/>
    <w:rsid w:val="00F10CE0"/>
    <w:rsid w:val="00F10E98"/>
    <w:rsid w:val="00F11042"/>
    <w:rsid w:val="00F1116F"/>
    <w:rsid w:val="00F11598"/>
    <w:rsid w:val="00F116EB"/>
    <w:rsid w:val="00F1263A"/>
    <w:rsid w:val="00F126CA"/>
    <w:rsid w:val="00F1292E"/>
    <w:rsid w:val="00F13548"/>
    <w:rsid w:val="00F13DB8"/>
    <w:rsid w:val="00F13E82"/>
    <w:rsid w:val="00F13F08"/>
    <w:rsid w:val="00F14CC1"/>
    <w:rsid w:val="00F15182"/>
    <w:rsid w:val="00F155A4"/>
    <w:rsid w:val="00F15AF0"/>
    <w:rsid w:val="00F15B77"/>
    <w:rsid w:val="00F15F5F"/>
    <w:rsid w:val="00F1616E"/>
    <w:rsid w:val="00F162FC"/>
    <w:rsid w:val="00F16550"/>
    <w:rsid w:val="00F16B26"/>
    <w:rsid w:val="00F1725C"/>
    <w:rsid w:val="00F1780D"/>
    <w:rsid w:val="00F17899"/>
    <w:rsid w:val="00F17938"/>
    <w:rsid w:val="00F17A78"/>
    <w:rsid w:val="00F20076"/>
    <w:rsid w:val="00F200FE"/>
    <w:rsid w:val="00F2032E"/>
    <w:rsid w:val="00F2056F"/>
    <w:rsid w:val="00F20617"/>
    <w:rsid w:val="00F20745"/>
    <w:rsid w:val="00F20F58"/>
    <w:rsid w:val="00F21309"/>
    <w:rsid w:val="00F2167E"/>
    <w:rsid w:val="00F2179F"/>
    <w:rsid w:val="00F21857"/>
    <w:rsid w:val="00F21B26"/>
    <w:rsid w:val="00F21D48"/>
    <w:rsid w:val="00F2211A"/>
    <w:rsid w:val="00F2258A"/>
    <w:rsid w:val="00F22D58"/>
    <w:rsid w:val="00F22FA9"/>
    <w:rsid w:val="00F22FD5"/>
    <w:rsid w:val="00F230AE"/>
    <w:rsid w:val="00F23335"/>
    <w:rsid w:val="00F238F5"/>
    <w:rsid w:val="00F23BB2"/>
    <w:rsid w:val="00F23F34"/>
    <w:rsid w:val="00F24287"/>
    <w:rsid w:val="00F24548"/>
    <w:rsid w:val="00F24837"/>
    <w:rsid w:val="00F24C7E"/>
    <w:rsid w:val="00F24DE8"/>
    <w:rsid w:val="00F250B0"/>
    <w:rsid w:val="00F25114"/>
    <w:rsid w:val="00F25277"/>
    <w:rsid w:val="00F2575F"/>
    <w:rsid w:val="00F25EFF"/>
    <w:rsid w:val="00F263B9"/>
    <w:rsid w:val="00F27565"/>
    <w:rsid w:val="00F27B1A"/>
    <w:rsid w:val="00F27CC8"/>
    <w:rsid w:val="00F301BC"/>
    <w:rsid w:val="00F30D31"/>
    <w:rsid w:val="00F30E4C"/>
    <w:rsid w:val="00F310D4"/>
    <w:rsid w:val="00F312E2"/>
    <w:rsid w:val="00F315D0"/>
    <w:rsid w:val="00F3199B"/>
    <w:rsid w:val="00F31D5A"/>
    <w:rsid w:val="00F31EAB"/>
    <w:rsid w:val="00F32251"/>
    <w:rsid w:val="00F323E8"/>
    <w:rsid w:val="00F32481"/>
    <w:rsid w:val="00F3296B"/>
    <w:rsid w:val="00F32AD0"/>
    <w:rsid w:val="00F3305F"/>
    <w:rsid w:val="00F33975"/>
    <w:rsid w:val="00F3399F"/>
    <w:rsid w:val="00F339B0"/>
    <w:rsid w:val="00F33DE9"/>
    <w:rsid w:val="00F34116"/>
    <w:rsid w:val="00F3414A"/>
    <w:rsid w:val="00F342FE"/>
    <w:rsid w:val="00F34C41"/>
    <w:rsid w:val="00F35BD0"/>
    <w:rsid w:val="00F35CD0"/>
    <w:rsid w:val="00F35E6D"/>
    <w:rsid w:val="00F3606C"/>
    <w:rsid w:val="00F36170"/>
    <w:rsid w:val="00F3619A"/>
    <w:rsid w:val="00F364D7"/>
    <w:rsid w:val="00F368E2"/>
    <w:rsid w:val="00F368F9"/>
    <w:rsid w:val="00F36F52"/>
    <w:rsid w:val="00F3785A"/>
    <w:rsid w:val="00F37E7B"/>
    <w:rsid w:val="00F37FB4"/>
    <w:rsid w:val="00F4010E"/>
    <w:rsid w:val="00F40573"/>
    <w:rsid w:val="00F408CA"/>
    <w:rsid w:val="00F40A2F"/>
    <w:rsid w:val="00F40AA3"/>
    <w:rsid w:val="00F40AAA"/>
    <w:rsid w:val="00F40BA7"/>
    <w:rsid w:val="00F40F9D"/>
    <w:rsid w:val="00F41000"/>
    <w:rsid w:val="00F41282"/>
    <w:rsid w:val="00F4132D"/>
    <w:rsid w:val="00F415B6"/>
    <w:rsid w:val="00F417C0"/>
    <w:rsid w:val="00F41879"/>
    <w:rsid w:val="00F41ACD"/>
    <w:rsid w:val="00F41E69"/>
    <w:rsid w:val="00F41FBE"/>
    <w:rsid w:val="00F42904"/>
    <w:rsid w:val="00F42E83"/>
    <w:rsid w:val="00F42F27"/>
    <w:rsid w:val="00F43133"/>
    <w:rsid w:val="00F43849"/>
    <w:rsid w:val="00F43AE4"/>
    <w:rsid w:val="00F4410F"/>
    <w:rsid w:val="00F447F9"/>
    <w:rsid w:val="00F45286"/>
    <w:rsid w:val="00F45725"/>
    <w:rsid w:val="00F46584"/>
    <w:rsid w:val="00F468C2"/>
    <w:rsid w:val="00F46CB6"/>
    <w:rsid w:val="00F46CD8"/>
    <w:rsid w:val="00F46FC9"/>
    <w:rsid w:val="00F4756D"/>
    <w:rsid w:val="00F475AE"/>
    <w:rsid w:val="00F47DE8"/>
    <w:rsid w:val="00F50A83"/>
    <w:rsid w:val="00F50AFD"/>
    <w:rsid w:val="00F50E88"/>
    <w:rsid w:val="00F51E7A"/>
    <w:rsid w:val="00F527D0"/>
    <w:rsid w:val="00F52A79"/>
    <w:rsid w:val="00F53131"/>
    <w:rsid w:val="00F531F2"/>
    <w:rsid w:val="00F5358B"/>
    <w:rsid w:val="00F542C1"/>
    <w:rsid w:val="00F543EE"/>
    <w:rsid w:val="00F55340"/>
    <w:rsid w:val="00F5566D"/>
    <w:rsid w:val="00F55D79"/>
    <w:rsid w:val="00F55E73"/>
    <w:rsid w:val="00F55EDA"/>
    <w:rsid w:val="00F56234"/>
    <w:rsid w:val="00F56241"/>
    <w:rsid w:val="00F56C80"/>
    <w:rsid w:val="00F56D91"/>
    <w:rsid w:val="00F57348"/>
    <w:rsid w:val="00F576C5"/>
    <w:rsid w:val="00F5777C"/>
    <w:rsid w:val="00F57ACB"/>
    <w:rsid w:val="00F60092"/>
    <w:rsid w:val="00F606F1"/>
    <w:rsid w:val="00F60F12"/>
    <w:rsid w:val="00F611ED"/>
    <w:rsid w:val="00F6142A"/>
    <w:rsid w:val="00F6156F"/>
    <w:rsid w:val="00F618C0"/>
    <w:rsid w:val="00F61C18"/>
    <w:rsid w:val="00F61ED2"/>
    <w:rsid w:val="00F624F2"/>
    <w:rsid w:val="00F626EE"/>
    <w:rsid w:val="00F62971"/>
    <w:rsid w:val="00F62B1A"/>
    <w:rsid w:val="00F62EC6"/>
    <w:rsid w:val="00F6357D"/>
    <w:rsid w:val="00F63E46"/>
    <w:rsid w:val="00F64FA5"/>
    <w:rsid w:val="00F65223"/>
    <w:rsid w:val="00F656F2"/>
    <w:rsid w:val="00F65730"/>
    <w:rsid w:val="00F65916"/>
    <w:rsid w:val="00F65CD9"/>
    <w:rsid w:val="00F65F4B"/>
    <w:rsid w:val="00F662AF"/>
    <w:rsid w:val="00F6648F"/>
    <w:rsid w:val="00F66F38"/>
    <w:rsid w:val="00F67194"/>
    <w:rsid w:val="00F6775E"/>
    <w:rsid w:val="00F67853"/>
    <w:rsid w:val="00F6790D"/>
    <w:rsid w:val="00F67990"/>
    <w:rsid w:val="00F67A69"/>
    <w:rsid w:val="00F67E88"/>
    <w:rsid w:val="00F67F2B"/>
    <w:rsid w:val="00F67FA3"/>
    <w:rsid w:val="00F67FF9"/>
    <w:rsid w:val="00F70566"/>
    <w:rsid w:val="00F70A66"/>
    <w:rsid w:val="00F70BFF"/>
    <w:rsid w:val="00F70C90"/>
    <w:rsid w:val="00F70C9D"/>
    <w:rsid w:val="00F70E20"/>
    <w:rsid w:val="00F7112B"/>
    <w:rsid w:val="00F71410"/>
    <w:rsid w:val="00F71603"/>
    <w:rsid w:val="00F724D7"/>
    <w:rsid w:val="00F726A9"/>
    <w:rsid w:val="00F72881"/>
    <w:rsid w:val="00F72BA8"/>
    <w:rsid w:val="00F72E0D"/>
    <w:rsid w:val="00F72FDC"/>
    <w:rsid w:val="00F738F0"/>
    <w:rsid w:val="00F73CE7"/>
    <w:rsid w:val="00F7435B"/>
    <w:rsid w:val="00F74CD9"/>
    <w:rsid w:val="00F74D2B"/>
    <w:rsid w:val="00F75E16"/>
    <w:rsid w:val="00F76251"/>
    <w:rsid w:val="00F76A5C"/>
    <w:rsid w:val="00F774B1"/>
    <w:rsid w:val="00F77700"/>
    <w:rsid w:val="00F777EF"/>
    <w:rsid w:val="00F800B5"/>
    <w:rsid w:val="00F808D6"/>
    <w:rsid w:val="00F80A7B"/>
    <w:rsid w:val="00F80E5D"/>
    <w:rsid w:val="00F80FEB"/>
    <w:rsid w:val="00F81283"/>
    <w:rsid w:val="00F817C7"/>
    <w:rsid w:val="00F81A28"/>
    <w:rsid w:val="00F81D0B"/>
    <w:rsid w:val="00F81E78"/>
    <w:rsid w:val="00F820F8"/>
    <w:rsid w:val="00F82317"/>
    <w:rsid w:val="00F827CE"/>
    <w:rsid w:val="00F82AC9"/>
    <w:rsid w:val="00F82E70"/>
    <w:rsid w:val="00F8353E"/>
    <w:rsid w:val="00F8388D"/>
    <w:rsid w:val="00F839F9"/>
    <w:rsid w:val="00F849E7"/>
    <w:rsid w:val="00F851CE"/>
    <w:rsid w:val="00F85877"/>
    <w:rsid w:val="00F859EC"/>
    <w:rsid w:val="00F85A87"/>
    <w:rsid w:val="00F85BFF"/>
    <w:rsid w:val="00F85C56"/>
    <w:rsid w:val="00F866E0"/>
    <w:rsid w:val="00F8692C"/>
    <w:rsid w:val="00F86C7C"/>
    <w:rsid w:val="00F86CDB"/>
    <w:rsid w:val="00F86DD5"/>
    <w:rsid w:val="00F87237"/>
    <w:rsid w:val="00F874F8"/>
    <w:rsid w:val="00F8755A"/>
    <w:rsid w:val="00F87B3E"/>
    <w:rsid w:val="00F87D86"/>
    <w:rsid w:val="00F904CF"/>
    <w:rsid w:val="00F90510"/>
    <w:rsid w:val="00F9076E"/>
    <w:rsid w:val="00F90EC3"/>
    <w:rsid w:val="00F91022"/>
    <w:rsid w:val="00F91219"/>
    <w:rsid w:val="00F9227C"/>
    <w:rsid w:val="00F9240A"/>
    <w:rsid w:val="00F92444"/>
    <w:rsid w:val="00F927E0"/>
    <w:rsid w:val="00F92894"/>
    <w:rsid w:val="00F9302E"/>
    <w:rsid w:val="00F937C4"/>
    <w:rsid w:val="00F9393E"/>
    <w:rsid w:val="00F94428"/>
    <w:rsid w:val="00F94926"/>
    <w:rsid w:val="00F94B57"/>
    <w:rsid w:val="00F95744"/>
    <w:rsid w:val="00F9574B"/>
    <w:rsid w:val="00F95A46"/>
    <w:rsid w:val="00F95F5C"/>
    <w:rsid w:val="00F96028"/>
    <w:rsid w:val="00F963E2"/>
    <w:rsid w:val="00F96EC8"/>
    <w:rsid w:val="00F96F62"/>
    <w:rsid w:val="00F96FD0"/>
    <w:rsid w:val="00F97258"/>
    <w:rsid w:val="00F973A6"/>
    <w:rsid w:val="00F97A78"/>
    <w:rsid w:val="00F97D3E"/>
    <w:rsid w:val="00FA01BC"/>
    <w:rsid w:val="00FA027C"/>
    <w:rsid w:val="00FA0B20"/>
    <w:rsid w:val="00FA0DB0"/>
    <w:rsid w:val="00FA1DD7"/>
    <w:rsid w:val="00FA232C"/>
    <w:rsid w:val="00FA23A2"/>
    <w:rsid w:val="00FA24E7"/>
    <w:rsid w:val="00FA2736"/>
    <w:rsid w:val="00FA29C5"/>
    <w:rsid w:val="00FA316B"/>
    <w:rsid w:val="00FA451F"/>
    <w:rsid w:val="00FA4560"/>
    <w:rsid w:val="00FA486C"/>
    <w:rsid w:val="00FA48A6"/>
    <w:rsid w:val="00FA5220"/>
    <w:rsid w:val="00FA52AD"/>
    <w:rsid w:val="00FA5EE6"/>
    <w:rsid w:val="00FA5FB7"/>
    <w:rsid w:val="00FA6008"/>
    <w:rsid w:val="00FA653C"/>
    <w:rsid w:val="00FA6848"/>
    <w:rsid w:val="00FA6AF9"/>
    <w:rsid w:val="00FA6BD2"/>
    <w:rsid w:val="00FA7048"/>
    <w:rsid w:val="00FA736B"/>
    <w:rsid w:val="00FA7532"/>
    <w:rsid w:val="00FA7956"/>
    <w:rsid w:val="00FB0D1E"/>
    <w:rsid w:val="00FB0E1E"/>
    <w:rsid w:val="00FB0EE1"/>
    <w:rsid w:val="00FB100A"/>
    <w:rsid w:val="00FB1042"/>
    <w:rsid w:val="00FB1340"/>
    <w:rsid w:val="00FB14B2"/>
    <w:rsid w:val="00FB16D1"/>
    <w:rsid w:val="00FB1983"/>
    <w:rsid w:val="00FB22C1"/>
    <w:rsid w:val="00FB22C9"/>
    <w:rsid w:val="00FB293B"/>
    <w:rsid w:val="00FB2BBD"/>
    <w:rsid w:val="00FB2FCB"/>
    <w:rsid w:val="00FB3250"/>
    <w:rsid w:val="00FB37E8"/>
    <w:rsid w:val="00FB3B63"/>
    <w:rsid w:val="00FB44D6"/>
    <w:rsid w:val="00FB54CD"/>
    <w:rsid w:val="00FB553B"/>
    <w:rsid w:val="00FB56B8"/>
    <w:rsid w:val="00FB5F3D"/>
    <w:rsid w:val="00FB629C"/>
    <w:rsid w:val="00FB629E"/>
    <w:rsid w:val="00FB6A21"/>
    <w:rsid w:val="00FB6B10"/>
    <w:rsid w:val="00FB6F59"/>
    <w:rsid w:val="00FB6FC0"/>
    <w:rsid w:val="00FB7580"/>
    <w:rsid w:val="00FB7808"/>
    <w:rsid w:val="00FB7C55"/>
    <w:rsid w:val="00FB7ED2"/>
    <w:rsid w:val="00FC0899"/>
    <w:rsid w:val="00FC08B5"/>
    <w:rsid w:val="00FC1074"/>
    <w:rsid w:val="00FC175C"/>
    <w:rsid w:val="00FC1884"/>
    <w:rsid w:val="00FC1952"/>
    <w:rsid w:val="00FC26EB"/>
    <w:rsid w:val="00FC2823"/>
    <w:rsid w:val="00FC2A92"/>
    <w:rsid w:val="00FC302D"/>
    <w:rsid w:val="00FC3373"/>
    <w:rsid w:val="00FC371D"/>
    <w:rsid w:val="00FC3AA0"/>
    <w:rsid w:val="00FC3B50"/>
    <w:rsid w:val="00FC4144"/>
    <w:rsid w:val="00FC4424"/>
    <w:rsid w:val="00FC471A"/>
    <w:rsid w:val="00FC471B"/>
    <w:rsid w:val="00FC4915"/>
    <w:rsid w:val="00FC5366"/>
    <w:rsid w:val="00FC5826"/>
    <w:rsid w:val="00FC59A4"/>
    <w:rsid w:val="00FC59C1"/>
    <w:rsid w:val="00FC5ABE"/>
    <w:rsid w:val="00FC5F0B"/>
    <w:rsid w:val="00FC626A"/>
    <w:rsid w:val="00FC6589"/>
    <w:rsid w:val="00FC65E2"/>
    <w:rsid w:val="00FC7276"/>
    <w:rsid w:val="00FC78C9"/>
    <w:rsid w:val="00FD006A"/>
    <w:rsid w:val="00FD024B"/>
    <w:rsid w:val="00FD10EC"/>
    <w:rsid w:val="00FD13EE"/>
    <w:rsid w:val="00FD1818"/>
    <w:rsid w:val="00FD1919"/>
    <w:rsid w:val="00FD1951"/>
    <w:rsid w:val="00FD2100"/>
    <w:rsid w:val="00FD2BAA"/>
    <w:rsid w:val="00FD312A"/>
    <w:rsid w:val="00FD3626"/>
    <w:rsid w:val="00FD3AB6"/>
    <w:rsid w:val="00FD3E39"/>
    <w:rsid w:val="00FD3EE2"/>
    <w:rsid w:val="00FD3FD3"/>
    <w:rsid w:val="00FD4291"/>
    <w:rsid w:val="00FD42E0"/>
    <w:rsid w:val="00FD436C"/>
    <w:rsid w:val="00FD446D"/>
    <w:rsid w:val="00FD4D34"/>
    <w:rsid w:val="00FD4F2C"/>
    <w:rsid w:val="00FD51E6"/>
    <w:rsid w:val="00FD57E4"/>
    <w:rsid w:val="00FD5B80"/>
    <w:rsid w:val="00FD5BDB"/>
    <w:rsid w:val="00FD6394"/>
    <w:rsid w:val="00FD695E"/>
    <w:rsid w:val="00FD710C"/>
    <w:rsid w:val="00FD7645"/>
    <w:rsid w:val="00FD76D2"/>
    <w:rsid w:val="00FD79AC"/>
    <w:rsid w:val="00FD7AB0"/>
    <w:rsid w:val="00FD7FC7"/>
    <w:rsid w:val="00FE0187"/>
    <w:rsid w:val="00FE06CD"/>
    <w:rsid w:val="00FE085C"/>
    <w:rsid w:val="00FE0B13"/>
    <w:rsid w:val="00FE0E6C"/>
    <w:rsid w:val="00FE182A"/>
    <w:rsid w:val="00FE1BC1"/>
    <w:rsid w:val="00FE1CDC"/>
    <w:rsid w:val="00FE2178"/>
    <w:rsid w:val="00FE26B0"/>
    <w:rsid w:val="00FE27F8"/>
    <w:rsid w:val="00FE28C8"/>
    <w:rsid w:val="00FE29D5"/>
    <w:rsid w:val="00FE3338"/>
    <w:rsid w:val="00FE335B"/>
    <w:rsid w:val="00FE3855"/>
    <w:rsid w:val="00FE4168"/>
    <w:rsid w:val="00FE4266"/>
    <w:rsid w:val="00FE48D6"/>
    <w:rsid w:val="00FE4D18"/>
    <w:rsid w:val="00FE507A"/>
    <w:rsid w:val="00FE5896"/>
    <w:rsid w:val="00FE6236"/>
    <w:rsid w:val="00FE62BF"/>
    <w:rsid w:val="00FE6547"/>
    <w:rsid w:val="00FE6573"/>
    <w:rsid w:val="00FE6680"/>
    <w:rsid w:val="00FE6B9E"/>
    <w:rsid w:val="00FE6CE2"/>
    <w:rsid w:val="00FE70C3"/>
    <w:rsid w:val="00FE75F5"/>
    <w:rsid w:val="00FE775D"/>
    <w:rsid w:val="00FF00D8"/>
    <w:rsid w:val="00FF02BD"/>
    <w:rsid w:val="00FF0CA1"/>
    <w:rsid w:val="00FF0EA4"/>
    <w:rsid w:val="00FF11CF"/>
    <w:rsid w:val="00FF1EF6"/>
    <w:rsid w:val="00FF2987"/>
    <w:rsid w:val="00FF2AD9"/>
    <w:rsid w:val="00FF2E87"/>
    <w:rsid w:val="00FF3181"/>
    <w:rsid w:val="00FF34F8"/>
    <w:rsid w:val="00FF359F"/>
    <w:rsid w:val="00FF370E"/>
    <w:rsid w:val="00FF3C4D"/>
    <w:rsid w:val="00FF3D0B"/>
    <w:rsid w:val="00FF3DCF"/>
    <w:rsid w:val="00FF3EC0"/>
    <w:rsid w:val="00FF423E"/>
    <w:rsid w:val="00FF4293"/>
    <w:rsid w:val="00FF43E5"/>
    <w:rsid w:val="00FF492C"/>
    <w:rsid w:val="00FF4A16"/>
    <w:rsid w:val="00FF4A21"/>
    <w:rsid w:val="00FF4C6B"/>
    <w:rsid w:val="00FF4E2D"/>
    <w:rsid w:val="00FF5208"/>
    <w:rsid w:val="00FF5AA3"/>
    <w:rsid w:val="00FF5AD8"/>
    <w:rsid w:val="00FF5F6D"/>
    <w:rsid w:val="00FF61F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08B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E60"/>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HTAtableplain,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B70B22"/>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70B22"/>
    <w:rPr>
      <w:rFonts w:ascii="Calibri" w:hAnsi="Calibri" w:cs="Arial"/>
      <w:sz w:val="24"/>
      <w:szCs w:val="24"/>
    </w:rPr>
  </w:style>
  <w:style w:type="paragraph" w:styleId="Footer">
    <w:name w:val="footer"/>
    <w:basedOn w:val="Normal"/>
    <w:link w:val="FooterChar"/>
    <w:uiPriority w:val="99"/>
    <w:unhideWhenUsed/>
    <w:rsid w:val="00B70B22"/>
    <w:pPr>
      <w:tabs>
        <w:tab w:val="center" w:pos="4513"/>
        <w:tab w:val="right" w:pos="9026"/>
      </w:tabs>
    </w:pPr>
  </w:style>
  <w:style w:type="character" w:customStyle="1" w:styleId="FooterChar">
    <w:name w:val="Footer Char"/>
    <w:basedOn w:val="DefaultParagraphFont"/>
    <w:link w:val="Footer"/>
    <w:uiPriority w:val="99"/>
    <w:rsid w:val="00B70B22"/>
    <w:rPr>
      <w:rFonts w:ascii="Calibri" w:hAnsi="Calibri" w:cs="Arial"/>
      <w:sz w:val="24"/>
      <w:szCs w:val="24"/>
    </w:rPr>
  </w:style>
  <w:style w:type="character" w:styleId="CommentReference">
    <w:name w:val="annotation reference"/>
    <w:basedOn w:val="DefaultParagraphFont"/>
    <w:uiPriority w:val="99"/>
    <w:semiHidden/>
    <w:unhideWhenUsed/>
    <w:rsid w:val="00A940ED"/>
    <w:rPr>
      <w:sz w:val="16"/>
      <w:szCs w:val="16"/>
    </w:rPr>
  </w:style>
  <w:style w:type="paragraph" w:styleId="CommentText">
    <w:name w:val="annotation text"/>
    <w:basedOn w:val="Normal"/>
    <w:link w:val="CommentTextChar"/>
    <w:uiPriority w:val="99"/>
    <w:unhideWhenUsed/>
    <w:rsid w:val="00A940ED"/>
    <w:rPr>
      <w:sz w:val="20"/>
      <w:szCs w:val="20"/>
    </w:rPr>
  </w:style>
  <w:style w:type="character" w:customStyle="1" w:styleId="CommentTextChar">
    <w:name w:val="Comment Text Char"/>
    <w:basedOn w:val="DefaultParagraphFont"/>
    <w:link w:val="CommentText"/>
    <w:uiPriority w:val="99"/>
    <w:rsid w:val="00A940ED"/>
    <w:rPr>
      <w:rFonts w:ascii="Calibri" w:hAnsi="Calibri" w:cs="Arial"/>
    </w:rPr>
  </w:style>
  <w:style w:type="paragraph" w:styleId="CommentSubject">
    <w:name w:val="annotation subject"/>
    <w:basedOn w:val="CommentText"/>
    <w:next w:val="CommentText"/>
    <w:link w:val="CommentSubjectChar"/>
    <w:semiHidden/>
    <w:unhideWhenUsed/>
    <w:rsid w:val="00A940ED"/>
    <w:rPr>
      <w:b/>
      <w:bCs/>
    </w:rPr>
  </w:style>
  <w:style w:type="character" w:customStyle="1" w:styleId="CommentSubjectChar">
    <w:name w:val="Comment Subject Char"/>
    <w:basedOn w:val="CommentTextChar"/>
    <w:link w:val="CommentSubject"/>
    <w:semiHidden/>
    <w:rsid w:val="00A940ED"/>
    <w:rPr>
      <w:rFonts w:ascii="Calibri" w:hAnsi="Calibri" w:cs="Arial"/>
      <w:b/>
      <w:bCs/>
    </w:rPr>
  </w:style>
  <w:style w:type="paragraph" w:styleId="ListParagraph">
    <w:name w:val="List Paragraph"/>
    <w:aliases w:val="BulletPoints,Body Text Bullet Points,Numbered para,List Paragraph1,Bullet point,List Paragraph11,Recommendation,Section heading,Footnote,ES Paragraph,PBAC ES Paragraph,PBAC normal points,Bullet List"/>
    <w:basedOn w:val="Normal"/>
    <w:link w:val="ListParagraphChar"/>
    <w:uiPriority w:val="34"/>
    <w:qFormat/>
    <w:rsid w:val="008B6F61"/>
    <w:pPr>
      <w:ind w:left="720"/>
      <w:contextualSpacing/>
    </w:pPr>
  </w:style>
  <w:style w:type="table" w:customStyle="1" w:styleId="LashStyleTable1">
    <w:name w:val="Lash Style Table1"/>
    <w:basedOn w:val="TableNormal"/>
    <w:next w:val="TableGrid"/>
    <w:uiPriority w:val="39"/>
    <w:rsid w:val="009C7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2">
    <w:name w:val="Lash Style Table2"/>
    <w:basedOn w:val="TableNormal"/>
    <w:next w:val="TableGrid"/>
    <w:uiPriority w:val="39"/>
    <w:rsid w:val="00ED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
    <w:name w:val="Lash Style Table3"/>
    <w:basedOn w:val="TableNormal"/>
    <w:next w:val="TableGrid"/>
    <w:uiPriority w:val="39"/>
    <w:rsid w:val="0064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4">
    <w:name w:val="Lash Style Table4"/>
    <w:basedOn w:val="TableNormal"/>
    <w:next w:val="TableGrid"/>
    <w:uiPriority w:val="39"/>
    <w:rsid w:val="00D30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5">
    <w:name w:val="Lash Style Table5"/>
    <w:basedOn w:val="TableNormal"/>
    <w:next w:val="TableGrid"/>
    <w:uiPriority w:val="39"/>
    <w:rsid w:val="00243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6">
    <w:name w:val="Lash Style Table6"/>
    <w:basedOn w:val="TableNormal"/>
    <w:next w:val="TableGrid"/>
    <w:uiPriority w:val="39"/>
    <w:rsid w:val="00217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7">
    <w:name w:val="Lash Style Table7"/>
    <w:basedOn w:val="TableNormal"/>
    <w:next w:val="TableGrid"/>
    <w:uiPriority w:val="39"/>
    <w:rsid w:val="007F5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8">
    <w:name w:val="Lash Style Table8"/>
    <w:basedOn w:val="TableNormal"/>
    <w:next w:val="TableGrid"/>
    <w:uiPriority w:val="39"/>
    <w:rsid w:val="00E84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94928"/>
  </w:style>
  <w:style w:type="character" w:customStyle="1" w:styleId="Heading1Char">
    <w:name w:val="Heading 1 Char"/>
    <w:basedOn w:val="DefaultParagraphFont"/>
    <w:link w:val="Heading1"/>
    <w:uiPriority w:val="1"/>
    <w:rsid w:val="00794928"/>
    <w:rPr>
      <w:rFonts w:ascii="Calibri" w:hAnsi="Calibri" w:cs="Arial"/>
      <w:b/>
      <w:caps/>
      <w:sz w:val="32"/>
      <w:szCs w:val="24"/>
    </w:rPr>
  </w:style>
  <w:style w:type="character" w:customStyle="1" w:styleId="Heading3Char">
    <w:name w:val="Heading 3 Char"/>
    <w:basedOn w:val="DefaultParagraphFont"/>
    <w:link w:val="Heading3"/>
    <w:rsid w:val="00794928"/>
    <w:rPr>
      <w:rFonts w:ascii="Calibri" w:hAnsi="Calibri" w:cs="Arial"/>
      <w:sz w:val="24"/>
      <w:szCs w:val="24"/>
      <w:u w:val="single"/>
    </w:rPr>
  </w:style>
  <w:style w:type="character" w:customStyle="1" w:styleId="Heading4Char">
    <w:name w:val="Heading 4 Char"/>
    <w:basedOn w:val="DefaultParagraphFont"/>
    <w:link w:val="Heading4"/>
    <w:rsid w:val="00794928"/>
    <w:rPr>
      <w:rFonts w:ascii="Calibri" w:hAnsi="Calibri" w:cs="Arial"/>
      <w:b/>
      <w:bCs/>
      <w:i/>
      <w:sz w:val="26"/>
      <w:szCs w:val="28"/>
    </w:rPr>
  </w:style>
  <w:style w:type="character" w:customStyle="1" w:styleId="Heading5Char">
    <w:name w:val="Heading 5 Char"/>
    <w:basedOn w:val="DefaultParagraphFont"/>
    <w:link w:val="Heading5"/>
    <w:rsid w:val="00794928"/>
    <w:rPr>
      <w:rFonts w:ascii="Calibri" w:hAnsi="Calibri" w:cs="Arial"/>
      <w:b/>
      <w:bCs/>
      <w:iCs/>
      <w:sz w:val="26"/>
      <w:szCs w:val="26"/>
    </w:rPr>
  </w:style>
  <w:style w:type="character" w:customStyle="1" w:styleId="Heading6Char">
    <w:name w:val="Heading 6 Char"/>
    <w:basedOn w:val="DefaultParagraphFont"/>
    <w:link w:val="Heading6"/>
    <w:rsid w:val="00794928"/>
    <w:rPr>
      <w:rFonts w:ascii="Calibri" w:hAnsi="Calibri" w:cs="Arial"/>
      <w:b/>
      <w:bCs/>
      <w:i/>
      <w:sz w:val="24"/>
      <w:szCs w:val="24"/>
    </w:rPr>
  </w:style>
  <w:style w:type="table" w:customStyle="1" w:styleId="LashStyleTable9">
    <w:name w:val="Lash Style Table9"/>
    <w:basedOn w:val="TableNormal"/>
    <w:next w:val="TableGrid"/>
    <w:uiPriority w:val="39"/>
    <w:rsid w:val="00794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79492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94928"/>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794928"/>
    <w:pPr>
      <w:spacing w:before="100" w:beforeAutospacing="1" w:after="100" w:afterAutospacing="1"/>
      <w:jc w:val="left"/>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794928"/>
    <w:rPr>
      <w:color w:val="605E5C"/>
      <w:shd w:val="clear" w:color="auto" w:fill="E1DFDD"/>
    </w:rPr>
  </w:style>
  <w:style w:type="paragraph" w:customStyle="1" w:styleId="TableFooter">
    <w:name w:val="Table Footer"/>
    <w:basedOn w:val="Normal"/>
    <w:link w:val="TableFooterChar"/>
    <w:qFormat/>
    <w:rsid w:val="00794928"/>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794928"/>
    <w:rPr>
      <w:rFonts w:ascii="Arial Narrow" w:hAnsi="Arial Narrow" w:cs="Arial"/>
      <w:snapToGrid w:val="0"/>
      <w:sz w:val="18"/>
      <w:szCs w:val="22"/>
      <w:lang w:eastAsia="en-US"/>
    </w:rPr>
  </w:style>
  <w:style w:type="paragraph" w:customStyle="1" w:styleId="MainBodyText">
    <w:name w:val="Main Body Text"/>
    <w:basedOn w:val="Normal"/>
    <w:link w:val="MainBodyTextChar"/>
    <w:rsid w:val="00794928"/>
    <w:pPr>
      <w:spacing w:after="240" w:line="276" w:lineRule="auto"/>
    </w:pPr>
    <w:rPr>
      <w:rFonts w:ascii="Arial" w:hAnsi="Arial" w:cs="Times New Roman"/>
      <w:sz w:val="22"/>
      <w:szCs w:val="22"/>
    </w:rPr>
  </w:style>
  <w:style w:type="character" w:customStyle="1" w:styleId="MainBodyTextChar">
    <w:name w:val="Main Body Text Char"/>
    <w:link w:val="MainBodyText"/>
    <w:rsid w:val="00794928"/>
    <w:rPr>
      <w:rFonts w:ascii="Arial" w:hAnsi="Arial"/>
      <w:sz w:val="22"/>
      <w:szCs w:val="22"/>
    </w:rPr>
  </w:style>
  <w:style w:type="character" w:customStyle="1" w:styleId="TabletextChar0">
    <w:name w:val="Table text Char"/>
    <w:link w:val="Tabletext0"/>
    <w:locked/>
    <w:rsid w:val="00794928"/>
    <w:rPr>
      <w:rFonts w:ascii="Arial Narrow" w:hAnsi="Arial Narrow"/>
    </w:rPr>
  </w:style>
  <w:style w:type="paragraph" w:customStyle="1" w:styleId="Tabletext0">
    <w:name w:val="Table text"/>
    <w:basedOn w:val="Normal"/>
    <w:link w:val="TabletextChar0"/>
    <w:qFormat/>
    <w:rsid w:val="00794928"/>
    <w:pPr>
      <w:jc w:val="left"/>
    </w:pPr>
    <w:rPr>
      <w:rFonts w:ascii="Arial Narrow" w:hAnsi="Arial Narrow" w:cs="Times New Roman"/>
      <w:sz w:val="20"/>
      <w:szCs w:val="20"/>
    </w:rPr>
  </w:style>
  <w:style w:type="paragraph" w:customStyle="1" w:styleId="TableHeading">
    <w:name w:val="TableHeading"/>
    <w:basedOn w:val="BodyText"/>
    <w:uiPriority w:val="99"/>
    <w:qFormat/>
    <w:rsid w:val="00794928"/>
    <w:pPr>
      <w:spacing w:before="60" w:after="60"/>
      <w:jc w:val="left"/>
    </w:pPr>
    <w:rPr>
      <w:rFonts w:ascii="Arial" w:hAnsi="Arial" w:cs="Times New Roman"/>
      <w:b/>
      <w:sz w:val="18"/>
      <w:szCs w:val="22"/>
    </w:rPr>
  </w:style>
  <w:style w:type="table" w:customStyle="1" w:styleId="SummaryTable1">
    <w:name w:val="Summary Table1"/>
    <w:basedOn w:val="TableNormal"/>
    <w:next w:val="TableGrid"/>
    <w:uiPriority w:val="59"/>
    <w:rsid w:val="0079492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paragraph" w:styleId="BodyText">
    <w:name w:val="Body Text"/>
    <w:basedOn w:val="Normal"/>
    <w:link w:val="BodyTextChar"/>
    <w:semiHidden/>
    <w:unhideWhenUsed/>
    <w:rsid w:val="00794928"/>
    <w:pPr>
      <w:spacing w:after="120"/>
    </w:pPr>
  </w:style>
  <w:style w:type="character" w:customStyle="1" w:styleId="BodyTextChar">
    <w:name w:val="Body Text Char"/>
    <w:basedOn w:val="DefaultParagraphFont"/>
    <w:link w:val="BodyText"/>
    <w:semiHidden/>
    <w:rsid w:val="00794928"/>
    <w:rPr>
      <w:rFonts w:ascii="Calibri" w:hAnsi="Calibri" w:cs="Arial"/>
      <w:sz w:val="24"/>
      <w:szCs w:val="24"/>
    </w:rPr>
  </w:style>
  <w:style w:type="paragraph" w:styleId="FootnoteText">
    <w:name w:val="footnote text"/>
    <w:basedOn w:val="Normal"/>
    <w:link w:val="FootnoteTextChar"/>
    <w:semiHidden/>
    <w:unhideWhenUsed/>
    <w:rsid w:val="00794928"/>
    <w:rPr>
      <w:sz w:val="20"/>
      <w:szCs w:val="20"/>
    </w:rPr>
  </w:style>
  <w:style w:type="character" w:customStyle="1" w:styleId="FootnoteTextChar">
    <w:name w:val="Footnote Text Char"/>
    <w:basedOn w:val="DefaultParagraphFont"/>
    <w:link w:val="FootnoteText"/>
    <w:semiHidden/>
    <w:rsid w:val="00794928"/>
    <w:rPr>
      <w:rFonts w:ascii="Calibri" w:hAnsi="Calibri" w:cs="Arial"/>
    </w:rPr>
  </w:style>
  <w:style w:type="character" w:styleId="FootnoteReference">
    <w:name w:val="footnote reference"/>
    <w:basedOn w:val="DefaultParagraphFont"/>
    <w:semiHidden/>
    <w:unhideWhenUsed/>
    <w:rsid w:val="00794928"/>
    <w:rPr>
      <w:vertAlign w:val="superscript"/>
    </w:rPr>
  </w:style>
  <w:style w:type="character" w:customStyle="1" w:styleId="ListParagraphChar">
    <w:name w:val="List Paragraph Char"/>
    <w:aliases w:val="BulletPoints Char,Body Text Bullet Points Char,Numbered para Char,List Paragraph1 Char,Bullet point Char,List Paragraph11 Char,Recommendation Char,Section heading Char,Footnote Char,ES Paragraph Char,PBAC ES Paragraph Char"/>
    <w:link w:val="ListParagraph"/>
    <w:uiPriority w:val="34"/>
    <w:qFormat/>
    <w:locked/>
    <w:rsid w:val="00794928"/>
    <w:rPr>
      <w:rFonts w:ascii="Calibri" w:hAnsi="Calibri" w:cs="Arial"/>
      <w:sz w:val="24"/>
      <w:szCs w:val="24"/>
    </w:rPr>
  </w:style>
  <w:style w:type="table" w:customStyle="1" w:styleId="LashStyleTable10">
    <w:name w:val="Lash Style Table10"/>
    <w:basedOn w:val="TableNormal"/>
    <w:next w:val="TableGrid"/>
    <w:uiPriority w:val="39"/>
    <w:rsid w:val="00D7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1">
    <w:name w:val="Lash Style Table11"/>
    <w:basedOn w:val="TableNormal"/>
    <w:next w:val="TableGrid"/>
    <w:uiPriority w:val="39"/>
    <w:rsid w:val="00527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2">
    <w:name w:val="Lash Style Table12"/>
    <w:basedOn w:val="TableNormal"/>
    <w:next w:val="TableGrid"/>
    <w:uiPriority w:val="39"/>
    <w:rsid w:val="00135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3">
    <w:name w:val="Lash Style Table13"/>
    <w:basedOn w:val="TableNormal"/>
    <w:next w:val="TableGrid"/>
    <w:uiPriority w:val="39"/>
    <w:rsid w:val="00604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4">
    <w:name w:val="Lash Style Table14"/>
    <w:basedOn w:val="TableNormal"/>
    <w:next w:val="TableGrid"/>
    <w:uiPriority w:val="39"/>
    <w:rsid w:val="00F04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5">
    <w:name w:val="Lash Style Table15"/>
    <w:basedOn w:val="TableNormal"/>
    <w:next w:val="TableGrid"/>
    <w:uiPriority w:val="39"/>
    <w:rsid w:val="00942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6">
    <w:name w:val="Lash Style Table16"/>
    <w:basedOn w:val="TableNormal"/>
    <w:next w:val="TableGrid"/>
    <w:uiPriority w:val="39"/>
    <w:rsid w:val="00FB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7">
    <w:name w:val="Lash Style Table17"/>
    <w:basedOn w:val="TableNormal"/>
    <w:next w:val="TableGrid"/>
    <w:uiPriority w:val="39"/>
    <w:rsid w:val="00DE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8">
    <w:name w:val="Lash Style Table18"/>
    <w:basedOn w:val="TableNormal"/>
    <w:next w:val="TableGrid"/>
    <w:uiPriority w:val="39"/>
    <w:rsid w:val="008B5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9">
    <w:name w:val="Lash Style Table19"/>
    <w:basedOn w:val="TableNormal"/>
    <w:next w:val="TableGrid"/>
    <w:uiPriority w:val="39"/>
    <w:rsid w:val="006B1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20">
    <w:name w:val="Lash Style Table20"/>
    <w:basedOn w:val="TableNormal"/>
    <w:next w:val="TableGrid"/>
    <w:uiPriority w:val="39"/>
    <w:rsid w:val="00A73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21">
    <w:name w:val="Lash Style Table21"/>
    <w:basedOn w:val="TableNormal"/>
    <w:next w:val="TableGrid"/>
    <w:uiPriority w:val="39"/>
    <w:rsid w:val="004D5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22">
    <w:name w:val="Lash Style Table22"/>
    <w:basedOn w:val="TableNormal"/>
    <w:next w:val="TableGrid"/>
    <w:uiPriority w:val="39"/>
    <w:rsid w:val="0026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23">
    <w:name w:val="Lash Style Table23"/>
    <w:basedOn w:val="TableNormal"/>
    <w:next w:val="TableGrid"/>
    <w:uiPriority w:val="39"/>
    <w:rsid w:val="007C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24">
    <w:name w:val="Lash Style Table24"/>
    <w:basedOn w:val="TableNormal"/>
    <w:next w:val="TableGrid"/>
    <w:uiPriority w:val="39"/>
    <w:rsid w:val="007D4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25">
    <w:name w:val="Lash Style Table25"/>
    <w:basedOn w:val="TableNormal"/>
    <w:next w:val="TableGrid"/>
    <w:uiPriority w:val="39"/>
    <w:rsid w:val="00EF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26">
    <w:name w:val="Lash Style Table26"/>
    <w:basedOn w:val="TableNormal"/>
    <w:next w:val="TableGrid"/>
    <w:uiPriority w:val="39"/>
    <w:rsid w:val="00DC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27">
    <w:name w:val="Lash Style Table27"/>
    <w:basedOn w:val="TableNormal"/>
    <w:next w:val="TableGrid"/>
    <w:uiPriority w:val="39"/>
    <w:rsid w:val="00A0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28">
    <w:name w:val="Lash Style Table28"/>
    <w:basedOn w:val="TableNormal"/>
    <w:next w:val="TableGrid"/>
    <w:uiPriority w:val="39"/>
    <w:rsid w:val="00F32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29">
    <w:name w:val="Lash Style Table29"/>
    <w:basedOn w:val="TableNormal"/>
    <w:next w:val="TableGrid"/>
    <w:uiPriority w:val="39"/>
    <w:rsid w:val="00061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0">
    <w:name w:val="Lash Style Table30"/>
    <w:basedOn w:val="TableNormal"/>
    <w:next w:val="TableGrid"/>
    <w:uiPriority w:val="39"/>
    <w:rsid w:val="00C60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1">
    <w:name w:val="Lash Style Table31"/>
    <w:basedOn w:val="TableNormal"/>
    <w:next w:val="TableGrid"/>
    <w:uiPriority w:val="39"/>
    <w:rsid w:val="00A33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2">
    <w:name w:val="Lash Style Table32"/>
    <w:basedOn w:val="TableNormal"/>
    <w:next w:val="TableGrid"/>
    <w:uiPriority w:val="39"/>
    <w:rsid w:val="003B7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3">
    <w:name w:val="Lash Style Table33"/>
    <w:basedOn w:val="TableNormal"/>
    <w:next w:val="TableGrid"/>
    <w:uiPriority w:val="39"/>
    <w:rsid w:val="00DD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4">
    <w:name w:val="Lash Style Table34"/>
    <w:basedOn w:val="TableNormal"/>
    <w:next w:val="TableGrid"/>
    <w:uiPriority w:val="39"/>
    <w:rsid w:val="005C5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5">
    <w:name w:val="Lash Style Table35"/>
    <w:basedOn w:val="TableNormal"/>
    <w:next w:val="TableGrid"/>
    <w:uiPriority w:val="39"/>
    <w:rsid w:val="00233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6">
    <w:name w:val="Lash Style Table36"/>
    <w:basedOn w:val="TableNormal"/>
    <w:next w:val="TableGrid"/>
    <w:uiPriority w:val="39"/>
    <w:rsid w:val="00471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7">
    <w:name w:val="Lash Style Table37"/>
    <w:basedOn w:val="TableNormal"/>
    <w:next w:val="TableGrid"/>
    <w:uiPriority w:val="39"/>
    <w:rsid w:val="00D56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8">
    <w:name w:val="Lash Style Table38"/>
    <w:basedOn w:val="TableNormal"/>
    <w:next w:val="TableGrid"/>
    <w:uiPriority w:val="39"/>
    <w:rsid w:val="0055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9">
    <w:name w:val="Lash Style Table39"/>
    <w:basedOn w:val="TableNormal"/>
    <w:next w:val="TableGrid"/>
    <w:uiPriority w:val="39"/>
    <w:rsid w:val="00514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40">
    <w:name w:val="Lash Style Table40"/>
    <w:basedOn w:val="TableNormal"/>
    <w:next w:val="TableGrid"/>
    <w:uiPriority w:val="39"/>
    <w:rsid w:val="00007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565399"/>
    <w:pPr>
      <w:spacing w:after="200"/>
    </w:pPr>
    <w:rPr>
      <w:i/>
      <w:iCs/>
      <w:color w:val="1F497D" w:themeColor="text2"/>
      <w:sz w:val="18"/>
      <w:szCs w:val="18"/>
    </w:rPr>
  </w:style>
  <w:style w:type="paragraph" w:customStyle="1" w:styleId="PBACHeading1">
    <w:name w:val="PBAC Heading 1"/>
    <w:qFormat/>
    <w:rsid w:val="003E473F"/>
    <w:pPr>
      <w:ind w:left="720" w:hanging="720"/>
      <w:outlineLvl w:val="0"/>
    </w:pPr>
    <w:rPr>
      <w:rFonts w:ascii="Calibri" w:hAnsi="Calibri" w:cs="Calibri"/>
      <w:b/>
      <w:snapToGrid w:val="0"/>
      <w:sz w:val="32"/>
      <w:szCs w:val="32"/>
      <w:lang w:eastAsia="en-US"/>
    </w:rPr>
  </w:style>
  <w:style w:type="paragraph" w:styleId="Subtitle">
    <w:name w:val="Subtitle"/>
    <w:basedOn w:val="Normal"/>
    <w:link w:val="SubtitleChar"/>
    <w:qFormat/>
    <w:rsid w:val="001E12CC"/>
    <w:rPr>
      <w:rFonts w:ascii="Times New Roman" w:hAnsi="Times New Roman" w:cs="Times New Roman"/>
      <w:b/>
      <w:szCs w:val="20"/>
    </w:rPr>
  </w:style>
  <w:style w:type="character" w:customStyle="1" w:styleId="SubtitleChar">
    <w:name w:val="Subtitle Char"/>
    <w:basedOn w:val="DefaultParagraphFont"/>
    <w:link w:val="Subtitle"/>
    <w:rsid w:val="001E12CC"/>
    <w:rPr>
      <w:b/>
      <w:sz w:val="24"/>
    </w:rPr>
  </w:style>
  <w:style w:type="paragraph" w:styleId="NoSpacing">
    <w:name w:val="No Spacing"/>
    <w:uiPriority w:val="1"/>
    <w:qFormat/>
    <w:rsid w:val="007C545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809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072704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78620335">
      <w:bodyDiv w:val="1"/>
      <w:marLeft w:val="0"/>
      <w:marRight w:val="0"/>
      <w:marTop w:val="0"/>
      <w:marBottom w:val="0"/>
      <w:divBdr>
        <w:top w:val="none" w:sz="0" w:space="0" w:color="auto"/>
        <w:left w:val="none" w:sz="0" w:space="0" w:color="auto"/>
        <w:bottom w:val="none" w:sz="0" w:space="0" w:color="auto"/>
        <w:right w:val="none" w:sz="0" w:space="0" w:color="auto"/>
      </w:divBdr>
    </w:div>
    <w:div w:id="480314357">
      <w:bodyDiv w:val="1"/>
      <w:marLeft w:val="0"/>
      <w:marRight w:val="0"/>
      <w:marTop w:val="0"/>
      <w:marBottom w:val="0"/>
      <w:divBdr>
        <w:top w:val="none" w:sz="0" w:space="0" w:color="auto"/>
        <w:left w:val="none" w:sz="0" w:space="0" w:color="auto"/>
        <w:bottom w:val="none" w:sz="0" w:space="0" w:color="auto"/>
        <w:right w:val="none" w:sz="0" w:space="0" w:color="auto"/>
      </w:divBdr>
    </w:div>
    <w:div w:id="602298151">
      <w:bodyDiv w:val="1"/>
      <w:marLeft w:val="0"/>
      <w:marRight w:val="0"/>
      <w:marTop w:val="0"/>
      <w:marBottom w:val="0"/>
      <w:divBdr>
        <w:top w:val="none" w:sz="0" w:space="0" w:color="auto"/>
        <w:left w:val="none" w:sz="0" w:space="0" w:color="auto"/>
        <w:bottom w:val="none" w:sz="0" w:space="0" w:color="auto"/>
        <w:right w:val="none" w:sz="0" w:space="0" w:color="auto"/>
      </w:divBdr>
    </w:div>
    <w:div w:id="667753484">
      <w:bodyDiv w:val="1"/>
      <w:marLeft w:val="0"/>
      <w:marRight w:val="0"/>
      <w:marTop w:val="0"/>
      <w:marBottom w:val="0"/>
      <w:divBdr>
        <w:top w:val="none" w:sz="0" w:space="0" w:color="auto"/>
        <w:left w:val="none" w:sz="0" w:space="0" w:color="auto"/>
        <w:bottom w:val="none" w:sz="0" w:space="0" w:color="auto"/>
        <w:right w:val="none" w:sz="0" w:space="0" w:color="auto"/>
      </w:divBdr>
    </w:div>
    <w:div w:id="773938515">
      <w:bodyDiv w:val="1"/>
      <w:marLeft w:val="0"/>
      <w:marRight w:val="0"/>
      <w:marTop w:val="0"/>
      <w:marBottom w:val="0"/>
      <w:divBdr>
        <w:top w:val="none" w:sz="0" w:space="0" w:color="auto"/>
        <w:left w:val="none" w:sz="0" w:space="0" w:color="auto"/>
        <w:bottom w:val="none" w:sz="0" w:space="0" w:color="auto"/>
        <w:right w:val="none" w:sz="0" w:space="0" w:color="auto"/>
      </w:divBdr>
    </w:div>
    <w:div w:id="792334903">
      <w:bodyDiv w:val="1"/>
      <w:marLeft w:val="0"/>
      <w:marRight w:val="0"/>
      <w:marTop w:val="0"/>
      <w:marBottom w:val="0"/>
      <w:divBdr>
        <w:top w:val="none" w:sz="0" w:space="0" w:color="auto"/>
        <w:left w:val="none" w:sz="0" w:space="0" w:color="auto"/>
        <w:bottom w:val="none" w:sz="0" w:space="0" w:color="auto"/>
        <w:right w:val="none" w:sz="0" w:space="0" w:color="auto"/>
      </w:divBdr>
    </w:div>
    <w:div w:id="954405622">
      <w:bodyDiv w:val="1"/>
      <w:marLeft w:val="0"/>
      <w:marRight w:val="0"/>
      <w:marTop w:val="0"/>
      <w:marBottom w:val="0"/>
      <w:divBdr>
        <w:top w:val="none" w:sz="0" w:space="0" w:color="auto"/>
        <w:left w:val="none" w:sz="0" w:space="0" w:color="auto"/>
        <w:bottom w:val="none" w:sz="0" w:space="0" w:color="auto"/>
        <w:right w:val="none" w:sz="0" w:space="0" w:color="auto"/>
      </w:divBdr>
    </w:div>
    <w:div w:id="994189747">
      <w:bodyDiv w:val="1"/>
      <w:marLeft w:val="0"/>
      <w:marRight w:val="0"/>
      <w:marTop w:val="0"/>
      <w:marBottom w:val="0"/>
      <w:divBdr>
        <w:top w:val="none" w:sz="0" w:space="0" w:color="auto"/>
        <w:left w:val="none" w:sz="0" w:space="0" w:color="auto"/>
        <w:bottom w:val="none" w:sz="0" w:space="0" w:color="auto"/>
        <w:right w:val="none" w:sz="0" w:space="0" w:color="auto"/>
      </w:divBdr>
      <w:divsChild>
        <w:div w:id="1359893798">
          <w:marLeft w:val="547"/>
          <w:marRight w:val="0"/>
          <w:marTop w:val="0"/>
          <w:marBottom w:val="0"/>
          <w:divBdr>
            <w:top w:val="none" w:sz="0" w:space="0" w:color="auto"/>
            <w:left w:val="none" w:sz="0" w:space="0" w:color="auto"/>
            <w:bottom w:val="none" w:sz="0" w:space="0" w:color="auto"/>
            <w:right w:val="none" w:sz="0" w:space="0" w:color="auto"/>
          </w:divBdr>
        </w:div>
      </w:divsChild>
    </w:div>
    <w:div w:id="108102567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148">
      <w:bodyDiv w:val="1"/>
      <w:marLeft w:val="0"/>
      <w:marRight w:val="0"/>
      <w:marTop w:val="0"/>
      <w:marBottom w:val="0"/>
      <w:divBdr>
        <w:top w:val="none" w:sz="0" w:space="0" w:color="auto"/>
        <w:left w:val="none" w:sz="0" w:space="0" w:color="auto"/>
        <w:bottom w:val="none" w:sz="0" w:space="0" w:color="auto"/>
        <w:right w:val="none" w:sz="0" w:space="0" w:color="auto"/>
      </w:divBdr>
    </w:div>
    <w:div w:id="1571695005">
      <w:bodyDiv w:val="1"/>
      <w:marLeft w:val="0"/>
      <w:marRight w:val="0"/>
      <w:marTop w:val="0"/>
      <w:marBottom w:val="0"/>
      <w:divBdr>
        <w:top w:val="none" w:sz="0" w:space="0" w:color="auto"/>
        <w:left w:val="none" w:sz="0" w:space="0" w:color="auto"/>
        <w:bottom w:val="none" w:sz="0" w:space="0" w:color="auto"/>
        <w:right w:val="none" w:sz="0" w:space="0" w:color="auto"/>
      </w:divBdr>
    </w:div>
    <w:div w:id="1585185464">
      <w:bodyDiv w:val="1"/>
      <w:marLeft w:val="0"/>
      <w:marRight w:val="0"/>
      <w:marTop w:val="0"/>
      <w:marBottom w:val="0"/>
      <w:divBdr>
        <w:top w:val="none" w:sz="0" w:space="0" w:color="auto"/>
        <w:left w:val="none" w:sz="0" w:space="0" w:color="auto"/>
        <w:bottom w:val="none" w:sz="0" w:space="0" w:color="auto"/>
        <w:right w:val="none" w:sz="0" w:space="0" w:color="auto"/>
      </w:divBdr>
    </w:div>
    <w:div w:id="1648046309">
      <w:bodyDiv w:val="1"/>
      <w:marLeft w:val="0"/>
      <w:marRight w:val="0"/>
      <w:marTop w:val="0"/>
      <w:marBottom w:val="0"/>
      <w:divBdr>
        <w:top w:val="none" w:sz="0" w:space="0" w:color="auto"/>
        <w:left w:val="none" w:sz="0" w:space="0" w:color="auto"/>
        <w:bottom w:val="none" w:sz="0" w:space="0" w:color="auto"/>
        <w:right w:val="none" w:sz="0" w:space="0" w:color="auto"/>
      </w:divBdr>
    </w:div>
    <w:div w:id="1798598723">
      <w:bodyDiv w:val="1"/>
      <w:marLeft w:val="0"/>
      <w:marRight w:val="0"/>
      <w:marTop w:val="0"/>
      <w:marBottom w:val="0"/>
      <w:divBdr>
        <w:top w:val="none" w:sz="0" w:space="0" w:color="auto"/>
        <w:left w:val="none" w:sz="0" w:space="0" w:color="auto"/>
        <w:bottom w:val="none" w:sz="0" w:space="0" w:color="auto"/>
        <w:right w:val="none" w:sz="0" w:space="0" w:color="auto"/>
      </w:divBdr>
    </w:div>
    <w:div w:id="181856594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438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B63C-9A52-446D-83EC-A77B26AA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18849</Words>
  <Characters>110254</Characters>
  <Application>Microsoft Office Word</Application>
  <DocSecurity>0</DocSecurity>
  <Lines>918</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2022-03-02T01:41:00Z</dcterms:created>
  <dcterms:modified xsi:type="dcterms:W3CDTF">2022-03-02T01:41:00Z</dcterms:modified>
</cp:coreProperties>
</file>